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jc w:val="center"/>
        <w:textAlignment w:val="auto"/>
        <w:rPr>
          <w:rFonts w:hint="eastAsia" w:ascii="Calibri" w:hAnsi="Calibri" w:eastAsia="宋体" w:cs="Times New Roman"/>
          <w:szCs w:val="22"/>
          <w:lang w:val="en-US" w:eastAsia="zh-CN"/>
        </w:rPr>
      </w:pPr>
      <w:r>
        <w:rPr>
          <w:rFonts w:hint="eastAsia" w:ascii="Calibri" w:hAnsi="Calibri" w:eastAsia="宋体" w:cs="Times New Roman"/>
          <w:b/>
          <w:bCs/>
          <w:sz w:val="32"/>
          <w:szCs w:val="32"/>
          <w:lang w:val="en-US" w:eastAsia="zh-CN"/>
        </w:rPr>
        <w:t>泰顺县美丽林相建设项目（二次）</w:t>
      </w:r>
      <w:r>
        <w:rPr>
          <w:rFonts w:hint="eastAsia" w:ascii="Calibri" w:hAnsi="Calibri" w:eastAsia="宋体" w:cs="Times New Roman"/>
          <w:b/>
          <w:bCs/>
          <w:sz w:val="30"/>
          <w:szCs w:val="30"/>
        </w:rPr>
        <w:t>技术标评分汇总表</w:t>
      </w:r>
    </w:p>
    <w:tbl>
      <w:tblPr>
        <w:tblStyle w:val="5"/>
        <w:tblW w:w="1032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06"/>
        <w:gridCol w:w="1169"/>
        <w:gridCol w:w="1243"/>
        <w:gridCol w:w="1286"/>
        <w:gridCol w:w="1157"/>
        <w:gridCol w:w="1228"/>
        <w:gridCol w:w="1199"/>
        <w:gridCol w:w="83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75" w:hRule="exact"/>
          <w:jc w:val="center"/>
        </w:trPr>
        <w:tc>
          <w:tcPr>
            <w:tcW w:w="2206" w:type="dxa"/>
            <w:tcBorders>
              <w:tl2br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1928" w:hanging="1928" w:hangingChars="800"/>
              <w:jc w:val="both"/>
              <w:textAlignment w:val="auto"/>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 xml:space="preserve">          </w:t>
            </w:r>
            <w:r>
              <w:rPr>
                <w:rFonts w:hint="eastAsia" w:ascii="宋体" w:hAnsi="宋体" w:eastAsia="宋体" w:cs="Times New Roman"/>
                <w:b/>
                <w:bCs/>
                <w:color w:val="FFFFFF"/>
                <w:sz w:val="24"/>
                <w:szCs w:val="24"/>
                <w:lang w:val="en-US" w:eastAsia="zh-CN"/>
              </w:rPr>
              <w:t xml:space="preserve">  </w:t>
            </w:r>
            <w:r>
              <w:rPr>
                <w:rFonts w:hint="eastAsia" w:ascii="宋体" w:hAnsi="宋体" w:eastAsia="宋体" w:cs="Times New Roman"/>
                <w:b/>
                <w:bCs/>
                <w:color w:val="000000"/>
                <w:sz w:val="24"/>
                <w:szCs w:val="24"/>
              </w:rPr>
              <w:t>评委</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投标单位编号</w:t>
            </w:r>
          </w:p>
        </w:tc>
        <w:tc>
          <w:tcPr>
            <w:tcW w:w="116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Times New Roman"/>
                <w:b/>
                <w:bCs w:val="0"/>
                <w:color w:val="000000"/>
                <w:sz w:val="24"/>
                <w:szCs w:val="24"/>
                <w:lang w:val="en-US" w:eastAsia="zh-CN"/>
              </w:rPr>
            </w:pPr>
            <w:r>
              <w:rPr>
                <w:rFonts w:hint="eastAsia" w:ascii="宋体" w:hAnsi="宋体" w:eastAsia="宋体" w:cs="Times New Roman"/>
                <w:b/>
                <w:bCs w:val="0"/>
                <w:color w:val="000000"/>
                <w:sz w:val="24"/>
                <w:szCs w:val="24"/>
                <w:lang w:val="en-US" w:eastAsia="zh-CN"/>
              </w:rPr>
              <w:t>一</w:t>
            </w:r>
          </w:p>
        </w:tc>
        <w:tc>
          <w:tcPr>
            <w:tcW w:w="124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Times New Roman"/>
                <w:b/>
                <w:bCs w:val="0"/>
                <w:color w:val="000000"/>
                <w:sz w:val="24"/>
                <w:szCs w:val="24"/>
                <w:lang w:val="en-US" w:eastAsia="zh-CN"/>
              </w:rPr>
            </w:pPr>
            <w:r>
              <w:rPr>
                <w:rFonts w:hint="eastAsia" w:ascii="宋体" w:hAnsi="宋体" w:eastAsia="宋体" w:cs="Times New Roman"/>
                <w:b/>
                <w:bCs w:val="0"/>
                <w:color w:val="000000"/>
                <w:sz w:val="24"/>
                <w:szCs w:val="24"/>
                <w:lang w:val="en-US" w:eastAsia="zh-CN"/>
              </w:rPr>
              <w:t>二</w:t>
            </w:r>
          </w:p>
        </w:tc>
        <w:tc>
          <w:tcPr>
            <w:tcW w:w="128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Times New Roman"/>
                <w:b/>
                <w:bCs w:val="0"/>
                <w:color w:val="000000"/>
                <w:sz w:val="24"/>
                <w:szCs w:val="24"/>
                <w:lang w:val="en-US" w:eastAsia="zh-CN"/>
              </w:rPr>
            </w:pPr>
            <w:r>
              <w:rPr>
                <w:rFonts w:hint="eastAsia" w:ascii="宋体" w:hAnsi="宋体" w:eastAsia="宋体" w:cs="Times New Roman"/>
                <w:b/>
                <w:bCs w:val="0"/>
                <w:color w:val="000000"/>
                <w:sz w:val="24"/>
                <w:szCs w:val="24"/>
                <w:lang w:val="en-US" w:eastAsia="zh-CN"/>
              </w:rPr>
              <w:t>三</w:t>
            </w:r>
          </w:p>
        </w:tc>
        <w:tc>
          <w:tcPr>
            <w:tcW w:w="1157"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Times New Roman"/>
                <w:b/>
                <w:bCs w:val="0"/>
                <w:color w:val="000000"/>
                <w:sz w:val="24"/>
                <w:szCs w:val="24"/>
                <w:lang w:val="en-US" w:eastAsia="zh-CN"/>
              </w:rPr>
            </w:pPr>
            <w:r>
              <w:rPr>
                <w:rFonts w:hint="eastAsia" w:ascii="宋体" w:hAnsi="宋体" w:eastAsia="宋体" w:cs="Times New Roman"/>
                <w:b/>
                <w:bCs w:val="0"/>
                <w:color w:val="000000"/>
                <w:sz w:val="24"/>
                <w:szCs w:val="24"/>
                <w:lang w:val="en-US" w:eastAsia="zh-CN"/>
              </w:rPr>
              <w:t>四</w:t>
            </w:r>
          </w:p>
        </w:tc>
        <w:tc>
          <w:tcPr>
            <w:tcW w:w="122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Times New Roman"/>
                <w:b/>
                <w:bCs w:val="0"/>
                <w:color w:val="000000"/>
                <w:sz w:val="24"/>
                <w:szCs w:val="24"/>
                <w:lang w:val="en-US" w:eastAsia="zh-CN"/>
              </w:rPr>
            </w:pPr>
            <w:r>
              <w:rPr>
                <w:rFonts w:hint="eastAsia" w:ascii="宋体" w:hAnsi="宋体" w:eastAsia="宋体" w:cs="Times New Roman"/>
                <w:b/>
                <w:bCs w:val="0"/>
                <w:color w:val="000000"/>
                <w:sz w:val="24"/>
                <w:szCs w:val="24"/>
                <w:lang w:val="en-US" w:eastAsia="zh-CN"/>
              </w:rPr>
              <w:t>五</w:t>
            </w:r>
          </w:p>
        </w:tc>
        <w:tc>
          <w:tcPr>
            <w:tcW w:w="119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b/>
                <w:bCs w:val="0"/>
                <w:color w:val="000000"/>
                <w:sz w:val="24"/>
                <w:szCs w:val="24"/>
                <w:lang w:val="en-US" w:eastAsia="zh-CN"/>
              </w:rPr>
            </w:pPr>
            <w:r>
              <w:rPr>
                <w:rFonts w:hint="eastAsia" w:ascii="宋体" w:hAnsi="宋体" w:eastAsia="宋体" w:cs="Times New Roman"/>
                <w:b/>
                <w:bCs w:val="0"/>
                <w:color w:val="000000"/>
                <w:sz w:val="24"/>
                <w:szCs w:val="24"/>
                <w:lang w:val="en-US" w:eastAsia="zh-CN"/>
              </w:rPr>
              <w:t>最终得分</w:t>
            </w:r>
          </w:p>
        </w:tc>
        <w:tc>
          <w:tcPr>
            <w:tcW w:w="83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b/>
                <w:bCs w:val="0"/>
                <w:color w:val="000000"/>
                <w:sz w:val="24"/>
                <w:szCs w:val="24"/>
                <w:lang w:val="en-US" w:eastAsia="zh-CN"/>
              </w:rPr>
            </w:pPr>
            <w:r>
              <w:rPr>
                <w:rFonts w:hint="eastAsia" w:ascii="宋体" w:hAnsi="宋体" w:eastAsia="宋体" w:cs="Times New Roman"/>
                <w:b/>
                <w:bCs w:val="0"/>
                <w:color w:val="000000"/>
                <w:sz w:val="24"/>
                <w:szCs w:val="24"/>
                <w:lang w:val="en-US" w:eastAsia="zh-CN"/>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131" w:hRule="atLeast"/>
          <w:jc w:val="center"/>
        </w:trPr>
        <w:tc>
          <w:tcPr>
            <w:tcW w:w="2206" w:type="dxa"/>
            <w:noWrap w:val="0"/>
            <w:vAlign w:val="center"/>
          </w:tcPr>
          <w:p>
            <w:pPr>
              <w:widowControl w:val="0"/>
              <w:spacing w:after="0" w:afterLines="0" w:afterAutospacing="0" w:line="360" w:lineRule="auto"/>
              <w:ind w:firstLine="0" w:firstLineChars="0"/>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30"/>
                <w:szCs w:val="30"/>
                <w:lang w:val="en-US" w:eastAsia="zh-CN" w:bidi="ar-SA"/>
              </w:rPr>
              <w:t>1</w:t>
            </w:r>
          </w:p>
        </w:tc>
        <w:tc>
          <w:tcPr>
            <w:tcW w:w="1169" w:type="dxa"/>
            <w:tcBorders>
              <w:left w:val="single" w:color="auto" w:sz="4" w:space="0"/>
              <w:righ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p>
        </w:tc>
        <w:tc>
          <w:tcPr>
            <w:tcW w:w="1243" w:type="dxa"/>
            <w:tcBorders>
              <w:left w:val="single" w:color="auto" w:sz="4" w:space="0"/>
              <w:righ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p>
        </w:tc>
        <w:tc>
          <w:tcPr>
            <w:tcW w:w="1286" w:type="dxa"/>
            <w:tcBorders>
              <w:left w:val="single" w:color="auto" w:sz="4" w:space="0"/>
              <w:righ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p>
        </w:tc>
        <w:tc>
          <w:tcPr>
            <w:tcW w:w="1157" w:type="dxa"/>
            <w:tcBorders>
              <w:lef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p>
        </w:tc>
        <w:tc>
          <w:tcPr>
            <w:tcW w:w="1228" w:type="dxa"/>
            <w:tcBorders>
              <w:lef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p>
        </w:tc>
        <w:tc>
          <w:tcPr>
            <w:tcW w:w="1199" w:type="dxa"/>
            <w:tcBorders>
              <w:lef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8.97</w:t>
            </w:r>
          </w:p>
        </w:tc>
        <w:tc>
          <w:tcPr>
            <w:tcW w:w="83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Calibri" w:hAnsi="Calibri" w:eastAsia="宋体" w:cs="Times New Roman"/>
                <w:sz w:val="28"/>
                <w:szCs w:val="28"/>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86" w:hRule="atLeast"/>
          <w:jc w:val="center"/>
        </w:trPr>
        <w:tc>
          <w:tcPr>
            <w:tcW w:w="2206" w:type="dxa"/>
            <w:noWrap w:val="0"/>
            <w:vAlign w:val="center"/>
          </w:tcPr>
          <w:p>
            <w:pPr>
              <w:widowControl w:val="0"/>
              <w:spacing w:after="0" w:afterLines="0" w:afterAutospacing="0" w:line="360" w:lineRule="auto"/>
              <w:ind w:firstLine="0" w:firstLineChars="0"/>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30"/>
                <w:szCs w:val="30"/>
                <w:lang w:val="en-US" w:eastAsia="zh-CN" w:bidi="ar-SA"/>
              </w:rPr>
              <w:t>2</w:t>
            </w:r>
          </w:p>
        </w:tc>
        <w:tc>
          <w:tcPr>
            <w:tcW w:w="1169" w:type="dxa"/>
            <w:tcBorders>
              <w:left w:val="single" w:color="auto" w:sz="4" w:space="0"/>
              <w:righ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p>
        </w:tc>
        <w:tc>
          <w:tcPr>
            <w:tcW w:w="1243" w:type="dxa"/>
            <w:tcBorders>
              <w:left w:val="single" w:color="auto" w:sz="4" w:space="0"/>
              <w:righ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p>
        </w:tc>
        <w:tc>
          <w:tcPr>
            <w:tcW w:w="1286" w:type="dxa"/>
            <w:tcBorders>
              <w:left w:val="single" w:color="auto" w:sz="4" w:space="0"/>
              <w:righ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p>
        </w:tc>
        <w:tc>
          <w:tcPr>
            <w:tcW w:w="1157" w:type="dxa"/>
            <w:tcBorders>
              <w:lef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p>
        </w:tc>
        <w:tc>
          <w:tcPr>
            <w:tcW w:w="1228" w:type="dxa"/>
            <w:tcBorders>
              <w:lef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p>
        </w:tc>
        <w:tc>
          <w:tcPr>
            <w:tcW w:w="1199" w:type="dxa"/>
            <w:tcBorders>
              <w:lef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11.23</w:t>
            </w:r>
          </w:p>
        </w:tc>
        <w:tc>
          <w:tcPr>
            <w:tcW w:w="83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Calibri" w:hAnsi="Calibri" w:eastAsia="宋体" w:cs="Times New Roman"/>
                <w:sz w:val="28"/>
                <w:szCs w:val="28"/>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81" w:hRule="atLeast"/>
          <w:jc w:val="center"/>
        </w:trPr>
        <w:tc>
          <w:tcPr>
            <w:tcW w:w="2206" w:type="dxa"/>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30"/>
                <w:szCs w:val="30"/>
                <w:lang w:val="en-US" w:eastAsia="zh-CN" w:bidi="ar-SA"/>
              </w:rPr>
              <w:t>5</w:t>
            </w:r>
          </w:p>
        </w:tc>
        <w:tc>
          <w:tcPr>
            <w:tcW w:w="1169" w:type="dxa"/>
            <w:tcBorders>
              <w:left w:val="single" w:color="auto" w:sz="4" w:space="0"/>
              <w:righ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p>
        </w:tc>
        <w:tc>
          <w:tcPr>
            <w:tcW w:w="1243" w:type="dxa"/>
            <w:tcBorders>
              <w:left w:val="single" w:color="auto" w:sz="4" w:space="0"/>
              <w:righ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p>
        </w:tc>
        <w:tc>
          <w:tcPr>
            <w:tcW w:w="1286" w:type="dxa"/>
            <w:tcBorders>
              <w:left w:val="single" w:color="auto" w:sz="4" w:space="0"/>
              <w:righ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p>
        </w:tc>
        <w:tc>
          <w:tcPr>
            <w:tcW w:w="1157" w:type="dxa"/>
            <w:tcBorders>
              <w:lef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p>
        </w:tc>
        <w:tc>
          <w:tcPr>
            <w:tcW w:w="1228" w:type="dxa"/>
            <w:tcBorders>
              <w:lef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p>
        </w:tc>
        <w:tc>
          <w:tcPr>
            <w:tcW w:w="1199" w:type="dxa"/>
            <w:tcBorders>
              <w:lef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11.37</w:t>
            </w:r>
          </w:p>
        </w:tc>
        <w:tc>
          <w:tcPr>
            <w:tcW w:w="83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Calibri" w:hAnsi="Calibri" w:eastAsia="宋体" w:cs="Times New Roman"/>
                <w:sz w:val="28"/>
                <w:szCs w:val="28"/>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131" w:hRule="atLeast"/>
          <w:jc w:val="center"/>
        </w:trPr>
        <w:tc>
          <w:tcPr>
            <w:tcW w:w="2206" w:type="dxa"/>
            <w:noWrap w:val="0"/>
            <w:vAlign w:val="center"/>
          </w:tcPr>
          <w:p>
            <w:pPr>
              <w:widowControl w:val="0"/>
              <w:spacing w:after="0" w:afterLines="0" w:afterAutospacing="0" w:line="360" w:lineRule="auto"/>
              <w:ind w:firstLine="0" w:firstLineChars="0"/>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30"/>
                <w:szCs w:val="30"/>
                <w:lang w:val="en-US" w:eastAsia="zh-CN" w:bidi="ar-SA"/>
              </w:rPr>
              <w:t>6</w:t>
            </w:r>
          </w:p>
        </w:tc>
        <w:tc>
          <w:tcPr>
            <w:tcW w:w="1169" w:type="dxa"/>
            <w:tcBorders>
              <w:left w:val="single" w:color="auto" w:sz="4" w:space="0"/>
              <w:righ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p>
        </w:tc>
        <w:tc>
          <w:tcPr>
            <w:tcW w:w="1243" w:type="dxa"/>
            <w:tcBorders>
              <w:left w:val="single" w:color="auto" w:sz="4" w:space="0"/>
              <w:righ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p>
        </w:tc>
        <w:tc>
          <w:tcPr>
            <w:tcW w:w="1286" w:type="dxa"/>
            <w:tcBorders>
              <w:left w:val="single" w:color="auto" w:sz="4" w:space="0"/>
              <w:righ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p>
        </w:tc>
        <w:tc>
          <w:tcPr>
            <w:tcW w:w="1157" w:type="dxa"/>
            <w:tcBorders>
              <w:lef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p>
        </w:tc>
        <w:tc>
          <w:tcPr>
            <w:tcW w:w="1228" w:type="dxa"/>
            <w:tcBorders>
              <w:lef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p>
        </w:tc>
        <w:tc>
          <w:tcPr>
            <w:tcW w:w="1199" w:type="dxa"/>
            <w:tcBorders>
              <w:left w:val="single" w:color="auto" w:sz="4" w:space="0"/>
            </w:tcBorders>
            <w:noWrap w:val="0"/>
            <w:vAlign w:val="center"/>
          </w:tcPr>
          <w:p>
            <w:pPr>
              <w:widowControl w:val="0"/>
              <w:spacing w:after="0" w:afterLines="0" w:afterAutospacing="0" w:line="360" w:lineRule="auto"/>
              <w:ind w:firstLine="0" w:firstLineChars="0"/>
              <w:jc w:val="center"/>
              <w:rPr>
                <w:rFonts w:hint="default"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11.83</w:t>
            </w:r>
          </w:p>
        </w:tc>
        <w:tc>
          <w:tcPr>
            <w:tcW w:w="83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Calibri" w:hAnsi="Calibri" w:eastAsia="宋体" w:cs="Times New Roman"/>
                <w:sz w:val="28"/>
                <w:szCs w:val="28"/>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318" w:hRule="exact"/>
          <w:jc w:val="center"/>
        </w:trPr>
        <w:tc>
          <w:tcPr>
            <w:tcW w:w="10323" w:type="dxa"/>
            <w:gridSpan w:val="8"/>
            <w:noWrap w:val="0"/>
            <w:vAlign w:val="center"/>
          </w:tcPr>
          <w:p>
            <w:pPr>
              <w:spacing w:line="300" w:lineRule="auto"/>
              <w:rPr>
                <w:rFonts w:hint="eastAsia" w:ascii="Calibri" w:hAnsi="Calibri" w:eastAsia="宋体" w:cs="Times New Roman"/>
                <w:sz w:val="28"/>
                <w:szCs w:val="28"/>
                <w:lang w:val="en-US" w:eastAsia="zh-CN"/>
              </w:rPr>
            </w:pPr>
            <w:r>
              <w:rPr>
                <w:rFonts w:hint="eastAsia" w:ascii="黑体" w:hAnsi="黑体" w:eastAsia="黑体" w:cs="黑体"/>
                <w:color w:val="auto"/>
                <w:sz w:val="24"/>
                <w:szCs w:val="24"/>
                <w:highlight w:val="none"/>
                <w:lang w:val="en-US" w:eastAsia="zh-CN"/>
              </w:rPr>
              <w:t>注：①</w:t>
            </w:r>
            <w:r>
              <w:rPr>
                <w:rFonts w:hint="eastAsia" w:ascii="黑体" w:hAnsi="黑体" w:eastAsia="黑体" w:cs="黑体"/>
                <w:color w:val="auto"/>
                <w:sz w:val="24"/>
                <w:szCs w:val="24"/>
                <w:highlight w:val="none"/>
              </w:rPr>
              <w:t>评标委员会成员对技术标的各项评分内容进行打分评审（打分保留一位小数），对评标委员会成员打分汇总分数中去掉一个最高分和一个最低分后计算平均值为各投标人技术标的最后得分值（得分保留二位小数，第三位四舍五入），评标委员会成员应对自己的打分结果签名认可。评标委员会成员须在评分细则范围内评分，超出评分细则范围的评分视为无效。</w:t>
            </w:r>
          </w:p>
        </w:tc>
      </w:tr>
    </w:tbl>
    <w:p>
      <w:pPr>
        <w:adjustRightInd w:val="0"/>
        <w:snapToGrid w:val="0"/>
        <w:jc w:val="left"/>
        <w:rPr>
          <w:rFonts w:hint="eastAsia" w:ascii="宋体" w:hAnsi="宋体" w:eastAsia="宋体" w:cs="Times New Roman"/>
          <w:b/>
          <w:sz w:val="22"/>
          <w:szCs w:val="2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3NGRkOTBmOGY0M2QwZGY0ZGUzNGZjYjZlYjNjN2MifQ=="/>
  </w:docVars>
  <w:rsids>
    <w:rsidRoot w:val="1B4948E3"/>
    <w:rsid w:val="1B494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2"/>
    <w:qFormat/>
    <w:uiPriority w:val="0"/>
    <w:pPr>
      <w:spacing w:after="120"/>
    </w:pPr>
    <w:rPr>
      <w:rFonts w:ascii="Times New Roman" w:hAnsi="Times New Roman" w:eastAsia="宋体"/>
      <w:color w:val="auto"/>
      <w:kern w:val="2"/>
    </w:rPr>
  </w:style>
  <w:style w:type="paragraph" w:styleId="4">
    <w:name w:val="toc 6"/>
    <w:basedOn w:val="1"/>
    <w:next w:val="1"/>
    <w:unhideWhenUsed/>
    <w:qFormat/>
    <w:uiPriority w:val="0"/>
    <w:pPr>
      <w:ind w:left="2100" w:leftChars="10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211</Words>
  <Characters>226</Characters>
  <Lines>0</Lines>
  <Paragraphs>0</Paragraphs>
  <TotalTime>0</TotalTime>
  <ScaleCrop>false</ScaleCrop>
  <LinksUpToDate>false</LinksUpToDate>
  <CharactersWithSpaces>238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2022-10-19T05:37:00Z</dcterms:created>
  <dc:creator>johmmm</dc:creator>
  <cp:lastModifiedBy>johmmm</cp:lastModifiedBy>
  <dcterms:modified xsi:type="dcterms:W3CDTF">2022-10-19T05:38:11Z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D79E3A0145904924B8D6844CA39B0CFE</vt:lpwstr>
  </property>
</Properties>
</file>