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E1087">
      <w:pPr>
        <w:jc w:val="center"/>
        <w:rPr>
          <w:rFonts w:ascii="宋体"/>
          <w:b/>
          <w:sz w:val="72"/>
          <w:szCs w:val="72"/>
        </w:rPr>
      </w:pPr>
      <w:r>
        <w:rPr>
          <w:rFonts w:hint="eastAsia" w:ascii="宋体"/>
          <w:b/>
          <w:sz w:val="72"/>
          <w:szCs w:val="72"/>
        </w:rPr>
        <w:t xml:space="preserve"> </w:t>
      </w:r>
    </w:p>
    <w:p w14:paraId="430F024C">
      <w:pPr>
        <w:jc w:val="center"/>
        <w:rPr>
          <w:rFonts w:ascii="宋体"/>
          <w:b/>
          <w:sz w:val="72"/>
          <w:szCs w:val="72"/>
        </w:rPr>
      </w:pPr>
    </w:p>
    <w:p w14:paraId="78997B82">
      <w:pPr>
        <w:jc w:val="center"/>
        <w:rPr>
          <w:rFonts w:ascii="宋体"/>
          <w:b/>
          <w:sz w:val="72"/>
          <w:szCs w:val="72"/>
        </w:rPr>
      </w:pPr>
      <w:bookmarkStart w:id="0" w:name="_Toc511768886"/>
      <w:r>
        <w:rPr>
          <w:rFonts w:hint="eastAsia" w:ascii="宋体"/>
          <w:b/>
          <w:sz w:val="72"/>
          <w:szCs w:val="72"/>
        </w:rPr>
        <w:t>泰 顺 县 国 企 采 购</w:t>
      </w:r>
    </w:p>
    <w:p w14:paraId="5D479BC4">
      <w:pPr>
        <w:rPr>
          <w:rFonts w:ascii="宋体"/>
          <w:b/>
          <w:sz w:val="72"/>
          <w:szCs w:val="72"/>
        </w:rPr>
      </w:pPr>
    </w:p>
    <w:p w14:paraId="4D1DACA3">
      <w:pPr>
        <w:jc w:val="center"/>
        <w:rPr>
          <w:rFonts w:ascii="宋体"/>
          <w:b/>
          <w:sz w:val="72"/>
          <w:szCs w:val="72"/>
        </w:rPr>
      </w:pPr>
    </w:p>
    <w:p w14:paraId="3D54E70A">
      <w:pPr>
        <w:jc w:val="center"/>
        <w:rPr>
          <w:rFonts w:ascii="宋体"/>
          <w:b/>
          <w:sz w:val="160"/>
          <w:szCs w:val="160"/>
        </w:rPr>
      </w:pPr>
      <w:r>
        <w:rPr>
          <w:rFonts w:hint="eastAsia" w:ascii="宋体"/>
          <w:b/>
          <w:spacing w:val="140"/>
          <w:sz w:val="72"/>
          <w:szCs w:val="72"/>
        </w:rPr>
        <w:t>招标文件</w:t>
      </w:r>
    </w:p>
    <w:p w14:paraId="01FA561F">
      <w:pPr>
        <w:spacing w:line="360" w:lineRule="exact"/>
        <w:jc w:val="center"/>
        <w:rPr>
          <w:rFonts w:ascii="宋体"/>
          <w:b/>
          <w:sz w:val="30"/>
        </w:rPr>
      </w:pPr>
    </w:p>
    <w:p w14:paraId="15B3E74F">
      <w:pPr>
        <w:spacing w:line="360" w:lineRule="exact"/>
        <w:jc w:val="center"/>
        <w:rPr>
          <w:rFonts w:ascii="宋体"/>
          <w:b/>
          <w:sz w:val="30"/>
        </w:rPr>
      </w:pPr>
    </w:p>
    <w:p w14:paraId="6E382EC4">
      <w:pPr>
        <w:spacing w:line="360" w:lineRule="exact"/>
        <w:jc w:val="center"/>
        <w:rPr>
          <w:rFonts w:ascii="宋体"/>
          <w:b/>
          <w:sz w:val="30"/>
        </w:rPr>
      </w:pPr>
    </w:p>
    <w:p w14:paraId="1E42EDDD">
      <w:pPr>
        <w:spacing w:line="360" w:lineRule="exact"/>
        <w:jc w:val="center"/>
        <w:rPr>
          <w:rFonts w:ascii="宋体"/>
          <w:b/>
          <w:sz w:val="30"/>
        </w:rPr>
      </w:pPr>
    </w:p>
    <w:tbl>
      <w:tblPr>
        <w:tblStyle w:val="31"/>
        <w:tblW w:w="0" w:type="auto"/>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6581"/>
      </w:tblGrid>
      <w:tr w14:paraId="0A8E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39" w:type="dxa"/>
            <w:vAlign w:val="center"/>
          </w:tcPr>
          <w:p w14:paraId="763AE476">
            <w:pPr>
              <w:spacing w:line="360" w:lineRule="exact"/>
              <w:rPr>
                <w:rFonts w:ascii="宋体"/>
                <w:b/>
                <w:bCs/>
                <w:sz w:val="28"/>
                <w:szCs w:val="28"/>
              </w:rPr>
            </w:pPr>
            <w:r>
              <w:rPr>
                <w:rFonts w:hint="eastAsia" w:ascii="宋体"/>
                <w:b/>
                <w:bCs/>
                <w:sz w:val="28"/>
                <w:szCs w:val="28"/>
              </w:rPr>
              <w:t>招标编号</w:t>
            </w:r>
          </w:p>
        </w:tc>
        <w:tc>
          <w:tcPr>
            <w:tcW w:w="6581" w:type="dxa"/>
            <w:vAlign w:val="center"/>
          </w:tcPr>
          <w:p w14:paraId="5BF44D01">
            <w:pPr>
              <w:spacing w:line="360" w:lineRule="exact"/>
              <w:rPr>
                <w:rFonts w:ascii="宋体"/>
                <w:b/>
                <w:bCs/>
                <w:sz w:val="28"/>
                <w:szCs w:val="28"/>
              </w:rPr>
            </w:pPr>
            <w:r>
              <w:rPr>
                <w:rFonts w:hint="eastAsia" w:ascii="宋体"/>
                <w:b/>
                <w:bCs/>
                <w:sz w:val="28"/>
                <w:szCs w:val="28"/>
                <w:lang w:eastAsia="zh-CN"/>
              </w:rPr>
              <w:t xml:space="preserve">TSCG202505002  </w:t>
            </w:r>
            <w:r>
              <w:rPr>
                <w:rFonts w:hint="eastAsia" w:ascii="宋体"/>
                <w:b/>
                <w:bCs/>
                <w:sz w:val="28"/>
                <w:szCs w:val="28"/>
              </w:rPr>
              <w:t xml:space="preserve"> </w:t>
            </w:r>
          </w:p>
        </w:tc>
      </w:tr>
      <w:tr w14:paraId="32E0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39" w:type="dxa"/>
            <w:tcBorders>
              <w:top w:val="single" w:color="auto" w:sz="4" w:space="0"/>
              <w:left w:val="single" w:color="auto" w:sz="4" w:space="0"/>
              <w:right w:val="single" w:color="auto" w:sz="4" w:space="0"/>
            </w:tcBorders>
            <w:vAlign w:val="center"/>
          </w:tcPr>
          <w:p w14:paraId="58F88B65">
            <w:pPr>
              <w:spacing w:line="360" w:lineRule="exact"/>
              <w:rPr>
                <w:rFonts w:ascii="宋体"/>
                <w:b/>
                <w:bCs/>
                <w:sz w:val="28"/>
                <w:szCs w:val="28"/>
              </w:rPr>
            </w:pPr>
            <w:r>
              <w:rPr>
                <w:rFonts w:hint="eastAsia" w:ascii="宋体"/>
                <w:b/>
                <w:bCs/>
                <w:sz w:val="28"/>
                <w:szCs w:val="28"/>
              </w:rPr>
              <w:t>项目名称</w:t>
            </w:r>
          </w:p>
        </w:tc>
        <w:tc>
          <w:tcPr>
            <w:tcW w:w="6581" w:type="dxa"/>
            <w:tcBorders>
              <w:top w:val="single" w:color="auto" w:sz="4" w:space="0"/>
              <w:left w:val="single" w:color="auto" w:sz="4" w:space="0"/>
              <w:right w:val="single" w:color="auto" w:sz="4" w:space="0"/>
            </w:tcBorders>
            <w:vAlign w:val="center"/>
          </w:tcPr>
          <w:p w14:paraId="58197E76">
            <w:pPr>
              <w:spacing w:line="360" w:lineRule="exact"/>
              <w:rPr>
                <w:rFonts w:ascii="宋体"/>
                <w:b/>
                <w:bCs/>
                <w:sz w:val="28"/>
                <w:szCs w:val="28"/>
              </w:rPr>
            </w:pPr>
            <w:r>
              <w:rPr>
                <w:rFonts w:hint="eastAsia" w:ascii="宋体"/>
                <w:b/>
                <w:bCs/>
                <w:sz w:val="28"/>
                <w:szCs w:val="28"/>
              </w:rPr>
              <w:t>泰顺县南浦溪镇环卫一体化和垃圾分类服务项目</w:t>
            </w:r>
          </w:p>
        </w:tc>
      </w:tr>
      <w:tr w14:paraId="73BA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39" w:type="dxa"/>
            <w:tcBorders>
              <w:top w:val="single" w:color="auto" w:sz="4" w:space="0"/>
              <w:left w:val="single" w:color="auto" w:sz="4" w:space="0"/>
              <w:right w:val="single" w:color="auto" w:sz="4" w:space="0"/>
            </w:tcBorders>
            <w:vAlign w:val="center"/>
          </w:tcPr>
          <w:p w14:paraId="5045142F">
            <w:pPr>
              <w:spacing w:line="360" w:lineRule="exact"/>
              <w:rPr>
                <w:rFonts w:ascii="宋体"/>
                <w:b/>
                <w:bCs/>
                <w:sz w:val="28"/>
                <w:szCs w:val="28"/>
              </w:rPr>
            </w:pPr>
            <w:r>
              <w:rPr>
                <w:rFonts w:hint="eastAsia" w:ascii="宋体"/>
                <w:b/>
                <w:bCs/>
                <w:sz w:val="28"/>
                <w:szCs w:val="28"/>
              </w:rPr>
              <w:t>采购方式</w:t>
            </w:r>
          </w:p>
        </w:tc>
        <w:tc>
          <w:tcPr>
            <w:tcW w:w="6581" w:type="dxa"/>
            <w:tcBorders>
              <w:top w:val="single" w:color="auto" w:sz="4" w:space="0"/>
              <w:left w:val="single" w:color="auto" w:sz="4" w:space="0"/>
              <w:right w:val="single" w:color="auto" w:sz="4" w:space="0"/>
            </w:tcBorders>
            <w:vAlign w:val="center"/>
          </w:tcPr>
          <w:p w14:paraId="6E72D88A">
            <w:pPr>
              <w:spacing w:line="360" w:lineRule="exact"/>
              <w:rPr>
                <w:rFonts w:ascii="宋体"/>
                <w:b/>
                <w:bCs/>
                <w:sz w:val="28"/>
                <w:szCs w:val="28"/>
              </w:rPr>
            </w:pPr>
            <w:r>
              <w:rPr>
                <w:rFonts w:hint="eastAsia" w:ascii="宋体"/>
                <w:b/>
                <w:bCs/>
                <w:sz w:val="28"/>
                <w:szCs w:val="28"/>
              </w:rPr>
              <w:t>竞争性磋商</w:t>
            </w:r>
          </w:p>
        </w:tc>
      </w:tr>
      <w:tr w14:paraId="46A8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39" w:type="dxa"/>
            <w:tcBorders>
              <w:top w:val="single" w:color="auto" w:sz="4" w:space="0"/>
              <w:left w:val="single" w:color="auto" w:sz="4" w:space="0"/>
              <w:right w:val="single" w:color="auto" w:sz="4" w:space="0"/>
            </w:tcBorders>
            <w:vAlign w:val="center"/>
          </w:tcPr>
          <w:p w14:paraId="17557477">
            <w:pPr>
              <w:spacing w:line="360" w:lineRule="exact"/>
              <w:rPr>
                <w:rFonts w:ascii="宋体"/>
                <w:b/>
                <w:bCs/>
                <w:sz w:val="28"/>
                <w:szCs w:val="28"/>
              </w:rPr>
            </w:pPr>
            <w:r>
              <w:rPr>
                <w:rFonts w:hint="eastAsia" w:ascii="宋体"/>
                <w:b/>
                <w:bCs/>
                <w:sz w:val="28"/>
                <w:szCs w:val="28"/>
              </w:rPr>
              <w:t>采购单位</w:t>
            </w:r>
          </w:p>
        </w:tc>
        <w:tc>
          <w:tcPr>
            <w:tcW w:w="6581" w:type="dxa"/>
            <w:tcBorders>
              <w:top w:val="single" w:color="auto" w:sz="4" w:space="0"/>
              <w:left w:val="single" w:color="auto" w:sz="4" w:space="0"/>
              <w:right w:val="single" w:color="auto" w:sz="4" w:space="0"/>
            </w:tcBorders>
            <w:vAlign w:val="center"/>
          </w:tcPr>
          <w:p w14:paraId="3668FD44">
            <w:pPr>
              <w:spacing w:line="360" w:lineRule="exact"/>
              <w:rPr>
                <w:rFonts w:ascii="宋体"/>
                <w:b/>
                <w:bCs/>
                <w:sz w:val="28"/>
                <w:szCs w:val="28"/>
              </w:rPr>
            </w:pPr>
            <w:r>
              <w:rPr>
                <w:rFonts w:hint="eastAsia" w:ascii="宋体"/>
                <w:b/>
                <w:bCs/>
                <w:sz w:val="28"/>
                <w:szCs w:val="28"/>
              </w:rPr>
              <w:t>泰顺县南浦溪新农村建设投资有限公司</w:t>
            </w:r>
          </w:p>
        </w:tc>
      </w:tr>
      <w:tr w14:paraId="494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39" w:type="dxa"/>
            <w:tcBorders>
              <w:top w:val="single" w:color="auto" w:sz="4" w:space="0"/>
              <w:left w:val="single" w:color="auto" w:sz="4" w:space="0"/>
              <w:right w:val="single" w:color="auto" w:sz="4" w:space="0"/>
            </w:tcBorders>
            <w:vAlign w:val="center"/>
          </w:tcPr>
          <w:p w14:paraId="1020FF4A">
            <w:pPr>
              <w:spacing w:line="360" w:lineRule="exact"/>
              <w:rPr>
                <w:rFonts w:ascii="宋体"/>
                <w:b/>
                <w:bCs/>
                <w:sz w:val="28"/>
                <w:szCs w:val="28"/>
              </w:rPr>
            </w:pPr>
            <w:r>
              <w:rPr>
                <w:rFonts w:hint="eastAsia" w:ascii="宋体"/>
                <w:b/>
                <w:bCs/>
                <w:sz w:val="28"/>
                <w:szCs w:val="28"/>
              </w:rPr>
              <w:t>招标代理机构</w:t>
            </w:r>
          </w:p>
        </w:tc>
        <w:tc>
          <w:tcPr>
            <w:tcW w:w="6581" w:type="dxa"/>
            <w:tcBorders>
              <w:top w:val="single" w:color="auto" w:sz="4" w:space="0"/>
              <w:left w:val="single" w:color="auto" w:sz="4" w:space="0"/>
              <w:right w:val="single" w:color="auto" w:sz="4" w:space="0"/>
            </w:tcBorders>
            <w:vAlign w:val="center"/>
          </w:tcPr>
          <w:p w14:paraId="7D472A7D">
            <w:pPr>
              <w:spacing w:line="360" w:lineRule="exact"/>
              <w:rPr>
                <w:rFonts w:ascii="宋体"/>
                <w:b/>
                <w:bCs/>
                <w:sz w:val="28"/>
                <w:szCs w:val="28"/>
              </w:rPr>
            </w:pPr>
            <w:r>
              <w:rPr>
                <w:rFonts w:hint="eastAsia" w:ascii="宋体"/>
                <w:b/>
                <w:bCs/>
                <w:sz w:val="28"/>
                <w:szCs w:val="28"/>
              </w:rPr>
              <w:t>浙江金穗工程项目管理有限公司</w:t>
            </w:r>
          </w:p>
        </w:tc>
      </w:tr>
    </w:tbl>
    <w:p w14:paraId="1C8FA14E">
      <w:pPr>
        <w:rPr>
          <w:rFonts w:ascii="宋体" w:hAnsi="宋体"/>
          <w:sz w:val="44"/>
        </w:rPr>
      </w:pPr>
    </w:p>
    <w:p w14:paraId="25F207F8">
      <w:pPr>
        <w:pStyle w:val="16"/>
        <w:spacing w:line="360" w:lineRule="auto"/>
      </w:pPr>
    </w:p>
    <w:p w14:paraId="2513B5E9">
      <w:pPr>
        <w:pStyle w:val="16"/>
        <w:spacing w:line="360" w:lineRule="auto"/>
        <w:ind w:firstLine="3614" w:firstLineChars="1200"/>
        <w:rPr>
          <w:rFonts w:hAnsi="宋体"/>
          <w:b/>
          <w:bCs/>
          <w:sz w:val="30"/>
          <w:szCs w:val="30"/>
        </w:rPr>
      </w:pPr>
      <w:r>
        <w:rPr>
          <w:rFonts w:ascii="仿宋_GB2312" w:hAnsi="仿宋_GB2312"/>
          <w:b/>
          <w:bCs/>
          <w:sz w:val="30"/>
          <w:szCs w:val="30"/>
        </w:rPr>
        <w:t>二</w:t>
      </w:r>
      <w:r>
        <w:rPr>
          <w:rFonts w:hAnsi="宋体"/>
          <w:b/>
          <w:bCs/>
          <w:sz w:val="30"/>
          <w:szCs w:val="30"/>
        </w:rPr>
        <w:t>○</w:t>
      </w:r>
      <w:r>
        <w:rPr>
          <w:rFonts w:hint="eastAsia" w:hAnsi="宋体"/>
          <w:b/>
          <w:bCs/>
          <w:sz w:val="30"/>
          <w:szCs w:val="30"/>
        </w:rPr>
        <w:t>二</w:t>
      </w:r>
      <w:r>
        <w:rPr>
          <w:rFonts w:hint="eastAsia" w:hAnsi="宋体"/>
          <w:b/>
          <w:bCs/>
          <w:sz w:val="30"/>
          <w:szCs w:val="30"/>
          <w:lang w:val="en-US" w:eastAsia="zh-CN"/>
        </w:rPr>
        <w:t>五</w:t>
      </w:r>
      <w:r>
        <w:rPr>
          <w:rFonts w:hAnsi="宋体"/>
          <w:b/>
          <w:bCs/>
          <w:sz w:val="30"/>
          <w:szCs w:val="30"/>
        </w:rPr>
        <w:t>年</w:t>
      </w:r>
      <w:r>
        <w:rPr>
          <w:rFonts w:hint="eastAsia" w:hAnsi="宋体"/>
          <w:b/>
          <w:bCs/>
          <w:sz w:val="30"/>
          <w:szCs w:val="30"/>
        </w:rPr>
        <w:t>五</w:t>
      </w:r>
      <w:r>
        <w:rPr>
          <w:rFonts w:hAnsi="宋体"/>
          <w:b/>
          <w:bCs/>
          <w:sz w:val="30"/>
          <w:szCs w:val="30"/>
        </w:rPr>
        <w:t>月</w:t>
      </w:r>
    </w:p>
    <w:p w14:paraId="6D9FD930">
      <w:pPr>
        <w:pStyle w:val="16"/>
        <w:spacing w:line="360" w:lineRule="auto"/>
        <w:jc w:val="center"/>
        <w:rPr>
          <w:rFonts w:hAnsi="宋体"/>
          <w:b/>
          <w:bCs/>
          <w:sz w:val="30"/>
          <w:szCs w:val="30"/>
        </w:rPr>
        <w:sectPr>
          <w:headerReference r:id="rId3" w:type="default"/>
          <w:footerReference r:id="rId4" w:type="default"/>
          <w:pgSz w:w="11906" w:h="16838"/>
          <w:pgMar w:top="1128" w:right="1106" w:bottom="1117" w:left="1168" w:header="720" w:footer="720" w:gutter="0"/>
          <w:cols w:space="720" w:num="1"/>
          <w:docGrid w:type="lines" w:linePitch="312" w:charSpace="0"/>
        </w:sectPr>
      </w:pPr>
    </w:p>
    <w:p w14:paraId="20882F2A">
      <w:pPr>
        <w:autoSpaceDE w:val="0"/>
        <w:autoSpaceDN w:val="0"/>
        <w:spacing w:line="480" w:lineRule="exact"/>
        <w:jc w:val="center"/>
        <w:textAlignment w:val="bottom"/>
        <w:rPr>
          <w:rFonts w:ascii="楷体" w:hAnsi="楷体" w:eastAsia="楷体"/>
          <w:b/>
          <w:sz w:val="44"/>
          <w:szCs w:val="44"/>
        </w:rPr>
      </w:pPr>
      <w:r>
        <w:rPr>
          <w:rFonts w:hint="eastAsia" w:ascii="楷体" w:hAnsi="楷体" w:eastAsia="楷体"/>
          <w:b/>
          <w:sz w:val="44"/>
          <w:szCs w:val="44"/>
        </w:rPr>
        <w:t>招标文件目录</w:t>
      </w:r>
    </w:p>
    <w:p w14:paraId="3D8C80C7">
      <w:pPr>
        <w:autoSpaceDE w:val="0"/>
        <w:autoSpaceDN w:val="0"/>
        <w:adjustRightInd w:val="0"/>
        <w:spacing w:line="580" w:lineRule="atLeast"/>
        <w:ind w:left="1050" w:leftChars="500" w:firstLine="420" w:firstLineChars="150"/>
        <w:textAlignment w:val="baseline"/>
        <w:rPr>
          <w:rFonts w:ascii="宋体"/>
          <w:sz w:val="28"/>
          <w:szCs w:val="28"/>
          <w:lang w:val="zh-CN"/>
        </w:rPr>
      </w:pPr>
      <w:r>
        <w:rPr>
          <w:rFonts w:hint="eastAsia" w:ascii="宋体"/>
          <w:sz w:val="28"/>
          <w:szCs w:val="28"/>
          <w:lang w:val="zh-CN"/>
        </w:rPr>
        <w:t>第一部分、投标邀请函（投标须知前附表）</w:t>
      </w:r>
    </w:p>
    <w:p w14:paraId="1B2E6BE4">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第二部分、招标内容及技术要求</w:t>
      </w:r>
    </w:p>
    <w:p w14:paraId="0813952B">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第三部分、供应商须知</w:t>
      </w:r>
    </w:p>
    <w:p w14:paraId="3753709E">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一、说明</w:t>
      </w:r>
    </w:p>
    <w:p w14:paraId="359DA035">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二、招标文件</w:t>
      </w:r>
    </w:p>
    <w:p w14:paraId="02EBB77B">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三、投标文件</w:t>
      </w:r>
    </w:p>
    <w:p w14:paraId="62D37A44">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四、投标文件的密封与递交</w:t>
      </w:r>
    </w:p>
    <w:p w14:paraId="01EB9E96">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五、开标和评标</w:t>
      </w:r>
    </w:p>
    <w:p w14:paraId="407B78E1">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六、授予合同</w:t>
      </w:r>
    </w:p>
    <w:p w14:paraId="39E394AE">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第四部分、政府采购政策功能相关说明</w:t>
      </w:r>
    </w:p>
    <w:p w14:paraId="465A21C4">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第五部分、合同格式</w:t>
      </w:r>
    </w:p>
    <w:p w14:paraId="7623B6A0">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第六部分、附件：投标文件格式</w:t>
      </w:r>
      <w:r>
        <w:rPr>
          <w:rFonts w:ascii="宋体"/>
          <w:sz w:val="28"/>
          <w:szCs w:val="28"/>
          <w:lang w:val="zh-CN"/>
        </w:rPr>
        <w:t xml:space="preserve">        </w:t>
      </w:r>
    </w:p>
    <w:p w14:paraId="530A00F7">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第七部分、评标办法</w:t>
      </w:r>
    </w:p>
    <w:p w14:paraId="2B870854">
      <w:pPr>
        <w:snapToGrid w:val="0"/>
        <w:spacing w:line="440" w:lineRule="exact"/>
        <w:rPr>
          <w:rFonts w:ascii="宋体" w:hAnsi="宋体" w:cs="新宋体"/>
          <w:b/>
          <w:bCs/>
          <w:sz w:val="22"/>
          <w:u w:val="single"/>
        </w:rPr>
      </w:pPr>
    </w:p>
    <w:p w14:paraId="6BAA21A5">
      <w:pPr>
        <w:snapToGrid w:val="0"/>
        <w:spacing w:line="440" w:lineRule="exact"/>
        <w:ind w:firstLine="442" w:firstLineChars="200"/>
        <w:rPr>
          <w:rFonts w:ascii="宋体" w:cs="宋体"/>
          <w:b/>
          <w:bCs/>
          <w:sz w:val="22"/>
        </w:rPr>
      </w:pPr>
      <w:r>
        <w:rPr>
          <w:rFonts w:hint="eastAsia" w:ascii="宋体" w:hAnsi="宋体" w:cs="新宋体"/>
          <w:b/>
          <w:bCs/>
          <w:sz w:val="22"/>
          <w:u w:val="single"/>
        </w:rPr>
        <w:t>注：招标文件中标“▲”号的为招标的实质性要求和条件，不允许负偏离，否则作无效标处理，着重提醒各供应商必须响应。各供应商必须认真阅读和理解招标文件中的每一个条款及要求，因误读招标文件而造成的后果，采购人概不负责。</w:t>
      </w:r>
    </w:p>
    <w:p w14:paraId="35E1E778">
      <w:pPr>
        <w:spacing w:line="480" w:lineRule="auto"/>
        <w:ind w:firstLine="420" w:firstLineChars="200"/>
      </w:pPr>
    </w:p>
    <w:p w14:paraId="768AEBBE">
      <w:pPr>
        <w:pStyle w:val="16"/>
        <w:snapToGrid w:val="0"/>
        <w:spacing w:before="0" w:beforeLines="0" w:after="0" w:afterLines="0" w:line="360" w:lineRule="auto"/>
        <w:jc w:val="center"/>
        <w:outlineLvl w:val="0"/>
        <w:rPr>
          <w:rFonts w:hint="eastAsia" w:hAnsi="宋体"/>
          <w:b/>
          <w:sz w:val="30"/>
          <w:szCs w:val="30"/>
        </w:rPr>
        <w:sectPr>
          <w:footerReference r:id="rId7" w:type="first"/>
          <w:headerReference r:id="rId5" w:type="default"/>
          <w:footerReference r:id="rId6" w:type="default"/>
          <w:pgSz w:w="11906" w:h="16838"/>
          <w:pgMar w:top="1440" w:right="1361" w:bottom="1276" w:left="1361" w:header="851" w:footer="992" w:gutter="0"/>
          <w:cols w:space="720" w:num="1"/>
          <w:titlePg/>
          <w:docGrid w:linePitch="312" w:charSpace="0"/>
        </w:sectPr>
      </w:pPr>
    </w:p>
    <w:p w14:paraId="56846F86">
      <w:pPr>
        <w:pStyle w:val="16"/>
        <w:snapToGrid w:val="0"/>
        <w:spacing w:before="0" w:beforeLines="0" w:after="0" w:afterLines="0" w:line="360" w:lineRule="auto"/>
        <w:jc w:val="center"/>
        <w:outlineLvl w:val="0"/>
        <w:rPr>
          <w:rFonts w:hAnsi="宋体"/>
          <w:b/>
          <w:sz w:val="30"/>
          <w:szCs w:val="30"/>
        </w:rPr>
      </w:pPr>
      <w:r>
        <w:rPr>
          <w:rFonts w:hint="eastAsia" w:hAnsi="宋体"/>
          <w:b/>
          <w:sz w:val="30"/>
          <w:szCs w:val="30"/>
        </w:rPr>
        <w:t>关于泰顺县南浦溪镇环卫一体化和垃圾分类服务项目招标公告</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4"/>
      </w:tblGrid>
      <w:tr w14:paraId="3AB6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4" w:type="dxa"/>
          </w:tcPr>
          <w:p w14:paraId="3D7A8C19">
            <w:pPr>
              <w:spacing w:line="360" w:lineRule="auto"/>
            </w:pPr>
            <w:r>
              <w:rPr>
                <w:rFonts w:hint="eastAsia"/>
              </w:rPr>
              <w:t>项目概况：</w:t>
            </w:r>
          </w:p>
          <w:p w14:paraId="09F8716D">
            <w:pPr>
              <w:spacing w:line="360" w:lineRule="auto"/>
              <w:ind w:firstLine="420" w:firstLineChars="200"/>
            </w:pPr>
            <w:r>
              <w:rPr>
                <w:rFonts w:hint="eastAsia"/>
              </w:rPr>
              <w:t>泰顺县南浦溪镇环卫一体化和垃圾分类服务项目</w:t>
            </w:r>
            <w:r>
              <w:rPr>
                <w:rFonts w:hint="eastAsia" w:cs="Calibri"/>
                <w:kern w:val="0"/>
                <w:szCs w:val="21"/>
              </w:rPr>
              <w:t>的潜在供应商应在</w:t>
            </w:r>
            <w:r>
              <w:rPr>
                <w:rFonts w:hint="eastAsia"/>
                <w:lang w:eastAsia="zh-CN"/>
              </w:rPr>
              <w:t>乐采云平台（www.lecaiyun.com）</w:t>
            </w:r>
            <w:r>
              <w:rPr>
                <w:rFonts w:hint="eastAsia"/>
              </w:rPr>
              <w:t>或泰顺县人民政府网（http://122.228.219.161/TPFront/进入左下角“基本信息公开-招标信息”）获取招标文件，并与</w:t>
            </w:r>
            <w:r>
              <w:rPr>
                <w:rFonts w:hint="eastAsia"/>
                <w:lang w:eastAsia="zh-CN"/>
              </w:rPr>
              <w:t>2025年5月26日15点00分</w:t>
            </w:r>
            <w:r>
              <w:rPr>
                <w:rFonts w:hint="eastAsia" w:cs="Calibri"/>
                <w:kern w:val="0"/>
                <w:szCs w:val="21"/>
              </w:rPr>
              <w:t>（北京时间）前提交投标文件。</w:t>
            </w:r>
          </w:p>
        </w:tc>
      </w:tr>
    </w:tbl>
    <w:p w14:paraId="71304A38"/>
    <w:p w14:paraId="1210E619">
      <w:pPr>
        <w:pStyle w:val="27"/>
        <w:shd w:val="clear" w:color="auto" w:fill="FFFFFF"/>
        <w:spacing w:line="400" w:lineRule="exact"/>
        <w:jc w:val="both"/>
        <w:rPr>
          <w:sz w:val="21"/>
          <w:szCs w:val="21"/>
          <w:shd w:val="clear" w:color="auto" w:fill="FFFFFF"/>
        </w:rPr>
      </w:pPr>
      <w:r>
        <w:rPr>
          <w:rFonts w:hint="eastAsia"/>
          <w:sz w:val="21"/>
          <w:szCs w:val="21"/>
          <w:shd w:val="clear" w:color="auto" w:fill="FFFFFF"/>
        </w:rPr>
        <w:t>一、项目基本情况</w:t>
      </w:r>
    </w:p>
    <w:p w14:paraId="66512E50">
      <w:pPr>
        <w:spacing w:line="400" w:lineRule="exact"/>
        <w:ind w:firstLine="420" w:firstLineChars="200"/>
        <w:rPr>
          <w:rFonts w:cs="Calibri"/>
          <w:kern w:val="0"/>
          <w:szCs w:val="21"/>
        </w:rPr>
      </w:pPr>
      <w:r>
        <w:rPr>
          <w:rFonts w:hint="eastAsia" w:cs="Calibri"/>
          <w:kern w:val="0"/>
          <w:szCs w:val="21"/>
        </w:rPr>
        <w:t>项目编号：</w:t>
      </w:r>
      <w:r>
        <w:rPr>
          <w:rFonts w:hint="eastAsia"/>
          <w:lang w:eastAsia="zh-CN"/>
        </w:rPr>
        <w:t xml:space="preserve">TSCG202505002  </w:t>
      </w:r>
      <w:r>
        <w:rPr>
          <w:rFonts w:hint="eastAsia"/>
        </w:rPr>
        <w:t xml:space="preserve"> </w:t>
      </w:r>
    </w:p>
    <w:p w14:paraId="36343CB4">
      <w:pPr>
        <w:spacing w:line="400" w:lineRule="exact"/>
        <w:ind w:firstLine="420" w:firstLineChars="200"/>
        <w:rPr>
          <w:rFonts w:cs="Calibri"/>
          <w:kern w:val="0"/>
          <w:szCs w:val="21"/>
        </w:rPr>
      </w:pPr>
      <w:r>
        <w:rPr>
          <w:rFonts w:hint="eastAsia" w:cs="Calibri"/>
          <w:kern w:val="0"/>
          <w:szCs w:val="21"/>
        </w:rPr>
        <w:t>项目名称：</w:t>
      </w:r>
      <w:r>
        <w:rPr>
          <w:rFonts w:hint="eastAsia"/>
        </w:rPr>
        <w:t>泰顺县南浦溪镇环卫一体化和垃圾分类服务项目</w:t>
      </w:r>
    </w:p>
    <w:p w14:paraId="25292FDC">
      <w:pPr>
        <w:spacing w:line="400" w:lineRule="exact"/>
        <w:ind w:firstLine="420" w:firstLineChars="200"/>
        <w:rPr>
          <w:rFonts w:cs="Calibri"/>
          <w:kern w:val="0"/>
          <w:szCs w:val="21"/>
        </w:rPr>
      </w:pPr>
      <w:r>
        <w:rPr>
          <w:rFonts w:hint="eastAsia" w:cs="Calibri"/>
          <w:kern w:val="0"/>
          <w:szCs w:val="21"/>
        </w:rPr>
        <w:t>采购方式：竞争性磋商</w:t>
      </w:r>
    </w:p>
    <w:p w14:paraId="1B1E51FB">
      <w:pPr>
        <w:spacing w:line="400" w:lineRule="exact"/>
        <w:ind w:firstLine="420" w:firstLineChars="200"/>
      </w:pPr>
      <w:r>
        <w:rPr>
          <w:rFonts w:hint="eastAsia" w:cs="Calibri"/>
          <w:kern w:val="0"/>
          <w:szCs w:val="21"/>
        </w:rPr>
        <w:t>预算金</w:t>
      </w:r>
      <w:r>
        <w:rPr>
          <w:rFonts w:hint="eastAsia"/>
        </w:rPr>
        <w:t>额：</w:t>
      </w:r>
      <w:r>
        <w:rPr>
          <w:rFonts w:hint="eastAsia"/>
          <w:lang w:eastAsia="zh-CN"/>
        </w:rPr>
        <w:t>1749932</w:t>
      </w:r>
      <w:r>
        <w:rPr>
          <w:rFonts w:hint="eastAsia"/>
        </w:rPr>
        <w:t>元</w:t>
      </w:r>
    </w:p>
    <w:p w14:paraId="079972E1">
      <w:pPr>
        <w:spacing w:line="400" w:lineRule="exact"/>
        <w:ind w:firstLine="420" w:firstLineChars="200"/>
      </w:pPr>
      <w:r>
        <w:rPr>
          <w:rFonts w:hint="eastAsia"/>
        </w:rPr>
        <w:t>最高限价：</w:t>
      </w:r>
      <w:r>
        <w:rPr>
          <w:rFonts w:hint="eastAsia"/>
          <w:lang w:eastAsia="zh-CN"/>
        </w:rPr>
        <w:t>1749932</w:t>
      </w:r>
      <w:r>
        <w:rPr>
          <w:rFonts w:hint="eastAsia"/>
        </w:rPr>
        <w:t>元</w:t>
      </w:r>
    </w:p>
    <w:p w14:paraId="6F6E5DE3">
      <w:pPr>
        <w:spacing w:line="400" w:lineRule="exact"/>
        <w:ind w:firstLine="420" w:firstLineChars="200"/>
        <w:rPr>
          <w:rFonts w:cs="Calibri"/>
          <w:kern w:val="0"/>
          <w:szCs w:val="21"/>
        </w:rPr>
      </w:pPr>
      <w:r>
        <w:rPr>
          <w:rFonts w:hint="eastAsia" w:cs="Calibri"/>
          <w:kern w:val="0"/>
          <w:szCs w:val="21"/>
        </w:rPr>
        <w:t>采购需求：</w:t>
      </w:r>
    </w:p>
    <w:tbl>
      <w:tblPr>
        <w:tblStyle w:val="31"/>
        <w:tblW w:w="0" w:type="auto"/>
        <w:tblInd w:w="4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6"/>
        <w:gridCol w:w="3325"/>
        <w:gridCol w:w="1062"/>
        <w:gridCol w:w="2275"/>
        <w:gridCol w:w="994"/>
      </w:tblGrid>
      <w:tr w14:paraId="65E9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E05471B">
            <w:pPr>
              <w:adjustRightInd w:val="0"/>
              <w:snapToGrid w:val="0"/>
              <w:spacing w:line="400" w:lineRule="exact"/>
              <w:jc w:val="center"/>
              <w:rPr>
                <w:rFonts w:cs="Calibri"/>
                <w:kern w:val="0"/>
                <w:szCs w:val="21"/>
              </w:rPr>
            </w:pPr>
            <w:r>
              <w:rPr>
                <w:rFonts w:hint="eastAsia" w:cs="Calibri"/>
                <w:kern w:val="0"/>
                <w:szCs w:val="21"/>
              </w:rPr>
              <w:t>标项</w:t>
            </w:r>
          </w:p>
        </w:tc>
        <w:tc>
          <w:tcPr>
            <w:tcW w:w="3325" w:type="dxa"/>
            <w:tcBorders>
              <w:top w:val="single" w:color="000000" w:sz="4" w:space="0"/>
              <w:left w:val="nil"/>
              <w:bottom w:val="single" w:color="000000" w:sz="4" w:space="0"/>
              <w:right w:val="single" w:color="000000" w:sz="4" w:space="0"/>
            </w:tcBorders>
            <w:vAlign w:val="center"/>
          </w:tcPr>
          <w:p w14:paraId="2879ED1C">
            <w:pPr>
              <w:adjustRightInd w:val="0"/>
              <w:snapToGrid w:val="0"/>
              <w:spacing w:line="400" w:lineRule="exact"/>
              <w:jc w:val="center"/>
              <w:rPr>
                <w:rFonts w:cs="Calibri"/>
                <w:kern w:val="0"/>
                <w:szCs w:val="21"/>
              </w:rPr>
            </w:pPr>
            <w:r>
              <w:rPr>
                <w:rFonts w:hint="eastAsia" w:cs="Calibri"/>
                <w:kern w:val="0"/>
                <w:szCs w:val="21"/>
              </w:rPr>
              <w:t>标项名称</w:t>
            </w:r>
          </w:p>
        </w:tc>
        <w:tc>
          <w:tcPr>
            <w:tcW w:w="1062" w:type="dxa"/>
            <w:tcBorders>
              <w:top w:val="single" w:color="000000" w:sz="4" w:space="0"/>
              <w:left w:val="nil"/>
              <w:bottom w:val="single" w:color="000000" w:sz="4" w:space="0"/>
              <w:right w:val="single" w:color="000000" w:sz="4" w:space="0"/>
            </w:tcBorders>
            <w:vAlign w:val="center"/>
          </w:tcPr>
          <w:p w14:paraId="2505209B">
            <w:pPr>
              <w:adjustRightInd w:val="0"/>
              <w:snapToGrid w:val="0"/>
              <w:spacing w:line="400" w:lineRule="exact"/>
              <w:jc w:val="center"/>
              <w:rPr>
                <w:rFonts w:cs="Calibri"/>
                <w:kern w:val="0"/>
                <w:szCs w:val="21"/>
              </w:rPr>
            </w:pPr>
            <w:r>
              <w:rPr>
                <w:rFonts w:hint="eastAsia" w:cs="Calibri"/>
                <w:kern w:val="0"/>
                <w:szCs w:val="21"/>
              </w:rPr>
              <w:t>数量</w:t>
            </w:r>
          </w:p>
        </w:tc>
        <w:tc>
          <w:tcPr>
            <w:tcW w:w="2275" w:type="dxa"/>
            <w:tcBorders>
              <w:top w:val="single" w:color="000000" w:sz="4" w:space="0"/>
              <w:left w:val="nil"/>
              <w:bottom w:val="single" w:color="000000" w:sz="4" w:space="0"/>
              <w:right w:val="single" w:color="000000" w:sz="4" w:space="0"/>
            </w:tcBorders>
            <w:vAlign w:val="center"/>
          </w:tcPr>
          <w:p w14:paraId="6C0E6CDC">
            <w:pPr>
              <w:adjustRightInd w:val="0"/>
              <w:snapToGrid w:val="0"/>
              <w:spacing w:line="400" w:lineRule="exact"/>
              <w:jc w:val="center"/>
              <w:rPr>
                <w:rFonts w:cs="Calibri"/>
                <w:kern w:val="0"/>
                <w:szCs w:val="21"/>
              </w:rPr>
            </w:pPr>
            <w:r>
              <w:rPr>
                <w:rFonts w:hint="eastAsia" w:cs="Calibri"/>
                <w:kern w:val="0"/>
                <w:szCs w:val="21"/>
              </w:rPr>
              <w:t>简要规格描述</w:t>
            </w:r>
          </w:p>
        </w:tc>
        <w:tc>
          <w:tcPr>
            <w:tcW w:w="994" w:type="dxa"/>
            <w:tcBorders>
              <w:top w:val="single" w:color="000000" w:sz="4" w:space="0"/>
              <w:left w:val="nil"/>
              <w:bottom w:val="single" w:color="000000" w:sz="4" w:space="0"/>
              <w:right w:val="single" w:color="000000" w:sz="4" w:space="0"/>
            </w:tcBorders>
            <w:vAlign w:val="center"/>
          </w:tcPr>
          <w:p w14:paraId="727A9F35">
            <w:pPr>
              <w:adjustRightInd w:val="0"/>
              <w:snapToGrid w:val="0"/>
              <w:spacing w:line="400" w:lineRule="exact"/>
              <w:jc w:val="center"/>
              <w:rPr>
                <w:rFonts w:cs="Calibri"/>
                <w:kern w:val="0"/>
                <w:szCs w:val="21"/>
              </w:rPr>
            </w:pPr>
            <w:r>
              <w:rPr>
                <w:rFonts w:hint="eastAsia" w:cs="Calibri"/>
                <w:kern w:val="0"/>
                <w:szCs w:val="21"/>
              </w:rPr>
              <w:t>备注</w:t>
            </w:r>
          </w:p>
        </w:tc>
      </w:tr>
      <w:tr w14:paraId="0B90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03616AD">
            <w:pPr>
              <w:adjustRightInd w:val="0"/>
              <w:snapToGrid w:val="0"/>
              <w:spacing w:line="400" w:lineRule="exact"/>
              <w:jc w:val="center"/>
              <w:rPr>
                <w:rFonts w:cs="Calibri"/>
                <w:kern w:val="0"/>
                <w:szCs w:val="21"/>
              </w:rPr>
            </w:pPr>
            <w:r>
              <w:rPr>
                <w:rFonts w:hint="eastAsia" w:cs="Calibri"/>
                <w:kern w:val="0"/>
                <w:szCs w:val="21"/>
              </w:rPr>
              <w:t>1</w:t>
            </w:r>
          </w:p>
        </w:tc>
        <w:tc>
          <w:tcPr>
            <w:tcW w:w="3325" w:type="dxa"/>
            <w:tcBorders>
              <w:top w:val="single" w:color="000000" w:sz="4" w:space="0"/>
              <w:left w:val="nil"/>
              <w:bottom w:val="single" w:color="000000" w:sz="4" w:space="0"/>
              <w:right w:val="single" w:color="000000" w:sz="4" w:space="0"/>
            </w:tcBorders>
            <w:vAlign w:val="center"/>
          </w:tcPr>
          <w:p w14:paraId="6E1D535E">
            <w:pPr>
              <w:adjustRightInd w:val="0"/>
              <w:snapToGrid w:val="0"/>
              <w:spacing w:line="400" w:lineRule="exact"/>
              <w:jc w:val="center"/>
              <w:rPr>
                <w:rFonts w:cs="Calibri"/>
                <w:kern w:val="0"/>
                <w:szCs w:val="21"/>
              </w:rPr>
            </w:pPr>
            <w:r>
              <w:rPr>
                <w:rFonts w:hint="eastAsia"/>
              </w:rPr>
              <w:t>泰顺县南浦溪镇环卫一体化和垃圾分类服务项目</w:t>
            </w:r>
          </w:p>
        </w:tc>
        <w:tc>
          <w:tcPr>
            <w:tcW w:w="1062" w:type="dxa"/>
            <w:tcBorders>
              <w:top w:val="single" w:color="000000" w:sz="4" w:space="0"/>
              <w:left w:val="nil"/>
              <w:bottom w:val="single" w:color="000000" w:sz="4" w:space="0"/>
              <w:right w:val="single" w:color="000000" w:sz="4" w:space="0"/>
            </w:tcBorders>
            <w:vAlign w:val="center"/>
          </w:tcPr>
          <w:p w14:paraId="4A24AFBB">
            <w:pPr>
              <w:adjustRightInd w:val="0"/>
              <w:snapToGrid w:val="0"/>
              <w:spacing w:line="400" w:lineRule="exact"/>
              <w:jc w:val="center"/>
              <w:rPr>
                <w:rFonts w:cs="Calibri"/>
                <w:kern w:val="0"/>
                <w:szCs w:val="21"/>
              </w:rPr>
            </w:pPr>
            <w:r>
              <w:rPr>
                <w:rFonts w:hint="eastAsia" w:cs="Calibri"/>
                <w:kern w:val="0"/>
                <w:szCs w:val="21"/>
              </w:rPr>
              <w:t>1项</w:t>
            </w:r>
          </w:p>
        </w:tc>
        <w:tc>
          <w:tcPr>
            <w:tcW w:w="2275" w:type="dxa"/>
            <w:tcBorders>
              <w:top w:val="single" w:color="000000" w:sz="4" w:space="0"/>
              <w:left w:val="nil"/>
              <w:bottom w:val="single" w:color="000000" w:sz="4" w:space="0"/>
              <w:right w:val="single" w:color="000000" w:sz="4" w:space="0"/>
            </w:tcBorders>
            <w:vAlign w:val="center"/>
          </w:tcPr>
          <w:p w14:paraId="7C85F8EC">
            <w:pPr>
              <w:adjustRightInd w:val="0"/>
              <w:snapToGrid w:val="0"/>
              <w:spacing w:line="400" w:lineRule="exact"/>
              <w:jc w:val="center"/>
              <w:rPr>
                <w:rFonts w:cs="Calibri"/>
                <w:kern w:val="0"/>
                <w:szCs w:val="21"/>
              </w:rPr>
            </w:pPr>
            <w:r>
              <w:rPr>
                <w:rFonts w:hint="eastAsia" w:cs="Calibri"/>
                <w:kern w:val="0"/>
                <w:szCs w:val="21"/>
              </w:rPr>
              <w:t>详见招标文件</w:t>
            </w:r>
          </w:p>
        </w:tc>
        <w:tc>
          <w:tcPr>
            <w:tcW w:w="994" w:type="dxa"/>
            <w:tcBorders>
              <w:top w:val="single" w:color="000000" w:sz="4" w:space="0"/>
              <w:left w:val="nil"/>
              <w:bottom w:val="single" w:color="000000" w:sz="4" w:space="0"/>
              <w:right w:val="single" w:color="000000" w:sz="4" w:space="0"/>
            </w:tcBorders>
            <w:vAlign w:val="center"/>
          </w:tcPr>
          <w:p w14:paraId="43B0A168">
            <w:pPr>
              <w:adjustRightInd w:val="0"/>
              <w:snapToGrid w:val="0"/>
              <w:spacing w:line="400" w:lineRule="exact"/>
              <w:jc w:val="center"/>
              <w:rPr>
                <w:rFonts w:cs="Calibri"/>
                <w:kern w:val="0"/>
                <w:szCs w:val="21"/>
              </w:rPr>
            </w:pPr>
          </w:p>
        </w:tc>
      </w:tr>
    </w:tbl>
    <w:p w14:paraId="2619449F">
      <w:pPr>
        <w:spacing w:line="400" w:lineRule="exact"/>
        <w:ind w:firstLine="420" w:firstLineChars="200"/>
        <w:rPr>
          <w:rFonts w:cs="Calibri"/>
          <w:kern w:val="0"/>
          <w:szCs w:val="21"/>
        </w:rPr>
      </w:pPr>
      <w:r>
        <w:rPr>
          <w:rFonts w:hint="eastAsia" w:cs="Calibri"/>
          <w:kern w:val="0"/>
          <w:szCs w:val="21"/>
        </w:rPr>
        <w:t>合同履行期限：详见采购内容及要求。</w:t>
      </w:r>
    </w:p>
    <w:p w14:paraId="3983591C">
      <w:pPr>
        <w:pStyle w:val="27"/>
        <w:shd w:val="clear" w:color="auto" w:fill="FFFFFF"/>
        <w:spacing w:line="400" w:lineRule="exact"/>
        <w:jc w:val="both"/>
        <w:rPr>
          <w:sz w:val="21"/>
          <w:szCs w:val="21"/>
          <w:shd w:val="clear" w:color="auto" w:fill="FFFFFF"/>
        </w:rPr>
      </w:pPr>
      <w:bookmarkStart w:id="1" w:name="_Toc28359013"/>
      <w:bookmarkStart w:id="2" w:name="_Toc35393799"/>
      <w:bookmarkStart w:id="3" w:name="_Toc28359090"/>
      <w:bookmarkStart w:id="4" w:name="_Toc35393630"/>
      <w:r>
        <w:rPr>
          <w:rFonts w:hint="eastAsia"/>
          <w:sz w:val="21"/>
          <w:szCs w:val="21"/>
          <w:shd w:val="clear" w:color="auto" w:fill="FFFFFF"/>
        </w:rPr>
        <w:t>二、申请人的资格要求：</w:t>
      </w:r>
      <w:bookmarkEnd w:id="1"/>
      <w:bookmarkEnd w:id="2"/>
      <w:bookmarkEnd w:id="3"/>
      <w:bookmarkEnd w:id="4"/>
    </w:p>
    <w:p w14:paraId="2C88680A">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（一）符合《泰顺县县属国有企业采购管理办法（试行）》第十二条对供应商参加温州市国有企业采购活动应当具备的条件的要求：</w:t>
      </w:r>
    </w:p>
    <w:p w14:paraId="1F5ABF18">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（1）具有独立承担民事责任的能力；</w:t>
      </w:r>
    </w:p>
    <w:p w14:paraId="34BAA390">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（2）具有良好的商业信誉和健全的财务会计制度；</w:t>
      </w:r>
    </w:p>
    <w:p w14:paraId="291B9740">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（3）具有履行合同所必需的设备和专业技术、售后保障等能力；</w:t>
      </w:r>
    </w:p>
    <w:p w14:paraId="234AC056">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（4）有依法缴纳税收和社会保障资金的良好记录；</w:t>
      </w:r>
    </w:p>
    <w:p w14:paraId="68E3A536">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（5）参加采购、招投标等活动前三年内，在经营活动中没有重大违法记录、严重失信行为和行贿记录；</w:t>
      </w:r>
    </w:p>
    <w:p w14:paraId="647B17AB">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（6）法律、行政法规规定的其他条件。</w:t>
      </w:r>
    </w:p>
    <w:p w14:paraId="1E89A39C">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（二）未被“信用中国”（www.creditchina.gov.cn）、中国政府采购网（</w:t>
      </w:r>
      <w:r>
        <w:rPr>
          <w:rFonts w:hint="eastAsia" w:hAnsi="Times New Roman" w:cs="Times New Roman"/>
          <w:kern w:val="2"/>
          <w:sz w:val="21"/>
          <w:szCs w:val="18"/>
        </w:rPr>
        <w:fldChar w:fldCharType="begin"/>
      </w:r>
      <w:r>
        <w:instrText xml:space="preserve">HYPERLINK "http://www.ccgp.gov.cn/"</w:instrText>
      </w:r>
      <w:r>
        <w:rPr>
          <w:rFonts w:hint="eastAsia" w:hAnsi="Times New Roman" w:cs="Times New Roman"/>
          <w:kern w:val="2"/>
          <w:sz w:val="21"/>
          <w:szCs w:val="18"/>
        </w:rPr>
        <w:fldChar w:fldCharType="separate"/>
      </w:r>
      <w:r>
        <w:rPr>
          <w:rFonts w:hint="eastAsia" w:hAnsi="Times New Roman" w:cs="Times New Roman"/>
          <w:kern w:val="2"/>
          <w:sz w:val="21"/>
          <w:szCs w:val="18"/>
        </w:rPr>
        <w:t>www.ccgp.gov.cn</w:t>
      </w:r>
      <w:r>
        <w:rPr>
          <w:rFonts w:hint="eastAsia" w:hAnsi="Times New Roman" w:cs="Times New Roman"/>
          <w:kern w:val="2"/>
          <w:sz w:val="21"/>
          <w:szCs w:val="18"/>
        </w:rPr>
        <w:fldChar w:fldCharType="end"/>
      </w:r>
      <w:r>
        <w:rPr>
          <w:rFonts w:hint="eastAsia" w:hAnsi="Times New Roman" w:cs="Times New Roman"/>
          <w:kern w:val="2"/>
          <w:sz w:val="21"/>
          <w:szCs w:val="18"/>
        </w:rPr>
        <w:t>）列入失信被执行人、重大税收违法案件当事人名单、政府采购严重违法失信行为记录名单。</w:t>
      </w:r>
    </w:p>
    <w:p w14:paraId="4A933940">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（三）落实采购政策需满足的资格要求：</w:t>
      </w:r>
      <w:r>
        <w:rPr>
          <w:rFonts w:hint="eastAsia"/>
          <w:kern w:val="28"/>
        </w:rPr>
        <w:t>本项目专门面向中小企业采购。</w:t>
      </w:r>
    </w:p>
    <w:p w14:paraId="3AC3DAF8">
      <w:pPr>
        <w:pStyle w:val="27"/>
        <w:spacing w:line="400" w:lineRule="exact"/>
        <w:ind w:firstLine="420"/>
        <w:jc w:val="both"/>
        <w:textAlignment w:val="center"/>
        <w:rPr>
          <w:rFonts w:hAnsi="Times New Roman" w:cs="Times New Roman"/>
          <w:kern w:val="2"/>
          <w:sz w:val="21"/>
          <w:szCs w:val="18"/>
        </w:rPr>
      </w:pPr>
      <w:r>
        <w:rPr>
          <w:rFonts w:hint="eastAsia" w:hAnsi="Times New Roman" w:cs="Times New Roman"/>
          <w:kern w:val="2"/>
          <w:sz w:val="21"/>
          <w:szCs w:val="18"/>
        </w:rPr>
        <w:t>（四）本项目不接受联合体。</w:t>
      </w:r>
    </w:p>
    <w:p w14:paraId="1E81D123">
      <w:pPr>
        <w:pStyle w:val="27"/>
        <w:shd w:val="clear" w:color="auto" w:fill="FFFFFF"/>
        <w:spacing w:line="400" w:lineRule="exact"/>
        <w:jc w:val="both"/>
        <w:rPr>
          <w:rFonts w:ascii="Times New Roman" w:hAnsi="Times New Roman" w:cs="Times New Roman"/>
          <w:sz w:val="20"/>
          <w:szCs w:val="20"/>
        </w:rPr>
      </w:pPr>
      <w:r>
        <w:rPr>
          <w:rFonts w:hint="eastAsia"/>
          <w:sz w:val="21"/>
          <w:szCs w:val="21"/>
          <w:shd w:val="clear" w:color="auto" w:fill="FFFFFF"/>
        </w:rPr>
        <w:t>三、获取采购文件</w:t>
      </w:r>
    </w:p>
    <w:p w14:paraId="78638613">
      <w:pPr>
        <w:pStyle w:val="27"/>
        <w:shd w:val="clear" w:color="auto" w:fill="FFFFFF"/>
        <w:spacing w:line="400" w:lineRule="exact"/>
        <w:ind w:firstLine="420" w:firstLineChars="200"/>
        <w:jc w:val="both"/>
        <w:rPr>
          <w:sz w:val="21"/>
          <w:szCs w:val="21"/>
          <w:shd w:val="clear" w:color="auto" w:fill="FFFFFF"/>
        </w:rPr>
      </w:pPr>
      <w:r>
        <w:rPr>
          <w:rFonts w:hint="eastAsia"/>
          <w:sz w:val="21"/>
          <w:szCs w:val="21"/>
          <w:shd w:val="clear" w:color="auto" w:fill="FFFFFF"/>
        </w:rPr>
        <w:t>时间：招标公告之日起至</w:t>
      </w:r>
      <w:r>
        <w:rPr>
          <w:rFonts w:hint="eastAsia" w:ascii="Times New Roman" w:hAnsi="Times New Roman" w:cs="Times New Roman"/>
          <w:sz w:val="21"/>
          <w:szCs w:val="21"/>
          <w:shd w:val="clear" w:color="auto" w:fill="FFFFFF"/>
        </w:rPr>
        <w:t>投标截止时间</w:t>
      </w:r>
      <w:r>
        <w:rPr>
          <w:rFonts w:hint="eastAsia"/>
          <w:sz w:val="21"/>
          <w:szCs w:val="21"/>
          <w:shd w:val="clear" w:color="auto" w:fill="FFFFFF"/>
        </w:rPr>
        <w:t>。</w:t>
      </w:r>
    </w:p>
    <w:p w14:paraId="3FA6ED07">
      <w:pPr>
        <w:pStyle w:val="27"/>
        <w:shd w:val="clear" w:color="auto" w:fill="FFFFFF"/>
        <w:spacing w:line="400" w:lineRule="exact"/>
        <w:ind w:firstLine="420" w:firstLineChars="200"/>
        <w:jc w:val="both"/>
        <w:rPr>
          <w:rFonts w:ascii="Times New Roman" w:hAnsi="Times New Roman" w:cs="Times New Roman"/>
          <w:sz w:val="20"/>
          <w:szCs w:val="20"/>
        </w:rPr>
      </w:pPr>
      <w:r>
        <w:rPr>
          <w:rFonts w:hint="eastAsia"/>
          <w:sz w:val="21"/>
          <w:szCs w:val="21"/>
          <w:shd w:val="clear" w:color="auto" w:fill="FFFFFF"/>
        </w:rPr>
        <w:t>地点：</w:t>
      </w:r>
      <w:r>
        <w:rPr>
          <w:rFonts w:hint="eastAsia"/>
          <w:lang w:eastAsia="zh-CN"/>
        </w:rPr>
        <w:t>乐采云平台（www.lecaiyun.com）</w:t>
      </w:r>
      <w:r>
        <w:rPr>
          <w:rFonts w:hint="eastAsia"/>
        </w:rPr>
        <w:t>或</w:t>
      </w:r>
      <w:r>
        <w:rPr>
          <w:rFonts w:hint="eastAsia"/>
          <w:sz w:val="21"/>
          <w:szCs w:val="20"/>
        </w:rPr>
        <w:t>泰顺县人民政府网（http://122.228.219.161/TPFront/</w:t>
      </w:r>
      <w:r>
        <w:rPr>
          <w:rFonts w:hint="eastAsia" w:ascii="Times New Roman" w:hAnsi="Times New Roman" w:cs="Times New Roman"/>
          <w:sz w:val="21"/>
          <w:szCs w:val="20"/>
        </w:rPr>
        <w:t>进入左下角“基本信息公开-招标信息”）</w:t>
      </w:r>
      <w:r>
        <w:rPr>
          <w:rFonts w:hint="eastAsia"/>
          <w:sz w:val="21"/>
          <w:szCs w:val="21"/>
          <w:shd w:val="clear" w:color="auto" w:fill="FFFFFF"/>
        </w:rPr>
        <w:t>。</w:t>
      </w:r>
    </w:p>
    <w:p w14:paraId="07398B7D">
      <w:pPr>
        <w:pStyle w:val="27"/>
        <w:shd w:val="clear" w:color="auto" w:fill="FFFFFF"/>
        <w:spacing w:line="400" w:lineRule="exact"/>
        <w:ind w:firstLine="420" w:firstLineChars="200"/>
        <w:jc w:val="both"/>
        <w:rPr>
          <w:rFonts w:ascii="Times New Roman" w:hAnsi="Times New Roman" w:cs="Times New Roman"/>
          <w:sz w:val="20"/>
          <w:szCs w:val="20"/>
        </w:rPr>
      </w:pPr>
      <w:r>
        <w:rPr>
          <w:rFonts w:hint="eastAsia"/>
          <w:sz w:val="21"/>
          <w:szCs w:val="21"/>
          <w:shd w:val="clear" w:color="auto" w:fill="FFFFFF"/>
        </w:rPr>
        <w:t>方式：网上下载</w:t>
      </w:r>
    </w:p>
    <w:p w14:paraId="578BE12E">
      <w:pPr>
        <w:pStyle w:val="27"/>
        <w:shd w:val="clear" w:color="auto" w:fill="FFFFFF"/>
        <w:spacing w:line="400" w:lineRule="exact"/>
        <w:jc w:val="both"/>
        <w:rPr>
          <w:rFonts w:ascii="Times New Roman" w:hAnsi="Times New Roman" w:cs="Times New Roman"/>
          <w:sz w:val="20"/>
          <w:szCs w:val="20"/>
        </w:rPr>
      </w:pPr>
      <w:r>
        <w:rPr>
          <w:rFonts w:hint="eastAsia"/>
          <w:sz w:val="21"/>
          <w:szCs w:val="21"/>
          <w:shd w:val="clear" w:color="auto" w:fill="FFFFFF"/>
        </w:rPr>
        <w:t>四、投标文件提交</w:t>
      </w:r>
    </w:p>
    <w:p w14:paraId="0FDD8F87">
      <w:pPr>
        <w:snapToGrid w:val="0"/>
        <w:spacing w:line="360" w:lineRule="auto"/>
        <w:ind w:left="61" w:leftChars="29" w:right="62" w:firstLine="433" w:firstLineChars="197"/>
        <w:jc w:val="left"/>
        <w:rPr>
          <w:rFonts w:hint="eastAsia" w:ascii="宋体" w:eastAsia="宋体"/>
          <w:b w:val="0"/>
          <w:color w:val="auto"/>
          <w:kern w:val="2"/>
          <w:sz w:val="22"/>
          <w:szCs w:val="22"/>
          <w:highlight w:val="none"/>
        </w:rPr>
      </w:pPr>
      <w:r>
        <w:rPr>
          <w:rFonts w:hint="eastAsia" w:ascii="宋体" w:eastAsia="宋体"/>
          <w:b w:val="0"/>
          <w:color w:val="auto"/>
          <w:kern w:val="2"/>
          <w:sz w:val="22"/>
          <w:szCs w:val="22"/>
          <w:highlight w:val="none"/>
        </w:rPr>
        <w:t>提交响应文件截止时间：</w:t>
      </w:r>
      <w:r>
        <w:rPr>
          <w:rFonts w:hint="eastAsia" w:ascii="宋体" w:eastAsia="宋体"/>
          <w:b w:val="0"/>
          <w:color w:val="auto"/>
          <w:kern w:val="2"/>
          <w:sz w:val="22"/>
          <w:szCs w:val="22"/>
          <w:highlight w:val="none"/>
          <w:lang w:eastAsia="zh-CN"/>
        </w:rPr>
        <w:t>2025年</w:t>
      </w:r>
      <w:r>
        <w:rPr>
          <w:rFonts w:hint="eastAsia" w:ascii="宋体"/>
          <w:b w:val="0"/>
          <w:color w:val="auto"/>
          <w:kern w:val="2"/>
          <w:sz w:val="22"/>
          <w:szCs w:val="22"/>
          <w:highlight w:val="none"/>
          <w:lang w:eastAsia="zh-CN"/>
        </w:rPr>
        <w:t>5月26日</w:t>
      </w:r>
      <w:r>
        <w:rPr>
          <w:rFonts w:hint="eastAsia" w:ascii="宋体" w:eastAsia="宋体"/>
          <w:b w:val="0"/>
          <w:color w:val="auto"/>
          <w:kern w:val="2"/>
          <w:sz w:val="22"/>
          <w:szCs w:val="22"/>
          <w:highlight w:val="none"/>
          <w:lang w:eastAsia="zh-CN"/>
        </w:rPr>
        <w:t>15点00分</w:t>
      </w:r>
      <w:r>
        <w:rPr>
          <w:rFonts w:hint="eastAsia" w:ascii="宋体" w:eastAsia="宋体"/>
          <w:b w:val="0"/>
          <w:color w:val="auto"/>
          <w:kern w:val="2"/>
          <w:sz w:val="22"/>
          <w:szCs w:val="22"/>
          <w:highlight w:val="none"/>
        </w:rPr>
        <w:t>（北京时间）</w:t>
      </w:r>
    </w:p>
    <w:p w14:paraId="6CD3C74D">
      <w:pPr>
        <w:snapToGrid w:val="0"/>
        <w:spacing w:line="360" w:lineRule="auto"/>
        <w:ind w:left="61" w:leftChars="29" w:right="62" w:firstLine="433" w:firstLineChars="197"/>
        <w:jc w:val="left"/>
        <w:rPr>
          <w:rFonts w:hint="eastAsia" w:ascii="宋体" w:eastAsia="宋体"/>
          <w:b w:val="0"/>
          <w:color w:val="auto"/>
          <w:kern w:val="2"/>
          <w:sz w:val="22"/>
          <w:szCs w:val="22"/>
          <w:highlight w:val="none"/>
        </w:rPr>
      </w:pPr>
      <w:r>
        <w:rPr>
          <w:rFonts w:hint="eastAsia" w:ascii="宋体" w:eastAsia="宋体"/>
          <w:b w:val="0"/>
          <w:color w:val="auto"/>
          <w:kern w:val="2"/>
          <w:sz w:val="22"/>
          <w:szCs w:val="22"/>
          <w:highlight w:val="none"/>
        </w:rPr>
        <w:t>投标地点（网址）：通过乐采云（www.lecaiyun.com）实行在线递交。</w:t>
      </w:r>
    </w:p>
    <w:p w14:paraId="1BD9238F">
      <w:pPr>
        <w:snapToGrid w:val="0"/>
        <w:spacing w:line="360" w:lineRule="auto"/>
        <w:ind w:left="61" w:leftChars="29" w:right="62" w:firstLine="433" w:firstLineChars="197"/>
        <w:jc w:val="left"/>
        <w:rPr>
          <w:rFonts w:hint="eastAsia" w:ascii="宋体" w:eastAsia="宋体"/>
          <w:b w:val="0"/>
          <w:color w:val="auto"/>
          <w:kern w:val="2"/>
          <w:sz w:val="22"/>
          <w:szCs w:val="22"/>
          <w:highlight w:val="none"/>
        </w:rPr>
      </w:pPr>
      <w:r>
        <w:rPr>
          <w:rFonts w:hint="eastAsia" w:ascii="宋体" w:eastAsia="宋体"/>
          <w:b w:val="0"/>
          <w:color w:val="auto"/>
          <w:kern w:val="2"/>
          <w:sz w:val="22"/>
          <w:szCs w:val="22"/>
          <w:highlight w:val="none"/>
        </w:rPr>
        <w:t>开标时间：</w:t>
      </w:r>
      <w:r>
        <w:rPr>
          <w:rFonts w:hint="eastAsia" w:ascii="宋体" w:eastAsia="宋体"/>
          <w:b w:val="0"/>
          <w:color w:val="auto"/>
          <w:kern w:val="2"/>
          <w:sz w:val="22"/>
          <w:szCs w:val="22"/>
          <w:highlight w:val="none"/>
          <w:lang w:eastAsia="zh-CN"/>
        </w:rPr>
        <w:t>2025年</w:t>
      </w:r>
      <w:r>
        <w:rPr>
          <w:rFonts w:hint="eastAsia" w:ascii="宋体"/>
          <w:b w:val="0"/>
          <w:color w:val="auto"/>
          <w:kern w:val="2"/>
          <w:sz w:val="22"/>
          <w:szCs w:val="22"/>
          <w:highlight w:val="none"/>
          <w:lang w:eastAsia="zh-CN"/>
        </w:rPr>
        <w:t>5月26日</w:t>
      </w:r>
      <w:r>
        <w:rPr>
          <w:rFonts w:hint="eastAsia" w:ascii="宋体" w:eastAsia="宋体"/>
          <w:b w:val="0"/>
          <w:color w:val="auto"/>
          <w:kern w:val="2"/>
          <w:sz w:val="22"/>
          <w:szCs w:val="22"/>
          <w:highlight w:val="none"/>
          <w:lang w:eastAsia="zh-CN"/>
        </w:rPr>
        <w:t>15点00分</w:t>
      </w:r>
      <w:r>
        <w:rPr>
          <w:rFonts w:hint="eastAsia" w:ascii="宋体" w:eastAsia="宋体"/>
          <w:b w:val="0"/>
          <w:color w:val="auto"/>
          <w:kern w:val="2"/>
          <w:sz w:val="22"/>
          <w:szCs w:val="22"/>
          <w:highlight w:val="none"/>
        </w:rPr>
        <w:t>（北京时间）</w:t>
      </w:r>
    </w:p>
    <w:p w14:paraId="70BCB26D">
      <w:pPr>
        <w:pStyle w:val="27"/>
        <w:shd w:val="clear" w:color="auto" w:fill="FFFFFF"/>
        <w:spacing w:line="400" w:lineRule="exact"/>
        <w:jc w:val="both"/>
        <w:rPr>
          <w:rFonts w:hint="eastAsia" w:ascii="宋体" w:eastAsia="宋体"/>
          <w:b w:val="0"/>
          <w:color w:val="auto"/>
          <w:kern w:val="2"/>
          <w:sz w:val="22"/>
          <w:szCs w:val="22"/>
          <w:highlight w:val="none"/>
        </w:rPr>
      </w:pPr>
      <w:r>
        <w:rPr>
          <w:rFonts w:hint="eastAsia" w:ascii="宋体" w:eastAsia="宋体"/>
          <w:b w:val="0"/>
          <w:color w:val="auto"/>
          <w:kern w:val="2"/>
          <w:sz w:val="22"/>
          <w:szCs w:val="22"/>
          <w:highlight w:val="none"/>
        </w:rPr>
        <w:t>开标地点（网址）：乐采云平台（www.lecaiyun.com）（本项目采用在线响应方式，供应商无须前往磋商现场）。</w:t>
      </w:r>
    </w:p>
    <w:p w14:paraId="6EE30C64">
      <w:pPr>
        <w:pStyle w:val="27"/>
        <w:shd w:val="clear" w:color="auto" w:fill="FFFFFF"/>
        <w:spacing w:line="400" w:lineRule="exact"/>
        <w:jc w:val="both"/>
        <w:rPr>
          <w:sz w:val="21"/>
          <w:szCs w:val="21"/>
          <w:shd w:val="clear" w:color="auto" w:fill="FFFFFF"/>
        </w:rPr>
      </w:pPr>
      <w:r>
        <w:rPr>
          <w:rFonts w:hint="eastAsia"/>
          <w:sz w:val="21"/>
          <w:szCs w:val="21"/>
          <w:shd w:val="clear" w:color="auto" w:fill="FFFFFF"/>
        </w:rPr>
        <w:t>五、开启</w:t>
      </w:r>
    </w:p>
    <w:p w14:paraId="2E99512B">
      <w:pPr>
        <w:pStyle w:val="27"/>
        <w:shd w:val="clear" w:color="auto" w:fill="FFFFFF"/>
        <w:spacing w:line="400" w:lineRule="exact"/>
        <w:ind w:firstLine="440"/>
        <w:jc w:val="both"/>
        <w:rPr>
          <w:rFonts w:ascii="Times New Roman" w:hAnsi="Times New Roman" w:cs="Times New Roman"/>
          <w:sz w:val="20"/>
          <w:szCs w:val="20"/>
        </w:rPr>
      </w:pPr>
      <w:r>
        <w:rPr>
          <w:rFonts w:hint="eastAsia"/>
          <w:sz w:val="21"/>
          <w:szCs w:val="21"/>
          <w:shd w:val="clear" w:color="auto" w:fill="FFFFFF"/>
        </w:rPr>
        <w:t>时间：</w:t>
      </w:r>
      <w:r>
        <w:rPr>
          <w:rFonts w:hint="eastAsia" w:ascii="Times New Roman" w:hAnsi="Times New Roman" w:cs="Times New Roman"/>
          <w:sz w:val="21"/>
          <w:szCs w:val="21"/>
          <w:u w:val="single"/>
          <w:shd w:val="clear" w:color="auto" w:fill="FFFFFF"/>
          <w:lang w:eastAsia="zh-CN"/>
        </w:rPr>
        <w:t>2025年5月26日15点00分</w:t>
      </w:r>
      <w:r>
        <w:rPr>
          <w:rFonts w:hint="eastAsia"/>
          <w:sz w:val="21"/>
          <w:szCs w:val="21"/>
          <w:shd w:val="clear" w:color="auto" w:fill="FFFFFF"/>
        </w:rPr>
        <w:t>（北京时间）</w:t>
      </w:r>
    </w:p>
    <w:p w14:paraId="5E7A8F79">
      <w:pPr>
        <w:pStyle w:val="27"/>
        <w:shd w:val="clear" w:color="auto" w:fill="FFFFFF"/>
        <w:spacing w:line="400" w:lineRule="exact"/>
        <w:ind w:firstLine="440"/>
        <w:jc w:val="both"/>
        <w:rPr>
          <w:sz w:val="21"/>
          <w:szCs w:val="21"/>
          <w:shd w:val="clear" w:color="auto" w:fill="FFFFFF"/>
        </w:rPr>
      </w:pPr>
      <w:r>
        <w:rPr>
          <w:rFonts w:hint="eastAsia"/>
          <w:sz w:val="21"/>
          <w:szCs w:val="21"/>
          <w:shd w:val="clear" w:color="auto" w:fill="FFFFFF"/>
        </w:rPr>
        <w:t>地点：</w:t>
      </w:r>
      <w:r>
        <w:rPr>
          <w:rFonts w:hint="eastAsia"/>
          <w:szCs w:val="21"/>
        </w:rPr>
        <w:t>泰顺县公共资源交易中心五楼评标室1（温州市泰顺县罗阳镇新城大道123号）</w:t>
      </w:r>
    </w:p>
    <w:p w14:paraId="441BD154">
      <w:pPr>
        <w:pStyle w:val="27"/>
        <w:shd w:val="clear" w:color="auto" w:fill="FFFFFF"/>
        <w:spacing w:line="400" w:lineRule="exact"/>
        <w:jc w:val="both"/>
        <w:rPr>
          <w:sz w:val="21"/>
          <w:szCs w:val="21"/>
          <w:shd w:val="clear" w:color="auto" w:fill="FFFFFF"/>
        </w:rPr>
      </w:pPr>
      <w:r>
        <w:rPr>
          <w:rFonts w:hint="eastAsia"/>
          <w:sz w:val="21"/>
          <w:szCs w:val="21"/>
          <w:shd w:val="clear" w:color="auto" w:fill="FFFFFF"/>
        </w:rPr>
        <w:t>六、公告期限</w:t>
      </w:r>
    </w:p>
    <w:p w14:paraId="0778404C">
      <w:pPr>
        <w:pStyle w:val="27"/>
        <w:shd w:val="clear" w:color="auto" w:fill="FFFFFF"/>
        <w:spacing w:line="400" w:lineRule="exact"/>
        <w:ind w:firstLine="440"/>
        <w:jc w:val="both"/>
        <w:rPr>
          <w:rFonts w:ascii="Times New Roman" w:hAnsi="Times New Roman" w:cs="Times New Roman"/>
          <w:sz w:val="20"/>
          <w:szCs w:val="20"/>
        </w:rPr>
      </w:pPr>
      <w:r>
        <w:rPr>
          <w:rFonts w:hint="eastAsia"/>
          <w:sz w:val="21"/>
          <w:szCs w:val="21"/>
          <w:shd w:val="clear" w:color="auto" w:fill="FFFFFF"/>
        </w:rPr>
        <w:t>本项目公告期限为公告发布之日次日起5个工作日。</w:t>
      </w:r>
    </w:p>
    <w:p w14:paraId="15B520FF">
      <w:pPr>
        <w:pStyle w:val="27"/>
        <w:shd w:val="clear" w:color="auto" w:fill="FFFFFF"/>
        <w:spacing w:line="400" w:lineRule="exact"/>
        <w:jc w:val="both"/>
        <w:rPr>
          <w:sz w:val="21"/>
          <w:szCs w:val="21"/>
          <w:shd w:val="clear" w:color="auto" w:fill="FFFFFF"/>
        </w:rPr>
      </w:pPr>
      <w:r>
        <w:rPr>
          <w:rFonts w:hint="eastAsia"/>
          <w:sz w:val="21"/>
          <w:szCs w:val="21"/>
          <w:shd w:val="clear" w:color="auto" w:fill="FFFFFF"/>
        </w:rPr>
        <w:t>七、其他补充事宜</w:t>
      </w:r>
    </w:p>
    <w:p w14:paraId="4599260A">
      <w:pPr>
        <w:pStyle w:val="27"/>
        <w:shd w:val="clear" w:color="auto" w:fill="FFFFFF"/>
        <w:spacing w:line="400" w:lineRule="exact"/>
        <w:ind w:firstLine="433"/>
        <w:rPr>
          <w:rFonts w:ascii="Times New Roman" w:hAnsi="Times New Roman" w:cs="Times New Roman"/>
          <w:sz w:val="20"/>
          <w:szCs w:val="20"/>
        </w:rPr>
      </w:pPr>
      <w:r>
        <w:rPr>
          <w:rFonts w:hint="eastAsia"/>
          <w:sz w:val="21"/>
          <w:szCs w:val="21"/>
          <w:shd w:val="clear" w:color="auto" w:fill="FFFFFF"/>
        </w:rPr>
        <w:t>1、招标文件提供期限时间之后有潜在供应商提出要求获取招标文件的，将允许其获取，但该供应商如对招标文件有异议的，应于自招标文件提供期限满之日起七个工作日内以书面形式向采购机构提出。</w:t>
      </w:r>
    </w:p>
    <w:p w14:paraId="5B339C49">
      <w:pPr>
        <w:pStyle w:val="27"/>
        <w:shd w:val="clear" w:color="auto" w:fill="FFFFFF"/>
        <w:spacing w:line="400" w:lineRule="exact"/>
        <w:ind w:firstLine="433"/>
        <w:rPr>
          <w:rFonts w:ascii="Times New Roman" w:hAnsi="Times New Roman" w:cs="Times New Roman"/>
          <w:sz w:val="20"/>
          <w:szCs w:val="20"/>
        </w:rPr>
      </w:pPr>
      <w:r>
        <w:rPr>
          <w:rFonts w:hint="eastAsia"/>
          <w:sz w:val="21"/>
          <w:szCs w:val="21"/>
          <w:shd w:val="clear" w:color="auto" w:fill="FFFFFF"/>
        </w:rPr>
        <w:t>2、投标人认为采购文件使自己的权益受到损害的，可以自采购公告期限届满之日起7个工作日内，以书面形式向采购人和采购代理机构提出质疑。质疑供应商认为国有企业答疑回复处理结果不合法的或者采购人、采购代理机构未在7个工作日内(质疑文件原件签收之日起算)作出答复的，可以在答复期满后15个工作日内以采购人或代理机构为对象依法向人民法院提起诉讼。</w:t>
      </w:r>
    </w:p>
    <w:p w14:paraId="513EACB6">
      <w:pPr>
        <w:pStyle w:val="27"/>
        <w:shd w:val="clear" w:color="auto" w:fill="FFFFFF"/>
        <w:spacing w:line="400" w:lineRule="exact"/>
        <w:ind w:firstLine="433"/>
        <w:rPr>
          <w:rFonts w:ascii="Times New Roman" w:hAnsi="Times New Roman" w:cs="Times New Roman"/>
          <w:sz w:val="20"/>
          <w:szCs w:val="20"/>
        </w:rPr>
      </w:pPr>
      <w:r>
        <w:rPr>
          <w:rFonts w:hint="eastAsia"/>
          <w:sz w:val="21"/>
          <w:szCs w:val="21"/>
          <w:shd w:val="clear" w:color="auto" w:fill="FFFFFF"/>
        </w:rPr>
        <w:t>3、供应商质疑应当有明确的请求和必要的证明材料；</w:t>
      </w:r>
    </w:p>
    <w:p w14:paraId="403FC5D9">
      <w:pPr>
        <w:pStyle w:val="27"/>
        <w:shd w:val="clear" w:color="auto" w:fill="FFFFFF"/>
        <w:spacing w:line="400" w:lineRule="exact"/>
        <w:ind w:firstLine="440"/>
        <w:jc w:val="both"/>
        <w:rPr>
          <w:rFonts w:ascii="Times New Roman" w:hAnsi="Times New Roman" w:cs="Times New Roman"/>
          <w:sz w:val="20"/>
          <w:szCs w:val="20"/>
        </w:rPr>
      </w:pPr>
      <w:r>
        <w:rPr>
          <w:rFonts w:hint="eastAsia"/>
          <w:sz w:val="21"/>
          <w:szCs w:val="21"/>
          <w:shd w:val="clear" w:color="auto" w:fill="FFFFFF"/>
        </w:rPr>
        <w:t>4、逾期的质疑，采购人及采购机构可不予接受。</w:t>
      </w:r>
    </w:p>
    <w:p w14:paraId="5E0037B2">
      <w:pPr>
        <w:pStyle w:val="27"/>
        <w:shd w:val="clear" w:color="auto" w:fill="FFFFFF"/>
        <w:spacing w:line="400" w:lineRule="exact"/>
        <w:jc w:val="both"/>
        <w:rPr>
          <w:sz w:val="21"/>
          <w:szCs w:val="21"/>
          <w:shd w:val="clear" w:color="auto" w:fill="FFFFFF"/>
        </w:rPr>
      </w:pPr>
      <w:bookmarkStart w:id="5" w:name="_Toc35393805"/>
      <w:bookmarkStart w:id="6" w:name="_Toc28359095"/>
      <w:bookmarkStart w:id="7" w:name="_Toc28359018"/>
      <w:bookmarkStart w:id="8" w:name="_Toc35393636"/>
      <w:r>
        <w:rPr>
          <w:rFonts w:hint="eastAsia"/>
          <w:sz w:val="21"/>
          <w:szCs w:val="21"/>
          <w:shd w:val="clear" w:color="auto" w:fill="FFFFFF"/>
        </w:rPr>
        <w:t>八、</w:t>
      </w:r>
      <w:bookmarkEnd w:id="5"/>
      <w:bookmarkEnd w:id="6"/>
      <w:bookmarkEnd w:id="7"/>
      <w:bookmarkEnd w:id="8"/>
      <w:r>
        <w:rPr>
          <w:rFonts w:hint="eastAsia"/>
          <w:sz w:val="21"/>
          <w:szCs w:val="21"/>
          <w:shd w:val="clear" w:color="auto" w:fill="FFFFFF"/>
        </w:rPr>
        <w:t>对本次采购提出询问、质疑、投诉，请按以下方式联系。</w:t>
      </w:r>
    </w:p>
    <w:p w14:paraId="57E156D3">
      <w:pPr>
        <w:spacing w:line="400" w:lineRule="exact"/>
        <w:ind w:firstLine="420" w:firstLineChars="200"/>
        <w:rPr>
          <w:rFonts w:ascii="宋体" w:hAnsi="宋体"/>
          <w:szCs w:val="21"/>
        </w:rPr>
      </w:pPr>
      <w:r>
        <w:rPr>
          <w:rFonts w:hint="eastAsia" w:ascii="宋体" w:hAnsi="宋体"/>
          <w:szCs w:val="21"/>
        </w:rPr>
        <w:t>1.采购人信息：</w:t>
      </w:r>
      <w:r>
        <w:rPr>
          <w:rFonts w:hint="eastAsia" w:ascii="宋体" w:hAnsi="宋体"/>
          <w:bCs/>
          <w:kern w:val="0"/>
          <w:szCs w:val="18"/>
        </w:rPr>
        <w:t>泰顺县南浦溪新农村建设投资有限公司</w:t>
      </w:r>
      <w:r>
        <w:rPr>
          <w:rFonts w:hint="eastAsia" w:ascii="宋体" w:hAnsi="宋体"/>
          <w:szCs w:val="21"/>
        </w:rPr>
        <w:t>　　　　　　　　　</w:t>
      </w:r>
    </w:p>
    <w:p w14:paraId="60159DFB">
      <w:pPr>
        <w:spacing w:line="400" w:lineRule="exact"/>
        <w:ind w:firstLine="420" w:firstLineChars="200"/>
        <w:rPr>
          <w:rFonts w:ascii="宋体" w:hAnsi="宋体"/>
          <w:szCs w:val="21"/>
          <w:highlight w:val="none"/>
        </w:rPr>
      </w:pPr>
      <w:r>
        <w:rPr>
          <w:rFonts w:hint="eastAsia" w:ascii="宋体" w:hAnsi="宋体"/>
          <w:szCs w:val="21"/>
          <w:highlight w:val="none"/>
        </w:rPr>
        <w:t>项目联系人:胡国华</w:t>
      </w:r>
    </w:p>
    <w:p w14:paraId="329D40CE">
      <w:pPr>
        <w:spacing w:line="400" w:lineRule="exact"/>
        <w:ind w:left="420" w:leftChars="200"/>
        <w:rPr>
          <w:rFonts w:ascii="宋体" w:hAnsi="宋体"/>
          <w:szCs w:val="21"/>
          <w:highlight w:val="yellow"/>
        </w:rPr>
      </w:pPr>
      <w:r>
        <w:rPr>
          <w:rFonts w:hint="eastAsia" w:ascii="宋体" w:hAnsi="宋体"/>
          <w:szCs w:val="21"/>
          <w:highlight w:val="none"/>
        </w:rPr>
        <w:t>项目联系方式：15825646706</w:t>
      </w:r>
    </w:p>
    <w:p w14:paraId="296B4E0E">
      <w:pPr>
        <w:spacing w:line="400" w:lineRule="exact"/>
        <w:ind w:left="420" w:leftChars="200"/>
        <w:rPr>
          <w:rFonts w:ascii="宋体" w:hAnsi="宋体"/>
          <w:szCs w:val="21"/>
        </w:rPr>
      </w:pPr>
      <w:r>
        <w:rPr>
          <w:rFonts w:hint="eastAsia" w:ascii="宋体" w:hAnsi="宋体"/>
          <w:szCs w:val="21"/>
        </w:rPr>
        <w:t>质疑联系人：鲍海宁</w:t>
      </w:r>
    </w:p>
    <w:p w14:paraId="1FC9E881">
      <w:pPr>
        <w:spacing w:line="400" w:lineRule="exact"/>
        <w:ind w:firstLine="420" w:firstLineChars="200"/>
        <w:rPr>
          <w:rFonts w:hint="eastAsia" w:ascii="宋体" w:hAnsi="宋体"/>
          <w:szCs w:val="21"/>
        </w:rPr>
      </w:pPr>
      <w:r>
        <w:rPr>
          <w:rFonts w:hint="eastAsia" w:ascii="宋体" w:hAnsi="宋体" w:cs="宋体"/>
          <w:kern w:val="0"/>
          <w:szCs w:val="21"/>
        </w:rPr>
        <w:t>质疑联系方式：13757</w:t>
      </w:r>
      <w:r>
        <w:rPr>
          <w:rFonts w:hint="eastAsia" w:ascii="宋体" w:hAnsi="宋体"/>
          <w:szCs w:val="21"/>
        </w:rPr>
        <w:t>766488</w:t>
      </w:r>
    </w:p>
    <w:p w14:paraId="1B7AFBEB">
      <w:pPr>
        <w:spacing w:line="400" w:lineRule="exact"/>
        <w:ind w:firstLine="420" w:firstLineChars="200"/>
        <w:rPr>
          <w:rFonts w:hint="eastAsia" w:ascii="宋体" w:hAnsi="宋体"/>
          <w:szCs w:val="21"/>
        </w:rPr>
      </w:pPr>
      <w:r>
        <w:rPr>
          <w:rFonts w:hint="eastAsia" w:ascii="宋体" w:hAnsi="宋体"/>
          <w:szCs w:val="21"/>
        </w:rPr>
        <w:t>联系地址：泰顺县南浦溪镇新仓村新浦路26号</w:t>
      </w:r>
    </w:p>
    <w:p w14:paraId="5D3EBE05">
      <w:pPr>
        <w:spacing w:line="400" w:lineRule="exact"/>
        <w:ind w:firstLine="420" w:firstLineChars="200"/>
        <w:rPr>
          <w:rFonts w:ascii="宋体" w:hAnsi="宋体"/>
          <w:szCs w:val="21"/>
        </w:rPr>
      </w:pPr>
      <w:r>
        <w:rPr>
          <w:rFonts w:hint="eastAsia" w:ascii="宋体" w:hAnsi="宋体" w:cs="宋体"/>
          <w:kern w:val="0"/>
          <w:szCs w:val="21"/>
        </w:rPr>
        <w:t>2.采购代理机构信息</w:t>
      </w:r>
      <w:r>
        <w:rPr>
          <w:rFonts w:hint="eastAsia" w:ascii="宋体" w:hAnsi="宋体"/>
          <w:szCs w:val="21"/>
        </w:rPr>
        <w:t>：</w:t>
      </w:r>
      <w:r>
        <w:rPr>
          <w:rFonts w:hint="eastAsia" w:ascii="宋体" w:hAnsi="宋体"/>
          <w:bCs/>
          <w:kern w:val="0"/>
          <w:szCs w:val="18"/>
        </w:rPr>
        <w:t>浙江金穗工程项目管理有限公司</w:t>
      </w:r>
      <w:r>
        <w:rPr>
          <w:rFonts w:hint="eastAsia" w:ascii="宋体" w:hAnsi="宋体"/>
          <w:szCs w:val="21"/>
        </w:rPr>
        <w:t> 　　　　　　　　　　　</w:t>
      </w:r>
    </w:p>
    <w:p w14:paraId="325B98AA">
      <w:pPr>
        <w:spacing w:line="400" w:lineRule="exact"/>
        <w:ind w:firstLine="420" w:firstLineChars="200"/>
        <w:rPr>
          <w:rFonts w:ascii="宋体" w:hAnsi="宋体"/>
          <w:szCs w:val="21"/>
        </w:rPr>
      </w:pPr>
      <w:r>
        <w:rPr>
          <w:rFonts w:hint="eastAsia" w:ascii="宋体" w:hAnsi="宋体"/>
          <w:szCs w:val="21"/>
        </w:rPr>
        <w:t>联系人：徐微微 　　　　　　　　　　　</w:t>
      </w:r>
    </w:p>
    <w:p w14:paraId="2909AF86">
      <w:pPr>
        <w:spacing w:line="400" w:lineRule="exact"/>
        <w:ind w:left="420" w:leftChars="200"/>
        <w:rPr>
          <w:rFonts w:ascii="宋体" w:hAnsi="宋体"/>
          <w:szCs w:val="21"/>
        </w:rPr>
      </w:pPr>
      <w:r>
        <w:rPr>
          <w:rFonts w:hint="eastAsia" w:ascii="宋体" w:hAnsi="宋体"/>
          <w:szCs w:val="21"/>
        </w:rPr>
        <w:t>联系方式：0577-67686777　　　　　　</w:t>
      </w:r>
    </w:p>
    <w:p w14:paraId="14D91E04">
      <w:pPr>
        <w:spacing w:line="400" w:lineRule="exact"/>
        <w:ind w:left="420" w:leftChars="200"/>
        <w:rPr>
          <w:rFonts w:ascii="宋体" w:hAnsi="宋体"/>
          <w:szCs w:val="21"/>
        </w:rPr>
      </w:pPr>
      <w:r>
        <w:rPr>
          <w:rFonts w:hint="eastAsia" w:ascii="宋体" w:hAnsi="宋体"/>
          <w:szCs w:val="21"/>
        </w:rPr>
        <w:t>质疑联系人： 高扬慧</w:t>
      </w:r>
    </w:p>
    <w:p w14:paraId="2818C2EE">
      <w:pPr>
        <w:spacing w:line="400" w:lineRule="exact"/>
        <w:ind w:firstLine="420" w:firstLineChars="200"/>
        <w:rPr>
          <w:rFonts w:hint="eastAsia" w:ascii="宋体" w:hAnsi="宋体"/>
          <w:szCs w:val="21"/>
        </w:rPr>
      </w:pPr>
      <w:r>
        <w:rPr>
          <w:rFonts w:hint="eastAsia" w:ascii="宋体" w:hAnsi="宋体"/>
          <w:szCs w:val="21"/>
        </w:rPr>
        <w:t>质疑联系电话：13115790105</w:t>
      </w:r>
    </w:p>
    <w:p w14:paraId="5FF5EEB5">
      <w:pPr>
        <w:spacing w:line="400" w:lineRule="exact"/>
        <w:ind w:firstLine="420" w:firstLineChars="200"/>
        <w:rPr>
          <w:rFonts w:hint="eastAsia" w:ascii="宋体" w:hAnsi="宋体"/>
          <w:szCs w:val="21"/>
        </w:rPr>
      </w:pPr>
      <w:r>
        <w:rPr>
          <w:rFonts w:hint="eastAsia" w:ascii="宋体" w:hAnsi="宋体"/>
          <w:szCs w:val="21"/>
        </w:rPr>
        <w:t>联系地址：泰顺县罗阳镇新城大道280号二楼</w:t>
      </w:r>
    </w:p>
    <w:p w14:paraId="0B02BC2C">
      <w:pPr>
        <w:pStyle w:val="2"/>
        <w:ind w:firstLine="0"/>
      </w:pPr>
    </w:p>
    <w:p w14:paraId="30ADEB12">
      <w:pPr>
        <w:spacing w:line="400" w:lineRule="exact"/>
        <w:ind w:firstLine="420" w:firstLineChars="200"/>
        <w:rPr>
          <w:rFonts w:ascii="宋体" w:hAnsi="宋体"/>
          <w:szCs w:val="21"/>
        </w:rPr>
      </w:pPr>
    </w:p>
    <w:p w14:paraId="29379B98">
      <w:pPr>
        <w:pStyle w:val="4"/>
        <w:ind w:left="0"/>
      </w:pPr>
    </w:p>
    <w:p w14:paraId="4AF23743">
      <w:pPr>
        <w:pStyle w:val="4"/>
      </w:pPr>
    </w:p>
    <w:p w14:paraId="3CC082AD"/>
    <w:p w14:paraId="16463576">
      <w:pPr>
        <w:pStyle w:val="4"/>
      </w:pPr>
    </w:p>
    <w:p w14:paraId="205CB49F">
      <w:pPr>
        <w:pStyle w:val="2"/>
        <w:ind w:firstLine="0"/>
      </w:pPr>
    </w:p>
    <w:p w14:paraId="2F04EBCA">
      <w:pPr>
        <w:pStyle w:val="4"/>
      </w:pPr>
    </w:p>
    <w:p w14:paraId="4160CE81"/>
    <w:p w14:paraId="3B219A83">
      <w:pPr>
        <w:pStyle w:val="4"/>
      </w:pPr>
    </w:p>
    <w:p w14:paraId="19BCE4EC"/>
    <w:p w14:paraId="221D2EBB">
      <w:pPr>
        <w:pStyle w:val="30"/>
      </w:pPr>
    </w:p>
    <w:p w14:paraId="2E248290">
      <w:pPr>
        <w:pStyle w:val="2"/>
      </w:pPr>
    </w:p>
    <w:p w14:paraId="3E27299C">
      <w:pPr>
        <w:pStyle w:val="4"/>
      </w:pPr>
    </w:p>
    <w:p w14:paraId="7CE6F7A5"/>
    <w:p w14:paraId="0E4FF1DD">
      <w:pPr>
        <w:pStyle w:val="30"/>
      </w:pPr>
    </w:p>
    <w:p w14:paraId="3026C966">
      <w:pPr>
        <w:pStyle w:val="2"/>
      </w:pPr>
    </w:p>
    <w:p w14:paraId="327BCE94"/>
    <w:p w14:paraId="1B1B5199">
      <w:pPr>
        <w:pStyle w:val="2"/>
      </w:pPr>
    </w:p>
    <w:p w14:paraId="738C1123"/>
    <w:p w14:paraId="5F462256">
      <w:pPr>
        <w:pStyle w:val="2"/>
      </w:pPr>
    </w:p>
    <w:p w14:paraId="4D973F4F"/>
    <w:p w14:paraId="6510286E">
      <w:pPr>
        <w:pStyle w:val="3"/>
      </w:pPr>
    </w:p>
    <w:p w14:paraId="34F2825F">
      <w:pPr>
        <w:pStyle w:val="2"/>
      </w:pPr>
    </w:p>
    <w:p w14:paraId="56A3CA5B"/>
    <w:p w14:paraId="48627F3B">
      <w:pPr>
        <w:pStyle w:val="2"/>
      </w:pPr>
    </w:p>
    <w:p w14:paraId="00DFA554"/>
    <w:p w14:paraId="7BB07EC4">
      <w:pPr>
        <w:pStyle w:val="30"/>
        <w:ind w:left="0" w:leftChars="0" w:firstLine="0" w:firstLineChars="0"/>
      </w:pPr>
    </w:p>
    <w:p w14:paraId="5EECDF9D">
      <w:pPr>
        <w:tabs>
          <w:tab w:val="left" w:pos="1080"/>
        </w:tabs>
        <w:autoSpaceDE w:val="0"/>
        <w:autoSpaceDN w:val="0"/>
        <w:adjustRightInd w:val="0"/>
        <w:spacing w:line="500" w:lineRule="atLeast"/>
        <w:jc w:val="center"/>
        <w:textAlignment w:val="baseline"/>
        <w:rPr>
          <w:rFonts w:ascii="宋体"/>
          <w:b/>
          <w:bCs/>
          <w:sz w:val="32"/>
          <w:szCs w:val="32"/>
          <w:lang w:val="zh-CN"/>
        </w:rPr>
      </w:pPr>
      <w:r>
        <w:rPr>
          <w:rFonts w:hint="eastAsia" w:ascii="宋体"/>
          <w:b/>
          <w:bCs/>
          <w:sz w:val="32"/>
          <w:szCs w:val="32"/>
          <w:lang w:val="zh-CN"/>
        </w:rPr>
        <w:br w:type="page"/>
      </w:r>
      <w:r>
        <w:rPr>
          <w:rFonts w:hint="eastAsia" w:ascii="宋体"/>
          <w:b/>
          <w:bCs/>
          <w:sz w:val="32"/>
          <w:szCs w:val="32"/>
          <w:lang w:val="zh-CN"/>
        </w:rPr>
        <w:t>第一部分</w:t>
      </w:r>
      <w:r>
        <w:rPr>
          <w:rFonts w:ascii="宋体"/>
          <w:b/>
          <w:bCs/>
          <w:sz w:val="32"/>
          <w:szCs w:val="32"/>
          <w:lang w:val="zh-CN"/>
        </w:rPr>
        <w:t xml:space="preserve">   </w:t>
      </w:r>
      <w:r>
        <w:rPr>
          <w:rFonts w:hint="eastAsia" w:ascii="宋体"/>
          <w:b/>
          <w:bCs/>
          <w:sz w:val="32"/>
          <w:szCs w:val="32"/>
          <w:lang w:val="zh-CN"/>
        </w:rPr>
        <w:t>投标邀请函（投标须知前附表）</w:t>
      </w:r>
    </w:p>
    <w:tbl>
      <w:tblPr>
        <w:tblStyle w:val="31"/>
        <w:tblW w:w="9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166"/>
      </w:tblGrid>
      <w:tr w14:paraId="51673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12" w:space="0"/>
            </w:tcBorders>
            <w:vAlign w:val="center"/>
          </w:tcPr>
          <w:p w14:paraId="2E18D0AA">
            <w:pPr>
              <w:spacing w:line="400" w:lineRule="atLeast"/>
              <w:jc w:val="center"/>
              <w:rPr>
                <w:rFonts w:ascii="宋体" w:hAnsi="宋体" w:cs="宋体"/>
                <w:sz w:val="22"/>
                <w:szCs w:val="22"/>
              </w:rPr>
            </w:pPr>
            <w:r>
              <w:rPr>
                <w:rFonts w:hint="eastAsia" w:ascii="宋体" w:hAnsi="宋体" w:cs="宋体"/>
                <w:sz w:val="22"/>
                <w:szCs w:val="22"/>
              </w:rPr>
              <w:t>项号</w:t>
            </w:r>
          </w:p>
        </w:tc>
        <w:tc>
          <w:tcPr>
            <w:tcW w:w="1600" w:type="dxa"/>
            <w:tcBorders>
              <w:top w:val="single" w:color="auto" w:sz="12" w:space="0"/>
            </w:tcBorders>
            <w:vAlign w:val="center"/>
          </w:tcPr>
          <w:p w14:paraId="1C6D8D58">
            <w:pPr>
              <w:spacing w:line="400" w:lineRule="atLeast"/>
              <w:jc w:val="center"/>
              <w:rPr>
                <w:rFonts w:ascii="宋体" w:hAnsi="宋体" w:cs="宋体"/>
                <w:sz w:val="22"/>
                <w:szCs w:val="22"/>
              </w:rPr>
            </w:pPr>
            <w:r>
              <w:rPr>
                <w:rFonts w:hint="eastAsia" w:ascii="宋体" w:hAnsi="宋体" w:cs="宋体"/>
                <w:sz w:val="22"/>
                <w:szCs w:val="22"/>
              </w:rPr>
              <w:t>内容</w:t>
            </w:r>
          </w:p>
        </w:tc>
        <w:tc>
          <w:tcPr>
            <w:tcW w:w="7166" w:type="dxa"/>
            <w:tcBorders>
              <w:top w:val="single" w:color="auto" w:sz="12" w:space="0"/>
            </w:tcBorders>
            <w:vAlign w:val="center"/>
          </w:tcPr>
          <w:p w14:paraId="306F6C47">
            <w:pPr>
              <w:spacing w:line="400" w:lineRule="atLeast"/>
              <w:jc w:val="center"/>
              <w:rPr>
                <w:rFonts w:ascii="宋体" w:hAnsi="宋体" w:cs="宋体"/>
                <w:sz w:val="22"/>
                <w:szCs w:val="22"/>
              </w:rPr>
            </w:pPr>
            <w:r>
              <w:rPr>
                <w:rFonts w:hint="eastAsia" w:ascii="宋体" w:hAnsi="宋体" w:cs="宋体"/>
                <w:sz w:val="22"/>
                <w:szCs w:val="22"/>
              </w:rPr>
              <w:t>说明与要求</w:t>
            </w:r>
          </w:p>
        </w:tc>
      </w:tr>
      <w:tr w14:paraId="2704C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EF961C4">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01E43AEB">
            <w:pPr>
              <w:jc w:val="center"/>
              <w:rPr>
                <w:rFonts w:ascii="宋体" w:hAnsi="宋体" w:cs="宋体"/>
                <w:sz w:val="22"/>
                <w:szCs w:val="22"/>
              </w:rPr>
            </w:pPr>
            <w:r>
              <w:rPr>
                <w:rFonts w:hint="eastAsia" w:ascii="宋体" w:hAnsi="宋体" w:cs="宋体"/>
                <w:sz w:val="22"/>
                <w:szCs w:val="22"/>
              </w:rPr>
              <w:t>项目名称</w:t>
            </w:r>
          </w:p>
        </w:tc>
        <w:tc>
          <w:tcPr>
            <w:tcW w:w="7166" w:type="dxa"/>
            <w:tcBorders>
              <w:top w:val="single" w:color="auto" w:sz="4" w:space="0"/>
              <w:left w:val="single" w:color="auto" w:sz="4" w:space="0"/>
              <w:right w:val="single" w:color="auto" w:sz="12" w:space="0"/>
            </w:tcBorders>
            <w:vAlign w:val="center"/>
          </w:tcPr>
          <w:p w14:paraId="322813A1">
            <w:pPr>
              <w:rPr>
                <w:rFonts w:ascii="宋体" w:hAnsi="宋体" w:cs="宋体"/>
                <w:sz w:val="22"/>
                <w:szCs w:val="22"/>
              </w:rPr>
            </w:pPr>
            <w:r>
              <w:rPr>
                <w:rFonts w:hint="eastAsia" w:ascii="宋体" w:hAnsi="宋体" w:cs="宋体"/>
                <w:sz w:val="22"/>
                <w:szCs w:val="22"/>
              </w:rPr>
              <w:t>泰顺县南浦溪镇环卫一体化和垃圾分类服务项目</w:t>
            </w:r>
          </w:p>
        </w:tc>
      </w:tr>
      <w:tr w14:paraId="6C1D9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17871B8F">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7995F7B">
            <w:pPr>
              <w:jc w:val="center"/>
              <w:rPr>
                <w:rFonts w:ascii="宋体" w:hAnsi="宋体" w:cs="宋体"/>
                <w:sz w:val="22"/>
                <w:szCs w:val="22"/>
              </w:rPr>
            </w:pPr>
            <w:r>
              <w:rPr>
                <w:rFonts w:hint="eastAsia" w:ascii="宋体" w:hAnsi="宋体" w:cs="宋体"/>
                <w:sz w:val="22"/>
                <w:szCs w:val="22"/>
              </w:rPr>
              <w:t>项目编号</w:t>
            </w:r>
          </w:p>
        </w:tc>
        <w:tc>
          <w:tcPr>
            <w:tcW w:w="7166" w:type="dxa"/>
            <w:tcBorders>
              <w:top w:val="single" w:color="auto" w:sz="4" w:space="0"/>
              <w:left w:val="single" w:color="auto" w:sz="4" w:space="0"/>
              <w:right w:val="single" w:color="auto" w:sz="12" w:space="0"/>
            </w:tcBorders>
            <w:vAlign w:val="center"/>
          </w:tcPr>
          <w:p w14:paraId="5593BD8C">
            <w:pPr>
              <w:rPr>
                <w:rFonts w:ascii="宋体" w:hAnsi="宋体" w:cs="宋体"/>
                <w:sz w:val="22"/>
                <w:szCs w:val="22"/>
              </w:rPr>
            </w:pPr>
            <w:r>
              <w:rPr>
                <w:rFonts w:hint="eastAsia" w:ascii="宋体" w:hAnsi="宋体" w:cs="宋体"/>
                <w:sz w:val="22"/>
                <w:szCs w:val="22"/>
                <w:lang w:eastAsia="zh-CN"/>
              </w:rPr>
              <w:t xml:space="preserve">TSCG202505002  </w:t>
            </w:r>
            <w:r>
              <w:rPr>
                <w:rFonts w:hint="eastAsia" w:ascii="宋体" w:hAnsi="宋体" w:cs="宋体"/>
                <w:sz w:val="22"/>
                <w:szCs w:val="22"/>
              </w:rPr>
              <w:t xml:space="preserve"> </w:t>
            </w:r>
          </w:p>
        </w:tc>
      </w:tr>
      <w:tr w14:paraId="42FEF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4ED403D6">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6B8DD93">
            <w:pPr>
              <w:jc w:val="center"/>
              <w:rPr>
                <w:rFonts w:ascii="宋体" w:hAnsi="宋体" w:cs="宋体"/>
                <w:sz w:val="22"/>
                <w:szCs w:val="22"/>
              </w:rPr>
            </w:pPr>
            <w:r>
              <w:rPr>
                <w:rFonts w:hint="eastAsia" w:ascii="宋体" w:hAnsi="宋体" w:cs="宋体"/>
                <w:sz w:val="22"/>
                <w:szCs w:val="22"/>
              </w:rPr>
              <w:t>资金来源</w:t>
            </w:r>
          </w:p>
        </w:tc>
        <w:tc>
          <w:tcPr>
            <w:tcW w:w="7166" w:type="dxa"/>
            <w:tcBorders>
              <w:top w:val="single" w:color="auto" w:sz="4" w:space="0"/>
              <w:left w:val="single" w:color="auto" w:sz="4" w:space="0"/>
              <w:right w:val="single" w:color="auto" w:sz="12" w:space="0"/>
            </w:tcBorders>
            <w:vAlign w:val="center"/>
          </w:tcPr>
          <w:p w14:paraId="40C9CC5A">
            <w:pPr>
              <w:rPr>
                <w:rFonts w:ascii="宋体" w:hAnsi="宋体" w:cs="宋体"/>
                <w:sz w:val="22"/>
                <w:szCs w:val="22"/>
              </w:rPr>
            </w:pPr>
            <w:r>
              <w:rPr>
                <w:rFonts w:hint="eastAsia" w:ascii="宋体" w:hAnsi="宋体" w:cs="宋体"/>
                <w:sz w:val="22"/>
                <w:szCs w:val="22"/>
                <w:lang w:val="en-US" w:eastAsia="zh-CN"/>
              </w:rPr>
              <w:t>财政统筹</w:t>
            </w:r>
            <w:r>
              <w:rPr>
                <w:rFonts w:hint="eastAsia" w:ascii="宋体" w:hAnsi="宋体" w:cs="宋体"/>
                <w:sz w:val="22"/>
                <w:szCs w:val="22"/>
              </w:rPr>
              <w:t>资金</w:t>
            </w:r>
          </w:p>
        </w:tc>
      </w:tr>
      <w:tr w14:paraId="73C6E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0C42604E">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3FA34A09">
            <w:pPr>
              <w:jc w:val="center"/>
              <w:rPr>
                <w:rFonts w:ascii="宋体" w:hAnsi="宋体" w:cs="宋体"/>
                <w:sz w:val="22"/>
                <w:szCs w:val="22"/>
              </w:rPr>
            </w:pPr>
            <w:r>
              <w:rPr>
                <w:rFonts w:hint="eastAsia" w:ascii="宋体" w:hAnsi="宋体" w:cs="宋体"/>
                <w:sz w:val="22"/>
                <w:szCs w:val="22"/>
              </w:rPr>
              <w:t>采购方式</w:t>
            </w:r>
          </w:p>
        </w:tc>
        <w:tc>
          <w:tcPr>
            <w:tcW w:w="7166" w:type="dxa"/>
            <w:tcBorders>
              <w:top w:val="single" w:color="auto" w:sz="4" w:space="0"/>
              <w:left w:val="single" w:color="auto" w:sz="4" w:space="0"/>
              <w:right w:val="single" w:color="auto" w:sz="12" w:space="0"/>
            </w:tcBorders>
            <w:vAlign w:val="center"/>
          </w:tcPr>
          <w:p w14:paraId="300AA16E">
            <w:pPr>
              <w:rPr>
                <w:rFonts w:ascii="宋体" w:hAnsi="宋体" w:cs="宋体"/>
                <w:sz w:val="22"/>
                <w:szCs w:val="22"/>
              </w:rPr>
            </w:pPr>
            <w:r>
              <w:rPr>
                <w:rFonts w:hint="eastAsia" w:ascii="宋体" w:hAnsi="宋体" w:cs="宋体"/>
                <w:sz w:val="22"/>
                <w:szCs w:val="22"/>
              </w:rPr>
              <w:t>竞争性磋商</w:t>
            </w:r>
          </w:p>
        </w:tc>
      </w:tr>
      <w:tr w14:paraId="68FB8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0697FFB">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173F882A">
            <w:pPr>
              <w:adjustRightInd w:val="0"/>
              <w:jc w:val="center"/>
              <w:rPr>
                <w:rFonts w:ascii="宋体" w:hAnsi="宋体" w:cs="宋体"/>
                <w:sz w:val="22"/>
                <w:szCs w:val="22"/>
              </w:rPr>
            </w:pPr>
            <w:r>
              <w:rPr>
                <w:rFonts w:hint="eastAsia" w:ascii="宋体" w:hAnsi="宋体" w:cs="宋体"/>
                <w:sz w:val="22"/>
                <w:szCs w:val="22"/>
              </w:rPr>
              <w:t>采购预算</w:t>
            </w:r>
          </w:p>
        </w:tc>
        <w:tc>
          <w:tcPr>
            <w:tcW w:w="7166" w:type="dxa"/>
            <w:tcBorders>
              <w:top w:val="single" w:color="auto" w:sz="4" w:space="0"/>
              <w:left w:val="single" w:color="auto" w:sz="4" w:space="0"/>
              <w:right w:val="single" w:color="auto" w:sz="12" w:space="0"/>
            </w:tcBorders>
            <w:vAlign w:val="center"/>
          </w:tcPr>
          <w:p w14:paraId="30657E6C">
            <w:pPr>
              <w:adjustRightInd w:val="0"/>
              <w:rPr>
                <w:rFonts w:ascii="宋体" w:hAnsi="宋体" w:cs="宋体"/>
                <w:sz w:val="22"/>
                <w:szCs w:val="22"/>
              </w:rPr>
            </w:pPr>
            <w:r>
              <w:rPr>
                <w:rFonts w:hint="eastAsia" w:ascii="宋体" w:hAnsi="宋体" w:cs="宋体"/>
                <w:sz w:val="22"/>
                <w:szCs w:val="22"/>
                <w:lang w:eastAsia="zh-CN"/>
              </w:rPr>
              <w:t>1749932</w:t>
            </w:r>
            <w:r>
              <w:rPr>
                <w:rFonts w:hint="eastAsia" w:ascii="宋体" w:hAnsi="宋体" w:cs="宋体"/>
                <w:sz w:val="22"/>
                <w:szCs w:val="22"/>
              </w:rPr>
              <w:t>元人民币</w:t>
            </w:r>
          </w:p>
        </w:tc>
      </w:tr>
      <w:tr w14:paraId="32D15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71FE2FD2">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FF68FB1">
            <w:pPr>
              <w:adjustRightInd w:val="0"/>
              <w:jc w:val="center"/>
              <w:rPr>
                <w:rFonts w:ascii="宋体" w:hAnsi="宋体" w:cs="宋体"/>
                <w:sz w:val="22"/>
                <w:szCs w:val="22"/>
              </w:rPr>
            </w:pPr>
            <w:r>
              <w:rPr>
                <w:rFonts w:hint="eastAsia" w:ascii="宋体" w:hAnsi="宋体" w:cs="宋体"/>
                <w:sz w:val="22"/>
                <w:szCs w:val="22"/>
              </w:rPr>
              <w:t>采购单位</w:t>
            </w:r>
          </w:p>
        </w:tc>
        <w:tc>
          <w:tcPr>
            <w:tcW w:w="7166" w:type="dxa"/>
            <w:tcBorders>
              <w:top w:val="single" w:color="auto" w:sz="4" w:space="0"/>
              <w:left w:val="single" w:color="auto" w:sz="4" w:space="0"/>
              <w:right w:val="single" w:color="auto" w:sz="12" w:space="0"/>
            </w:tcBorders>
            <w:vAlign w:val="center"/>
          </w:tcPr>
          <w:p w14:paraId="0994A586">
            <w:pPr>
              <w:adjustRightInd w:val="0"/>
              <w:rPr>
                <w:rFonts w:ascii="宋体" w:hAnsi="宋体" w:cs="宋体"/>
                <w:sz w:val="22"/>
                <w:szCs w:val="22"/>
              </w:rPr>
            </w:pPr>
            <w:r>
              <w:rPr>
                <w:rFonts w:hint="eastAsia" w:ascii="宋体" w:hAnsi="宋体" w:cs="宋体"/>
                <w:sz w:val="22"/>
                <w:szCs w:val="22"/>
                <w:lang w:val="zh-CN"/>
              </w:rPr>
              <w:t>泰顺县南浦溪新农村建设投资有限公司</w:t>
            </w:r>
          </w:p>
        </w:tc>
      </w:tr>
      <w:tr w14:paraId="3D64C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6" w:hRule="atLeast"/>
          <w:jc w:val="center"/>
        </w:trPr>
        <w:tc>
          <w:tcPr>
            <w:tcW w:w="952" w:type="dxa"/>
            <w:tcBorders>
              <w:top w:val="single" w:color="auto" w:sz="4" w:space="0"/>
              <w:left w:val="single" w:color="auto" w:sz="12" w:space="0"/>
              <w:right w:val="single" w:color="auto" w:sz="4" w:space="0"/>
            </w:tcBorders>
            <w:vAlign w:val="center"/>
          </w:tcPr>
          <w:p w14:paraId="6C19FDF6">
            <w:pPr>
              <w:widowControl/>
              <w:numPr>
                <w:ilvl w:val="0"/>
                <w:numId w:val="3"/>
              </w:numPr>
              <w:tabs>
                <w:tab w:val="left" w:pos="432"/>
              </w:tabs>
              <w:ind w:left="420" w:right="105"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7C3C9AE7">
            <w:pPr>
              <w:jc w:val="center"/>
              <w:rPr>
                <w:rFonts w:ascii="宋体" w:hAnsi="宋体" w:cs="宋体"/>
                <w:sz w:val="22"/>
                <w:szCs w:val="22"/>
              </w:rPr>
            </w:pPr>
            <w:r>
              <w:rPr>
                <w:rFonts w:hint="eastAsia" w:ascii="宋体" w:hAnsi="宋体" w:cs="宋体"/>
                <w:sz w:val="22"/>
                <w:szCs w:val="22"/>
              </w:rPr>
              <w:t>招标代理机构</w:t>
            </w:r>
          </w:p>
        </w:tc>
        <w:tc>
          <w:tcPr>
            <w:tcW w:w="7166" w:type="dxa"/>
            <w:tcBorders>
              <w:top w:val="single" w:color="auto" w:sz="4" w:space="0"/>
              <w:left w:val="single" w:color="auto" w:sz="4" w:space="0"/>
              <w:right w:val="single" w:color="auto" w:sz="12" w:space="0"/>
            </w:tcBorders>
            <w:vAlign w:val="center"/>
          </w:tcPr>
          <w:p w14:paraId="372918F4">
            <w:pPr>
              <w:adjustRightInd w:val="0"/>
              <w:rPr>
                <w:rFonts w:ascii="宋体" w:hAnsi="宋体" w:cs="宋体"/>
                <w:sz w:val="22"/>
                <w:szCs w:val="22"/>
              </w:rPr>
            </w:pPr>
            <w:r>
              <w:rPr>
                <w:rFonts w:hint="eastAsia" w:ascii="宋体" w:hAnsi="宋体" w:cs="宋体"/>
                <w:sz w:val="22"/>
                <w:szCs w:val="22"/>
              </w:rPr>
              <w:t>浙江金穗工程项目管理有限公司</w:t>
            </w:r>
          </w:p>
        </w:tc>
      </w:tr>
      <w:tr w14:paraId="59B71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523E037">
            <w:pPr>
              <w:widowControl/>
              <w:numPr>
                <w:ilvl w:val="0"/>
                <w:numId w:val="3"/>
              </w:numPr>
              <w:tabs>
                <w:tab w:val="left" w:pos="432"/>
              </w:tabs>
              <w:ind w:left="420" w:right="105"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62EB8B9A">
            <w:pPr>
              <w:jc w:val="center"/>
              <w:rPr>
                <w:rFonts w:ascii="宋体" w:hAnsi="宋体" w:cs="宋体"/>
                <w:sz w:val="22"/>
                <w:szCs w:val="22"/>
              </w:rPr>
            </w:pPr>
            <w:r>
              <w:rPr>
                <w:rFonts w:hint="eastAsia" w:ascii="宋体" w:hAnsi="宋体" w:cs="宋体"/>
                <w:sz w:val="22"/>
                <w:szCs w:val="22"/>
              </w:rPr>
              <w:t>评标办法</w:t>
            </w:r>
          </w:p>
        </w:tc>
        <w:tc>
          <w:tcPr>
            <w:tcW w:w="7166" w:type="dxa"/>
            <w:tcBorders>
              <w:top w:val="single" w:color="auto" w:sz="4" w:space="0"/>
              <w:left w:val="single" w:color="auto" w:sz="4" w:space="0"/>
              <w:right w:val="single" w:color="auto" w:sz="12" w:space="0"/>
            </w:tcBorders>
            <w:vAlign w:val="center"/>
          </w:tcPr>
          <w:p w14:paraId="6E5144B2">
            <w:pPr>
              <w:adjustRightInd w:val="0"/>
              <w:rPr>
                <w:rFonts w:ascii="宋体" w:hAnsi="宋体" w:cs="宋体"/>
                <w:sz w:val="22"/>
                <w:szCs w:val="22"/>
              </w:rPr>
            </w:pPr>
            <w:r>
              <w:rPr>
                <w:rFonts w:hint="eastAsia" w:ascii="宋体" w:hAnsi="宋体" w:cs="宋体"/>
                <w:sz w:val="22"/>
                <w:szCs w:val="22"/>
              </w:rPr>
              <w:t>综合评分法</w:t>
            </w:r>
          </w:p>
        </w:tc>
      </w:tr>
      <w:tr w14:paraId="20EBA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0959730B">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F8BB61E">
            <w:pPr>
              <w:jc w:val="center"/>
              <w:rPr>
                <w:rFonts w:ascii="宋体" w:hAnsi="宋体" w:cs="宋体"/>
                <w:sz w:val="22"/>
                <w:szCs w:val="22"/>
              </w:rPr>
            </w:pPr>
            <w:r>
              <w:rPr>
                <w:rFonts w:hint="eastAsia" w:ascii="宋体" w:hAnsi="宋体" w:cs="宋体"/>
                <w:sz w:val="22"/>
                <w:szCs w:val="22"/>
              </w:rPr>
              <w:t>招标内容</w:t>
            </w:r>
          </w:p>
        </w:tc>
        <w:tc>
          <w:tcPr>
            <w:tcW w:w="7166" w:type="dxa"/>
            <w:tcBorders>
              <w:top w:val="single" w:color="auto" w:sz="4" w:space="0"/>
              <w:left w:val="single" w:color="auto" w:sz="4" w:space="0"/>
              <w:right w:val="single" w:color="auto" w:sz="12" w:space="0"/>
            </w:tcBorders>
            <w:vAlign w:val="center"/>
          </w:tcPr>
          <w:p w14:paraId="1BCF2FAC">
            <w:pPr>
              <w:adjustRightInd w:val="0"/>
              <w:rPr>
                <w:rFonts w:ascii="宋体" w:hAnsi="宋体" w:cs="宋体"/>
                <w:sz w:val="22"/>
                <w:szCs w:val="22"/>
              </w:rPr>
            </w:pPr>
            <w:r>
              <w:rPr>
                <w:rFonts w:hint="eastAsia" w:ascii="宋体" w:hAnsi="宋体" w:cs="宋体"/>
                <w:sz w:val="22"/>
                <w:szCs w:val="22"/>
              </w:rPr>
              <w:t>具体内容见采购文件。</w:t>
            </w:r>
          </w:p>
        </w:tc>
      </w:tr>
      <w:tr w14:paraId="00B69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37" w:hRule="atLeast"/>
          <w:jc w:val="center"/>
        </w:trPr>
        <w:tc>
          <w:tcPr>
            <w:tcW w:w="952" w:type="dxa"/>
            <w:tcBorders>
              <w:top w:val="single" w:color="auto" w:sz="4" w:space="0"/>
              <w:left w:val="single" w:color="auto" w:sz="12" w:space="0"/>
              <w:right w:val="single" w:color="auto" w:sz="4" w:space="0"/>
            </w:tcBorders>
            <w:vAlign w:val="center"/>
          </w:tcPr>
          <w:p w14:paraId="0BBF8435">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62C886FF">
            <w:pPr>
              <w:jc w:val="center"/>
              <w:rPr>
                <w:rFonts w:ascii="宋体" w:hAnsi="宋体" w:cs="宋体"/>
                <w:sz w:val="22"/>
                <w:szCs w:val="22"/>
              </w:rPr>
            </w:pPr>
            <w:r>
              <w:rPr>
                <w:rFonts w:hint="eastAsia" w:ascii="宋体" w:hAnsi="宋体" w:cs="宋体"/>
                <w:sz w:val="22"/>
                <w:szCs w:val="22"/>
              </w:rPr>
              <w:t>投标供应商</w:t>
            </w:r>
          </w:p>
          <w:p w14:paraId="363B0BC1">
            <w:pPr>
              <w:jc w:val="center"/>
              <w:rPr>
                <w:rFonts w:ascii="宋体" w:hAnsi="宋体" w:cs="宋体"/>
                <w:sz w:val="22"/>
                <w:szCs w:val="22"/>
              </w:rPr>
            </w:pPr>
            <w:r>
              <w:rPr>
                <w:rFonts w:hint="eastAsia" w:ascii="宋体" w:hAnsi="宋体" w:cs="宋体"/>
                <w:sz w:val="22"/>
                <w:szCs w:val="22"/>
              </w:rPr>
              <w:t>资格要求</w:t>
            </w:r>
          </w:p>
        </w:tc>
        <w:tc>
          <w:tcPr>
            <w:tcW w:w="7166" w:type="dxa"/>
            <w:tcBorders>
              <w:top w:val="single" w:color="auto" w:sz="4" w:space="0"/>
              <w:left w:val="single" w:color="auto" w:sz="4" w:space="0"/>
              <w:right w:val="single" w:color="auto" w:sz="12" w:space="0"/>
            </w:tcBorders>
            <w:vAlign w:val="center"/>
          </w:tcPr>
          <w:p w14:paraId="7A77D408">
            <w:pPr>
              <w:pStyle w:val="27"/>
              <w:jc w:val="both"/>
              <w:textAlignment w:val="center"/>
              <w:rPr>
                <w:kern w:val="2"/>
              </w:rPr>
            </w:pPr>
            <w:r>
              <w:rPr>
                <w:rFonts w:hint="eastAsia"/>
                <w:kern w:val="2"/>
              </w:rPr>
              <w:t>（一）符合《</w:t>
            </w:r>
            <w:r>
              <w:rPr>
                <w:rFonts w:hint="eastAsia" w:hAnsi="Times New Roman" w:cs="Times New Roman"/>
                <w:kern w:val="2"/>
                <w:sz w:val="21"/>
                <w:szCs w:val="18"/>
              </w:rPr>
              <w:t>泰顺县县属国有企业采购管理办法（试行）</w:t>
            </w:r>
            <w:r>
              <w:rPr>
                <w:rFonts w:hint="eastAsia"/>
                <w:kern w:val="2"/>
              </w:rPr>
              <w:t>》第十二条对供应商参加温州市国有企业采购活动应当具备的条件的要求：</w:t>
            </w:r>
          </w:p>
          <w:p w14:paraId="0563F85F">
            <w:pPr>
              <w:pStyle w:val="27"/>
              <w:ind w:firstLine="420"/>
              <w:jc w:val="both"/>
              <w:textAlignment w:val="center"/>
              <w:rPr>
                <w:kern w:val="2"/>
              </w:rPr>
            </w:pPr>
            <w:r>
              <w:rPr>
                <w:rFonts w:hint="eastAsia"/>
                <w:kern w:val="2"/>
              </w:rPr>
              <w:t>（1）具有独立承担民事责任的能力；</w:t>
            </w:r>
          </w:p>
          <w:p w14:paraId="0E669389">
            <w:pPr>
              <w:pStyle w:val="27"/>
              <w:ind w:firstLine="420"/>
              <w:jc w:val="both"/>
              <w:textAlignment w:val="center"/>
              <w:rPr>
                <w:kern w:val="2"/>
              </w:rPr>
            </w:pPr>
            <w:r>
              <w:rPr>
                <w:rFonts w:hint="eastAsia"/>
                <w:kern w:val="2"/>
              </w:rPr>
              <w:t>（2）具有良好的商业信誉和健全的财务会计制度；</w:t>
            </w:r>
          </w:p>
          <w:p w14:paraId="37D680A6">
            <w:pPr>
              <w:pStyle w:val="27"/>
              <w:ind w:firstLine="420"/>
              <w:jc w:val="both"/>
              <w:textAlignment w:val="center"/>
              <w:rPr>
                <w:kern w:val="2"/>
              </w:rPr>
            </w:pPr>
            <w:r>
              <w:rPr>
                <w:rFonts w:hint="eastAsia"/>
                <w:kern w:val="2"/>
              </w:rPr>
              <w:t>（3）具有履行合同所必需的设备和专业技术、售后保障等能力；</w:t>
            </w:r>
          </w:p>
          <w:p w14:paraId="5A898F25">
            <w:pPr>
              <w:pStyle w:val="27"/>
              <w:ind w:firstLine="420"/>
              <w:jc w:val="both"/>
              <w:textAlignment w:val="center"/>
              <w:rPr>
                <w:kern w:val="2"/>
              </w:rPr>
            </w:pPr>
            <w:r>
              <w:rPr>
                <w:rFonts w:hint="eastAsia"/>
                <w:kern w:val="2"/>
              </w:rPr>
              <w:t>（4）有依法缴纳税收和社会保障资金的良好记录；</w:t>
            </w:r>
          </w:p>
          <w:p w14:paraId="0605223E">
            <w:pPr>
              <w:pStyle w:val="27"/>
              <w:ind w:firstLine="420"/>
              <w:jc w:val="both"/>
              <w:textAlignment w:val="center"/>
              <w:rPr>
                <w:kern w:val="2"/>
              </w:rPr>
            </w:pPr>
            <w:r>
              <w:rPr>
                <w:rFonts w:hint="eastAsia"/>
                <w:kern w:val="2"/>
              </w:rPr>
              <w:t>（5）参加采购、招投标等活动前三年内，在经营活动中没有重大违法记录、严重失信行为和行贿记录；</w:t>
            </w:r>
          </w:p>
          <w:p w14:paraId="41DAC2D4">
            <w:pPr>
              <w:pStyle w:val="27"/>
              <w:ind w:firstLine="420"/>
              <w:jc w:val="both"/>
              <w:textAlignment w:val="center"/>
              <w:rPr>
                <w:kern w:val="2"/>
              </w:rPr>
            </w:pPr>
            <w:r>
              <w:rPr>
                <w:rFonts w:hint="eastAsia"/>
                <w:kern w:val="2"/>
              </w:rPr>
              <w:t>（6）法律、行政法规规定的其他条件。</w:t>
            </w:r>
          </w:p>
          <w:p w14:paraId="2335478C">
            <w:pPr>
              <w:pStyle w:val="27"/>
              <w:jc w:val="both"/>
              <w:textAlignment w:val="center"/>
              <w:rPr>
                <w:kern w:val="2"/>
              </w:rPr>
            </w:pPr>
            <w:r>
              <w:rPr>
                <w:rFonts w:hint="eastAsia"/>
                <w:kern w:val="2"/>
              </w:rPr>
              <w:t>（二）未被“信用中国”（www.creditchina.gov.cn）、中国政府采购网（</w:t>
            </w:r>
            <w:r>
              <w:rPr>
                <w:rFonts w:hint="eastAsia"/>
                <w:kern w:val="2"/>
              </w:rPr>
              <w:fldChar w:fldCharType="begin"/>
            </w:r>
            <w:r>
              <w:instrText xml:space="preserve">HYPERLINK "http://www.ccgp.gov.cn/"</w:instrText>
            </w:r>
            <w:r>
              <w:rPr>
                <w:rFonts w:hint="eastAsia"/>
                <w:kern w:val="2"/>
              </w:rPr>
              <w:fldChar w:fldCharType="separate"/>
            </w:r>
            <w:r>
              <w:rPr>
                <w:rFonts w:hint="eastAsia"/>
                <w:kern w:val="2"/>
              </w:rPr>
              <w:t>www.ccgp.gov.cn</w:t>
            </w:r>
            <w:r>
              <w:rPr>
                <w:rFonts w:hint="eastAsia"/>
                <w:kern w:val="2"/>
              </w:rPr>
              <w:fldChar w:fldCharType="end"/>
            </w:r>
            <w:r>
              <w:rPr>
                <w:rFonts w:hint="eastAsia"/>
                <w:kern w:val="2"/>
              </w:rPr>
              <w:t>）列入失信被执行人、重大税收违法案件当事人名单、政府采购严重违法失信行为记录名单。</w:t>
            </w:r>
          </w:p>
          <w:p w14:paraId="3BC1BD2C">
            <w:pPr>
              <w:pStyle w:val="27"/>
              <w:jc w:val="both"/>
              <w:textAlignment w:val="center"/>
              <w:rPr>
                <w:kern w:val="2"/>
              </w:rPr>
            </w:pPr>
            <w:r>
              <w:rPr>
                <w:rFonts w:hint="eastAsia"/>
                <w:kern w:val="2"/>
              </w:rPr>
              <w:t>（三）落实采购政策需满足的资格要求：</w:t>
            </w:r>
            <w:r>
              <w:rPr>
                <w:rFonts w:hint="eastAsia"/>
                <w:kern w:val="28"/>
              </w:rPr>
              <w:t>本项目专门面向中小企业采购。</w:t>
            </w:r>
          </w:p>
          <w:p w14:paraId="1ED20FD5">
            <w:pPr>
              <w:pStyle w:val="27"/>
              <w:jc w:val="both"/>
              <w:textAlignment w:val="center"/>
              <w:rPr>
                <w:kern w:val="2"/>
              </w:rPr>
            </w:pPr>
            <w:r>
              <w:rPr>
                <w:rFonts w:hint="eastAsia"/>
                <w:kern w:val="2"/>
              </w:rPr>
              <w:t>（四）本项目不接受联合体。</w:t>
            </w:r>
          </w:p>
        </w:tc>
      </w:tr>
      <w:tr w14:paraId="53861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68" w:hRule="atLeast"/>
          <w:jc w:val="center"/>
        </w:trPr>
        <w:tc>
          <w:tcPr>
            <w:tcW w:w="952" w:type="dxa"/>
            <w:tcBorders>
              <w:top w:val="single" w:color="auto" w:sz="4" w:space="0"/>
              <w:left w:val="single" w:color="auto" w:sz="12" w:space="0"/>
              <w:right w:val="single" w:color="auto" w:sz="4" w:space="0"/>
            </w:tcBorders>
            <w:vAlign w:val="center"/>
          </w:tcPr>
          <w:p w14:paraId="6A610805">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17E18ACA">
            <w:pPr>
              <w:adjustRightInd w:val="0"/>
              <w:jc w:val="center"/>
              <w:rPr>
                <w:rFonts w:ascii="宋体" w:hAnsi="宋体" w:cs="宋体"/>
                <w:sz w:val="22"/>
                <w:szCs w:val="22"/>
              </w:rPr>
            </w:pPr>
            <w:r>
              <w:rPr>
                <w:rFonts w:hint="eastAsia" w:ascii="宋体" w:hAnsi="宋体" w:cs="宋体"/>
                <w:sz w:val="22"/>
                <w:szCs w:val="22"/>
              </w:rPr>
              <w:t>是否接收联合体投标</w:t>
            </w:r>
          </w:p>
        </w:tc>
        <w:tc>
          <w:tcPr>
            <w:tcW w:w="7166" w:type="dxa"/>
            <w:tcBorders>
              <w:top w:val="single" w:color="auto" w:sz="4" w:space="0"/>
              <w:left w:val="single" w:color="auto" w:sz="4" w:space="0"/>
              <w:right w:val="single" w:color="auto" w:sz="12" w:space="0"/>
            </w:tcBorders>
            <w:vAlign w:val="center"/>
          </w:tcPr>
          <w:p w14:paraId="140AFCDC">
            <w:pPr>
              <w:adjustRightInd w:val="0"/>
              <w:rPr>
                <w:rFonts w:ascii="宋体" w:hAnsi="宋体" w:cs="宋体"/>
                <w:sz w:val="22"/>
                <w:szCs w:val="22"/>
              </w:rPr>
            </w:pPr>
            <w:r>
              <w:rPr>
                <w:rFonts w:hint="eastAsia" w:ascii="宋体" w:hAnsi="宋体" w:cs="宋体"/>
                <w:sz w:val="22"/>
                <w:szCs w:val="22"/>
              </w:rPr>
              <w:t>☑不接受</w:t>
            </w:r>
          </w:p>
          <w:p w14:paraId="1D04653B">
            <w:pPr>
              <w:adjustRightInd w:val="0"/>
              <w:rPr>
                <w:rFonts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 xml:space="preserve">接收  </w:t>
            </w:r>
          </w:p>
        </w:tc>
      </w:tr>
      <w:tr w14:paraId="35CAD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31C5DD77">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5C3FECE2">
            <w:pPr>
              <w:adjustRightInd w:val="0"/>
              <w:jc w:val="center"/>
              <w:rPr>
                <w:rFonts w:ascii="宋体" w:hAnsi="宋体" w:cs="宋体"/>
                <w:sz w:val="22"/>
                <w:szCs w:val="22"/>
              </w:rPr>
            </w:pPr>
            <w:r>
              <w:rPr>
                <w:rFonts w:hint="eastAsia" w:ascii="宋体" w:hAnsi="宋体" w:cs="宋体"/>
                <w:sz w:val="22"/>
                <w:szCs w:val="22"/>
              </w:rPr>
              <w:t>踏勘现场</w:t>
            </w:r>
          </w:p>
        </w:tc>
        <w:tc>
          <w:tcPr>
            <w:tcW w:w="7166" w:type="dxa"/>
            <w:tcBorders>
              <w:top w:val="single" w:color="auto" w:sz="4" w:space="0"/>
              <w:left w:val="single" w:color="auto" w:sz="4" w:space="0"/>
              <w:right w:val="single" w:color="auto" w:sz="12" w:space="0"/>
            </w:tcBorders>
            <w:vAlign w:val="center"/>
          </w:tcPr>
          <w:p w14:paraId="5D2B1FB3">
            <w:pPr>
              <w:adjustRightInd w:val="0"/>
              <w:rPr>
                <w:rFonts w:ascii="宋体" w:hAnsi="宋体" w:cs="宋体"/>
                <w:sz w:val="22"/>
                <w:szCs w:val="22"/>
              </w:rPr>
            </w:pPr>
            <w:r>
              <w:rPr>
                <w:rFonts w:hint="eastAsia" w:ascii="宋体" w:hAnsi="宋体" w:cs="宋体"/>
                <w:sz w:val="22"/>
                <w:szCs w:val="22"/>
              </w:rPr>
              <w:t>☑不组织</w:t>
            </w:r>
          </w:p>
          <w:p w14:paraId="7A168964">
            <w:pPr>
              <w:adjustRightInd w:val="0"/>
              <w:rPr>
                <w:rFonts w:ascii="宋体" w:hAnsi="宋体" w:cs="宋体"/>
                <w:sz w:val="22"/>
                <w:szCs w:val="22"/>
              </w:rPr>
            </w:pPr>
            <w:r>
              <w:rPr>
                <w:rFonts w:hint="eastAsia" w:ascii="宋体" w:hAnsi="宋体" w:cs="宋体"/>
                <w:sz w:val="22"/>
                <w:szCs w:val="22"/>
              </w:rPr>
              <w:t xml:space="preserve">□组织   </w:t>
            </w:r>
          </w:p>
        </w:tc>
      </w:tr>
      <w:tr w14:paraId="003DB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tcBorders>
              <w:top w:val="single" w:color="auto" w:sz="4" w:space="0"/>
              <w:left w:val="single" w:color="auto" w:sz="12" w:space="0"/>
              <w:right w:val="single" w:color="auto" w:sz="4" w:space="0"/>
            </w:tcBorders>
            <w:vAlign w:val="center"/>
          </w:tcPr>
          <w:p w14:paraId="47AAE7E0">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483283D">
            <w:pPr>
              <w:adjustRightInd w:val="0"/>
              <w:jc w:val="center"/>
              <w:rPr>
                <w:rFonts w:ascii="宋体" w:hAnsi="宋体" w:cs="宋体"/>
                <w:sz w:val="22"/>
                <w:szCs w:val="22"/>
              </w:rPr>
            </w:pPr>
            <w:r>
              <w:rPr>
                <w:rFonts w:hint="eastAsia" w:ascii="宋体" w:hAnsi="宋体" w:cs="宋体"/>
                <w:sz w:val="22"/>
                <w:szCs w:val="22"/>
              </w:rPr>
              <w:t>是否允许递交备选供应商案</w:t>
            </w:r>
          </w:p>
        </w:tc>
        <w:tc>
          <w:tcPr>
            <w:tcW w:w="7166" w:type="dxa"/>
            <w:tcBorders>
              <w:top w:val="single" w:color="auto" w:sz="4" w:space="0"/>
              <w:left w:val="single" w:color="auto" w:sz="4" w:space="0"/>
              <w:right w:val="single" w:color="auto" w:sz="12" w:space="0"/>
            </w:tcBorders>
            <w:vAlign w:val="center"/>
          </w:tcPr>
          <w:p w14:paraId="6ED4CB97">
            <w:pPr>
              <w:adjustRightInd w:val="0"/>
              <w:rPr>
                <w:rFonts w:ascii="宋体" w:hAnsi="宋体" w:cs="宋体"/>
                <w:sz w:val="22"/>
                <w:szCs w:val="22"/>
              </w:rPr>
            </w:pPr>
            <w:r>
              <w:rPr>
                <w:rFonts w:hint="eastAsia" w:ascii="宋体" w:hAnsi="宋体" w:cs="宋体"/>
                <w:sz w:val="22"/>
                <w:szCs w:val="22"/>
              </w:rPr>
              <w:t>☑不允许</w:t>
            </w:r>
          </w:p>
          <w:p w14:paraId="00A2FB9E">
            <w:pPr>
              <w:adjustRightInd w:val="0"/>
              <w:rPr>
                <w:rFonts w:ascii="宋体" w:hAnsi="宋体" w:cs="宋体"/>
                <w:sz w:val="22"/>
                <w:szCs w:val="22"/>
              </w:rPr>
            </w:pPr>
            <w:r>
              <w:rPr>
                <w:rFonts w:hint="eastAsia" w:ascii="宋体" w:hAnsi="宋体" w:cs="宋体"/>
                <w:sz w:val="22"/>
                <w:szCs w:val="22"/>
              </w:rPr>
              <w:t>□ 允许</w:t>
            </w:r>
          </w:p>
        </w:tc>
      </w:tr>
      <w:tr w14:paraId="0E40C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6" w:hRule="atLeast"/>
          <w:jc w:val="center"/>
        </w:trPr>
        <w:tc>
          <w:tcPr>
            <w:tcW w:w="952" w:type="dxa"/>
            <w:tcBorders>
              <w:top w:val="single" w:color="auto" w:sz="4" w:space="0"/>
              <w:left w:val="single" w:color="auto" w:sz="12" w:space="0"/>
              <w:right w:val="single" w:color="auto" w:sz="4" w:space="0"/>
            </w:tcBorders>
            <w:vAlign w:val="center"/>
          </w:tcPr>
          <w:p w14:paraId="01397699">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62C867DF">
            <w:pPr>
              <w:adjustRightInd w:val="0"/>
              <w:jc w:val="center"/>
              <w:rPr>
                <w:rFonts w:ascii="宋体" w:hAnsi="宋体" w:cs="宋体"/>
                <w:sz w:val="22"/>
                <w:szCs w:val="22"/>
              </w:rPr>
            </w:pPr>
            <w:r>
              <w:rPr>
                <w:rFonts w:hint="eastAsia" w:ascii="宋体" w:hAnsi="宋体" w:cs="宋体"/>
                <w:sz w:val="22"/>
                <w:szCs w:val="22"/>
              </w:rPr>
              <w:t>投标货币</w:t>
            </w:r>
          </w:p>
        </w:tc>
        <w:tc>
          <w:tcPr>
            <w:tcW w:w="7166" w:type="dxa"/>
            <w:tcBorders>
              <w:top w:val="single" w:color="auto" w:sz="4" w:space="0"/>
              <w:left w:val="single" w:color="auto" w:sz="4" w:space="0"/>
              <w:right w:val="single" w:color="auto" w:sz="12" w:space="0"/>
            </w:tcBorders>
            <w:vAlign w:val="center"/>
          </w:tcPr>
          <w:p w14:paraId="2AE24364">
            <w:pPr>
              <w:adjustRightInd w:val="0"/>
              <w:rPr>
                <w:rFonts w:ascii="宋体" w:hAnsi="宋体" w:cs="宋体"/>
                <w:sz w:val="22"/>
                <w:szCs w:val="22"/>
              </w:rPr>
            </w:pPr>
            <w:r>
              <w:rPr>
                <w:rFonts w:hint="eastAsia" w:ascii="宋体" w:hAnsi="宋体" w:cs="宋体"/>
                <w:sz w:val="22"/>
                <w:szCs w:val="22"/>
              </w:rPr>
              <w:t>人民币</w:t>
            </w:r>
          </w:p>
        </w:tc>
      </w:tr>
      <w:tr w14:paraId="477DE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3" w:hRule="atLeast"/>
          <w:jc w:val="center"/>
        </w:trPr>
        <w:tc>
          <w:tcPr>
            <w:tcW w:w="952" w:type="dxa"/>
            <w:tcBorders>
              <w:top w:val="single" w:color="auto" w:sz="4" w:space="0"/>
              <w:left w:val="single" w:color="auto" w:sz="12" w:space="0"/>
              <w:right w:val="single" w:color="auto" w:sz="4" w:space="0"/>
            </w:tcBorders>
            <w:vAlign w:val="center"/>
          </w:tcPr>
          <w:p w14:paraId="43D55052">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FDC9DF5">
            <w:pPr>
              <w:adjustRightInd w:val="0"/>
              <w:jc w:val="center"/>
              <w:rPr>
                <w:rFonts w:ascii="宋体" w:hAnsi="宋体" w:cs="宋体"/>
                <w:sz w:val="22"/>
                <w:szCs w:val="22"/>
              </w:rPr>
            </w:pPr>
            <w:r>
              <w:rPr>
                <w:rFonts w:hint="eastAsia" w:ascii="宋体" w:hAnsi="宋体" w:cs="宋体"/>
                <w:sz w:val="22"/>
                <w:szCs w:val="22"/>
              </w:rPr>
              <w:t>投标语言</w:t>
            </w:r>
          </w:p>
        </w:tc>
        <w:tc>
          <w:tcPr>
            <w:tcW w:w="7166" w:type="dxa"/>
            <w:tcBorders>
              <w:top w:val="single" w:color="auto" w:sz="4" w:space="0"/>
              <w:left w:val="single" w:color="auto" w:sz="4" w:space="0"/>
              <w:right w:val="single" w:color="auto" w:sz="12" w:space="0"/>
            </w:tcBorders>
            <w:vAlign w:val="center"/>
          </w:tcPr>
          <w:p w14:paraId="187A3F22">
            <w:pPr>
              <w:adjustRightInd w:val="0"/>
              <w:rPr>
                <w:rFonts w:ascii="宋体" w:hAnsi="宋体" w:cs="宋体"/>
                <w:sz w:val="22"/>
                <w:szCs w:val="22"/>
              </w:rPr>
            </w:pPr>
            <w:r>
              <w:rPr>
                <w:rFonts w:hint="eastAsia" w:ascii="宋体" w:hAnsi="宋体" w:cs="宋体"/>
                <w:sz w:val="22"/>
                <w:szCs w:val="22"/>
              </w:rPr>
              <w:t>中文</w:t>
            </w:r>
          </w:p>
        </w:tc>
      </w:tr>
      <w:tr w14:paraId="0C64A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5CBF101F">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6B0A6373">
            <w:pPr>
              <w:jc w:val="center"/>
              <w:rPr>
                <w:rFonts w:ascii="宋体" w:hAnsi="宋体" w:cs="宋体"/>
                <w:sz w:val="22"/>
                <w:szCs w:val="22"/>
              </w:rPr>
            </w:pPr>
            <w:r>
              <w:rPr>
                <w:rFonts w:hint="eastAsia" w:ascii="宋体" w:hAnsi="宋体" w:cs="宋体"/>
                <w:sz w:val="22"/>
                <w:szCs w:val="22"/>
              </w:rPr>
              <w:t>投标文件份数</w:t>
            </w:r>
          </w:p>
        </w:tc>
        <w:tc>
          <w:tcPr>
            <w:tcW w:w="7166" w:type="dxa"/>
            <w:tcBorders>
              <w:top w:val="single" w:color="auto" w:sz="4" w:space="0"/>
              <w:left w:val="single" w:color="auto" w:sz="4" w:space="0"/>
              <w:right w:val="single" w:color="auto" w:sz="12" w:space="0"/>
            </w:tcBorders>
            <w:vAlign w:val="center"/>
          </w:tcPr>
          <w:p w14:paraId="042C9DF1">
            <w:pPr>
              <w:rPr>
                <w:rFonts w:ascii="宋体" w:hAnsi="宋体" w:cs="宋体"/>
                <w:sz w:val="22"/>
                <w:szCs w:val="22"/>
              </w:rPr>
            </w:pPr>
            <w:r>
              <w:rPr>
                <w:rFonts w:hint="eastAsia" w:ascii="宋体" w:hAnsi="宋体" w:cs="宋体"/>
                <w:sz w:val="22"/>
                <w:szCs w:val="22"/>
              </w:rPr>
              <w:t>成交供应商在领取成交通知书时向采购人提供全套纸质磋商响应文件</w:t>
            </w:r>
            <w:r>
              <w:rPr>
                <w:rFonts w:hint="eastAsia" w:ascii="宋体" w:hAnsi="宋体" w:cs="宋体"/>
                <w:sz w:val="22"/>
                <w:szCs w:val="22"/>
                <w:lang w:val="en-US" w:eastAsia="zh-CN"/>
              </w:rPr>
              <w:t>4</w:t>
            </w:r>
            <w:r>
              <w:rPr>
                <w:rFonts w:hint="eastAsia" w:ascii="宋体" w:hAnsi="宋体" w:cs="宋体"/>
                <w:sz w:val="22"/>
                <w:szCs w:val="22"/>
              </w:rPr>
              <w:t>份。另提供第二轮报价明细表并加盖公章，</w:t>
            </w:r>
            <w:r>
              <w:rPr>
                <w:rFonts w:hint="eastAsia" w:ascii="宋体" w:hAnsi="宋体" w:cs="宋体"/>
                <w:bCs/>
                <w:color w:val="auto"/>
                <w:sz w:val="24"/>
                <w:szCs w:val="24"/>
              </w:rPr>
              <w:t>正本1份，副本4份。</w:t>
            </w:r>
          </w:p>
        </w:tc>
      </w:tr>
      <w:tr w14:paraId="62D11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3" w:hRule="atLeast"/>
          <w:jc w:val="center"/>
        </w:trPr>
        <w:tc>
          <w:tcPr>
            <w:tcW w:w="952" w:type="dxa"/>
            <w:tcBorders>
              <w:top w:val="single" w:color="auto" w:sz="4" w:space="0"/>
              <w:left w:val="single" w:color="auto" w:sz="12" w:space="0"/>
              <w:right w:val="single" w:color="auto" w:sz="4" w:space="0"/>
            </w:tcBorders>
            <w:vAlign w:val="center"/>
          </w:tcPr>
          <w:p w14:paraId="63AC8F0C">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3D97D0EF">
            <w:pPr>
              <w:jc w:val="center"/>
              <w:rPr>
                <w:rFonts w:ascii="宋体" w:hAnsi="宋体" w:cs="宋体"/>
                <w:sz w:val="22"/>
                <w:szCs w:val="22"/>
              </w:rPr>
            </w:pPr>
            <w:r>
              <w:rPr>
                <w:rFonts w:hint="eastAsia" w:ascii="宋体" w:hAnsi="宋体" w:cs="宋体"/>
                <w:sz w:val="22"/>
                <w:szCs w:val="22"/>
              </w:rPr>
              <w:t>投标有效期</w:t>
            </w:r>
          </w:p>
        </w:tc>
        <w:tc>
          <w:tcPr>
            <w:tcW w:w="7166" w:type="dxa"/>
            <w:tcBorders>
              <w:top w:val="single" w:color="auto" w:sz="4" w:space="0"/>
              <w:left w:val="single" w:color="auto" w:sz="4" w:space="0"/>
              <w:right w:val="single" w:color="auto" w:sz="12" w:space="0"/>
            </w:tcBorders>
            <w:vAlign w:val="center"/>
          </w:tcPr>
          <w:p w14:paraId="2DF5FCDC">
            <w:pPr>
              <w:rPr>
                <w:rFonts w:ascii="宋体" w:hAnsi="宋体" w:cs="宋体"/>
                <w:sz w:val="22"/>
                <w:szCs w:val="22"/>
              </w:rPr>
            </w:pPr>
            <w:r>
              <w:rPr>
                <w:rFonts w:hint="eastAsia" w:ascii="宋体" w:hAnsi="宋体" w:cs="宋体"/>
                <w:sz w:val="22"/>
                <w:szCs w:val="22"/>
              </w:rPr>
              <w:t>提交投标文件截止时间起90天内</w:t>
            </w:r>
          </w:p>
        </w:tc>
      </w:tr>
      <w:tr w14:paraId="130E0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7FA868DC">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146E8D14">
            <w:pPr>
              <w:jc w:val="center"/>
              <w:rPr>
                <w:rFonts w:ascii="宋体" w:hAnsi="宋体" w:cs="宋体"/>
                <w:sz w:val="22"/>
                <w:szCs w:val="22"/>
              </w:rPr>
            </w:pPr>
            <w:r>
              <w:rPr>
                <w:rFonts w:hint="eastAsia" w:ascii="宋体" w:hAnsi="宋体" w:cs="宋体"/>
                <w:sz w:val="22"/>
                <w:szCs w:val="22"/>
              </w:rPr>
              <w:t>签字或盖章</w:t>
            </w:r>
          </w:p>
          <w:p w14:paraId="4F9DCB34">
            <w:pPr>
              <w:jc w:val="center"/>
              <w:rPr>
                <w:rFonts w:ascii="宋体" w:hAnsi="宋体" w:cs="宋体"/>
                <w:sz w:val="22"/>
                <w:szCs w:val="22"/>
              </w:rPr>
            </w:pPr>
            <w:r>
              <w:rPr>
                <w:rFonts w:hint="eastAsia" w:ascii="宋体" w:hAnsi="宋体" w:cs="宋体"/>
                <w:sz w:val="22"/>
                <w:szCs w:val="22"/>
              </w:rPr>
              <w:t>要求</w:t>
            </w:r>
          </w:p>
        </w:tc>
        <w:tc>
          <w:tcPr>
            <w:tcW w:w="7166" w:type="dxa"/>
            <w:tcBorders>
              <w:top w:val="single" w:color="auto" w:sz="4" w:space="0"/>
              <w:left w:val="single" w:color="auto" w:sz="4" w:space="0"/>
              <w:right w:val="single" w:color="auto" w:sz="12" w:space="0"/>
            </w:tcBorders>
            <w:vAlign w:val="center"/>
          </w:tcPr>
          <w:p w14:paraId="7EDF922A">
            <w:pPr>
              <w:jc w:val="left"/>
              <w:rPr>
                <w:rFonts w:ascii="宋体" w:hAnsi="宋体" w:cs="宋体"/>
                <w:sz w:val="22"/>
                <w:szCs w:val="22"/>
              </w:rPr>
            </w:pPr>
            <w:r>
              <w:rPr>
                <w:rFonts w:hint="eastAsia" w:ascii="宋体" w:hAnsi="宋体" w:cs="宋体"/>
                <w:sz w:val="22"/>
                <w:szCs w:val="22"/>
              </w:rPr>
              <w:t>投标文件的正本均须按招标文件格式要求，由投标供应商加盖单位公章和法定代表人或其授权代表印章（或签字）。投标文件中所涉及的公章必须是投标供应商全称的公章，不得使用投标专用章、合同章等类似图章代替。</w:t>
            </w:r>
          </w:p>
        </w:tc>
      </w:tr>
      <w:tr w14:paraId="65AE1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tcBorders>
              <w:top w:val="single" w:color="auto" w:sz="4" w:space="0"/>
              <w:left w:val="single" w:color="auto" w:sz="12" w:space="0"/>
              <w:right w:val="single" w:color="auto" w:sz="4" w:space="0"/>
            </w:tcBorders>
            <w:vAlign w:val="center"/>
          </w:tcPr>
          <w:p w14:paraId="78FF3E84">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76017692">
            <w:pPr>
              <w:jc w:val="center"/>
              <w:rPr>
                <w:rFonts w:ascii="宋体" w:hAnsi="宋体" w:cs="宋体"/>
                <w:sz w:val="22"/>
                <w:szCs w:val="22"/>
              </w:rPr>
            </w:pPr>
            <w:r>
              <w:rPr>
                <w:rFonts w:hint="eastAsia" w:ascii="宋体" w:hAnsi="宋体" w:cs="宋体"/>
                <w:sz w:val="22"/>
                <w:szCs w:val="22"/>
              </w:rPr>
              <w:t>密封、装订要求</w:t>
            </w:r>
          </w:p>
        </w:tc>
        <w:tc>
          <w:tcPr>
            <w:tcW w:w="7166" w:type="dxa"/>
            <w:tcBorders>
              <w:top w:val="single" w:color="auto" w:sz="4" w:space="0"/>
              <w:left w:val="single" w:color="auto" w:sz="4" w:space="0"/>
              <w:right w:val="single" w:color="auto" w:sz="12" w:space="0"/>
            </w:tcBorders>
            <w:vAlign w:val="center"/>
          </w:tcPr>
          <w:p w14:paraId="010C135C">
            <w:pPr>
              <w:jc w:val="left"/>
              <w:rPr>
                <w:rFonts w:ascii="宋体" w:hAnsi="宋体" w:cs="宋体"/>
                <w:sz w:val="22"/>
                <w:szCs w:val="22"/>
              </w:rPr>
            </w:pPr>
            <w:r>
              <w:rPr>
                <w:rFonts w:hint="eastAsia" w:ascii="宋体" w:hAnsi="宋体" w:cs="宋体"/>
                <w:sz w:val="22"/>
                <w:szCs w:val="22"/>
              </w:rPr>
              <w:t>投标供应商应将投标文件的商务报价文件与技术资信部分投标文件分开包装密封，包装应有投标供应商公章及法定代表人或其授权代表签字。如投标文件的商务报价文件与技术资信部分投标文件未分开制作与包装或未密封，投标文件将被拒绝接收。</w:t>
            </w:r>
          </w:p>
        </w:tc>
      </w:tr>
      <w:tr w14:paraId="2EA47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952" w:type="dxa"/>
            <w:tcBorders>
              <w:top w:val="single" w:color="auto" w:sz="4" w:space="0"/>
              <w:left w:val="single" w:color="auto" w:sz="12" w:space="0"/>
              <w:right w:val="single" w:color="auto" w:sz="4" w:space="0"/>
            </w:tcBorders>
            <w:vAlign w:val="center"/>
          </w:tcPr>
          <w:p w14:paraId="5B8305DF">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541CBEE5">
            <w:pPr>
              <w:adjustRightInd w:val="0"/>
              <w:jc w:val="center"/>
              <w:rPr>
                <w:rFonts w:ascii="宋体" w:hAnsi="宋体" w:cs="宋体"/>
                <w:b/>
                <w:bCs/>
                <w:sz w:val="22"/>
                <w:szCs w:val="22"/>
              </w:rPr>
            </w:pPr>
            <w:r>
              <w:rPr>
                <w:rFonts w:hint="eastAsia" w:ascii="宋体" w:hAnsi="宋体" w:cs="宋体"/>
                <w:sz w:val="22"/>
                <w:szCs w:val="22"/>
              </w:rPr>
              <w:t>投标样品</w:t>
            </w:r>
          </w:p>
        </w:tc>
        <w:tc>
          <w:tcPr>
            <w:tcW w:w="7166" w:type="dxa"/>
            <w:tcBorders>
              <w:top w:val="single" w:color="auto" w:sz="4" w:space="0"/>
              <w:left w:val="single" w:color="auto" w:sz="4" w:space="0"/>
              <w:right w:val="single" w:color="auto" w:sz="12" w:space="0"/>
            </w:tcBorders>
            <w:vAlign w:val="center"/>
          </w:tcPr>
          <w:p w14:paraId="71AC9381">
            <w:pPr>
              <w:adjustRightInd w:val="0"/>
              <w:rPr>
                <w:rFonts w:ascii="宋体" w:hAnsi="宋体" w:cs="宋体"/>
                <w:sz w:val="22"/>
                <w:szCs w:val="22"/>
              </w:rPr>
            </w:pPr>
            <w:r>
              <w:rPr>
                <w:rFonts w:hint="eastAsia" w:ascii="宋体" w:hAnsi="宋体" w:cs="宋体"/>
                <w:sz w:val="22"/>
                <w:szCs w:val="22"/>
              </w:rPr>
              <w:t>☑不需要</w:t>
            </w:r>
          </w:p>
          <w:p w14:paraId="075A6633">
            <w:pPr>
              <w:adjustRightInd w:val="0"/>
              <w:rPr>
                <w:rFonts w:ascii="宋体" w:hAnsi="宋体" w:cs="宋体"/>
                <w:b/>
                <w:bCs/>
                <w:sz w:val="22"/>
                <w:szCs w:val="22"/>
              </w:rPr>
            </w:pPr>
            <w:r>
              <w:rPr>
                <w:rFonts w:hint="eastAsia" w:ascii="宋体" w:hAnsi="宋体" w:cs="宋体"/>
                <w:sz w:val="22"/>
                <w:szCs w:val="22"/>
              </w:rPr>
              <w:t>□需要，按招标文件要求提供。</w:t>
            </w:r>
          </w:p>
        </w:tc>
      </w:tr>
      <w:tr w14:paraId="6A2DB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6" w:hRule="atLeast"/>
          <w:jc w:val="center"/>
        </w:trPr>
        <w:tc>
          <w:tcPr>
            <w:tcW w:w="952" w:type="dxa"/>
            <w:tcBorders>
              <w:top w:val="single" w:color="auto" w:sz="4" w:space="0"/>
              <w:left w:val="single" w:color="auto" w:sz="12" w:space="0"/>
              <w:right w:val="single" w:color="auto" w:sz="4" w:space="0"/>
            </w:tcBorders>
            <w:vAlign w:val="center"/>
          </w:tcPr>
          <w:p w14:paraId="745071A2">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3D676A63">
            <w:pPr>
              <w:adjustRightInd w:val="0"/>
              <w:jc w:val="center"/>
              <w:rPr>
                <w:rFonts w:ascii="宋体" w:hAnsi="宋体" w:cs="宋体"/>
                <w:sz w:val="22"/>
                <w:szCs w:val="22"/>
              </w:rPr>
            </w:pPr>
            <w:r>
              <w:rPr>
                <w:rFonts w:hint="eastAsia" w:ascii="宋体" w:hAnsi="宋体" w:cs="宋体"/>
                <w:sz w:val="22"/>
                <w:szCs w:val="22"/>
              </w:rPr>
              <w:t>履约担保</w:t>
            </w:r>
          </w:p>
        </w:tc>
        <w:tc>
          <w:tcPr>
            <w:tcW w:w="7166" w:type="dxa"/>
            <w:tcBorders>
              <w:top w:val="single" w:color="auto" w:sz="4" w:space="0"/>
              <w:left w:val="single" w:color="auto" w:sz="4" w:space="0"/>
              <w:right w:val="single" w:color="auto" w:sz="12" w:space="0"/>
            </w:tcBorders>
            <w:vAlign w:val="center"/>
          </w:tcPr>
          <w:p w14:paraId="1221B5CA">
            <w:pPr>
              <w:adjustRightInd w:val="0"/>
              <w:rPr>
                <w:rFonts w:ascii="宋体" w:hAnsi="宋体" w:cs="宋体"/>
                <w:sz w:val="22"/>
                <w:szCs w:val="22"/>
              </w:rPr>
            </w:pPr>
            <w:r>
              <w:rPr>
                <w:rFonts w:hint="eastAsia" w:ascii="宋体" w:hAnsi="宋体" w:cs="宋体"/>
                <w:sz w:val="22"/>
                <w:szCs w:val="22"/>
              </w:rPr>
              <w:t>□不需要</w:t>
            </w:r>
          </w:p>
          <w:p w14:paraId="213C940B">
            <w:pPr>
              <w:adjustRightInd w:val="0"/>
              <w:rPr>
                <w:rFonts w:ascii="宋体" w:hAnsi="宋体" w:cs="宋体"/>
                <w:sz w:val="22"/>
                <w:szCs w:val="22"/>
              </w:rPr>
            </w:pPr>
            <w:r>
              <w:rPr>
                <w:rFonts w:hint="eastAsia" w:ascii="宋体" w:hAnsi="宋体" w:cs="宋体"/>
                <w:sz w:val="22"/>
                <w:szCs w:val="22"/>
              </w:rPr>
              <w:t>☑需要。</w:t>
            </w:r>
            <w:r>
              <w:rPr>
                <w:rFonts w:hint="eastAsia" w:ascii="宋体" w:hAnsi="宋体" w:cs="宋体"/>
                <w:bCs/>
                <w:sz w:val="22"/>
                <w:szCs w:val="22"/>
              </w:rPr>
              <w:t>合同签订后5个工作日内成交供应商应提供合同总金额1%的履约保证金至采购单位指定账户，供应商以银行、保险公司出具保函形式提交履约保证金的，采购人不得拒收。</w:t>
            </w:r>
          </w:p>
        </w:tc>
      </w:tr>
      <w:tr w14:paraId="7B64B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952" w:type="dxa"/>
            <w:tcBorders>
              <w:top w:val="single" w:color="auto" w:sz="4" w:space="0"/>
              <w:left w:val="single" w:color="auto" w:sz="12" w:space="0"/>
              <w:right w:val="single" w:color="auto" w:sz="4" w:space="0"/>
            </w:tcBorders>
            <w:vAlign w:val="center"/>
          </w:tcPr>
          <w:p w14:paraId="5CEE086C">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14E3E6FB">
            <w:pPr>
              <w:jc w:val="center"/>
              <w:rPr>
                <w:rFonts w:ascii="宋体" w:hAnsi="宋体" w:cs="宋体"/>
                <w:sz w:val="22"/>
                <w:szCs w:val="22"/>
              </w:rPr>
            </w:pPr>
            <w:r>
              <w:rPr>
                <w:rFonts w:hint="eastAsia" w:ascii="宋体" w:hAnsi="宋体" w:cs="宋体"/>
                <w:sz w:val="22"/>
                <w:szCs w:val="22"/>
              </w:rPr>
              <w:t>招标文件获取方式</w:t>
            </w:r>
          </w:p>
        </w:tc>
        <w:tc>
          <w:tcPr>
            <w:tcW w:w="7166" w:type="dxa"/>
            <w:tcBorders>
              <w:top w:val="single" w:color="auto" w:sz="4" w:space="0"/>
              <w:left w:val="single" w:color="auto" w:sz="4" w:space="0"/>
              <w:right w:val="single" w:color="auto" w:sz="12" w:space="0"/>
            </w:tcBorders>
            <w:vAlign w:val="center"/>
          </w:tcPr>
          <w:p w14:paraId="075D738D">
            <w:pPr>
              <w:adjustRightInd w:val="0"/>
              <w:spacing w:line="280" w:lineRule="exact"/>
              <w:jc w:val="left"/>
              <w:rPr>
                <w:rFonts w:ascii="宋体" w:hAnsi="宋体" w:cs="宋体"/>
                <w:sz w:val="22"/>
                <w:szCs w:val="22"/>
              </w:rPr>
            </w:pPr>
            <w:r>
              <w:rPr>
                <w:rFonts w:hint="eastAsia"/>
                <w:lang w:eastAsia="zh-CN"/>
              </w:rPr>
              <w:t>乐采云平台（www.lecaiyun.com）</w:t>
            </w:r>
            <w:r>
              <w:rPr>
                <w:rFonts w:hint="eastAsia"/>
              </w:rPr>
              <w:t>或</w:t>
            </w:r>
            <w:r>
              <w:rPr>
                <w:rFonts w:hint="eastAsia" w:ascii="宋体" w:hAnsi="宋体" w:cs="宋体"/>
                <w:sz w:val="22"/>
                <w:szCs w:val="22"/>
              </w:rPr>
              <w:t>泰顺县人民政府网（http://122.228.219.161/TPFront/进入左下角“基本信息公开-招标信息”）直接下载。</w:t>
            </w:r>
          </w:p>
        </w:tc>
      </w:tr>
      <w:tr w14:paraId="604FF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5" w:hRule="atLeast"/>
          <w:jc w:val="center"/>
        </w:trPr>
        <w:tc>
          <w:tcPr>
            <w:tcW w:w="952" w:type="dxa"/>
            <w:tcBorders>
              <w:top w:val="single" w:color="auto" w:sz="4" w:space="0"/>
              <w:left w:val="single" w:color="auto" w:sz="12" w:space="0"/>
              <w:right w:val="single" w:color="auto" w:sz="4" w:space="0"/>
            </w:tcBorders>
            <w:vAlign w:val="center"/>
          </w:tcPr>
          <w:p w14:paraId="36F14FA8">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082AD569">
            <w:pPr>
              <w:jc w:val="center"/>
              <w:rPr>
                <w:rFonts w:ascii="宋体" w:hAnsi="宋体" w:cs="宋体"/>
                <w:sz w:val="22"/>
                <w:szCs w:val="22"/>
              </w:rPr>
            </w:pPr>
            <w:r>
              <w:rPr>
                <w:rFonts w:hint="eastAsia" w:ascii="宋体" w:hAnsi="宋体" w:cs="宋体"/>
                <w:sz w:val="22"/>
                <w:szCs w:val="22"/>
              </w:rPr>
              <w:t>投标截止时间</w:t>
            </w:r>
          </w:p>
        </w:tc>
        <w:tc>
          <w:tcPr>
            <w:tcW w:w="7166" w:type="dxa"/>
            <w:tcBorders>
              <w:top w:val="single" w:color="auto" w:sz="4" w:space="0"/>
              <w:left w:val="single" w:color="auto" w:sz="4" w:space="0"/>
              <w:right w:val="single" w:color="auto" w:sz="12" w:space="0"/>
            </w:tcBorders>
            <w:vAlign w:val="center"/>
          </w:tcPr>
          <w:p w14:paraId="10E57571">
            <w:r>
              <w:rPr>
                <w:rFonts w:hint="eastAsia" w:ascii="宋体" w:hAnsi="宋体" w:cs="宋体"/>
                <w:sz w:val="22"/>
                <w:szCs w:val="22"/>
                <w:lang w:eastAsia="zh-CN"/>
              </w:rPr>
              <w:t>2025年5月26日</w:t>
            </w:r>
            <w:r>
              <w:rPr>
                <w:rFonts w:hint="eastAsia" w:ascii="宋体" w:hAnsi="宋体" w:cs="宋体"/>
                <w:sz w:val="22"/>
                <w:szCs w:val="22"/>
              </w:rPr>
              <w:t>15:00截止(北京时间)。</w:t>
            </w:r>
          </w:p>
        </w:tc>
      </w:tr>
      <w:tr w14:paraId="6A2E3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21" w:hRule="atLeast"/>
          <w:jc w:val="center"/>
        </w:trPr>
        <w:tc>
          <w:tcPr>
            <w:tcW w:w="952" w:type="dxa"/>
            <w:tcBorders>
              <w:top w:val="single" w:color="auto" w:sz="4" w:space="0"/>
              <w:left w:val="single" w:color="auto" w:sz="12" w:space="0"/>
              <w:right w:val="single" w:color="auto" w:sz="4" w:space="0"/>
            </w:tcBorders>
            <w:vAlign w:val="center"/>
          </w:tcPr>
          <w:p w14:paraId="77550DF0">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4E98A7ED">
            <w:pPr>
              <w:jc w:val="center"/>
              <w:rPr>
                <w:rFonts w:ascii="宋体" w:hAnsi="宋体" w:cs="宋体"/>
                <w:sz w:val="22"/>
                <w:szCs w:val="22"/>
              </w:rPr>
            </w:pPr>
            <w:r>
              <w:rPr>
                <w:rFonts w:hint="eastAsia" w:ascii="宋体" w:hAnsi="宋体" w:cs="宋体"/>
                <w:sz w:val="22"/>
                <w:szCs w:val="22"/>
              </w:rPr>
              <w:t>投标文件递交注意事项</w:t>
            </w:r>
          </w:p>
        </w:tc>
        <w:tc>
          <w:tcPr>
            <w:tcW w:w="7166" w:type="dxa"/>
            <w:tcBorders>
              <w:top w:val="single" w:color="auto" w:sz="4" w:space="0"/>
              <w:left w:val="single" w:color="auto" w:sz="4" w:space="0"/>
              <w:right w:val="single" w:color="auto" w:sz="12" w:space="0"/>
            </w:tcBorders>
            <w:vAlign w:val="center"/>
          </w:tcPr>
          <w:p w14:paraId="6ECACECB">
            <w:pPr>
              <w:rPr>
                <w:rFonts w:ascii="宋体" w:hAnsi="宋体" w:cs="宋体"/>
                <w:sz w:val="22"/>
                <w:szCs w:val="22"/>
              </w:rPr>
            </w:pPr>
            <w:r>
              <w:rPr>
                <w:rFonts w:hint="eastAsia" w:ascii="宋体" w:hAnsi="宋体" w:cs="宋体"/>
                <w:sz w:val="22"/>
                <w:szCs w:val="22"/>
              </w:rPr>
              <w:t>有意参与投标者，请于投标截止时间前由投标人的法定代表人或授权委托人将其投标文件送至开标地点即可；</w:t>
            </w:r>
          </w:p>
          <w:p w14:paraId="3B3D50B7">
            <w:pPr>
              <w:rPr>
                <w:rFonts w:ascii="宋体" w:hAnsi="宋体" w:cs="宋体"/>
                <w:sz w:val="22"/>
                <w:szCs w:val="22"/>
              </w:rPr>
            </w:pPr>
            <w:r>
              <w:rPr>
                <w:rFonts w:hint="eastAsia" w:ascii="宋体" w:hAnsi="宋体" w:cs="宋体"/>
                <w:sz w:val="22"/>
                <w:szCs w:val="22"/>
              </w:rPr>
              <w:t>投标单位递交投标文件时须向招标代理机构提供以下资料：</w:t>
            </w:r>
          </w:p>
          <w:p w14:paraId="1D2BE14A">
            <w:pPr>
              <w:rPr>
                <w:rFonts w:ascii="宋体" w:hAnsi="宋体" w:cs="宋体"/>
                <w:sz w:val="22"/>
                <w:szCs w:val="22"/>
              </w:rPr>
            </w:pPr>
            <w:r>
              <w:rPr>
                <w:rFonts w:hint="eastAsia" w:ascii="宋体" w:hAnsi="宋体" w:cs="宋体"/>
                <w:sz w:val="22"/>
                <w:szCs w:val="22"/>
              </w:rPr>
              <w:t>①提供营业执照复印件（加盖单位公章）；</w:t>
            </w:r>
          </w:p>
          <w:p w14:paraId="6151192E">
            <w:pPr>
              <w:rPr>
                <w:rFonts w:ascii="宋体" w:hAnsi="宋体" w:cs="宋体"/>
                <w:sz w:val="22"/>
                <w:szCs w:val="22"/>
              </w:rPr>
            </w:pPr>
            <w:r>
              <w:rPr>
                <w:rFonts w:hint="eastAsia" w:ascii="宋体" w:hAnsi="宋体" w:cs="宋体"/>
                <w:sz w:val="22"/>
                <w:szCs w:val="22"/>
              </w:rPr>
              <w:t>②法定代表人授权书原件或法定代表人身份证明书原件；</w:t>
            </w:r>
          </w:p>
          <w:p w14:paraId="6D057D5F">
            <w:pPr>
              <w:rPr>
                <w:rFonts w:ascii="宋体" w:hAnsi="宋体" w:cs="宋体"/>
                <w:sz w:val="22"/>
                <w:szCs w:val="22"/>
              </w:rPr>
            </w:pPr>
            <w:r>
              <w:rPr>
                <w:rFonts w:hint="eastAsia" w:ascii="宋体" w:hAnsi="宋体" w:cs="宋体"/>
                <w:sz w:val="22"/>
                <w:szCs w:val="22"/>
              </w:rPr>
              <w:t>③合法有效的身份证明复印件；</w:t>
            </w:r>
          </w:p>
        </w:tc>
      </w:tr>
      <w:tr w14:paraId="0579D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06" w:hRule="atLeast"/>
          <w:jc w:val="center"/>
        </w:trPr>
        <w:tc>
          <w:tcPr>
            <w:tcW w:w="952" w:type="dxa"/>
            <w:tcBorders>
              <w:top w:val="single" w:color="auto" w:sz="4" w:space="0"/>
              <w:left w:val="single" w:color="auto" w:sz="12" w:space="0"/>
              <w:right w:val="single" w:color="auto" w:sz="4" w:space="0"/>
            </w:tcBorders>
            <w:vAlign w:val="center"/>
          </w:tcPr>
          <w:p w14:paraId="3147CBF5">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7C4FA4C3">
            <w:pPr>
              <w:jc w:val="center"/>
              <w:rPr>
                <w:rFonts w:ascii="宋体" w:hAnsi="宋体" w:cs="宋体"/>
                <w:sz w:val="22"/>
                <w:szCs w:val="22"/>
              </w:rPr>
            </w:pPr>
            <w:r>
              <w:rPr>
                <w:rFonts w:hint="eastAsia" w:ascii="宋体" w:hAnsi="宋体" w:cs="宋体"/>
                <w:sz w:val="22"/>
                <w:szCs w:val="22"/>
              </w:rPr>
              <w:t>开标时间</w:t>
            </w:r>
          </w:p>
          <w:p w14:paraId="78C94302">
            <w:pPr>
              <w:jc w:val="center"/>
              <w:rPr>
                <w:rFonts w:ascii="宋体" w:hAnsi="宋体" w:cs="宋体"/>
                <w:sz w:val="22"/>
                <w:szCs w:val="22"/>
              </w:rPr>
            </w:pPr>
            <w:r>
              <w:rPr>
                <w:rFonts w:hint="eastAsia" w:ascii="宋体" w:hAnsi="宋体" w:cs="宋体"/>
                <w:sz w:val="22"/>
                <w:szCs w:val="22"/>
              </w:rPr>
              <w:t>开标地点</w:t>
            </w:r>
          </w:p>
        </w:tc>
        <w:tc>
          <w:tcPr>
            <w:tcW w:w="7166" w:type="dxa"/>
            <w:tcBorders>
              <w:top w:val="single" w:color="auto" w:sz="4" w:space="0"/>
              <w:left w:val="single" w:color="auto" w:sz="4" w:space="0"/>
              <w:right w:val="single" w:color="auto" w:sz="12" w:space="0"/>
            </w:tcBorders>
            <w:vAlign w:val="center"/>
          </w:tcPr>
          <w:p w14:paraId="103D78D8">
            <w:pPr>
              <w:rPr>
                <w:rFonts w:ascii="宋体" w:hAnsi="宋体" w:cs="宋体"/>
                <w:sz w:val="22"/>
                <w:szCs w:val="22"/>
              </w:rPr>
            </w:pPr>
            <w:r>
              <w:rPr>
                <w:rFonts w:hint="eastAsia" w:ascii="宋体" w:hAnsi="宋体" w:cs="宋体"/>
                <w:sz w:val="22"/>
                <w:szCs w:val="22"/>
              </w:rPr>
              <w:t>开标时间:</w:t>
            </w:r>
            <w:r>
              <w:rPr>
                <w:rFonts w:hint="eastAsia" w:ascii="宋体" w:hAnsi="宋体" w:cs="宋体"/>
                <w:b/>
                <w:sz w:val="22"/>
                <w:szCs w:val="22"/>
                <w:lang w:eastAsia="zh-CN"/>
              </w:rPr>
              <w:t>2025年5月26日15点00分</w:t>
            </w:r>
            <w:r>
              <w:rPr>
                <w:rFonts w:hint="eastAsia" w:ascii="宋体" w:hAnsi="宋体" w:cs="宋体"/>
                <w:sz w:val="22"/>
                <w:szCs w:val="22"/>
              </w:rPr>
              <w:t>(北京时间)；</w:t>
            </w:r>
          </w:p>
          <w:p w14:paraId="2B04EA2E">
            <w:pPr>
              <w:rPr>
                <w:rFonts w:ascii="宋体" w:hAnsi="宋体" w:cs="宋体"/>
                <w:sz w:val="22"/>
                <w:szCs w:val="22"/>
              </w:rPr>
            </w:pPr>
            <w:r>
              <w:rPr>
                <w:rFonts w:hint="eastAsia" w:ascii="宋体" w:hAnsi="宋体" w:cs="宋体"/>
                <w:bCs/>
                <w:sz w:val="22"/>
                <w:szCs w:val="22"/>
              </w:rPr>
              <w:t>开标地点：泰顺县公共资源交易中心五楼评标室1（温州市泰顺县罗阳镇新城大道123号）</w:t>
            </w:r>
          </w:p>
        </w:tc>
      </w:tr>
      <w:tr w14:paraId="60CF1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tcBorders>
              <w:top w:val="single" w:color="auto" w:sz="4" w:space="0"/>
              <w:left w:val="single" w:color="auto" w:sz="12" w:space="0"/>
              <w:right w:val="single" w:color="auto" w:sz="4" w:space="0"/>
            </w:tcBorders>
            <w:vAlign w:val="center"/>
          </w:tcPr>
          <w:p w14:paraId="7FB3BBBB">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AC604B4">
            <w:pPr>
              <w:jc w:val="center"/>
              <w:rPr>
                <w:rFonts w:ascii="宋体" w:hAnsi="宋体" w:cs="宋体"/>
                <w:sz w:val="22"/>
                <w:szCs w:val="22"/>
              </w:rPr>
            </w:pPr>
            <w:r>
              <w:rPr>
                <w:rFonts w:hint="eastAsia" w:ascii="宋体" w:hAnsi="宋体" w:cs="宋体"/>
                <w:sz w:val="22"/>
                <w:szCs w:val="22"/>
              </w:rPr>
              <w:t>开标程序</w:t>
            </w:r>
          </w:p>
        </w:tc>
        <w:tc>
          <w:tcPr>
            <w:tcW w:w="7166" w:type="dxa"/>
            <w:tcBorders>
              <w:top w:val="single" w:color="auto" w:sz="4" w:space="0"/>
              <w:left w:val="single" w:color="auto" w:sz="4" w:space="0"/>
              <w:right w:val="single" w:color="auto" w:sz="12" w:space="0"/>
            </w:tcBorders>
            <w:vAlign w:val="center"/>
          </w:tcPr>
          <w:p w14:paraId="0D0CEC66">
            <w:pPr>
              <w:rPr>
                <w:rFonts w:ascii="宋体" w:hAnsi="宋体" w:cs="宋体"/>
                <w:sz w:val="22"/>
                <w:szCs w:val="22"/>
              </w:rPr>
            </w:pPr>
            <w:r>
              <w:rPr>
                <w:rFonts w:hint="eastAsia" w:ascii="宋体" w:hAnsi="宋体" w:cs="宋体"/>
                <w:sz w:val="22"/>
                <w:szCs w:val="22"/>
              </w:rPr>
              <w:t>（1）宣布开标纪律；</w:t>
            </w:r>
          </w:p>
          <w:p w14:paraId="245586A4">
            <w:pPr>
              <w:rPr>
                <w:rFonts w:ascii="宋体" w:hAnsi="宋体" w:cs="宋体"/>
                <w:sz w:val="22"/>
                <w:szCs w:val="22"/>
              </w:rPr>
            </w:pPr>
            <w:r>
              <w:rPr>
                <w:rFonts w:hint="eastAsia" w:ascii="宋体" w:hAnsi="宋体" w:cs="宋体"/>
                <w:sz w:val="22"/>
                <w:szCs w:val="22"/>
              </w:rPr>
              <w:t>（2）宣布开标、监督人员等有关人员姓名；</w:t>
            </w:r>
          </w:p>
          <w:p w14:paraId="66CFA4DD">
            <w:pPr>
              <w:rPr>
                <w:rFonts w:ascii="宋体" w:hAnsi="宋体" w:cs="宋体"/>
                <w:sz w:val="22"/>
                <w:szCs w:val="22"/>
              </w:rPr>
            </w:pPr>
            <w:r>
              <w:rPr>
                <w:rFonts w:hint="eastAsia" w:ascii="宋体" w:hAnsi="宋体" w:cs="宋体"/>
                <w:sz w:val="22"/>
                <w:szCs w:val="22"/>
              </w:rPr>
              <w:t>（3）公布在响应文件递交截止时间前递交响应文件的供应商名称；</w:t>
            </w:r>
          </w:p>
          <w:p w14:paraId="163EF910">
            <w:pPr>
              <w:rPr>
                <w:rFonts w:ascii="宋体" w:hAnsi="宋体" w:cs="宋体"/>
                <w:sz w:val="22"/>
                <w:szCs w:val="22"/>
              </w:rPr>
            </w:pPr>
            <w:r>
              <w:rPr>
                <w:rFonts w:hint="eastAsia" w:ascii="宋体" w:hAnsi="宋体" w:cs="宋体"/>
                <w:sz w:val="22"/>
                <w:szCs w:val="22"/>
              </w:rPr>
              <w:t>（4）密封情况检查：检查响应文件密封情况；</w:t>
            </w:r>
          </w:p>
          <w:p w14:paraId="43687353">
            <w:pPr>
              <w:rPr>
                <w:rFonts w:ascii="宋体" w:hAnsi="宋体" w:cs="宋体"/>
                <w:sz w:val="22"/>
                <w:szCs w:val="22"/>
              </w:rPr>
            </w:pPr>
            <w:r>
              <w:rPr>
                <w:rFonts w:hint="eastAsia" w:ascii="宋体" w:hAnsi="宋体" w:cs="宋体"/>
                <w:sz w:val="22"/>
                <w:szCs w:val="22"/>
              </w:rPr>
              <w:t>（5）先开启技术资信部分投标文件，对投标供应商资格进行审查，审查通过后进入技术资信部分评分；</w:t>
            </w:r>
          </w:p>
          <w:p w14:paraId="3CCA6F9C">
            <w:pPr>
              <w:rPr>
                <w:rFonts w:ascii="宋体" w:hAnsi="宋体" w:cs="宋体"/>
                <w:sz w:val="22"/>
                <w:szCs w:val="22"/>
              </w:rPr>
            </w:pPr>
            <w:r>
              <w:rPr>
                <w:rFonts w:hint="eastAsia" w:ascii="宋体" w:hAnsi="宋体" w:cs="宋体"/>
                <w:sz w:val="22"/>
                <w:szCs w:val="22"/>
              </w:rPr>
              <w:t>（5）技术资信部分评审结束后，开启商务报价部分投标文件，并进行最终磋商，全部有效供应商的最终报价均发送至指定邮箱后，公布供应商技术资信分，同时公布有效供应商最终报价。</w:t>
            </w:r>
          </w:p>
          <w:p w14:paraId="4D9DE746">
            <w:pPr>
              <w:rPr>
                <w:rFonts w:ascii="宋体" w:hAnsi="宋体" w:cs="宋体"/>
                <w:sz w:val="22"/>
                <w:szCs w:val="22"/>
              </w:rPr>
            </w:pPr>
            <w:r>
              <w:rPr>
                <w:rFonts w:hint="eastAsia" w:ascii="宋体" w:hAnsi="宋体" w:cs="宋体"/>
                <w:sz w:val="22"/>
                <w:szCs w:val="22"/>
              </w:rPr>
              <w:t>（6）开标结束。</w:t>
            </w:r>
          </w:p>
        </w:tc>
      </w:tr>
      <w:tr w14:paraId="6CFFD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952" w:type="dxa"/>
            <w:tcBorders>
              <w:top w:val="single" w:color="auto" w:sz="4" w:space="0"/>
              <w:left w:val="single" w:color="auto" w:sz="12" w:space="0"/>
              <w:right w:val="single" w:color="auto" w:sz="4" w:space="0"/>
            </w:tcBorders>
            <w:vAlign w:val="center"/>
          </w:tcPr>
          <w:p w14:paraId="29BC163D">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2A421FCB">
            <w:pPr>
              <w:jc w:val="center"/>
              <w:rPr>
                <w:rFonts w:ascii="宋体" w:hAnsi="宋体" w:cs="宋体"/>
                <w:sz w:val="22"/>
                <w:szCs w:val="22"/>
              </w:rPr>
            </w:pPr>
            <w:r>
              <w:rPr>
                <w:rFonts w:hint="eastAsia" w:ascii="宋体" w:hAnsi="宋体" w:cs="宋体"/>
                <w:sz w:val="22"/>
                <w:szCs w:val="22"/>
              </w:rPr>
              <w:t>评审小组的</w:t>
            </w:r>
          </w:p>
          <w:p w14:paraId="5A569FC6">
            <w:pPr>
              <w:jc w:val="center"/>
              <w:rPr>
                <w:rFonts w:ascii="宋体" w:hAnsi="宋体" w:cs="宋体"/>
                <w:sz w:val="22"/>
                <w:szCs w:val="22"/>
              </w:rPr>
            </w:pPr>
            <w:r>
              <w:rPr>
                <w:rFonts w:hint="eastAsia" w:ascii="宋体" w:hAnsi="宋体" w:cs="宋体"/>
                <w:sz w:val="22"/>
                <w:szCs w:val="22"/>
              </w:rPr>
              <w:t>组建</w:t>
            </w:r>
          </w:p>
        </w:tc>
        <w:tc>
          <w:tcPr>
            <w:tcW w:w="7166" w:type="dxa"/>
            <w:tcBorders>
              <w:top w:val="single" w:color="auto" w:sz="4" w:space="0"/>
              <w:left w:val="single" w:color="auto" w:sz="4" w:space="0"/>
              <w:right w:val="single" w:color="auto" w:sz="12" w:space="0"/>
            </w:tcBorders>
            <w:vAlign w:val="center"/>
          </w:tcPr>
          <w:p w14:paraId="5670E87C">
            <w:pPr>
              <w:rPr>
                <w:rFonts w:ascii="宋体" w:hAnsi="宋体" w:cs="宋体"/>
                <w:sz w:val="22"/>
                <w:szCs w:val="22"/>
              </w:rPr>
            </w:pPr>
            <w:r>
              <w:rPr>
                <w:rFonts w:hint="eastAsia" w:ascii="宋体" w:hAnsi="宋体" w:cs="宋体"/>
                <w:sz w:val="22"/>
                <w:szCs w:val="22"/>
              </w:rPr>
              <w:t>评审委员会构成：由采购人代表以及有关技术、经济等方面的专家组成，成员为3人及以上单数，其中技术、经济类专家不得少于总人数的2/3；评标专家确定方式：按相关规定从专家库中抽取。</w:t>
            </w:r>
          </w:p>
        </w:tc>
      </w:tr>
      <w:tr w14:paraId="66E6C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952" w:type="dxa"/>
            <w:tcBorders>
              <w:top w:val="single" w:color="auto" w:sz="4" w:space="0"/>
              <w:left w:val="single" w:color="auto" w:sz="12" w:space="0"/>
              <w:right w:val="single" w:color="auto" w:sz="4" w:space="0"/>
            </w:tcBorders>
            <w:vAlign w:val="center"/>
          </w:tcPr>
          <w:p w14:paraId="07A225FF">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65A6E270">
            <w:pPr>
              <w:jc w:val="center"/>
              <w:rPr>
                <w:rFonts w:ascii="宋体" w:hAnsi="宋体" w:cs="宋体"/>
                <w:sz w:val="22"/>
                <w:szCs w:val="22"/>
              </w:rPr>
            </w:pPr>
            <w:r>
              <w:rPr>
                <w:rFonts w:hint="eastAsia" w:ascii="宋体" w:hAnsi="宋体" w:cs="宋体"/>
                <w:sz w:val="22"/>
                <w:szCs w:val="22"/>
              </w:rPr>
              <w:t>投标供应商</w:t>
            </w:r>
          </w:p>
          <w:p w14:paraId="6019AED3">
            <w:pPr>
              <w:jc w:val="center"/>
              <w:rPr>
                <w:rFonts w:ascii="宋体" w:hAnsi="宋体" w:cs="宋体"/>
                <w:sz w:val="22"/>
                <w:szCs w:val="22"/>
              </w:rPr>
            </w:pPr>
            <w:r>
              <w:rPr>
                <w:rFonts w:hint="eastAsia" w:ascii="宋体" w:hAnsi="宋体" w:cs="宋体"/>
                <w:sz w:val="22"/>
                <w:szCs w:val="22"/>
              </w:rPr>
              <w:t>信用查询</w:t>
            </w:r>
          </w:p>
        </w:tc>
        <w:tc>
          <w:tcPr>
            <w:tcW w:w="7166" w:type="dxa"/>
            <w:tcBorders>
              <w:top w:val="single" w:color="auto" w:sz="4" w:space="0"/>
              <w:left w:val="single" w:color="auto" w:sz="4" w:space="0"/>
              <w:right w:val="single" w:color="auto" w:sz="12" w:space="0"/>
            </w:tcBorders>
            <w:vAlign w:val="center"/>
          </w:tcPr>
          <w:p w14:paraId="4AEBC94F">
            <w:pPr>
              <w:rPr>
                <w:rFonts w:ascii="宋体" w:hAnsi="宋体" w:cs="宋体"/>
                <w:sz w:val="22"/>
                <w:szCs w:val="22"/>
              </w:rPr>
            </w:pPr>
            <w:r>
              <w:rPr>
                <w:rFonts w:hint="eastAsia" w:ascii="宋体" w:hAnsi="宋体" w:cs="宋体"/>
                <w:sz w:val="22"/>
                <w:szCs w:val="22"/>
              </w:rPr>
              <w:t>1、投标供应商信用信息查询的查询渠道：“信用中国”(www.creditchina.gov.cn)；“中国政府采购网”（http://www.ccgp.gov.cn/）；</w:t>
            </w:r>
          </w:p>
          <w:p w14:paraId="1A2DA40C">
            <w:pPr>
              <w:rPr>
                <w:rFonts w:ascii="宋体" w:hAnsi="宋体" w:cs="宋体"/>
                <w:sz w:val="22"/>
                <w:szCs w:val="22"/>
              </w:rPr>
            </w:pPr>
            <w:r>
              <w:rPr>
                <w:rFonts w:hint="eastAsia" w:ascii="宋体" w:hAnsi="宋体" w:cs="宋体"/>
                <w:sz w:val="22"/>
                <w:szCs w:val="22"/>
              </w:rPr>
              <w:t>2、投标供应商信用信息查询截止时点：公告发布至投标截止时间前。</w:t>
            </w:r>
          </w:p>
          <w:p w14:paraId="35609758">
            <w:pPr>
              <w:rPr>
                <w:rFonts w:ascii="宋体" w:hAnsi="宋体" w:cs="宋体"/>
                <w:sz w:val="22"/>
                <w:szCs w:val="22"/>
              </w:rPr>
            </w:pPr>
            <w:r>
              <w:rPr>
                <w:rFonts w:hint="eastAsia" w:ascii="宋体" w:hAnsi="宋体" w:cs="宋体"/>
                <w:sz w:val="22"/>
                <w:szCs w:val="22"/>
              </w:rPr>
              <w:t>3、投标供应商信用信息查询记录和证据留存的具体方式：网页截图打印；</w:t>
            </w:r>
          </w:p>
          <w:p w14:paraId="592CA09F">
            <w:pPr>
              <w:rPr>
                <w:rFonts w:ascii="宋体" w:hAnsi="宋体" w:cs="宋体"/>
                <w:sz w:val="22"/>
                <w:szCs w:val="22"/>
              </w:rPr>
            </w:pPr>
            <w:r>
              <w:rPr>
                <w:rFonts w:hint="eastAsia" w:ascii="宋体" w:hAnsi="宋体" w:cs="宋体"/>
                <w:sz w:val="22"/>
                <w:szCs w:val="22"/>
              </w:rPr>
              <w:t>4、信用信息的使用规则：“信用中国”被列入失信被执行人名单、重大税收违法案件当事人名单的供应商，或“中国政府采购网”具有严重违法失信行为信息记录的供应商，其投标做无效投标处理；</w:t>
            </w:r>
          </w:p>
        </w:tc>
      </w:tr>
      <w:tr w14:paraId="7A2BD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2" w:hRule="atLeast"/>
          <w:jc w:val="center"/>
        </w:trPr>
        <w:tc>
          <w:tcPr>
            <w:tcW w:w="952" w:type="dxa"/>
            <w:tcBorders>
              <w:top w:val="single" w:color="auto" w:sz="4" w:space="0"/>
              <w:left w:val="single" w:color="auto" w:sz="12" w:space="0"/>
              <w:right w:val="single" w:color="auto" w:sz="4" w:space="0"/>
            </w:tcBorders>
            <w:vAlign w:val="center"/>
          </w:tcPr>
          <w:p w14:paraId="57137E7E">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7832CDA4">
            <w:pPr>
              <w:jc w:val="center"/>
              <w:rPr>
                <w:rFonts w:ascii="宋体" w:hAnsi="宋体" w:cs="宋体"/>
                <w:sz w:val="22"/>
                <w:szCs w:val="22"/>
              </w:rPr>
            </w:pPr>
            <w:r>
              <w:rPr>
                <w:rFonts w:hint="eastAsia" w:ascii="宋体" w:hAnsi="宋体" w:cs="宋体"/>
                <w:sz w:val="22"/>
                <w:szCs w:val="22"/>
              </w:rPr>
              <w:t>合同备案</w:t>
            </w:r>
          </w:p>
        </w:tc>
        <w:tc>
          <w:tcPr>
            <w:tcW w:w="7166" w:type="dxa"/>
            <w:tcBorders>
              <w:top w:val="single" w:color="auto" w:sz="4" w:space="0"/>
              <w:left w:val="single" w:color="auto" w:sz="4" w:space="0"/>
              <w:right w:val="single" w:color="auto" w:sz="12" w:space="0"/>
            </w:tcBorders>
            <w:vAlign w:val="center"/>
          </w:tcPr>
          <w:p w14:paraId="193E483F">
            <w:pPr>
              <w:rPr>
                <w:rFonts w:ascii="宋体" w:hAnsi="宋体" w:cs="宋体"/>
                <w:sz w:val="22"/>
                <w:szCs w:val="22"/>
              </w:rPr>
            </w:pPr>
            <w:r>
              <w:rPr>
                <w:rFonts w:hint="eastAsia" w:ascii="宋体" w:hAnsi="宋体" w:cs="宋体"/>
                <w:sz w:val="22"/>
                <w:szCs w:val="22"/>
              </w:rPr>
              <w:t>1、成交供应商须在成交通知书发出之日起30日历天内与采购人签订合同。</w:t>
            </w:r>
          </w:p>
          <w:p w14:paraId="10DDD2E9">
            <w:pPr>
              <w:rPr>
                <w:rFonts w:ascii="宋体" w:hAnsi="宋体" w:cs="宋体"/>
                <w:sz w:val="22"/>
                <w:szCs w:val="22"/>
              </w:rPr>
            </w:pPr>
            <w:r>
              <w:rPr>
                <w:rFonts w:hint="eastAsia" w:ascii="宋体" w:hAnsi="宋体" w:cs="宋体"/>
                <w:sz w:val="22"/>
                <w:szCs w:val="22"/>
              </w:rPr>
              <w:t>2、</w:t>
            </w:r>
            <w:r>
              <w:rPr>
                <w:rFonts w:hint="eastAsia" w:ascii="宋体" w:cs="Arial"/>
                <w:sz w:val="22"/>
                <w:szCs w:val="22"/>
              </w:rPr>
              <w:t>中标方与采购人签订合同后，</w:t>
            </w:r>
            <w:r>
              <w:rPr>
                <w:rFonts w:ascii="宋体" w:cs="Arial"/>
                <w:sz w:val="22"/>
                <w:szCs w:val="22"/>
              </w:rPr>
              <w:t>2</w:t>
            </w:r>
            <w:r>
              <w:rPr>
                <w:rFonts w:hint="eastAsia" w:ascii="宋体" w:cs="Arial"/>
                <w:sz w:val="22"/>
                <w:szCs w:val="22"/>
              </w:rPr>
              <w:t>日历天内将合同原件交给招标代理机构至国企采购监管处备案。</w:t>
            </w:r>
          </w:p>
        </w:tc>
      </w:tr>
      <w:tr w14:paraId="2BA13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719E94D6">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1F5F7ADC">
            <w:pPr>
              <w:jc w:val="center"/>
              <w:rPr>
                <w:rFonts w:ascii="宋体" w:hAnsi="宋体" w:cs="宋体"/>
                <w:sz w:val="22"/>
                <w:szCs w:val="22"/>
              </w:rPr>
            </w:pPr>
            <w:r>
              <w:rPr>
                <w:rFonts w:hint="eastAsia" w:ascii="宋体" w:hAnsi="宋体" w:cs="宋体"/>
                <w:sz w:val="22"/>
                <w:szCs w:val="22"/>
              </w:rPr>
              <w:t>合同履约管理</w:t>
            </w:r>
          </w:p>
        </w:tc>
        <w:tc>
          <w:tcPr>
            <w:tcW w:w="7166" w:type="dxa"/>
            <w:tcBorders>
              <w:top w:val="single" w:color="auto" w:sz="4" w:space="0"/>
              <w:left w:val="single" w:color="auto" w:sz="4" w:space="0"/>
              <w:right w:val="single" w:color="auto" w:sz="12" w:space="0"/>
            </w:tcBorders>
            <w:vAlign w:val="center"/>
          </w:tcPr>
          <w:p w14:paraId="45B9BC37">
            <w:pPr>
              <w:rPr>
                <w:rFonts w:ascii="宋体" w:hAnsi="宋体" w:cs="宋体"/>
                <w:sz w:val="22"/>
                <w:szCs w:val="22"/>
              </w:rPr>
            </w:pPr>
            <w:r>
              <w:rPr>
                <w:rFonts w:hint="eastAsia" w:ascii="宋体" w:hAnsi="宋体" w:cs="宋体"/>
                <w:sz w:val="22"/>
                <w:szCs w:val="22"/>
              </w:rPr>
              <w:t>合同签订后，采购人依法加强对合同履约进行管理，并在中标单位供货、项目验收等重要关节，如实填写《合同验收报告》，并及时向同级国资部门报告验收过程中遇到的问题。</w:t>
            </w:r>
          </w:p>
        </w:tc>
      </w:tr>
      <w:tr w14:paraId="6FA0E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51" w:hRule="atLeast"/>
          <w:jc w:val="center"/>
        </w:trPr>
        <w:tc>
          <w:tcPr>
            <w:tcW w:w="952" w:type="dxa"/>
            <w:tcBorders>
              <w:top w:val="single" w:color="auto" w:sz="4" w:space="0"/>
              <w:left w:val="single" w:color="auto" w:sz="12" w:space="0"/>
              <w:bottom w:val="single" w:color="auto" w:sz="4" w:space="0"/>
              <w:right w:val="single" w:color="auto" w:sz="4" w:space="0"/>
            </w:tcBorders>
            <w:vAlign w:val="center"/>
          </w:tcPr>
          <w:p w14:paraId="0EA46AF1">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6A807DE4">
            <w:pPr>
              <w:jc w:val="center"/>
              <w:rPr>
                <w:rFonts w:ascii="宋体" w:hAnsi="宋体" w:cs="宋体"/>
                <w:sz w:val="22"/>
                <w:szCs w:val="22"/>
              </w:rPr>
            </w:pPr>
            <w:r>
              <w:rPr>
                <w:rFonts w:hint="eastAsia" w:ascii="宋体" w:hAnsi="宋体" w:cs="宋体"/>
                <w:sz w:val="22"/>
                <w:szCs w:val="22"/>
              </w:rPr>
              <w:t>免责声明</w:t>
            </w:r>
          </w:p>
        </w:tc>
        <w:tc>
          <w:tcPr>
            <w:tcW w:w="7166" w:type="dxa"/>
            <w:tcBorders>
              <w:top w:val="single" w:color="auto" w:sz="4" w:space="0"/>
              <w:left w:val="single" w:color="auto" w:sz="4" w:space="0"/>
              <w:bottom w:val="single" w:color="auto" w:sz="4" w:space="0"/>
              <w:right w:val="single" w:color="auto" w:sz="12" w:space="0"/>
            </w:tcBorders>
            <w:vAlign w:val="center"/>
          </w:tcPr>
          <w:p w14:paraId="6AC4A412">
            <w:pPr>
              <w:rPr>
                <w:rFonts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1、投标供应商自行承担投标过程中产生的费用。无论何种因素导致采购项目延期开标、废标（流标）、投标供应商未中标、项目终止采购的，采购人与采购机构均不承担供应商投标费用。</w:t>
            </w:r>
          </w:p>
          <w:p w14:paraId="4963C0CE">
            <w:pPr>
              <w:rPr>
                <w:rFonts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6DC34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64" w:hRule="atLeast"/>
          <w:jc w:val="center"/>
        </w:trPr>
        <w:tc>
          <w:tcPr>
            <w:tcW w:w="952" w:type="dxa"/>
            <w:tcBorders>
              <w:top w:val="single" w:color="auto" w:sz="4" w:space="0"/>
              <w:left w:val="single" w:color="auto" w:sz="12" w:space="0"/>
              <w:right w:val="single" w:color="auto" w:sz="4" w:space="0"/>
            </w:tcBorders>
            <w:vAlign w:val="center"/>
          </w:tcPr>
          <w:p w14:paraId="1BC6C17B">
            <w:pPr>
              <w:widowControl/>
              <w:numPr>
                <w:ilvl w:val="0"/>
                <w:numId w:val="3"/>
              </w:numPr>
              <w:tabs>
                <w:tab w:val="left" w:pos="432"/>
              </w:tabs>
              <w:ind w:left="420" w:hanging="420"/>
              <w:jc w:val="center"/>
              <w:rPr>
                <w:rFonts w:ascii="宋体" w:hAnsi="宋体" w:cs="宋体"/>
                <w:sz w:val="22"/>
                <w:szCs w:val="22"/>
              </w:rPr>
            </w:pPr>
          </w:p>
        </w:tc>
        <w:tc>
          <w:tcPr>
            <w:tcW w:w="1600" w:type="dxa"/>
            <w:tcBorders>
              <w:top w:val="single" w:color="auto" w:sz="4" w:space="0"/>
              <w:left w:val="single" w:color="auto" w:sz="4" w:space="0"/>
              <w:right w:val="single" w:color="auto" w:sz="4" w:space="0"/>
            </w:tcBorders>
            <w:vAlign w:val="center"/>
          </w:tcPr>
          <w:p w14:paraId="5447B9A2">
            <w:pPr>
              <w:jc w:val="center"/>
              <w:rPr>
                <w:rFonts w:hint="eastAsia" w:ascii="宋体" w:hAnsi="宋体" w:cs="宋体"/>
                <w:sz w:val="22"/>
                <w:szCs w:val="22"/>
              </w:rPr>
            </w:pPr>
            <w:r>
              <w:t>其他</w:t>
            </w:r>
          </w:p>
        </w:tc>
        <w:tc>
          <w:tcPr>
            <w:tcW w:w="7166" w:type="dxa"/>
            <w:tcBorders>
              <w:top w:val="single" w:color="auto" w:sz="4" w:space="0"/>
              <w:left w:val="single" w:color="auto" w:sz="4" w:space="0"/>
              <w:right w:val="single" w:color="auto" w:sz="12" w:space="0"/>
            </w:tcBorders>
            <w:vAlign w:val="center"/>
          </w:tcPr>
          <w:p w14:paraId="08885458">
            <w:pPr>
              <w:rPr>
                <w:rFonts w:hint="eastAsia" w:ascii="宋体" w:hAnsi="宋体" w:cs="宋体"/>
                <w:sz w:val="22"/>
                <w:szCs w:val="22"/>
              </w:rPr>
            </w:pPr>
            <w:r>
              <w:rPr>
                <w:rFonts w:hint="eastAsia" w:ascii="宋体" w:hAnsi="宋体" w:cs="宋体"/>
                <w:sz w:val="22"/>
                <w:szCs w:val="22"/>
                <w:lang w:val="en-US" w:eastAsia="zh-CN"/>
              </w:rPr>
              <w:t>本次采购活动采用乐采云平台，使用乐采云平台所产生的平台服务费用由中标方承担，服务费金额为中标金额的千分之一，不足800元按800元计，该金额不计入代理服务费</w:t>
            </w:r>
            <w:r>
              <w:rPr>
                <w:rFonts w:hint="eastAsia" w:ascii="宋体" w:hAnsi="宋体" w:cs="宋体"/>
                <w:sz w:val="22"/>
                <w:szCs w:val="22"/>
              </w:rPr>
              <w:t>。</w:t>
            </w:r>
          </w:p>
        </w:tc>
      </w:tr>
    </w:tbl>
    <w:p w14:paraId="393E2627">
      <w:pPr>
        <w:pStyle w:val="67"/>
      </w:pPr>
    </w:p>
    <w:p w14:paraId="5F8F4A01">
      <w:pPr>
        <w:pStyle w:val="67"/>
      </w:pPr>
    </w:p>
    <w:p w14:paraId="0B285F0F">
      <w:pPr>
        <w:pStyle w:val="67"/>
      </w:pPr>
    </w:p>
    <w:p w14:paraId="69B6F850">
      <w:r>
        <w:br w:type="page"/>
      </w:r>
    </w:p>
    <w:p w14:paraId="7FFF604D"/>
    <w:p w14:paraId="001C7548">
      <w:pPr>
        <w:tabs>
          <w:tab w:val="left" w:pos="1080"/>
        </w:tabs>
        <w:autoSpaceDE w:val="0"/>
        <w:autoSpaceDN w:val="0"/>
        <w:adjustRightInd w:val="0"/>
        <w:spacing w:line="360" w:lineRule="auto"/>
        <w:jc w:val="center"/>
        <w:textAlignment w:val="baseline"/>
        <w:rPr>
          <w:rFonts w:ascii="宋体"/>
          <w:b/>
          <w:bCs/>
          <w:sz w:val="36"/>
          <w:szCs w:val="36"/>
          <w:lang w:val="zh-CN"/>
        </w:rPr>
      </w:pPr>
      <w:r>
        <w:rPr>
          <w:rFonts w:hint="eastAsia" w:ascii="宋体"/>
          <w:b/>
          <w:bCs/>
          <w:sz w:val="32"/>
          <w:szCs w:val="32"/>
          <w:lang w:val="zh-CN"/>
        </w:rPr>
        <w:t>第二部分 招标内容及技术要求</w:t>
      </w:r>
      <w:bookmarkStart w:id="9" w:name="_Toc142902564"/>
    </w:p>
    <w:bookmarkEnd w:id="9"/>
    <w:p w14:paraId="32161386">
      <w:pPr>
        <w:snapToGrid w:val="0"/>
        <w:spacing w:line="400" w:lineRule="exact"/>
        <w:ind w:right="-82" w:firstLine="442" w:firstLineChars="200"/>
        <w:rPr>
          <w:rFonts w:ascii="宋体" w:hAnsi="Calibri" w:cs="宋体"/>
          <w:sz w:val="22"/>
          <w:szCs w:val="22"/>
        </w:rPr>
      </w:pPr>
      <w:r>
        <w:rPr>
          <w:rFonts w:hint="eastAsia" w:ascii="宋体" w:hAnsi="宋体" w:cs="宋体"/>
          <w:b/>
          <w:sz w:val="22"/>
          <w:szCs w:val="22"/>
        </w:rPr>
        <w:t>一、说明</w:t>
      </w:r>
    </w:p>
    <w:p w14:paraId="130B64D1">
      <w:pPr>
        <w:snapToGrid w:val="0"/>
        <w:spacing w:line="400" w:lineRule="exact"/>
        <w:ind w:right="-82" w:firstLine="440" w:firstLineChars="200"/>
        <w:rPr>
          <w:rFonts w:ascii="宋体" w:hAnsi="Calibri" w:cs="宋体"/>
          <w:sz w:val="22"/>
          <w:szCs w:val="22"/>
        </w:rPr>
      </w:pPr>
      <w:r>
        <w:rPr>
          <w:rFonts w:hint="eastAsia" w:ascii="宋体" w:hAnsi="Calibri" w:cs="宋体"/>
          <w:sz w:val="22"/>
          <w:szCs w:val="22"/>
        </w:rPr>
        <w:t>1.本技术规范要求提出的是最低限度的基本技术要求，并未对所有技术细节作出规定，供应商应提供符合本技术要求和国家标准、行业标准的优质产品。</w:t>
      </w:r>
    </w:p>
    <w:p w14:paraId="63C88B0F">
      <w:pPr>
        <w:snapToGrid w:val="0"/>
        <w:spacing w:line="400" w:lineRule="exact"/>
        <w:ind w:right="-82" w:firstLine="440" w:firstLineChars="200"/>
        <w:rPr>
          <w:rFonts w:ascii="宋体" w:hAnsi="Calibri" w:cs="宋体"/>
          <w:sz w:val="22"/>
          <w:szCs w:val="22"/>
        </w:rPr>
      </w:pPr>
      <w:r>
        <w:rPr>
          <w:rFonts w:hint="eastAsia" w:ascii="宋体" w:hAnsi="Calibri" w:cs="宋体"/>
          <w:sz w:val="22"/>
          <w:szCs w:val="22"/>
        </w:rPr>
        <w:t>2.供应商产品与本技术要求不一致时，供应商应在响应文件中予以说明，并由评审小组鉴定供应商产品能否达到要求。如供应商没有在响应文件中提出异议，则视为供应商提供的产品完全按照本采购文件要求，并在合同验收时按采购文件要求验收。</w:t>
      </w:r>
    </w:p>
    <w:p w14:paraId="36A9782E">
      <w:pPr>
        <w:snapToGrid w:val="0"/>
        <w:spacing w:line="400" w:lineRule="exact"/>
        <w:ind w:right="-82" w:firstLine="442" w:firstLineChars="200"/>
        <w:rPr>
          <w:rFonts w:ascii="宋体" w:hAnsi="宋体" w:cs="宋体"/>
          <w:b/>
          <w:sz w:val="22"/>
          <w:szCs w:val="22"/>
        </w:rPr>
      </w:pPr>
      <w:r>
        <w:rPr>
          <w:rFonts w:hint="eastAsia" w:ascii="宋体" w:hAnsi="宋体" w:cs="宋体"/>
          <w:b/>
          <w:sz w:val="22"/>
          <w:szCs w:val="22"/>
        </w:rPr>
        <w:t>二、采购内容及技术要求</w:t>
      </w:r>
    </w:p>
    <w:p w14:paraId="56A56CA8">
      <w:pPr>
        <w:spacing w:line="400" w:lineRule="exact"/>
        <w:ind w:firstLine="723" w:firstLineChars="300"/>
        <w:outlineLvl w:val="1"/>
        <w:rPr>
          <w:rFonts w:ascii="宋体" w:hAnsi="宋体" w:cs="宋体"/>
          <w:b/>
          <w:sz w:val="24"/>
          <w:szCs w:val="24"/>
        </w:rPr>
      </w:pPr>
      <w:r>
        <w:rPr>
          <w:rFonts w:hint="eastAsia" w:ascii="宋体" w:hAnsi="宋体" w:cs="宋体"/>
          <w:b/>
          <w:sz w:val="24"/>
          <w:szCs w:val="24"/>
        </w:rPr>
        <w:t>(一)采购清单</w:t>
      </w:r>
    </w:p>
    <w:tbl>
      <w:tblPr>
        <w:tblStyle w:val="31"/>
        <w:tblW w:w="0" w:type="auto"/>
        <w:tblInd w:w="4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3343"/>
        <w:gridCol w:w="825"/>
        <w:gridCol w:w="1433"/>
        <w:gridCol w:w="2095"/>
      </w:tblGrid>
      <w:tr w14:paraId="0231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41" w:type="dxa"/>
            <w:tcBorders>
              <w:top w:val="single" w:color="000000" w:sz="4" w:space="0"/>
              <w:left w:val="single" w:color="000000" w:sz="4" w:space="0"/>
              <w:bottom w:val="single" w:color="000000" w:sz="4" w:space="0"/>
              <w:right w:val="single" w:color="000000" w:sz="4" w:space="0"/>
            </w:tcBorders>
            <w:vAlign w:val="center"/>
          </w:tcPr>
          <w:p w14:paraId="366C3945">
            <w:pPr>
              <w:adjustRightInd w:val="0"/>
              <w:snapToGrid w:val="0"/>
              <w:spacing w:line="400" w:lineRule="exact"/>
              <w:jc w:val="center"/>
              <w:rPr>
                <w:rFonts w:cs="Calibri"/>
                <w:kern w:val="0"/>
                <w:szCs w:val="21"/>
              </w:rPr>
            </w:pPr>
            <w:r>
              <w:rPr>
                <w:rFonts w:hint="eastAsia" w:cs="Calibri"/>
                <w:kern w:val="0"/>
                <w:szCs w:val="21"/>
              </w:rPr>
              <w:t>标项</w:t>
            </w:r>
          </w:p>
        </w:tc>
        <w:tc>
          <w:tcPr>
            <w:tcW w:w="3343" w:type="dxa"/>
            <w:tcBorders>
              <w:top w:val="single" w:color="000000" w:sz="4" w:space="0"/>
              <w:left w:val="nil"/>
              <w:bottom w:val="single" w:color="000000" w:sz="4" w:space="0"/>
              <w:right w:val="single" w:color="000000" w:sz="4" w:space="0"/>
            </w:tcBorders>
            <w:vAlign w:val="center"/>
          </w:tcPr>
          <w:p w14:paraId="7174C360">
            <w:pPr>
              <w:adjustRightInd w:val="0"/>
              <w:snapToGrid w:val="0"/>
              <w:spacing w:line="400" w:lineRule="exact"/>
              <w:jc w:val="center"/>
              <w:rPr>
                <w:rFonts w:cs="Calibri"/>
                <w:kern w:val="0"/>
                <w:szCs w:val="21"/>
              </w:rPr>
            </w:pPr>
            <w:r>
              <w:rPr>
                <w:rFonts w:hint="eastAsia" w:cs="Calibri"/>
                <w:kern w:val="0"/>
                <w:szCs w:val="21"/>
              </w:rPr>
              <w:t>标项名称</w:t>
            </w:r>
          </w:p>
        </w:tc>
        <w:tc>
          <w:tcPr>
            <w:tcW w:w="825" w:type="dxa"/>
            <w:tcBorders>
              <w:top w:val="single" w:color="000000" w:sz="4" w:space="0"/>
              <w:left w:val="nil"/>
              <w:bottom w:val="single" w:color="000000" w:sz="4" w:space="0"/>
              <w:right w:val="single" w:color="000000" w:sz="4" w:space="0"/>
            </w:tcBorders>
            <w:vAlign w:val="center"/>
          </w:tcPr>
          <w:p w14:paraId="188CB181">
            <w:pPr>
              <w:adjustRightInd w:val="0"/>
              <w:snapToGrid w:val="0"/>
              <w:spacing w:line="400" w:lineRule="exact"/>
              <w:jc w:val="center"/>
              <w:rPr>
                <w:rFonts w:cs="Calibri"/>
                <w:kern w:val="0"/>
                <w:szCs w:val="21"/>
              </w:rPr>
            </w:pPr>
            <w:r>
              <w:rPr>
                <w:rFonts w:hint="eastAsia" w:cs="Calibri"/>
                <w:kern w:val="0"/>
                <w:szCs w:val="21"/>
              </w:rPr>
              <w:t>数量</w:t>
            </w:r>
          </w:p>
        </w:tc>
        <w:tc>
          <w:tcPr>
            <w:tcW w:w="1433" w:type="dxa"/>
            <w:tcBorders>
              <w:top w:val="single" w:color="000000" w:sz="4" w:space="0"/>
              <w:left w:val="nil"/>
              <w:bottom w:val="single" w:color="000000" w:sz="4" w:space="0"/>
              <w:right w:val="single" w:color="000000" w:sz="4" w:space="0"/>
            </w:tcBorders>
            <w:vAlign w:val="center"/>
          </w:tcPr>
          <w:p w14:paraId="0B0A5AE5">
            <w:pPr>
              <w:adjustRightInd w:val="0"/>
              <w:snapToGrid w:val="0"/>
              <w:spacing w:line="400" w:lineRule="exact"/>
              <w:jc w:val="center"/>
              <w:rPr>
                <w:rFonts w:hint="eastAsia" w:ascii="宋体" w:hAnsi="宋体" w:cs="宋体"/>
                <w:sz w:val="22"/>
                <w:szCs w:val="22"/>
              </w:rPr>
            </w:pPr>
            <w:r>
              <w:rPr>
                <w:rFonts w:hint="eastAsia" w:ascii="宋体" w:hAnsi="宋体" w:cs="宋体"/>
                <w:sz w:val="22"/>
                <w:szCs w:val="22"/>
              </w:rPr>
              <w:t>采购预算</w:t>
            </w:r>
          </w:p>
          <w:p w14:paraId="0B7257BB">
            <w:pPr>
              <w:pStyle w:val="3"/>
              <w:rPr>
                <w:rFonts w:hint="eastAsia" w:eastAsia="宋体"/>
                <w:lang w:val="en-US" w:eastAsia="zh-CN"/>
              </w:rPr>
            </w:pPr>
            <w:r>
              <w:rPr>
                <w:rFonts w:hint="eastAsia" w:ascii="宋体" w:hAnsi="宋体" w:cs="宋体"/>
                <w:sz w:val="22"/>
                <w:szCs w:val="22"/>
                <w:lang w:eastAsia="zh-CN"/>
              </w:rPr>
              <w:t>（最高限价）</w:t>
            </w:r>
          </w:p>
        </w:tc>
        <w:tc>
          <w:tcPr>
            <w:tcW w:w="2095" w:type="dxa"/>
            <w:tcBorders>
              <w:top w:val="single" w:color="000000" w:sz="4" w:space="0"/>
              <w:left w:val="nil"/>
              <w:bottom w:val="single" w:color="000000" w:sz="4" w:space="0"/>
              <w:right w:val="single" w:color="000000" w:sz="4" w:space="0"/>
            </w:tcBorders>
            <w:vAlign w:val="center"/>
          </w:tcPr>
          <w:p w14:paraId="6FF8B2D1">
            <w:pPr>
              <w:adjustRightInd w:val="0"/>
              <w:snapToGrid w:val="0"/>
              <w:spacing w:line="400" w:lineRule="exact"/>
              <w:jc w:val="center"/>
              <w:rPr>
                <w:rFonts w:cs="Calibri"/>
                <w:kern w:val="0"/>
                <w:szCs w:val="21"/>
              </w:rPr>
            </w:pPr>
            <w:r>
              <w:rPr>
                <w:rFonts w:hint="eastAsia" w:cs="Calibri"/>
                <w:kern w:val="0"/>
                <w:szCs w:val="21"/>
              </w:rPr>
              <w:t>简要规格描述</w:t>
            </w:r>
          </w:p>
        </w:tc>
      </w:tr>
      <w:tr w14:paraId="4E96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1041" w:type="dxa"/>
            <w:tcBorders>
              <w:top w:val="single" w:color="000000" w:sz="4" w:space="0"/>
              <w:left w:val="single" w:color="000000" w:sz="4" w:space="0"/>
              <w:bottom w:val="single" w:color="000000" w:sz="4" w:space="0"/>
              <w:right w:val="single" w:color="000000" w:sz="4" w:space="0"/>
            </w:tcBorders>
            <w:vAlign w:val="center"/>
          </w:tcPr>
          <w:p w14:paraId="5C4B9027">
            <w:pPr>
              <w:adjustRightInd w:val="0"/>
              <w:snapToGrid w:val="0"/>
              <w:spacing w:line="400" w:lineRule="exact"/>
              <w:jc w:val="center"/>
              <w:rPr>
                <w:rFonts w:cs="Calibri"/>
                <w:kern w:val="0"/>
                <w:szCs w:val="21"/>
              </w:rPr>
            </w:pPr>
            <w:r>
              <w:rPr>
                <w:rFonts w:hint="eastAsia" w:cs="Calibri"/>
                <w:kern w:val="0"/>
                <w:szCs w:val="21"/>
              </w:rPr>
              <w:t>1</w:t>
            </w:r>
          </w:p>
        </w:tc>
        <w:tc>
          <w:tcPr>
            <w:tcW w:w="3343" w:type="dxa"/>
            <w:tcBorders>
              <w:top w:val="single" w:color="000000" w:sz="4" w:space="0"/>
              <w:left w:val="nil"/>
              <w:bottom w:val="single" w:color="000000" w:sz="4" w:space="0"/>
              <w:right w:val="single" w:color="000000" w:sz="4" w:space="0"/>
            </w:tcBorders>
            <w:vAlign w:val="center"/>
          </w:tcPr>
          <w:p w14:paraId="3E8B3ABF">
            <w:pPr>
              <w:adjustRightInd w:val="0"/>
              <w:snapToGrid w:val="0"/>
              <w:spacing w:line="400" w:lineRule="exact"/>
              <w:jc w:val="center"/>
              <w:rPr>
                <w:rFonts w:cs="Calibri"/>
                <w:kern w:val="0"/>
                <w:szCs w:val="21"/>
              </w:rPr>
            </w:pPr>
            <w:r>
              <w:rPr>
                <w:rFonts w:hint="eastAsia"/>
              </w:rPr>
              <w:t>泰顺县南浦溪镇环卫一体化和垃圾分类服务项目</w:t>
            </w:r>
          </w:p>
        </w:tc>
        <w:tc>
          <w:tcPr>
            <w:tcW w:w="825" w:type="dxa"/>
            <w:tcBorders>
              <w:top w:val="single" w:color="000000" w:sz="4" w:space="0"/>
              <w:left w:val="nil"/>
              <w:bottom w:val="single" w:color="000000" w:sz="4" w:space="0"/>
              <w:right w:val="single" w:color="000000" w:sz="4" w:space="0"/>
            </w:tcBorders>
            <w:vAlign w:val="center"/>
          </w:tcPr>
          <w:p w14:paraId="029D0785">
            <w:pPr>
              <w:adjustRightInd w:val="0"/>
              <w:snapToGrid w:val="0"/>
              <w:spacing w:line="400" w:lineRule="exact"/>
              <w:jc w:val="center"/>
              <w:rPr>
                <w:rFonts w:cs="Calibri"/>
                <w:kern w:val="0"/>
                <w:szCs w:val="21"/>
              </w:rPr>
            </w:pPr>
            <w:r>
              <w:rPr>
                <w:rFonts w:hint="eastAsia" w:cs="Calibri"/>
                <w:kern w:val="0"/>
                <w:szCs w:val="21"/>
              </w:rPr>
              <w:t>1项</w:t>
            </w:r>
          </w:p>
        </w:tc>
        <w:tc>
          <w:tcPr>
            <w:tcW w:w="1433" w:type="dxa"/>
            <w:tcBorders>
              <w:top w:val="single" w:color="000000" w:sz="4" w:space="0"/>
              <w:left w:val="nil"/>
              <w:bottom w:val="single" w:color="000000" w:sz="4" w:space="0"/>
              <w:right w:val="single" w:color="000000" w:sz="4" w:space="0"/>
            </w:tcBorders>
            <w:vAlign w:val="center"/>
          </w:tcPr>
          <w:p w14:paraId="343D7380">
            <w:pPr>
              <w:adjustRightInd w:val="0"/>
              <w:snapToGrid w:val="0"/>
              <w:spacing w:line="400" w:lineRule="exact"/>
              <w:jc w:val="center"/>
              <w:rPr>
                <w:rFonts w:hint="eastAsia" w:ascii="Times New Roman" w:hAnsi="Times New Roman" w:eastAsia="宋体" w:cs="Calibri"/>
                <w:kern w:val="0"/>
                <w:sz w:val="21"/>
                <w:szCs w:val="21"/>
                <w:lang w:val="en-US" w:eastAsia="zh-CN" w:bidi="ar-SA"/>
              </w:rPr>
            </w:pPr>
            <w:r>
              <w:rPr>
                <w:rFonts w:hint="eastAsia" w:ascii="宋体" w:hAnsi="宋体" w:cs="宋体"/>
                <w:sz w:val="22"/>
                <w:szCs w:val="22"/>
                <w:lang w:eastAsia="zh-CN"/>
              </w:rPr>
              <w:t>1749932</w:t>
            </w:r>
            <w:r>
              <w:rPr>
                <w:rFonts w:hint="eastAsia" w:ascii="宋体" w:hAnsi="宋体" w:cs="宋体"/>
                <w:sz w:val="22"/>
                <w:szCs w:val="22"/>
              </w:rPr>
              <w:t>元</w:t>
            </w:r>
          </w:p>
        </w:tc>
        <w:tc>
          <w:tcPr>
            <w:tcW w:w="2095" w:type="dxa"/>
            <w:tcBorders>
              <w:top w:val="single" w:color="000000" w:sz="4" w:space="0"/>
              <w:left w:val="nil"/>
              <w:bottom w:val="single" w:color="000000" w:sz="4" w:space="0"/>
              <w:right w:val="single" w:color="000000" w:sz="4" w:space="0"/>
            </w:tcBorders>
            <w:vAlign w:val="center"/>
          </w:tcPr>
          <w:p w14:paraId="0AE31912">
            <w:pPr>
              <w:adjustRightInd w:val="0"/>
              <w:snapToGrid w:val="0"/>
              <w:spacing w:line="400" w:lineRule="exact"/>
              <w:jc w:val="center"/>
              <w:rPr>
                <w:rFonts w:cs="Calibri"/>
                <w:kern w:val="0"/>
                <w:szCs w:val="21"/>
              </w:rPr>
            </w:pPr>
            <w:r>
              <w:rPr>
                <w:rFonts w:hint="eastAsia" w:cs="Calibri"/>
                <w:kern w:val="0"/>
                <w:szCs w:val="21"/>
              </w:rPr>
              <w:t>详见招标文件</w:t>
            </w:r>
          </w:p>
        </w:tc>
      </w:tr>
    </w:tbl>
    <w:p w14:paraId="5872EA1F">
      <w:pPr>
        <w:spacing w:line="360" w:lineRule="auto"/>
        <w:ind w:firstLine="422" w:firstLineChars="200"/>
        <w:rPr>
          <w:rFonts w:ascii="宋体" w:hAnsi="宋体" w:cs="宋体"/>
          <w:b/>
          <w:bCs/>
          <w:szCs w:val="21"/>
        </w:rPr>
      </w:pPr>
      <w:r>
        <w:rPr>
          <w:rFonts w:hint="eastAsia" w:ascii="宋体" w:hAnsi="宋体" w:cs="宋体"/>
          <w:b/>
          <w:bCs/>
          <w:szCs w:val="21"/>
        </w:rPr>
        <w:t>▲2）在服务期内，中标人负责所有垃圾桶等的损耗补充，采购人无需另行购买，费用全部包含在投标报价中，采购人不再支付任何费用。</w:t>
      </w:r>
    </w:p>
    <w:p w14:paraId="07689E27">
      <w:pPr>
        <w:spacing w:line="400" w:lineRule="exact"/>
        <w:ind w:firstLine="482" w:firstLineChars="200"/>
        <w:outlineLvl w:val="1"/>
        <w:rPr>
          <w:rFonts w:ascii="宋体" w:hAnsi="宋体" w:cs="宋体"/>
          <w:b/>
          <w:sz w:val="24"/>
          <w:szCs w:val="24"/>
        </w:rPr>
      </w:pPr>
      <w:r>
        <w:rPr>
          <w:rFonts w:hint="eastAsia" w:ascii="宋体" w:hAnsi="宋体" w:cs="宋体"/>
          <w:b/>
          <w:sz w:val="24"/>
          <w:szCs w:val="24"/>
        </w:rPr>
        <w:t>（二）保洁服务采购技术要求</w:t>
      </w:r>
    </w:p>
    <w:p w14:paraId="6B4D6A3A">
      <w:pPr>
        <w:snapToGrid w:val="0"/>
        <w:spacing w:line="400" w:lineRule="exact"/>
        <w:ind w:right="-82" w:firstLine="440" w:firstLineChars="200"/>
        <w:rPr>
          <w:rFonts w:ascii="宋体" w:hAnsi="Calibri" w:cs="宋体"/>
          <w:sz w:val="22"/>
          <w:szCs w:val="22"/>
        </w:rPr>
      </w:pPr>
      <w:r>
        <w:rPr>
          <w:rFonts w:hint="eastAsia" w:ascii="宋体" w:hAnsi="Calibri" w:cs="宋体"/>
          <w:sz w:val="22"/>
          <w:szCs w:val="22"/>
        </w:rPr>
        <w:t>1.负责南浦溪镇建城区内5个村，包括库村村、新仓村、新兴村、双坑村上交垟自然村及1个中心村 （箬垟村）内所有街道路面（包括广场、公园、背街小巷）和河道（包括河道和清水平台）日常保洁。河道数量：</w:t>
      </w:r>
      <w:r>
        <w:rPr>
          <w:rFonts w:hint="eastAsia" w:ascii="宋体" w:hAnsi="Calibri" w:cs="宋体"/>
          <w:sz w:val="22"/>
          <w:szCs w:val="22"/>
          <w:u w:val="single"/>
        </w:rPr>
        <w:t xml:space="preserve"> 3</w:t>
      </w:r>
      <w:r>
        <w:rPr>
          <w:rFonts w:hint="eastAsia" w:ascii="宋体" w:hAnsi="宋体" w:cs="宋体"/>
          <w:sz w:val="22"/>
          <w:szCs w:val="22"/>
        </w:rPr>
        <w:t>条，分布在库村村、新仓村、新兴村、双坑村上交垟自然村等。</w:t>
      </w:r>
    </w:p>
    <w:p w14:paraId="1EB048FD">
      <w:pPr>
        <w:snapToGrid w:val="0"/>
        <w:spacing w:line="400" w:lineRule="exact"/>
        <w:ind w:right="-82" w:firstLine="440" w:firstLineChars="200"/>
        <w:rPr>
          <w:rFonts w:ascii="宋体" w:hAnsi="Calibri" w:cs="宋体"/>
          <w:sz w:val="22"/>
          <w:szCs w:val="22"/>
        </w:rPr>
      </w:pPr>
      <w:r>
        <w:rPr>
          <w:rFonts w:hint="eastAsia" w:ascii="宋体" w:hAnsi="Calibri" w:cs="宋体"/>
          <w:sz w:val="22"/>
          <w:szCs w:val="22"/>
        </w:rPr>
        <w:t>2.负责南浦溪镇建城区外9个村（双坑村&lt;原村落部分&gt;、漈源村、南峤村、孙坪村、周新村、新源村、朝头垟、包坑村、培坑村）的垃圾定期清扫保洁、收集点内（垃圾屋）的垃圾定期分类清运及各村村域范围内的河道定期保洁清理。河道数量：</w:t>
      </w:r>
      <w:r>
        <w:rPr>
          <w:rFonts w:hint="eastAsia" w:ascii="宋体" w:hAnsi="Calibri" w:cs="宋体"/>
          <w:sz w:val="22"/>
          <w:szCs w:val="22"/>
          <w:u w:val="single"/>
        </w:rPr>
        <w:t xml:space="preserve"> 11</w:t>
      </w:r>
      <w:r>
        <w:rPr>
          <w:rFonts w:hint="eastAsia" w:ascii="宋体" w:hAnsi="宋体" w:cs="宋体"/>
          <w:sz w:val="22"/>
          <w:szCs w:val="22"/>
        </w:rPr>
        <w:t>条，分布在双坑村</w:t>
      </w:r>
      <w:r>
        <w:rPr>
          <w:rFonts w:hint="eastAsia" w:ascii="宋体" w:hAnsi="Calibri" w:cs="宋体"/>
          <w:sz w:val="22"/>
          <w:szCs w:val="22"/>
        </w:rPr>
        <w:t>&lt;原村落部分&gt;、漈源村、南峤村、孙坪村、周新村、新源村、朝头垟、包坑村、培坑村等。</w:t>
      </w:r>
    </w:p>
    <w:p w14:paraId="551DF95D">
      <w:pPr>
        <w:snapToGrid w:val="0"/>
        <w:spacing w:line="400" w:lineRule="exact"/>
        <w:ind w:right="-82" w:firstLine="440" w:firstLineChars="200"/>
        <w:rPr>
          <w:rFonts w:ascii="宋体" w:hAnsi="Calibri" w:cs="宋体"/>
          <w:sz w:val="22"/>
          <w:szCs w:val="22"/>
        </w:rPr>
      </w:pPr>
      <w:r>
        <w:rPr>
          <w:rFonts w:hint="eastAsia" w:ascii="宋体" w:hAnsi="Calibri" w:cs="宋体"/>
          <w:sz w:val="22"/>
          <w:szCs w:val="22"/>
        </w:rPr>
        <w:t>3.负责南浦溪镇垃圾分类宣传、培训指导、监督运行等工作；严格落实建城区范围内垃圾分类收集清运。</w:t>
      </w:r>
    </w:p>
    <w:p w14:paraId="4C8B6A97">
      <w:pPr>
        <w:snapToGrid w:val="0"/>
        <w:spacing w:line="400" w:lineRule="exact"/>
        <w:ind w:right="-82" w:firstLine="440" w:firstLineChars="200"/>
        <w:rPr>
          <w:rFonts w:ascii="宋体" w:hAnsi="Calibri" w:cs="宋体"/>
          <w:sz w:val="22"/>
          <w:szCs w:val="22"/>
        </w:rPr>
      </w:pPr>
      <w:r>
        <w:rPr>
          <w:rFonts w:hint="eastAsia" w:ascii="宋体" w:hAnsi="Calibri" w:cs="宋体"/>
          <w:sz w:val="22"/>
          <w:szCs w:val="22"/>
        </w:rPr>
        <w:t>4.负责南浦溪镇域范围内所有</w:t>
      </w:r>
      <w:r>
        <w:rPr>
          <w:rFonts w:hint="eastAsia" w:ascii="宋体" w:hAnsi="宋体" w:cs="宋体"/>
          <w:b/>
          <w:sz w:val="22"/>
          <w:szCs w:val="22"/>
        </w:rPr>
        <w:t>公厕的保洁</w:t>
      </w:r>
      <w:r>
        <w:rPr>
          <w:rFonts w:hint="eastAsia" w:ascii="宋体" w:hAnsi="宋体" w:cs="宋体"/>
          <w:sz w:val="22"/>
          <w:szCs w:val="22"/>
        </w:rPr>
        <w:t>、管理及维修。当前公厕数量：</w:t>
      </w:r>
      <w:r>
        <w:rPr>
          <w:rFonts w:hint="eastAsia" w:ascii="宋体" w:hAnsi="Calibri" w:cs="宋体"/>
          <w:sz w:val="22"/>
          <w:szCs w:val="22"/>
          <w:u w:val="single"/>
        </w:rPr>
        <w:t xml:space="preserve"> 41 </w:t>
      </w:r>
      <w:r>
        <w:rPr>
          <w:rFonts w:hint="eastAsia" w:ascii="宋体" w:hAnsi="宋体" w:cs="宋体"/>
          <w:sz w:val="22"/>
          <w:szCs w:val="22"/>
        </w:rPr>
        <w:t>个，分布在</w:t>
      </w:r>
      <w:r>
        <w:rPr>
          <w:rFonts w:hint="eastAsia" w:ascii="宋体" w:hAnsi="Calibri" w:cs="宋体"/>
          <w:sz w:val="22"/>
          <w:szCs w:val="22"/>
        </w:rPr>
        <w:t>14个行政村内，合同执行期间，如有新增区域需要纳入保洁范围，采购人将参考本次招标价格并以补充协议的方式与中标单位签订补充合同。除此以外，任何情况采购人不再追加任何费用。</w:t>
      </w:r>
    </w:p>
    <w:p w14:paraId="0EC37B0C">
      <w:pPr>
        <w:snapToGrid w:val="0"/>
        <w:spacing w:line="400" w:lineRule="exact"/>
        <w:ind w:right="-82" w:firstLine="440" w:firstLineChars="200"/>
        <w:rPr>
          <w:rFonts w:ascii="宋体" w:hAnsi="Calibri" w:cs="宋体"/>
          <w:sz w:val="22"/>
          <w:szCs w:val="22"/>
        </w:rPr>
      </w:pPr>
      <w:r>
        <w:rPr>
          <w:rFonts w:hint="eastAsia" w:ascii="宋体" w:hAnsi="Calibri" w:cs="宋体"/>
          <w:sz w:val="22"/>
          <w:szCs w:val="22"/>
        </w:rPr>
        <w:t>5.负责南浦溪镇域范围内各行政村主要道路定期清洗。</w:t>
      </w:r>
    </w:p>
    <w:p w14:paraId="3FD2FE23">
      <w:pPr>
        <w:snapToGrid w:val="0"/>
        <w:spacing w:line="400" w:lineRule="exact"/>
        <w:ind w:firstLine="440" w:firstLineChars="200"/>
        <w:rPr>
          <w:rFonts w:ascii="宋体" w:hAnsi="Calibri" w:cs="宋体"/>
          <w:sz w:val="22"/>
          <w:szCs w:val="22"/>
        </w:rPr>
      </w:pPr>
      <w:r>
        <w:rPr>
          <w:rFonts w:hint="eastAsia" w:ascii="宋体" w:hAnsi="Calibri" w:cs="宋体"/>
          <w:sz w:val="22"/>
          <w:szCs w:val="22"/>
        </w:rPr>
        <w:t>1）气温3-30℃，路面冲洗每周不少于2次，路面洒水每天不少于2次；气温30℃以上时，路面洒水每天不少于3次；气温低于3℃停止冲洗和洒水；作业时间为晚上或清晨，冲洗后由采购人进行验收（路面见本色），并无条件服从采购人整改要求；采购人要求冲洗市场等其他区域时中标方应无条件服从。</w:t>
      </w:r>
    </w:p>
    <w:p w14:paraId="0C594C70">
      <w:pPr>
        <w:snapToGrid w:val="0"/>
        <w:spacing w:line="400" w:lineRule="exact"/>
        <w:ind w:firstLine="440" w:firstLineChars="200"/>
        <w:rPr>
          <w:rFonts w:ascii="宋体" w:hAnsi="Calibri" w:cs="宋体"/>
          <w:sz w:val="22"/>
          <w:szCs w:val="22"/>
        </w:rPr>
      </w:pPr>
      <w:r>
        <w:rPr>
          <w:rFonts w:hint="eastAsia" w:ascii="宋体" w:hAnsi="Calibri" w:cs="宋体"/>
          <w:sz w:val="22"/>
          <w:szCs w:val="22"/>
        </w:rPr>
        <w:t>2）交通早晚高峰期间禁止路面冲洗，洒水作业。</w:t>
      </w:r>
    </w:p>
    <w:p w14:paraId="6A1CDBC5">
      <w:pPr>
        <w:snapToGrid w:val="0"/>
        <w:spacing w:line="400" w:lineRule="exact"/>
        <w:ind w:firstLine="440" w:firstLineChars="200"/>
        <w:rPr>
          <w:rFonts w:ascii="宋体" w:hAnsi="Calibri" w:cs="宋体"/>
          <w:sz w:val="22"/>
          <w:szCs w:val="22"/>
        </w:rPr>
      </w:pPr>
      <w:r>
        <w:rPr>
          <w:rFonts w:hint="eastAsia" w:ascii="宋体" w:hAnsi="Calibri" w:cs="宋体"/>
          <w:sz w:val="22"/>
          <w:szCs w:val="22"/>
        </w:rPr>
        <w:t>3）出车前要进行检查后方可上路，禁止带故障运行。作业时应适当控制水压，行车速度最高不得超过20公里/小时，避免把水溅到路边的行人；上路作业时，必须打开警示灯；要遵守道路交通安全法规，礼让行车，注意行人的安全；严格按照范围、路线、时间、次数、车速进行作业，不得随意变更。作业完毕后及时清洗干净入库，做好作业车辆行车、维修保养记录。</w:t>
      </w:r>
    </w:p>
    <w:p w14:paraId="57ACA875">
      <w:pPr>
        <w:snapToGrid w:val="0"/>
        <w:spacing w:line="400" w:lineRule="exact"/>
        <w:ind w:left="218" w:leftChars="104" w:firstLine="220" w:firstLineChars="100"/>
        <w:rPr>
          <w:rFonts w:hint="eastAsia" w:ascii="宋体" w:hAnsi="Calibri" w:eastAsia="宋体" w:cs="宋体"/>
          <w:sz w:val="22"/>
          <w:szCs w:val="22"/>
          <w:lang w:eastAsia="zh-CN"/>
        </w:rPr>
      </w:pPr>
      <w:r>
        <w:rPr>
          <w:rFonts w:hint="eastAsia" w:ascii="宋体" w:hAnsi="Calibri" w:cs="宋体"/>
          <w:sz w:val="22"/>
          <w:szCs w:val="22"/>
        </w:rPr>
        <w:t>6.按照县有关部门要求负责南浦溪镇新兴有机垃圾处理站管理运营和维护。</w:t>
      </w:r>
    </w:p>
    <w:p w14:paraId="5C8BE213">
      <w:pPr>
        <w:snapToGrid w:val="0"/>
        <w:spacing w:line="400" w:lineRule="exact"/>
        <w:ind w:left="218" w:leftChars="104" w:firstLine="220" w:firstLineChars="100"/>
        <w:rPr>
          <w:rFonts w:ascii="宋体" w:hAnsi="Calibri" w:cs="宋体"/>
          <w:sz w:val="22"/>
          <w:szCs w:val="22"/>
        </w:rPr>
      </w:pPr>
      <w:r>
        <w:rPr>
          <w:rFonts w:hint="eastAsia" w:ascii="宋体" w:hAnsi="宋体" w:cs="宋体"/>
          <w:sz w:val="22"/>
          <w:szCs w:val="22"/>
        </w:rPr>
        <w:t>注：往年建成区内外总的日常垃圾清运数量约</w:t>
      </w:r>
      <w:r>
        <w:rPr>
          <w:rFonts w:hint="eastAsia" w:ascii="宋体" w:hAnsi="宋体"/>
          <w:sz w:val="22"/>
          <w:szCs w:val="22"/>
          <w:u w:val="single"/>
        </w:rPr>
        <w:t xml:space="preserve">  7 </w:t>
      </w:r>
      <w:r>
        <w:rPr>
          <w:rFonts w:hint="eastAsia" w:ascii="宋体" w:hAnsi="宋体" w:cs="宋体"/>
          <w:sz w:val="22"/>
          <w:szCs w:val="22"/>
        </w:rPr>
        <w:t>吨（参考）。</w:t>
      </w:r>
    </w:p>
    <w:p w14:paraId="3195B817">
      <w:pPr>
        <w:spacing w:line="400" w:lineRule="exact"/>
        <w:ind w:firstLine="442" w:firstLineChars="200"/>
        <w:rPr>
          <w:rFonts w:ascii="宋体" w:hAnsi="Calibri" w:cs="宋体"/>
          <w:b/>
          <w:sz w:val="22"/>
        </w:rPr>
      </w:pPr>
      <w:r>
        <w:rPr>
          <w:rFonts w:hint="eastAsia" w:ascii="宋体" w:hAnsi="Calibri" w:cs="宋体"/>
          <w:b/>
          <w:sz w:val="22"/>
        </w:rPr>
        <w:t>三、投入人员及设备最低配置要求</w:t>
      </w:r>
      <w:r>
        <w:rPr>
          <w:rFonts w:ascii="宋体" w:hAnsi="Calibri" w:cs="宋体"/>
          <w:b/>
          <w:sz w:val="22"/>
        </w:rPr>
        <w:t xml:space="preserve"> </w:t>
      </w:r>
    </w:p>
    <w:p w14:paraId="0270072F">
      <w:pPr>
        <w:snapToGrid w:val="0"/>
        <w:spacing w:line="400" w:lineRule="exact"/>
        <w:ind w:firstLine="440" w:firstLineChars="200"/>
        <w:rPr>
          <w:rFonts w:ascii="宋体" w:hAnsi="Calibri" w:cs="宋体"/>
          <w:sz w:val="22"/>
        </w:rPr>
      </w:pPr>
      <w:r>
        <w:rPr>
          <w:rFonts w:ascii="宋体" w:hAnsi="Calibri" w:cs="宋体"/>
          <w:sz w:val="22"/>
        </w:rPr>
        <w:t>1.</w:t>
      </w:r>
      <w:r>
        <w:rPr>
          <w:rFonts w:hint="eastAsia" w:ascii="宋体" w:hAnsi="Calibri" w:cs="宋体"/>
          <w:sz w:val="22"/>
        </w:rPr>
        <w:t>投入人员不得低于70人（含），同时包含1名项目负责人、2名管理人员和1名台账资料员，人员年龄原则不超过60周岁（含），身体健康。</w:t>
      </w:r>
    </w:p>
    <w:p w14:paraId="2BE1C7DF">
      <w:pPr>
        <w:autoSpaceDE w:val="0"/>
        <w:autoSpaceDN w:val="0"/>
        <w:adjustRightInd w:val="0"/>
        <w:spacing w:line="400" w:lineRule="exact"/>
        <w:ind w:firstLine="420" w:firstLineChars="200"/>
        <w:rPr>
          <w:rFonts w:ascii="Calibri" w:hAnsi="Calibri"/>
        </w:rPr>
      </w:pPr>
      <w:r>
        <w:rPr>
          <w:rFonts w:ascii="Calibri" w:hAnsi="Calibri"/>
        </w:rPr>
        <w:t>2.</w:t>
      </w:r>
      <w:r>
        <w:rPr>
          <w:rFonts w:hint="eastAsia" w:ascii="Calibri" w:hAnsi="Calibri"/>
        </w:rPr>
        <w:t>各类车辆及设备最低配置要求表：</w:t>
      </w:r>
    </w:p>
    <w:tbl>
      <w:tblPr>
        <w:tblStyle w:val="31"/>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1665"/>
        <w:gridCol w:w="705"/>
        <w:gridCol w:w="4735"/>
        <w:gridCol w:w="1484"/>
      </w:tblGrid>
      <w:tr w14:paraId="14D2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33" w:type="dxa"/>
            <w:tcBorders>
              <w:top w:val="single" w:color="auto" w:sz="4" w:space="0"/>
              <w:left w:val="single" w:color="auto" w:sz="4" w:space="0"/>
              <w:bottom w:val="single" w:color="auto" w:sz="4" w:space="0"/>
              <w:right w:val="single" w:color="auto" w:sz="4" w:space="0"/>
            </w:tcBorders>
            <w:vAlign w:val="center"/>
          </w:tcPr>
          <w:p w14:paraId="4253BFC1">
            <w:pPr>
              <w:jc w:val="center"/>
              <w:rPr>
                <w:b/>
                <w:kern w:val="0"/>
                <w:sz w:val="22"/>
                <w:szCs w:val="22"/>
              </w:rPr>
            </w:pPr>
            <w:r>
              <w:rPr>
                <w:rFonts w:hint="eastAsia" w:ascii="宋体" w:hAnsi="宋体" w:cs="宋体"/>
                <w:b/>
                <w:bCs/>
                <w:szCs w:val="21"/>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7BFBBA4F">
            <w:pPr>
              <w:jc w:val="center"/>
              <w:rPr>
                <w:b/>
                <w:kern w:val="0"/>
                <w:sz w:val="22"/>
                <w:szCs w:val="22"/>
              </w:rPr>
            </w:pPr>
            <w:r>
              <w:rPr>
                <w:rFonts w:hint="eastAsia"/>
                <w:b/>
                <w:kern w:val="0"/>
                <w:sz w:val="22"/>
                <w:szCs w:val="22"/>
              </w:rPr>
              <w:t>配置设备名称</w:t>
            </w:r>
          </w:p>
        </w:tc>
        <w:tc>
          <w:tcPr>
            <w:tcW w:w="705" w:type="dxa"/>
            <w:tcBorders>
              <w:top w:val="single" w:color="auto" w:sz="4" w:space="0"/>
              <w:left w:val="single" w:color="auto" w:sz="4" w:space="0"/>
              <w:bottom w:val="single" w:color="auto" w:sz="4" w:space="0"/>
              <w:right w:val="single" w:color="auto" w:sz="4" w:space="0"/>
            </w:tcBorders>
            <w:vAlign w:val="center"/>
          </w:tcPr>
          <w:p w14:paraId="01E219BC">
            <w:pPr>
              <w:jc w:val="center"/>
              <w:rPr>
                <w:b/>
                <w:kern w:val="0"/>
                <w:sz w:val="22"/>
                <w:szCs w:val="22"/>
              </w:rPr>
            </w:pPr>
            <w:r>
              <w:rPr>
                <w:rFonts w:hint="eastAsia"/>
                <w:b/>
                <w:kern w:val="0"/>
                <w:sz w:val="22"/>
                <w:szCs w:val="22"/>
              </w:rPr>
              <w:t>数量</w:t>
            </w:r>
          </w:p>
        </w:tc>
        <w:tc>
          <w:tcPr>
            <w:tcW w:w="4735" w:type="dxa"/>
            <w:tcBorders>
              <w:top w:val="single" w:color="auto" w:sz="4" w:space="0"/>
              <w:left w:val="single" w:color="auto" w:sz="4" w:space="0"/>
              <w:bottom w:val="single" w:color="auto" w:sz="4" w:space="0"/>
              <w:right w:val="single" w:color="auto" w:sz="4" w:space="0"/>
            </w:tcBorders>
            <w:vAlign w:val="center"/>
          </w:tcPr>
          <w:p w14:paraId="29C700E3">
            <w:pPr>
              <w:jc w:val="center"/>
              <w:rPr>
                <w:b/>
                <w:kern w:val="0"/>
                <w:sz w:val="22"/>
                <w:szCs w:val="22"/>
              </w:rPr>
            </w:pPr>
            <w:r>
              <w:rPr>
                <w:rFonts w:hint="eastAsia"/>
                <w:b/>
                <w:kern w:val="0"/>
                <w:sz w:val="22"/>
                <w:szCs w:val="22"/>
              </w:rPr>
              <w:t>最低配置要求</w:t>
            </w:r>
          </w:p>
        </w:tc>
        <w:tc>
          <w:tcPr>
            <w:tcW w:w="1484" w:type="dxa"/>
            <w:tcBorders>
              <w:top w:val="single" w:color="auto" w:sz="4" w:space="0"/>
              <w:left w:val="single" w:color="auto" w:sz="4" w:space="0"/>
              <w:bottom w:val="single" w:color="auto" w:sz="4" w:space="0"/>
              <w:right w:val="single" w:color="auto" w:sz="4" w:space="0"/>
            </w:tcBorders>
            <w:vAlign w:val="center"/>
          </w:tcPr>
          <w:p w14:paraId="347A3C7D">
            <w:pPr>
              <w:jc w:val="center"/>
              <w:rPr>
                <w:b/>
                <w:kern w:val="0"/>
                <w:sz w:val="22"/>
                <w:szCs w:val="22"/>
              </w:rPr>
            </w:pPr>
            <w:r>
              <w:rPr>
                <w:rFonts w:hint="eastAsia" w:ascii="宋体" w:hAnsi="宋体" w:cs="宋体"/>
                <w:b/>
                <w:bCs/>
                <w:szCs w:val="21"/>
              </w:rPr>
              <w:t>备注</w:t>
            </w:r>
          </w:p>
        </w:tc>
      </w:tr>
      <w:tr w14:paraId="0538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3FDB700B">
            <w:pPr>
              <w:numPr>
                <w:ilvl w:val="0"/>
                <w:numId w:val="4"/>
              </w:numPr>
              <w:spacing w:line="400" w:lineRule="exact"/>
              <w:jc w:val="center"/>
              <w:rPr>
                <w:kern w:val="0"/>
                <w:sz w:val="22"/>
                <w:szCs w:val="22"/>
              </w:rPr>
            </w:pPr>
          </w:p>
        </w:tc>
        <w:tc>
          <w:tcPr>
            <w:tcW w:w="1665" w:type="dxa"/>
            <w:tcBorders>
              <w:top w:val="single" w:color="auto" w:sz="4" w:space="0"/>
              <w:left w:val="single" w:color="auto" w:sz="4" w:space="0"/>
              <w:bottom w:val="single" w:color="auto" w:sz="4" w:space="0"/>
              <w:right w:val="single" w:color="auto" w:sz="4" w:space="0"/>
            </w:tcBorders>
            <w:vAlign w:val="center"/>
          </w:tcPr>
          <w:p w14:paraId="02F53F36">
            <w:pPr>
              <w:spacing w:line="400" w:lineRule="exact"/>
              <w:jc w:val="center"/>
              <w:rPr>
                <w:rFonts w:ascii="宋体" w:hAnsi="宋体" w:cs="宋体"/>
                <w:szCs w:val="21"/>
              </w:rPr>
            </w:pPr>
            <w:r>
              <w:rPr>
                <w:rFonts w:hint="eastAsia" w:ascii="宋体" w:hAnsi="宋体" w:cs="宋体"/>
                <w:szCs w:val="21"/>
              </w:rPr>
              <w:t>重型特色结构货车一辆</w:t>
            </w:r>
          </w:p>
        </w:tc>
        <w:tc>
          <w:tcPr>
            <w:tcW w:w="705" w:type="dxa"/>
            <w:tcBorders>
              <w:top w:val="single" w:color="auto" w:sz="4" w:space="0"/>
              <w:left w:val="single" w:color="auto" w:sz="4" w:space="0"/>
              <w:bottom w:val="single" w:color="auto" w:sz="4" w:space="0"/>
              <w:right w:val="single" w:color="auto" w:sz="4" w:space="0"/>
            </w:tcBorders>
            <w:vAlign w:val="center"/>
          </w:tcPr>
          <w:p w14:paraId="7693197D">
            <w:pPr>
              <w:spacing w:line="400" w:lineRule="exact"/>
              <w:jc w:val="center"/>
              <w:rPr>
                <w:rFonts w:ascii="宋体" w:hAnsi="宋体" w:cs="宋体"/>
                <w:szCs w:val="21"/>
              </w:rPr>
            </w:pPr>
            <w:r>
              <w:rPr>
                <w:rFonts w:hint="eastAsia" w:ascii="宋体" w:hAnsi="宋体" w:cs="宋体"/>
                <w:szCs w:val="21"/>
              </w:rPr>
              <w:t>1辆</w:t>
            </w:r>
          </w:p>
        </w:tc>
        <w:tc>
          <w:tcPr>
            <w:tcW w:w="4735" w:type="dxa"/>
            <w:tcBorders>
              <w:top w:val="single" w:color="auto" w:sz="4" w:space="0"/>
              <w:left w:val="single" w:color="auto" w:sz="4" w:space="0"/>
              <w:bottom w:val="single" w:color="auto" w:sz="4" w:space="0"/>
              <w:right w:val="single" w:color="auto" w:sz="4" w:space="0"/>
            </w:tcBorders>
            <w:vAlign w:val="center"/>
          </w:tcPr>
          <w:p w14:paraId="4881EF89">
            <w:pPr>
              <w:spacing w:line="400" w:lineRule="exact"/>
              <w:jc w:val="center"/>
              <w:rPr>
                <w:rFonts w:ascii="宋体" w:hAnsi="宋体" w:cs="宋体"/>
                <w:szCs w:val="21"/>
              </w:rPr>
            </w:pPr>
            <w:r>
              <w:rPr>
                <w:rFonts w:hint="eastAsia" w:ascii="宋体" w:hAnsi="宋体" w:cs="宋体"/>
                <w:szCs w:val="21"/>
              </w:rPr>
              <w:t>总质量：≥25000kg</w:t>
            </w:r>
          </w:p>
        </w:tc>
        <w:tc>
          <w:tcPr>
            <w:tcW w:w="1484" w:type="dxa"/>
            <w:tcBorders>
              <w:top w:val="single" w:color="auto" w:sz="4" w:space="0"/>
              <w:left w:val="single" w:color="auto" w:sz="4" w:space="0"/>
              <w:bottom w:val="single" w:color="auto" w:sz="4" w:space="0"/>
              <w:right w:val="single" w:color="auto" w:sz="4" w:space="0"/>
            </w:tcBorders>
            <w:vAlign w:val="center"/>
          </w:tcPr>
          <w:p w14:paraId="18794C55">
            <w:pPr>
              <w:spacing w:line="400" w:lineRule="exact"/>
              <w:jc w:val="center"/>
              <w:rPr>
                <w:rFonts w:ascii="宋体" w:hAnsi="宋体" w:cs="宋体"/>
                <w:szCs w:val="21"/>
              </w:rPr>
            </w:pPr>
            <w:r>
              <w:rPr>
                <w:rFonts w:hint="eastAsia" w:ascii="宋体" w:hAnsi="宋体" w:cs="宋体"/>
                <w:szCs w:val="21"/>
              </w:rPr>
              <w:t>(该辆由采购人提供</w:t>
            </w:r>
            <w:r>
              <w:rPr>
                <w:rFonts w:hint="eastAsia" w:ascii="宋体" w:hAnsi="宋体" w:cs="宋体"/>
                <w:szCs w:val="21"/>
                <w:lang w:eastAsia="zh-CN"/>
              </w:rPr>
              <w:t>，车辆</w:t>
            </w:r>
            <w:r>
              <w:rPr>
                <w:rFonts w:hint="eastAsia" w:ascii="宋体" w:hAnsi="宋体" w:cs="宋体"/>
                <w:szCs w:val="21"/>
              </w:rPr>
              <w:t>保险</w:t>
            </w:r>
            <w:r>
              <w:rPr>
                <w:rFonts w:hint="eastAsia" w:ascii="宋体" w:hAnsi="宋体" w:cs="宋体"/>
                <w:szCs w:val="21"/>
                <w:lang w:eastAsia="zh-CN"/>
              </w:rPr>
              <w:t>需由中标方提供</w:t>
            </w:r>
            <w:r>
              <w:rPr>
                <w:rFonts w:hint="eastAsia" w:ascii="宋体" w:hAnsi="宋体" w:cs="宋体"/>
                <w:szCs w:val="21"/>
              </w:rPr>
              <w:t>)</w:t>
            </w:r>
          </w:p>
        </w:tc>
      </w:tr>
      <w:tr w14:paraId="7E65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7070DD1A">
            <w:pPr>
              <w:numPr>
                <w:ilvl w:val="0"/>
                <w:numId w:val="4"/>
              </w:numPr>
              <w:spacing w:line="400" w:lineRule="exact"/>
              <w:jc w:val="center"/>
              <w:rPr>
                <w:kern w:val="0"/>
                <w:sz w:val="22"/>
                <w:szCs w:val="22"/>
              </w:rPr>
            </w:pPr>
          </w:p>
        </w:tc>
        <w:tc>
          <w:tcPr>
            <w:tcW w:w="1665" w:type="dxa"/>
            <w:tcBorders>
              <w:top w:val="single" w:color="auto" w:sz="4" w:space="0"/>
              <w:left w:val="single" w:color="auto" w:sz="4" w:space="0"/>
              <w:bottom w:val="single" w:color="auto" w:sz="4" w:space="0"/>
              <w:right w:val="single" w:color="auto" w:sz="4" w:space="0"/>
            </w:tcBorders>
            <w:vAlign w:val="center"/>
          </w:tcPr>
          <w:p w14:paraId="70ECA638">
            <w:pPr>
              <w:spacing w:line="400" w:lineRule="exact"/>
              <w:jc w:val="center"/>
              <w:rPr>
                <w:rFonts w:ascii="宋体" w:hAnsi="宋体" w:cs="宋体"/>
                <w:szCs w:val="21"/>
              </w:rPr>
            </w:pPr>
            <w:r>
              <w:rPr>
                <w:rFonts w:hint="eastAsia" w:ascii="宋体" w:hAnsi="宋体" w:cs="宋体"/>
                <w:szCs w:val="21"/>
              </w:rPr>
              <w:t>中型载货专项作业车一辆</w:t>
            </w:r>
          </w:p>
        </w:tc>
        <w:tc>
          <w:tcPr>
            <w:tcW w:w="705" w:type="dxa"/>
            <w:tcBorders>
              <w:top w:val="single" w:color="auto" w:sz="4" w:space="0"/>
              <w:left w:val="single" w:color="auto" w:sz="4" w:space="0"/>
              <w:bottom w:val="single" w:color="auto" w:sz="4" w:space="0"/>
              <w:right w:val="single" w:color="auto" w:sz="4" w:space="0"/>
            </w:tcBorders>
            <w:vAlign w:val="center"/>
          </w:tcPr>
          <w:p w14:paraId="74A3AE33">
            <w:pPr>
              <w:spacing w:line="400" w:lineRule="exact"/>
              <w:jc w:val="center"/>
              <w:rPr>
                <w:rFonts w:ascii="宋体" w:hAnsi="宋体" w:cs="宋体"/>
                <w:szCs w:val="21"/>
              </w:rPr>
            </w:pPr>
            <w:r>
              <w:rPr>
                <w:rFonts w:hint="eastAsia" w:ascii="宋体" w:hAnsi="宋体" w:cs="宋体"/>
                <w:szCs w:val="21"/>
              </w:rPr>
              <w:t>1辆</w:t>
            </w:r>
          </w:p>
        </w:tc>
        <w:tc>
          <w:tcPr>
            <w:tcW w:w="4735" w:type="dxa"/>
            <w:tcBorders>
              <w:top w:val="single" w:color="auto" w:sz="4" w:space="0"/>
              <w:left w:val="single" w:color="auto" w:sz="4" w:space="0"/>
              <w:bottom w:val="single" w:color="auto" w:sz="4" w:space="0"/>
              <w:right w:val="single" w:color="auto" w:sz="4" w:space="0"/>
            </w:tcBorders>
            <w:vAlign w:val="center"/>
          </w:tcPr>
          <w:p w14:paraId="7AD676DA">
            <w:pPr>
              <w:spacing w:line="400" w:lineRule="exact"/>
              <w:jc w:val="center"/>
              <w:rPr>
                <w:rFonts w:ascii="宋体" w:hAnsi="宋体" w:cs="宋体"/>
                <w:szCs w:val="21"/>
              </w:rPr>
            </w:pPr>
            <w:r>
              <w:rPr>
                <w:rFonts w:hint="eastAsia" w:ascii="宋体" w:hAnsi="宋体" w:cs="宋体"/>
                <w:szCs w:val="21"/>
              </w:rPr>
              <w:t>水罐最大容积：≥9.2m³；</w:t>
            </w:r>
          </w:p>
          <w:p w14:paraId="4BC6CD0C">
            <w:pPr>
              <w:spacing w:line="400" w:lineRule="exact"/>
              <w:jc w:val="center"/>
              <w:rPr>
                <w:rFonts w:ascii="宋体" w:hAnsi="宋体" w:cs="宋体"/>
                <w:szCs w:val="21"/>
              </w:rPr>
            </w:pPr>
            <w:r>
              <w:rPr>
                <w:rFonts w:hint="eastAsia" w:ascii="宋体" w:hAnsi="宋体" w:cs="宋体"/>
                <w:szCs w:val="21"/>
              </w:rPr>
              <w:t>喷雾最大射程≥80m；</w:t>
            </w:r>
          </w:p>
          <w:p w14:paraId="2A628357">
            <w:pPr>
              <w:spacing w:line="400" w:lineRule="exact"/>
              <w:jc w:val="center"/>
              <w:rPr>
                <w:rFonts w:ascii="宋体" w:hAnsi="宋体" w:cs="宋体"/>
                <w:szCs w:val="21"/>
              </w:rPr>
            </w:pPr>
            <w:r>
              <w:rPr>
                <w:rFonts w:hint="eastAsia" w:ascii="宋体" w:hAnsi="宋体" w:cs="宋体"/>
                <w:szCs w:val="21"/>
              </w:rPr>
              <w:t>喷雾流量≥150L/min</w:t>
            </w:r>
          </w:p>
          <w:p w14:paraId="156005FC">
            <w:pPr>
              <w:spacing w:line="400" w:lineRule="exact"/>
              <w:jc w:val="center"/>
              <w:rPr>
                <w:rFonts w:ascii="宋体" w:hAnsi="宋体" w:cs="宋体"/>
                <w:szCs w:val="21"/>
              </w:rPr>
            </w:pPr>
            <w:r>
              <w:rPr>
                <w:rFonts w:hint="eastAsia" w:ascii="宋体" w:hAnsi="宋体" w:cs="宋体"/>
                <w:szCs w:val="21"/>
              </w:rPr>
              <w:t>洒水宽度≥14m</w:t>
            </w:r>
          </w:p>
          <w:p w14:paraId="63CA4D88">
            <w:pPr>
              <w:spacing w:line="400" w:lineRule="exact"/>
              <w:jc w:val="center"/>
              <w:rPr>
                <w:rFonts w:ascii="宋体" w:hAnsi="宋体" w:cs="宋体"/>
                <w:szCs w:val="21"/>
              </w:rPr>
            </w:pPr>
            <w:r>
              <w:rPr>
                <w:rFonts w:hint="eastAsia" w:ascii="宋体" w:hAnsi="宋体" w:cs="宋体"/>
                <w:szCs w:val="21"/>
              </w:rPr>
              <w:t>水泵额定压力≥1.1MPa</w:t>
            </w:r>
          </w:p>
        </w:tc>
        <w:tc>
          <w:tcPr>
            <w:tcW w:w="1484" w:type="dxa"/>
            <w:tcBorders>
              <w:top w:val="single" w:color="auto" w:sz="4" w:space="0"/>
              <w:left w:val="single" w:color="auto" w:sz="4" w:space="0"/>
              <w:bottom w:val="single" w:color="auto" w:sz="4" w:space="0"/>
              <w:right w:val="single" w:color="auto" w:sz="4" w:space="0"/>
            </w:tcBorders>
            <w:vAlign w:val="center"/>
          </w:tcPr>
          <w:p w14:paraId="18565F36">
            <w:pPr>
              <w:spacing w:line="400" w:lineRule="exact"/>
              <w:jc w:val="center"/>
              <w:rPr>
                <w:rFonts w:ascii="宋体" w:hAnsi="宋体" w:cs="宋体"/>
                <w:szCs w:val="21"/>
              </w:rPr>
            </w:pPr>
            <w:r>
              <w:rPr>
                <w:rFonts w:hint="eastAsia" w:ascii="宋体" w:hAnsi="宋体" w:cs="宋体"/>
                <w:szCs w:val="21"/>
              </w:rPr>
              <w:t>（大型洒水车）</w:t>
            </w:r>
          </w:p>
        </w:tc>
      </w:tr>
      <w:tr w14:paraId="7BFC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25C5EA76">
            <w:pPr>
              <w:numPr>
                <w:ilvl w:val="0"/>
                <w:numId w:val="4"/>
              </w:numPr>
              <w:spacing w:line="400" w:lineRule="exact"/>
              <w:jc w:val="center"/>
              <w:rPr>
                <w:kern w:val="0"/>
                <w:sz w:val="22"/>
                <w:szCs w:val="22"/>
              </w:rPr>
            </w:pPr>
          </w:p>
        </w:tc>
        <w:tc>
          <w:tcPr>
            <w:tcW w:w="1665" w:type="dxa"/>
            <w:tcBorders>
              <w:top w:val="single" w:color="auto" w:sz="4" w:space="0"/>
              <w:left w:val="single" w:color="auto" w:sz="4" w:space="0"/>
              <w:bottom w:val="single" w:color="auto" w:sz="4" w:space="0"/>
              <w:right w:val="single" w:color="auto" w:sz="4" w:space="0"/>
            </w:tcBorders>
            <w:vAlign w:val="center"/>
          </w:tcPr>
          <w:p w14:paraId="590075F9">
            <w:pPr>
              <w:spacing w:line="400" w:lineRule="exact"/>
              <w:jc w:val="center"/>
              <w:rPr>
                <w:rFonts w:ascii="宋体" w:hAnsi="宋体" w:cs="宋体"/>
                <w:szCs w:val="21"/>
              </w:rPr>
            </w:pPr>
            <w:r>
              <w:rPr>
                <w:rFonts w:hint="eastAsia" w:ascii="宋体" w:hAnsi="宋体" w:cs="宋体"/>
                <w:szCs w:val="21"/>
              </w:rPr>
              <w:t>后吊桶垃圾清运车</w:t>
            </w:r>
          </w:p>
        </w:tc>
        <w:tc>
          <w:tcPr>
            <w:tcW w:w="705" w:type="dxa"/>
            <w:tcBorders>
              <w:top w:val="single" w:color="auto" w:sz="4" w:space="0"/>
              <w:left w:val="single" w:color="auto" w:sz="4" w:space="0"/>
              <w:bottom w:val="single" w:color="auto" w:sz="4" w:space="0"/>
              <w:right w:val="single" w:color="auto" w:sz="4" w:space="0"/>
            </w:tcBorders>
            <w:vAlign w:val="center"/>
          </w:tcPr>
          <w:p w14:paraId="682CF31E">
            <w:pPr>
              <w:spacing w:line="400" w:lineRule="exact"/>
              <w:jc w:val="center"/>
              <w:rPr>
                <w:rFonts w:ascii="宋体" w:hAnsi="宋体" w:cs="宋体"/>
                <w:szCs w:val="21"/>
              </w:rPr>
            </w:pPr>
            <w:r>
              <w:rPr>
                <w:rFonts w:hint="eastAsia" w:ascii="宋体" w:hAnsi="宋体" w:cs="宋体"/>
                <w:szCs w:val="21"/>
              </w:rPr>
              <w:t>2辆</w:t>
            </w:r>
          </w:p>
        </w:tc>
        <w:tc>
          <w:tcPr>
            <w:tcW w:w="4735" w:type="dxa"/>
            <w:tcBorders>
              <w:top w:val="single" w:color="auto" w:sz="4" w:space="0"/>
              <w:left w:val="single" w:color="auto" w:sz="4" w:space="0"/>
              <w:bottom w:val="single" w:color="auto" w:sz="4" w:space="0"/>
              <w:right w:val="single" w:color="auto" w:sz="4" w:space="0"/>
            </w:tcBorders>
            <w:vAlign w:val="center"/>
          </w:tcPr>
          <w:p w14:paraId="490E7E49">
            <w:pPr>
              <w:spacing w:line="400" w:lineRule="exact"/>
              <w:jc w:val="center"/>
              <w:rPr>
                <w:rFonts w:ascii="宋体" w:hAnsi="宋体" w:cs="宋体"/>
                <w:szCs w:val="21"/>
              </w:rPr>
            </w:pPr>
            <w:r>
              <w:rPr>
                <w:rFonts w:hint="eastAsia" w:ascii="宋体" w:hAnsi="宋体" w:cs="宋体"/>
                <w:szCs w:val="21"/>
              </w:rPr>
              <w:t>垃圾箱容量：≥3.6m³</w:t>
            </w:r>
          </w:p>
          <w:p w14:paraId="054EC00C">
            <w:pPr>
              <w:spacing w:line="400" w:lineRule="exact"/>
              <w:jc w:val="center"/>
              <w:rPr>
                <w:rFonts w:ascii="宋体" w:hAnsi="宋体" w:cs="宋体"/>
                <w:szCs w:val="21"/>
              </w:rPr>
            </w:pPr>
            <w:r>
              <w:rPr>
                <w:rFonts w:hint="eastAsia" w:ascii="宋体" w:hAnsi="宋体" w:cs="宋体"/>
                <w:szCs w:val="21"/>
              </w:rPr>
              <w:t>续航里程：≥100km</w:t>
            </w:r>
          </w:p>
          <w:p w14:paraId="050E103A">
            <w:pPr>
              <w:spacing w:line="400" w:lineRule="exact"/>
              <w:jc w:val="center"/>
              <w:rPr>
                <w:rFonts w:ascii="宋体" w:hAnsi="宋体" w:cs="宋体"/>
                <w:szCs w:val="21"/>
              </w:rPr>
            </w:pPr>
            <w:r>
              <w:rPr>
                <w:rFonts w:hint="eastAsia" w:ascii="宋体" w:hAnsi="宋体" w:cs="宋体"/>
                <w:szCs w:val="21"/>
              </w:rPr>
              <w:t>制动能力：≤4m（空载）</w:t>
            </w:r>
          </w:p>
          <w:p w14:paraId="4DB71079">
            <w:pPr>
              <w:spacing w:line="400" w:lineRule="exact"/>
              <w:jc w:val="center"/>
              <w:rPr>
                <w:rFonts w:ascii="宋体" w:hAnsi="宋体" w:cs="宋体"/>
                <w:szCs w:val="21"/>
              </w:rPr>
            </w:pPr>
            <w:r>
              <w:rPr>
                <w:rFonts w:hint="eastAsia" w:ascii="宋体" w:hAnsi="宋体" w:cs="宋体"/>
                <w:szCs w:val="21"/>
              </w:rPr>
              <w:t>行走电机功率：≥10kw</w:t>
            </w:r>
          </w:p>
        </w:tc>
        <w:tc>
          <w:tcPr>
            <w:tcW w:w="1484" w:type="dxa"/>
            <w:tcBorders>
              <w:top w:val="single" w:color="auto" w:sz="4" w:space="0"/>
              <w:left w:val="single" w:color="auto" w:sz="4" w:space="0"/>
              <w:bottom w:val="single" w:color="auto" w:sz="4" w:space="0"/>
              <w:right w:val="single" w:color="auto" w:sz="4" w:space="0"/>
            </w:tcBorders>
            <w:vAlign w:val="center"/>
          </w:tcPr>
          <w:p w14:paraId="6DCF47EE">
            <w:pPr>
              <w:spacing w:line="400" w:lineRule="exact"/>
              <w:jc w:val="center"/>
              <w:rPr>
                <w:rFonts w:ascii="宋体" w:hAnsi="宋体" w:cs="宋体"/>
                <w:szCs w:val="21"/>
              </w:rPr>
            </w:pPr>
            <w:r>
              <w:rPr>
                <w:rFonts w:hint="eastAsia" w:ascii="宋体" w:hAnsi="宋体" w:cs="宋体"/>
                <w:szCs w:val="21"/>
              </w:rPr>
              <w:t>（垃圾清运专用车）</w:t>
            </w:r>
          </w:p>
        </w:tc>
      </w:tr>
      <w:tr w14:paraId="4999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61D8F348">
            <w:pPr>
              <w:numPr>
                <w:ilvl w:val="0"/>
                <w:numId w:val="4"/>
              </w:numPr>
              <w:spacing w:line="400" w:lineRule="exact"/>
              <w:jc w:val="center"/>
              <w:rPr>
                <w:kern w:val="0"/>
                <w:sz w:val="22"/>
                <w:szCs w:val="22"/>
              </w:rPr>
            </w:pPr>
          </w:p>
        </w:tc>
        <w:tc>
          <w:tcPr>
            <w:tcW w:w="1665" w:type="dxa"/>
            <w:tcBorders>
              <w:top w:val="single" w:color="auto" w:sz="4" w:space="0"/>
              <w:left w:val="single" w:color="auto" w:sz="4" w:space="0"/>
              <w:bottom w:val="single" w:color="auto" w:sz="4" w:space="0"/>
              <w:right w:val="single" w:color="auto" w:sz="4" w:space="0"/>
            </w:tcBorders>
            <w:vAlign w:val="center"/>
          </w:tcPr>
          <w:p w14:paraId="14978B04">
            <w:pPr>
              <w:spacing w:line="400" w:lineRule="exact"/>
              <w:jc w:val="center"/>
              <w:rPr>
                <w:rFonts w:ascii="宋体" w:hAnsi="宋体" w:cs="宋体"/>
                <w:szCs w:val="21"/>
              </w:rPr>
            </w:pPr>
            <w:r>
              <w:rPr>
                <w:rFonts w:hint="eastAsia" w:ascii="宋体" w:hAnsi="宋体" w:cs="宋体"/>
                <w:szCs w:val="21"/>
              </w:rPr>
              <w:t>锂电8桶4轮垃圾回收车</w:t>
            </w:r>
          </w:p>
        </w:tc>
        <w:tc>
          <w:tcPr>
            <w:tcW w:w="705" w:type="dxa"/>
            <w:tcBorders>
              <w:top w:val="single" w:color="auto" w:sz="4" w:space="0"/>
              <w:left w:val="single" w:color="auto" w:sz="4" w:space="0"/>
              <w:bottom w:val="single" w:color="auto" w:sz="4" w:space="0"/>
              <w:right w:val="single" w:color="auto" w:sz="4" w:space="0"/>
            </w:tcBorders>
            <w:vAlign w:val="center"/>
          </w:tcPr>
          <w:p w14:paraId="37074257">
            <w:pPr>
              <w:spacing w:line="400" w:lineRule="exact"/>
              <w:jc w:val="center"/>
              <w:rPr>
                <w:rFonts w:ascii="宋体" w:hAnsi="宋体" w:cs="宋体"/>
                <w:szCs w:val="21"/>
              </w:rPr>
            </w:pPr>
            <w:r>
              <w:rPr>
                <w:rFonts w:hint="eastAsia" w:ascii="宋体" w:hAnsi="宋体" w:cs="宋体"/>
                <w:szCs w:val="21"/>
              </w:rPr>
              <w:t>2辆</w:t>
            </w:r>
          </w:p>
        </w:tc>
        <w:tc>
          <w:tcPr>
            <w:tcW w:w="4735" w:type="dxa"/>
            <w:tcBorders>
              <w:top w:val="single" w:color="auto" w:sz="4" w:space="0"/>
              <w:left w:val="single" w:color="auto" w:sz="4" w:space="0"/>
              <w:bottom w:val="single" w:color="auto" w:sz="4" w:space="0"/>
              <w:right w:val="single" w:color="auto" w:sz="4" w:space="0"/>
            </w:tcBorders>
            <w:vAlign w:val="center"/>
          </w:tcPr>
          <w:p w14:paraId="26E11818">
            <w:pPr>
              <w:spacing w:line="400" w:lineRule="exact"/>
              <w:jc w:val="center"/>
              <w:rPr>
                <w:rFonts w:ascii="宋体" w:hAnsi="宋体" w:cs="宋体"/>
                <w:szCs w:val="21"/>
              </w:rPr>
            </w:pPr>
            <w:r>
              <w:rPr>
                <w:rFonts w:hint="eastAsia" w:ascii="宋体" w:hAnsi="宋体" w:cs="宋体"/>
                <w:szCs w:val="21"/>
              </w:rPr>
              <w:t>垃圾箱容量：≥3.6m³</w:t>
            </w:r>
          </w:p>
          <w:p w14:paraId="7B6CEC59">
            <w:pPr>
              <w:spacing w:line="400" w:lineRule="exact"/>
              <w:jc w:val="center"/>
              <w:rPr>
                <w:rFonts w:ascii="宋体" w:hAnsi="宋体" w:cs="宋体"/>
                <w:szCs w:val="21"/>
              </w:rPr>
            </w:pPr>
            <w:r>
              <w:rPr>
                <w:rFonts w:hint="eastAsia" w:ascii="宋体" w:hAnsi="宋体" w:cs="宋体"/>
                <w:szCs w:val="21"/>
              </w:rPr>
              <w:t>续航里程：≥80km</w:t>
            </w:r>
          </w:p>
          <w:p w14:paraId="3223BBCE">
            <w:pPr>
              <w:spacing w:line="400" w:lineRule="exact"/>
              <w:jc w:val="center"/>
              <w:rPr>
                <w:rFonts w:ascii="宋体" w:hAnsi="宋体" w:cs="宋体"/>
                <w:szCs w:val="21"/>
              </w:rPr>
            </w:pPr>
            <w:r>
              <w:rPr>
                <w:rFonts w:hint="eastAsia" w:ascii="宋体" w:hAnsi="宋体" w:cs="宋体"/>
                <w:szCs w:val="21"/>
              </w:rPr>
              <w:t>制动能力：≤4m（空载）</w:t>
            </w:r>
          </w:p>
          <w:p w14:paraId="4B602568">
            <w:pPr>
              <w:spacing w:line="400" w:lineRule="exact"/>
              <w:jc w:val="center"/>
              <w:rPr>
                <w:rFonts w:ascii="宋体" w:hAnsi="宋体" w:cs="宋体"/>
                <w:szCs w:val="21"/>
              </w:rPr>
            </w:pPr>
            <w:r>
              <w:rPr>
                <w:rFonts w:hint="eastAsia" w:ascii="宋体" w:hAnsi="宋体" w:cs="宋体"/>
                <w:szCs w:val="21"/>
              </w:rPr>
              <w:t>行走电机功率：≥7.5kw</w:t>
            </w:r>
          </w:p>
        </w:tc>
        <w:tc>
          <w:tcPr>
            <w:tcW w:w="1484" w:type="dxa"/>
            <w:tcBorders>
              <w:top w:val="single" w:color="auto" w:sz="4" w:space="0"/>
              <w:left w:val="single" w:color="auto" w:sz="4" w:space="0"/>
              <w:bottom w:val="single" w:color="auto" w:sz="4" w:space="0"/>
              <w:right w:val="single" w:color="auto" w:sz="4" w:space="0"/>
            </w:tcBorders>
            <w:vAlign w:val="center"/>
          </w:tcPr>
          <w:p w14:paraId="5385153A">
            <w:pPr>
              <w:spacing w:line="400" w:lineRule="exact"/>
              <w:jc w:val="center"/>
              <w:rPr>
                <w:rFonts w:ascii="宋体" w:hAnsi="宋体" w:cs="宋体"/>
                <w:szCs w:val="21"/>
              </w:rPr>
            </w:pPr>
            <w:r>
              <w:rPr>
                <w:rFonts w:hint="eastAsia" w:ascii="宋体" w:hAnsi="宋体" w:cs="宋体"/>
                <w:szCs w:val="21"/>
              </w:rPr>
              <w:t>（易腐垃圾回收专用车）</w:t>
            </w:r>
          </w:p>
        </w:tc>
      </w:tr>
      <w:tr w14:paraId="2786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533C899D">
            <w:pPr>
              <w:numPr>
                <w:ilvl w:val="0"/>
                <w:numId w:val="4"/>
              </w:numPr>
              <w:spacing w:line="400" w:lineRule="exact"/>
              <w:jc w:val="center"/>
              <w:rPr>
                <w:kern w:val="0"/>
                <w:sz w:val="22"/>
                <w:szCs w:val="22"/>
              </w:rPr>
            </w:pPr>
          </w:p>
        </w:tc>
        <w:tc>
          <w:tcPr>
            <w:tcW w:w="1665" w:type="dxa"/>
            <w:tcBorders>
              <w:top w:val="single" w:color="auto" w:sz="4" w:space="0"/>
              <w:left w:val="single" w:color="auto" w:sz="4" w:space="0"/>
              <w:bottom w:val="single" w:color="auto" w:sz="4" w:space="0"/>
              <w:right w:val="single" w:color="auto" w:sz="4" w:space="0"/>
            </w:tcBorders>
            <w:vAlign w:val="center"/>
          </w:tcPr>
          <w:p w14:paraId="7AE0A49A">
            <w:pPr>
              <w:spacing w:line="400" w:lineRule="exact"/>
              <w:jc w:val="center"/>
              <w:rPr>
                <w:rFonts w:ascii="宋体" w:hAnsi="宋体" w:cs="宋体"/>
                <w:szCs w:val="21"/>
              </w:rPr>
            </w:pPr>
            <w:r>
              <w:rPr>
                <w:rFonts w:hint="eastAsia" w:ascii="宋体" w:hAnsi="宋体" w:cs="宋体"/>
                <w:szCs w:val="21"/>
              </w:rPr>
              <w:t>大型三轮保洁车</w:t>
            </w:r>
          </w:p>
        </w:tc>
        <w:tc>
          <w:tcPr>
            <w:tcW w:w="705" w:type="dxa"/>
            <w:tcBorders>
              <w:top w:val="single" w:color="auto" w:sz="4" w:space="0"/>
              <w:left w:val="single" w:color="auto" w:sz="4" w:space="0"/>
              <w:bottom w:val="single" w:color="auto" w:sz="4" w:space="0"/>
              <w:right w:val="single" w:color="auto" w:sz="4" w:space="0"/>
            </w:tcBorders>
            <w:vAlign w:val="center"/>
          </w:tcPr>
          <w:p w14:paraId="0AAFBB5E">
            <w:pPr>
              <w:spacing w:line="400" w:lineRule="exact"/>
              <w:jc w:val="center"/>
              <w:rPr>
                <w:rFonts w:ascii="宋体" w:hAnsi="宋体" w:cs="宋体"/>
                <w:szCs w:val="21"/>
              </w:rPr>
            </w:pPr>
            <w:r>
              <w:rPr>
                <w:rFonts w:hint="eastAsia" w:ascii="宋体" w:hAnsi="宋体" w:cs="宋体"/>
                <w:szCs w:val="21"/>
              </w:rPr>
              <w:t>3辆</w:t>
            </w:r>
          </w:p>
        </w:tc>
        <w:tc>
          <w:tcPr>
            <w:tcW w:w="4735" w:type="dxa"/>
            <w:tcBorders>
              <w:top w:val="single" w:color="auto" w:sz="4" w:space="0"/>
              <w:left w:val="single" w:color="auto" w:sz="4" w:space="0"/>
              <w:bottom w:val="single" w:color="auto" w:sz="4" w:space="0"/>
              <w:right w:val="single" w:color="auto" w:sz="4" w:space="0"/>
            </w:tcBorders>
            <w:vAlign w:val="center"/>
          </w:tcPr>
          <w:p w14:paraId="713E1F05">
            <w:pPr>
              <w:spacing w:line="400" w:lineRule="exact"/>
              <w:jc w:val="center"/>
              <w:rPr>
                <w:rFonts w:ascii="宋体" w:hAnsi="宋体" w:cs="宋体"/>
                <w:szCs w:val="21"/>
              </w:rPr>
            </w:pPr>
            <w:r>
              <w:rPr>
                <w:rFonts w:hint="eastAsia" w:ascii="宋体" w:hAnsi="宋体" w:cs="宋体"/>
                <w:szCs w:val="21"/>
              </w:rPr>
              <w:t>续驶里程：≥80km；</w:t>
            </w:r>
          </w:p>
          <w:p w14:paraId="1453821F">
            <w:pPr>
              <w:spacing w:line="400" w:lineRule="exact"/>
              <w:jc w:val="center"/>
              <w:rPr>
                <w:rFonts w:ascii="宋体" w:hAnsi="宋体" w:cs="宋体"/>
                <w:szCs w:val="21"/>
              </w:rPr>
            </w:pPr>
            <w:r>
              <w:rPr>
                <w:rFonts w:hint="eastAsia" w:ascii="宋体" w:hAnsi="宋体" w:cs="宋体"/>
                <w:szCs w:val="21"/>
              </w:rPr>
              <w:t>箱体容积：≥2000kg</w:t>
            </w:r>
          </w:p>
        </w:tc>
        <w:tc>
          <w:tcPr>
            <w:tcW w:w="1484" w:type="dxa"/>
            <w:tcBorders>
              <w:top w:val="single" w:color="auto" w:sz="4" w:space="0"/>
              <w:left w:val="single" w:color="auto" w:sz="4" w:space="0"/>
              <w:bottom w:val="single" w:color="auto" w:sz="4" w:space="0"/>
              <w:right w:val="single" w:color="auto" w:sz="4" w:space="0"/>
            </w:tcBorders>
            <w:vAlign w:val="center"/>
          </w:tcPr>
          <w:p w14:paraId="54A042EC">
            <w:pPr>
              <w:spacing w:line="400" w:lineRule="exact"/>
              <w:jc w:val="center"/>
              <w:rPr>
                <w:rFonts w:ascii="宋体" w:hAnsi="宋体" w:cs="宋体"/>
                <w:szCs w:val="21"/>
              </w:rPr>
            </w:pPr>
            <w:r>
              <w:rPr>
                <w:rFonts w:hint="eastAsia" w:ascii="宋体" w:hAnsi="宋体" w:cs="宋体"/>
                <w:szCs w:val="21"/>
              </w:rPr>
              <w:t>（垃圾清运三轮车）</w:t>
            </w:r>
          </w:p>
        </w:tc>
      </w:tr>
      <w:tr w14:paraId="525F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63C6CAF3">
            <w:pPr>
              <w:numPr>
                <w:ilvl w:val="0"/>
                <w:numId w:val="4"/>
              </w:numPr>
              <w:spacing w:line="400" w:lineRule="exact"/>
              <w:jc w:val="center"/>
              <w:rPr>
                <w:kern w:val="0"/>
                <w:sz w:val="22"/>
                <w:szCs w:val="22"/>
              </w:rPr>
            </w:pPr>
          </w:p>
        </w:tc>
        <w:tc>
          <w:tcPr>
            <w:tcW w:w="1665" w:type="dxa"/>
            <w:tcBorders>
              <w:top w:val="single" w:color="auto" w:sz="4" w:space="0"/>
              <w:left w:val="single" w:color="auto" w:sz="4" w:space="0"/>
              <w:bottom w:val="single" w:color="auto" w:sz="4" w:space="0"/>
              <w:right w:val="single" w:color="auto" w:sz="4" w:space="0"/>
            </w:tcBorders>
            <w:vAlign w:val="center"/>
          </w:tcPr>
          <w:p w14:paraId="2F6EFC7C">
            <w:pPr>
              <w:spacing w:line="400" w:lineRule="exact"/>
              <w:jc w:val="center"/>
              <w:rPr>
                <w:rFonts w:ascii="宋体" w:hAnsi="宋体" w:cs="宋体"/>
                <w:szCs w:val="21"/>
              </w:rPr>
            </w:pPr>
            <w:r>
              <w:rPr>
                <w:rFonts w:hint="eastAsia" w:ascii="宋体" w:hAnsi="宋体" w:cs="宋体"/>
                <w:szCs w:val="21"/>
              </w:rPr>
              <w:t>高压冲洗车</w:t>
            </w:r>
          </w:p>
        </w:tc>
        <w:tc>
          <w:tcPr>
            <w:tcW w:w="705" w:type="dxa"/>
            <w:tcBorders>
              <w:top w:val="single" w:color="auto" w:sz="4" w:space="0"/>
              <w:left w:val="single" w:color="auto" w:sz="4" w:space="0"/>
              <w:bottom w:val="single" w:color="auto" w:sz="4" w:space="0"/>
              <w:right w:val="single" w:color="auto" w:sz="4" w:space="0"/>
            </w:tcBorders>
            <w:vAlign w:val="center"/>
          </w:tcPr>
          <w:p w14:paraId="45E709C6">
            <w:pPr>
              <w:spacing w:line="400" w:lineRule="exact"/>
              <w:jc w:val="center"/>
              <w:rPr>
                <w:rFonts w:ascii="宋体" w:hAnsi="宋体" w:cs="宋体"/>
                <w:szCs w:val="21"/>
              </w:rPr>
            </w:pPr>
            <w:r>
              <w:rPr>
                <w:rFonts w:hint="eastAsia" w:ascii="宋体" w:hAnsi="宋体" w:cs="宋体"/>
                <w:szCs w:val="21"/>
              </w:rPr>
              <w:t>1辆</w:t>
            </w:r>
          </w:p>
        </w:tc>
        <w:tc>
          <w:tcPr>
            <w:tcW w:w="4735" w:type="dxa"/>
            <w:tcBorders>
              <w:top w:val="single" w:color="auto" w:sz="4" w:space="0"/>
              <w:left w:val="single" w:color="auto" w:sz="4" w:space="0"/>
              <w:bottom w:val="single" w:color="auto" w:sz="4" w:space="0"/>
              <w:right w:val="single" w:color="auto" w:sz="4" w:space="0"/>
            </w:tcBorders>
            <w:vAlign w:val="center"/>
          </w:tcPr>
          <w:p w14:paraId="314F5F41">
            <w:pPr>
              <w:spacing w:line="400" w:lineRule="exact"/>
              <w:jc w:val="center"/>
              <w:rPr>
                <w:rFonts w:ascii="宋体" w:hAnsi="宋体" w:cs="宋体"/>
                <w:szCs w:val="21"/>
              </w:rPr>
            </w:pPr>
            <w:r>
              <w:rPr>
                <w:rFonts w:hint="eastAsia" w:ascii="宋体" w:hAnsi="宋体" w:cs="宋体"/>
                <w:szCs w:val="21"/>
              </w:rPr>
              <w:t>清洗宽度：≥1450mm；</w:t>
            </w:r>
          </w:p>
          <w:p w14:paraId="0E3E50EA">
            <w:pPr>
              <w:spacing w:line="400" w:lineRule="exact"/>
              <w:jc w:val="center"/>
              <w:rPr>
                <w:rFonts w:ascii="宋体" w:hAnsi="宋体" w:cs="宋体"/>
                <w:szCs w:val="21"/>
              </w:rPr>
            </w:pPr>
            <w:r>
              <w:rPr>
                <w:rFonts w:hint="eastAsia" w:ascii="宋体" w:hAnsi="宋体" w:cs="宋体"/>
                <w:szCs w:val="21"/>
              </w:rPr>
              <w:t>水箱容积≥2000L；</w:t>
            </w:r>
          </w:p>
          <w:p w14:paraId="38D76415">
            <w:pPr>
              <w:spacing w:line="400" w:lineRule="exact"/>
              <w:jc w:val="center"/>
              <w:rPr>
                <w:rFonts w:ascii="宋体" w:hAnsi="宋体" w:cs="宋体"/>
                <w:szCs w:val="21"/>
              </w:rPr>
            </w:pPr>
            <w:r>
              <w:rPr>
                <w:rFonts w:hint="eastAsia" w:ascii="宋体" w:hAnsi="宋体" w:cs="宋体"/>
                <w:szCs w:val="21"/>
              </w:rPr>
              <w:t>续航里程：≥80km；</w:t>
            </w:r>
          </w:p>
          <w:p w14:paraId="2853EA80">
            <w:pPr>
              <w:spacing w:line="400" w:lineRule="exact"/>
              <w:jc w:val="center"/>
              <w:rPr>
                <w:rFonts w:ascii="宋体" w:hAnsi="宋体" w:cs="宋体"/>
                <w:szCs w:val="21"/>
              </w:rPr>
            </w:pPr>
            <w:r>
              <w:rPr>
                <w:rFonts w:hint="eastAsia" w:ascii="宋体" w:hAnsi="宋体" w:cs="宋体"/>
                <w:szCs w:val="21"/>
              </w:rPr>
              <w:t>爬坡能力：≥20%</w:t>
            </w:r>
          </w:p>
        </w:tc>
        <w:tc>
          <w:tcPr>
            <w:tcW w:w="1484" w:type="dxa"/>
            <w:tcBorders>
              <w:top w:val="single" w:color="auto" w:sz="4" w:space="0"/>
              <w:left w:val="single" w:color="auto" w:sz="4" w:space="0"/>
              <w:bottom w:val="single" w:color="auto" w:sz="4" w:space="0"/>
              <w:right w:val="single" w:color="auto" w:sz="4" w:space="0"/>
            </w:tcBorders>
            <w:vAlign w:val="center"/>
          </w:tcPr>
          <w:p w14:paraId="71CEE175">
            <w:pPr>
              <w:spacing w:line="400" w:lineRule="exact"/>
              <w:jc w:val="center"/>
              <w:rPr>
                <w:rFonts w:ascii="宋体" w:hAnsi="宋体" w:eastAsia="宋体" w:cs="宋体"/>
                <w:szCs w:val="21"/>
              </w:rPr>
            </w:pPr>
          </w:p>
        </w:tc>
      </w:tr>
      <w:tr w14:paraId="6EA1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65DBBC2F">
            <w:pPr>
              <w:numPr>
                <w:ilvl w:val="0"/>
                <w:numId w:val="4"/>
              </w:numPr>
              <w:spacing w:line="400" w:lineRule="exact"/>
              <w:jc w:val="center"/>
              <w:rPr>
                <w:kern w:val="0"/>
                <w:sz w:val="22"/>
                <w:szCs w:val="22"/>
              </w:rPr>
            </w:pPr>
          </w:p>
        </w:tc>
        <w:tc>
          <w:tcPr>
            <w:tcW w:w="1665" w:type="dxa"/>
            <w:tcBorders>
              <w:top w:val="single" w:color="auto" w:sz="4" w:space="0"/>
              <w:left w:val="single" w:color="auto" w:sz="4" w:space="0"/>
              <w:bottom w:val="single" w:color="auto" w:sz="4" w:space="0"/>
              <w:right w:val="single" w:color="auto" w:sz="4" w:space="0"/>
            </w:tcBorders>
            <w:vAlign w:val="center"/>
          </w:tcPr>
          <w:p w14:paraId="58770496">
            <w:pPr>
              <w:spacing w:line="400" w:lineRule="exact"/>
              <w:jc w:val="center"/>
              <w:rPr>
                <w:rFonts w:ascii="宋体" w:hAnsi="宋体" w:cs="宋体"/>
                <w:szCs w:val="21"/>
              </w:rPr>
            </w:pPr>
            <w:r>
              <w:rPr>
                <w:rFonts w:hint="eastAsia" w:ascii="宋体" w:hAnsi="宋体" w:cs="宋体"/>
                <w:szCs w:val="21"/>
              </w:rPr>
              <w:t>重型载货专项作业车</w:t>
            </w:r>
          </w:p>
        </w:tc>
        <w:tc>
          <w:tcPr>
            <w:tcW w:w="705" w:type="dxa"/>
            <w:tcBorders>
              <w:top w:val="single" w:color="auto" w:sz="4" w:space="0"/>
              <w:left w:val="single" w:color="auto" w:sz="4" w:space="0"/>
              <w:bottom w:val="single" w:color="auto" w:sz="4" w:space="0"/>
              <w:right w:val="single" w:color="auto" w:sz="4" w:space="0"/>
            </w:tcBorders>
            <w:vAlign w:val="center"/>
          </w:tcPr>
          <w:p w14:paraId="5858F422">
            <w:pPr>
              <w:spacing w:line="400" w:lineRule="exact"/>
              <w:jc w:val="center"/>
              <w:rPr>
                <w:rFonts w:ascii="宋体" w:hAnsi="宋体" w:cs="宋体"/>
                <w:szCs w:val="21"/>
              </w:rPr>
            </w:pPr>
            <w:r>
              <w:rPr>
                <w:rFonts w:hint="eastAsia" w:ascii="宋体" w:hAnsi="宋体" w:cs="宋体"/>
                <w:szCs w:val="21"/>
              </w:rPr>
              <w:t>1辆</w:t>
            </w:r>
          </w:p>
        </w:tc>
        <w:tc>
          <w:tcPr>
            <w:tcW w:w="4735" w:type="dxa"/>
            <w:tcBorders>
              <w:top w:val="single" w:color="auto" w:sz="4" w:space="0"/>
              <w:left w:val="single" w:color="auto" w:sz="4" w:space="0"/>
              <w:bottom w:val="single" w:color="auto" w:sz="4" w:space="0"/>
              <w:right w:val="single" w:color="auto" w:sz="4" w:space="0"/>
            </w:tcBorders>
            <w:vAlign w:val="center"/>
          </w:tcPr>
          <w:p w14:paraId="2A8D9409">
            <w:pPr>
              <w:spacing w:line="400" w:lineRule="exact"/>
              <w:jc w:val="center"/>
              <w:rPr>
                <w:rFonts w:ascii="宋体" w:hAnsi="宋体" w:cs="宋体"/>
                <w:szCs w:val="21"/>
              </w:rPr>
            </w:pPr>
            <w:r>
              <w:rPr>
                <w:rFonts w:hint="eastAsia" w:ascii="宋体" w:hAnsi="宋体" w:cs="宋体"/>
                <w:szCs w:val="21"/>
              </w:rPr>
              <w:t>垃圾箱容积:≥9.5</w:t>
            </w:r>
          </w:p>
          <w:p w14:paraId="3C08F7BA">
            <w:pPr>
              <w:spacing w:line="400" w:lineRule="exact"/>
              <w:jc w:val="center"/>
              <w:rPr>
                <w:rFonts w:ascii="宋体" w:hAnsi="宋体" w:cs="宋体"/>
                <w:szCs w:val="21"/>
              </w:rPr>
            </w:pPr>
            <w:r>
              <w:rPr>
                <w:rFonts w:hint="eastAsia" w:ascii="宋体" w:hAnsi="宋体" w:cs="宋体"/>
                <w:szCs w:val="21"/>
              </w:rPr>
              <w:t>高压水泵压力：≥10MPa</w:t>
            </w:r>
          </w:p>
          <w:p w14:paraId="4FAEAD4E">
            <w:pPr>
              <w:spacing w:line="400" w:lineRule="exact"/>
              <w:jc w:val="center"/>
              <w:rPr>
                <w:rFonts w:ascii="宋体" w:hAnsi="宋体" w:cs="宋体"/>
                <w:szCs w:val="21"/>
              </w:rPr>
            </w:pPr>
            <w:r>
              <w:rPr>
                <w:rFonts w:hint="eastAsia" w:ascii="宋体" w:hAnsi="宋体" w:cs="宋体"/>
                <w:szCs w:val="21"/>
              </w:rPr>
              <w:t>高压水泵流量≥142L/min</w:t>
            </w:r>
          </w:p>
          <w:p w14:paraId="20DD4994">
            <w:pPr>
              <w:spacing w:line="400" w:lineRule="exact"/>
              <w:jc w:val="center"/>
              <w:rPr>
                <w:kern w:val="0"/>
                <w:sz w:val="22"/>
                <w:szCs w:val="22"/>
              </w:rPr>
            </w:pPr>
            <w:r>
              <w:rPr>
                <w:rFonts w:hint="eastAsia" w:ascii="宋体" w:hAnsi="宋体" w:cs="宋体"/>
                <w:szCs w:val="21"/>
              </w:rPr>
              <w:t>洗扫宽度：≥4.5m</w:t>
            </w:r>
          </w:p>
        </w:tc>
        <w:tc>
          <w:tcPr>
            <w:tcW w:w="1484" w:type="dxa"/>
            <w:tcBorders>
              <w:top w:val="single" w:color="auto" w:sz="4" w:space="0"/>
              <w:left w:val="single" w:color="auto" w:sz="4" w:space="0"/>
              <w:bottom w:val="single" w:color="auto" w:sz="4" w:space="0"/>
              <w:right w:val="single" w:color="auto" w:sz="4" w:space="0"/>
            </w:tcBorders>
            <w:vAlign w:val="center"/>
          </w:tcPr>
          <w:p w14:paraId="5CF73007">
            <w:pPr>
              <w:spacing w:line="400" w:lineRule="exact"/>
              <w:jc w:val="center"/>
              <w:rPr>
                <w:rFonts w:ascii="宋体" w:hAnsi="宋体" w:cs="宋体"/>
                <w:szCs w:val="21"/>
              </w:rPr>
            </w:pPr>
            <w:r>
              <w:rPr>
                <w:rFonts w:hint="eastAsia" w:ascii="宋体" w:hAnsi="宋体" w:cs="宋体"/>
                <w:szCs w:val="21"/>
              </w:rPr>
              <w:t>（大型清扫车）</w:t>
            </w:r>
          </w:p>
        </w:tc>
      </w:tr>
      <w:tr w14:paraId="679D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45508433">
            <w:pPr>
              <w:spacing w:line="400" w:lineRule="exact"/>
              <w:jc w:val="center"/>
              <w:rPr>
                <w:kern w:val="0"/>
                <w:sz w:val="22"/>
                <w:szCs w:val="22"/>
              </w:rPr>
            </w:pPr>
            <w:r>
              <w:rPr>
                <w:rFonts w:hint="eastAsia"/>
                <w:kern w:val="0"/>
                <w:sz w:val="22"/>
                <w:szCs w:val="22"/>
              </w:rPr>
              <w:t>8</w:t>
            </w:r>
          </w:p>
        </w:tc>
        <w:tc>
          <w:tcPr>
            <w:tcW w:w="1665" w:type="dxa"/>
            <w:tcBorders>
              <w:top w:val="single" w:color="auto" w:sz="4" w:space="0"/>
              <w:left w:val="single" w:color="auto" w:sz="4" w:space="0"/>
              <w:bottom w:val="single" w:color="auto" w:sz="4" w:space="0"/>
              <w:right w:val="single" w:color="auto" w:sz="4" w:space="0"/>
            </w:tcBorders>
            <w:vAlign w:val="center"/>
          </w:tcPr>
          <w:p w14:paraId="38F6C9E2">
            <w:pPr>
              <w:spacing w:line="400" w:lineRule="exact"/>
              <w:jc w:val="center"/>
              <w:rPr>
                <w:rFonts w:ascii="宋体" w:hAnsi="宋体" w:cs="宋体"/>
                <w:szCs w:val="21"/>
              </w:rPr>
            </w:pPr>
            <w:r>
              <w:rPr>
                <w:rFonts w:hint="eastAsia"/>
                <w:kern w:val="0"/>
                <w:sz w:val="22"/>
                <w:szCs w:val="22"/>
              </w:rPr>
              <w:t>小铲车</w:t>
            </w:r>
          </w:p>
        </w:tc>
        <w:tc>
          <w:tcPr>
            <w:tcW w:w="705" w:type="dxa"/>
            <w:tcBorders>
              <w:top w:val="single" w:color="auto" w:sz="4" w:space="0"/>
              <w:left w:val="single" w:color="auto" w:sz="4" w:space="0"/>
              <w:bottom w:val="single" w:color="auto" w:sz="4" w:space="0"/>
              <w:right w:val="single" w:color="auto" w:sz="4" w:space="0"/>
            </w:tcBorders>
            <w:vAlign w:val="center"/>
          </w:tcPr>
          <w:p w14:paraId="5C4E831F">
            <w:pPr>
              <w:jc w:val="center"/>
              <w:rPr>
                <w:rFonts w:ascii="宋体" w:hAnsi="宋体" w:cs="宋体"/>
                <w:szCs w:val="21"/>
              </w:rPr>
            </w:pPr>
            <w:r>
              <w:rPr>
                <w:rFonts w:hint="eastAsia"/>
                <w:kern w:val="0"/>
                <w:sz w:val="22"/>
                <w:szCs w:val="22"/>
              </w:rPr>
              <w:t>1台</w:t>
            </w:r>
          </w:p>
        </w:tc>
        <w:tc>
          <w:tcPr>
            <w:tcW w:w="4735" w:type="dxa"/>
            <w:tcBorders>
              <w:top w:val="single" w:color="auto" w:sz="4" w:space="0"/>
              <w:left w:val="single" w:color="auto" w:sz="4" w:space="0"/>
              <w:bottom w:val="single" w:color="auto" w:sz="4" w:space="0"/>
              <w:right w:val="single" w:color="auto" w:sz="4" w:space="0"/>
            </w:tcBorders>
            <w:vAlign w:val="center"/>
          </w:tcPr>
          <w:p w14:paraId="061B0FCF">
            <w:pPr>
              <w:spacing w:line="400" w:lineRule="exact"/>
              <w:jc w:val="center"/>
              <w:rPr>
                <w:rFonts w:ascii="宋体" w:hAnsi="宋体" w:cs="宋体"/>
                <w:szCs w:val="21"/>
              </w:rPr>
            </w:pPr>
            <w:r>
              <w:rPr>
                <w:rFonts w:hint="eastAsia" w:ascii="宋体" w:hAnsi="宋体" w:cs="宋体"/>
                <w:szCs w:val="21"/>
              </w:rPr>
              <w:t>额定载重量：≥1000kg；</w:t>
            </w:r>
          </w:p>
          <w:p w14:paraId="482FB77D">
            <w:pPr>
              <w:spacing w:line="400" w:lineRule="exact"/>
              <w:jc w:val="center"/>
              <w:rPr>
                <w:rFonts w:ascii="宋体" w:hAnsi="宋体" w:cs="宋体"/>
                <w:szCs w:val="21"/>
              </w:rPr>
            </w:pPr>
            <w:r>
              <w:rPr>
                <w:rFonts w:hint="eastAsia" w:ascii="宋体" w:hAnsi="宋体" w:cs="宋体"/>
                <w:szCs w:val="21"/>
              </w:rPr>
              <w:t>额定斗容量：≥0.45m³</w:t>
            </w:r>
          </w:p>
          <w:p w14:paraId="686A644A">
            <w:pPr>
              <w:spacing w:line="400" w:lineRule="exact"/>
              <w:jc w:val="center"/>
              <w:rPr>
                <w:kern w:val="0"/>
                <w:sz w:val="22"/>
                <w:szCs w:val="22"/>
              </w:rPr>
            </w:pPr>
            <w:r>
              <w:rPr>
                <w:rFonts w:hint="eastAsia" w:ascii="宋体" w:hAnsi="宋体" w:cs="宋体"/>
                <w:szCs w:val="21"/>
              </w:rPr>
              <w:t>最大掘起力：≥32KN</w:t>
            </w:r>
          </w:p>
        </w:tc>
        <w:tc>
          <w:tcPr>
            <w:tcW w:w="1484" w:type="dxa"/>
            <w:tcBorders>
              <w:top w:val="single" w:color="auto" w:sz="4" w:space="0"/>
              <w:left w:val="single" w:color="auto" w:sz="4" w:space="0"/>
              <w:bottom w:val="single" w:color="auto" w:sz="4" w:space="0"/>
              <w:right w:val="single" w:color="auto" w:sz="4" w:space="0"/>
            </w:tcBorders>
            <w:vAlign w:val="center"/>
          </w:tcPr>
          <w:p w14:paraId="54D7064B">
            <w:pPr>
              <w:spacing w:line="400" w:lineRule="exact"/>
              <w:jc w:val="center"/>
              <w:rPr>
                <w:rFonts w:ascii="宋体" w:hAnsi="宋体" w:cs="宋体"/>
                <w:szCs w:val="21"/>
                <w:highlight w:val="yellow"/>
              </w:rPr>
            </w:pPr>
          </w:p>
        </w:tc>
      </w:tr>
      <w:tr w14:paraId="407D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33" w:type="dxa"/>
            <w:tcBorders>
              <w:top w:val="single" w:color="auto" w:sz="4" w:space="0"/>
              <w:left w:val="single" w:color="auto" w:sz="4" w:space="0"/>
              <w:bottom w:val="single" w:color="auto" w:sz="4" w:space="0"/>
              <w:right w:val="single" w:color="auto" w:sz="4" w:space="0"/>
            </w:tcBorders>
            <w:vAlign w:val="center"/>
          </w:tcPr>
          <w:p w14:paraId="69A4691E">
            <w:pPr>
              <w:spacing w:line="400" w:lineRule="exact"/>
              <w:jc w:val="center"/>
              <w:rPr>
                <w:kern w:val="0"/>
                <w:sz w:val="22"/>
                <w:szCs w:val="22"/>
              </w:rPr>
            </w:pPr>
            <w:r>
              <w:rPr>
                <w:rFonts w:hint="eastAsia"/>
                <w:kern w:val="0"/>
                <w:sz w:val="22"/>
                <w:szCs w:val="22"/>
              </w:rPr>
              <w:t>9</w:t>
            </w:r>
          </w:p>
        </w:tc>
        <w:tc>
          <w:tcPr>
            <w:tcW w:w="1665" w:type="dxa"/>
            <w:tcBorders>
              <w:top w:val="single" w:color="auto" w:sz="4" w:space="0"/>
              <w:left w:val="single" w:color="auto" w:sz="4" w:space="0"/>
              <w:bottom w:val="single" w:color="auto" w:sz="4" w:space="0"/>
              <w:right w:val="single" w:color="auto" w:sz="4" w:space="0"/>
            </w:tcBorders>
            <w:vAlign w:val="center"/>
          </w:tcPr>
          <w:p w14:paraId="13C0D363">
            <w:pPr>
              <w:spacing w:line="400" w:lineRule="exact"/>
              <w:jc w:val="center"/>
              <w:rPr>
                <w:rFonts w:ascii="宋体" w:hAnsi="宋体" w:cs="宋体"/>
                <w:szCs w:val="21"/>
              </w:rPr>
            </w:pPr>
            <w:r>
              <w:rPr>
                <w:rFonts w:hint="eastAsia" w:ascii="宋体" w:hAnsi="宋体" w:cs="宋体"/>
                <w:szCs w:val="21"/>
              </w:rPr>
              <w:t>巡逻车</w:t>
            </w:r>
          </w:p>
        </w:tc>
        <w:tc>
          <w:tcPr>
            <w:tcW w:w="705" w:type="dxa"/>
            <w:tcBorders>
              <w:top w:val="single" w:color="auto" w:sz="4" w:space="0"/>
              <w:left w:val="single" w:color="auto" w:sz="4" w:space="0"/>
              <w:bottom w:val="single" w:color="auto" w:sz="4" w:space="0"/>
              <w:right w:val="single" w:color="auto" w:sz="4" w:space="0"/>
            </w:tcBorders>
            <w:vAlign w:val="center"/>
          </w:tcPr>
          <w:p w14:paraId="125541B8">
            <w:pPr>
              <w:spacing w:line="400" w:lineRule="exact"/>
              <w:jc w:val="center"/>
              <w:rPr>
                <w:rFonts w:ascii="宋体" w:hAnsi="宋体" w:cs="宋体"/>
                <w:szCs w:val="21"/>
              </w:rPr>
            </w:pPr>
            <w:r>
              <w:rPr>
                <w:rFonts w:hint="eastAsia" w:ascii="宋体" w:hAnsi="宋体" w:cs="宋体"/>
                <w:szCs w:val="21"/>
              </w:rPr>
              <w:t>1辆</w:t>
            </w:r>
          </w:p>
        </w:tc>
        <w:tc>
          <w:tcPr>
            <w:tcW w:w="4735" w:type="dxa"/>
            <w:tcBorders>
              <w:top w:val="single" w:color="auto" w:sz="4" w:space="0"/>
              <w:left w:val="single" w:color="auto" w:sz="4" w:space="0"/>
              <w:bottom w:val="single" w:color="auto" w:sz="4" w:space="0"/>
              <w:right w:val="single" w:color="auto" w:sz="4" w:space="0"/>
            </w:tcBorders>
            <w:vAlign w:val="center"/>
          </w:tcPr>
          <w:p w14:paraId="6D6E364C">
            <w:pPr>
              <w:spacing w:line="400" w:lineRule="exact"/>
              <w:jc w:val="center"/>
              <w:rPr>
                <w:rFonts w:ascii="宋体" w:hAnsi="宋体" w:cs="宋体"/>
                <w:szCs w:val="21"/>
              </w:rPr>
            </w:pPr>
            <w:r>
              <w:rPr>
                <w:rFonts w:hint="eastAsia" w:ascii="宋体" w:hAnsi="宋体" w:cs="宋体"/>
                <w:szCs w:val="21"/>
              </w:rPr>
              <w:t>乘员数：≥4人；</w:t>
            </w:r>
          </w:p>
          <w:p w14:paraId="523AAE1F">
            <w:pPr>
              <w:spacing w:line="400" w:lineRule="exact"/>
              <w:jc w:val="center"/>
              <w:rPr>
                <w:kern w:val="0"/>
                <w:sz w:val="22"/>
                <w:szCs w:val="22"/>
              </w:rPr>
            </w:pPr>
            <w:r>
              <w:rPr>
                <w:rFonts w:hint="eastAsia" w:ascii="宋体" w:hAnsi="宋体" w:cs="宋体"/>
                <w:szCs w:val="21"/>
              </w:rPr>
              <w:t>续航里程：≥80公里</w:t>
            </w:r>
          </w:p>
        </w:tc>
        <w:tc>
          <w:tcPr>
            <w:tcW w:w="1484" w:type="dxa"/>
            <w:tcBorders>
              <w:top w:val="single" w:color="auto" w:sz="4" w:space="0"/>
              <w:left w:val="single" w:color="auto" w:sz="4" w:space="0"/>
              <w:bottom w:val="single" w:color="auto" w:sz="4" w:space="0"/>
              <w:right w:val="single" w:color="auto" w:sz="4" w:space="0"/>
            </w:tcBorders>
            <w:vAlign w:val="center"/>
          </w:tcPr>
          <w:p w14:paraId="67220929">
            <w:pPr>
              <w:spacing w:line="400" w:lineRule="exact"/>
              <w:jc w:val="center"/>
              <w:rPr>
                <w:rFonts w:ascii="宋体" w:hAnsi="宋体" w:cs="宋体"/>
                <w:szCs w:val="21"/>
                <w:highlight w:val="yellow"/>
              </w:rPr>
            </w:pPr>
          </w:p>
        </w:tc>
      </w:tr>
      <w:tr w14:paraId="7322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33" w:type="dxa"/>
            <w:tcBorders>
              <w:top w:val="single" w:color="auto" w:sz="4" w:space="0"/>
              <w:left w:val="single" w:color="auto" w:sz="4" w:space="0"/>
              <w:bottom w:val="single" w:color="auto" w:sz="4" w:space="0"/>
              <w:right w:val="single" w:color="auto" w:sz="4" w:space="0"/>
            </w:tcBorders>
            <w:vAlign w:val="center"/>
          </w:tcPr>
          <w:p w14:paraId="24F92DC1">
            <w:pPr>
              <w:spacing w:line="400" w:lineRule="exact"/>
              <w:jc w:val="center"/>
              <w:rPr>
                <w:kern w:val="0"/>
                <w:sz w:val="22"/>
                <w:szCs w:val="22"/>
              </w:rPr>
            </w:pPr>
            <w:r>
              <w:rPr>
                <w:rFonts w:hint="eastAsia"/>
                <w:kern w:val="0"/>
                <w:sz w:val="22"/>
                <w:szCs w:val="22"/>
              </w:rPr>
              <w:t>10</w:t>
            </w:r>
          </w:p>
        </w:tc>
        <w:tc>
          <w:tcPr>
            <w:tcW w:w="1665" w:type="dxa"/>
            <w:tcBorders>
              <w:top w:val="single" w:color="auto" w:sz="4" w:space="0"/>
              <w:left w:val="single" w:color="auto" w:sz="4" w:space="0"/>
              <w:bottom w:val="single" w:color="auto" w:sz="4" w:space="0"/>
              <w:right w:val="single" w:color="auto" w:sz="4" w:space="0"/>
            </w:tcBorders>
            <w:vAlign w:val="center"/>
          </w:tcPr>
          <w:p w14:paraId="436FF16C">
            <w:pPr>
              <w:spacing w:line="400" w:lineRule="exact"/>
              <w:jc w:val="center"/>
              <w:rPr>
                <w:rFonts w:ascii="宋体" w:hAnsi="宋体" w:cs="宋体"/>
                <w:szCs w:val="21"/>
              </w:rPr>
            </w:pPr>
            <w:r>
              <w:rPr>
                <w:rFonts w:hint="eastAsia" w:ascii="宋体" w:hAnsi="宋体" w:cs="宋体"/>
                <w:szCs w:val="21"/>
              </w:rPr>
              <w:t>单人三轮保洁车</w:t>
            </w:r>
          </w:p>
        </w:tc>
        <w:tc>
          <w:tcPr>
            <w:tcW w:w="705" w:type="dxa"/>
            <w:tcBorders>
              <w:top w:val="single" w:color="auto" w:sz="4" w:space="0"/>
              <w:left w:val="single" w:color="auto" w:sz="4" w:space="0"/>
              <w:bottom w:val="single" w:color="auto" w:sz="4" w:space="0"/>
              <w:right w:val="single" w:color="auto" w:sz="4" w:space="0"/>
            </w:tcBorders>
            <w:vAlign w:val="center"/>
          </w:tcPr>
          <w:p w14:paraId="048BFCA5">
            <w:pPr>
              <w:spacing w:line="400" w:lineRule="exact"/>
              <w:jc w:val="center"/>
              <w:rPr>
                <w:rFonts w:ascii="宋体" w:hAnsi="宋体" w:cs="宋体"/>
                <w:szCs w:val="21"/>
              </w:rPr>
            </w:pPr>
            <w:r>
              <w:rPr>
                <w:rFonts w:hint="eastAsia" w:ascii="宋体" w:hAnsi="宋体" w:cs="宋体"/>
                <w:szCs w:val="21"/>
              </w:rPr>
              <w:t>5辆</w:t>
            </w:r>
          </w:p>
        </w:tc>
        <w:tc>
          <w:tcPr>
            <w:tcW w:w="4735" w:type="dxa"/>
            <w:tcBorders>
              <w:top w:val="single" w:color="auto" w:sz="4" w:space="0"/>
              <w:left w:val="single" w:color="auto" w:sz="4" w:space="0"/>
              <w:bottom w:val="single" w:color="auto" w:sz="4" w:space="0"/>
              <w:right w:val="single" w:color="auto" w:sz="4" w:space="0"/>
            </w:tcBorders>
            <w:vAlign w:val="center"/>
          </w:tcPr>
          <w:p w14:paraId="333BBB70">
            <w:pPr>
              <w:spacing w:line="400" w:lineRule="exact"/>
              <w:jc w:val="center"/>
              <w:rPr>
                <w:rFonts w:ascii="宋体" w:hAnsi="宋体" w:cs="宋体"/>
                <w:szCs w:val="21"/>
              </w:rPr>
            </w:pPr>
            <w:r>
              <w:rPr>
                <w:rFonts w:hint="eastAsia" w:ascii="宋体" w:hAnsi="宋体" w:cs="宋体"/>
                <w:szCs w:val="21"/>
              </w:rPr>
              <w:t>续驶里程：≥70km；</w:t>
            </w:r>
          </w:p>
          <w:p w14:paraId="72C1CC5D">
            <w:pPr>
              <w:spacing w:line="400" w:lineRule="exact"/>
              <w:jc w:val="center"/>
              <w:rPr>
                <w:rFonts w:ascii="宋体" w:hAnsi="宋体" w:cs="宋体"/>
                <w:szCs w:val="21"/>
              </w:rPr>
            </w:pPr>
            <w:r>
              <w:rPr>
                <w:rFonts w:hint="eastAsia" w:ascii="宋体" w:hAnsi="宋体" w:cs="宋体"/>
                <w:szCs w:val="21"/>
              </w:rPr>
              <w:t>箱体容积：≥500L</w:t>
            </w:r>
          </w:p>
        </w:tc>
        <w:tc>
          <w:tcPr>
            <w:tcW w:w="1484" w:type="dxa"/>
            <w:tcBorders>
              <w:top w:val="single" w:color="auto" w:sz="4" w:space="0"/>
              <w:left w:val="single" w:color="auto" w:sz="4" w:space="0"/>
              <w:bottom w:val="single" w:color="auto" w:sz="4" w:space="0"/>
              <w:right w:val="single" w:color="auto" w:sz="4" w:space="0"/>
            </w:tcBorders>
            <w:vAlign w:val="center"/>
          </w:tcPr>
          <w:p w14:paraId="39D7EE6B">
            <w:pPr>
              <w:spacing w:line="400" w:lineRule="exact"/>
              <w:jc w:val="center"/>
              <w:rPr>
                <w:rFonts w:ascii="宋体" w:hAnsi="宋体" w:cs="宋体"/>
                <w:szCs w:val="21"/>
                <w:highlight w:val="yellow"/>
              </w:rPr>
            </w:pPr>
          </w:p>
        </w:tc>
      </w:tr>
      <w:tr w14:paraId="6A41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7" w:hRule="atLeast"/>
        </w:trPr>
        <w:tc>
          <w:tcPr>
            <w:tcW w:w="733" w:type="dxa"/>
            <w:tcBorders>
              <w:top w:val="single" w:color="auto" w:sz="4" w:space="0"/>
              <w:left w:val="single" w:color="auto" w:sz="4" w:space="0"/>
              <w:bottom w:val="single" w:color="auto" w:sz="4" w:space="0"/>
              <w:right w:val="single" w:color="auto" w:sz="4" w:space="0"/>
            </w:tcBorders>
            <w:vAlign w:val="center"/>
          </w:tcPr>
          <w:p w14:paraId="249875CE">
            <w:pPr>
              <w:rPr>
                <w:rFonts w:ascii="宋体" w:cs="宋体"/>
                <w:kern w:val="0"/>
                <w:sz w:val="22"/>
                <w:szCs w:val="22"/>
              </w:rPr>
            </w:pPr>
          </w:p>
        </w:tc>
        <w:tc>
          <w:tcPr>
            <w:tcW w:w="8589" w:type="dxa"/>
            <w:gridSpan w:val="4"/>
            <w:tcBorders>
              <w:top w:val="single" w:color="auto" w:sz="4" w:space="0"/>
              <w:left w:val="single" w:color="auto" w:sz="4" w:space="0"/>
              <w:bottom w:val="single" w:color="auto" w:sz="4" w:space="0"/>
              <w:right w:val="single" w:color="auto" w:sz="4" w:space="0"/>
            </w:tcBorders>
            <w:vAlign w:val="center"/>
          </w:tcPr>
          <w:p w14:paraId="0617728E">
            <w:pPr>
              <w:snapToGrid w:val="0"/>
              <w:spacing w:line="400" w:lineRule="exact"/>
              <w:jc w:val="left"/>
              <w:rPr>
                <w:rFonts w:ascii="宋体" w:hAnsi="Calibri" w:cs="宋体"/>
                <w:sz w:val="22"/>
                <w:szCs w:val="22"/>
              </w:rPr>
            </w:pPr>
            <w:r>
              <w:rPr>
                <w:rFonts w:hint="eastAsia" w:ascii="宋体" w:hAnsi="Calibri" w:cs="宋体"/>
                <w:sz w:val="22"/>
                <w:szCs w:val="22"/>
              </w:rPr>
              <w:t>▲</w:t>
            </w:r>
            <w:r>
              <w:rPr>
                <w:rFonts w:ascii="宋体" w:hAnsi="Calibri" w:cs="宋体"/>
                <w:sz w:val="22"/>
                <w:szCs w:val="22"/>
              </w:rPr>
              <w:t>1.</w:t>
            </w:r>
            <w:r>
              <w:rPr>
                <w:rFonts w:hint="eastAsia" w:ascii="宋体" w:hAnsi="Calibri" w:cs="宋体"/>
                <w:sz w:val="22"/>
                <w:szCs w:val="22"/>
              </w:rPr>
              <w:t>上述各类车辆最低配置数量是根据现行实际投入数量结合本次项目未来发展的实际需要确定，为确保中标单位的服务质量，投标供应商投标方案中承诺投入的各种环卫车辆配置数量均不得低于上表要求，否则，投标无效。</w:t>
            </w:r>
          </w:p>
          <w:p w14:paraId="6BF7E18E">
            <w:pPr>
              <w:snapToGrid w:val="0"/>
              <w:spacing w:line="400" w:lineRule="exact"/>
              <w:jc w:val="left"/>
              <w:rPr>
                <w:rFonts w:ascii="宋体" w:hAnsi="Calibri" w:cs="宋体"/>
                <w:sz w:val="22"/>
                <w:szCs w:val="22"/>
              </w:rPr>
            </w:pPr>
            <w:r>
              <w:rPr>
                <w:rFonts w:ascii="宋体" w:hAnsi="Calibri" w:cs="宋体"/>
                <w:sz w:val="22"/>
                <w:szCs w:val="22"/>
              </w:rPr>
              <w:t>2.</w:t>
            </w:r>
            <w:r>
              <w:rPr>
                <w:rFonts w:hint="eastAsia" w:ascii="宋体" w:hAnsi="Calibri" w:cs="宋体"/>
                <w:sz w:val="22"/>
                <w:szCs w:val="22"/>
              </w:rPr>
              <w:t>投标供应商如认为有必要，可以在上表基础上自行添加其他作业车辆，所需的费用全部计入投标总价。</w:t>
            </w:r>
          </w:p>
          <w:p w14:paraId="2F72186A">
            <w:pPr>
              <w:snapToGrid w:val="0"/>
              <w:spacing w:line="400" w:lineRule="exact"/>
              <w:jc w:val="left"/>
              <w:rPr>
                <w:rFonts w:ascii="宋体" w:hAnsi="Calibri" w:cs="宋体"/>
                <w:sz w:val="22"/>
                <w:szCs w:val="22"/>
              </w:rPr>
            </w:pPr>
            <w:r>
              <w:rPr>
                <w:rFonts w:ascii="宋体" w:hAnsi="Calibri" w:cs="宋体"/>
                <w:sz w:val="22"/>
                <w:szCs w:val="22"/>
              </w:rPr>
              <w:t>3.</w:t>
            </w:r>
            <w:r>
              <w:rPr>
                <w:rFonts w:hint="eastAsia" w:ascii="宋体" w:hAnsi="Calibri" w:cs="宋体"/>
                <w:sz w:val="22"/>
                <w:szCs w:val="22"/>
              </w:rPr>
              <w:t>拟投入本项目运行的机动车辆应符合国家相关排放标准及安全行驶要求。</w:t>
            </w:r>
          </w:p>
          <w:p w14:paraId="05482BF4">
            <w:pPr>
              <w:snapToGrid w:val="0"/>
              <w:spacing w:line="400" w:lineRule="exact"/>
              <w:jc w:val="left"/>
              <w:rPr>
                <w:rFonts w:ascii="宋体" w:hAnsi="Calibri" w:cs="宋体"/>
                <w:sz w:val="22"/>
                <w:szCs w:val="22"/>
              </w:rPr>
            </w:pPr>
            <w:r>
              <w:rPr>
                <w:rFonts w:ascii="宋体" w:hAnsi="Calibri" w:cs="宋体"/>
                <w:sz w:val="22"/>
                <w:szCs w:val="22"/>
              </w:rPr>
              <w:t>4.</w:t>
            </w:r>
            <w:r>
              <w:rPr>
                <w:rFonts w:hint="eastAsia" w:ascii="宋体" w:hAnsi="Calibri" w:cs="宋体"/>
                <w:sz w:val="22"/>
                <w:szCs w:val="22"/>
              </w:rPr>
              <w:t>车辆驾驶员应具备相应资格，严禁违规、无证驾驶。</w:t>
            </w:r>
            <w:r>
              <w:rPr>
                <w:rFonts w:ascii="宋体" w:hAnsi="Calibri" w:cs="宋体"/>
                <w:sz w:val="22"/>
                <w:szCs w:val="22"/>
              </w:rPr>
              <w:t xml:space="preserve"> </w:t>
            </w:r>
          </w:p>
          <w:p w14:paraId="13BEC6D0">
            <w:pPr>
              <w:snapToGrid w:val="0"/>
              <w:spacing w:line="400" w:lineRule="exact"/>
              <w:jc w:val="left"/>
              <w:rPr>
                <w:rFonts w:ascii="宋体" w:hAnsi="Calibri" w:cs="宋体"/>
                <w:sz w:val="22"/>
                <w:szCs w:val="22"/>
              </w:rPr>
            </w:pPr>
            <w:r>
              <w:rPr>
                <w:rFonts w:hint="eastAsia" w:ascii="宋体" w:hAnsi="Calibri" w:cs="宋体"/>
                <w:sz w:val="22"/>
                <w:szCs w:val="22"/>
              </w:rPr>
              <w:t>▲</w:t>
            </w:r>
            <w:r>
              <w:rPr>
                <w:rFonts w:ascii="宋体" w:hAnsi="Calibri" w:cs="宋体"/>
                <w:sz w:val="22"/>
                <w:szCs w:val="22"/>
              </w:rPr>
              <w:t>5.</w:t>
            </w:r>
            <w:r>
              <w:rPr>
                <w:rFonts w:hint="eastAsia" w:ascii="宋体" w:hAnsi="Calibri" w:cs="宋体"/>
                <w:sz w:val="22"/>
                <w:szCs w:val="22"/>
              </w:rPr>
              <w:t>所有车辆作业前必须统一刷涂采购人认可的环卫标识。</w:t>
            </w:r>
          </w:p>
          <w:p w14:paraId="2E3063F5">
            <w:pPr>
              <w:rPr>
                <w:rFonts w:ascii="宋体" w:cs="宋体"/>
                <w:kern w:val="0"/>
                <w:sz w:val="22"/>
                <w:szCs w:val="22"/>
              </w:rPr>
            </w:pPr>
            <w:r>
              <w:rPr>
                <w:rFonts w:hint="eastAsia" w:ascii="宋体" w:cs="宋体"/>
                <w:kern w:val="0"/>
                <w:sz w:val="22"/>
                <w:szCs w:val="22"/>
              </w:rPr>
              <w:t>▲6</w:t>
            </w:r>
            <w:r>
              <w:rPr>
                <w:rFonts w:ascii="宋体" w:cs="宋体"/>
                <w:kern w:val="0"/>
                <w:sz w:val="22"/>
                <w:szCs w:val="22"/>
              </w:rPr>
              <w:t>.</w:t>
            </w:r>
            <w:r>
              <w:rPr>
                <w:rFonts w:hint="eastAsia" w:ascii="宋体" w:cs="宋体"/>
                <w:kern w:val="0"/>
                <w:sz w:val="22"/>
                <w:szCs w:val="22"/>
              </w:rPr>
              <w:t>上述各类车辆及设备（含采购人提供的）、维修保养费、车辆年审年检费、保险费、燃料费（油、电费）、材料费（水费、电费等）、保管费由投标人自行承担。</w:t>
            </w:r>
          </w:p>
        </w:tc>
      </w:tr>
    </w:tbl>
    <w:p w14:paraId="071526EC">
      <w:pPr>
        <w:autoSpaceDE w:val="0"/>
        <w:autoSpaceDN w:val="0"/>
        <w:adjustRightInd w:val="0"/>
        <w:spacing w:line="400" w:lineRule="exact"/>
        <w:ind w:firstLine="442" w:firstLineChars="200"/>
        <w:jc w:val="left"/>
        <w:rPr>
          <w:rFonts w:ascii="宋体" w:hAnsi="Calibri" w:cs="宋体"/>
          <w:b/>
          <w:sz w:val="22"/>
        </w:rPr>
      </w:pPr>
      <w:r>
        <w:rPr>
          <w:rFonts w:hint="eastAsia" w:ascii="宋体" w:hAnsi="Calibri" w:cs="宋体"/>
          <w:b/>
          <w:sz w:val="22"/>
        </w:rPr>
        <w:t>四、保障环卫作业人员合法权益相关要求</w:t>
      </w:r>
    </w:p>
    <w:p w14:paraId="49D56E60">
      <w:pPr>
        <w:snapToGrid w:val="0"/>
        <w:spacing w:line="400" w:lineRule="exact"/>
        <w:ind w:firstLine="440" w:firstLineChars="200"/>
        <w:rPr>
          <w:rFonts w:ascii="宋体" w:hAnsi="Calibri" w:cs="宋体"/>
          <w:sz w:val="22"/>
        </w:rPr>
      </w:pPr>
      <w:r>
        <w:rPr>
          <w:rFonts w:hint="eastAsia" w:ascii="宋体" w:hAnsi="Calibri" w:cs="宋体"/>
          <w:sz w:val="22"/>
        </w:rPr>
        <w:t>落实环卫作业人员合法权益</w:t>
      </w:r>
      <w:r>
        <w:rPr>
          <w:rFonts w:ascii="宋体" w:hAnsi="Calibri" w:cs="宋体"/>
          <w:sz w:val="22"/>
        </w:rPr>
        <w:t xml:space="preserve"> </w:t>
      </w:r>
    </w:p>
    <w:p w14:paraId="3039B9DA">
      <w:pPr>
        <w:snapToGrid w:val="0"/>
        <w:spacing w:line="400" w:lineRule="exact"/>
        <w:ind w:firstLine="440" w:firstLineChars="200"/>
        <w:rPr>
          <w:rFonts w:ascii="宋体" w:hAnsi="Calibri" w:cs="宋体"/>
          <w:sz w:val="22"/>
        </w:rPr>
      </w:pPr>
      <w:r>
        <w:rPr>
          <w:rFonts w:hint="eastAsia" w:ascii="宋体" w:hAnsi="Calibri" w:cs="宋体"/>
          <w:sz w:val="22"/>
        </w:rPr>
        <w:t>（▲本部分要求均为实质性要求，不允许任何负偏离，否则作无效标处理）</w:t>
      </w:r>
      <w:r>
        <w:rPr>
          <w:rFonts w:ascii="宋体" w:hAnsi="Calibri" w:cs="宋体"/>
          <w:sz w:val="22"/>
        </w:rPr>
        <w:t xml:space="preserve"> </w:t>
      </w:r>
    </w:p>
    <w:p w14:paraId="75E5401B">
      <w:pPr>
        <w:snapToGrid w:val="0"/>
        <w:spacing w:line="400" w:lineRule="exact"/>
        <w:ind w:firstLine="440" w:firstLineChars="200"/>
        <w:rPr>
          <w:rFonts w:ascii="宋体" w:hAnsi="Calibri" w:cs="宋体"/>
          <w:sz w:val="22"/>
        </w:rPr>
      </w:pPr>
      <w:r>
        <w:rPr>
          <w:rFonts w:hint="eastAsia" w:ascii="宋体" w:hAnsi="Calibri" w:cs="宋体"/>
          <w:sz w:val="22"/>
        </w:rPr>
        <w:t>依据《中华人民共和国劳动法》、《浙江省人民政府办公厅关于进一步改善环卫工人工作生活条件促进环卫事业持续健康发展的若干意见》（浙政办发〔</w:t>
      </w:r>
      <w:r>
        <w:rPr>
          <w:rFonts w:ascii="宋体" w:hAnsi="Calibri" w:cs="宋体"/>
          <w:sz w:val="22"/>
        </w:rPr>
        <w:t>2009</w:t>
      </w:r>
      <w:r>
        <w:rPr>
          <w:rFonts w:hint="eastAsia" w:ascii="宋体" w:hAnsi="Calibri" w:cs="宋体"/>
          <w:sz w:val="22"/>
        </w:rPr>
        <w:t>〕</w:t>
      </w:r>
      <w:r>
        <w:rPr>
          <w:rFonts w:ascii="宋体" w:hAnsi="Calibri" w:cs="宋体"/>
          <w:sz w:val="22"/>
        </w:rPr>
        <w:t>190</w:t>
      </w:r>
      <w:r>
        <w:rPr>
          <w:rFonts w:hint="eastAsia" w:ascii="宋体" w:hAnsi="Calibri" w:cs="宋体"/>
          <w:sz w:val="22"/>
        </w:rPr>
        <w:t>号）、《浙江省劳动和社会保障厅、浙江省国家税务局、浙江省地方税务局关于调整企业职工夏季防暑降温清凉饮料费标准的通知》（浙人社发〔</w:t>
      </w:r>
      <w:r>
        <w:rPr>
          <w:rFonts w:ascii="宋体" w:hAnsi="Calibri" w:cs="宋体"/>
          <w:sz w:val="22"/>
        </w:rPr>
        <w:t>2014</w:t>
      </w:r>
      <w:r>
        <w:rPr>
          <w:rFonts w:hint="eastAsia" w:ascii="宋体" w:hAnsi="Calibri" w:cs="宋体"/>
          <w:sz w:val="22"/>
        </w:rPr>
        <w:t>〕</w:t>
      </w:r>
      <w:r>
        <w:rPr>
          <w:rFonts w:ascii="宋体" w:hAnsi="Calibri" w:cs="宋体"/>
          <w:sz w:val="22"/>
        </w:rPr>
        <w:t>94</w:t>
      </w:r>
      <w:r>
        <w:rPr>
          <w:rFonts w:hint="eastAsia" w:ascii="宋体" w:hAnsi="Calibri" w:cs="宋体"/>
          <w:sz w:val="22"/>
        </w:rPr>
        <w:t>号）、《温州市人民政府关于调整全市最低工资标准的通知》（温政发〔</w:t>
      </w:r>
      <w:r>
        <w:rPr>
          <w:rFonts w:ascii="宋体" w:hAnsi="Calibri" w:cs="宋体"/>
          <w:sz w:val="22"/>
        </w:rPr>
        <w:t>2015</w:t>
      </w:r>
      <w:r>
        <w:rPr>
          <w:rFonts w:hint="eastAsia" w:ascii="宋体" w:hAnsi="Calibri" w:cs="宋体"/>
          <w:sz w:val="22"/>
        </w:rPr>
        <w:t>〕</w:t>
      </w:r>
      <w:r>
        <w:rPr>
          <w:rFonts w:ascii="宋体" w:hAnsi="Calibri" w:cs="宋体"/>
          <w:sz w:val="22"/>
        </w:rPr>
        <w:t>58</w:t>
      </w:r>
      <w:r>
        <w:rPr>
          <w:rFonts w:hint="eastAsia" w:ascii="宋体" w:hAnsi="Calibri" w:cs="宋体"/>
          <w:sz w:val="22"/>
        </w:rPr>
        <w:t>号）、《全国年节及纪念日放假办法》等相关规定，为落实环卫作业人员的权益，提高环卫保洁服务质量，各投标供应商在聘请人员，编制和落实作业人员待遇及投入生产机具时必须遵照以下要求，否则投标无效；</w:t>
      </w:r>
      <w:r>
        <w:rPr>
          <w:rFonts w:ascii="宋体" w:hAnsi="Calibri" w:cs="宋体"/>
          <w:sz w:val="22"/>
        </w:rPr>
        <w:t xml:space="preserve"> </w:t>
      </w:r>
    </w:p>
    <w:p w14:paraId="2AB914EA">
      <w:pPr>
        <w:numPr>
          <w:ilvl w:val="0"/>
          <w:numId w:val="5"/>
        </w:numPr>
        <w:snapToGrid w:val="0"/>
        <w:spacing w:line="400" w:lineRule="exact"/>
        <w:ind w:left="70" w:firstLine="440" w:firstLineChars="200"/>
        <w:rPr>
          <w:rFonts w:ascii="宋体" w:hAnsi="Calibri" w:cs="宋体"/>
          <w:sz w:val="22"/>
        </w:rPr>
      </w:pPr>
      <w:r>
        <w:rPr>
          <w:rFonts w:hint="eastAsia" w:ascii="宋体" w:hAnsi="Calibri" w:cs="宋体"/>
          <w:sz w:val="22"/>
        </w:rPr>
        <w:t>依法签订劳动合同。拟投入本项目的所有人员均由中标（成交）供应商自行招聘，所有人员必须依法签订劳动合同，该人员严禁招聘超龄人员、未成年人员以及无自主劳动能力的人员。中标方进场后前三个月须继续聘用原有的作业人员，三个月后由中标方根据原有人员胜任情况再行决定是否续用；</w:t>
      </w:r>
    </w:p>
    <w:p w14:paraId="5BA5F733">
      <w:pPr>
        <w:snapToGrid w:val="0"/>
        <w:spacing w:line="400" w:lineRule="exact"/>
        <w:ind w:firstLine="440" w:firstLineChars="200"/>
        <w:rPr>
          <w:rFonts w:ascii="宋体" w:hAnsi="Calibri" w:cs="宋体"/>
          <w:sz w:val="22"/>
        </w:rPr>
      </w:pPr>
      <w:r>
        <w:rPr>
          <w:rFonts w:ascii="宋体" w:hAnsi="Calibri" w:cs="宋体"/>
          <w:sz w:val="22"/>
        </w:rPr>
        <w:t>2.</w:t>
      </w:r>
      <w:r>
        <w:rPr>
          <w:rFonts w:hint="eastAsia" w:ascii="宋体" w:hAnsi="Calibri" w:cs="宋体"/>
          <w:sz w:val="22"/>
        </w:rPr>
        <w:t>依法为所有适龄人员缴纳社会保障；</w:t>
      </w:r>
      <w:r>
        <w:rPr>
          <w:rFonts w:ascii="宋体" w:hAnsi="Calibri" w:cs="宋体"/>
          <w:sz w:val="22"/>
        </w:rPr>
        <w:t xml:space="preserve"> </w:t>
      </w:r>
    </w:p>
    <w:p w14:paraId="66409F85">
      <w:pPr>
        <w:snapToGrid w:val="0"/>
        <w:spacing w:line="400" w:lineRule="exact"/>
        <w:ind w:firstLine="440" w:firstLineChars="200"/>
        <w:rPr>
          <w:rFonts w:ascii="宋体" w:hAnsi="Calibri" w:cs="宋体"/>
          <w:sz w:val="22"/>
        </w:rPr>
      </w:pPr>
      <w:r>
        <w:rPr>
          <w:rFonts w:ascii="宋体" w:hAnsi="Calibri" w:cs="宋体"/>
          <w:sz w:val="22"/>
        </w:rPr>
        <w:t>3.</w:t>
      </w:r>
      <w:r>
        <w:rPr>
          <w:rFonts w:hint="eastAsia" w:ascii="宋体" w:hAnsi="Calibri" w:cs="宋体"/>
          <w:sz w:val="22"/>
        </w:rPr>
        <w:t>依法为所有人员投保人身意外伤害险，保额不得低于</w:t>
      </w:r>
      <w:r>
        <w:rPr>
          <w:rFonts w:ascii="宋体" w:hAnsi="Calibri" w:cs="宋体"/>
          <w:sz w:val="22"/>
        </w:rPr>
        <w:t>50</w:t>
      </w:r>
      <w:r>
        <w:rPr>
          <w:rFonts w:hint="eastAsia" w:ascii="宋体" w:hAnsi="Calibri" w:cs="宋体"/>
          <w:sz w:val="22"/>
        </w:rPr>
        <w:t>万</w:t>
      </w:r>
      <w:r>
        <w:rPr>
          <w:rFonts w:ascii="宋体" w:hAnsi="Calibri" w:cs="宋体"/>
          <w:sz w:val="22"/>
        </w:rPr>
        <w:t>/</w:t>
      </w:r>
      <w:r>
        <w:rPr>
          <w:rFonts w:hint="eastAsia" w:ascii="宋体" w:hAnsi="Calibri" w:cs="宋体"/>
          <w:sz w:val="22"/>
        </w:rPr>
        <w:t>人；</w:t>
      </w:r>
      <w:r>
        <w:rPr>
          <w:rFonts w:ascii="宋体" w:hAnsi="Calibri" w:cs="宋体"/>
          <w:sz w:val="22"/>
        </w:rPr>
        <w:t xml:space="preserve"> </w:t>
      </w:r>
    </w:p>
    <w:p w14:paraId="316FAC0A">
      <w:pPr>
        <w:snapToGrid w:val="0"/>
        <w:spacing w:line="400" w:lineRule="exact"/>
        <w:ind w:firstLine="440" w:firstLineChars="200"/>
        <w:rPr>
          <w:rFonts w:ascii="宋体" w:hAnsi="Calibri" w:cs="宋体"/>
          <w:sz w:val="22"/>
        </w:rPr>
      </w:pPr>
      <w:r>
        <w:rPr>
          <w:rFonts w:ascii="宋体" w:hAnsi="Calibri" w:cs="宋体"/>
          <w:sz w:val="22"/>
        </w:rPr>
        <w:t>4.</w:t>
      </w:r>
      <w:r>
        <w:rPr>
          <w:rFonts w:hint="eastAsia" w:ascii="宋体" w:hAnsi="Calibri" w:cs="宋体"/>
          <w:sz w:val="22"/>
        </w:rPr>
        <w:t>严格落实所有人员每月最低收入标准，人员每月最低基本工资标准不得低于</w:t>
      </w:r>
      <w:r>
        <w:rPr>
          <w:rFonts w:ascii="宋体" w:hAnsi="Calibri" w:cs="宋体"/>
          <w:sz w:val="22"/>
        </w:rPr>
        <w:t>1800</w:t>
      </w:r>
      <w:r>
        <w:rPr>
          <w:rFonts w:hint="eastAsia" w:ascii="宋体" w:hAnsi="Calibri" w:cs="宋体"/>
          <w:sz w:val="22"/>
        </w:rPr>
        <w:t>元</w:t>
      </w:r>
    </w:p>
    <w:p w14:paraId="231EB62A">
      <w:pPr>
        <w:snapToGrid w:val="0"/>
        <w:spacing w:line="400" w:lineRule="exact"/>
        <w:ind w:firstLine="440" w:firstLineChars="200"/>
        <w:rPr>
          <w:rFonts w:ascii="宋体" w:hAnsi="Calibri" w:cs="宋体"/>
          <w:sz w:val="22"/>
        </w:rPr>
      </w:pPr>
      <w:r>
        <w:rPr>
          <w:rFonts w:ascii="宋体" w:hAnsi="Calibri" w:cs="宋体"/>
          <w:sz w:val="22"/>
        </w:rPr>
        <w:t>5.</w:t>
      </w:r>
      <w:r>
        <w:rPr>
          <w:rFonts w:hint="eastAsia" w:ascii="宋体" w:hAnsi="Calibri" w:cs="宋体"/>
          <w:sz w:val="22"/>
        </w:rPr>
        <w:t>严格执行户外作业人员高温补贴标准。高温补贴标准不得低于100元</w:t>
      </w:r>
      <w:r>
        <w:rPr>
          <w:rFonts w:ascii="宋体" w:hAnsi="Calibri" w:cs="宋体"/>
          <w:sz w:val="22"/>
        </w:rPr>
        <w:t>/</w:t>
      </w:r>
      <w:r>
        <w:rPr>
          <w:rFonts w:hint="eastAsia" w:ascii="宋体" w:hAnsi="Calibri" w:cs="宋体"/>
          <w:sz w:val="22"/>
        </w:rPr>
        <w:t>月，发放时间为六、七、八、九共四个月，逐月发放，不得克扣。</w:t>
      </w:r>
    </w:p>
    <w:p w14:paraId="4D07252F">
      <w:pPr>
        <w:snapToGrid w:val="0"/>
        <w:spacing w:line="400" w:lineRule="exact"/>
        <w:ind w:firstLine="440" w:firstLineChars="200"/>
        <w:rPr>
          <w:rFonts w:ascii="宋体" w:hAnsi="Calibri" w:cs="宋体"/>
          <w:sz w:val="22"/>
        </w:rPr>
      </w:pPr>
      <w:r>
        <w:rPr>
          <w:rFonts w:ascii="宋体" w:hAnsi="Calibri" w:cs="宋体"/>
          <w:sz w:val="22"/>
        </w:rPr>
        <w:t>6.</w:t>
      </w:r>
      <w:r>
        <w:rPr>
          <w:rFonts w:hint="eastAsia" w:ascii="宋体" w:hAnsi="Calibri" w:cs="宋体"/>
          <w:sz w:val="22"/>
        </w:rPr>
        <w:t>严格落实加班补贴制度。国家法定节假日全年</w:t>
      </w:r>
      <w:r>
        <w:rPr>
          <w:rFonts w:ascii="宋体" w:hAnsi="Calibri" w:cs="宋体"/>
          <w:sz w:val="22"/>
        </w:rPr>
        <w:t>11</w:t>
      </w:r>
      <w:r>
        <w:rPr>
          <w:rFonts w:hint="eastAsia" w:ascii="宋体" w:hAnsi="Calibri" w:cs="宋体"/>
          <w:sz w:val="22"/>
        </w:rPr>
        <w:t>天计，法定节假日加班补贴标准为日工资的三倍计算。</w:t>
      </w:r>
    </w:p>
    <w:p w14:paraId="0107B477">
      <w:pPr>
        <w:snapToGrid w:val="0"/>
        <w:spacing w:line="400" w:lineRule="exact"/>
        <w:ind w:firstLine="440" w:firstLineChars="200"/>
        <w:rPr>
          <w:rFonts w:ascii="宋体" w:hAnsi="Calibri" w:cs="宋体"/>
          <w:sz w:val="22"/>
        </w:rPr>
      </w:pPr>
      <w:r>
        <w:rPr>
          <w:rFonts w:ascii="宋体" w:hAnsi="Calibri" w:cs="宋体"/>
          <w:sz w:val="22"/>
        </w:rPr>
        <w:t>7.</w:t>
      </w:r>
      <w:r>
        <w:rPr>
          <w:rFonts w:hint="eastAsia" w:ascii="宋体" w:hAnsi="Calibri" w:cs="宋体"/>
          <w:sz w:val="22"/>
        </w:rPr>
        <w:t>统一发放生产工具及劳保用品。</w:t>
      </w:r>
      <w:r>
        <w:rPr>
          <w:rFonts w:ascii="宋体" w:hAnsi="Calibri" w:cs="宋体"/>
          <w:sz w:val="22"/>
        </w:rPr>
        <w:t xml:space="preserve"> </w:t>
      </w:r>
    </w:p>
    <w:p w14:paraId="1006A7CC">
      <w:pPr>
        <w:snapToGrid w:val="0"/>
        <w:spacing w:line="400" w:lineRule="exact"/>
        <w:ind w:firstLine="440" w:firstLineChars="200"/>
        <w:rPr>
          <w:rFonts w:ascii="宋体" w:hAnsi="Calibri" w:cs="宋体"/>
          <w:sz w:val="22"/>
        </w:rPr>
      </w:pPr>
      <w:r>
        <w:rPr>
          <w:rFonts w:ascii="宋体" w:hAnsi="Calibri" w:cs="宋体"/>
          <w:sz w:val="22"/>
        </w:rPr>
        <w:t>8.</w:t>
      </w:r>
      <w:r>
        <w:rPr>
          <w:rFonts w:hint="eastAsia" w:ascii="宋体" w:hAnsi="Calibri" w:cs="宋体"/>
          <w:sz w:val="22"/>
        </w:rPr>
        <w:t>统一购置并发放符合安全标准的反光工作服（夏装两套、冬装一套、雨天工作服一套）、雨鞋（一双）、反光背心一件；</w:t>
      </w:r>
      <w:r>
        <w:rPr>
          <w:rFonts w:ascii="宋体" w:hAnsi="Calibri" w:cs="宋体"/>
          <w:sz w:val="22"/>
        </w:rPr>
        <w:t xml:space="preserve"> </w:t>
      </w:r>
    </w:p>
    <w:p w14:paraId="650C7A18">
      <w:pPr>
        <w:snapToGrid w:val="0"/>
        <w:spacing w:line="400" w:lineRule="exact"/>
        <w:ind w:firstLine="440" w:firstLineChars="200"/>
        <w:rPr>
          <w:rFonts w:ascii="宋体" w:hAnsi="Calibri" w:cs="宋体"/>
          <w:sz w:val="22"/>
        </w:rPr>
      </w:pPr>
      <w:r>
        <w:rPr>
          <w:rFonts w:ascii="宋体" w:hAnsi="Calibri" w:cs="宋体"/>
          <w:sz w:val="22"/>
        </w:rPr>
        <w:t>9.</w:t>
      </w:r>
      <w:r>
        <w:rPr>
          <w:rFonts w:hint="eastAsia" w:ascii="宋体" w:hAnsi="Calibri" w:cs="宋体"/>
          <w:sz w:val="22"/>
        </w:rPr>
        <w:t>严禁胡乱克扣人员工资、待遇福利的行为，一经查实，由采购人双倍追罚，追罚款在承包款中直接扣除；中标（成交）供应商应设立专人负责作业人员的收入落实，加强管理。</w:t>
      </w:r>
    </w:p>
    <w:p w14:paraId="5031E8C0">
      <w:pPr>
        <w:snapToGrid w:val="0"/>
        <w:spacing w:line="400" w:lineRule="exact"/>
        <w:ind w:firstLine="440" w:firstLineChars="200"/>
        <w:rPr>
          <w:rFonts w:ascii="宋体" w:hAnsi="Calibri" w:cs="宋体"/>
          <w:sz w:val="22"/>
        </w:rPr>
      </w:pPr>
      <w:r>
        <w:rPr>
          <w:rFonts w:ascii="宋体" w:hAnsi="Calibri" w:cs="宋体"/>
          <w:sz w:val="22"/>
        </w:rPr>
        <w:t>10.</w:t>
      </w:r>
      <w:r>
        <w:rPr>
          <w:rFonts w:hint="eastAsia" w:ascii="宋体" w:hAnsi="Calibri" w:cs="宋体"/>
          <w:sz w:val="22"/>
        </w:rPr>
        <w:t>其他未尽事宜，各投标供应商应参照各项规定进行。</w:t>
      </w:r>
      <w:r>
        <w:rPr>
          <w:rFonts w:ascii="宋体" w:hAnsi="Calibri" w:cs="宋体"/>
          <w:sz w:val="22"/>
        </w:rPr>
        <w:t xml:space="preserve"> </w:t>
      </w:r>
    </w:p>
    <w:p w14:paraId="1FFD3241">
      <w:pPr>
        <w:autoSpaceDE w:val="0"/>
        <w:autoSpaceDN w:val="0"/>
        <w:adjustRightInd w:val="0"/>
        <w:spacing w:line="400" w:lineRule="exact"/>
        <w:ind w:firstLine="442" w:firstLineChars="200"/>
        <w:jc w:val="left"/>
        <w:rPr>
          <w:rFonts w:ascii="宋体" w:hAnsi="Calibri" w:cs="宋体"/>
          <w:b/>
          <w:sz w:val="22"/>
        </w:rPr>
      </w:pPr>
      <w:r>
        <w:rPr>
          <w:rFonts w:hint="eastAsia" w:ascii="宋体" w:hAnsi="Calibri" w:cs="宋体"/>
          <w:b/>
          <w:sz w:val="22"/>
        </w:rPr>
        <w:t>五、</w:t>
      </w:r>
      <w:bookmarkStart w:id="10" w:name="_Toc411166783"/>
      <w:bookmarkStart w:id="11" w:name="_Toc413201523"/>
      <w:r>
        <w:rPr>
          <w:rFonts w:hint="eastAsia" w:ascii="宋体" w:hAnsi="Calibri" w:cs="宋体"/>
          <w:b/>
          <w:sz w:val="22"/>
        </w:rPr>
        <w:t>其他特别要求及说明</w:t>
      </w:r>
      <w:bookmarkEnd w:id="10"/>
      <w:bookmarkEnd w:id="11"/>
    </w:p>
    <w:p w14:paraId="785186E3">
      <w:pPr>
        <w:spacing w:line="400" w:lineRule="exact"/>
        <w:ind w:firstLine="440" w:firstLineChars="200"/>
        <w:jc w:val="left"/>
        <w:rPr>
          <w:rFonts w:ascii="宋体" w:hAnsi="Calibri" w:cs="宋体"/>
          <w:sz w:val="22"/>
        </w:rPr>
      </w:pPr>
      <w:r>
        <w:rPr>
          <w:rFonts w:hint="eastAsia" w:ascii="宋体" w:hAnsi="Calibri" w:cs="宋体"/>
          <w:sz w:val="22"/>
        </w:rPr>
        <w:t>（▲本部分要求均为实质性要求，任何负偏离都将作无效标处理）</w:t>
      </w:r>
    </w:p>
    <w:p w14:paraId="6722487A">
      <w:pPr>
        <w:spacing w:line="400" w:lineRule="exact"/>
        <w:ind w:firstLine="440" w:firstLineChars="200"/>
        <w:rPr>
          <w:rFonts w:ascii="宋体" w:hAnsi="Calibri" w:cs="宋体"/>
          <w:sz w:val="22"/>
        </w:rPr>
      </w:pPr>
      <w:r>
        <w:rPr>
          <w:rFonts w:ascii="宋体" w:hAnsi="Calibri" w:cs="宋体"/>
          <w:sz w:val="22"/>
        </w:rPr>
        <w:t>1.</w:t>
      </w:r>
      <w:r>
        <w:rPr>
          <w:rFonts w:hint="eastAsia" w:ascii="宋体" w:hAnsi="Calibri" w:cs="宋体"/>
          <w:sz w:val="22"/>
        </w:rPr>
        <w:t>合同期内中标单位所属人员、车辆（包括业主单位提供给中标单位在此项目使用运行车辆）如发生各种意外事故（包括给第三方造成损害）全部责任由中标单位承担，依照法律法规妥善处理。</w:t>
      </w:r>
    </w:p>
    <w:p w14:paraId="182CBF0B">
      <w:pPr>
        <w:spacing w:line="400" w:lineRule="exact"/>
        <w:ind w:firstLine="440" w:firstLineChars="200"/>
        <w:rPr>
          <w:rFonts w:ascii="宋体" w:hAnsi="Calibri" w:cs="宋体"/>
          <w:sz w:val="22"/>
        </w:rPr>
      </w:pPr>
      <w:r>
        <w:rPr>
          <w:rFonts w:ascii="宋体" w:hAnsi="Calibri" w:cs="宋体"/>
          <w:sz w:val="22"/>
        </w:rPr>
        <w:t>2.</w:t>
      </w:r>
      <w:r>
        <w:rPr>
          <w:rFonts w:hint="eastAsia" w:ascii="宋体" w:hAnsi="Calibri" w:cs="宋体"/>
          <w:sz w:val="22"/>
        </w:rPr>
        <w:t>中标单位针对本次项目所投入的人员办公、住宿用房以及车辆、工具的停放场地均由投标人自行负责，并在合同签订前落实并向采购人提供场地设置及落实方案。</w:t>
      </w:r>
    </w:p>
    <w:p w14:paraId="20777E7D">
      <w:pPr>
        <w:spacing w:line="400" w:lineRule="exact"/>
        <w:ind w:firstLine="440" w:firstLineChars="200"/>
        <w:rPr>
          <w:rFonts w:ascii="宋体" w:hAnsi="Calibri" w:cs="宋体"/>
          <w:sz w:val="22"/>
        </w:rPr>
      </w:pPr>
      <w:r>
        <w:rPr>
          <w:rFonts w:ascii="宋体" w:hAnsi="Calibri" w:cs="宋体"/>
          <w:sz w:val="22"/>
        </w:rPr>
        <w:t>3.</w:t>
      </w:r>
      <w:r>
        <w:rPr>
          <w:rFonts w:hint="eastAsia" w:ascii="宋体" w:hAnsi="Calibri" w:cs="宋体"/>
          <w:sz w:val="22"/>
        </w:rPr>
        <w:t>投标前，各投标单位应自行勘察现场，以获取制定各种方案所需的现场勘查资料。</w:t>
      </w:r>
    </w:p>
    <w:p w14:paraId="4571DD8C">
      <w:pPr>
        <w:spacing w:line="400" w:lineRule="exact"/>
        <w:ind w:firstLine="440" w:firstLineChars="200"/>
        <w:rPr>
          <w:rFonts w:ascii="宋体" w:hAnsi="Calibri" w:cs="宋体"/>
          <w:sz w:val="22"/>
        </w:rPr>
      </w:pPr>
      <w:r>
        <w:rPr>
          <w:rFonts w:ascii="宋体" w:hAnsi="Calibri" w:cs="宋体"/>
          <w:sz w:val="22"/>
        </w:rPr>
        <w:t>4.</w:t>
      </w:r>
      <w:r>
        <w:rPr>
          <w:rFonts w:hint="eastAsia" w:ascii="宋体" w:hAnsi="Calibri" w:cs="宋体"/>
          <w:sz w:val="22"/>
        </w:rPr>
        <w:t>本项目不得分包、转包，未经采购人允许也不得更换项目管理人员，否则，采购人有权取消合同并没罚全部履约保证金；如果出现上述情况但合同还未签订或履约保证金尚未缴纳的，将被取消中标资格，同时投标保证金将被没收。</w:t>
      </w:r>
    </w:p>
    <w:p w14:paraId="29743D0F">
      <w:pPr>
        <w:spacing w:line="400" w:lineRule="exact"/>
        <w:ind w:firstLine="440" w:firstLineChars="200"/>
        <w:rPr>
          <w:rFonts w:ascii="宋体" w:hAnsi="Calibri" w:cs="宋体"/>
          <w:sz w:val="22"/>
        </w:rPr>
      </w:pPr>
      <w:r>
        <w:rPr>
          <w:rFonts w:ascii="宋体" w:hAnsi="Calibri" w:cs="宋体"/>
          <w:sz w:val="22"/>
        </w:rPr>
        <w:t>5.</w:t>
      </w:r>
      <w:r>
        <w:rPr>
          <w:rFonts w:hint="eastAsia" w:ascii="宋体" w:hAnsi="Calibri" w:cs="宋体"/>
          <w:sz w:val="22"/>
        </w:rPr>
        <w:t>本项目采取统一包干制（总价包干）。合同执行期间，如有新增区域需要纳入保洁范围，采购人将参考本次招标价格并以补充协议的方式与中标单位签订补充合同。除此以外，任何情况采购人不再追加任何费用。</w:t>
      </w:r>
    </w:p>
    <w:p w14:paraId="47C93BAB">
      <w:pPr>
        <w:spacing w:line="400" w:lineRule="exact"/>
        <w:ind w:firstLine="440" w:firstLineChars="200"/>
        <w:rPr>
          <w:rFonts w:ascii="宋体" w:hAnsi="Calibri" w:cs="宋体"/>
          <w:sz w:val="22"/>
        </w:rPr>
      </w:pPr>
      <w:r>
        <w:rPr>
          <w:rFonts w:ascii="宋体" w:hAnsi="Calibri" w:cs="宋体"/>
          <w:sz w:val="22"/>
        </w:rPr>
        <w:t>6.</w:t>
      </w:r>
      <w:r>
        <w:rPr>
          <w:rFonts w:hint="eastAsia" w:ascii="宋体" w:hAnsi="Calibri" w:cs="宋体"/>
          <w:sz w:val="22"/>
        </w:rPr>
        <w:t>合同执行期间，中标单位如对采购人发出的整改要求拒不执行的，采购人有权取消合同没罚全部履约保证金，并自行选择承包单位，直至剩余合同期满后再重新组织招标。</w:t>
      </w:r>
    </w:p>
    <w:p w14:paraId="69541C69">
      <w:pPr>
        <w:spacing w:line="400" w:lineRule="exact"/>
        <w:ind w:firstLine="440" w:firstLineChars="200"/>
        <w:rPr>
          <w:rFonts w:ascii="宋体" w:hAnsi="Calibri" w:cs="宋体"/>
          <w:sz w:val="22"/>
        </w:rPr>
      </w:pPr>
      <w:r>
        <w:rPr>
          <w:rFonts w:ascii="宋体" w:hAnsi="Calibri" w:cs="宋体"/>
          <w:sz w:val="22"/>
        </w:rPr>
        <w:t>7.</w:t>
      </w:r>
      <w:r>
        <w:rPr>
          <w:rFonts w:hint="eastAsia" w:ascii="宋体" w:hAnsi="Calibri" w:cs="宋体"/>
          <w:sz w:val="22"/>
        </w:rPr>
        <w:t>合同执行期间，遇有国家政策性最低工资调整或养老保险或人身意外险调整，投标人必须及时做出相应调整。该风险由投标人自行考虑，包含在投标总价内，采购人不再单独追加。</w:t>
      </w:r>
    </w:p>
    <w:p w14:paraId="6FDB03D1">
      <w:pPr>
        <w:spacing w:line="400" w:lineRule="exact"/>
        <w:ind w:firstLine="440" w:firstLineChars="200"/>
        <w:rPr>
          <w:rFonts w:ascii="宋体" w:hAnsi="Calibri" w:cs="宋体"/>
          <w:sz w:val="22"/>
          <w:highlight w:val="yellow"/>
        </w:rPr>
      </w:pPr>
      <w:r>
        <w:rPr>
          <w:rFonts w:ascii="宋体" w:hAnsi="Calibri" w:cs="宋体"/>
          <w:sz w:val="22"/>
        </w:rPr>
        <w:t>8.</w:t>
      </w:r>
      <w:r>
        <w:rPr>
          <w:rFonts w:hint="eastAsia" w:ascii="宋体" w:hAnsi="Calibri" w:cs="宋体"/>
          <w:sz w:val="22"/>
        </w:rPr>
        <w:t>投标人中标后应在规定的期限内向采购人提供有实力履行合同的证明文件，包括人员落实情况，生产机具落实情况，生产场地落实情况，企业内部管理方案等，并缴纳履约保证金（中标金额的1</w:t>
      </w:r>
      <w:r>
        <w:rPr>
          <w:rFonts w:ascii="宋体" w:hAnsi="Calibri" w:cs="宋体"/>
          <w:sz w:val="22"/>
        </w:rPr>
        <w:t>%</w:t>
      </w:r>
      <w:r>
        <w:rPr>
          <w:rFonts w:hint="eastAsia" w:ascii="宋体" w:hAnsi="Calibri" w:cs="宋体"/>
          <w:sz w:val="22"/>
        </w:rPr>
        <w:t>），招标人支付合同款总价的30%给投标人，投标人应出具相关付款票据清单。</w:t>
      </w:r>
    </w:p>
    <w:p w14:paraId="2CB66FA6">
      <w:pPr>
        <w:spacing w:line="400" w:lineRule="exact"/>
        <w:ind w:firstLine="440" w:firstLineChars="200"/>
        <w:rPr>
          <w:rFonts w:ascii="宋体" w:hAnsi="Calibri" w:cs="宋体"/>
          <w:sz w:val="22"/>
        </w:rPr>
      </w:pPr>
      <w:r>
        <w:rPr>
          <w:rFonts w:ascii="宋体" w:hAnsi="Calibri" w:cs="宋体"/>
          <w:sz w:val="22"/>
        </w:rPr>
        <w:t>9.</w:t>
      </w:r>
      <w:r>
        <w:rPr>
          <w:rFonts w:hint="eastAsia" w:ascii="宋体" w:hAnsi="Calibri" w:cs="宋体"/>
          <w:sz w:val="22"/>
        </w:rPr>
        <w:t>中标（成交）供应商签订承包合同后，其人员和设备必须在收到采购人进场通知后</w:t>
      </w:r>
      <w:r>
        <w:rPr>
          <w:rFonts w:ascii="宋体" w:hAnsi="Calibri" w:cs="宋体"/>
          <w:sz w:val="22"/>
        </w:rPr>
        <w:t>10</w:t>
      </w:r>
      <w:r>
        <w:rPr>
          <w:rFonts w:hint="eastAsia" w:ascii="宋体" w:hAnsi="Calibri" w:cs="宋体"/>
          <w:sz w:val="22"/>
        </w:rPr>
        <w:t>日内进场并完成交接，否则采购人有权终止承包合同并没罚全部履约保证金，采购人不承担一切责任。</w:t>
      </w:r>
    </w:p>
    <w:p w14:paraId="3BAFD881">
      <w:pPr>
        <w:spacing w:line="400" w:lineRule="exact"/>
        <w:ind w:firstLine="440" w:firstLineChars="200"/>
        <w:rPr>
          <w:rFonts w:ascii="宋体" w:hAnsi="Calibri" w:cs="宋体"/>
          <w:sz w:val="22"/>
        </w:rPr>
      </w:pPr>
      <w:r>
        <w:rPr>
          <w:rFonts w:ascii="宋体" w:hAnsi="Calibri" w:cs="宋体"/>
          <w:sz w:val="22"/>
        </w:rPr>
        <w:t>10.</w:t>
      </w:r>
      <w:r>
        <w:rPr>
          <w:rFonts w:hint="eastAsia" w:ascii="宋体" w:hAnsi="Calibri" w:cs="宋体"/>
          <w:sz w:val="22"/>
        </w:rPr>
        <w:t>本次招标服务期为合同生效起一年。</w:t>
      </w:r>
    </w:p>
    <w:p w14:paraId="435BC63B">
      <w:pPr>
        <w:spacing w:line="400" w:lineRule="exact"/>
        <w:ind w:firstLine="440" w:firstLineChars="200"/>
        <w:rPr>
          <w:rFonts w:ascii="宋体" w:hAnsi="Calibri" w:cs="宋体"/>
          <w:sz w:val="22"/>
        </w:rPr>
      </w:pPr>
      <w:r>
        <w:rPr>
          <w:rFonts w:ascii="宋体" w:hAnsi="Calibri" w:cs="宋体"/>
          <w:sz w:val="22"/>
        </w:rPr>
        <w:t>11.</w:t>
      </w:r>
      <w:r>
        <w:rPr>
          <w:rFonts w:hint="eastAsia" w:ascii="宋体" w:hAnsi="Calibri" w:cs="宋体"/>
          <w:sz w:val="22"/>
        </w:rPr>
        <w:t>合同期间，中标单位必须无条件配合采购人及其他相关政府部门的环境卫生等相关宣传治理工作。</w:t>
      </w:r>
    </w:p>
    <w:p w14:paraId="50325199">
      <w:pPr>
        <w:spacing w:line="400" w:lineRule="exact"/>
        <w:ind w:firstLine="442" w:firstLineChars="200"/>
        <w:rPr>
          <w:rFonts w:ascii="宋体" w:hAnsi="Calibri" w:cs="宋体"/>
          <w:b/>
          <w:bCs/>
          <w:sz w:val="22"/>
        </w:rPr>
      </w:pPr>
      <w:r>
        <w:rPr>
          <w:rFonts w:ascii="宋体" w:hAnsi="Calibri" w:cs="宋体"/>
          <w:b/>
          <w:bCs/>
          <w:sz w:val="22"/>
        </w:rPr>
        <w:t>12.</w:t>
      </w:r>
      <w:r>
        <w:rPr>
          <w:rFonts w:hint="eastAsia" w:ascii="宋体" w:hAnsi="Calibri" w:cs="宋体"/>
          <w:b/>
          <w:bCs/>
          <w:sz w:val="22"/>
        </w:rPr>
        <w:t>如相关部门不定期巡查中被曝光并要求整改的，采购人对中标方按曝光次数和地点每次1</w:t>
      </w:r>
      <w:r>
        <w:rPr>
          <w:rFonts w:ascii="宋体" w:hAnsi="Calibri" w:cs="宋体"/>
          <w:b/>
          <w:bCs/>
          <w:sz w:val="22"/>
        </w:rPr>
        <w:t>000.00</w:t>
      </w:r>
      <w:r>
        <w:rPr>
          <w:rFonts w:hint="eastAsia" w:ascii="宋体" w:hAnsi="Calibri" w:cs="宋体"/>
          <w:b/>
          <w:bCs/>
          <w:sz w:val="22"/>
        </w:rPr>
        <w:t>元进行累计扣款。</w:t>
      </w:r>
    </w:p>
    <w:p w14:paraId="4A9F436E">
      <w:pPr>
        <w:snapToGrid w:val="0"/>
        <w:spacing w:line="400" w:lineRule="exact"/>
        <w:ind w:firstLine="442" w:firstLineChars="200"/>
        <w:rPr>
          <w:rFonts w:ascii="宋体" w:hAnsi="Calibri" w:cs="宋体"/>
          <w:bCs/>
          <w:sz w:val="22"/>
        </w:rPr>
      </w:pPr>
      <w:r>
        <w:rPr>
          <w:rFonts w:hint="eastAsia" w:ascii="宋体" w:hAnsi="Calibri" w:cs="宋体"/>
          <w:b/>
          <w:sz w:val="22"/>
        </w:rPr>
        <w:t>六、服务要求与质量标准</w:t>
      </w:r>
      <w:r>
        <w:rPr>
          <w:rFonts w:ascii="宋体" w:hAnsi="Calibri" w:cs="宋体"/>
          <w:bCs/>
          <w:sz w:val="22"/>
        </w:rPr>
        <w:t xml:space="preserve"> </w:t>
      </w:r>
    </w:p>
    <w:p w14:paraId="2AB5CF0E">
      <w:pPr>
        <w:snapToGrid w:val="0"/>
        <w:spacing w:line="400" w:lineRule="exact"/>
        <w:ind w:firstLine="440" w:firstLineChars="200"/>
        <w:rPr>
          <w:rFonts w:ascii="宋体" w:hAnsi="Calibri" w:cs="宋体"/>
          <w:sz w:val="22"/>
        </w:rPr>
      </w:pPr>
      <w:r>
        <w:rPr>
          <w:rFonts w:hint="eastAsia" w:ascii="宋体" w:hAnsi="Calibri" w:cs="宋体"/>
          <w:sz w:val="22"/>
        </w:rPr>
        <w:t>（▲本部分要求均为实质性要求，任何负偏离都将作无效标处理）</w:t>
      </w:r>
      <w:r>
        <w:rPr>
          <w:rFonts w:ascii="宋体" w:hAnsi="Calibri" w:cs="宋体"/>
          <w:sz w:val="22"/>
        </w:rPr>
        <w:t xml:space="preserve"> </w:t>
      </w:r>
    </w:p>
    <w:p w14:paraId="047FDB42">
      <w:pPr>
        <w:spacing w:line="400" w:lineRule="exact"/>
        <w:ind w:firstLine="442" w:firstLineChars="200"/>
        <w:jc w:val="left"/>
        <w:rPr>
          <w:rFonts w:ascii="宋体" w:hAnsi="Calibri" w:cs="宋体"/>
          <w:b/>
          <w:bCs/>
          <w:sz w:val="22"/>
        </w:rPr>
      </w:pPr>
      <w:r>
        <w:rPr>
          <w:rFonts w:hint="eastAsia" w:ascii="宋体" w:hAnsi="Calibri" w:cs="宋体"/>
          <w:b/>
          <w:bCs/>
          <w:sz w:val="22"/>
        </w:rPr>
        <w:t>（一）“道路洁净</w:t>
      </w:r>
      <w:r>
        <w:rPr>
          <w:rFonts w:ascii="宋体" w:hAnsi="Calibri" w:cs="宋体"/>
          <w:b/>
          <w:bCs/>
          <w:sz w:val="22"/>
        </w:rPr>
        <w:t>"</w:t>
      </w:r>
      <w:r>
        <w:rPr>
          <w:rFonts w:hint="eastAsia" w:ascii="宋体" w:hAnsi="Calibri" w:cs="宋体"/>
          <w:b/>
          <w:bCs/>
          <w:sz w:val="22"/>
        </w:rPr>
        <w:t>服务标准和质量要求</w:t>
      </w:r>
    </w:p>
    <w:p w14:paraId="40678184">
      <w:pPr>
        <w:widowControl/>
        <w:spacing w:line="400" w:lineRule="exact"/>
        <w:ind w:firstLine="440" w:firstLineChars="200"/>
        <w:rPr>
          <w:rFonts w:ascii="宋体" w:hAnsi="Calibri" w:cs="宋体"/>
          <w:sz w:val="22"/>
        </w:rPr>
      </w:pPr>
      <w:r>
        <w:rPr>
          <w:rFonts w:ascii="宋体" w:hAnsi="Calibri" w:cs="宋体"/>
          <w:sz w:val="22"/>
        </w:rPr>
        <w:t>1.</w:t>
      </w:r>
      <w:r>
        <w:rPr>
          <w:rFonts w:hint="eastAsia" w:ascii="宋体" w:hAnsi="Calibri" w:cs="宋体"/>
          <w:sz w:val="22"/>
        </w:rPr>
        <w:t>路面垃圾必须日产日清，不留卫生死角，做到“七无、五净、二保持、二不准”。</w:t>
      </w:r>
    </w:p>
    <w:p w14:paraId="438660B4">
      <w:pPr>
        <w:widowControl/>
        <w:spacing w:line="400" w:lineRule="exact"/>
        <w:ind w:firstLine="440" w:firstLineChars="200"/>
        <w:rPr>
          <w:rFonts w:ascii="宋体" w:hAnsi="Calibri" w:cs="宋体"/>
          <w:sz w:val="22"/>
        </w:rPr>
      </w:pPr>
      <w:r>
        <w:rPr>
          <w:rFonts w:hint="eastAsia" w:ascii="宋体" w:hAnsi="Calibri" w:cs="宋体"/>
          <w:sz w:val="22"/>
        </w:rPr>
        <w:t>“七无”包括：无杂物；无果皮壳；无纸屑、烟蒂、塑料袋；无淤泥积土；无污水；无堵塞窨井沟眼；无卫生死角。</w:t>
      </w:r>
    </w:p>
    <w:p w14:paraId="35BE2AED">
      <w:pPr>
        <w:widowControl/>
        <w:spacing w:line="400" w:lineRule="exact"/>
        <w:ind w:firstLine="440" w:firstLineChars="200"/>
        <w:rPr>
          <w:rFonts w:ascii="宋体" w:hAnsi="Calibri" w:cs="宋体"/>
          <w:sz w:val="22"/>
        </w:rPr>
      </w:pPr>
      <w:r>
        <w:rPr>
          <w:rFonts w:hint="eastAsia" w:ascii="宋体" w:hAnsi="Calibri" w:cs="宋体"/>
          <w:sz w:val="22"/>
        </w:rPr>
        <w:t>“五净”包括：路面、路牙净，窨井沟眼净，树穴净，边角净，花坛周围净。</w:t>
      </w:r>
    </w:p>
    <w:p w14:paraId="0EDA9138">
      <w:pPr>
        <w:widowControl/>
        <w:spacing w:line="400" w:lineRule="exact"/>
        <w:ind w:firstLine="440" w:firstLineChars="200"/>
        <w:rPr>
          <w:rFonts w:ascii="宋体" w:hAnsi="Calibri" w:cs="宋体"/>
          <w:sz w:val="22"/>
        </w:rPr>
      </w:pPr>
      <w:r>
        <w:rPr>
          <w:rFonts w:hint="eastAsia" w:ascii="宋体" w:hAnsi="Calibri" w:cs="宋体"/>
          <w:sz w:val="22"/>
        </w:rPr>
        <w:t>“二保持”包括：作业人员保持着装整齐（按省定标准），作业机具、道路两旁的果壳箱保持经常性整洁；</w:t>
      </w:r>
    </w:p>
    <w:p w14:paraId="16027C59">
      <w:pPr>
        <w:widowControl/>
        <w:spacing w:line="400" w:lineRule="exact"/>
        <w:ind w:firstLine="440" w:firstLineChars="200"/>
        <w:rPr>
          <w:rFonts w:ascii="宋体" w:hAnsi="Calibri" w:cs="宋体"/>
          <w:sz w:val="22"/>
        </w:rPr>
      </w:pPr>
      <w:r>
        <w:rPr>
          <w:rFonts w:hint="eastAsia" w:ascii="宋体" w:hAnsi="Calibri" w:cs="宋体"/>
          <w:sz w:val="22"/>
        </w:rPr>
        <w:t>“二不准”包括：不准在路旁或河旁乱倒垃圾、不准有垃圾在垃圾箱中过夜存放</w:t>
      </w:r>
      <w:r>
        <w:rPr>
          <w:rFonts w:ascii="宋体" w:hAnsi="Calibri" w:cs="宋体"/>
          <w:sz w:val="22"/>
        </w:rPr>
        <w:t>,</w:t>
      </w:r>
      <w:r>
        <w:rPr>
          <w:rFonts w:hint="eastAsia" w:ascii="宋体" w:hAnsi="Calibri" w:cs="宋体"/>
          <w:sz w:val="22"/>
        </w:rPr>
        <w:t>箱内的垃圾应日产日清。</w:t>
      </w:r>
    </w:p>
    <w:p w14:paraId="036DCE57">
      <w:pPr>
        <w:spacing w:line="400" w:lineRule="exact"/>
        <w:ind w:firstLine="440" w:firstLineChars="200"/>
        <w:rPr>
          <w:rFonts w:ascii="宋体" w:hAnsi="Calibri" w:cs="宋体"/>
          <w:sz w:val="22"/>
        </w:rPr>
      </w:pPr>
      <w:r>
        <w:rPr>
          <w:rFonts w:ascii="宋体" w:hAnsi="Calibri" w:cs="宋体"/>
          <w:sz w:val="22"/>
        </w:rPr>
        <w:t>2.</w:t>
      </w:r>
      <w:r>
        <w:rPr>
          <w:rFonts w:hint="eastAsia" w:ascii="宋体" w:hAnsi="Calibri" w:cs="宋体"/>
          <w:sz w:val="22"/>
        </w:rPr>
        <w:t>所有区域每日实行普扫和保洁。</w:t>
      </w:r>
    </w:p>
    <w:p w14:paraId="0B128E88">
      <w:pPr>
        <w:tabs>
          <w:tab w:val="left" w:pos="360"/>
          <w:tab w:val="left" w:pos="3232"/>
          <w:tab w:val="center" w:pos="4153"/>
        </w:tabs>
        <w:adjustRightInd w:val="0"/>
        <w:snapToGrid w:val="0"/>
        <w:spacing w:line="400" w:lineRule="exact"/>
        <w:ind w:left="25" w:leftChars="12" w:firstLine="440" w:firstLineChars="200"/>
        <w:rPr>
          <w:rFonts w:ascii="宋体" w:hAnsi="Calibri" w:cs="宋体"/>
          <w:sz w:val="22"/>
        </w:rPr>
      </w:pPr>
      <w:r>
        <w:rPr>
          <w:rFonts w:hint="eastAsia" w:ascii="宋体" w:hAnsi="Calibri" w:cs="宋体"/>
          <w:sz w:val="22"/>
        </w:rPr>
        <w:t>（</w:t>
      </w:r>
      <w:r>
        <w:rPr>
          <w:rFonts w:ascii="宋体" w:hAnsi="Calibri" w:cs="宋体"/>
          <w:sz w:val="22"/>
        </w:rPr>
        <w:t>1</w:t>
      </w:r>
      <w:r>
        <w:rPr>
          <w:rFonts w:hint="eastAsia" w:ascii="宋体" w:hAnsi="Calibri" w:cs="宋体"/>
          <w:sz w:val="22"/>
        </w:rPr>
        <w:t>）片区可视范围内所有道路（包含辖区内公路）、民房周围（屋前屋后）公共区域、其他建筑物周围公共区域、开放式小区、菜市场、公共厕所、河道边上、村民居委会办公楼周围、学校周围等日常普扫每日两次，第一次普扫原则上在夏季</w:t>
      </w:r>
      <w:r>
        <w:rPr>
          <w:rFonts w:ascii="宋体" w:hAnsi="Calibri" w:cs="宋体"/>
          <w:sz w:val="22"/>
        </w:rPr>
        <w:t>7</w:t>
      </w:r>
      <w:r>
        <w:rPr>
          <w:rFonts w:hint="eastAsia" w:ascii="宋体" w:hAnsi="Calibri" w:cs="宋体"/>
          <w:sz w:val="22"/>
        </w:rPr>
        <w:t>时、冬季</w:t>
      </w:r>
      <w:r>
        <w:rPr>
          <w:rFonts w:ascii="宋体" w:hAnsi="Calibri" w:cs="宋体"/>
          <w:sz w:val="22"/>
        </w:rPr>
        <w:t>7</w:t>
      </w:r>
      <w:r>
        <w:rPr>
          <w:rFonts w:hint="eastAsia" w:ascii="宋体" w:hAnsi="Calibri" w:cs="宋体"/>
          <w:sz w:val="22"/>
        </w:rPr>
        <w:t>时</w:t>
      </w:r>
      <w:r>
        <w:rPr>
          <w:rFonts w:ascii="宋体" w:hAnsi="Calibri" w:cs="宋体"/>
          <w:sz w:val="22"/>
        </w:rPr>
        <w:t>30</w:t>
      </w:r>
      <w:r>
        <w:rPr>
          <w:rFonts w:hint="eastAsia" w:ascii="宋体" w:hAnsi="Calibri" w:cs="宋体"/>
          <w:sz w:val="22"/>
        </w:rPr>
        <w:t>分以前完成，第二次普扫原则上在</w:t>
      </w:r>
      <w:r>
        <w:rPr>
          <w:rFonts w:ascii="宋体" w:hAnsi="Calibri" w:cs="宋体"/>
          <w:sz w:val="22"/>
        </w:rPr>
        <w:t>16:30</w:t>
      </w:r>
      <w:r>
        <w:rPr>
          <w:rFonts w:hint="eastAsia" w:ascii="宋体" w:hAnsi="Calibri" w:cs="宋体"/>
          <w:sz w:val="22"/>
        </w:rPr>
        <w:t>时前完成；其中菜市场、村民居委会办公楼周围、学校周围等人员密集地要做好</w:t>
      </w:r>
      <w:r>
        <w:rPr>
          <w:rFonts w:ascii="宋体" w:hAnsi="Calibri" w:cs="宋体"/>
          <w:sz w:val="22"/>
        </w:rPr>
        <w:t>8</w:t>
      </w:r>
      <w:r>
        <w:rPr>
          <w:rFonts w:hint="eastAsia" w:ascii="宋体" w:hAnsi="Calibri" w:cs="宋体"/>
          <w:sz w:val="22"/>
        </w:rPr>
        <w:t>个小时清洁。保洁作业所收集的垃圾统一归纳至附近垃圾桶内，由垃圾清运人员及车辆统一运输至罗阳垃圾中转站（注</w:t>
      </w:r>
      <w:r>
        <w:rPr>
          <w:rFonts w:ascii="宋体" w:hAnsi="Calibri" w:cs="宋体"/>
          <w:sz w:val="22"/>
        </w:rPr>
        <w:t>:</w:t>
      </w:r>
      <w:r>
        <w:rPr>
          <w:rFonts w:hint="eastAsia" w:ascii="宋体" w:hAnsi="Calibri" w:cs="宋体"/>
          <w:sz w:val="22"/>
        </w:rPr>
        <w:t>道路外延</w:t>
      </w:r>
      <w:r>
        <w:rPr>
          <w:rFonts w:ascii="宋体" w:hAnsi="Calibri" w:cs="宋体"/>
          <w:sz w:val="22"/>
        </w:rPr>
        <w:t>2</w:t>
      </w:r>
      <w:r>
        <w:rPr>
          <w:rFonts w:hint="eastAsia" w:ascii="宋体" w:hAnsi="Calibri" w:cs="宋体"/>
          <w:sz w:val="22"/>
        </w:rPr>
        <w:t>米在保洁范围内，保洁时间特殊路段由采购人合理制定是否有增加）。特殊的时期（比如临时检查、节假日等）中标人要配合采购人按采购人要求进行清扫工作。</w:t>
      </w:r>
    </w:p>
    <w:p w14:paraId="3287F32F">
      <w:pPr>
        <w:tabs>
          <w:tab w:val="left" w:pos="360"/>
          <w:tab w:val="left" w:pos="3232"/>
          <w:tab w:val="center" w:pos="4153"/>
        </w:tabs>
        <w:adjustRightInd w:val="0"/>
        <w:snapToGrid w:val="0"/>
        <w:spacing w:line="400" w:lineRule="exact"/>
        <w:ind w:left="25" w:leftChars="12" w:firstLine="440" w:firstLineChars="200"/>
        <w:rPr>
          <w:rFonts w:ascii="宋体" w:hAnsi="Calibri" w:cs="宋体"/>
          <w:sz w:val="22"/>
        </w:rPr>
      </w:pPr>
      <w:r>
        <w:rPr>
          <w:rFonts w:hint="eastAsia" w:ascii="宋体" w:hAnsi="Calibri" w:cs="宋体"/>
          <w:sz w:val="22"/>
        </w:rPr>
        <w:t>（</w:t>
      </w:r>
      <w:r>
        <w:rPr>
          <w:rFonts w:ascii="宋体" w:hAnsi="Calibri" w:cs="宋体"/>
          <w:sz w:val="22"/>
        </w:rPr>
        <w:t>2</w:t>
      </w:r>
      <w:r>
        <w:rPr>
          <w:rFonts w:hint="eastAsia" w:ascii="宋体" w:hAnsi="Calibri" w:cs="宋体"/>
          <w:sz w:val="22"/>
        </w:rPr>
        <w:t>）普扫的卫生标准达到“五无”、“五净”的标准。即无果皮纸屑、无土石杂草、无积水积泥、无痰迹烟蒂、无堆积物，路面干净、道路绿地树圈干净、边角侧石干净、窨井盖沟槽畅通干净、果壳箱等环卫设施整齐干净。</w:t>
      </w:r>
    </w:p>
    <w:p w14:paraId="189FEB7D">
      <w:pPr>
        <w:spacing w:line="400" w:lineRule="exact"/>
        <w:ind w:firstLine="440" w:firstLineChars="200"/>
        <w:rPr>
          <w:rFonts w:ascii="宋体" w:hAnsi="Calibri" w:cs="宋体"/>
          <w:sz w:val="22"/>
        </w:rPr>
      </w:pPr>
      <w:r>
        <w:rPr>
          <w:rFonts w:ascii="宋体" w:hAnsi="Calibri" w:cs="宋体"/>
          <w:sz w:val="22"/>
        </w:rPr>
        <w:t>3.</w:t>
      </w:r>
      <w:r>
        <w:rPr>
          <w:rFonts w:hint="eastAsia" w:ascii="宋体" w:hAnsi="Calibri" w:cs="宋体"/>
          <w:sz w:val="22"/>
        </w:rPr>
        <w:t>垃圾桶、清扫机具等环卫设施的清掏、清洗、防损、防盗和维护。</w:t>
      </w:r>
    </w:p>
    <w:p w14:paraId="45AED5FD">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1</w:t>
      </w:r>
      <w:r>
        <w:rPr>
          <w:rFonts w:hint="eastAsia" w:ascii="宋体" w:hAnsi="Calibri" w:cs="宋体"/>
          <w:sz w:val="22"/>
        </w:rPr>
        <w:t>）垃圾桶、果壳箱、垃圾收集车等环卫设施应每周至少清洗一次，每日保持外观整洁，无破损；所有垃圾容器应做到无敞门、无污垢，桶内垃圾日产日清，不过夜、不溢满，禁止环卫工人在桶内翻捡废品；</w:t>
      </w:r>
    </w:p>
    <w:p w14:paraId="14A45DF4">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2</w:t>
      </w:r>
      <w:r>
        <w:rPr>
          <w:rFonts w:hint="eastAsia" w:ascii="宋体" w:hAnsi="Calibri" w:cs="宋体"/>
          <w:sz w:val="22"/>
        </w:rPr>
        <w:t>）承包范围内所有垃圾桶（箱）采购人已统一投放。合同期间，中标人必须做好所有垃圾桶（箱）的防损防盗工作。</w:t>
      </w:r>
    </w:p>
    <w:p w14:paraId="04FFDB32">
      <w:pPr>
        <w:spacing w:line="400" w:lineRule="exact"/>
        <w:ind w:firstLine="440" w:firstLineChars="200"/>
        <w:rPr>
          <w:rFonts w:ascii="宋体" w:hAnsi="Calibri" w:cs="宋体"/>
          <w:sz w:val="22"/>
        </w:rPr>
      </w:pPr>
      <w:r>
        <w:rPr>
          <w:rFonts w:ascii="宋体" w:hAnsi="Calibri" w:cs="宋体"/>
          <w:sz w:val="22"/>
        </w:rPr>
        <w:t>4.</w:t>
      </w:r>
      <w:r>
        <w:rPr>
          <w:rFonts w:hint="eastAsia" w:ascii="宋体" w:hAnsi="Calibri" w:cs="宋体"/>
          <w:sz w:val="22"/>
        </w:rPr>
        <w:t>主次道路（含车行道、人行道）高压冲洗每星期不少于</w:t>
      </w:r>
      <w:r>
        <w:rPr>
          <w:rFonts w:ascii="宋体" w:hAnsi="Calibri" w:cs="宋体"/>
          <w:sz w:val="22"/>
        </w:rPr>
        <w:t>1</w:t>
      </w:r>
      <w:r>
        <w:rPr>
          <w:rFonts w:hint="eastAsia" w:ascii="宋体" w:hAnsi="Calibri" w:cs="宋体"/>
          <w:sz w:val="22"/>
        </w:rPr>
        <w:t>次，作业时间为晚上或清晨。冲洗后由采购人进行验收（路面见本色），并无条件服从采购人整改要求；采购人要求冲洗市场等其他区域时中标方应无条件服从。</w:t>
      </w:r>
    </w:p>
    <w:p w14:paraId="0F0C7067">
      <w:pPr>
        <w:spacing w:line="400" w:lineRule="exact"/>
        <w:ind w:firstLine="442" w:firstLineChars="200"/>
        <w:rPr>
          <w:rFonts w:ascii="宋体" w:hAnsi="Calibri" w:cs="宋体"/>
          <w:sz w:val="22"/>
        </w:rPr>
      </w:pPr>
      <w:r>
        <w:rPr>
          <w:rFonts w:hint="eastAsia" w:ascii="宋体" w:hAnsi="Calibri" w:cs="宋体"/>
          <w:b/>
          <w:bCs/>
          <w:sz w:val="22"/>
        </w:rPr>
        <w:t>（二）</w:t>
      </w:r>
      <w:r>
        <w:rPr>
          <w:rFonts w:ascii="宋体" w:hAnsi="Calibri" w:cs="宋体"/>
          <w:b/>
          <w:bCs/>
          <w:sz w:val="22"/>
        </w:rPr>
        <w:t>"</w:t>
      </w:r>
      <w:r>
        <w:rPr>
          <w:rFonts w:hint="eastAsia" w:ascii="宋体" w:hAnsi="Calibri" w:cs="宋体"/>
          <w:b/>
          <w:bCs/>
          <w:sz w:val="22"/>
        </w:rPr>
        <w:t>垃圾清运</w:t>
      </w:r>
      <w:r>
        <w:rPr>
          <w:rFonts w:ascii="宋体" w:hAnsi="Calibri" w:cs="宋体"/>
          <w:b/>
          <w:bCs/>
          <w:sz w:val="22"/>
        </w:rPr>
        <w:t>"</w:t>
      </w:r>
      <w:r>
        <w:rPr>
          <w:rFonts w:hint="eastAsia" w:ascii="宋体" w:hAnsi="Calibri" w:cs="宋体"/>
          <w:b/>
          <w:bCs/>
          <w:sz w:val="22"/>
        </w:rPr>
        <w:t>服务标准和质量要求</w:t>
      </w:r>
    </w:p>
    <w:p w14:paraId="66B6010C">
      <w:pPr>
        <w:spacing w:line="400" w:lineRule="exact"/>
        <w:ind w:firstLine="440" w:firstLineChars="200"/>
        <w:rPr>
          <w:rFonts w:ascii="宋体" w:hAnsi="Calibri" w:cs="宋体"/>
          <w:sz w:val="22"/>
        </w:rPr>
      </w:pPr>
      <w:r>
        <w:rPr>
          <w:rFonts w:ascii="宋体" w:hAnsi="Calibri" w:cs="宋体"/>
          <w:sz w:val="22"/>
        </w:rPr>
        <w:t>1.</w:t>
      </w:r>
      <w:r>
        <w:rPr>
          <w:rFonts w:hint="eastAsia" w:ascii="宋体" w:hAnsi="Calibri" w:cs="宋体"/>
          <w:sz w:val="22"/>
        </w:rPr>
        <w:t>垃圾清运应符合下列质量要求：</w:t>
      </w:r>
      <w:r>
        <w:rPr>
          <w:rFonts w:ascii="宋体" w:hAnsi="Calibri" w:cs="宋体"/>
          <w:sz w:val="22"/>
        </w:rPr>
        <w:t xml:space="preserve"> </w:t>
      </w:r>
    </w:p>
    <w:p w14:paraId="40BBDEB6">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1</w:t>
      </w:r>
      <w:r>
        <w:rPr>
          <w:rFonts w:hint="eastAsia" w:ascii="宋体" w:hAnsi="Calibri" w:cs="宋体"/>
          <w:sz w:val="22"/>
        </w:rPr>
        <w:t>）所有垃圾堆放点的垃圾每日早晚各清运一次，运至采购人指定垃圾中转站。上午须在</w:t>
      </w:r>
      <w:r>
        <w:rPr>
          <w:rFonts w:ascii="宋体" w:hAnsi="Calibri" w:cs="宋体"/>
          <w:sz w:val="22"/>
        </w:rPr>
        <w:t>6</w:t>
      </w:r>
      <w:r>
        <w:rPr>
          <w:rFonts w:hint="eastAsia" w:ascii="宋体" w:hAnsi="Calibri" w:cs="宋体"/>
          <w:sz w:val="22"/>
        </w:rPr>
        <w:t>时</w:t>
      </w:r>
      <w:r>
        <w:rPr>
          <w:rFonts w:ascii="宋体" w:hAnsi="Calibri" w:cs="宋体"/>
          <w:sz w:val="22"/>
        </w:rPr>
        <w:t>00</w:t>
      </w:r>
      <w:r>
        <w:rPr>
          <w:rFonts w:hint="eastAsia" w:ascii="宋体" w:hAnsi="Calibri" w:cs="宋体"/>
          <w:sz w:val="22"/>
        </w:rPr>
        <w:t>分前完成，下午须在</w:t>
      </w:r>
      <w:r>
        <w:rPr>
          <w:rFonts w:ascii="宋体" w:hAnsi="Calibri" w:cs="宋体"/>
          <w:sz w:val="22"/>
        </w:rPr>
        <w:t>18</w:t>
      </w:r>
      <w:r>
        <w:rPr>
          <w:rFonts w:hint="eastAsia" w:ascii="宋体" w:hAnsi="Calibri" w:cs="宋体"/>
          <w:sz w:val="22"/>
        </w:rPr>
        <w:t>时前完成。</w:t>
      </w:r>
    </w:p>
    <w:p w14:paraId="7B5D1CCF">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2</w:t>
      </w:r>
      <w:r>
        <w:rPr>
          <w:rFonts w:hint="eastAsia" w:ascii="宋体" w:hAnsi="Calibri" w:cs="宋体"/>
          <w:sz w:val="22"/>
        </w:rPr>
        <w:t>）垃圾堆放点内外场地应整洁，无撒落垃圾和堆积杂物，无积留污水。</w:t>
      </w:r>
      <w:r>
        <w:rPr>
          <w:rFonts w:ascii="宋体" w:hAnsi="Calibri" w:cs="宋体"/>
          <w:sz w:val="22"/>
        </w:rPr>
        <w:t xml:space="preserve"> </w:t>
      </w:r>
    </w:p>
    <w:p w14:paraId="68D6FAC9">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3</w:t>
      </w:r>
      <w:r>
        <w:rPr>
          <w:rFonts w:hint="eastAsia" w:ascii="宋体" w:hAnsi="Calibri" w:cs="宋体"/>
          <w:sz w:val="22"/>
        </w:rPr>
        <w:t>）垃圾堆放点内无恶臭，墙壁、窗户应无积尘、蛛网。</w:t>
      </w:r>
    </w:p>
    <w:p w14:paraId="0119DCD5">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4</w:t>
      </w:r>
      <w:r>
        <w:rPr>
          <w:rFonts w:hint="eastAsia" w:ascii="宋体" w:hAnsi="Calibri" w:cs="宋体"/>
          <w:sz w:val="22"/>
        </w:rPr>
        <w:t>）垃圾堆放点内垃圾装运容器应整洁，无积垢，无吊挂垃圾。</w:t>
      </w:r>
    </w:p>
    <w:p w14:paraId="05B1E6AD">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5</w:t>
      </w:r>
      <w:r>
        <w:rPr>
          <w:rFonts w:hint="eastAsia" w:ascii="宋体" w:hAnsi="Calibri" w:cs="宋体"/>
          <w:sz w:val="22"/>
        </w:rPr>
        <w:t>）蚊蝇孳生季节，应每天喷药灭蚊蝇，无恶臭。</w:t>
      </w:r>
    </w:p>
    <w:p w14:paraId="0102C20B">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6</w:t>
      </w:r>
      <w:r>
        <w:rPr>
          <w:rFonts w:hint="eastAsia" w:ascii="宋体" w:hAnsi="Calibri" w:cs="宋体"/>
          <w:sz w:val="22"/>
        </w:rPr>
        <w:t>）垃圾日产日清，垃圾桶和垃圾房内垃圾不得过夜搁置。</w:t>
      </w:r>
    </w:p>
    <w:p w14:paraId="417ED2C7">
      <w:pPr>
        <w:spacing w:line="400" w:lineRule="exact"/>
        <w:ind w:firstLine="440" w:firstLineChars="200"/>
        <w:rPr>
          <w:rFonts w:ascii="宋体" w:hAnsi="Calibri" w:cs="宋体"/>
          <w:sz w:val="22"/>
        </w:rPr>
      </w:pPr>
      <w:r>
        <w:rPr>
          <w:rFonts w:ascii="宋体" w:hAnsi="Calibri" w:cs="宋体"/>
          <w:sz w:val="22"/>
        </w:rPr>
        <w:t>2.</w:t>
      </w:r>
      <w:r>
        <w:rPr>
          <w:rFonts w:hint="eastAsia" w:ascii="宋体" w:hAnsi="Calibri" w:cs="宋体"/>
          <w:sz w:val="22"/>
        </w:rPr>
        <w:t>垃圾收集清运车辆运输垃圾应符合下列质量要求：</w:t>
      </w:r>
    </w:p>
    <w:p w14:paraId="03AF44C3">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1</w:t>
      </w:r>
      <w:r>
        <w:rPr>
          <w:rFonts w:hint="eastAsia" w:ascii="宋体" w:hAnsi="Calibri" w:cs="宋体"/>
          <w:sz w:val="22"/>
        </w:rPr>
        <w:t>）车容应整洁，车体外部无污物、灰垢，标志应清晰。</w:t>
      </w:r>
    </w:p>
    <w:p w14:paraId="55903AB2">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2</w:t>
      </w:r>
      <w:r>
        <w:rPr>
          <w:rFonts w:hint="eastAsia" w:ascii="宋体" w:hAnsi="Calibri" w:cs="宋体"/>
          <w:sz w:val="22"/>
        </w:rPr>
        <w:t>）运输垃圾应密闭，在运输过程中无垃圾扬、撒、拖挂和污水滴漏。</w:t>
      </w:r>
    </w:p>
    <w:p w14:paraId="292552FB">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3</w:t>
      </w:r>
      <w:r>
        <w:rPr>
          <w:rFonts w:hint="eastAsia" w:ascii="宋体" w:hAnsi="Calibri" w:cs="宋体"/>
          <w:sz w:val="22"/>
        </w:rPr>
        <w:t>）垃圾装运量应以车辆的额定荷载和有效容积为限，不得超重、超高运输。</w:t>
      </w:r>
    </w:p>
    <w:p w14:paraId="4ACD4D5D">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4</w:t>
      </w:r>
      <w:r>
        <w:rPr>
          <w:rFonts w:hint="eastAsia" w:ascii="宋体" w:hAnsi="Calibri" w:cs="宋体"/>
          <w:sz w:val="22"/>
        </w:rPr>
        <w:t>）装卸垃圾应符合作业要求，不得乱倒、乱卸、乱抛垃圾。</w:t>
      </w:r>
    </w:p>
    <w:p w14:paraId="3140B443">
      <w:pPr>
        <w:spacing w:line="400" w:lineRule="exact"/>
        <w:ind w:firstLine="440" w:firstLineChars="200"/>
        <w:rPr>
          <w:rFonts w:ascii="宋体" w:hAnsi="Calibri" w:cs="宋体"/>
          <w:sz w:val="22"/>
        </w:rPr>
      </w:pPr>
      <w:r>
        <w:rPr>
          <w:rFonts w:hint="eastAsia" w:ascii="宋体" w:hAnsi="Calibri" w:cs="宋体"/>
          <w:sz w:val="22"/>
        </w:rPr>
        <w:t>（</w:t>
      </w:r>
      <w:r>
        <w:rPr>
          <w:rFonts w:ascii="宋体" w:hAnsi="Calibri" w:cs="宋体"/>
          <w:sz w:val="22"/>
        </w:rPr>
        <w:t>5</w:t>
      </w:r>
      <w:r>
        <w:rPr>
          <w:rFonts w:hint="eastAsia" w:ascii="宋体" w:hAnsi="Calibri" w:cs="宋体"/>
          <w:sz w:val="22"/>
        </w:rPr>
        <w:t>）运输作业结束，应将车辆清洗干净。</w:t>
      </w:r>
    </w:p>
    <w:p w14:paraId="0FEB47CB">
      <w:pPr>
        <w:spacing w:line="400" w:lineRule="exact"/>
        <w:ind w:firstLine="442" w:firstLineChars="200"/>
        <w:rPr>
          <w:rFonts w:ascii="宋体" w:hAnsi="Calibri" w:cs="宋体"/>
          <w:b/>
          <w:bCs/>
          <w:sz w:val="22"/>
        </w:rPr>
      </w:pPr>
      <w:r>
        <w:rPr>
          <w:rFonts w:hint="eastAsia" w:ascii="宋体" w:hAnsi="Calibri" w:cs="宋体"/>
          <w:b/>
          <w:bCs/>
          <w:sz w:val="22"/>
        </w:rPr>
        <w:t>（三）规范作业</w:t>
      </w:r>
    </w:p>
    <w:p w14:paraId="429CE5BF">
      <w:pPr>
        <w:spacing w:line="400" w:lineRule="exact"/>
        <w:ind w:firstLine="440" w:firstLineChars="200"/>
        <w:rPr>
          <w:rFonts w:ascii="宋体" w:hAnsi="Calibri" w:cs="宋体"/>
          <w:sz w:val="22"/>
        </w:rPr>
      </w:pPr>
      <w:r>
        <w:rPr>
          <w:rFonts w:ascii="宋体" w:hAnsi="Calibri" w:cs="宋体"/>
          <w:sz w:val="22"/>
        </w:rPr>
        <w:t>1.</w:t>
      </w:r>
      <w:r>
        <w:rPr>
          <w:rFonts w:hint="eastAsia" w:ascii="宋体" w:hAnsi="Calibri" w:cs="宋体"/>
          <w:sz w:val="22"/>
        </w:rPr>
        <w:t>环境卫生作业人员工作期间不得无故缺岗、离岗，不得迟到早退，不得消极怠工，不得酒后作业；不得集聚闲聊，工期休息单次不得超过</w:t>
      </w:r>
      <w:r>
        <w:rPr>
          <w:rFonts w:ascii="宋体" w:hAnsi="Calibri" w:cs="宋体"/>
          <w:sz w:val="22"/>
        </w:rPr>
        <w:t>10</w:t>
      </w:r>
      <w:r>
        <w:rPr>
          <w:rFonts w:hint="eastAsia" w:ascii="宋体" w:hAnsi="Calibri" w:cs="宋体"/>
          <w:sz w:val="22"/>
        </w:rPr>
        <w:t>分钟；不做与作业无关的事；不得捡拾、买卖废品；</w:t>
      </w:r>
    </w:p>
    <w:p w14:paraId="5195346A">
      <w:pPr>
        <w:spacing w:line="400" w:lineRule="exact"/>
        <w:ind w:firstLine="440" w:firstLineChars="200"/>
        <w:rPr>
          <w:rFonts w:ascii="宋体" w:hAnsi="Calibri" w:cs="宋体"/>
          <w:sz w:val="22"/>
        </w:rPr>
      </w:pPr>
      <w:r>
        <w:rPr>
          <w:rFonts w:ascii="宋体" w:hAnsi="Calibri" w:cs="宋体"/>
          <w:sz w:val="22"/>
        </w:rPr>
        <w:t>2.</w:t>
      </w:r>
      <w:r>
        <w:rPr>
          <w:rFonts w:hint="eastAsia" w:ascii="宋体" w:hAnsi="Calibri" w:cs="宋体"/>
          <w:sz w:val="22"/>
        </w:rPr>
        <w:t>保洁人员应文明作业，不得将垃圾、污水扫到、溅到行人或乘客身上，不得将垃圾堆放或停留在路面上，不得将垃圾扫入或倒入窨井、绿地、河道等处，不得焚烧垃圾，必须运送至指定地点；清扫作业中不得漏扫、甩扫。</w:t>
      </w:r>
      <w:r>
        <w:rPr>
          <w:rFonts w:ascii="宋体" w:hAnsi="Calibri" w:cs="宋体"/>
          <w:sz w:val="22"/>
        </w:rPr>
        <w:t xml:space="preserve"> </w:t>
      </w:r>
    </w:p>
    <w:p w14:paraId="7199983E">
      <w:pPr>
        <w:spacing w:line="400" w:lineRule="exact"/>
        <w:ind w:firstLine="440" w:firstLineChars="200"/>
        <w:rPr>
          <w:rFonts w:ascii="宋体" w:hAnsi="Calibri" w:cs="宋体"/>
          <w:sz w:val="22"/>
        </w:rPr>
      </w:pPr>
      <w:r>
        <w:rPr>
          <w:rFonts w:ascii="宋体" w:hAnsi="Calibri" w:cs="宋体"/>
          <w:sz w:val="22"/>
        </w:rPr>
        <w:t>3.</w:t>
      </w:r>
      <w:r>
        <w:rPr>
          <w:rFonts w:hint="eastAsia" w:ascii="宋体" w:hAnsi="Calibri" w:cs="宋体"/>
          <w:sz w:val="22"/>
        </w:rPr>
        <w:t>垃圾收集车标志应清晰，保持外观清洁，每日清洗后方可上路；垃圾装运量应以车辆的额定荷载和有效容积为限，不得超重、超高超速运输，不得悬挂杂物，装卸垃圾应符合作业要求，不得乱倒、乱卸、乱抛、焚烧垃圾。</w:t>
      </w:r>
    </w:p>
    <w:p w14:paraId="0E1967EC">
      <w:pPr>
        <w:spacing w:line="400" w:lineRule="exact"/>
        <w:ind w:firstLine="440" w:firstLineChars="200"/>
        <w:rPr>
          <w:rFonts w:ascii="宋体" w:hAnsi="Calibri" w:cs="宋体"/>
          <w:sz w:val="22"/>
        </w:rPr>
      </w:pPr>
      <w:r>
        <w:rPr>
          <w:rFonts w:ascii="宋体" w:hAnsi="Calibri" w:cs="宋体"/>
          <w:sz w:val="22"/>
        </w:rPr>
        <w:t>4.</w:t>
      </w:r>
      <w:r>
        <w:rPr>
          <w:rFonts w:hint="eastAsia" w:ascii="宋体" w:hAnsi="Calibri" w:cs="宋体"/>
          <w:sz w:val="22"/>
        </w:rPr>
        <w:t>垃圾清运完毕，应打扫周边环境，做到人走地净。</w:t>
      </w:r>
    </w:p>
    <w:p w14:paraId="4E5B9A1E">
      <w:pPr>
        <w:spacing w:line="400" w:lineRule="exact"/>
        <w:ind w:firstLine="440" w:firstLineChars="200"/>
        <w:rPr>
          <w:rFonts w:ascii="宋体" w:hAnsi="Calibri" w:cs="宋体"/>
          <w:sz w:val="22"/>
        </w:rPr>
      </w:pPr>
      <w:r>
        <w:rPr>
          <w:rFonts w:ascii="宋体" w:hAnsi="Calibri" w:cs="宋体"/>
          <w:sz w:val="22"/>
        </w:rPr>
        <w:t>5.</w:t>
      </w:r>
      <w:r>
        <w:rPr>
          <w:rFonts w:hint="eastAsia" w:ascii="宋体" w:hAnsi="Calibri" w:cs="宋体"/>
          <w:sz w:val="22"/>
        </w:rPr>
        <w:t>垃圾收集车辆应经常检查，及时发现排除故障，不得带故障运行；所有车辆停放必须遵守交通法规。</w:t>
      </w:r>
    </w:p>
    <w:p w14:paraId="16C1E979">
      <w:pPr>
        <w:spacing w:line="400" w:lineRule="exact"/>
        <w:ind w:firstLine="440" w:firstLineChars="200"/>
        <w:rPr>
          <w:rFonts w:ascii="宋体" w:hAnsi="Calibri" w:cs="宋体"/>
          <w:sz w:val="22"/>
        </w:rPr>
      </w:pPr>
      <w:r>
        <w:rPr>
          <w:rFonts w:ascii="宋体" w:hAnsi="Calibri" w:cs="宋体"/>
          <w:sz w:val="22"/>
        </w:rPr>
        <w:t>6.</w:t>
      </w:r>
      <w:r>
        <w:rPr>
          <w:rFonts w:hint="eastAsia" w:ascii="宋体" w:hAnsi="Calibri" w:cs="宋体"/>
          <w:sz w:val="22"/>
        </w:rPr>
        <w:t>清扫保洁应根据业主的要求和自身实际作业标准建立相关台账，车辆做好车辆使用记录。</w:t>
      </w:r>
    </w:p>
    <w:p w14:paraId="14BC2A39">
      <w:pPr>
        <w:spacing w:line="400" w:lineRule="exact"/>
        <w:ind w:firstLine="440" w:firstLineChars="200"/>
        <w:rPr>
          <w:rFonts w:ascii="宋体" w:hAnsi="Calibri" w:cs="宋体"/>
          <w:sz w:val="22"/>
        </w:rPr>
      </w:pPr>
      <w:r>
        <w:rPr>
          <w:rFonts w:ascii="宋体" w:hAnsi="Calibri" w:cs="宋体"/>
          <w:sz w:val="22"/>
        </w:rPr>
        <w:t>7.</w:t>
      </w:r>
      <w:r>
        <w:rPr>
          <w:rFonts w:hint="eastAsia" w:ascii="宋体" w:hAnsi="Calibri" w:cs="宋体"/>
          <w:sz w:val="22"/>
        </w:rPr>
        <w:t>作业人员必须穿着反光安全工作服、佩证上岗（证件上须附有人员照片、人员姓名、清扫路段等信息）；道路保洁作业时，应按车行线反方向清扫，保洁车辆停放应地点适宜，不能太靠近车行线，车容应整洁；作业期间，人员必须衣冠整洁，不得穿拖鞋上岗。</w:t>
      </w:r>
    </w:p>
    <w:p w14:paraId="00D23C14">
      <w:pPr>
        <w:spacing w:line="400" w:lineRule="exact"/>
        <w:ind w:firstLine="440" w:firstLineChars="200"/>
        <w:rPr>
          <w:rFonts w:ascii="宋体" w:hAnsi="Calibri" w:cs="宋体"/>
          <w:sz w:val="22"/>
        </w:rPr>
      </w:pPr>
      <w:r>
        <w:rPr>
          <w:rFonts w:ascii="宋体" w:hAnsi="Calibri" w:cs="宋体"/>
          <w:sz w:val="22"/>
        </w:rPr>
        <w:t>8.</w:t>
      </w:r>
      <w:r>
        <w:rPr>
          <w:rFonts w:hint="eastAsia" w:ascii="宋体" w:hAnsi="Calibri" w:cs="宋体"/>
          <w:sz w:val="22"/>
        </w:rPr>
        <w:t>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各村居垃圾日产日清。</w:t>
      </w:r>
    </w:p>
    <w:p w14:paraId="6FC528DD">
      <w:pPr>
        <w:spacing w:line="400" w:lineRule="exact"/>
        <w:ind w:firstLine="440" w:firstLineChars="200"/>
        <w:rPr>
          <w:rFonts w:ascii="宋体" w:hAnsi="Calibri" w:cs="宋体"/>
          <w:sz w:val="22"/>
        </w:rPr>
      </w:pPr>
      <w:r>
        <w:rPr>
          <w:rFonts w:ascii="宋体" w:hAnsi="Calibri" w:cs="宋体"/>
          <w:sz w:val="22"/>
        </w:rPr>
        <w:t>9.</w:t>
      </w:r>
      <w:r>
        <w:rPr>
          <w:rFonts w:hint="eastAsia" w:ascii="宋体" w:hAnsi="Calibri" w:cs="宋体"/>
          <w:sz w:val="22"/>
        </w:rPr>
        <w:t>其他要求：遇有重大活动或突发事件，及时组织力量做好清扫保洁等保障工作，及时听从业主的指挥和调度；每年</w:t>
      </w:r>
      <w:r>
        <w:rPr>
          <w:rFonts w:ascii="宋体" w:hAnsi="Calibri" w:cs="宋体"/>
          <w:sz w:val="22"/>
        </w:rPr>
        <w:t>6-9</w:t>
      </w:r>
      <w:r>
        <w:rPr>
          <w:rFonts w:hint="eastAsia" w:ascii="宋体" w:hAnsi="Calibri" w:cs="宋体"/>
          <w:sz w:val="22"/>
        </w:rPr>
        <w:t>月份清扫保洁时间相应延长两小时；遇有不可抗力因素，中标单位应无条件配合业主做好村居环境卫生保洁和垃圾清运工作。</w:t>
      </w:r>
    </w:p>
    <w:p w14:paraId="1A26D959">
      <w:pPr>
        <w:spacing w:line="400" w:lineRule="exact"/>
        <w:ind w:firstLine="442" w:firstLineChars="200"/>
        <w:rPr>
          <w:rFonts w:ascii="宋体" w:hAnsi="宋体" w:cs="宋体"/>
          <w:b/>
          <w:kern w:val="0"/>
          <w:sz w:val="22"/>
          <w:szCs w:val="22"/>
        </w:rPr>
      </w:pPr>
      <w:r>
        <w:rPr>
          <w:rFonts w:hint="eastAsia" w:ascii="宋体" w:hAnsi="宋体" w:eastAsia="仿宋_GB2312" w:cs="宋体"/>
          <w:b/>
          <w:kern w:val="0"/>
          <w:sz w:val="22"/>
          <w:szCs w:val="21"/>
        </w:rPr>
        <w:t>（四）</w:t>
      </w:r>
      <w:r>
        <w:rPr>
          <w:rFonts w:hint="eastAsia" w:ascii="宋体" w:hAnsi="宋体" w:cs="宋体"/>
          <w:b/>
          <w:kern w:val="0"/>
          <w:sz w:val="22"/>
          <w:szCs w:val="22"/>
        </w:rPr>
        <w:t>垃圾收集及分类管理要求</w:t>
      </w:r>
      <w:r>
        <w:rPr>
          <w:rFonts w:ascii="宋体" w:hAnsi="宋体" w:cs="宋体"/>
          <w:b/>
          <w:kern w:val="0"/>
          <w:sz w:val="22"/>
          <w:szCs w:val="22"/>
        </w:rPr>
        <w:t>:</w:t>
      </w:r>
    </w:p>
    <w:p w14:paraId="0A0E2602">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垃圾收集车标志应清晰，保持外观清洁；遵守交通法规，违章停放作业，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w:t>
      </w:r>
    </w:p>
    <w:p w14:paraId="6BA96147">
      <w:pPr>
        <w:spacing w:line="400" w:lineRule="exact"/>
        <w:ind w:firstLine="440" w:firstLineChars="200"/>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、做好入户宣传培训和户外宣传工作，投入智能积分系统，形成后台可视化可追踪溯源的数据系统；</w:t>
      </w:r>
    </w:p>
    <w:p w14:paraId="67BCB7C0">
      <w:pPr>
        <w:spacing w:line="400" w:lineRule="exact"/>
        <w:ind w:firstLine="440" w:firstLineChars="200"/>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、垃圾分类知晓率和投放准确率达到各年度考核要求；</w:t>
      </w:r>
    </w:p>
    <w:p w14:paraId="78439D96">
      <w:pPr>
        <w:spacing w:line="400" w:lineRule="exact"/>
        <w:ind w:firstLine="440" w:firstLineChars="200"/>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、肩负起项目点老百姓垃圾分类工作的跟踪与反馈的义务；</w:t>
      </w:r>
    </w:p>
    <w:p w14:paraId="5CAA83D3">
      <w:pPr>
        <w:spacing w:line="400" w:lineRule="exact"/>
        <w:ind w:firstLine="440" w:firstLineChars="200"/>
        <w:rPr>
          <w:rFonts w:ascii="宋体" w:hAnsi="宋体" w:cs="宋体"/>
          <w:kern w:val="0"/>
          <w:sz w:val="22"/>
          <w:szCs w:val="22"/>
        </w:rPr>
      </w:pPr>
      <w:r>
        <w:rPr>
          <w:rFonts w:ascii="宋体" w:hAnsi="宋体" w:cs="宋体"/>
          <w:kern w:val="0"/>
          <w:sz w:val="22"/>
          <w:szCs w:val="22"/>
        </w:rPr>
        <w:t>4</w:t>
      </w:r>
      <w:r>
        <w:rPr>
          <w:rFonts w:hint="eastAsia" w:ascii="宋体" w:hAnsi="宋体" w:cs="宋体"/>
          <w:kern w:val="0"/>
          <w:sz w:val="22"/>
          <w:szCs w:val="22"/>
        </w:rPr>
        <w:t>、对分类区域的垃圾进行分类运输，不得将垃圾进行混合收运；</w:t>
      </w:r>
    </w:p>
    <w:p w14:paraId="2DE96EBA">
      <w:pPr>
        <w:spacing w:line="400" w:lineRule="exact"/>
        <w:ind w:firstLine="440" w:firstLineChars="200"/>
        <w:rPr>
          <w:rFonts w:ascii="宋体" w:hAnsi="宋体" w:cs="宋体"/>
          <w:kern w:val="0"/>
          <w:sz w:val="22"/>
          <w:szCs w:val="22"/>
        </w:rPr>
      </w:pPr>
      <w:r>
        <w:rPr>
          <w:rFonts w:ascii="宋体" w:hAnsi="宋体" w:cs="宋体"/>
          <w:kern w:val="0"/>
          <w:sz w:val="22"/>
          <w:szCs w:val="22"/>
        </w:rPr>
        <w:t>5</w:t>
      </w:r>
      <w:r>
        <w:rPr>
          <w:rFonts w:hint="eastAsia" w:ascii="宋体" w:hAnsi="宋体" w:cs="宋体"/>
          <w:kern w:val="0"/>
          <w:sz w:val="22"/>
          <w:szCs w:val="22"/>
        </w:rPr>
        <w:t>、后端处理终端需要配备专业的处置员进行分类处置；</w:t>
      </w:r>
    </w:p>
    <w:p w14:paraId="7E63E54A">
      <w:pPr>
        <w:spacing w:line="400" w:lineRule="exact"/>
        <w:ind w:firstLine="440" w:firstLineChars="200"/>
        <w:rPr>
          <w:rFonts w:ascii="宋体" w:hAnsi="宋体" w:cs="宋体"/>
          <w:kern w:val="0"/>
          <w:sz w:val="22"/>
          <w:szCs w:val="22"/>
        </w:rPr>
      </w:pPr>
      <w:r>
        <w:rPr>
          <w:rFonts w:ascii="宋体" w:hAnsi="宋体" w:cs="宋体"/>
          <w:kern w:val="0"/>
          <w:sz w:val="22"/>
          <w:szCs w:val="22"/>
        </w:rPr>
        <w:t>6</w:t>
      </w:r>
      <w:r>
        <w:rPr>
          <w:rFonts w:hint="eastAsia" w:ascii="宋体" w:hAnsi="宋体" w:cs="宋体"/>
          <w:kern w:val="0"/>
          <w:sz w:val="22"/>
          <w:szCs w:val="22"/>
        </w:rPr>
        <w:t>、投标人采取的垃圾分类收集方式对应的投入相关设备设施及车辆需要达到辐射面的基本要求；</w:t>
      </w:r>
    </w:p>
    <w:p w14:paraId="749EEAB9">
      <w:pPr>
        <w:spacing w:line="400" w:lineRule="exact"/>
        <w:ind w:firstLine="440" w:firstLineChars="200"/>
        <w:rPr>
          <w:rFonts w:ascii="宋体" w:hAnsi="宋体" w:cs="宋体"/>
          <w:kern w:val="0"/>
          <w:sz w:val="22"/>
          <w:szCs w:val="22"/>
        </w:rPr>
      </w:pPr>
      <w:r>
        <w:rPr>
          <w:rFonts w:ascii="宋体" w:hAnsi="宋体" w:cs="宋体"/>
          <w:kern w:val="0"/>
          <w:sz w:val="22"/>
          <w:szCs w:val="22"/>
        </w:rPr>
        <w:t>7</w:t>
      </w:r>
      <w:r>
        <w:rPr>
          <w:rFonts w:hint="eastAsia" w:ascii="宋体" w:hAnsi="宋体" w:cs="宋体"/>
          <w:kern w:val="0"/>
          <w:sz w:val="22"/>
          <w:szCs w:val="22"/>
        </w:rPr>
        <w:t>、可回收垃圾需按市价回收，不得擅自低价收集，并自行安排仓储。易腐垃圾与有害垃圾需按照积分兑换原则积极收取，及时汇报终端处置结果与方式；</w:t>
      </w:r>
    </w:p>
    <w:p w14:paraId="74900938">
      <w:pPr>
        <w:spacing w:line="400" w:lineRule="exact"/>
        <w:ind w:firstLine="440" w:firstLineChars="200"/>
        <w:rPr>
          <w:rFonts w:ascii="宋体" w:hAnsi="宋体" w:cs="宋体"/>
          <w:kern w:val="0"/>
          <w:sz w:val="22"/>
          <w:szCs w:val="22"/>
        </w:rPr>
      </w:pPr>
      <w:r>
        <w:rPr>
          <w:rFonts w:ascii="宋体" w:hAnsi="宋体" w:cs="宋体"/>
          <w:kern w:val="0"/>
          <w:sz w:val="22"/>
          <w:szCs w:val="22"/>
        </w:rPr>
        <w:t>8</w:t>
      </w:r>
      <w:r>
        <w:rPr>
          <w:rFonts w:hint="eastAsia" w:ascii="宋体" w:hAnsi="宋体" w:cs="宋体"/>
          <w:kern w:val="0"/>
          <w:sz w:val="22"/>
          <w:szCs w:val="22"/>
        </w:rPr>
        <w:t>、垃圾分类积分兑换礼品需正规渠道采购，采购资金中标企业自行负责解决，兑换礼品价值与积分的比例需合理，积分累计方式采取线上线下相结合</w:t>
      </w:r>
      <w:r>
        <w:rPr>
          <w:rFonts w:ascii="宋体" w:hAnsi="宋体" w:cs="宋体"/>
          <w:kern w:val="0"/>
          <w:sz w:val="22"/>
          <w:szCs w:val="22"/>
        </w:rPr>
        <w:t>,</w:t>
      </w:r>
      <w:r>
        <w:rPr>
          <w:rFonts w:hint="eastAsia" w:ascii="宋体" w:hAnsi="宋体" w:cs="宋体"/>
          <w:kern w:val="0"/>
          <w:sz w:val="22"/>
          <w:szCs w:val="22"/>
        </w:rPr>
        <w:t>后台可控可视可管理。</w:t>
      </w:r>
    </w:p>
    <w:p w14:paraId="50FC748A">
      <w:pPr>
        <w:spacing w:line="400" w:lineRule="exact"/>
        <w:ind w:firstLine="442" w:firstLineChars="200"/>
        <w:rPr>
          <w:rFonts w:ascii="宋体" w:hAnsi="Calibri" w:cs="宋体"/>
          <w:b/>
          <w:bCs/>
          <w:sz w:val="22"/>
        </w:rPr>
      </w:pPr>
      <w:r>
        <w:rPr>
          <w:rFonts w:hint="eastAsia" w:ascii="宋体" w:hAnsi="Calibri" w:cs="宋体"/>
          <w:b/>
          <w:bCs/>
          <w:sz w:val="22"/>
        </w:rPr>
        <w:t>（五）环境卫生规范管理要求</w:t>
      </w:r>
    </w:p>
    <w:p w14:paraId="12C0AC5F">
      <w:pPr>
        <w:spacing w:line="400" w:lineRule="exact"/>
        <w:ind w:firstLine="440" w:firstLineChars="200"/>
        <w:rPr>
          <w:rFonts w:ascii="宋体" w:hAnsi="Calibri" w:cs="宋体"/>
          <w:sz w:val="22"/>
        </w:rPr>
      </w:pPr>
      <w:r>
        <w:rPr>
          <w:rFonts w:ascii="宋体" w:hAnsi="Calibri" w:cs="宋体"/>
          <w:sz w:val="22"/>
        </w:rPr>
        <w:t>1.</w:t>
      </w:r>
      <w:r>
        <w:rPr>
          <w:rFonts w:hint="eastAsia" w:ascii="宋体" w:hAnsi="Calibri" w:cs="宋体"/>
          <w:sz w:val="22"/>
        </w:rPr>
        <w:t>规范作业人员岗位职责管理，与作业人员签订岗位职责承诺书，制作作业人员花名册，标明人员姓名（照片）、岗位、负责区域、工作时段等信息，花名册彩色刊印提交采购人考核时核对。</w:t>
      </w:r>
    </w:p>
    <w:p w14:paraId="63B1CB1E">
      <w:pPr>
        <w:spacing w:line="400" w:lineRule="exact"/>
        <w:ind w:firstLine="440" w:firstLineChars="200"/>
        <w:rPr>
          <w:rFonts w:ascii="宋体" w:hAnsi="Calibri" w:cs="宋体"/>
          <w:sz w:val="22"/>
        </w:rPr>
      </w:pPr>
      <w:r>
        <w:rPr>
          <w:rFonts w:ascii="宋体" w:hAnsi="Calibri" w:cs="宋体"/>
          <w:sz w:val="22"/>
        </w:rPr>
        <w:t>2.</w:t>
      </w:r>
      <w:r>
        <w:rPr>
          <w:rFonts w:hint="eastAsia" w:ascii="宋体" w:hAnsi="Calibri" w:cs="宋体"/>
          <w:sz w:val="22"/>
        </w:rPr>
        <w:t>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w:t>
      </w:r>
    </w:p>
    <w:p w14:paraId="5787BBAA">
      <w:pPr>
        <w:spacing w:line="400" w:lineRule="exact"/>
        <w:ind w:firstLine="440" w:firstLineChars="200"/>
        <w:rPr>
          <w:rFonts w:ascii="宋体" w:hAnsi="Calibri" w:cs="宋体"/>
          <w:sz w:val="22"/>
        </w:rPr>
      </w:pPr>
      <w:r>
        <w:rPr>
          <w:rFonts w:ascii="宋体" w:hAnsi="Calibri" w:cs="宋体"/>
          <w:sz w:val="22"/>
        </w:rPr>
        <w:t>3.</w:t>
      </w:r>
      <w:r>
        <w:rPr>
          <w:rFonts w:hint="eastAsia" w:ascii="宋体" w:hAnsi="Calibri" w:cs="宋体"/>
          <w:sz w:val="22"/>
        </w:rPr>
        <w:t>加强内部作业管理，合同期内中标单位应加强作业管理，加强安全作业控制，项目管理人员应跟班作业，加强各村居内保洁巡视，做好巡视记录，每天检查员工清扫保洁及垃圾清运的时间、任务量等日常工作。</w:t>
      </w:r>
    </w:p>
    <w:p w14:paraId="0EE1AFB1">
      <w:pPr>
        <w:spacing w:line="400" w:lineRule="exact"/>
        <w:ind w:firstLine="440" w:firstLineChars="200"/>
        <w:rPr>
          <w:rFonts w:ascii="宋体" w:hAnsi="Calibri" w:cs="宋体"/>
          <w:sz w:val="22"/>
        </w:rPr>
      </w:pPr>
      <w:r>
        <w:rPr>
          <w:rFonts w:ascii="宋体" w:hAnsi="Calibri" w:cs="宋体"/>
          <w:sz w:val="22"/>
        </w:rPr>
        <w:t>4.</w:t>
      </w:r>
      <w:r>
        <w:rPr>
          <w:rFonts w:hint="eastAsia" w:ascii="宋体" w:hAnsi="Calibri" w:cs="宋体"/>
          <w:sz w:val="22"/>
        </w:rPr>
        <w:t>建立并规范作业台账，按规定建立规范、详细的养护作业台帐，做好养护工作量日报、月报及年报，按时上报各类报表并协助调查、解决来电来信来访等问题。</w:t>
      </w:r>
    </w:p>
    <w:p w14:paraId="7F831678">
      <w:pPr>
        <w:spacing w:line="400" w:lineRule="exact"/>
        <w:ind w:firstLine="440" w:firstLineChars="200"/>
        <w:rPr>
          <w:rFonts w:ascii="宋体" w:hAnsi="Calibri" w:cs="宋体"/>
          <w:sz w:val="22"/>
        </w:rPr>
      </w:pPr>
      <w:r>
        <w:rPr>
          <w:rFonts w:ascii="宋体" w:hAnsi="Calibri" w:cs="宋体"/>
          <w:sz w:val="22"/>
        </w:rPr>
        <w:t>5.</w:t>
      </w:r>
      <w:r>
        <w:rPr>
          <w:rFonts w:hint="eastAsia" w:ascii="宋体" w:hAnsi="Calibri" w:cs="宋体"/>
          <w:sz w:val="22"/>
        </w:rPr>
        <w:t>严格落实一线作业人员年龄结构，提升服务质量，本次项目所需的作业人员均由中标单位招聘，所招聘的人员必须在合理年龄以内，优化作业人员年龄结构。</w:t>
      </w:r>
    </w:p>
    <w:p w14:paraId="029E6853">
      <w:pPr>
        <w:spacing w:line="400" w:lineRule="exact"/>
        <w:ind w:firstLine="440" w:firstLineChars="200"/>
        <w:rPr>
          <w:rFonts w:ascii="宋体" w:hAnsi="Calibri" w:cs="宋体"/>
          <w:sz w:val="22"/>
        </w:rPr>
      </w:pPr>
      <w:r>
        <w:rPr>
          <w:rFonts w:ascii="宋体" w:hAnsi="Calibri" w:cs="宋体"/>
          <w:sz w:val="22"/>
        </w:rPr>
        <w:t>6.</w:t>
      </w:r>
      <w:r>
        <w:rPr>
          <w:rFonts w:hint="eastAsia" w:ascii="宋体" w:hAnsi="Calibri" w:cs="宋体"/>
          <w:sz w:val="22"/>
        </w:rPr>
        <w:t>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w:t>
      </w:r>
    </w:p>
    <w:p w14:paraId="651BF86D">
      <w:pPr>
        <w:spacing w:line="400" w:lineRule="exact"/>
        <w:ind w:firstLine="440" w:firstLineChars="200"/>
        <w:rPr>
          <w:rFonts w:ascii="宋体" w:hAnsi="Calibri" w:cs="宋体"/>
          <w:sz w:val="22"/>
        </w:rPr>
      </w:pPr>
      <w:r>
        <w:rPr>
          <w:rFonts w:ascii="宋体" w:hAnsi="Calibri" w:cs="宋体"/>
          <w:sz w:val="22"/>
        </w:rPr>
        <w:t>7.</w:t>
      </w:r>
      <w:r>
        <w:rPr>
          <w:rFonts w:hint="eastAsia" w:ascii="宋体" w:hAnsi="Calibri" w:cs="宋体"/>
          <w:sz w:val="22"/>
        </w:rPr>
        <w:t>加强作业车辆管理，中标单位应加强作业车辆的日常管理，确保专车专用，遵守交通规则，文明行驶，安全行驶。</w:t>
      </w:r>
    </w:p>
    <w:p w14:paraId="437F61C1">
      <w:pPr>
        <w:spacing w:line="360" w:lineRule="auto"/>
        <w:ind w:firstLine="422" w:firstLineChars="200"/>
        <w:rPr>
          <w:rFonts w:ascii="宋体" w:hAnsi="宋体" w:cs="宋体"/>
          <w:b/>
          <w:bCs/>
          <w:szCs w:val="21"/>
        </w:rPr>
      </w:pPr>
      <w:r>
        <w:rPr>
          <w:rFonts w:hint="eastAsia" w:ascii="宋体" w:hAnsi="宋体" w:cs="宋体"/>
          <w:b/>
          <w:bCs/>
          <w:szCs w:val="21"/>
        </w:rPr>
        <w:t>（六）公厕保洁服务标准和质量要求具体保洁标准根据温州市综合行政执法局印发的《温州市城镇公告厕所保洁与服务管理标准（试行）》其中部分保洁要求如下：</w:t>
      </w:r>
    </w:p>
    <w:p w14:paraId="458B41AB">
      <w:pPr>
        <w:spacing w:line="360" w:lineRule="auto"/>
        <w:ind w:firstLine="422" w:firstLineChars="200"/>
        <w:rPr>
          <w:rFonts w:ascii="宋体" w:hAnsi="宋体" w:cs="宋体"/>
          <w:b/>
          <w:bCs/>
          <w:szCs w:val="21"/>
        </w:rPr>
      </w:pPr>
      <w:r>
        <w:rPr>
          <w:rFonts w:hint="eastAsia" w:ascii="宋体" w:hAnsi="宋体" w:cs="宋体"/>
          <w:b/>
          <w:bCs/>
          <w:szCs w:val="21"/>
        </w:rPr>
        <w:t>1.通用要求</w:t>
      </w:r>
    </w:p>
    <w:p w14:paraId="352A04B4">
      <w:pPr>
        <w:spacing w:line="360" w:lineRule="auto"/>
        <w:ind w:firstLine="420" w:firstLineChars="200"/>
        <w:rPr>
          <w:rFonts w:ascii="宋体" w:hAnsi="宋体" w:cs="宋体"/>
          <w:szCs w:val="21"/>
        </w:rPr>
      </w:pPr>
      <w:r>
        <w:rPr>
          <w:rFonts w:hint="eastAsia" w:ascii="宋体" w:hAnsi="宋体" w:cs="宋体"/>
          <w:szCs w:val="21"/>
        </w:rPr>
        <w:t>1.1 公共厕所应做到干净、方便、文明、卫生。</w:t>
      </w:r>
    </w:p>
    <w:p w14:paraId="2A4C0705">
      <w:pPr>
        <w:spacing w:line="360" w:lineRule="auto"/>
        <w:ind w:firstLine="420" w:firstLineChars="200"/>
        <w:rPr>
          <w:rFonts w:ascii="宋体" w:hAnsi="宋体" w:cs="宋体"/>
          <w:szCs w:val="21"/>
        </w:rPr>
      </w:pPr>
      <w:r>
        <w:rPr>
          <w:rFonts w:hint="eastAsia" w:ascii="宋体" w:hAnsi="宋体" w:cs="宋体"/>
          <w:szCs w:val="21"/>
        </w:rPr>
        <w:t>1.2 公共厕所的保洁质量满足本环境卫生控制指标的规定。</w:t>
      </w:r>
    </w:p>
    <w:p w14:paraId="79FBB95E">
      <w:pPr>
        <w:spacing w:line="360" w:lineRule="auto"/>
        <w:ind w:firstLine="420" w:firstLineChars="200"/>
        <w:rPr>
          <w:rFonts w:ascii="宋体" w:hAnsi="宋体" w:cs="宋体"/>
          <w:szCs w:val="21"/>
        </w:rPr>
      </w:pPr>
      <w:r>
        <w:rPr>
          <w:rFonts w:hint="eastAsia" w:ascii="宋体" w:hAnsi="宋体" w:cs="宋体"/>
          <w:szCs w:val="21"/>
        </w:rPr>
        <w:t>1.3 公共厕所主体建筑、内部设施、给排水、化粪池、无障碍设施、各类标识及导向牌等各类硬件设施应保持完好，无破损和缺失问题，各项功能应满足使用要求。</w:t>
      </w:r>
    </w:p>
    <w:p w14:paraId="310315D6">
      <w:pPr>
        <w:spacing w:line="360" w:lineRule="auto"/>
        <w:ind w:firstLine="422" w:firstLineChars="200"/>
        <w:rPr>
          <w:rFonts w:ascii="宋体" w:hAnsi="宋体" w:cs="宋体"/>
          <w:b/>
          <w:bCs/>
          <w:szCs w:val="21"/>
        </w:rPr>
      </w:pPr>
      <w:r>
        <w:rPr>
          <w:rFonts w:hint="eastAsia" w:ascii="宋体" w:hAnsi="宋体" w:cs="宋体"/>
          <w:b/>
          <w:bCs/>
          <w:szCs w:val="21"/>
        </w:rPr>
        <w:t>2.管理要求</w:t>
      </w:r>
    </w:p>
    <w:p w14:paraId="6AEDE449">
      <w:pPr>
        <w:spacing w:line="360" w:lineRule="auto"/>
        <w:ind w:firstLine="420" w:firstLineChars="200"/>
        <w:rPr>
          <w:rFonts w:ascii="宋体" w:hAnsi="宋体" w:cs="宋体"/>
          <w:szCs w:val="21"/>
        </w:rPr>
      </w:pPr>
      <w:r>
        <w:rPr>
          <w:rFonts w:hint="eastAsia" w:ascii="宋体" w:hAnsi="宋体" w:cs="宋体"/>
          <w:szCs w:val="21"/>
        </w:rPr>
        <w:t>2.1 开放时间</w:t>
      </w:r>
    </w:p>
    <w:p w14:paraId="6E87DF12">
      <w:pPr>
        <w:spacing w:line="360" w:lineRule="auto"/>
        <w:ind w:firstLine="420" w:firstLineChars="200"/>
        <w:rPr>
          <w:rFonts w:ascii="宋体" w:hAnsi="宋体" w:cs="宋体"/>
          <w:szCs w:val="21"/>
        </w:rPr>
      </w:pPr>
      <w:r>
        <w:rPr>
          <w:rFonts w:hint="eastAsia" w:ascii="宋体" w:hAnsi="宋体" w:cs="宋体"/>
          <w:szCs w:val="21"/>
        </w:rPr>
        <w:t>除特殊情形(改造提升、拆除重建等其他)外，必须施行 24小时免费对外开放。</w:t>
      </w:r>
    </w:p>
    <w:p w14:paraId="3ADB452A">
      <w:pPr>
        <w:spacing w:line="360" w:lineRule="auto"/>
        <w:ind w:firstLine="420" w:firstLineChars="200"/>
        <w:rPr>
          <w:rFonts w:ascii="宋体" w:hAnsi="宋体" w:cs="宋体"/>
          <w:szCs w:val="21"/>
        </w:rPr>
      </w:pPr>
      <w:r>
        <w:rPr>
          <w:rFonts w:hint="eastAsia" w:ascii="宋体" w:hAnsi="宋体" w:cs="宋体"/>
          <w:szCs w:val="21"/>
        </w:rPr>
        <w:t>2.2 保洁时间</w:t>
      </w:r>
    </w:p>
    <w:p w14:paraId="1D1146D1">
      <w:pPr>
        <w:spacing w:line="360" w:lineRule="auto"/>
        <w:ind w:firstLine="420" w:firstLineChars="200"/>
        <w:rPr>
          <w:rFonts w:ascii="宋体" w:hAnsi="宋体" w:cs="宋体"/>
          <w:szCs w:val="21"/>
        </w:rPr>
      </w:pPr>
      <w:r>
        <w:rPr>
          <w:rFonts w:hint="eastAsia" w:ascii="宋体" w:hAnsi="宋体" w:cs="宋体"/>
          <w:szCs w:val="21"/>
        </w:rPr>
        <w:t>在规定保洁时段内应有专人进行保洁与服务。公共厕所的保洁时间为16个小时。</w:t>
      </w:r>
    </w:p>
    <w:p w14:paraId="68F30729">
      <w:pPr>
        <w:spacing w:line="360" w:lineRule="auto"/>
        <w:ind w:firstLine="420" w:firstLineChars="200"/>
        <w:rPr>
          <w:rFonts w:ascii="宋体" w:hAnsi="宋体" w:cs="宋体"/>
          <w:szCs w:val="21"/>
        </w:rPr>
      </w:pPr>
      <w:r>
        <w:rPr>
          <w:rFonts w:hint="eastAsia" w:ascii="宋体" w:hAnsi="宋体" w:cs="宋体"/>
          <w:szCs w:val="21"/>
        </w:rPr>
        <w:t>2.3人员要求</w:t>
      </w:r>
    </w:p>
    <w:p w14:paraId="157BA868">
      <w:pPr>
        <w:spacing w:line="360" w:lineRule="auto"/>
        <w:ind w:firstLine="420" w:firstLineChars="200"/>
        <w:rPr>
          <w:rFonts w:ascii="宋体" w:hAnsi="宋体" w:cs="宋体"/>
          <w:szCs w:val="21"/>
        </w:rPr>
      </w:pPr>
      <w:r>
        <w:rPr>
          <w:rFonts w:hint="eastAsia" w:ascii="宋体" w:hAnsi="宋体" w:cs="宋体"/>
          <w:szCs w:val="21"/>
        </w:rPr>
        <w:t>①保洁实施单位统一配发保洁员着装、上岗证件。保洁员需文明用语、礼貌待人。在需要时，应对老弱病残幼等特殊人群提供如厕帮助。</w:t>
      </w:r>
    </w:p>
    <w:p w14:paraId="0A81E7AA">
      <w:pPr>
        <w:spacing w:line="360" w:lineRule="auto"/>
        <w:ind w:firstLine="420" w:firstLineChars="200"/>
        <w:rPr>
          <w:rFonts w:ascii="宋体" w:hAnsi="宋体" w:cs="宋体"/>
          <w:szCs w:val="21"/>
        </w:rPr>
      </w:pPr>
      <w:r>
        <w:rPr>
          <w:rFonts w:hint="eastAsia" w:ascii="宋体" w:hAnsi="宋体" w:cs="宋体"/>
          <w:szCs w:val="21"/>
        </w:rPr>
        <w:t>②保洁员应熟悉公共厕所设施设备的使用，做好日常维护和保养，发现设施破损的，应及时报修。如厕市民有需要时，应向其介绍公共厕所设备的正确使用方法。</w:t>
      </w:r>
    </w:p>
    <w:p w14:paraId="26390D36">
      <w:pPr>
        <w:spacing w:line="360" w:lineRule="auto"/>
        <w:ind w:firstLine="420" w:firstLineChars="200"/>
        <w:rPr>
          <w:rFonts w:ascii="宋体" w:hAnsi="宋体" w:cs="宋体"/>
          <w:szCs w:val="21"/>
        </w:rPr>
      </w:pPr>
      <w:r>
        <w:rPr>
          <w:rFonts w:hint="eastAsia" w:ascii="宋体" w:hAnsi="宋体" w:cs="宋体"/>
          <w:szCs w:val="21"/>
        </w:rPr>
        <w:t>③保洁员不得擅自离岗，如有特殊原因需安排人员代岗。</w:t>
      </w:r>
    </w:p>
    <w:p w14:paraId="2CE945FE">
      <w:pPr>
        <w:spacing w:line="360" w:lineRule="auto"/>
        <w:ind w:firstLine="420" w:firstLineChars="200"/>
        <w:rPr>
          <w:rFonts w:ascii="宋体" w:hAnsi="宋体" w:cs="宋体"/>
          <w:szCs w:val="21"/>
        </w:rPr>
      </w:pPr>
      <w:r>
        <w:rPr>
          <w:rFonts w:hint="eastAsia" w:ascii="宋体" w:hAnsi="宋体" w:cs="宋体"/>
          <w:szCs w:val="21"/>
        </w:rPr>
        <w:t>2.4 水电设施</w:t>
      </w:r>
    </w:p>
    <w:p w14:paraId="43C342B1">
      <w:pPr>
        <w:spacing w:line="360" w:lineRule="auto"/>
        <w:ind w:firstLine="420" w:firstLineChars="200"/>
        <w:rPr>
          <w:rFonts w:ascii="宋体" w:hAnsi="宋体" w:cs="宋体"/>
          <w:szCs w:val="21"/>
        </w:rPr>
      </w:pPr>
      <w:r>
        <w:rPr>
          <w:rFonts w:hint="eastAsia" w:ascii="宋体" w:hAnsi="宋体" w:cs="宋体"/>
          <w:szCs w:val="21"/>
        </w:rPr>
        <w:t>①确保公共厕所供水和供电设施的正常使用，不得无故关闭公共厕所内外照明和供水。</w:t>
      </w:r>
    </w:p>
    <w:p w14:paraId="3DD72788">
      <w:pPr>
        <w:spacing w:line="360" w:lineRule="auto"/>
        <w:ind w:firstLine="420" w:firstLineChars="200"/>
        <w:rPr>
          <w:rFonts w:ascii="宋体" w:hAnsi="宋体" w:cs="宋体"/>
          <w:szCs w:val="21"/>
        </w:rPr>
      </w:pPr>
      <w:r>
        <w:rPr>
          <w:rFonts w:hint="eastAsia" w:ascii="宋体" w:hAnsi="宋体" w:cs="宋体"/>
          <w:szCs w:val="21"/>
        </w:rPr>
        <w:t>②无障碍间(厕位)的紧急呼叫装置应确保正常使用。</w:t>
      </w:r>
    </w:p>
    <w:p w14:paraId="14812CF1">
      <w:pPr>
        <w:spacing w:line="360" w:lineRule="auto"/>
        <w:ind w:firstLine="420" w:firstLineChars="200"/>
        <w:rPr>
          <w:rFonts w:ascii="宋体" w:hAnsi="宋体" w:cs="宋体"/>
          <w:szCs w:val="21"/>
        </w:rPr>
      </w:pPr>
      <w:r>
        <w:rPr>
          <w:rFonts w:hint="eastAsia" w:ascii="宋体" w:hAnsi="宋体" w:cs="宋体"/>
          <w:szCs w:val="21"/>
        </w:rPr>
        <w:t>2.5 应急处置</w:t>
      </w:r>
    </w:p>
    <w:p w14:paraId="70A3621E">
      <w:pPr>
        <w:spacing w:line="360" w:lineRule="auto"/>
        <w:ind w:firstLine="420" w:firstLineChars="200"/>
        <w:rPr>
          <w:rFonts w:ascii="宋体" w:hAnsi="宋体" w:cs="宋体"/>
          <w:szCs w:val="21"/>
        </w:rPr>
      </w:pPr>
      <w:r>
        <w:rPr>
          <w:rFonts w:hint="eastAsia" w:ascii="宋体" w:hAnsi="宋体" w:cs="宋体"/>
          <w:szCs w:val="21"/>
        </w:rPr>
        <w:t>当遇到恶劣天气、停水停电、管道堵塞、人流量剧增等突发事件时，应采取应急服务保障措施，确保公共厕所服务功能的持续、正常。</w:t>
      </w:r>
    </w:p>
    <w:p w14:paraId="7D89467B">
      <w:pPr>
        <w:spacing w:line="360" w:lineRule="auto"/>
        <w:ind w:firstLine="422" w:firstLineChars="200"/>
        <w:rPr>
          <w:rFonts w:ascii="宋体" w:hAnsi="宋体" w:cs="宋体"/>
          <w:b/>
          <w:bCs/>
          <w:szCs w:val="21"/>
        </w:rPr>
      </w:pPr>
      <w:r>
        <w:rPr>
          <w:rFonts w:hint="eastAsia" w:ascii="宋体" w:hAnsi="宋体" w:cs="宋体"/>
          <w:b/>
          <w:bCs/>
          <w:szCs w:val="21"/>
        </w:rPr>
        <w:t>3.标识标牌使用维护</w:t>
      </w:r>
    </w:p>
    <w:p w14:paraId="07B09A08">
      <w:pPr>
        <w:spacing w:line="360" w:lineRule="auto"/>
        <w:ind w:firstLine="420" w:firstLineChars="200"/>
        <w:rPr>
          <w:rFonts w:ascii="宋体" w:hAnsi="宋体" w:cs="宋体"/>
          <w:szCs w:val="21"/>
        </w:rPr>
      </w:pPr>
      <w:r>
        <w:rPr>
          <w:rFonts w:hint="eastAsia" w:ascii="宋体" w:hAnsi="宋体" w:cs="宋体"/>
          <w:szCs w:val="21"/>
        </w:rPr>
        <w:t>3.1 厕所内部不得出现任何带有小广告类型的张贴标语和影响环境整洁的涂鸦广告。</w:t>
      </w:r>
    </w:p>
    <w:p w14:paraId="5E72A18C">
      <w:pPr>
        <w:spacing w:line="360" w:lineRule="auto"/>
        <w:ind w:firstLine="420" w:firstLineChars="200"/>
        <w:rPr>
          <w:rFonts w:ascii="宋体" w:hAnsi="宋体" w:cs="宋体"/>
          <w:szCs w:val="21"/>
        </w:rPr>
      </w:pPr>
      <w:r>
        <w:rPr>
          <w:rFonts w:hint="eastAsia" w:ascii="宋体" w:hAnsi="宋体" w:cs="宋体"/>
          <w:szCs w:val="21"/>
        </w:rPr>
        <w:t>3.2公共厕所标识标牌应保持清洁，无残缺、锈迹、歪斜或脱落。</w:t>
      </w:r>
    </w:p>
    <w:p w14:paraId="314AE136">
      <w:pPr>
        <w:spacing w:line="360" w:lineRule="auto"/>
        <w:ind w:firstLine="422" w:firstLineChars="200"/>
        <w:rPr>
          <w:rFonts w:ascii="宋体" w:hAnsi="宋体" w:cs="宋体"/>
          <w:b/>
          <w:bCs/>
          <w:szCs w:val="21"/>
        </w:rPr>
      </w:pPr>
      <w:r>
        <w:rPr>
          <w:rFonts w:hint="eastAsia" w:ascii="宋体" w:hAnsi="宋体" w:cs="宋体"/>
          <w:b/>
          <w:bCs/>
          <w:szCs w:val="21"/>
        </w:rPr>
        <w:t>4.保洁要求</w:t>
      </w:r>
    </w:p>
    <w:p w14:paraId="48AED816">
      <w:pPr>
        <w:spacing w:line="360" w:lineRule="auto"/>
        <w:ind w:firstLine="420" w:firstLineChars="200"/>
        <w:rPr>
          <w:rFonts w:ascii="宋体" w:hAnsi="宋体" w:cs="宋体"/>
          <w:szCs w:val="21"/>
        </w:rPr>
      </w:pPr>
      <w:r>
        <w:rPr>
          <w:rFonts w:hint="eastAsia" w:ascii="宋体" w:hAnsi="宋体" w:cs="宋体"/>
          <w:szCs w:val="21"/>
        </w:rPr>
        <w:t>4.1 全面保洁和巡回保洁</w:t>
      </w:r>
    </w:p>
    <w:p w14:paraId="18718C35">
      <w:pPr>
        <w:spacing w:line="360" w:lineRule="auto"/>
        <w:ind w:firstLine="420" w:firstLineChars="200"/>
        <w:rPr>
          <w:rFonts w:ascii="宋体" w:hAnsi="宋体" w:cs="宋体"/>
          <w:szCs w:val="21"/>
        </w:rPr>
      </w:pPr>
      <w:r>
        <w:rPr>
          <w:rFonts w:hint="eastAsia" w:ascii="宋体" w:hAnsi="宋体" w:cs="宋体"/>
          <w:szCs w:val="21"/>
        </w:rPr>
        <w:t>①在保洁时间段内，施行一天两次全面清洁，并做好保洁记录。</w:t>
      </w:r>
    </w:p>
    <w:p w14:paraId="39485D43">
      <w:pPr>
        <w:spacing w:line="360" w:lineRule="auto"/>
        <w:ind w:firstLine="396" w:firstLineChars="200"/>
        <w:rPr>
          <w:rFonts w:ascii="宋体" w:hAnsi="宋体" w:cs="宋体"/>
          <w:spacing w:val="-6"/>
          <w:szCs w:val="21"/>
        </w:rPr>
      </w:pPr>
      <w:r>
        <w:rPr>
          <w:rFonts w:hint="eastAsia" w:ascii="宋体" w:hAnsi="宋体" w:cs="宋体"/>
          <w:spacing w:val="-6"/>
          <w:szCs w:val="21"/>
        </w:rPr>
        <w:t>② 在保洁时间段内，除去全面清洁的时间，其他时间段应不间断进行巡回保洁，并做好巡回保洁记录。</w:t>
      </w:r>
    </w:p>
    <w:p w14:paraId="4F4AA656">
      <w:pPr>
        <w:spacing w:line="360" w:lineRule="auto"/>
        <w:ind w:firstLine="420" w:firstLineChars="200"/>
        <w:rPr>
          <w:rFonts w:ascii="宋体" w:hAnsi="宋体" w:cs="宋体"/>
          <w:szCs w:val="21"/>
        </w:rPr>
      </w:pPr>
      <w:r>
        <w:rPr>
          <w:rFonts w:hint="eastAsia" w:ascii="宋体" w:hAnsi="宋体" w:cs="宋体"/>
          <w:szCs w:val="21"/>
        </w:rPr>
        <w:t>4.2 周边环境</w:t>
      </w:r>
    </w:p>
    <w:p w14:paraId="535C256E">
      <w:pPr>
        <w:spacing w:line="360" w:lineRule="auto"/>
        <w:ind w:firstLine="420" w:firstLineChars="200"/>
        <w:rPr>
          <w:rFonts w:ascii="宋体" w:hAnsi="宋体" w:cs="宋体"/>
          <w:szCs w:val="21"/>
        </w:rPr>
      </w:pPr>
      <w:r>
        <w:rPr>
          <w:rFonts w:hint="eastAsia" w:ascii="宋体" w:hAnsi="宋体" w:cs="宋体"/>
          <w:szCs w:val="21"/>
        </w:rPr>
        <w:t>① 根据采购单位要求，公厕周边 3 米内根据环境需求应适当设置绿化带或摆放绿植。</w:t>
      </w:r>
    </w:p>
    <w:p w14:paraId="57E04A63">
      <w:pPr>
        <w:spacing w:line="360" w:lineRule="auto"/>
        <w:ind w:firstLine="420" w:firstLineChars="200"/>
        <w:rPr>
          <w:rFonts w:ascii="宋体" w:hAnsi="宋体" w:cs="宋体"/>
          <w:szCs w:val="21"/>
        </w:rPr>
      </w:pPr>
      <w:r>
        <w:rPr>
          <w:rFonts w:hint="eastAsia" w:ascii="宋体" w:hAnsi="宋体" w:cs="宋体"/>
          <w:szCs w:val="21"/>
        </w:rPr>
        <w:t>② 公共厕所周边环境应整洁有序，无垃圾、粪便、污水、杂草、废土、乱堆乱挂杂物，无黄土裸露，无卫生死角。</w:t>
      </w:r>
    </w:p>
    <w:p w14:paraId="31737DC9">
      <w:pPr>
        <w:spacing w:line="360" w:lineRule="auto"/>
        <w:ind w:firstLine="420" w:firstLineChars="200"/>
        <w:rPr>
          <w:rFonts w:ascii="宋体" w:hAnsi="宋体" w:cs="宋体"/>
          <w:szCs w:val="21"/>
        </w:rPr>
      </w:pPr>
      <w:r>
        <w:rPr>
          <w:rFonts w:hint="eastAsia" w:ascii="宋体" w:hAnsi="宋体" w:cs="宋体"/>
          <w:szCs w:val="21"/>
        </w:rPr>
        <w:t>③ 无障碍通道、台阶、扶手应保持干净整洁，无垃圾、杂物、吊挂，不得有障碍物。</w:t>
      </w:r>
    </w:p>
    <w:p w14:paraId="0408CFF9">
      <w:pPr>
        <w:spacing w:line="360" w:lineRule="auto"/>
        <w:ind w:firstLine="420" w:firstLineChars="200"/>
        <w:rPr>
          <w:rFonts w:ascii="宋体" w:hAnsi="宋体" w:cs="宋体"/>
          <w:szCs w:val="21"/>
        </w:rPr>
      </w:pPr>
      <w:r>
        <w:rPr>
          <w:rFonts w:hint="eastAsia" w:ascii="宋体" w:hAnsi="宋体" w:cs="宋体"/>
          <w:szCs w:val="21"/>
        </w:rPr>
        <w:t>④ 化粪池、贮粪池周围场地应保持整洁、畅通，无垃圾、粪迹、污水，不得有恶臭、蝇蛆。化粪池、贮粪池不得满溢。</w:t>
      </w:r>
    </w:p>
    <w:p w14:paraId="4A83BFED">
      <w:pPr>
        <w:spacing w:line="360" w:lineRule="auto"/>
        <w:ind w:firstLine="420" w:firstLineChars="200"/>
        <w:rPr>
          <w:rFonts w:ascii="宋体" w:hAnsi="宋体" w:cs="宋体"/>
          <w:szCs w:val="21"/>
        </w:rPr>
      </w:pPr>
      <w:r>
        <w:rPr>
          <w:rFonts w:hint="eastAsia" w:ascii="宋体" w:hAnsi="宋体" w:cs="宋体"/>
          <w:szCs w:val="21"/>
        </w:rPr>
        <w:t>4.3 内部环境</w:t>
      </w:r>
    </w:p>
    <w:p w14:paraId="2E2E1B9C">
      <w:pPr>
        <w:spacing w:line="360" w:lineRule="auto"/>
        <w:ind w:firstLine="420" w:firstLineChars="200"/>
        <w:rPr>
          <w:rFonts w:ascii="宋体" w:hAnsi="宋体" w:cs="宋体"/>
          <w:szCs w:val="21"/>
        </w:rPr>
      </w:pPr>
      <w:r>
        <w:rPr>
          <w:rFonts w:hint="eastAsia" w:ascii="宋体" w:hAnsi="宋体" w:cs="宋体"/>
          <w:szCs w:val="21"/>
        </w:rPr>
        <w:t>（1）门窗</w:t>
      </w:r>
    </w:p>
    <w:p w14:paraId="457082B9">
      <w:pPr>
        <w:spacing w:line="360" w:lineRule="auto"/>
        <w:ind w:firstLine="420" w:firstLineChars="200"/>
        <w:rPr>
          <w:rFonts w:ascii="宋体" w:hAnsi="宋体" w:cs="宋体"/>
          <w:szCs w:val="21"/>
        </w:rPr>
      </w:pPr>
      <w:r>
        <w:rPr>
          <w:rFonts w:hint="eastAsia" w:ascii="宋体" w:hAnsi="宋体" w:cs="宋体"/>
          <w:szCs w:val="21"/>
        </w:rPr>
        <w:t>①门正、反面和门把手应洁净，无污迹和吊挂杂物；门缝及闭门器应无积灰、锈蚀。</w:t>
      </w:r>
    </w:p>
    <w:p w14:paraId="12FEBC49">
      <w:pPr>
        <w:spacing w:line="360" w:lineRule="auto"/>
        <w:ind w:firstLine="420" w:firstLineChars="200"/>
        <w:rPr>
          <w:rFonts w:ascii="宋体" w:hAnsi="宋体" w:cs="宋体"/>
          <w:szCs w:val="21"/>
        </w:rPr>
      </w:pPr>
      <w:r>
        <w:rPr>
          <w:rFonts w:hint="eastAsia" w:ascii="宋体" w:hAnsi="宋体" w:cs="宋体"/>
          <w:szCs w:val="21"/>
        </w:rPr>
        <w:t>② 窗户玻璃应干净明亮，窗台、窗框、窗纱、排风扇等处应无垃圾、杂物、蛛网、积灰。</w:t>
      </w:r>
    </w:p>
    <w:p w14:paraId="3EFFE964">
      <w:pPr>
        <w:spacing w:line="360" w:lineRule="auto"/>
        <w:ind w:firstLine="420" w:firstLineChars="200"/>
        <w:rPr>
          <w:rFonts w:ascii="宋体" w:hAnsi="宋体" w:cs="宋体"/>
          <w:szCs w:val="21"/>
        </w:rPr>
      </w:pPr>
      <w:r>
        <w:rPr>
          <w:rFonts w:hint="eastAsia" w:ascii="宋体" w:hAnsi="宋体" w:cs="宋体"/>
          <w:szCs w:val="21"/>
        </w:rPr>
        <w:t>（2）地面</w:t>
      </w:r>
    </w:p>
    <w:p w14:paraId="1A58D84E">
      <w:pPr>
        <w:spacing w:line="360" w:lineRule="auto"/>
        <w:ind w:firstLine="420" w:firstLineChars="200"/>
        <w:rPr>
          <w:rFonts w:ascii="宋体" w:hAnsi="宋体" w:cs="宋体"/>
          <w:szCs w:val="21"/>
        </w:rPr>
      </w:pPr>
      <w:r>
        <w:rPr>
          <w:rFonts w:hint="eastAsia" w:ascii="宋体" w:hAnsi="宋体" w:cs="宋体"/>
          <w:szCs w:val="21"/>
        </w:rPr>
        <w:t>①地面应洁净，无垃圾、污迹、积水、杂物、烟蒂。</w:t>
      </w:r>
    </w:p>
    <w:p w14:paraId="5C1372FD">
      <w:pPr>
        <w:spacing w:line="360" w:lineRule="auto"/>
        <w:ind w:firstLine="420" w:firstLineChars="200"/>
        <w:rPr>
          <w:rFonts w:ascii="宋体" w:hAnsi="宋体" w:cs="宋体"/>
          <w:szCs w:val="21"/>
        </w:rPr>
      </w:pPr>
      <w:r>
        <w:rPr>
          <w:rFonts w:hint="eastAsia" w:ascii="宋体" w:hAnsi="宋体" w:cs="宋体"/>
          <w:szCs w:val="21"/>
        </w:rPr>
        <w:t>（3）厕位</w:t>
      </w:r>
    </w:p>
    <w:p w14:paraId="40F7E3DE">
      <w:pPr>
        <w:spacing w:line="360" w:lineRule="auto"/>
        <w:ind w:firstLine="420" w:firstLineChars="200"/>
        <w:rPr>
          <w:rFonts w:ascii="宋体" w:hAnsi="宋体" w:cs="宋体"/>
          <w:szCs w:val="21"/>
        </w:rPr>
      </w:pPr>
      <w:r>
        <w:rPr>
          <w:rFonts w:hint="eastAsia" w:ascii="宋体" w:hAnsi="宋体" w:cs="宋体"/>
          <w:szCs w:val="21"/>
        </w:rPr>
        <w:t>①蹲便器、座便器外侧应无水锈、粪便、污物；蹲便器、座便器内应洁净，无积粪、堵塞。</w:t>
      </w:r>
    </w:p>
    <w:p w14:paraId="21E20555">
      <w:pPr>
        <w:spacing w:line="360" w:lineRule="auto"/>
        <w:ind w:firstLine="420" w:firstLineChars="200"/>
        <w:rPr>
          <w:rFonts w:ascii="宋体" w:hAnsi="宋体" w:cs="宋体"/>
          <w:szCs w:val="21"/>
        </w:rPr>
      </w:pPr>
      <w:r>
        <w:rPr>
          <w:rFonts w:hint="eastAsia" w:ascii="宋体" w:hAnsi="宋体" w:cs="宋体"/>
          <w:szCs w:val="21"/>
        </w:rPr>
        <w:t>②小便器（槽）洁净，无垃圾、尿垢、水锈、烟蒂，管道沟眼应保持畅通。</w:t>
      </w:r>
    </w:p>
    <w:p w14:paraId="749DA0CC">
      <w:pPr>
        <w:spacing w:line="360" w:lineRule="auto"/>
        <w:ind w:firstLine="420" w:firstLineChars="200"/>
        <w:rPr>
          <w:rFonts w:ascii="宋体" w:hAnsi="宋体" w:cs="宋体"/>
          <w:szCs w:val="21"/>
        </w:rPr>
      </w:pPr>
      <w:r>
        <w:rPr>
          <w:rFonts w:hint="eastAsia" w:ascii="宋体" w:hAnsi="宋体" w:cs="宋体"/>
          <w:szCs w:val="21"/>
        </w:rPr>
        <w:t>③厕位隔断板应洁净，无积灰、污迹、蛛网、乱涂乱画、广告。</w:t>
      </w:r>
    </w:p>
    <w:p w14:paraId="0E44A0F4">
      <w:pPr>
        <w:spacing w:line="360" w:lineRule="auto"/>
        <w:ind w:firstLine="420" w:firstLineChars="200"/>
        <w:rPr>
          <w:rFonts w:ascii="宋体" w:hAnsi="宋体" w:cs="宋体"/>
          <w:szCs w:val="21"/>
        </w:rPr>
      </w:pPr>
      <w:r>
        <w:rPr>
          <w:rFonts w:hint="eastAsia" w:ascii="宋体" w:hAnsi="宋体" w:cs="宋体"/>
          <w:szCs w:val="21"/>
        </w:rPr>
        <w:t>4.4 其他设施</w:t>
      </w:r>
    </w:p>
    <w:p w14:paraId="2E9B7AE7">
      <w:pPr>
        <w:spacing w:line="360" w:lineRule="auto"/>
        <w:ind w:firstLine="420" w:firstLineChars="200"/>
        <w:rPr>
          <w:rFonts w:ascii="宋体" w:hAnsi="宋体" w:cs="宋体"/>
          <w:szCs w:val="21"/>
        </w:rPr>
      </w:pPr>
      <w:r>
        <w:rPr>
          <w:rFonts w:hint="eastAsia" w:ascii="宋体" w:hAnsi="宋体" w:cs="宋体"/>
          <w:szCs w:val="21"/>
        </w:rPr>
        <w:t>① 洗手池及台面、拖把池、搁物台、镜子完好，无积灰、污迹、蛛网、水垢、毛发、杂物、积水。</w:t>
      </w:r>
    </w:p>
    <w:p w14:paraId="4AB96B43">
      <w:pPr>
        <w:spacing w:line="360" w:lineRule="auto"/>
        <w:ind w:firstLine="420" w:firstLineChars="200"/>
        <w:rPr>
          <w:rFonts w:ascii="宋体" w:hAnsi="宋体" w:cs="宋体"/>
          <w:szCs w:val="21"/>
        </w:rPr>
      </w:pPr>
      <w:r>
        <w:rPr>
          <w:rFonts w:hint="eastAsia" w:ascii="宋体" w:hAnsi="宋体" w:cs="宋体"/>
          <w:szCs w:val="21"/>
        </w:rPr>
        <w:t>② 洗手液、烘手器、除臭设备、空调、灯具及开关、拖把架、手纸盒等设备应洁净、无积灰、污迹，使用标识应清晰、无污迹。</w:t>
      </w:r>
    </w:p>
    <w:p w14:paraId="305D713F">
      <w:pPr>
        <w:spacing w:line="360" w:lineRule="auto"/>
        <w:ind w:firstLine="420" w:firstLineChars="200"/>
        <w:rPr>
          <w:rFonts w:ascii="宋体" w:hAnsi="宋体" w:cs="宋体"/>
          <w:szCs w:val="21"/>
        </w:rPr>
      </w:pPr>
      <w:r>
        <w:rPr>
          <w:rFonts w:hint="eastAsia" w:ascii="宋体" w:hAnsi="宋体" w:cs="宋体"/>
          <w:szCs w:val="21"/>
        </w:rPr>
        <w:t>③ 废物篓内废弃物不得超过废物篓的平口。</w:t>
      </w:r>
    </w:p>
    <w:p w14:paraId="605F8351">
      <w:pPr>
        <w:spacing w:line="360" w:lineRule="auto"/>
        <w:ind w:firstLine="420" w:firstLineChars="200"/>
        <w:rPr>
          <w:rFonts w:ascii="宋体" w:hAnsi="宋体" w:cs="宋体"/>
          <w:szCs w:val="21"/>
        </w:rPr>
      </w:pPr>
      <w:r>
        <w:rPr>
          <w:rFonts w:hint="eastAsia" w:ascii="宋体" w:hAnsi="宋体" w:cs="宋体"/>
          <w:szCs w:val="21"/>
        </w:rPr>
        <w:t>4.5 管理房、工具房</w:t>
      </w:r>
    </w:p>
    <w:p w14:paraId="42EC0948">
      <w:pPr>
        <w:spacing w:line="360" w:lineRule="auto"/>
        <w:ind w:firstLine="420" w:firstLineChars="200"/>
        <w:rPr>
          <w:rFonts w:ascii="宋体" w:hAnsi="宋体" w:cs="宋体"/>
          <w:szCs w:val="21"/>
        </w:rPr>
      </w:pPr>
      <w:r>
        <w:rPr>
          <w:rFonts w:hint="eastAsia" w:ascii="宋体" w:hAnsi="宋体" w:cs="宋体"/>
          <w:szCs w:val="21"/>
        </w:rPr>
        <w:t>①公共厕所管理房、工具房由公厕的保洁员日常维护和管理，不应挪作他用，不得饲养宠物、不得有其他物品堆积占用和居住无关人员。</w:t>
      </w:r>
    </w:p>
    <w:p w14:paraId="65B1BA7F">
      <w:pPr>
        <w:spacing w:line="360" w:lineRule="auto"/>
        <w:ind w:firstLine="420" w:firstLineChars="200"/>
        <w:rPr>
          <w:rFonts w:ascii="宋体" w:hAnsi="宋体" w:cs="宋体"/>
          <w:szCs w:val="21"/>
        </w:rPr>
      </w:pPr>
      <w:r>
        <w:rPr>
          <w:rFonts w:hint="eastAsia" w:ascii="宋体" w:hAnsi="宋体" w:cs="宋体"/>
          <w:szCs w:val="21"/>
        </w:rPr>
        <w:t>②公共厕所管理间应保持整洁、卫生、有序；禁止住宿；不得有洗衣、做饭、用餐等与保洁工作无关的行为。</w:t>
      </w:r>
    </w:p>
    <w:p w14:paraId="66131C0C">
      <w:pPr>
        <w:spacing w:line="360" w:lineRule="auto"/>
        <w:ind w:firstLine="420" w:firstLineChars="200"/>
        <w:rPr>
          <w:rFonts w:ascii="宋体" w:hAnsi="宋体" w:cs="宋体"/>
          <w:szCs w:val="21"/>
        </w:rPr>
      </w:pPr>
      <w:r>
        <w:rPr>
          <w:rFonts w:hint="eastAsia" w:ascii="宋体" w:hAnsi="宋体" w:cs="宋体"/>
          <w:szCs w:val="21"/>
        </w:rPr>
        <w:t>③在条件允许的情况下允许保洁人员在管理房、工具房进行短暂休息。</w:t>
      </w:r>
    </w:p>
    <w:p w14:paraId="31001E66">
      <w:pPr>
        <w:spacing w:line="360" w:lineRule="auto"/>
        <w:ind w:firstLine="420" w:firstLineChars="200"/>
        <w:rPr>
          <w:rFonts w:ascii="宋体" w:hAnsi="宋体" w:cs="宋体"/>
          <w:szCs w:val="21"/>
        </w:rPr>
      </w:pPr>
      <w:r>
        <w:rPr>
          <w:rFonts w:hint="eastAsia" w:ascii="宋体" w:hAnsi="宋体" w:cs="宋体"/>
          <w:szCs w:val="21"/>
        </w:rPr>
        <w:t>4.6 内外墙面及屋顶</w:t>
      </w:r>
    </w:p>
    <w:p w14:paraId="393CCA82">
      <w:pPr>
        <w:spacing w:line="360" w:lineRule="auto"/>
        <w:ind w:firstLine="420" w:firstLineChars="200"/>
        <w:rPr>
          <w:rFonts w:ascii="宋体" w:hAnsi="宋体" w:cs="宋体"/>
          <w:szCs w:val="21"/>
        </w:rPr>
      </w:pPr>
      <w:r>
        <w:rPr>
          <w:rFonts w:hint="eastAsia" w:ascii="宋体" w:hAnsi="宋体" w:cs="宋体"/>
          <w:szCs w:val="21"/>
        </w:rPr>
        <w:t>① 内外墙面和天花板应保持洁净，无积灰、污迹、渗漏、蛛网，无乱涂乱画、无张贴，不得安装或吊挂与公厕管理无关的杂物及任何附带商业性质物品。</w:t>
      </w:r>
    </w:p>
    <w:p w14:paraId="160A9B7A">
      <w:pPr>
        <w:spacing w:line="360" w:lineRule="auto"/>
        <w:ind w:firstLine="420" w:firstLineChars="200"/>
        <w:rPr>
          <w:rFonts w:ascii="宋体" w:hAnsi="宋体" w:cs="宋体"/>
          <w:szCs w:val="21"/>
        </w:rPr>
      </w:pPr>
      <w:r>
        <w:rPr>
          <w:rFonts w:hint="eastAsia" w:ascii="宋体" w:hAnsi="宋体" w:cs="宋体"/>
          <w:szCs w:val="21"/>
        </w:rPr>
        <w:t>②屋顶应无垃圾、无杂物并保持雨水管道的畅通，不得设置与公厕管理无关的物品和商业广告牌。</w:t>
      </w:r>
    </w:p>
    <w:p w14:paraId="0326363D">
      <w:pPr>
        <w:spacing w:line="360" w:lineRule="auto"/>
        <w:ind w:firstLine="420" w:firstLineChars="200"/>
        <w:rPr>
          <w:rFonts w:ascii="宋体" w:hAnsi="宋体" w:cs="宋体"/>
          <w:szCs w:val="21"/>
        </w:rPr>
      </w:pPr>
      <w:r>
        <w:rPr>
          <w:rFonts w:hint="eastAsia" w:ascii="宋体" w:hAnsi="宋体" w:cs="宋体"/>
          <w:szCs w:val="21"/>
        </w:rPr>
        <w:t>4.7 作业和工具放置</w:t>
      </w:r>
    </w:p>
    <w:p w14:paraId="32DDFBE8">
      <w:pPr>
        <w:spacing w:line="360" w:lineRule="auto"/>
        <w:ind w:firstLine="420" w:firstLineChars="200"/>
        <w:rPr>
          <w:rFonts w:ascii="宋体" w:hAnsi="宋体" w:cs="宋体"/>
          <w:szCs w:val="21"/>
        </w:rPr>
      </w:pPr>
      <w:r>
        <w:rPr>
          <w:rFonts w:hint="eastAsia" w:ascii="宋体" w:hAnsi="宋体" w:cs="宋体"/>
          <w:szCs w:val="21"/>
        </w:rPr>
        <w:t>① 保洁作业时宜在入口处设置提示牌。雨天和地面拖洗时，应设置防滑标志和铺设防滑垫。</w:t>
      </w:r>
    </w:p>
    <w:p w14:paraId="1789C849">
      <w:pPr>
        <w:spacing w:line="360" w:lineRule="auto"/>
        <w:ind w:firstLine="420" w:firstLineChars="200"/>
        <w:rPr>
          <w:rFonts w:ascii="宋体" w:hAnsi="宋体" w:cs="宋体"/>
          <w:szCs w:val="21"/>
        </w:rPr>
      </w:pPr>
      <w:r>
        <w:rPr>
          <w:rFonts w:hint="eastAsia" w:ascii="宋体" w:hAnsi="宋体" w:cs="宋体"/>
          <w:szCs w:val="21"/>
        </w:rPr>
        <w:t>② 清洁大、小便洁具的拖把、抹布应与清洁其他设施的拖把、抹布区分使用。</w:t>
      </w:r>
    </w:p>
    <w:p w14:paraId="75F68AF3">
      <w:pPr>
        <w:spacing w:line="360" w:lineRule="auto"/>
        <w:ind w:firstLine="420" w:firstLineChars="200"/>
        <w:rPr>
          <w:rFonts w:ascii="宋体" w:hAnsi="宋体" w:cs="宋体"/>
          <w:szCs w:val="21"/>
        </w:rPr>
      </w:pPr>
      <w:r>
        <w:rPr>
          <w:rFonts w:hint="eastAsia" w:ascii="宋体" w:hAnsi="宋体" w:cs="宋体"/>
          <w:szCs w:val="21"/>
        </w:rPr>
        <w:t>③ 保洁作业完毕后，应将作业工具统一放置在工具间内，摆放整齐，拖把、扫把、抹布晾晒时应置于拖把架上。</w:t>
      </w:r>
    </w:p>
    <w:p w14:paraId="5FD5EF66">
      <w:pPr>
        <w:pStyle w:val="47"/>
        <w:spacing w:before="120" w:beforeLines="0" w:after="120" w:afterLines="0"/>
        <w:ind w:firstLine="420" w:firstLineChars="200"/>
        <w:rPr>
          <w:rFonts w:hAnsi="宋体" w:cs="宋体"/>
          <w:kern w:val="2"/>
          <w:sz w:val="21"/>
        </w:rPr>
      </w:pPr>
      <w:r>
        <w:rPr>
          <w:rFonts w:hint="eastAsia" w:hAnsi="宋体" w:cs="宋体"/>
          <w:kern w:val="2"/>
          <w:sz w:val="21"/>
        </w:rPr>
        <w:t>④ 公共厕所内部通道、门口、洗手台不应放置拖把、水桶、抹布、扫把等作业工具和其他影响视觉观瞻及通行的物品。</w:t>
      </w:r>
    </w:p>
    <w:p w14:paraId="0379FCCA">
      <w:pPr>
        <w:spacing w:line="360" w:lineRule="auto"/>
        <w:ind w:firstLine="422" w:firstLineChars="200"/>
        <w:rPr>
          <w:rFonts w:ascii="宋体" w:hAnsi="宋体" w:cs="宋体"/>
          <w:b/>
          <w:bCs/>
          <w:szCs w:val="21"/>
        </w:rPr>
      </w:pPr>
      <w:r>
        <w:rPr>
          <w:rFonts w:hint="eastAsia" w:ascii="宋体" w:hAnsi="宋体" w:cs="宋体"/>
          <w:b/>
          <w:bCs/>
          <w:szCs w:val="21"/>
        </w:rPr>
        <w:t>（七）河道及河道旁人行道保洁要求</w:t>
      </w:r>
    </w:p>
    <w:p w14:paraId="0741B0CE">
      <w:pPr>
        <w:spacing w:line="360" w:lineRule="auto"/>
        <w:ind w:firstLine="420" w:firstLineChars="200"/>
        <w:rPr>
          <w:rFonts w:ascii="宋体" w:hAnsi="宋体" w:cs="宋体"/>
          <w:szCs w:val="21"/>
        </w:rPr>
      </w:pPr>
      <w:r>
        <w:rPr>
          <w:rFonts w:hint="eastAsia" w:ascii="宋体" w:hAnsi="宋体" w:cs="宋体"/>
          <w:szCs w:val="21"/>
        </w:rPr>
        <w:t>1.打捞清理河道漂浮物、枯枝落叶、漂浮垃圾、浮萍浮藻，定期清理水域面上水草，清理岸边废弃物、暴露垃圾、病死动物，保持斜坡堤岸及河道旁人行道干净整洁、无杂物堆积，无青苔、无积水积泥。台风、暴雨及洪水过后，及时清理清除河面漂浮物，冲洗堤岸。收集垃圾日产日清，集中分类、清运至垃圾中转站，不得随意倾倒。</w:t>
      </w:r>
    </w:p>
    <w:p w14:paraId="597707A5">
      <w:pPr>
        <w:spacing w:line="360" w:lineRule="auto"/>
        <w:ind w:firstLine="420" w:firstLineChars="200"/>
        <w:rPr>
          <w:rFonts w:ascii="宋体" w:hAnsi="宋体" w:cs="宋体"/>
          <w:szCs w:val="21"/>
        </w:rPr>
      </w:pPr>
      <w:r>
        <w:rPr>
          <w:rFonts w:hint="eastAsia" w:ascii="宋体" w:hAnsi="宋体" w:cs="宋体"/>
          <w:szCs w:val="21"/>
        </w:rPr>
        <w:t>2.打捞物及动物尸体应采取无害化处理。对保洁区域范围内打捞上船的垃圾进行消毒。</w:t>
      </w:r>
    </w:p>
    <w:p w14:paraId="2BBE0FDB">
      <w:pPr>
        <w:spacing w:line="360" w:lineRule="auto"/>
        <w:ind w:firstLine="422" w:firstLineChars="200"/>
        <w:rPr>
          <w:rFonts w:ascii="宋体" w:hAnsi="宋体" w:cs="宋体"/>
          <w:b/>
          <w:bCs/>
          <w:szCs w:val="21"/>
        </w:rPr>
      </w:pPr>
      <w:r>
        <w:rPr>
          <w:rFonts w:hint="eastAsia" w:ascii="宋体" w:hAnsi="宋体" w:cs="宋体"/>
          <w:b/>
          <w:bCs/>
          <w:szCs w:val="21"/>
        </w:rPr>
        <w:t>（八）绿化带保洁要求</w:t>
      </w:r>
    </w:p>
    <w:p w14:paraId="751208EE">
      <w:pPr>
        <w:spacing w:line="360" w:lineRule="auto"/>
        <w:ind w:firstLine="420" w:firstLineChars="200"/>
        <w:rPr>
          <w:rFonts w:ascii="宋体" w:hAnsi="宋体" w:cs="宋体"/>
          <w:szCs w:val="21"/>
        </w:rPr>
      </w:pPr>
      <w:r>
        <w:rPr>
          <w:rFonts w:hint="eastAsia" w:ascii="宋体" w:hAnsi="宋体" w:cs="宋体"/>
          <w:szCs w:val="21"/>
        </w:rPr>
        <w:t>1.保证绿化带(包括公共绿地、路面及道路两侧绿化带的保洁)干净、无胶袋、烟头、纸屑等垃圾。</w:t>
      </w:r>
    </w:p>
    <w:p w14:paraId="29756EB9">
      <w:pPr>
        <w:spacing w:line="360" w:lineRule="auto"/>
        <w:ind w:firstLine="420" w:firstLineChars="200"/>
        <w:rPr>
          <w:rFonts w:ascii="宋体" w:hAnsi="宋体" w:cs="宋体"/>
          <w:szCs w:val="21"/>
        </w:rPr>
      </w:pPr>
      <w:r>
        <w:rPr>
          <w:rFonts w:hint="eastAsia" w:ascii="宋体" w:hAnsi="宋体" w:cs="宋体"/>
          <w:szCs w:val="21"/>
        </w:rPr>
        <w:t>2.人行道至围墙根杂草进行清理。</w:t>
      </w:r>
    </w:p>
    <w:p w14:paraId="441A2E97">
      <w:pPr>
        <w:spacing w:line="360" w:lineRule="auto"/>
        <w:ind w:firstLine="420" w:firstLineChars="200"/>
        <w:rPr>
          <w:rFonts w:ascii="宋体" w:hAnsi="宋体" w:cs="宋体"/>
          <w:szCs w:val="21"/>
        </w:rPr>
      </w:pPr>
      <w:r>
        <w:rPr>
          <w:rFonts w:hint="eastAsia" w:ascii="宋体" w:hAnsi="宋体" w:cs="宋体"/>
          <w:szCs w:val="21"/>
        </w:rPr>
        <w:t>3.人行道树穴、绿化带无烟蒂、果皮、塑料袋、纸屑、杂草。</w:t>
      </w:r>
    </w:p>
    <w:p w14:paraId="7FB175B2">
      <w:pPr>
        <w:spacing w:line="360" w:lineRule="auto"/>
        <w:ind w:firstLine="420" w:firstLineChars="200"/>
        <w:rPr>
          <w:rFonts w:ascii="宋体" w:hAnsi="宋体" w:cs="宋体"/>
          <w:szCs w:val="21"/>
        </w:rPr>
      </w:pPr>
      <w:r>
        <w:rPr>
          <w:rFonts w:hint="eastAsia" w:ascii="宋体" w:hAnsi="宋体" w:cs="宋体"/>
          <w:szCs w:val="21"/>
        </w:rPr>
        <w:t>4.不能把道路清扫出来的泥沙、落叶等垃圾随意扫入绿化带。</w:t>
      </w:r>
    </w:p>
    <w:p w14:paraId="4169BF6F">
      <w:pPr>
        <w:spacing w:line="360" w:lineRule="auto"/>
        <w:ind w:firstLine="420" w:firstLineChars="200"/>
        <w:rPr>
          <w:rFonts w:ascii="宋体" w:hAnsi="宋体" w:cs="宋体"/>
          <w:szCs w:val="21"/>
        </w:rPr>
      </w:pPr>
      <w:r>
        <w:rPr>
          <w:rFonts w:hint="eastAsia" w:ascii="宋体" w:hAnsi="宋体" w:cs="宋体"/>
          <w:szCs w:val="21"/>
        </w:rPr>
        <w:t>5.保证各类树木及园林绿化设施上无吊挂、拴挂、晾晒物品，无乱贴、乱画、乱刻、乱涂画。</w:t>
      </w:r>
    </w:p>
    <w:p w14:paraId="78BB9BDB">
      <w:pPr>
        <w:spacing w:line="360" w:lineRule="auto"/>
        <w:ind w:firstLine="420" w:firstLineChars="200"/>
        <w:rPr>
          <w:rFonts w:ascii="宋体" w:hAnsi="宋体" w:cs="宋体"/>
          <w:szCs w:val="21"/>
        </w:rPr>
      </w:pPr>
      <w:r>
        <w:rPr>
          <w:rFonts w:hint="eastAsia" w:ascii="宋体" w:hAnsi="宋体" w:cs="宋体"/>
          <w:szCs w:val="21"/>
        </w:rPr>
        <w:t>6.养护管理范围清洁干净，绿坯每天要先清理垃圾再进行其它养护工作，保洁期间无垃圾、无枝叶草屑弃物堆积、无余泥、砖块杂物堆放，绿地内垃圾每日要专人清理。</w:t>
      </w:r>
    </w:p>
    <w:p w14:paraId="5167110D">
      <w:pPr>
        <w:spacing w:line="360" w:lineRule="auto"/>
        <w:ind w:firstLine="422" w:firstLineChars="200"/>
        <w:rPr>
          <w:rFonts w:ascii="宋体" w:hAnsi="宋体" w:cs="宋体"/>
          <w:b/>
          <w:bCs/>
          <w:szCs w:val="21"/>
        </w:rPr>
      </w:pPr>
      <w:r>
        <w:rPr>
          <w:rFonts w:hint="eastAsia" w:ascii="宋体" w:hAnsi="宋体" w:cs="宋体"/>
          <w:b/>
          <w:bCs/>
          <w:szCs w:val="21"/>
        </w:rPr>
        <w:t>（九）市政设施（含垃圾桶、道路护栏、隔离栏、公交站台、站牌、电杆、监控杆、灯箱、广告牌、弱电设施、亭廊、文体设施、导视（导览）牌、固定室外座椅等一切公共室外市政设施）保洁要求</w:t>
      </w:r>
    </w:p>
    <w:p w14:paraId="6D24D2B6">
      <w:pPr>
        <w:spacing w:line="360" w:lineRule="auto"/>
        <w:ind w:firstLine="420" w:firstLineChars="200"/>
        <w:rPr>
          <w:rFonts w:ascii="宋体" w:hAnsi="宋体" w:cs="宋体"/>
          <w:szCs w:val="21"/>
        </w:rPr>
      </w:pPr>
      <w:r>
        <w:rPr>
          <w:rFonts w:hint="eastAsia" w:ascii="宋体" w:hAnsi="宋体" w:cs="宋体"/>
          <w:szCs w:val="21"/>
        </w:rPr>
        <w:t>1.垃圾桶、垃圾分类亭</w:t>
      </w:r>
    </w:p>
    <w:p w14:paraId="0B876B55">
      <w:pPr>
        <w:spacing w:line="360" w:lineRule="auto"/>
        <w:ind w:firstLine="420" w:firstLineChars="200"/>
        <w:rPr>
          <w:rFonts w:ascii="宋体" w:hAnsi="宋体" w:cs="宋体"/>
          <w:szCs w:val="21"/>
        </w:rPr>
      </w:pPr>
      <w:r>
        <w:rPr>
          <w:rFonts w:hint="eastAsia" w:ascii="宋体" w:hAnsi="宋体" w:cs="宋体"/>
          <w:szCs w:val="21"/>
        </w:rPr>
        <w:t>环卫设施（垃圾桶、垃圾分类亭）放置整齐规范、无破损、歪斜、油漆剥落（或严重褪色）现象。环卫设施应定期清洗保持外观清洁；果壳箱、垃圾桶应做到无敞门，无污垢，每日需清洗箱体1次；环卫设施及周边路面每天清洗不少于1次，周围地面无暴露垃圾、污水。</w:t>
      </w:r>
    </w:p>
    <w:p w14:paraId="3053992F">
      <w:pPr>
        <w:spacing w:line="360" w:lineRule="auto"/>
        <w:ind w:firstLine="420" w:firstLineChars="200"/>
        <w:rPr>
          <w:rFonts w:ascii="宋体" w:hAnsi="宋体" w:cs="宋体"/>
          <w:szCs w:val="21"/>
        </w:rPr>
      </w:pPr>
      <w:r>
        <w:rPr>
          <w:rFonts w:hint="eastAsia" w:ascii="宋体" w:hAnsi="宋体" w:cs="宋体"/>
          <w:szCs w:val="21"/>
        </w:rPr>
        <w:t>2.垃圾桶收集、清洗后要归位复原，桶盖(箱门)及时盖上（关闭），做到车走地净。垃圾应日产日清，不过夜，不溢满。禁止环卫工人在果壳箱、垃圾桶内翻捡废品。</w:t>
      </w:r>
    </w:p>
    <w:p w14:paraId="23275152">
      <w:pPr>
        <w:pStyle w:val="3"/>
        <w:ind w:firstLine="420" w:firstLineChars="200"/>
      </w:pPr>
      <w:r>
        <w:rPr>
          <w:rFonts w:hint="eastAsia" w:ascii="宋体" w:hAnsi="宋体" w:cs="宋体"/>
          <w:szCs w:val="21"/>
        </w:rPr>
        <w:t>3.道路（含公路、桥梁）护栏、隔离栏、公交站台、站牌、电杆、监控杆、灯箱、广告牌、弱电设施、亭廊、文体设施、导视（导览）牌、固定室外座椅等一切公共室外市政设施每周按规范清洁不得少于1次，公交站台座椅（如有）每天擦洗1次。</w:t>
      </w:r>
    </w:p>
    <w:p w14:paraId="3F0F3B58">
      <w:pPr>
        <w:spacing w:line="400" w:lineRule="exact"/>
        <w:ind w:firstLine="442" w:firstLineChars="200"/>
        <w:rPr>
          <w:rFonts w:ascii="宋体" w:hAnsi="Calibri" w:cs="宋体"/>
          <w:bCs/>
          <w:sz w:val="22"/>
        </w:rPr>
      </w:pPr>
      <w:r>
        <w:rPr>
          <w:rFonts w:hint="eastAsia" w:ascii="宋体" w:hAnsi="Calibri" w:cs="宋体"/>
          <w:b/>
          <w:sz w:val="22"/>
        </w:rPr>
        <w:t>七、考核管理办法（试行）及奖惩措施</w:t>
      </w:r>
      <w:r>
        <w:rPr>
          <w:rFonts w:hint="eastAsia" w:ascii="宋体" w:hAnsi="Calibri" w:cs="宋体"/>
          <w:bCs/>
          <w:sz w:val="22"/>
        </w:rPr>
        <w:t>：见本部分附件。</w:t>
      </w:r>
    </w:p>
    <w:p w14:paraId="185F32FF">
      <w:pPr>
        <w:adjustRightInd w:val="0"/>
        <w:spacing w:line="400" w:lineRule="atLeast"/>
        <w:ind w:firstLine="433" w:firstLineChars="196"/>
        <w:rPr>
          <w:rFonts w:ascii="宋体" w:hAnsi="宋体" w:cs="宋体"/>
          <w:sz w:val="22"/>
        </w:rPr>
      </w:pPr>
      <w:r>
        <w:rPr>
          <w:rFonts w:hint="eastAsia" w:ascii="宋体" w:hAnsi="Calibri" w:cs="宋体"/>
          <w:b/>
          <w:sz w:val="22"/>
        </w:rPr>
        <w:t>八、商务条款</w:t>
      </w:r>
      <w:r>
        <w:rPr>
          <w:rFonts w:hint="eastAsia" w:ascii="宋体" w:hAnsi="宋体" w:cs="宋体"/>
          <w:sz w:val="22"/>
        </w:rPr>
        <w:t>（▲本部分要求均为实质性要求，任何负偏离都将作无效标处理）</w:t>
      </w:r>
    </w:p>
    <w:p w14:paraId="47E4B7C6">
      <w:pPr>
        <w:adjustRightInd w:val="0"/>
        <w:spacing w:line="400" w:lineRule="atLeast"/>
        <w:ind w:firstLine="431" w:firstLineChars="196"/>
        <w:rPr>
          <w:rFonts w:ascii="宋体" w:hAnsi="宋体" w:cs="宋体"/>
          <w:sz w:val="22"/>
        </w:rPr>
      </w:pPr>
      <w:r>
        <w:rPr>
          <w:rFonts w:hint="eastAsia" w:ascii="宋体" w:hAnsi="宋体" w:cs="宋体"/>
          <w:sz w:val="22"/>
        </w:rPr>
        <w:t>1.服务期限：合同生效后1年</w:t>
      </w:r>
    </w:p>
    <w:p w14:paraId="5784A178">
      <w:pPr>
        <w:adjustRightInd w:val="0"/>
        <w:spacing w:line="400" w:lineRule="atLeast"/>
        <w:ind w:firstLine="431" w:firstLineChars="196"/>
        <w:rPr>
          <w:rFonts w:ascii="宋体" w:hAnsi="宋体" w:cs="宋体"/>
          <w:sz w:val="22"/>
        </w:rPr>
      </w:pPr>
      <w:r>
        <w:rPr>
          <w:rFonts w:hint="eastAsia" w:ascii="宋体" w:hAnsi="宋体" w:cs="宋体"/>
          <w:sz w:val="22"/>
        </w:rPr>
        <w:t>2.履约保证金：合同签订后5个工作日内成交供应商应提供合同总金额1%的履约保证金至采购单位指定账户，供应商以银行、保险公司出具保函形式提交履约保证金的，采购人不得拒收，完成本项目之后15个工作日内无息退还。</w:t>
      </w:r>
    </w:p>
    <w:p w14:paraId="66D1DF89">
      <w:pPr>
        <w:spacing w:line="400" w:lineRule="exact"/>
        <w:ind w:right="20" w:firstLine="440" w:firstLineChars="200"/>
        <w:jc w:val="left"/>
        <w:rPr>
          <w:rFonts w:ascii="宋体" w:hAnsi="Calibri" w:cs="宋体"/>
          <w:sz w:val="22"/>
        </w:rPr>
      </w:pPr>
      <w:r>
        <w:rPr>
          <w:rFonts w:ascii="宋体" w:hAnsi="Calibri" w:cs="宋体"/>
          <w:sz w:val="22"/>
        </w:rPr>
        <w:t>3.</w:t>
      </w:r>
      <w:r>
        <w:rPr>
          <w:rFonts w:hint="eastAsia" w:ascii="宋体" w:hAnsi="Calibri" w:cs="宋体"/>
          <w:sz w:val="22"/>
        </w:rPr>
        <w:t>付款方式：承包款按中标价格按季度支付，采用后付原则，由采购人根据考核奖罚情况（该季度结束后次月</w:t>
      </w:r>
      <w:r>
        <w:rPr>
          <w:rFonts w:ascii="宋体" w:hAnsi="Calibri" w:cs="宋体"/>
          <w:sz w:val="22"/>
        </w:rPr>
        <w:t xml:space="preserve">8 </w:t>
      </w:r>
      <w:r>
        <w:rPr>
          <w:rFonts w:hint="eastAsia" w:ascii="宋体" w:hAnsi="Calibri" w:cs="宋体"/>
          <w:sz w:val="22"/>
        </w:rPr>
        <w:t>日前汇总）增减后，于该季度结束后次月</w:t>
      </w:r>
      <w:r>
        <w:rPr>
          <w:rFonts w:ascii="宋体" w:hAnsi="Calibri" w:cs="宋体"/>
          <w:sz w:val="22"/>
        </w:rPr>
        <w:t>15</w:t>
      </w:r>
      <w:r>
        <w:rPr>
          <w:rFonts w:hint="eastAsia" w:ascii="宋体" w:hAnsi="Calibri" w:cs="宋体"/>
          <w:sz w:val="22"/>
        </w:rPr>
        <w:t>日前将上季度承包款划拨到中标方指定帐户。</w:t>
      </w:r>
    </w:p>
    <w:p w14:paraId="72EB5437">
      <w:pPr>
        <w:spacing w:line="400" w:lineRule="exact"/>
        <w:ind w:firstLine="420" w:firstLineChars="200"/>
      </w:pPr>
      <w:r>
        <w:rPr>
          <w:rFonts w:hint="eastAsia"/>
        </w:rPr>
        <w:t>4.考核奖罚情况：</w:t>
      </w:r>
    </w:p>
    <w:p w14:paraId="088B10B6">
      <w:pPr>
        <w:spacing w:line="400" w:lineRule="exact"/>
        <w:ind w:firstLine="440" w:firstLineChars="200"/>
      </w:pPr>
      <w:r>
        <w:rPr>
          <w:rFonts w:hint="eastAsia" w:ascii="宋体" w:hAnsi="宋体" w:cs="宋体"/>
          <w:kern w:val="0"/>
          <w:sz w:val="22"/>
          <w:szCs w:val="22"/>
        </w:rPr>
        <w:t>（1）当月考核最后得分以当月考核平均分为准，当月考核最后得分分值在85分以上（含85分）全额支付服务费。</w:t>
      </w:r>
    </w:p>
    <w:p w14:paraId="3EE6CEBD">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（2）当月考核最后得分分值低于85分（不含85）的每少一分扣罚</w:t>
      </w:r>
      <w:r>
        <w:rPr>
          <w:rFonts w:ascii="宋体" w:hAnsi="宋体" w:cs="宋体"/>
          <w:kern w:val="0"/>
          <w:sz w:val="22"/>
          <w:szCs w:val="22"/>
        </w:rPr>
        <w:t>1000</w:t>
      </w:r>
      <w:r>
        <w:rPr>
          <w:rFonts w:hint="eastAsia" w:ascii="宋体" w:hAnsi="宋体" w:cs="宋体"/>
          <w:kern w:val="0"/>
          <w:sz w:val="22"/>
          <w:szCs w:val="22"/>
        </w:rPr>
        <w:t>元，80分以下为不合格，</w:t>
      </w:r>
      <w:r>
        <w:rPr>
          <w:rFonts w:ascii="宋体" w:hAnsi="宋体" w:cs="宋体"/>
          <w:kern w:val="0"/>
          <w:sz w:val="22"/>
          <w:szCs w:val="22"/>
        </w:rPr>
        <w:t>8</w:t>
      </w:r>
      <w:r>
        <w:rPr>
          <w:rFonts w:hint="eastAsia" w:ascii="宋体" w:hAnsi="宋体" w:cs="宋体"/>
          <w:kern w:val="0"/>
          <w:sz w:val="22"/>
          <w:szCs w:val="22"/>
        </w:rPr>
        <w:t>0分（不含80）以下的每少一分扣罚</w:t>
      </w:r>
      <w:r>
        <w:rPr>
          <w:rFonts w:ascii="宋体" w:hAnsi="宋体" w:cs="宋体"/>
          <w:kern w:val="0"/>
          <w:sz w:val="22"/>
          <w:szCs w:val="22"/>
        </w:rPr>
        <w:t>2000</w:t>
      </w:r>
      <w:r>
        <w:rPr>
          <w:rFonts w:hint="eastAsia" w:ascii="宋体" w:hAnsi="宋体" w:cs="宋体"/>
          <w:kern w:val="0"/>
          <w:sz w:val="22"/>
          <w:szCs w:val="22"/>
        </w:rPr>
        <w:t>元，直至当月承包款扣完为止，扣罚款在支付当月承包款时直接扣除。</w:t>
      </w:r>
    </w:p>
    <w:p w14:paraId="1D7C8968">
      <w:pPr>
        <w:pStyle w:val="3"/>
        <w:ind w:firstLine="440" w:firstLineChars="200"/>
      </w:pPr>
      <w:r>
        <w:rPr>
          <w:rFonts w:hint="eastAsia" w:ascii="宋体" w:hAnsi="宋体" w:cs="宋体"/>
          <w:kern w:val="0"/>
          <w:sz w:val="22"/>
          <w:szCs w:val="22"/>
        </w:rPr>
        <w:t>（3）</w:t>
      </w:r>
      <w:r>
        <w:rPr>
          <w:rFonts w:hint="eastAsia"/>
        </w:rPr>
        <w:t xml:space="preserve"> 项目负责人到位率为工作日的90%，少一天扣1000，三个月到位率不达标，采购人有权终止承包合同并全额扣罚履约保证金</w:t>
      </w:r>
    </w:p>
    <w:p w14:paraId="44CFB655">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（4）一个年度内二个月考核不合格除上述罚款外追加罚没履约保证金的1</w:t>
      </w:r>
      <w:r>
        <w:rPr>
          <w:rFonts w:ascii="宋体" w:hAnsi="宋体" w:cs="宋体"/>
          <w:kern w:val="0"/>
          <w:sz w:val="22"/>
          <w:szCs w:val="22"/>
        </w:rPr>
        <w:t>0%</w:t>
      </w:r>
      <w:r>
        <w:rPr>
          <w:rFonts w:hint="eastAsia" w:ascii="宋体" w:hAnsi="宋体" w:cs="宋体"/>
          <w:kern w:val="0"/>
          <w:sz w:val="22"/>
          <w:szCs w:val="22"/>
        </w:rPr>
        <w:t>；三个月考核不合格或由于乙方管理不当造成人员重大伤亡，采购人有权终止承包合同并全额扣罚履约保证金。</w:t>
      </w:r>
    </w:p>
    <w:p w14:paraId="7310E626">
      <w:pPr>
        <w:pStyle w:val="3"/>
      </w:pPr>
      <w:r>
        <w:rPr>
          <w:rFonts w:hint="eastAsia" w:ascii="宋体" w:hAnsi="宋体" w:cs="宋体"/>
          <w:kern w:val="0"/>
          <w:sz w:val="22"/>
          <w:szCs w:val="22"/>
        </w:rPr>
        <w:t>5</w:t>
      </w:r>
      <w:r>
        <w:rPr>
          <w:rFonts w:ascii="宋体" w:hAnsi="宋体" w:cs="宋体"/>
          <w:kern w:val="0"/>
          <w:sz w:val="22"/>
          <w:szCs w:val="22"/>
        </w:rPr>
        <w:t>.</w:t>
      </w:r>
      <w:r>
        <w:rPr>
          <w:rFonts w:hint="eastAsia" w:ascii="宋体" w:hAnsi="宋体" w:cs="宋体"/>
          <w:kern w:val="0"/>
          <w:sz w:val="22"/>
          <w:szCs w:val="22"/>
        </w:rPr>
        <w:t>全年考核均合格，镇政府和管辖范围内的行政村对承包进行考核，给予相应的奖励，奖励金额由镇班子研究决定，不超合同价的1%。</w:t>
      </w:r>
    </w:p>
    <w:p w14:paraId="6FB55CCE">
      <w:pPr>
        <w:spacing w:line="400" w:lineRule="exact"/>
        <w:ind w:firstLine="440" w:firstLineChars="200"/>
        <w:jc w:val="left"/>
        <w:rPr>
          <w:rFonts w:ascii="宋体" w:hAnsi="Calibri" w:cs="宋体"/>
          <w:sz w:val="22"/>
        </w:rPr>
      </w:pPr>
      <w:r>
        <w:rPr>
          <w:rFonts w:ascii="宋体" w:hAnsi="Calibri" w:cs="宋体"/>
          <w:sz w:val="22"/>
        </w:rPr>
        <w:t>4.</w:t>
      </w:r>
      <w:r>
        <w:rPr>
          <w:rFonts w:hint="eastAsia" w:ascii="宋体" w:hAnsi="Calibri" w:cs="宋体"/>
          <w:sz w:val="22"/>
        </w:rPr>
        <w:t>▲投标报价</w:t>
      </w:r>
      <w:r>
        <w:rPr>
          <w:rFonts w:ascii="宋体" w:hAnsi="Calibri" w:cs="宋体"/>
          <w:sz w:val="22"/>
        </w:rPr>
        <w:t xml:space="preserve"> </w:t>
      </w:r>
    </w:p>
    <w:p w14:paraId="7EA9FD03">
      <w:pPr>
        <w:spacing w:line="400" w:lineRule="exact"/>
        <w:ind w:firstLine="440" w:firstLineChars="200"/>
        <w:jc w:val="left"/>
        <w:rPr>
          <w:rFonts w:ascii="宋体" w:hAnsi="Calibri" w:cs="宋体"/>
          <w:sz w:val="22"/>
        </w:rPr>
      </w:pPr>
      <w:r>
        <w:rPr>
          <w:rFonts w:hint="eastAsia" w:ascii="宋体" w:hAnsi="Calibri" w:cs="宋体"/>
          <w:sz w:val="22"/>
        </w:rPr>
        <w:t>本项目采用总价包干合同，中标（成交）供应商的投标报价是履行合同的最终价格。投标报价涵盖：①</w:t>
      </w:r>
      <w:r>
        <w:rPr>
          <w:rFonts w:hint="eastAsia" w:ascii="宋体" w:hAnsi="Calibri" w:cs="宋体"/>
          <w:sz w:val="22"/>
          <w:u w:val="single"/>
        </w:rPr>
        <w:t>人员费用（成本）</w:t>
      </w:r>
      <w:r>
        <w:rPr>
          <w:rFonts w:hint="eastAsia" w:ascii="宋体" w:hAnsi="Calibri" w:cs="宋体"/>
          <w:sz w:val="22"/>
        </w:rPr>
        <w:t>【包括人员的基本工资、社会保障（单位）、人身意外伤害险、保洁工具用品等所有费用】；②</w:t>
      </w:r>
      <w:r>
        <w:rPr>
          <w:rFonts w:hint="eastAsia" w:ascii="宋体" w:hAnsi="Calibri" w:cs="宋体"/>
          <w:sz w:val="22"/>
          <w:u w:val="single"/>
        </w:rPr>
        <w:t>车辆、设备费用（成本）</w:t>
      </w:r>
      <w:r>
        <w:rPr>
          <w:rFonts w:hint="eastAsia" w:ascii="宋体" w:hAnsi="Calibri" w:cs="宋体"/>
          <w:sz w:val="22"/>
        </w:rPr>
        <w:t>【包括各种车辆的折旧费、维护保养费、燃料费（水、电、油费）、年检年审费、保险费、清洁保养费、水费、停放费等所有费用】等作业成本；③</w:t>
      </w:r>
      <w:r>
        <w:rPr>
          <w:rFonts w:hint="eastAsia" w:ascii="宋体" w:hAnsi="Calibri" w:cs="宋体"/>
          <w:sz w:val="22"/>
          <w:u w:val="single"/>
        </w:rPr>
        <w:t>管理费用及其他费用</w:t>
      </w:r>
      <w:r>
        <w:rPr>
          <w:rFonts w:hint="eastAsia" w:ascii="宋体" w:hAnsi="Calibri" w:cs="宋体"/>
          <w:sz w:val="22"/>
        </w:rPr>
        <w:t>【含办公费用、企业利润、风险、保险、处理一切伤亡事故等费用】；④</w:t>
      </w:r>
      <w:r>
        <w:rPr>
          <w:rFonts w:hint="eastAsia" w:ascii="宋体" w:hAnsi="Calibri" w:cs="宋体"/>
          <w:sz w:val="22"/>
          <w:u w:val="single"/>
        </w:rPr>
        <w:t>税金费用（成本）</w:t>
      </w:r>
      <w:r>
        <w:rPr>
          <w:rFonts w:hint="eastAsia" w:ascii="宋体" w:hAnsi="Calibri" w:cs="宋体"/>
          <w:sz w:val="22"/>
        </w:rPr>
        <w:t>。</w:t>
      </w:r>
    </w:p>
    <w:p w14:paraId="78B4DAB1">
      <w:pPr>
        <w:spacing w:line="400" w:lineRule="exact"/>
        <w:ind w:firstLine="440" w:firstLineChars="200"/>
        <w:jc w:val="left"/>
        <w:rPr>
          <w:rFonts w:ascii="宋体" w:hAnsi="Calibri" w:cs="宋体"/>
          <w:sz w:val="22"/>
          <w:u w:val="single"/>
        </w:rPr>
      </w:pPr>
      <w:r>
        <w:rPr>
          <w:rFonts w:hint="eastAsia" w:ascii="宋体" w:hAnsi="Calibri" w:cs="宋体"/>
          <w:sz w:val="22"/>
        </w:rPr>
        <w:t>说明：上述报价中</w:t>
      </w:r>
      <w:r>
        <w:rPr>
          <w:rFonts w:hint="eastAsia" w:ascii="宋体" w:hAnsi="Calibri" w:cs="宋体"/>
          <w:sz w:val="22"/>
          <w:u w:val="single"/>
        </w:rPr>
        <w:t>人员费用、车辆费用和税金部分报价为成本部分，投标供应商在报价时不得低于招标文件所列要求；管理费用由供应商根据自身实力报价，但不得为</w:t>
      </w:r>
      <w:r>
        <w:rPr>
          <w:rFonts w:ascii="宋体" w:hAnsi="Calibri" w:cs="宋体"/>
          <w:sz w:val="22"/>
          <w:u w:val="single"/>
        </w:rPr>
        <w:t xml:space="preserve"> 0</w:t>
      </w:r>
      <w:r>
        <w:rPr>
          <w:rFonts w:hint="eastAsia" w:ascii="宋体" w:hAnsi="Calibri" w:cs="宋体"/>
          <w:sz w:val="22"/>
          <w:u w:val="single"/>
        </w:rPr>
        <w:t>。</w:t>
      </w:r>
    </w:p>
    <w:p w14:paraId="51D0B900">
      <w:pPr>
        <w:spacing w:line="400" w:lineRule="exact"/>
        <w:ind w:firstLine="440" w:firstLineChars="200"/>
        <w:jc w:val="left"/>
        <w:rPr>
          <w:rFonts w:ascii="宋体" w:hAnsi="Calibri" w:cs="宋体"/>
          <w:sz w:val="22"/>
          <w:u w:val="single"/>
        </w:rPr>
      </w:pPr>
      <w:r>
        <w:rPr>
          <w:rFonts w:ascii="宋体" w:hAnsi="Calibri" w:cs="宋体"/>
          <w:sz w:val="22"/>
        </w:rPr>
        <w:t>5.</w:t>
      </w:r>
      <w:r>
        <w:rPr>
          <w:rFonts w:hint="eastAsia" w:ascii="宋体" w:hAnsi="Calibri" w:cs="宋体"/>
          <w:sz w:val="22"/>
          <w:u w:val="single"/>
        </w:rPr>
        <w:t>质量要求：符合招标文件要求的相关规定。</w:t>
      </w:r>
    </w:p>
    <w:p w14:paraId="2AB67821">
      <w:pPr>
        <w:autoSpaceDE w:val="0"/>
        <w:autoSpaceDN w:val="0"/>
        <w:spacing w:line="400" w:lineRule="exact"/>
        <w:ind w:firstLine="440" w:firstLineChars="200"/>
        <w:jc w:val="left"/>
        <w:textAlignment w:val="bottom"/>
        <w:rPr>
          <w:rFonts w:ascii="宋体" w:hAnsi="Calibri" w:cs="宋体"/>
          <w:sz w:val="22"/>
        </w:rPr>
      </w:pPr>
      <w:r>
        <w:rPr>
          <w:rFonts w:ascii="宋体" w:hAnsi="Calibri" w:cs="宋体"/>
          <w:sz w:val="22"/>
        </w:rPr>
        <w:t>6.</w:t>
      </w:r>
      <w:r>
        <w:rPr>
          <w:rFonts w:hint="eastAsia" w:ascii="宋体" w:hAnsi="Calibri" w:cs="宋体"/>
          <w:sz w:val="22"/>
        </w:rPr>
        <w:t>本次招标要求的服务人员必须按照《劳动合同法》规定，全部参加社会保险。供应商未按要求在投标报价中包含给服务人员参加法定社会保险费用的，做无效投标处理。</w:t>
      </w:r>
    </w:p>
    <w:p w14:paraId="577C266C">
      <w:pPr>
        <w:autoSpaceDE w:val="0"/>
        <w:autoSpaceDN w:val="0"/>
        <w:spacing w:line="400" w:lineRule="exact"/>
        <w:ind w:firstLine="440" w:firstLineChars="200"/>
        <w:jc w:val="left"/>
        <w:textAlignment w:val="bottom"/>
        <w:rPr>
          <w:rFonts w:ascii="宋体" w:hAnsi="Calibri" w:cs="宋体"/>
          <w:sz w:val="22"/>
        </w:rPr>
      </w:pPr>
      <w:r>
        <w:rPr>
          <w:rFonts w:ascii="宋体" w:hAnsi="Calibri" w:cs="宋体"/>
          <w:sz w:val="22"/>
        </w:rPr>
        <w:t>7.</w:t>
      </w:r>
      <w:r>
        <w:rPr>
          <w:rFonts w:hint="eastAsia" w:ascii="宋体" w:hAnsi="Calibri" w:cs="宋体"/>
          <w:sz w:val="22"/>
        </w:rPr>
        <w:t>法定社会保险费用在合同执行期间单独支付，在每个季度结算时，凭中标（成交）供应商交纳社会保险凭证及银行扣款凭证按实际结算。如果合同执行期间采购人发现中标（成交）供应商未给服务人员交纳法定社会保险，采购人有权拒付合同款且可以终止服务合同并没收履约保证金。</w:t>
      </w:r>
    </w:p>
    <w:p w14:paraId="03115D23">
      <w:pPr>
        <w:rPr>
          <w:rFonts w:ascii="宋体" w:hAnsi="宋体" w:cs="宋体"/>
          <w:sz w:val="22"/>
          <w:szCs w:val="22"/>
        </w:rPr>
      </w:pPr>
      <w:r>
        <w:rPr>
          <w:rFonts w:hint="eastAsia" w:ascii="宋体" w:hAnsi="宋体" w:cs="宋体"/>
          <w:sz w:val="22"/>
          <w:szCs w:val="22"/>
        </w:rPr>
        <w:br w:type="page"/>
      </w:r>
    </w:p>
    <w:p w14:paraId="2A93D5A8">
      <w:pPr>
        <w:jc w:val="center"/>
        <w:outlineLvl w:val="0"/>
        <w:rPr>
          <w:rFonts w:ascii="宋体" w:hAnsi="宋体" w:cs="宋体"/>
          <w:b/>
          <w:sz w:val="32"/>
          <w:szCs w:val="32"/>
          <w:lang w:val="zh-CN"/>
        </w:rPr>
      </w:pPr>
      <w:r>
        <w:rPr>
          <w:rFonts w:hint="eastAsia" w:ascii="宋体" w:hAnsi="宋体" w:cs="宋体"/>
          <w:b/>
          <w:sz w:val="32"/>
          <w:szCs w:val="32"/>
        </w:rPr>
        <w:t>第</w:t>
      </w:r>
      <w:r>
        <w:rPr>
          <w:rFonts w:hint="eastAsia" w:ascii="宋体" w:hAnsi="宋体" w:cs="宋体"/>
          <w:b/>
          <w:sz w:val="32"/>
          <w:szCs w:val="32"/>
          <w:lang w:val="zh-CN"/>
        </w:rPr>
        <w:t>三部分</w:t>
      </w:r>
      <w:r>
        <w:rPr>
          <w:rFonts w:hint="eastAsia" w:ascii="宋体" w:hAnsi="宋体" w:cs="宋体"/>
          <w:b/>
          <w:sz w:val="32"/>
          <w:szCs w:val="32"/>
        </w:rPr>
        <w:t>、</w:t>
      </w:r>
      <w:r>
        <w:rPr>
          <w:rFonts w:hint="eastAsia" w:ascii="宋体" w:hAnsi="宋体" w:cs="宋体"/>
          <w:b/>
          <w:sz w:val="32"/>
          <w:szCs w:val="32"/>
          <w:lang w:val="zh-CN"/>
        </w:rPr>
        <w:t>供应商须知</w:t>
      </w:r>
    </w:p>
    <w:p w14:paraId="76DB10CF">
      <w:pPr>
        <w:autoSpaceDE w:val="0"/>
        <w:autoSpaceDN w:val="0"/>
        <w:adjustRightInd w:val="0"/>
        <w:spacing w:line="450" w:lineRule="atLeast"/>
        <w:ind w:firstLine="442" w:firstLineChars="200"/>
        <w:outlineLvl w:val="1"/>
        <w:rPr>
          <w:rFonts w:ascii="宋体" w:hAnsi="宋体" w:cs="宋体"/>
          <w:b/>
          <w:sz w:val="22"/>
          <w:lang w:val="zh-CN"/>
        </w:rPr>
      </w:pPr>
      <w:bookmarkStart w:id="12" w:name="_Toc9317_WPSOffice_Level2"/>
      <w:r>
        <w:rPr>
          <w:rFonts w:hint="eastAsia" w:ascii="宋体" w:hAnsi="宋体" w:cs="宋体"/>
          <w:b/>
          <w:sz w:val="22"/>
          <w:lang w:val="zh-CN"/>
        </w:rPr>
        <w:t>一、说明</w:t>
      </w:r>
      <w:bookmarkEnd w:id="12"/>
    </w:p>
    <w:p w14:paraId="4DFC8E5C">
      <w:pPr>
        <w:adjustRightInd w:val="0"/>
        <w:spacing w:line="400" w:lineRule="atLeast"/>
        <w:ind w:firstLine="431" w:firstLineChars="196"/>
        <w:rPr>
          <w:rFonts w:ascii="宋体" w:hAnsi="宋体" w:cs="宋体"/>
          <w:sz w:val="22"/>
        </w:rPr>
      </w:pPr>
      <w:r>
        <w:rPr>
          <w:rFonts w:hint="eastAsia" w:ascii="宋体" w:hAnsi="宋体" w:cs="宋体"/>
          <w:sz w:val="22"/>
        </w:rPr>
        <w:t>1.</w:t>
      </w:r>
      <w:r>
        <w:rPr>
          <w:rFonts w:hint="eastAsia" w:ascii="宋体" w:hAnsi="宋体" w:cs="宋体"/>
          <w:bCs/>
          <w:sz w:val="22"/>
        </w:rPr>
        <w:t>供应商必须对所投全部内容进行报价</w:t>
      </w:r>
      <w:r>
        <w:rPr>
          <w:rFonts w:hint="eastAsia" w:ascii="宋体" w:hAnsi="宋体" w:cs="宋体"/>
          <w:sz w:val="22"/>
        </w:rPr>
        <w:t>，只对部分内容进行报价的供应商将按无效投标处理。</w:t>
      </w:r>
    </w:p>
    <w:p w14:paraId="37B929C0">
      <w:pPr>
        <w:adjustRightInd w:val="0"/>
        <w:spacing w:line="400" w:lineRule="atLeast"/>
        <w:ind w:firstLine="431" w:firstLineChars="196"/>
        <w:rPr>
          <w:rFonts w:ascii="宋体" w:hAnsi="宋体" w:cs="宋体"/>
          <w:sz w:val="22"/>
        </w:rPr>
      </w:pPr>
      <w:r>
        <w:rPr>
          <w:rFonts w:hint="eastAsia" w:ascii="宋体" w:hAnsi="宋体" w:cs="宋体"/>
          <w:sz w:val="22"/>
        </w:rPr>
        <w:t>2.无论投标过程中的作法和结果如何，供应商自行承担投标活动中所发生的全部费用；采购人有权选择供应商的供货和服务范围。</w:t>
      </w:r>
    </w:p>
    <w:p w14:paraId="3D54A8BA">
      <w:pPr>
        <w:adjustRightInd w:val="0"/>
        <w:spacing w:line="400" w:lineRule="atLeast"/>
        <w:ind w:firstLine="431" w:firstLineChars="196"/>
        <w:rPr>
          <w:rFonts w:ascii="宋体" w:hAnsi="宋体" w:cs="宋体"/>
          <w:sz w:val="22"/>
        </w:rPr>
      </w:pPr>
      <w:r>
        <w:rPr>
          <w:rFonts w:hint="eastAsia" w:ascii="宋体" w:hAnsi="宋体" w:cs="宋体"/>
          <w:sz w:val="22"/>
        </w:rPr>
        <w:t>3.安全生产</w:t>
      </w:r>
    </w:p>
    <w:p w14:paraId="04FB1812">
      <w:pPr>
        <w:adjustRightInd w:val="0"/>
        <w:spacing w:line="400" w:lineRule="atLeast"/>
        <w:ind w:firstLine="431" w:firstLineChars="196"/>
        <w:rPr>
          <w:rFonts w:ascii="宋体" w:hAnsi="宋体" w:cs="宋体"/>
          <w:sz w:val="22"/>
        </w:rPr>
      </w:pPr>
      <w:r>
        <w:rPr>
          <w:rFonts w:hint="eastAsia" w:ascii="宋体" w:hAnsi="宋体" w:cs="宋体"/>
          <w:sz w:val="22"/>
        </w:rPr>
        <w:t>在招标及合同执行过程中，供应商应承担由于其行为所造成的人身伤害、财产损失或损坏的责任，无论何种原因所造成，采购人均不负责。</w:t>
      </w:r>
    </w:p>
    <w:p w14:paraId="66B95C0B">
      <w:pPr>
        <w:adjustRightInd w:val="0"/>
        <w:spacing w:line="400" w:lineRule="atLeast"/>
        <w:ind w:firstLine="431" w:firstLineChars="196"/>
        <w:rPr>
          <w:rFonts w:ascii="宋体" w:hAnsi="宋体" w:cs="宋体"/>
          <w:sz w:val="22"/>
        </w:rPr>
      </w:pPr>
      <w:r>
        <w:rPr>
          <w:rFonts w:hint="eastAsia" w:ascii="宋体" w:hAnsi="宋体" w:cs="宋体"/>
          <w:sz w:val="22"/>
        </w:rPr>
        <w:t>4.知识产权</w:t>
      </w:r>
    </w:p>
    <w:p w14:paraId="2C9A8722">
      <w:pPr>
        <w:adjustRightInd w:val="0"/>
        <w:spacing w:line="400" w:lineRule="atLeast"/>
        <w:ind w:firstLine="431" w:firstLineChars="196"/>
        <w:rPr>
          <w:rFonts w:ascii="宋体" w:hAnsi="宋体" w:cs="宋体"/>
          <w:sz w:val="22"/>
        </w:rPr>
      </w:pPr>
      <w:r>
        <w:rPr>
          <w:rFonts w:hint="eastAsia" w:ascii="宋体" w:hAnsi="宋体" w:cs="宋体"/>
          <w:sz w:val="22"/>
        </w:rPr>
        <w:t>4.1供应商应保证，采购人在中华人民共和国使用货物和服务的任何一部分时，免受第三方提出侵犯其专利权、商标权或其它知识产权的起诉。</w:t>
      </w:r>
    </w:p>
    <w:p w14:paraId="1A3995F5">
      <w:pPr>
        <w:adjustRightInd w:val="0"/>
        <w:spacing w:line="400" w:lineRule="atLeast"/>
        <w:ind w:firstLine="431" w:firstLineChars="196"/>
        <w:rPr>
          <w:rFonts w:ascii="宋体" w:hAnsi="宋体" w:cs="宋体"/>
          <w:sz w:val="22"/>
        </w:rPr>
      </w:pPr>
      <w:r>
        <w:rPr>
          <w:rFonts w:hint="eastAsia" w:ascii="宋体" w:hAnsi="宋体" w:cs="宋体"/>
          <w:sz w:val="22"/>
        </w:rPr>
        <w:t>4.2投标人应对采购人在使用该产品（服务）时所涉及到的专利权负责，不损害采购人的利益。</w:t>
      </w:r>
    </w:p>
    <w:p w14:paraId="02864CA8">
      <w:pPr>
        <w:adjustRightInd w:val="0"/>
        <w:spacing w:line="400" w:lineRule="atLeast"/>
        <w:ind w:firstLine="431" w:firstLineChars="196"/>
        <w:rPr>
          <w:rFonts w:ascii="宋体" w:hAnsi="宋体" w:cs="宋体"/>
          <w:sz w:val="22"/>
        </w:rPr>
      </w:pPr>
      <w:r>
        <w:rPr>
          <w:rFonts w:hint="eastAsia" w:ascii="宋体" w:hAnsi="宋体" w:cs="宋体"/>
          <w:sz w:val="22"/>
        </w:rPr>
        <w:t>4.3报价应包括所有应支付的对专利权和版权、设计或其他知识产权而需要向其他方支付的版税。</w:t>
      </w:r>
    </w:p>
    <w:p w14:paraId="6EF483FF">
      <w:pPr>
        <w:adjustRightInd w:val="0"/>
        <w:spacing w:line="400" w:lineRule="atLeast"/>
        <w:ind w:firstLine="431" w:firstLineChars="196"/>
        <w:rPr>
          <w:rFonts w:ascii="宋体" w:hAnsi="宋体" w:cs="宋体"/>
          <w:sz w:val="22"/>
        </w:rPr>
      </w:pPr>
      <w:r>
        <w:rPr>
          <w:rFonts w:hint="eastAsia" w:ascii="宋体" w:hAnsi="宋体" w:cs="宋体"/>
          <w:sz w:val="22"/>
        </w:rPr>
        <w:t>4.4投标人提供得货物（服务）中如使用其他公司的相关专利，应在标书中出示相关授权，如未出示但使用了其他公司的专利，导致供应商中标(成交)而引起相关诉讼，由投标人承担。</w:t>
      </w:r>
    </w:p>
    <w:p w14:paraId="7F9E95C0">
      <w:pPr>
        <w:adjustRightInd w:val="0"/>
        <w:spacing w:line="400" w:lineRule="atLeast"/>
        <w:ind w:firstLine="431" w:firstLineChars="196"/>
        <w:rPr>
          <w:rFonts w:ascii="宋体" w:hAnsi="宋体" w:cs="宋体"/>
          <w:sz w:val="22"/>
          <w:lang w:val="zh-CN"/>
        </w:rPr>
      </w:pPr>
      <w:r>
        <w:rPr>
          <w:rFonts w:hint="eastAsia" w:ascii="宋体" w:hAnsi="宋体" w:cs="宋体"/>
          <w:sz w:val="22"/>
        </w:rPr>
        <w:t>5.</w:t>
      </w:r>
      <w:r>
        <w:rPr>
          <w:rFonts w:hint="eastAsia" w:ascii="宋体" w:hAnsi="宋体" w:cs="宋体"/>
          <w:sz w:val="22"/>
          <w:lang w:val="zh-CN"/>
        </w:rPr>
        <w:t>单位负责人为同一人或者存在直接控股、管理关系的不同供应商，不得参加同一合同项下的国企采购活动。如在评标过程中发现供应商间存在上述关系，评审小组可以对存在上述关系的供应商做无效投标处理。</w:t>
      </w:r>
    </w:p>
    <w:p w14:paraId="3D9DDE27">
      <w:pPr>
        <w:adjustRightInd w:val="0"/>
        <w:spacing w:line="400" w:lineRule="atLeast"/>
        <w:ind w:firstLine="431" w:firstLineChars="196"/>
        <w:rPr>
          <w:rFonts w:ascii="宋体" w:hAnsi="宋体" w:cs="宋体"/>
          <w:sz w:val="22"/>
          <w:lang w:val="zh-CN"/>
        </w:rPr>
      </w:pPr>
      <w:r>
        <w:rPr>
          <w:rFonts w:hint="eastAsia" w:ascii="宋体" w:hAnsi="宋体" w:cs="宋体"/>
          <w:sz w:val="22"/>
        </w:rPr>
        <w:t>6.</w:t>
      </w:r>
      <w:r>
        <w:rPr>
          <w:rFonts w:hint="eastAsia" w:ascii="宋体" w:hAnsi="宋体" w:cs="宋体"/>
          <w:sz w:val="22"/>
          <w:lang w:val="zh-CN"/>
        </w:rPr>
        <w:t>为采购项目提供整体设计、规范编制或者项目管理、监理、检测等服务的供应商，不得再参加该采购项目的其他采购活动。</w:t>
      </w:r>
    </w:p>
    <w:p w14:paraId="06D20F21">
      <w:pPr>
        <w:autoSpaceDE w:val="0"/>
        <w:autoSpaceDN w:val="0"/>
        <w:adjustRightInd w:val="0"/>
        <w:spacing w:line="400" w:lineRule="atLeast"/>
        <w:ind w:firstLine="440" w:firstLineChars="200"/>
        <w:textAlignment w:val="bottom"/>
        <w:outlineLvl w:val="2"/>
        <w:rPr>
          <w:rFonts w:ascii="宋体" w:hAnsi="宋体" w:cs="宋体"/>
          <w:b/>
          <w:sz w:val="22"/>
        </w:rPr>
      </w:pPr>
      <w:r>
        <w:rPr>
          <w:rFonts w:hint="eastAsia" w:ascii="宋体" w:hAnsi="宋体" w:cs="宋体"/>
          <w:sz w:val="22"/>
        </w:rPr>
        <w:t>7</w:t>
      </w:r>
      <w:r>
        <w:rPr>
          <w:rFonts w:hint="eastAsia" w:ascii="宋体" w:hAnsi="宋体" w:cs="宋体"/>
          <w:sz w:val="22"/>
          <w:lang w:val="zh-CN"/>
        </w:rPr>
        <w:t>.</w:t>
      </w:r>
      <w:r>
        <w:rPr>
          <w:rFonts w:hint="eastAsia" w:ascii="宋体" w:hAnsi="宋体" w:cs="宋体"/>
          <w:b/>
          <w:sz w:val="22"/>
        </w:rPr>
        <w:t>▲供应商须具有良好的商业信誉：</w:t>
      </w:r>
    </w:p>
    <w:p w14:paraId="3E3736C0">
      <w:pPr>
        <w:autoSpaceDE w:val="0"/>
        <w:autoSpaceDN w:val="0"/>
        <w:adjustRightInd w:val="0"/>
        <w:spacing w:line="400" w:lineRule="atLeast"/>
        <w:ind w:firstLine="442" w:firstLineChars="200"/>
        <w:textAlignment w:val="bottom"/>
        <w:rPr>
          <w:rFonts w:ascii="宋体" w:hAnsi="宋体" w:cs="宋体"/>
          <w:b/>
          <w:sz w:val="22"/>
          <w:u w:val="single"/>
        </w:rPr>
      </w:pPr>
      <w:r>
        <w:rPr>
          <w:rFonts w:hint="eastAsia" w:ascii="宋体" w:hAnsi="宋体" w:cs="宋体"/>
          <w:b/>
          <w:sz w:val="22"/>
          <w:u w:val="single"/>
        </w:rPr>
        <w:t>1）供应商在全国企业信用信息公示系统网：（http://gsxt.saic.gov.cn/）无严重违法企业记录。</w:t>
      </w:r>
    </w:p>
    <w:p w14:paraId="53A02E37">
      <w:pPr>
        <w:autoSpaceDE w:val="0"/>
        <w:autoSpaceDN w:val="0"/>
        <w:adjustRightInd w:val="0"/>
        <w:spacing w:line="400" w:lineRule="atLeast"/>
        <w:ind w:firstLine="442" w:firstLineChars="200"/>
        <w:textAlignment w:val="bottom"/>
        <w:rPr>
          <w:rFonts w:ascii="宋体" w:hAnsi="宋体" w:cs="宋体"/>
          <w:b/>
          <w:sz w:val="22"/>
          <w:u w:val="single"/>
        </w:rPr>
      </w:pPr>
      <w:r>
        <w:rPr>
          <w:rFonts w:hint="eastAsia" w:ascii="宋体" w:hAnsi="宋体" w:cs="宋体"/>
          <w:b/>
          <w:sz w:val="22"/>
          <w:u w:val="single"/>
        </w:rPr>
        <w:t>2）供应商在中国执行信息公开网（http://zxgk.court.gov.cn/shixin/）无失信信息记录。</w:t>
      </w:r>
    </w:p>
    <w:p w14:paraId="41DCFFFD">
      <w:pPr>
        <w:autoSpaceDE w:val="0"/>
        <w:autoSpaceDN w:val="0"/>
        <w:adjustRightInd w:val="0"/>
        <w:spacing w:line="400" w:lineRule="atLeast"/>
        <w:ind w:firstLine="442" w:firstLineChars="200"/>
        <w:textAlignment w:val="bottom"/>
        <w:rPr>
          <w:rFonts w:ascii="宋体" w:hAnsi="宋体" w:cs="宋体"/>
          <w:b/>
          <w:sz w:val="22"/>
          <w:u w:val="single"/>
        </w:rPr>
      </w:pPr>
      <w:r>
        <w:rPr>
          <w:rFonts w:hint="eastAsia" w:ascii="宋体" w:hAnsi="宋体" w:cs="宋体"/>
          <w:b/>
          <w:sz w:val="22"/>
          <w:u w:val="single"/>
        </w:rPr>
        <w:t>3）供应商在中国政府采购网（http://www.ccgp.gov.cn/cr/list）无严重违法行为记录。</w:t>
      </w:r>
    </w:p>
    <w:p w14:paraId="6237BB75">
      <w:pPr>
        <w:widowControl/>
        <w:snapToGrid w:val="0"/>
        <w:spacing w:line="400" w:lineRule="atLeast"/>
        <w:ind w:left="437" w:leftChars="208"/>
        <w:jc w:val="left"/>
        <w:rPr>
          <w:rFonts w:ascii="宋体" w:hAnsi="宋体" w:cs="宋体"/>
          <w:b/>
          <w:sz w:val="22"/>
          <w:u w:val="single"/>
        </w:rPr>
      </w:pPr>
      <w:r>
        <w:rPr>
          <w:rFonts w:hint="eastAsia" w:ascii="宋体" w:hAnsi="宋体" w:cs="宋体"/>
          <w:b/>
          <w:sz w:val="22"/>
          <w:u w:val="single"/>
        </w:rPr>
        <w:t>4）未被各级财政部门列入政府采购黑名单或被各级财政部门禁止参加政府采购项目投标。</w:t>
      </w:r>
      <w:r>
        <w:rPr>
          <w:rFonts w:hint="eastAsia" w:ascii="宋体" w:hAnsi="宋体" w:cs="宋体"/>
          <w:sz w:val="22"/>
        </w:rPr>
        <w:t>▲</w:t>
      </w:r>
      <w:r>
        <w:rPr>
          <w:rFonts w:hint="eastAsia" w:ascii="宋体" w:hAnsi="宋体" w:cs="宋体"/>
          <w:b/>
          <w:sz w:val="22"/>
          <w:u w:val="single"/>
        </w:rPr>
        <w:t>如供应商有上述情形并参与本项目投标的，一经查实，其投标做无效投标处理。</w:t>
      </w:r>
    </w:p>
    <w:p w14:paraId="3FF2E098">
      <w:pPr>
        <w:widowControl/>
        <w:snapToGrid w:val="0"/>
        <w:spacing w:line="380" w:lineRule="exact"/>
        <w:ind w:firstLine="440" w:firstLineChars="200"/>
        <w:rPr>
          <w:rFonts w:ascii="宋体" w:hAnsi="宋体" w:cs="宋体"/>
          <w:bCs/>
          <w:sz w:val="22"/>
          <w:u w:val="single"/>
        </w:rPr>
      </w:pPr>
      <w:r>
        <w:rPr>
          <w:rFonts w:hint="eastAsia" w:ascii="宋体" w:hAnsi="宋体" w:cs="宋体"/>
          <w:bCs/>
          <w:sz w:val="22"/>
        </w:rPr>
        <w:t>8.</w:t>
      </w:r>
      <w:r>
        <w:rPr>
          <w:rFonts w:hint="eastAsia" w:ascii="宋体" w:hAnsi="宋体" w:cs="宋体"/>
          <w:bCs/>
          <w:sz w:val="22"/>
          <w:u w:val="single"/>
        </w:rPr>
        <w:t>本项目采用资格后审，符合资格要求的供应商均可在本公告附件下载招标文件，并按招标文件规定的时间、地点递交投标文件（招标文件下载网址 ：浙江政府采购网（http://www.zjzfcg.gov.cn/）或泰顺县人民政府 县公共资源交易中心网站（http://122.228.219.161/TPFront/）,供应商须在投标截止前自行查看是否有补充、更正文件，并按补充、更正文件要求投标，否则责任自负。</w:t>
      </w:r>
    </w:p>
    <w:p w14:paraId="6F30FEDE">
      <w:pPr>
        <w:autoSpaceDE w:val="0"/>
        <w:autoSpaceDN w:val="0"/>
        <w:adjustRightInd w:val="0"/>
        <w:spacing w:line="400" w:lineRule="atLeast"/>
        <w:ind w:firstLine="442" w:firstLineChars="200"/>
        <w:outlineLvl w:val="1"/>
        <w:rPr>
          <w:rFonts w:ascii="宋体" w:hAnsi="宋体" w:cs="宋体"/>
          <w:b/>
          <w:sz w:val="22"/>
          <w:lang w:val="zh-CN"/>
        </w:rPr>
      </w:pPr>
      <w:bookmarkStart w:id="13" w:name="_Toc6226_WPSOffice_Level2"/>
      <w:r>
        <w:rPr>
          <w:rFonts w:hint="eastAsia" w:ascii="宋体" w:hAnsi="宋体" w:cs="宋体"/>
          <w:b/>
          <w:sz w:val="22"/>
        </w:rPr>
        <w:t>二</w:t>
      </w:r>
      <w:r>
        <w:rPr>
          <w:rFonts w:hint="eastAsia" w:ascii="宋体" w:hAnsi="宋体" w:cs="宋体"/>
          <w:b/>
          <w:sz w:val="22"/>
          <w:lang w:val="zh-CN"/>
        </w:rPr>
        <w:t>、</w:t>
      </w:r>
      <w:bookmarkEnd w:id="13"/>
      <w:r>
        <w:rPr>
          <w:rFonts w:hint="eastAsia" w:ascii="宋体" w:hAnsi="宋体" w:cs="宋体"/>
          <w:b/>
          <w:sz w:val="22"/>
          <w:lang w:val="zh-CN"/>
        </w:rPr>
        <w:t>招标文件</w:t>
      </w:r>
    </w:p>
    <w:p w14:paraId="66009568">
      <w:pPr>
        <w:spacing w:line="400" w:lineRule="atLeast"/>
        <w:ind w:firstLine="440" w:firstLineChars="200"/>
        <w:rPr>
          <w:rFonts w:ascii="宋体" w:hAnsi="宋体" w:cs="宋体"/>
          <w:sz w:val="22"/>
        </w:rPr>
      </w:pPr>
      <w:bookmarkStart w:id="14" w:name="_Toc24610_WPSOffice_Level3"/>
      <w:r>
        <w:rPr>
          <w:rFonts w:hint="eastAsia" w:ascii="宋体" w:hAnsi="宋体" w:cs="宋体"/>
          <w:sz w:val="22"/>
          <w:lang w:val="zh-CN"/>
        </w:rPr>
        <w:t>1.</w:t>
      </w:r>
      <w:bookmarkEnd w:id="14"/>
      <w:r>
        <w:rPr>
          <w:rFonts w:hint="eastAsia" w:ascii="宋体" w:hAnsi="宋体" w:cs="宋体"/>
          <w:sz w:val="22"/>
          <w:lang w:val="zh-CN"/>
        </w:rPr>
        <w:t>招标文件</w:t>
      </w:r>
    </w:p>
    <w:p w14:paraId="7D7417D8">
      <w:pPr>
        <w:autoSpaceDE w:val="0"/>
        <w:autoSpaceDN w:val="0"/>
        <w:adjustRightInd w:val="0"/>
        <w:spacing w:line="400" w:lineRule="atLeast"/>
        <w:ind w:firstLine="440" w:firstLineChars="200"/>
        <w:rPr>
          <w:rFonts w:ascii="宋体" w:hAnsi="宋体" w:cs="宋体"/>
          <w:sz w:val="22"/>
          <w:lang w:val="zh-CN"/>
        </w:rPr>
      </w:pPr>
      <w:r>
        <w:rPr>
          <w:rFonts w:hint="eastAsia" w:ascii="宋体" w:hAnsi="宋体" w:cs="宋体"/>
          <w:sz w:val="22"/>
          <w:lang w:val="zh-CN"/>
        </w:rPr>
        <w:t>1.1</w:t>
      </w:r>
      <w:r>
        <w:rPr>
          <w:rFonts w:hint="eastAsia" w:ascii="宋体" w:hAnsi="宋体" w:cs="宋体"/>
          <w:sz w:val="22"/>
        </w:rPr>
        <w:t xml:space="preserve"> </w:t>
      </w:r>
      <w:r>
        <w:rPr>
          <w:rFonts w:hint="eastAsia" w:ascii="宋体" w:hAnsi="宋体" w:cs="宋体"/>
          <w:sz w:val="22"/>
          <w:lang w:val="zh-CN"/>
        </w:rPr>
        <w:t>招标文件的发放</w:t>
      </w:r>
    </w:p>
    <w:p w14:paraId="6CE5945D">
      <w:pPr>
        <w:autoSpaceDE w:val="0"/>
        <w:autoSpaceDN w:val="0"/>
        <w:adjustRightInd w:val="0"/>
        <w:spacing w:line="400" w:lineRule="atLeast"/>
        <w:ind w:firstLine="440" w:firstLineChars="200"/>
        <w:rPr>
          <w:rFonts w:ascii="宋体" w:hAnsi="宋体" w:cs="宋体"/>
          <w:sz w:val="22"/>
          <w:lang w:val="zh-CN"/>
        </w:rPr>
      </w:pPr>
      <w:r>
        <w:rPr>
          <w:rFonts w:hint="eastAsia" w:ascii="宋体" w:hAnsi="宋体" w:cs="宋体"/>
          <w:sz w:val="22"/>
          <w:lang w:val="zh-CN"/>
        </w:rPr>
        <w:t>本项目投标供应商直接</w:t>
      </w:r>
      <w:r>
        <w:rPr>
          <w:rFonts w:hint="eastAsia" w:ascii="宋体" w:hAnsi="宋体" w:cs="宋体"/>
          <w:sz w:val="22"/>
        </w:rPr>
        <w:t>在</w:t>
      </w:r>
      <w:r>
        <w:rPr>
          <w:rFonts w:hint="eastAsia" w:ascii="宋体" w:hAnsi="宋体" w:cs="宋体"/>
          <w:sz w:val="22"/>
          <w:lang w:val="zh-CN"/>
        </w:rPr>
        <w:t>网上</w:t>
      </w:r>
      <w:r>
        <w:rPr>
          <w:rFonts w:hint="eastAsia" w:ascii="宋体" w:hAnsi="宋体" w:cs="宋体"/>
          <w:sz w:val="22"/>
        </w:rPr>
        <w:t>下载采购</w:t>
      </w:r>
      <w:r>
        <w:rPr>
          <w:rFonts w:hint="eastAsia" w:ascii="宋体" w:hAnsi="宋体" w:cs="宋体"/>
          <w:sz w:val="22"/>
          <w:lang w:val="zh-CN"/>
        </w:rPr>
        <w:t>文件。</w:t>
      </w:r>
    </w:p>
    <w:p w14:paraId="4644DB7D">
      <w:pPr>
        <w:autoSpaceDE w:val="0"/>
        <w:autoSpaceDN w:val="0"/>
        <w:adjustRightInd w:val="0"/>
        <w:spacing w:line="400" w:lineRule="atLeast"/>
        <w:ind w:firstLine="440" w:firstLineChars="200"/>
        <w:textAlignment w:val="bottom"/>
        <w:outlineLvl w:val="1"/>
        <w:rPr>
          <w:rFonts w:ascii="宋体" w:hAnsi="宋体" w:cs="宋体"/>
          <w:sz w:val="22"/>
        </w:rPr>
      </w:pPr>
      <w:r>
        <w:rPr>
          <w:rFonts w:hint="eastAsia" w:ascii="宋体" w:hAnsi="宋体" w:cs="宋体"/>
          <w:sz w:val="22"/>
          <w:lang w:val="zh-CN"/>
        </w:rPr>
        <w:t>1.2</w:t>
      </w:r>
      <w:r>
        <w:rPr>
          <w:rFonts w:hint="eastAsia" w:ascii="宋体" w:hAnsi="宋体" w:cs="宋体"/>
          <w:sz w:val="22"/>
        </w:rPr>
        <w:t xml:space="preserve"> 招标文件约束力</w:t>
      </w:r>
    </w:p>
    <w:p w14:paraId="0B702E08">
      <w:pPr>
        <w:autoSpaceDE w:val="0"/>
        <w:autoSpaceDN w:val="0"/>
        <w:adjustRightInd w:val="0"/>
        <w:spacing w:line="400" w:lineRule="atLeast"/>
        <w:ind w:firstLine="442" w:firstLineChars="200"/>
        <w:rPr>
          <w:rFonts w:ascii="宋体" w:hAnsi="宋体" w:cs="宋体"/>
          <w:b/>
          <w:sz w:val="22"/>
          <w:u w:val="single"/>
          <w:lang w:val="zh-CN"/>
        </w:rPr>
      </w:pPr>
      <w:r>
        <w:rPr>
          <w:rFonts w:hint="eastAsia" w:ascii="宋体" w:hAnsi="宋体" w:cs="宋体"/>
          <w:b/>
          <w:sz w:val="22"/>
          <w:u w:val="single"/>
          <w:lang w:val="zh-CN"/>
        </w:rPr>
        <w:t>供应商</w:t>
      </w:r>
      <w:r>
        <w:rPr>
          <w:rFonts w:hint="eastAsia" w:ascii="宋体" w:hAnsi="宋体" w:cs="宋体"/>
          <w:b/>
          <w:sz w:val="22"/>
          <w:u w:val="single"/>
        </w:rPr>
        <w:t>一旦获取了本项目招标文件，在质疑期内未提出质疑，并参加投标，即被认为接受了本招标文件中所有条款和规定。</w:t>
      </w:r>
    </w:p>
    <w:p w14:paraId="11260413">
      <w:pPr>
        <w:autoSpaceDE w:val="0"/>
        <w:autoSpaceDN w:val="0"/>
        <w:adjustRightInd w:val="0"/>
        <w:spacing w:line="400" w:lineRule="atLeast"/>
        <w:ind w:firstLine="660" w:firstLineChars="300"/>
        <w:rPr>
          <w:rFonts w:ascii="宋体" w:hAnsi="宋体" w:cs="宋体"/>
          <w:sz w:val="22"/>
          <w:lang w:val="zh-CN"/>
        </w:rPr>
      </w:pPr>
      <w:bookmarkStart w:id="15" w:name="_Toc9317_WPSOffice_Level3"/>
      <w:r>
        <w:rPr>
          <w:rFonts w:hint="eastAsia" w:ascii="宋体" w:hAnsi="宋体" w:cs="宋体"/>
          <w:sz w:val="22"/>
          <w:lang w:val="zh-CN"/>
        </w:rPr>
        <w:t>2.招标文件的澄清</w:t>
      </w:r>
      <w:bookmarkEnd w:id="15"/>
    </w:p>
    <w:p w14:paraId="440ACAB3">
      <w:pPr>
        <w:autoSpaceDE w:val="0"/>
        <w:autoSpaceDN w:val="0"/>
        <w:adjustRightInd w:val="0"/>
        <w:spacing w:line="400" w:lineRule="atLeast"/>
        <w:ind w:firstLine="440" w:firstLineChars="200"/>
        <w:rPr>
          <w:rFonts w:ascii="宋体" w:hAnsi="宋体" w:cs="宋体"/>
          <w:sz w:val="22"/>
          <w:lang w:val="zh-CN"/>
        </w:rPr>
      </w:pPr>
      <w:r>
        <w:rPr>
          <w:rFonts w:hint="eastAsia" w:ascii="宋体" w:hAnsi="宋体" w:cs="宋体"/>
          <w:sz w:val="22"/>
          <w:lang w:val="zh-CN"/>
        </w:rPr>
        <w:t>供应商对招标文件如有疑点要求澄清，或认为有必要与采购人进行技术交流，可用书面形式（包括信函、传真，下同）通知采购机构，但通知应在招标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5DA8E384">
      <w:pPr>
        <w:autoSpaceDE w:val="0"/>
        <w:autoSpaceDN w:val="0"/>
        <w:adjustRightInd w:val="0"/>
        <w:spacing w:line="400" w:lineRule="atLeast"/>
        <w:ind w:firstLine="440" w:firstLineChars="200"/>
        <w:rPr>
          <w:rFonts w:ascii="宋体" w:hAnsi="宋体" w:cs="宋体"/>
          <w:sz w:val="22"/>
          <w:lang w:val="zh-CN"/>
        </w:rPr>
      </w:pPr>
      <w:bookmarkStart w:id="16" w:name="_Toc6226_WPSOffice_Level3"/>
      <w:r>
        <w:rPr>
          <w:rFonts w:hint="eastAsia" w:ascii="宋体" w:hAnsi="宋体" w:cs="宋体"/>
          <w:sz w:val="22"/>
          <w:lang w:val="zh-CN"/>
        </w:rPr>
        <w:t>3.招标文件的修改</w:t>
      </w:r>
      <w:bookmarkEnd w:id="16"/>
    </w:p>
    <w:p w14:paraId="7E65C331">
      <w:pPr>
        <w:autoSpaceDE w:val="0"/>
        <w:autoSpaceDN w:val="0"/>
        <w:adjustRightInd w:val="0"/>
        <w:spacing w:line="400" w:lineRule="atLeast"/>
        <w:ind w:firstLine="440" w:firstLineChars="200"/>
        <w:rPr>
          <w:rFonts w:ascii="宋体" w:hAnsi="宋体" w:cs="宋体"/>
          <w:sz w:val="22"/>
          <w:lang w:val="zh-CN"/>
        </w:rPr>
      </w:pPr>
      <w:r>
        <w:rPr>
          <w:rFonts w:hint="eastAsia" w:ascii="宋体" w:hAnsi="宋体" w:cs="宋体"/>
          <w:sz w:val="22"/>
          <w:lang w:val="zh-CN"/>
        </w:rPr>
        <w:t>3.1</w:t>
      </w:r>
      <w:r>
        <w:rPr>
          <w:rFonts w:hint="eastAsia" w:ascii="宋体" w:hAnsi="宋体" w:cs="宋体"/>
          <w:sz w:val="22"/>
        </w:rPr>
        <w:t xml:space="preserve"> </w:t>
      </w:r>
      <w:r>
        <w:rPr>
          <w:rFonts w:hint="eastAsia" w:ascii="宋体" w:hAnsi="宋体" w:cs="宋体"/>
          <w:sz w:val="22"/>
          <w:lang w:val="zh-CN"/>
        </w:rPr>
        <w:t>在投标截止时间前，采购人或采购机构有权修改招标文件，并通知供应商。补充文件作为招标文件的补充和组成部分，对所有供应商均有约束力。</w:t>
      </w:r>
    </w:p>
    <w:p w14:paraId="3939252A">
      <w:pPr>
        <w:autoSpaceDE w:val="0"/>
        <w:autoSpaceDN w:val="0"/>
        <w:adjustRightInd w:val="0"/>
        <w:spacing w:line="400" w:lineRule="atLeast"/>
        <w:ind w:firstLine="440" w:firstLineChars="200"/>
        <w:rPr>
          <w:rFonts w:ascii="宋体" w:hAnsi="宋体" w:cs="宋体"/>
          <w:b/>
          <w:sz w:val="22"/>
          <w:lang w:val="zh-CN"/>
        </w:rPr>
      </w:pPr>
      <w:r>
        <w:rPr>
          <w:rFonts w:hint="eastAsia" w:ascii="宋体" w:hAnsi="宋体" w:cs="宋体"/>
          <w:sz w:val="22"/>
          <w:lang w:val="zh-CN"/>
        </w:rPr>
        <w:t>3.2</w:t>
      </w:r>
      <w:r>
        <w:rPr>
          <w:rFonts w:hint="eastAsia" w:ascii="宋体" w:hAnsi="宋体" w:cs="宋体"/>
          <w:sz w:val="22"/>
        </w:rPr>
        <w:t xml:space="preserve"> </w:t>
      </w:r>
      <w:r>
        <w:rPr>
          <w:rFonts w:hint="eastAsia" w:ascii="宋体" w:hAnsi="宋体" w:cs="宋体"/>
          <w:sz w:val="22"/>
          <w:lang w:val="zh-CN"/>
        </w:rPr>
        <w:t>为使供应商有足够的时间按招标文件要求修正投标文件，采购人按相关规定推迟投标截止时间和开标时间，并将此变更通知放至相关网站公示。</w:t>
      </w:r>
    </w:p>
    <w:p w14:paraId="0B56A63A">
      <w:pPr>
        <w:autoSpaceDE w:val="0"/>
        <w:autoSpaceDN w:val="0"/>
        <w:adjustRightInd w:val="0"/>
        <w:spacing w:line="400" w:lineRule="atLeast"/>
        <w:ind w:firstLine="442" w:firstLineChars="200"/>
        <w:outlineLvl w:val="1"/>
        <w:rPr>
          <w:rFonts w:ascii="宋体" w:hAnsi="宋体" w:cs="宋体"/>
          <w:b/>
          <w:sz w:val="22"/>
          <w:lang w:val="zh-CN"/>
        </w:rPr>
      </w:pPr>
      <w:bookmarkStart w:id="17" w:name="_Toc4378_WPSOffice_Level2"/>
      <w:r>
        <w:rPr>
          <w:rFonts w:hint="eastAsia" w:ascii="宋体" w:hAnsi="宋体" w:cs="宋体"/>
          <w:b/>
          <w:sz w:val="22"/>
        </w:rPr>
        <w:t>三</w:t>
      </w:r>
      <w:r>
        <w:rPr>
          <w:rFonts w:hint="eastAsia" w:ascii="宋体" w:hAnsi="宋体" w:cs="宋体"/>
          <w:b/>
          <w:sz w:val="22"/>
          <w:lang w:val="zh-CN"/>
        </w:rPr>
        <w:t>、</w:t>
      </w:r>
      <w:bookmarkEnd w:id="17"/>
      <w:r>
        <w:rPr>
          <w:rFonts w:hint="eastAsia" w:ascii="宋体" w:hAnsi="宋体" w:cs="宋体"/>
          <w:b/>
          <w:sz w:val="22"/>
          <w:lang w:val="zh-CN"/>
        </w:rPr>
        <w:t>投标文件</w:t>
      </w:r>
    </w:p>
    <w:p w14:paraId="7C0B87AD">
      <w:pPr>
        <w:autoSpaceDE w:val="0"/>
        <w:autoSpaceDN w:val="0"/>
        <w:adjustRightInd w:val="0"/>
        <w:spacing w:line="400" w:lineRule="atLeast"/>
        <w:ind w:firstLine="440" w:firstLineChars="200"/>
        <w:rPr>
          <w:rFonts w:ascii="宋体" w:hAnsi="宋体" w:cs="宋体"/>
          <w:sz w:val="22"/>
          <w:lang w:val="zh-CN"/>
        </w:rPr>
      </w:pPr>
      <w:r>
        <w:rPr>
          <w:rFonts w:hint="eastAsia" w:ascii="宋体" w:hAnsi="宋体" w:cs="宋体"/>
          <w:sz w:val="22"/>
          <w:lang w:val="zh-CN"/>
        </w:rPr>
        <w:t>1.投标文件</w:t>
      </w:r>
    </w:p>
    <w:p w14:paraId="2E5CDCCD">
      <w:pPr>
        <w:autoSpaceDE w:val="0"/>
        <w:autoSpaceDN w:val="0"/>
        <w:adjustRightInd w:val="0"/>
        <w:spacing w:line="400" w:lineRule="atLeast"/>
        <w:ind w:firstLine="440" w:firstLineChars="200"/>
        <w:textAlignment w:val="bottom"/>
        <w:rPr>
          <w:rFonts w:ascii="宋体" w:hAnsi="宋体" w:cs="宋体"/>
          <w:sz w:val="22"/>
        </w:rPr>
      </w:pPr>
      <w:r>
        <w:rPr>
          <w:rFonts w:hint="eastAsia" w:ascii="宋体" w:hAnsi="宋体" w:cs="宋体"/>
          <w:sz w:val="22"/>
          <w:lang w:val="zh-CN"/>
        </w:rPr>
        <w:t>1.1</w:t>
      </w:r>
      <w:r>
        <w:rPr>
          <w:rFonts w:hint="eastAsia" w:ascii="宋体" w:hAnsi="宋体" w:cs="宋体"/>
          <w:sz w:val="22"/>
        </w:rPr>
        <w:t xml:space="preserve"> 供应商应仔细阅读招标文件中的所有内容，按照招标文件要求，详细编制投标文件。并对招标文件的要求做出实质上响应。实质上响应的报价应该是与招标文件要求没有重大偏离的投标文件。未实质上响应的投标文件将被拒绝，但允许供应商在基本满足采购要求的前提下出现的微小差异。</w:t>
      </w:r>
    </w:p>
    <w:p w14:paraId="25597159">
      <w:pPr>
        <w:autoSpaceDE w:val="0"/>
        <w:autoSpaceDN w:val="0"/>
        <w:adjustRightInd w:val="0"/>
        <w:spacing w:line="400" w:lineRule="atLeast"/>
        <w:ind w:firstLine="440" w:firstLineChars="200"/>
        <w:textAlignment w:val="bottom"/>
        <w:rPr>
          <w:rFonts w:ascii="宋体" w:hAnsi="宋体" w:cs="宋体"/>
          <w:sz w:val="22"/>
        </w:rPr>
      </w:pPr>
      <w:r>
        <w:rPr>
          <w:rFonts w:hint="eastAsia" w:ascii="宋体" w:hAnsi="宋体" w:cs="宋体"/>
          <w:sz w:val="22"/>
          <w:lang w:val="zh-CN"/>
        </w:rPr>
        <w:t>1.2</w:t>
      </w:r>
      <w:r>
        <w:rPr>
          <w:rFonts w:hint="eastAsia" w:ascii="宋体" w:hAnsi="宋体" w:cs="宋体"/>
          <w:sz w:val="22"/>
        </w:rPr>
        <w:t xml:space="preserve"> 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461C1EE">
      <w:pPr>
        <w:autoSpaceDE w:val="0"/>
        <w:autoSpaceDN w:val="0"/>
        <w:adjustRightInd w:val="0"/>
        <w:spacing w:line="400" w:lineRule="atLeast"/>
        <w:ind w:firstLine="440" w:firstLineChars="200"/>
        <w:rPr>
          <w:rFonts w:ascii="宋体" w:hAnsi="宋体" w:cs="宋体"/>
          <w:sz w:val="22"/>
          <w:lang w:val="zh-CN"/>
        </w:rPr>
      </w:pPr>
      <w:r>
        <w:rPr>
          <w:rFonts w:hint="eastAsia" w:ascii="宋体" w:hAnsi="宋体" w:cs="宋体"/>
          <w:sz w:val="22"/>
          <w:lang w:val="zh-CN"/>
        </w:rPr>
        <w:t>1.3</w:t>
      </w:r>
      <w:r>
        <w:rPr>
          <w:rFonts w:hint="eastAsia" w:ascii="宋体" w:hAnsi="宋体" w:cs="宋体"/>
          <w:sz w:val="22"/>
        </w:rPr>
        <w:t xml:space="preserve"> </w:t>
      </w:r>
      <w:r>
        <w:rPr>
          <w:rFonts w:hint="eastAsia" w:ascii="宋体" w:hAnsi="宋体" w:cs="宋体"/>
          <w:sz w:val="22"/>
          <w:lang w:val="zh-CN"/>
        </w:rPr>
        <w:t>供应商应仔细阅读招标文件中的所有内容，按照招标文件要求，详细编制投标文件，所有文件资料必须是针对本次投标。不按招标文件的要求提供的投标文件可能导致被拒绝。</w:t>
      </w:r>
    </w:p>
    <w:p w14:paraId="1DA2F5E1">
      <w:pPr>
        <w:autoSpaceDE w:val="0"/>
        <w:autoSpaceDN w:val="0"/>
        <w:adjustRightInd w:val="0"/>
        <w:snapToGrid w:val="0"/>
        <w:spacing w:line="400" w:lineRule="atLeast"/>
        <w:ind w:left="218" w:leftChars="104" w:firstLine="220" w:firstLineChars="100"/>
        <w:rPr>
          <w:rFonts w:ascii="宋体" w:hAnsi="宋体" w:cs="宋体"/>
          <w:sz w:val="22"/>
          <w:lang w:val="zh-CN"/>
        </w:rPr>
      </w:pPr>
      <w:r>
        <w:rPr>
          <w:rFonts w:hint="eastAsia" w:ascii="宋体" w:hAnsi="宋体" w:cs="宋体"/>
          <w:sz w:val="22"/>
          <w:lang w:val="zh-CN"/>
        </w:rPr>
        <w:t>2.投标文件的组成</w:t>
      </w:r>
    </w:p>
    <w:p w14:paraId="1F64A8D7">
      <w:pPr>
        <w:autoSpaceDE w:val="0"/>
        <w:autoSpaceDN w:val="0"/>
        <w:adjustRightInd w:val="0"/>
        <w:snapToGrid w:val="0"/>
        <w:spacing w:line="400" w:lineRule="atLeast"/>
        <w:ind w:left="218" w:leftChars="104" w:firstLine="221" w:firstLineChars="100"/>
        <w:rPr>
          <w:rFonts w:ascii="宋体" w:hAnsi="宋体" w:cs="宋体"/>
          <w:b/>
          <w:bCs/>
          <w:sz w:val="22"/>
          <w:u w:val="single"/>
          <w:lang w:val="zh-CN"/>
        </w:rPr>
      </w:pPr>
      <w:r>
        <w:rPr>
          <w:rFonts w:hint="eastAsia" w:ascii="宋体" w:hAnsi="宋体" w:cs="宋体"/>
          <w:b/>
          <w:bCs/>
          <w:sz w:val="22"/>
          <w:u w:val="single"/>
        </w:rPr>
        <w:t>投标文件由《资格文件》、《商务技术文件》、《报价文件》三部分组成。</w:t>
      </w:r>
    </w:p>
    <w:p w14:paraId="575AE41F">
      <w:pPr>
        <w:autoSpaceDE w:val="0"/>
        <w:autoSpaceDN w:val="0"/>
        <w:adjustRightInd w:val="0"/>
        <w:snapToGrid w:val="0"/>
        <w:spacing w:line="430" w:lineRule="atLeast"/>
        <w:ind w:firstLine="442" w:firstLineChars="200"/>
        <w:textAlignment w:val="bottom"/>
        <w:rPr>
          <w:rFonts w:ascii="宋体"/>
          <w:b/>
          <w:bCs/>
          <w:sz w:val="22"/>
          <w:szCs w:val="24"/>
          <w:lang w:val="zh-CN"/>
        </w:rPr>
      </w:pPr>
      <w:r>
        <w:rPr>
          <w:rFonts w:hint="eastAsia" w:ascii="宋体" w:hAnsi="宋体" w:cs="宋体"/>
          <w:b/>
          <w:bCs/>
          <w:sz w:val="22"/>
        </w:rPr>
        <w:t>2.1</w:t>
      </w:r>
      <w:r>
        <w:rPr>
          <w:rFonts w:hint="eastAsia" w:ascii="宋体" w:hAnsi="宋体" w:cs="宋体"/>
          <w:sz w:val="22"/>
        </w:rPr>
        <w:t xml:space="preserve"> </w:t>
      </w:r>
      <w:r>
        <w:rPr>
          <w:rFonts w:hint="eastAsia" w:ascii="宋体"/>
          <w:b/>
          <w:bCs/>
          <w:sz w:val="22"/>
          <w:szCs w:val="24"/>
        </w:rPr>
        <w:t>《报价文件》</w:t>
      </w:r>
      <w:r>
        <w:rPr>
          <w:rFonts w:hint="eastAsia" w:ascii="宋体"/>
          <w:b/>
          <w:bCs/>
          <w:sz w:val="22"/>
          <w:szCs w:val="24"/>
          <w:lang w:val="zh-CN"/>
        </w:rPr>
        <w:t>组成</w:t>
      </w:r>
    </w:p>
    <w:tbl>
      <w:tblPr>
        <w:tblStyle w:val="3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796"/>
      </w:tblGrid>
      <w:tr w14:paraId="5E46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58FF1D7C">
            <w:pPr>
              <w:autoSpaceDE w:val="0"/>
              <w:autoSpaceDN w:val="0"/>
              <w:adjustRightInd w:val="0"/>
              <w:snapToGrid w:val="0"/>
              <w:spacing w:line="400" w:lineRule="atLeast"/>
              <w:jc w:val="center"/>
              <w:rPr>
                <w:rFonts w:ascii="宋体"/>
                <w:szCs w:val="21"/>
                <w:lang w:val="zh-CN"/>
              </w:rPr>
            </w:pPr>
            <w:r>
              <w:rPr>
                <w:rFonts w:hint="eastAsia" w:ascii="宋体"/>
                <w:szCs w:val="21"/>
                <w:lang w:val="zh-CN"/>
              </w:rPr>
              <w:t>序号</w:t>
            </w:r>
          </w:p>
        </w:tc>
        <w:tc>
          <w:tcPr>
            <w:tcW w:w="8796" w:type="dxa"/>
          </w:tcPr>
          <w:p w14:paraId="7C5F4A9A">
            <w:pPr>
              <w:autoSpaceDE w:val="0"/>
              <w:autoSpaceDN w:val="0"/>
              <w:adjustRightInd w:val="0"/>
              <w:snapToGrid w:val="0"/>
              <w:spacing w:line="400" w:lineRule="atLeast"/>
              <w:rPr>
                <w:rFonts w:ascii="宋体"/>
                <w:szCs w:val="21"/>
                <w:lang w:val="zh-CN"/>
              </w:rPr>
            </w:pPr>
            <w:r>
              <w:rPr>
                <w:rFonts w:ascii="宋体"/>
                <w:szCs w:val="24"/>
              </w:rPr>
              <w:t>内容（</w:t>
            </w:r>
            <w:r>
              <w:rPr>
                <w:rFonts w:hint="eastAsia" w:ascii="宋体" w:hAnsi="宋体"/>
                <w:sz w:val="22"/>
                <w:szCs w:val="24"/>
                <w:lang w:val="zh-CN"/>
              </w:rPr>
              <w:t>▲</w:t>
            </w:r>
            <w:r>
              <w:rPr>
                <w:rFonts w:ascii="宋体"/>
                <w:b/>
                <w:bCs/>
                <w:szCs w:val="24"/>
                <w:u w:val="single"/>
              </w:rPr>
              <w:t>序号1</w:t>
            </w:r>
            <w:r>
              <w:rPr>
                <w:rFonts w:hint="eastAsia" w:ascii="宋体"/>
                <w:b/>
                <w:bCs/>
                <w:szCs w:val="24"/>
                <w:u w:val="single"/>
              </w:rPr>
              <w:t>-2</w:t>
            </w:r>
            <w:r>
              <w:rPr>
                <w:rFonts w:ascii="宋体"/>
                <w:b/>
                <w:bCs/>
                <w:szCs w:val="24"/>
                <w:u w:val="single"/>
              </w:rPr>
              <w:t>项供应商必须提供，否则不能通过符合性审查的，责任自负</w:t>
            </w:r>
          </w:p>
        </w:tc>
      </w:tr>
      <w:tr w14:paraId="6A65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right w:val="single" w:color="auto" w:sz="4" w:space="0"/>
            </w:tcBorders>
          </w:tcPr>
          <w:p w14:paraId="70335400">
            <w:pPr>
              <w:autoSpaceDE w:val="0"/>
              <w:autoSpaceDN w:val="0"/>
              <w:adjustRightInd w:val="0"/>
              <w:snapToGrid w:val="0"/>
              <w:spacing w:line="400" w:lineRule="atLeast"/>
              <w:jc w:val="center"/>
              <w:rPr>
                <w:rFonts w:ascii="宋体"/>
                <w:szCs w:val="21"/>
              </w:rPr>
            </w:pPr>
            <w:r>
              <w:rPr>
                <w:rFonts w:ascii="宋体"/>
                <w:szCs w:val="21"/>
              </w:rPr>
              <w:t>1.</w:t>
            </w:r>
          </w:p>
        </w:tc>
        <w:tc>
          <w:tcPr>
            <w:tcW w:w="8796" w:type="dxa"/>
            <w:tcBorders>
              <w:top w:val="single" w:color="auto" w:sz="4" w:space="0"/>
              <w:left w:val="single" w:color="auto" w:sz="4" w:space="0"/>
              <w:right w:val="single" w:color="auto" w:sz="4" w:space="0"/>
            </w:tcBorders>
          </w:tcPr>
          <w:p w14:paraId="6A2D4E56">
            <w:pPr>
              <w:autoSpaceDE w:val="0"/>
              <w:autoSpaceDN w:val="0"/>
              <w:adjustRightInd w:val="0"/>
              <w:spacing w:line="400" w:lineRule="atLeast"/>
              <w:textAlignment w:val="bottom"/>
              <w:rPr>
                <w:rFonts w:ascii="宋体"/>
                <w:szCs w:val="21"/>
              </w:rPr>
            </w:pPr>
            <w:r>
              <w:rPr>
                <w:rFonts w:hint="eastAsia" w:ascii="宋体"/>
                <w:szCs w:val="21"/>
              </w:rPr>
              <w:t>投标报价一览表（见附件一（一））</w:t>
            </w:r>
          </w:p>
        </w:tc>
      </w:tr>
      <w:tr w14:paraId="031E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right w:val="single" w:color="auto" w:sz="4" w:space="0"/>
            </w:tcBorders>
          </w:tcPr>
          <w:p w14:paraId="418BFC9E">
            <w:pPr>
              <w:autoSpaceDE w:val="0"/>
              <w:autoSpaceDN w:val="0"/>
              <w:adjustRightInd w:val="0"/>
              <w:snapToGrid w:val="0"/>
              <w:spacing w:line="400" w:lineRule="atLeast"/>
              <w:jc w:val="center"/>
              <w:rPr>
                <w:rFonts w:ascii="宋体"/>
                <w:szCs w:val="21"/>
              </w:rPr>
            </w:pPr>
            <w:r>
              <w:rPr>
                <w:rFonts w:hint="eastAsia" w:ascii="宋体"/>
                <w:szCs w:val="21"/>
              </w:rPr>
              <w:t>2.</w:t>
            </w:r>
          </w:p>
        </w:tc>
        <w:tc>
          <w:tcPr>
            <w:tcW w:w="8796" w:type="dxa"/>
            <w:tcBorders>
              <w:top w:val="single" w:color="auto" w:sz="4" w:space="0"/>
              <w:left w:val="single" w:color="auto" w:sz="4" w:space="0"/>
              <w:right w:val="single" w:color="auto" w:sz="4" w:space="0"/>
            </w:tcBorders>
          </w:tcPr>
          <w:p w14:paraId="3A0DA671">
            <w:pPr>
              <w:autoSpaceDE w:val="0"/>
              <w:autoSpaceDN w:val="0"/>
              <w:adjustRightInd w:val="0"/>
              <w:spacing w:line="400" w:lineRule="atLeast"/>
              <w:textAlignment w:val="bottom"/>
              <w:rPr>
                <w:rFonts w:ascii="宋体"/>
                <w:szCs w:val="21"/>
              </w:rPr>
            </w:pPr>
            <w:r>
              <w:rPr>
                <w:rFonts w:hint="eastAsia" w:ascii="宋体"/>
                <w:szCs w:val="21"/>
              </w:rPr>
              <w:t>投标分项报价表（见附件一（二））</w:t>
            </w:r>
          </w:p>
        </w:tc>
      </w:tr>
      <w:tr w14:paraId="2B64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right w:val="single" w:color="auto" w:sz="4" w:space="0"/>
            </w:tcBorders>
          </w:tcPr>
          <w:p w14:paraId="53F2FEC2">
            <w:pPr>
              <w:autoSpaceDE w:val="0"/>
              <w:autoSpaceDN w:val="0"/>
              <w:adjustRightInd w:val="0"/>
              <w:snapToGrid w:val="0"/>
              <w:spacing w:line="430" w:lineRule="atLeast"/>
              <w:jc w:val="center"/>
              <w:rPr>
                <w:rFonts w:ascii="宋体"/>
                <w:szCs w:val="21"/>
              </w:rPr>
            </w:pPr>
            <w:r>
              <w:rPr>
                <w:rFonts w:hint="eastAsia" w:ascii="宋体"/>
                <w:szCs w:val="21"/>
              </w:rPr>
              <w:t>3.</w:t>
            </w:r>
          </w:p>
        </w:tc>
        <w:tc>
          <w:tcPr>
            <w:tcW w:w="8796" w:type="dxa"/>
            <w:tcBorders>
              <w:top w:val="single" w:color="auto" w:sz="4" w:space="0"/>
              <w:left w:val="single" w:color="auto" w:sz="4" w:space="0"/>
              <w:right w:val="single" w:color="auto" w:sz="4" w:space="0"/>
            </w:tcBorders>
          </w:tcPr>
          <w:p w14:paraId="620286DE">
            <w:pPr>
              <w:autoSpaceDE w:val="0"/>
              <w:autoSpaceDN w:val="0"/>
              <w:adjustRightInd w:val="0"/>
              <w:spacing w:line="430" w:lineRule="atLeast"/>
              <w:textAlignment w:val="bottom"/>
              <w:rPr>
                <w:rFonts w:ascii="宋体" w:hAnsi="宋体" w:cs="宋体"/>
                <w:sz w:val="22"/>
              </w:rPr>
            </w:pPr>
            <w:r>
              <w:rPr>
                <w:rFonts w:hint="eastAsia" w:ascii="宋体" w:hAnsi="宋体" w:cs="宋体"/>
                <w:sz w:val="22"/>
              </w:rPr>
              <w:t>其它供应商须说明的资料（如有则提供）</w:t>
            </w:r>
          </w:p>
        </w:tc>
      </w:tr>
    </w:tbl>
    <w:p w14:paraId="7D165100">
      <w:pPr>
        <w:autoSpaceDE w:val="0"/>
        <w:autoSpaceDN w:val="0"/>
        <w:adjustRightInd w:val="0"/>
        <w:snapToGrid w:val="0"/>
        <w:spacing w:line="430" w:lineRule="atLeast"/>
        <w:ind w:firstLine="442" w:firstLineChars="200"/>
        <w:textAlignment w:val="bottom"/>
        <w:rPr>
          <w:rFonts w:ascii="宋体" w:hAnsi="宋体" w:cs="宋体"/>
          <w:sz w:val="22"/>
        </w:rPr>
      </w:pPr>
      <w:r>
        <w:rPr>
          <w:rFonts w:hint="eastAsia" w:ascii="宋体" w:hAnsi="宋体" w:cs="宋体"/>
          <w:b/>
          <w:bCs/>
          <w:sz w:val="22"/>
        </w:rPr>
        <w:t>2.2</w:t>
      </w:r>
      <w:r>
        <w:rPr>
          <w:rFonts w:hint="eastAsia" w:ascii="宋体" w:hAnsi="宋体" w:cs="宋体"/>
          <w:sz w:val="22"/>
        </w:rPr>
        <w:t xml:space="preserve"> </w:t>
      </w:r>
      <w:r>
        <w:rPr>
          <w:rFonts w:hint="eastAsia" w:ascii="宋体"/>
          <w:b/>
          <w:bCs/>
          <w:sz w:val="22"/>
          <w:szCs w:val="24"/>
        </w:rPr>
        <w:t>《资格文件》</w:t>
      </w:r>
      <w:r>
        <w:rPr>
          <w:rFonts w:hint="eastAsia" w:ascii="宋体" w:hAnsi="宋体" w:cs="宋体"/>
          <w:b/>
          <w:bCs/>
          <w:sz w:val="22"/>
        </w:rPr>
        <w:t>组成</w:t>
      </w:r>
    </w:p>
    <w:tbl>
      <w:tblPr>
        <w:tblStyle w:val="31"/>
        <w:tblpPr w:leftFromText="180" w:rightFromText="180" w:vertAnchor="text" w:horzAnchor="page" w:tblpX="1520" w:tblpY="59"/>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11"/>
      </w:tblGrid>
      <w:tr w14:paraId="4539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tcPr>
          <w:p w14:paraId="75D03325">
            <w:pPr>
              <w:autoSpaceDE w:val="0"/>
              <w:autoSpaceDN w:val="0"/>
              <w:adjustRightInd w:val="0"/>
              <w:snapToGrid w:val="0"/>
              <w:spacing w:line="400" w:lineRule="atLeast"/>
              <w:rPr>
                <w:rFonts w:ascii="宋体" w:cs="宋体"/>
                <w:szCs w:val="21"/>
              </w:rPr>
            </w:pPr>
            <w:r>
              <w:rPr>
                <w:rFonts w:ascii="宋体"/>
                <w:szCs w:val="24"/>
              </w:rPr>
              <w:t>序号</w:t>
            </w:r>
          </w:p>
        </w:tc>
        <w:tc>
          <w:tcPr>
            <w:tcW w:w="8811" w:type="dxa"/>
            <w:tcBorders>
              <w:top w:val="single" w:color="auto" w:sz="4" w:space="0"/>
              <w:left w:val="nil"/>
              <w:bottom w:val="single" w:color="auto" w:sz="4" w:space="0"/>
              <w:right w:val="single" w:color="auto" w:sz="4" w:space="0"/>
            </w:tcBorders>
          </w:tcPr>
          <w:p w14:paraId="0C9179A0">
            <w:pPr>
              <w:autoSpaceDE w:val="0"/>
              <w:autoSpaceDN w:val="0"/>
              <w:adjustRightInd w:val="0"/>
              <w:snapToGrid w:val="0"/>
              <w:spacing w:line="400" w:lineRule="atLeast"/>
              <w:rPr>
                <w:rFonts w:ascii="宋体" w:cs="宋体"/>
                <w:szCs w:val="21"/>
              </w:rPr>
            </w:pPr>
            <w:r>
              <w:rPr>
                <w:rFonts w:ascii="宋体"/>
                <w:szCs w:val="24"/>
              </w:rPr>
              <w:t>内容</w:t>
            </w:r>
            <w:r>
              <w:rPr>
                <w:rFonts w:ascii="宋体"/>
                <w:b/>
                <w:bCs/>
                <w:szCs w:val="24"/>
                <w:u w:val="single"/>
              </w:rPr>
              <w:t>（</w:t>
            </w:r>
            <w:r>
              <w:rPr>
                <w:rFonts w:hint="eastAsia" w:ascii="宋体" w:hAnsi="宋体"/>
                <w:sz w:val="22"/>
                <w:szCs w:val="24"/>
                <w:lang w:val="zh-CN"/>
              </w:rPr>
              <w:t>▲</w:t>
            </w:r>
            <w:r>
              <w:rPr>
                <w:rFonts w:ascii="宋体"/>
                <w:b/>
                <w:bCs/>
                <w:szCs w:val="24"/>
                <w:u w:val="single"/>
              </w:rPr>
              <w:t>序号1-</w:t>
            </w:r>
            <w:r>
              <w:rPr>
                <w:rFonts w:hint="eastAsia" w:ascii="宋体"/>
                <w:b/>
                <w:bCs/>
                <w:szCs w:val="24"/>
                <w:u w:val="single"/>
              </w:rPr>
              <w:t>8</w:t>
            </w:r>
            <w:r>
              <w:rPr>
                <w:rFonts w:ascii="宋体"/>
                <w:b/>
                <w:bCs/>
                <w:szCs w:val="24"/>
                <w:u w:val="single"/>
              </w:rPr>
              <w:t>项供应商必须提供，否则不能通过</w:t>
            </w:r>
            <w:r>
              <w:rPr>
                <w:rFonts w:hint="eastAsia" w:ascii="宋体"/>
                <w:b/>
                <w:bCs/>
                <w:szCs w:val="24"/>
                <w:u w:val="single"/>
              </w:rPr>
              <w:t>资格审查</w:t>
            </w:r>
            <w:r>
              <w:rPr>
                <w:rFonts w:ascii="宋体"/>
                <w:b/>
                <w:bCs/>
                <w:szCs w:val="24"/>
                <w:u w:val="single"/>
              </w:rPr>
              <w:t>的，责任自负）</w:t>
            </w:r>
          </w:p>
        </w:tc>
      </w:tr>
      <w:tr w14:paraId="1568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F068685">
            <w:pPr>
              <w:numPr>
                <w:ilvl w:val="0"/>
                <w:numId w:val="6"/>
              </w:numPr>
              <w:autoSpaceDE w:val="0"/>
              <w:autoSpaceDN w:val="0"/>
              <w:adjustRightInd w:val="0"/>
              <w:snapToGrid w:val="0"/>
              <w:spacing w:line="400" w:lineRule="atLeast"/>
              <w:jc w:val="center"/>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10D57DD8">
            <w:pPr>
              <w:autoSpaceDE w:val="0"/>
              <w:autoSpaceDN w:val="0"/>
              <w:adjustRightInd w:val="0"/>
              <w:snapToGrid w:val="0"/>
              <w:spacing w:line="400" w:lineRule="atLeast"/>
              <w:rPr>
                <w:rFonts w:ascii="宋体" w:cs="宋体"/>
                <w:szCs w:val="21"/>
              </w:rPr>
            </w:pPr>
            <w:r>
              <w:rPr>
                <w:rFonts w:ascii="宋体"/>
                <w:szCs w:val="24"/>
              </w:rPr>
              <w:t>供应商的营业执照、税务登记证（如为多证合一仅需提供营业执照）</w:t>
            </w:r>
          </w:p>
        </w:tc>
      </w:tr>
      <w:tr w14:paraId="757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18DD218">
            <w:pPr>
              <w:numPr>
                <w:ilvl w:val="0"/>
                <w:numId w:val="6"/>
              </w:numPr>
              <w:autoSpaceDE w:val="0"/>
              <w:autoSpaceDN w:val="0"/>
              <w:adjustRightInd w:val="0"/>
              <w:snapToGrid w:val="0"/>
              <w:spacing w:line="400" w:lineRule="atLeast"/>
              <w:jc w:val="center"/>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19D1BC12">
            <w:pPr>
              <w:autoSpaceDE w:val="0"/>
              <w:autoSpaceDN w:val="0"/>
              <w:adjustRightInd w:val="0"/>
              <w:snapToGrid w:val="0"/>
              <w:spacing w:line="400" w:lineRule="atLeast"/>
              <w:rPr>
                <w:rFonts w:ascii="宋体"/>
                <w:szCs w:val="24"/>
              </w:rPr>
            </w:pPr>
            <w:r>
              <w:rPr>
                <w:rFonts w:hint="eastAsia" w:ascii="宋体" w:hAnsi="宋体" w:cs="宋体"/>
                <w:sz w:val="22"/>
                <w:szCs w:val="22"/>
              </w:rPr>
              <w:t>承诺具有健全的财务会计制度承诺函（格式自拟）</w:t>
            </w:r>
          </w:p>
        </w:tc>
      </w:tr>
      <w:tr w14:paraId="4A40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B0D70F7">
            <w:pPr>
              <w:numPr>
                <w:ilvl w:val="0"/>
                <w:numId w:val="6"/>
              </w:numPr>
              <w:autoSpaceDE w:val="0"/>
              <w:autoSpaceDN w:val="0"/>
              <w:adjustRightInd w:val="0"/>
              <w:snapToGrid w:val="0"/>
              <w:spacing w:line="400" w:lineRule="atLeast"/>
              <w:jc w:val="center"/>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7CB54882">
            <w:pPr>
              <w:autoSpaceDE w:val="0"/>
              <w:autoSpaceDN w:val="0"/>
              <w:adjustRightInd w:val="0"/>
              <w:snapToGrid w:val="0"/>
              <w:spacing w:line="400" w:lineRule="atLeast"/>
              <w:rPr>
                <w:rFonts w:ascii="宋体"/>
                <w:szCs w:val="24"/>
              </w:rPr>
            </w:pPr>
            <w:r>
              <w:rPr>
                <w:rFonts w:hint="eastAsia" w:ascii="宋体"/>
                <w:szCs w:val="24"/>
              </w:rPr>
              <w:t>具有履行合同所必需的设备和专业技术能力的承诺函（</w:t>
            </w:r>
            <w:r>
              <w:rPr>
                <w:rFonts w:ascii="宋体"/>
                <w:szCs w:val="24"/>
              </w:rPr>
              <w:t>见</w:t>
            </w:r>
            <w:r>
              <w:rPr>
                <w:rFonts w:hint="eastAsia" w:ascii="宋体"/>
                <w:szCs w:val="24"/>
              </w:rPr>
              <w:t>附件二）</w:t>
            </w:r>
          </w:p>
        </w:tc>
      </w:tr>
      <w:tr w14:paraId="6B9A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2560059">
            <w:pPr>
              <w:numPr>
                <w:ilvl w:val="0"/>
                <w:numId w:val="6"/>
              </w:numPr>
              <w:autoSpaceDE w:val="0"/>
              <w:autoSpaceDN w:val="0"/>
              <w:adjustRightInd w:val="0"/>
              <w:snapToGrid w:val="0"/>
              <w:spacing w:line="400" w:lineRule="atLeast"/>
              <w:jc w:val="center"/>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07C4BAF4">
            <w:pPr>
              <w:autoSpaceDE w:val="0"/>
              <w:autoSpaceDN w:val="0"/>
              <w:adjustRightInd w:val="0"/>
              <w:snapToGrid w:val="0"/>
              <w:spacing w:line="400" w:lineRule="atLeast"/>
              <w:rPr>
                <w:rFonts w:ascii="宋体"/>
                <w:szCs w:val="24"/>
              </w:rPr>
            </w:pPr>
            <w:r>
              <w:rPr>
                <w:rFonts w:hint="eastAsia" w:ascii="宋体"/>
                <w:szCs w:val="24"/>
              </w:rPr>
              <w:t>依法缴纳税收和社会保障资金的承诺函（见附件三）</w:t>
            </w:r>
          </w:p>
        </w:tc>
      </w:tr>
      <w:tr w14:paraId="3ABC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76A91A7">
            <w:pPr>
              <w:numPr>
                <w:ilvl w:val="0"/>
                <w:numId w:val="6"/>
              </w:numPr>
              <w:autoSpaceDE w:val="0"/>
              <w:autoSpaceDN w:val="0"/>
              <w:adjustRightInd w:val="0"/>
              <w:snapToGrid w:val="0"/>
              <w:spacing w:line="400" w:lineRule="atLeast"/>
              <w:jc w:val="center"/>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0334DCDF">
            <w:pPr>
              <w:autoSpaceDE w:val="0"/>
              <w:autoSpaceDN w:val="0"/>
              <w:adjustRightInd w:val="0"/>
              <w:snapToGrid w:val="0"/>
              <w:spacing w:line="400" w:lineRule="atLeast"/>
              <w:rPr>
                <w:rFonts w:ascii="宋体"/>
                <w:szCs w:val="24"/>
              </w:rPr>
            </w:pPr>
            <w:r>
              <w:rPr>
                <w:rFonts w:hint="eastAsia" w:ascii="宋体" w:hAnsi="宋体" w:cs="宋体"/>
                <w:b/>
                <w:bCs/>
                <w:sz w:val="22"/>
              </w:rPr>
              <w:t>参加国企采购活动前3年内在经营活动中没有重大违法记录的声明函</w:t>
            </w:r>
            <w:r>
              <w:rPr>
                <w:rFonts w:hint="eastAsia" w:ascii="宋体" w:cs="宋体"/>
                <w:szCs w:val="21"/>
              </w:rPr>
              <w:t>（</w:t>
            </w:r>
            <w:r>
              <w:rPr>
                <w:rFonts w:hint="eastAsia" w:ascii="宋体"/>
                <w:szCs w:val="24"/>
              </w:rPr>
              <w:t>见附件四</w:t>
            </w:r>
            <w:r>
              <w:rPr>
                <w:rFonts w:hint="eastAsia" w:ascii="宋体" w:cs="宋体"/>
                <w:szCs w:val="21"/>
              </w:rPr>
              <w:t>）</w:t>
            </w:r>
          </w:p>
        </w:tc>
      </w:tr>
      <w:tr w14:paraId="7FC9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8B3DE55">
            <w:pPr>
              <w:numPr>
                <w:ilvl w:val="0"/>
                <w:numId w:val="6"/>
              </w:numPr>
              <w:autoSpaceDE w:val="0"/>
              <w:autoSpaceDN w:val="0"/>
              <w:adjustRightInd w:val="0"/>
              <w:snapToGrid w:val="0"/>
              <w:spacing w:line="400" w:lineRule="atLeast"/>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61780D5A">
            <w:pPr>
              <w:autoSpaceDE w:val="0"/>
              <w:autoSpaceDN w:val="0"/>
              <w:adjustRightInd w:val="0"/>
              <w:snapToGrid w:val="0"/>
              <w:spacing w:line="400" w:lineRule="atLeast"/>
              <w:rPr>
                <w:rFonts w:ascii="宋体" w:cs="宋体"/>
                <w:szCs w:val="21"/>
              </w:rPr>
            </w:pPr>
            <w:r>
              <w:rPr>
                <w:rFonts w:ascii="宋体"/>
                <w:szCs w:val="24"/>
              </w:rPr>
              <w:t>供应商“信用中国”(www.creditchina.gov.cn)；“中国政府采购网”（http://www.ccgp.gov.cn/）信用记录网页截图（招标公告发布之日至投标截止时间前均可）</w:t>
            </w:r>
          </w:p>
        </w:tc>
      </w:tr>
      <w:tr w14:paraId="5944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0D686DB">
            <w:pPr>
              <w:numPr>
                <w:ilvl w:val="0"/>
                <w:numId w:val="6"/>
              </w:numPr>
              <w:autoSpaceDE w:val="0"/>
              <w:autoSpaceDN w:val="0"/>
              <w:adjustRightInd w:val="0"/>
              <w:snapToGrid w:val="0"/>
              <w:spacing w:line="400" w:lineRule="atLeast"/>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35D145D8">
            <w:pPr>
              <w:autoSpaceDE w:val="0"/>
              <w:autoSpaceDN w:val="0"/>
              <w:adjustRightInd w:val="0"/>
              <w:snapToGrid w:val="0"/>
              <w:spacing w:line="400" w:lineRule="atLeast"/>
              <w:rPr>
                <w:rFonts w:ascii="宋体" w:hAnsi="Calibri" w:cs="宋体"/>
                <w:szCs w:val="21"/>
              </w:rPr>
            </w:pPr>
            <w:r>
              <w:rPr>
                <w:rFonts w:hint="eastAsia" w:ascii="宋体" w:hAnsi="宋体" w:cs="宋体"/>
                <w:sz w:val="22"/>
              </w:rPr>
              <w:t>供应商法定代表人授权书或法定代表人身份证明书（附件五）</w:t>
            </w:r>
          </w:p>
        </w:tc>
      </w:tr>
      <w:tr w14:paraId="12D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3103F74">
            <w:pPr>
              <w:numPr>
                <w:ilvl w:val="0"/>
                <w:numId w:val="6"/>
              </w:numPr>
              <w:autoSpaceDE w:val="0"/>
              <w:autoSpaceDN w:val="0"/>
              <w:adjustRightInd w:val="0"/>
              <w:snapToGrid w:val="0"/>
              <w:spacing w:line="400" w:lineRule="atLeast"/>
              <w:rPr>
                <w:rFonts w:ascii="宋体" w:hAnsi="宋体" w:eastAsia="Times New Roman" w:cs="宋体"/>
                <w:szCs w:val="21"/>
              </w:rPr>
            </w:pPr>
          </w:p>
        </w:tc>
        <w:tc>
          <w:tcPr>
            <w:tcW w:w="8811" w:type="dxa"/>
            <w:tcBorders>
              <w:top w:val="single" w:color="auto" w:sz="4" w:space="0"/>
              <w:left w:val="nil"/>
              <w:bottom w:val="single" w:color="auto" w:sz="4" w:space="0"/>
              <w:right w:val="single" w:color="auto" w:sz="4" w:space="0"/>
            </w:tcBorders>
          </w:tcPr>
          <w:p w14:paraId="7F911B66">
            <w:pPr>
              <w:autoSpaceDE w:val="0"/>
              <w:autoSpaceDN w:val="0"/>
              <w:adjustRightInd w:val="0"/>
              <w:snapToGrid w:val="0"/>
              <w:spacing w:line="400" w:lineRule="atLeast"/>
              <w:rPr>
                <w:rFonts w:ascii="宋体"/>
                <w:szCs w:val="21"/>
              </w:rPr>
            </w:pPr>
            <w:r>
              <w:rPr>
                <w:rFonts w:hint="eastAsia" w:ascii="宋体"/>
                <w:szCs w:val="21"/>
              </w:rPr>
              <w:t>中小企业声明函（原件，格式见第四部分附件1）</w:t>
            </w:r>
          </w:p>
        </w:tc>
      </w:tr>
    </w:tbl>
    <w:p w14:paraId="41EA2C91">
      <w:pPr>
        <w:autoSpaceDE w:val="0"/>
        <w:autoSpaceDN w:val="0"/>
        <w:adjustRightInd w:val="0"/>
        <w:snapToGrid w:val="0"/>
        <w:spacing w:line="400" w:lineRule="atLeast"/>
        <w:ind w:firstLine="442" w:firstLineChars="200"/>
        <w:rPr>
          <w:rFonts w:ascii="宋体" w:hAnsi="宋体" w:cs="宋体"/>
          <w:b/>
          <w:sz w:val="22"/>
          <w:lang w:val="zh-CN"/>
        </w:rPr>
      </w:pPr>
      <w:r>
        <w:rPr>
          <w:rFonts w:hint="eastAsia" w:ascii="宋体" w:hAnsi="宋体" w:cs="宋体"/>
          <w:b/>
          <w:bCs/>
          <w:sz w:val="22"/>
        </w:rPr>
        <w:t>2.3</w:t>
      </w:r>
      <w:r>
        <w:rPr>
          <w:rFonts w:hint="eastAsia" w:ascii="宋体"/>
          <w:b/>
          <w:bCs/>
          <w:sz w:val="22"/>
          <w:szCs w:val="24"/>
        </w:rPr>
        <w:t>《商务技术文件》</w:t>
      </w:r>
      <w:r>
        <w:rPr>
          <w:rFonts w:hint="eastAsia" w:ascii="宋体" w:hAnsi="宋体" w:cs="宋体"/>
          <w:b/>
          <w:bCs/>
          <w:sz w:val="22"/>
          <w:lang w:val="zh-CN"/>
        </w:rPr>
        <w:t>组成</w:t>
      </w:r>
    </w:p>
    <w:tbl>
      <w:tblPr>
        <w:tblStyle w:val="3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781"/>
      </w:tblGrid>
      <w:tr w14:paraId="4396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3749EB10">
            <w:pPr>
              <w:autoSpaceDE w:val="0"/>
              <w:autoSpaceDN w:val="0"/>
              <w:adjustRightInd w:val="0"/>
              <w:snapToGrid w:val="0"/>
              <w:spacing w:line="400" w:lineRule="atLeast"/>
              <w:rPr>
                <w:rFonts w:ascii="宋体" w:cs="宋体"/>
                <w:szCs w:val="21"/>
              </w:rPr>
            </w:pPr>
            <w:r>
              <w:rPr>
                <w:rFonts w:ascii="宋体"/>
                <w:sz w:val="22"/>
                <w:szCs w:val="24"/>
              </w:rPr>
              <w:t>技术部分</w:t>
            </w:r>
            <w:r>
              <w:rPr>
                <w:rFonts w:ascii="宋体"/>
                <w:b/>
                <w:bCs/>
                <w:szCs w:val="24"/>
                <w:u w:val="single"/>
              </w:rPr>
              <w:t>（</w:t>
            </w:r>
            <w:r>
              <w:rPr>
                <w:rFonts w:hint="eastAsia" w:ascii="宋体" w:hAnsi="宋体"/>
                <w:sz w:val="22"/>
                <w:szCs w:val="24"/>
                <w:lang w:val="zh-CN"/>
              </w:rPr>
              <w:t>▲</w:t>
            </w:r>
            <w:r>
              <w:rPr>
                <w:rFonts w:ascii="宋体"/>
                <w:b/>
                <w:bCs/>
                <w:szCs w:val="24"/>
                <w:u w:val="single"/>
              </w:rPr>
              <w:t>序号1-</w:t>
            </w:r>
            <w:r>
              <w:rPr>
                <w:rFonts w:hint="eastAsia" w:ascii="宋体"/>
                <w:b/>
                <w:bCs/>
                <w:szCs w:val="24"/>
                <w:u w:val="single"/>
              </w:rPr>
              <w:t>5</w:t>
            </w:r>
            <w:r>
              <w:rPr>
                <w:rFonts w:ascii="宋体"/>
                <w:b/>
                <w:bCs/>
                <w:szCs w:val="24"/>
                <w:u w:val="single"/>
              </w:rPr>
              <w:t>项供应商必须提供，否则不能通过</w:t>
            </w:r>
            <w:r>
              <w:rPr>
                <w:rFonts w:hint="eastAsia" w:ascii="宋体"/>
                <w:b/>
                <w:bCs/>
                <w:szCs w:val="24"/>
                <w:u w:val="single"/>
              </w:rPr>
              <w:t>符合性审查</w:t>
            </w:r>
            <w:r>
              <w:rPr>
                <w:rFonts w:ascii="宋体"/>
                <w:b/>
                <w:bCs/>
                <w:szCs w:val="24"/>
                <w:u w:val="single"/>
              </w:rPr>
              <w:t>的，责任自负）</w:t>
            </w:r>
          </w:p>
        </w:tc>
      </w:tr>
      <w:tr w14:paraId="7DF7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382F9A32">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vAlign w:val="center"/>
          </w:tcPr>
          <w:p w14:paraId="504832EE">
            <w:pPr>
              <w:autoSpaceDE w:val="0"/>
              <w:autoSpaceDN w:val="0"/>
              <w:adjustRightInd w:val="0"/>
              <w:snapToGrid w:val="0"/>
              <w:spacing w:line="400" w:lineRule="atLeast"/>
              <w:rPr>
                <w:rFonts w:ascii="宋体"/>
                <w:szCs w:val="24"/>
              </w:rPr>
            </w:pPr>
            <w:r>
              <w:rPr>
                <w:rFonts w:ascii="宋体"/>
                <w:szCs w:val="24"/>
              </w:rPr>
              <w:t>投标函（</w:t>
            </w:r>
            <w:r>
              <w:rPr>
                <w:rFonts w:hint="eastAsia" w:ascii="宋体"/>
                <w:szCs w:val="24"/>
              </w:rPr>
              <w:t>见</w:t>
            </w:r>
            <w:r>
              <w:rPr>
                <w:rFonts w:ascii="宋体"/>
                <w:szCs w:val="24"/>
              </w:rPr>
              <w:t>附件</w:t>
            </w:r>
            <w:r>
              <w:rPr>
                <w:rFonts w:hint="eastAsia" w:ascii="宋体"/>
                <w:szCs w:val="24"/>
              </w:rPr>
              <w:t>六</w:t>
            </w:r>
            <w:r>
              <w:rPr>
                <w:rFonts w:ascii="宋体"/>
                <w:szCs w:val="24"/>
              </w:rPr>
              <w:t>）</w:t>
            </w:r>
          </w:p>
        </w:tc>
      </w:tr>
      <w:tr w14:paraId="2E09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2659CD49">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tcPr>
          <w:p w14:paraId="071B2F86">
            <w:pPr>
              <w:autoSpaceDE w:val="0"/>
              <w:autoSpaceDN w:val="0"/>
              <w:adjustRightInd w:val="0"/>
              <w:snapToGrid w:val="0"/>
              <w:spacing w:line="400" w:lineRule="atLeast"/>
              <w:rPr>
                <w:rFonts w:ascii="宋体"/>
                <w:szCs w:val="24"/>
              </w:rPr>
            </w:pPr>
            <w:r>
              <w:rPr>
                <w:rFonts w:hint="eastAsia" w:ascii="宋体"/>
                <w:szCs w:val="24"/>
              </w:rPr>
              <w:t>供应商参与国企采购活动投标资格声明函</w:t>
            </w:r>
            <w:r>
              <w:rPr>
                <w:rFonts w:ascii="宋体"/>
                <w:szCs w:val="24"/>
              </w:rPr>
              <w:t>（见附件</w:t>
            </w:r>
            <w:r>
              <w:rPr>
                <w:rFonts w:hint="eastAsia" w:ascii="宋体"/>
                <w:szCs w:val="24"/>
              </w:rPr>
              <w:t>七</w:t>
            </w:r>
            <w:r>
              <w:rPr>
                <w:rFonts w:ascii="宋体"/>
                <w:szCs w:val="24"/>
              </w:rPr>
              <w:t>）</w:t>
            </w:r>
          </w:p>
        </w:tc>
      </w:tr>
      <w:tr w14:paraId="75AF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544CF085">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tcPr>
          <w:p w14:paraId="7E31613B">
            <w:pPr>
              <w:autoSpaceDE w:val="0"/>
              <w:autoSpaceDN w:val="0"/>
              <w:adjustRightInd w:val="0"/>
              <w:snapToGrid w:val="0"/>
              <w:spacing w:line="400" w:lineRule="atLeast"/>
              <w:rPr>
                <w:rFonts w:ascii="宋体"/>
                <w:szCs w:val="24"/>
              </w:rPr>
            </w:pPr>
            <w:r>
              <w:rPr>
                <w:rFonts w:ascii="宋体"/>
                <w:szCs w:val="24"/>
              </w:rPr>
              <w:t>法定代表人诚信投标承诺书（</w:t>
            </w:r>
            <w:r>
              <w:rPr>
                <w:rFonts w:hint="eastAsia" w:ascii="宋体"/>
                <w:szCs w:val="24"/>
              </w:rPr>
              <w:t>见</w:t>
            </w:r>
            <w:r>
              <w:rPr>
                <w:rFonts w:ascii="宋体"/>
                <w:szCs w:val="24"/>
              </w:rPr>
              <w:t>附件</w:t>
            </w:r>
            <w:r>
              <w:rPr>
                <w:rFonts w:hint="eastAsia" w:ascii="宋体"/>
                <w:szCs w:val="24"/>
              </w:rPr>
              <w:t>八</w:t>
            </w:r>
            <w:r>
              <w:rPr>
                <w:rFonts w:ascii="宋体"/>
                <w:szCs w:val="24"/>
              </w:rPr>
              <w:t>）</w:t>
            </w:r>
          </w:p>
        </w:tc>
      </w:tr>
      <w:tr w14:paraId="4F3E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46ADA37E">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vAlign w:val="center"/>
          </w:tcPr>
          <w:p w14:paraId="23EA6A24">
            <w:pPr>
              <w:autoSpaceDE w:val="0"/>
              <w:autoSpaceDN w:val="0"/>
              <w:adjustRightInd w:val="0"/>
              <w:snapToGrid w:val="0"/>
              <w:spacing w:line="400" w:lineRule="atLeast"/>
              <w:rPr>
                <w:rFonts w:ascii="宋体"/>
                <w:szCs w:val="24"/>
              </w:rPr>
            </w:pPr>
            <w:r>
              <w:rPr>
                <w:rFonts w:ascii="宋体"/>
                <w:szCs w:val="24"/>
              </w:rPr>
              <w:t>商务偏离表（</w:t>
            </w:r>
            <w:r>
              <w:rPr>
                <w:rFonts w:hint="eastAsia" w:ascii="宋体"/>
                <w:szCs w:val="24"/>
              </w:rPr>
              <w:t>见</w:t>
            </w:r>
            <w:r>
              <w:rPr>
                <w:rFonts w:ascii="宋体"/>
                <w:szCs w:val="24"/>
              </w:rPr>
              <w:t>附件</w:t>
            </w:r>
            <w:r>
              <w:rPr>
                <w:rFonts w:hint="eastAsia" w:ascii="宋体"/>
                <w:szCs w:val="24"/>
              </w:rPr>
              <w:t>九</w:t>
            </w:r>
            <w:r>
              <w:rPr>
                <w:rFonts w:ascii="宋体"/>
                <w:szCs w:val="24"/>
              </w:rPr>
              <w:t>（一））</w:t>
            </w:r>
            <w:r>
              <w:rPr>
                <w:rFonts w:hint="eastAsia" w:ascii="宋体"/>
                <w:szCs w:val="24"/>
              </w:rPr>
              <w:t>、</w:t>
            </w:r>
            <w:r>
              <w:rPr>
                <w:rFonts w:ascii="宋体"/>
                <w:szCs w:val="24"/>
              </w:rPr>
              <w:t>技术偏离表（</w:t>
            </w:r>
            <w:r>
              <w:rPr>
                <w:rFonts w:hint="eastAsia" w:ascii="宋体"/>
                <w:szCs w:val="24"/>
              </w:rPr>
              <w:t>见</w:t>
            </w:r>
            <w:r>
              <w:rPr>
                <w:rFonts w:ascii="宋体"/>
                <w:szCs w:val="24"/>
              </w:rPr>
              <w:t>附件</w:t>
            </w:r>
            <w:r>
              <w:rPr>
                <w:rFonts w:hint="eastAsia" w:ascii="宋体"/>
                <w:szCs w:val="24"/>
              </w:rPr>
              <w:t>九</w:t>
            </w:r>
            <w:r>
              <w:rPr>
                <w:rFonts w:ascii="宋体"/>
                <w:szCs w:val="24"/>
              </w:rPr>
              <w:t>（二））</w:t>
            </w:r>
          </w:p>
        </w:tc>
      </w:tr>
      <w:tr w14:paraId="0986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46DE040B">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vAlign w:val="center"/>
          </w:tcPr>
          <w:p w14:paraId="0E4149A9">
            <w:pPr>
              <w:autoSpaceDE w:val="0"/>
              <w:autoSpaceDN w:val="0"/>
              <w:adjustRightInd w:val="0"/>
              <w:snapToGrid w:val="0"/>
              <w:spacing w:line="400" w:lineRule="atLeast"/>
              <w:rPr>
                <w:rFonts w:ascii="宋体"/>
                <w:szCs w:val="24"/>
              </w:rPr>
            </w:pPr>
            <w:r>
              <w:rPr>
                <w:rFonts w:hint="eastAsia" w:ascii="宋体"/>
                <w:szCs w:val="24"/>
              </w:rPr>
              <w:t>供应商项目服务人员汇总表（附件十）</w:t>
            </w:r>
          </w:p>
        </w:tc>
      </w:tr>
      <w:tr w14:paraId="6889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C98EBE2">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vAlign w:val="center"/>
          </w:tcPr>
          <w:p w14:paraId="70861162">
            <w:pPr>
              <w:autoSpaceDE w:val="0"/>
              <w:autoSpaceDN w:val="0"/>
              <w:adjustRightInd w:val="0"/>
              <w:snapToGrid w:val="0"/>
              <w:spacing w:line="400" w:lineRule="atLeast"/>
              <w:rPr>
                <w:rFonts w:ascii="宋体"/>
                <w:szCs w:val="24"/>
              </w:rPr>
            </w:pPr>
            <w:r>
              <w:rPr>
                <w:rFonts w:hint="eastAsia" w:ascii="宋体"/>
                <w:szCs w:val="24"/>
              </w:rPr>
              <w:t>项目技术方案（包括垃圾分类、设备设施投入等方案）</w:t>
            </w:r>
          </w:p>
        </w:tc>
      </w:tr>
      <w:tr w14:paraId="600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7E75ADA2">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vAlign w:val="center"/>
          </w:tcPr>
          <w:p w14:paraId="4D7D3217">
            <w:pPr>
              <w:autoSpaceDE w:val="0"/>
              <w:autoSpaceDN w:val="0"/>
              <w:adjustRightInd w:val="0"/>
              <w:snapToGrid w:val="0"/>
              <w:spacing w:line="400" w:lineRule="atLeast"/>
              <w:rPr>
                <w:rFonts w:ascii="宋体"/>
                <w:szCs w:val="24"/>
              </w:rPr>
            </w:pPr>
            <w:r>
              <w:rPr>
                <w:rFonts w:hint="eastAsia" w:ascii="宋体"/>
                <w:szCs w:val="24"/>
              </w:rPr>
              <w:t>距离采购单位最近的服务机构的详细介绍（如负责人，电话，地址，技术力量配备等）</w:t>
            </w:r>
          </w:p>
        </w:tc>
      </w:tr>
      <w:tr w14:paraId="1A0B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4987B0DB">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vAlign w:val="center"/>
          </w:tcPr>
          <w:p w14:paraId="262597B8">
            <w:pPr>
              <w:autoSpaceDE w:val="0"/>
              <w:autoSpaceDN w:val="0"/>
              <w:adjustRightInd w:val="0"/>
              <w:snapToGrid w:val="0"/>
              <w:spacing w:line="400" w:lineRule="atLeast"/>
              <w:rPr>
                <w:rFonts w:ascii="宋体"/>
                <w:szCs w:val="24"/>
              </w:rPr>
            </w:pPr>
            <w:r>
              <w:rPr>
                <w:rFonts w:ascii="宋体"/>
                <w:szCs w:val="24"/>
              </w:rPr>
              <w:t>根据招标文件中的采购内容与技术要求、评标细则，需要提供的其它文件和资料。</w:t>
            </w:r>
          </w:p>
        </w:tc>
      </w:tr>
      <w:tr w14:paraId="7AD3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9" w:type="dxa"/>
            <w:tcBorders>
              <w:top w:val="single" w:color="auto" w:sz="4" w:space="0"/>
              <w:left w:val="single" w:color="auto" w:sz="4" w:space="0"/>
              <w:bottom w:val="single" w:color="auto" w:sz="4" w:space="0"/>
              <w:right w:val="single" w:color="auto" w:sz="4" w:space="0"/>
            </w:tcBorders>
          </w:tcPr>
          <w:p w14:paraId="7F5229DE">
            <w:pPr>
              <w:numPr>
                <w:ilvl w:val="0"/>
                <w:numId w:val="7"/>
              </w:numPr>
              <w:autoSpaceDE w:val="0"/>
              <w:autoSpaceDN w:val="0"/>
              <w:adjustRightInd w:val="0"/>
              <w:snapToGrid w:val="0"/>
              <w:spacing w:line="400" w:lineRule="atLeast"/>
              <w:rPr>
                <w:rFonts w:ascii="宋体" w:hAnsi="宋体" w:eastAsia="Times New Roman" w:cs="宋体"/>
                <w:szCs w:val="21"/>
              </w:rPr>
            </w:pPr>
          </w:p>
        </w:tc>
        <w:tc>
          <w:tcPr>
            <w:tcW w:w="8781" w:type="dxa"/>
            <w:tcBorders>
              <w:top w:val="single" w:color="auto" w:sz="4" w:space="0"/>
              <w:left w:val="nil"/>
              <w:bottom w:val="single" w:color="auto" w:sz="4" w:space="0"/>
              <w:right w:val="single" w:color="auto" w:sz="4" w:space="0"/>
            </w:tcBorders>
            <w:vAlign w:val="center"/>
          </w:tcPr>
          <w:p w14:paraId="4FC9325F">
            <w:pPr>
              <w:autoSpaceDE w:val="0"/>
              <w:autoSpaceDN w:val="0"/>
              <w:adjustRightInd w:val="0"/>
              <w:snapToGrid w:val="0"/>
              <w:spacing w:line="400" w:lineRule="atLeast"/>
              <w:rPr>
                <w:rFonts w:ascii="宋体"/>
                <w:szCs w:val="24"/>
              </w:rPr>
            </w:pPr>
            <w:r>
              <w:rPr>
                <w:rFonts w:ascii="宋体"/>
                <w:szCs w:val="24"/>
              </w:rPr>
              <w:t>其它供应商须说明的资料（如有则提供）</w:t>
            </w:r>
          </w:p>
        </w:tc>
      </w:tr>
    </w:tbl>
    <w:p w14:paraId="27B4397A">
      <w:pPr>
        <w:autoSpaceDE w:val="0"/>
        <w:autoSpaceDN w:val="0"/>
        <w:adjustRightInd w:val="0"/>
        <w:snapToGrid w:val="0"/>
        <w:spacing w:line="400" w:lineRule="exact"/>
        <w:textAlignment w:val="bottom"/>
        <w:rPr>
          <w:rFonts w:ascii="宋体" w:hAnsi="宋体" w:cs="宋体"/>
          <w:sz w:val="22"/>
        </w:rPr>
      </w:pPr>
      <w:r>
        <w:rPr>
          <w:rFonts w:hint="eastAsia" w:ascii="宋体" w:hAnsi="宋体" w:cs="宋体"/>
          <w:sz w:val="22"/>
        </w:rPr>
        <w:t>3.投标内容填写说明</w:t>
      </w:r>
    </w:p>
    <w:p w14:paraId="7556E256">
      <w:pPr>
        <w:autoSpaceDE w:val="0"/>
        <w:autoSpaceDN w:val="0"/>
        <w:adjustRightInd w:val="0"/>
        <w:spacing w:line="400" w:lineRule="exact"/>
        <w:ind w:firstLine="440" w:firstLineChars="200"/>
        <w:textAlignment w:val="bottom"/>
        <w:rPr>
          <w:rFonts w:ascii="宋体" w:hAnsi="宋体" w:cs="宋体"/>
          <w:sz w:val="22"/>
        </w:rPr>
      </w:pPr>
      <w:r>
        <w:rPr>
          <w:rFonts w:hint="eastAsia" w:ascii="宋体" w:hAnsi="宋体" w:cs="宋体"/>
          <w:sz w:val="22"/>
        </w:rPr>
        <w:t>供应商应按照（上表）所列出的内容及格式组成投标文件并装订成册。</w:t>
      </w:r>
    </w:p>
    <w:p w14:paraId="53194E4F">
      <w:pPr>
        <w:autoSpaceDE w:val="0"/>
        <w:autoSpaceDN w:val="0"/>
        <w:adjustRightInd w:val="0"/>
        <w:snapToGrid w:val="0"/>
        <w:spacing w:line="400" w:lineRule="exact"/>
        <w:textAlignment w:val="bottom"/>
        <w:rPr>
          <w:rFonts w:ascii="宋体" w:hAnsi="宋体" w:cs="宋体"/>
          <w:sz w:val="22"/>
        </w:rPr>
      </w:pPr>
      <w:bookmarkStart w:id="18" w:name="_Toc132122115"/>
      <w:bookmarkStart w:id="19" w:name="_Toc132122412"/>
      <w:r>
        <w:rPr>
          <w:rFonts w:hint="eastAsia" w:ascii="宋体" w:hAnsi="宋体" w:cs="宋体"/>
          <w:sz w:val="22"/>
        </w:rPr>
        <w:t>4.投标报价</w:t>
      </w:r>
      <w:bookmarkEnd w:id="18"/>
      <w:bookmarkEnd w:id="19"/>
    </w:p>
    <w:p w14:paraId="7BBFF634">
      <w:pPr>
        <w:autoSpaceDE w:val="0"/>
        <w:autoSpaceDN w:val="0"/>
        <w:adjustRightInd w:val="0"/>
        <w:spacing w:line="400" w:lineRule="exact"/>
        <w:ind w:firstLine="440" w:firstLineChars="200"/>
        <w:textAlignment w:val="bottom"/>
        <w:rPr>
          <w:rFonts w:ascii="宋体" w:hAnsi="宋体" w:cs="宋体"/>
          <w:sz w:val="22"/>
        </w:rPr>
      </w:pPr>
      <w:r>
        <w:rPr>
          <w:rFonts w:hint="eastAsia" w:ascii="宋体" w:hAnsi="宋体" w:cs="宋体"/>
          <w:sz w:val="22"/>
        </w:rPr>
        <w:t>4.1 供应商应按招标文件中《</w:t>
      </w:r>
      <w:r>
        <w:rPr>
          <w:rFonts w:hint="eastAsia" w:ascii="宋体"/>
          <w:szCs w:val="21"/>
        </w:rPr>
        <w:t>投标报价一览表</w:t>
      </w:r>
      <w:r>
        <w:rPr>
          <w:rFonts w:hint="eastAsia" w:ascii="宋体" w:hAnsi="宋体" w:cs="宋体"/>
          <w:sz w:val="22"/>
        </w:rPr>
        <w:t>》填写投标报价。</w:t>
      </w:r>
    </w:p>
    <w:p w14:paraId="5429FE3A">
      <w:pPr>
        <w:autoSpaceDE w:val="0"/>
        <w:autoSpaceDN w:val="0"/>
        <w:adjustRightInd w:val="0"/>
        <w:spacing w:line="400" w:lineRule="exact"/>
        <w:ind w:firstLine="440" w:firstLineChars="200"/>
        <w:textAlignment w:val="bottom"/>
        <w:rPr>
          <w:rFonts w:ascii="宋体" w:hAnsi="宋体" w:cs="宋体"/>
          <w:sz w:val="22"/>
          <w:u w:val="single"/>
        </w:rPr>
      </w:pPr>
      <w:r>
        <w:rPr>
          <w:rFonts w:hint="eastAsia" w:ascii="宋体" w:hAnsi="宋体" w:cs="宋体"/>
          <w:sz w:val="22"/>
        </w:rPr>
        <w:t>4.2 供应商应在各自技术和商务占优势的基础上并充分考虑本项目的重要性，提供对采购人最优惠的报价。</w:t>
      </w:r>
    </w:p>
    <w:p w14:paraId="4965E192">
      <w:pPr>
        <w:autoSpaceDE w:val="0"/>
        <w:autoSpaceDN w:val="0"/>
        <w:adjustRightInd w:val="0"/>
        <w:spacing w:line="400" w:lineRule="exact"/>
        <w:ind w:firstLine="440" w:firstLineChars="200"/>
        <w:textAlignment w:val="bottom"/>
        <w:rPr>
          <w:rFonts w:ascii="宋体" w:hAnsi="宋体" w:cs="宋体"/>
          <w:sz w:val="22"/>
        </w:rPr>
      </w:pPr>
      <w:r>
        <w:rPr>
          <w:rFonts w:hint="eastAsia" w:ascii="宋体" w:hAnsi="宋体" w:cs="宋体"/>
          <w:sz w:val="22"/>
        </w:rPr>
        <w:t>5.采购人要求分类报价是为了方便评标，但在任何情况下不限制采购人以其认为最合适的条款签订合同的权利。</w:t>
      </w:r>
    </w:p>
    <w:p w14:paraId="422193C2">
      <w:pPr>
        <w:autoSpaceDE w:val="0"/>
        <w:autoSpaceDN w:val="0"/>
        <w:adjustRightInd w:val="0"/>
        <w:spacing w:line="400" w:lineRule="exact"/>
        <w:ind w:firstLine="440" w:firstLineChars="200"/>
        <w:textAlignment w:val="bottom"/>
        <w:rPr>
          <w:rFonts w:ascii="宋体" w:hAnsi="宋体" w:cs="宋体"/>
          <w:sz w:val="22"/>
        </w:rPr>
      </w:pPr>
      <w:bookmarkStart w:id="20" w:name="_Toc132122117"/>
      <w:bookmarkStart w:id="21" w:name="_Toc132122414"/>
      <w:r>
        <w:rPr>
          <w:rFonts w:hint="eastAsia" w:ascii="宋体" w:hAnsi="宋体" w:cs="宋体"/>
          <w:sz w:val="22"/>
        </w:rPr>
        <w:t>6.投标文件的有效期</w:t>
      </w:r>
      <w:bookmarkEnd w:id="20"/>
      <w:bookmarkEnd w:id="21"/>
    </w:p>
    <w:p w14:paraId="627CEF95">
      <w:pPr>
        <w:autoSpaceDE w:val="0"/>
        <w:autoSpaceDN w:val="0"/>
        <w:adjustRightInd w:val="0"/>
        <w:spacing w:line="400" w:lineRule="exact"/>
        <w:ind w:firstLine="440" w:firstLineChars="200"/>
        <w:textAlignment w:val="bottom"/>
        <w:rPr>
          <w:rFonts w:ascii="宋体" w:hAnsi="宋体" w:cs="宋体"/>
          <w:sz w:val="22"/>
        </w:rPr>
      </w:pPr>
      <w:r>
        <w:rPr>
          <w:rFonts w:hint="eastAsia" w:ascii="宋体" w:hAnsi="宋体" w:cs="宋体"/>
          <w:sz w:val="22"/>
        </w:rPr>
        <w:t>6.1 自报价截止时间起90天内，投标文件应保持有效。有效期短于这个规定期限的报价将被拒绝。</w:t>
      </w:r>
    </w:p>
    <w:p w14:paraId="548EC068">
      <w:pPr>
        <w:autoSpaceDE w:val="0"/>
        <w:autoSpaceDN w:val="0"/>
        <w:adjustRightInd w:val="0"/>
        <w:spacing w:line="400" w:lineRule="exact"/>
        <w:ind w:firstLine="440" w:firstLineChars="200"/>
        <w:textAlignment w:val="bottom"/>
        <w:rPr>
          <w:rFonts w:ascii="宋体" w:hAnsi="宋体" w:cs="宋体"/>
          <w:sz w:val="22"/>
        </w:rPr>
      </w:pPr>
      <w:r>
        <w:rPr>
          <w:rFonts w:hint="eastAsia" w:ascii="宋体" w:hAnsi="宋体" w:cs="宋体"/>
          <w:sz w:val="22"/>
        </w:rPr>
        <w:t>6.2 在特殊情况下，采购人可与供应商协商延长投标文件的有效期，这种要求和答复均应以书面形式进行。</w:t>
      </w:r>
    </w:p>
    <w:p w14:paraId="0A9CA182">
      <w:pPr>
        <w:autoSpaceDE w:val="0"/>
        <w:autoSpaceDN w:val="0"/>
        <w:adjustRightInd w:val="0"/>
        <w:spacing w:line="400" w:lineRule="exact"/>
        <w:ind w:firstLine="440" w:firstLineChars="200"/>
        <w:textAlignment w:val="bottom"/>
        <w:rPr>
          <w:rFonts w:ascii="宋体" w:hAnsi="宋体" w:cs="宋体"/>
          <w:sz w:val="22"/>
        </w:rPr>
      </w:pPr>
      <w:r>
        <w:rPr>
          <w:rFonts w:hint="eastAsia" w:ascii="宋体" w:hAnsi="宋体" w:cs="宋体"/>
          <w:sz w:val="22"/>
        </w:rPr>
        <w:t>6.3 供应商可拒绝接受延期要求，同意延长有效期的供应商不能修改投标文件。</w:t>
      </w:r>
    </w:p>
    <w:p w14:paraId="6622624F">
      <w:pPr>
        <w:autoSpaceDE w:val="0"/>
        <w:autoSpaceDN w:val="0"/>
        <w:adjustRightInd w:val="0"/>
        <w:snapToGrid w:val="0"/>
        <w:spacing w:line="380" w:lineRule="atLeast"/>
        <w:textAlignment w:val="bottom"/>
        <w:outlineLvl w:val="1"/>
        <w:rPr>
          <w:rFonts w:ascii="宋体"/>
          <w:b/>
          <w:bCs/>
          <w:sz w:val="22"/>
          <w:szCs w:val="22"/>
        </w:rPr>
      </w:pPr>
      <w:bookmarkStart w:id="22" w:name="_Toc132655776"/>
      <w:bookmarkStart w:id="23" w:name="_Toc132123547"/>
      <w:bookmarkStart w:id="24" w:name="_Toc132122119"/>
      <w:bookmarkStart w:id="25" w:name="_Toc132125574"/>
      <w:bookmarkStart w:id="26" w:name="_Toc132123634"/>
      <w:bookmarkStart w:id="27" w:name="_Toc132123439"/>
      <w:bookmarkStart w:id="28" w:name="_Toc132126154"/>
      <w:bookmarkStart w:id="29" w:name="_Toc132123838"/>
      <w:bookmarkStart w:id="30" w:name="_Toc132125037"/>
      <w:bookmarkStart w:id="31" w:name="_Toc132122416"/>
      <w:bookmarkStart w:id="32" w:name="_Toc132125983"/>
      <w:bookmarkStart w:id="33" w:name="_Toc132123881"/>
      <w:bookmarkStart w:id="34" w:name="_Toc132124594"/>
      <w:bookmarkStart w:id="35" w:name="_Toc132125095"/>
      <w:bookmarkStart w:id="36" w:name="_Toc511768883"/>
      <w:bookmarkStart w:id="37" w:name="_Toc132125151"/>
      <w:bookmarkStart w:id="38" w:name="_Toc132122417"/>
      <w:bookmarkStart w:id="39" w:name="_Toc132123839"/>
      <w:bookmarkStart w:id="40" w:name="_Toc132125575"/>
      <w:bookmarkStart w:id="41" w:name="_Toc132125152"/>
      <w:bookmarkStart w:id="42" w:name="_Toc132125038"/>
      <w:bookmarkStart w:id="43" w:name="_Toc132126155"/>
      <w:bookmarkStart w:id="44" w:name="_Toc132123635"/>
      <w:bookmarkStart w:id="45" w:name="_Toc15003_WPSOffice_Level2"/>
      <w:bookmarkStart w:id="46" w:name="_Toc132122120"/>
      <w:bookmarkStart w:id="47" w:name="_Toc132124595"/>
      <w:bookmarkStart w:id="48" w:name="_Toc493530207"/>
      <w:bookmarkStart w:id="49" w:name="_Toc132123440"/>
      <w:bookmarkStart w:id="50" w:name="_Toc132123548"/>
      <w:bookmarkStart w:id="51" w:name="_Toc132123882"/>
      <w:bookmarkStart w:id="52" w:name="_Toc132125096"/>
      <w:bookmarkStart w:id="53" w:name="_Toc132655777"/>
      <w:bookmarkStart w:id="54" w:name="_Toc132125984"/>
      <w:r>
        <w:rPr>
          <w:rFonts w:hint="eastAsia" w:ascii="宋体"/>
          <w:b/>
          <w:bCs/>
          <w:sz w:val="22"/>
          <w:szCs w:val="22"/>
        </w:rPr>
        <w:t>四、投标文件的密封与递交</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B27E549">
      <w:pPr>
        <w:adjustRightInd w:val="0"/>
        <w:snapToGrid w:val="0"/>
        <w:spacing w:line="380" w:lineRule="atLeast"/>
        <w:ind w:firstLine="440" w:firstLineChars="200"/>
        <w:rPr>
          <w:rFonts w:ascii="宋体" w:hAnsi="宋体" w:cs="Arial"/>
          <w:sz w:val="22"/>
          <w:szCs w:val="22"/>
        </w:rPr>
      </w:pPr>
      <w:r>
        <w:rPr>
          <w:rFonts w:hint="eastAsia" w:ascii="宋体" w:hAnsi="宋体" w:cs="Arial"/>
          <w:sz w:val="22"/>
          <w:szCs w:val="22"/>
        </w:rPr>
        <w:t>1、投标文件的密封及标记</w:t>
      </w:r>
    </w:p>
    <w:p w14:paraId="0BAD1DF0">
      <w:pPr>
        <w:adjustRightInd w:val="0"/>
        <w:snapToGrid w:val="0"/>
        <w:spacing w:line="380" w:lineRule="atLeast"/>
        <w:rPr>
          <w:rFonts w:ascii="宋体" w:hAnsi="宋体" w:cs="Arial"/>
          <w:sz w:val="22"/>
          <w:szCs w:val="22"/>
        </w:rPr>
      </w:pPr>
      <w:r>
        <w:rPr>
          <w:rFonts w:hint="eastAsia" w:ascii="宋体" w:hAnsi="宋体" w:cs="Arial"/>
          <w:sz w:val="22"/>
          <w:szCs w:val="22"/>
        </w:rPr>
        <w:t xml:space="preserve">    1.1投标文件应按以下方法装袋密封</w:t>
      </w:r>
    </w:p>
    <w:p w14:paraId="7BE429A8">
      <w:pPr>
        <w:adjustRightInd w:val="0"/>
        <w:snapToGrid w:val="0"/>
        <w:spacing w:line="380" w:lineRule="atLeast"/>
        <w:ind w:firstLine="440" w:firstLineChars="200"/>
        <w:rPr>
          <w:rFonts w:ascii="宋体" w:hAnsi="宋体" w:cs="Arial"/>
          <w:b/>
          <w:sz w:val="22"/>
          <w:szCs w:val="22"/>
          <w:u w:val="single"/>
        </w:rPr>
      </w:pPr>
      <w:r>
        <w:rPr>
          <w:rFonts w:hint="eastAsia" w:ascii="宋体" w:hAnsi="宋体"/>
          <w:sz w:val="22"/>
          <w:szCs w:val="22"/>
          <w:u w:val="single"/>
        </w:rPr>
        <w:t>▲</w:t>
      </w:r>
      <w:r>
        <w:rPr>
          <w:rFonts w:hint="eastAsia" w:ascii="宋体" w:hAnsi="宋体" w:cs="Arial"/>
          <w:b/>
          <w:sz w:val="22"/>
          <w:szCs w:val="22"/>
          <w:u w:val="single"/>
        </w:rPr>
        <w:t>投标文件商务报价部分（即报价文件）和技术资信部分（即商务技术文件和资格文件）须分别装订成册，且分别密封。所有投标文件资料按顺序装订成册，并注明正、副本字样后装入密封袋内。注明需盖公章及签字（或签章）处，应有供应商公章及投标授权代表签字（或签章）。封皮上写明</w:t>
      </w:r>
      <w:r>
        <w:rPr>
          <w:rFonts w:hint="eastAsia" w:ascii="宋体" w:hAnsi="宋体"/>
          <w:b/>
          <w:sz w:val="22"/>
          <w:szCs w:val="22"/>
          <w:u w:val="single"/>
        </w:rPr>
        <w:t>采购人名称，招标编号、招标项目名称、供应商名称</w:t>
      </w:r>
      <w:r>
        <w:rPr>
          <w:rFonts w:hint="eastAsia" w:ascii="宋体" w:hAnsi="宋体" w:cs="Arial"/>
          <w:b/>
          <w:sz w:val="22"/>
          <w:szCs w:val="22"/>
          <w:u w:val="single"/>
        </w:rPr>
        <w:t>。并分别注明“商务报价投标文件”、“技术资信投标文件”、“开标时启封”字样。</w:t>
      </w:r>
    </w:p>
    <w:p w14:paraId="77DC81D0">
      <w:pPr>
        <w:adjustRightInd w:val="0"/>
        <w:snapToGrid w:val="0"/>
        <w:spacing w:line="380" w:lineRule="atLeast"/>
        <w:rPr>
          <w:rFonts w:ascii="宋体" w:hAnsi="宋体" w:cs="Arial"/>
          <w:sz w:val="22"/>
          <w:szCs w:val="22"/>
        </w:rPr>
      </w:pPr>
      <w:r>
        <w:rPr>
          <w:rFonts w:hint="eastAsia" w:ascii="宋体" w:hAnsi="宋体" w:cs="Arial"/>
          <w:sz w:val="22"/>
          <w:szCs w:val="22"/>
        </w:rPr>
        <w:t xml:space="preserve">    1.2如果供应商未按上述要求密封及加写标记，导致投标文件被拒绝接收的责任自负。</w:t>
      </w:r>
    </w:p>
    <w:p w14:paraId="359B9667">
      <w:pPr>
        <w:adjustRightInd w:val="0"/>
        <w:snapToGrid w:val="0"/>
        <w:spacing w:line="380" w:lineRule="atLeast"/>
        <w:rPr>
          <w:rFonts w:ascii="宋体" w:hAnsi="宋体" w:cs="Arial"/>
          <w:sz w:val="22"/>
          <w:szCs w:val="22"/>
        </w:rPr>
      </w:pPr>
      <w:r>
        <w:rPr>
          <w:rFonts w:hint="eastAsia" w:ascii="宋体" w:hAnsi="宋体" w:cs="Arial"/>
          <w:sz w:val="22"/>
          <w:szCs w:val="22"/>
        </w:rPr>
        <w:t xml:space="preserve">    2、投标截止时间</w:t>
      </w:r>
    </w:p>
    <w:p w14:paraId="500C03BC">
      <w:pPr>
        <w:adjustRightInd w:val="0"/>
        <w:snapToGrid w:val="0"/>
        <w:spacing w:line="380" w:lineRule="atLeast"/>
        <w:rPr>
          <w:rFonts w:ascii="宋体" w:hAnsi="宋体" w:cs="Arial"/>
          <w:sz w:val="22"/>
          <w:szCs w:val="22"/>
        </w:rPr>
      </w:pPr>
      <w:r>
        <w:rPr>
          <w:rFonts w:hint="eastAsia" w:ascii="宋体" w:hAnsi="宋体" w:cs="Arial"/>
          <w:sz w:val="22"/>
          <w:szCs w:val="22"/>
        </w:rPr>
        <w:t xml:space="preserve">    2.1投标文件必须在投标文件递交截止时间前递交至指定的投标地点。</w:t>
      </w:r>
    </w:p>
    <w:p w14:paraId="40D8A3ED">
      <w:pPr>
        <w:adjustRightInd w:val="0"/>
        <w:snapToGrid w:val="0"/>
        <w:spacing w:line="380" w:lineRule="atLeast"/>
        <w:ind w:firstLine="440" w:firstLineChars="200"/>
        <w:rPr>
          <w:rFonts w:ascii="宋体" w:hAnsi="宋体" w:cs="Arial"/>
          <w:sz w:val="22"/>
          <w:szCs w:val="22"/>
        </w:rPr>
      </w:pPr>
      <w:r>
        <w:rPr>
          <w:rFonts w:hint="eastAsia" w:ascii="宋体" w:hAnsi="宋体" w:cs="Arial"/>
          <w:sz w:val="22"/>
          <w:szCs w:val="22"/>
        </w:rPr>
        <w:t>2.2采购机构如因故推迟投标截止时间，应在投标截止前以更正公告形式通知所有供应商。在这种情况下，供应商的权利和义务将受到新的截止时间的约束。</w:t>
      </w:r>
    </w:p>
    <w:p w14:paraId="2FB7A082">
      <w:pPr>
        <w:adjustRightInd w:val="0"/>
        <w:snapToGrid w:val="0"/>
        <w:spacing w:line="380" w:lineRule="atLeast"/>
        <w:ind w:firstLine="440" w:firstLineChars="200"/>
        <w:rPr>
          <w:rFonts w:ascii="宋体" w:hAnsi="宋体" w:cs="Arial"/>
          <w:sz w:val="22"/>
          <w:szCs w:val="22"/>
        </w:rPr>
      </w:pPr>
      <w:r>
        <w:rPr>
          <w:rFonts w:hint="eastAsia" w:ascii="宋体" w:hAnsi="宋体" w:cs="Arial"/>
          <w:sz w:val="22"/>
          <w:szCs w:val="22"/>
        </w:rPr>
        <w:t>3、投标文件的修改和撤回</w:t>
      </w:r>
    </w:p>
    <w:p w14:paraId="07D639F3">
      <w:pPr>
        <w:adjustRightInd w:val="0"/>
        <w:snapToGrid w:val="0"/>
        <w:spacing w:line="380" w:lineRule="atLeast"/>
        <w:ind w:firstLine="440" w:firstLineChars="200"/>
        <w:rPr>
          <w:rFonts w:ascii="宋体" w:hAnsi="宋体" w:cs="Arial"/>
          <w:sz w:val="22"/>
          <w:szCs w:val="22"/>
        </w:rPr>
      </w:pPr>
      <w:r>
        <w:rPr>
          <w:rFonts w:hint="eastAsia" w:ascii="宋体" w:hAnsi="宋体" w:cs="Arial"/>
          <w:sz w:val="22"/>
          <w:szCs w:val="22"/>
        </w:rPr>
        <w:t>3.1</w:t>
      </w:r>
      <w:r>
        <w:rPr>
          <w:rFonts w:ascii="宋体" w:hAnsi="宋体" w:cs="Arial"/>
          <w:sz w:val="22"/>
          <w:szCs w:val="22"/>
        </w:rPr>
        <w:t>投标人在投标截止时间前，可以对所递交的投标文件进行补充、修改或者撤回，并书面通知采购人或者采购代理机构。补充、修改的内容应当按照招标文件要求签署、盖章、密封后，作为投标文件的组成部分</w:t>
      </w:r>
      <w:r>
        <w:rPr>
          <w:rFonts w:hint="eastAsia" w:ascii="宋体" w:hAnsi="宋体" w:cs="Arial"/>
          <w:sz w:val="22"/>
          <w:szCs w:val="22"/>
        </w:rPr>
        <w:t>。</w:t>
      </w:r>
    </w:p>
    <w:p w14:paraId="4E1F5209">
      <w:pPr>
        <w:adjustRightInd w:val="0"/>
        <w:snapToGrid w:val="0"/>
        <w:spacing w:line="380" w:lineRule="atLeast"/>
        <w:ind w:firstLine="431" w:firstLineChars="196"/>
        <w:rPr>
          <w:rFonts w:ascii="宋体" w:hAnsi="宋体"/>
          <w:sz w:val="22"/>
          <w:szCs w:val="22"/>
        </w:rPr>
      </w:pPr>
      <w:r>
        <w:rPr>
          <w:rFonts w:hint="eastAsia" w:ascii="宋体" w:hAnsi="宋体"/>
          <w:sz w:val="22"/>
          <w:szCs w:val="22"/>
        </w:rPr>
        <w:t>4、投标文件的递交</w:t>
      </w:r>
    </w:p>
    <w:p w14:paraId="06034C53">
      <w:pPr>
        <w:adjustRightInd w:val="0"/>
        <w:snapToGrid w:val="0"/>
        <w:spacing w:line="380" w:lineRule="atLeast"/>
        <w:ind w:firstLine="442" w:firstLineChars="200"/>
        <w:rPr>
          <w:rFonts w:ascii="宋体" w:hAnsi="宋体"/>
          <w:b/>
          <w:bCs/>
          <w:sz w:val="22"/>
          <w:szCs w:val="22"/>
        </w:rPr>
      </w:pPr>
      <w:r>
        <w:rPr>
          <w:rFonts w:hint="eastAsia" w:ascii="宋体" w:hAnsi="宋体"/>
          <w:b/>
          <w:bCs/>
          <w:sz w:val="22"/>
          <w:szCs w:val="22"/>
        </w:rPr>
        <w:t>递交投标文件时，需满足以下要求，否则该投标文件予以拒绝：</w:t>
      </w:r>
    </w:p>
    <w:p w14:paraId="4C364221">
      <w:pPr>
        <w:adjustRightInd w:val="0"/>
        <w:spacing w:line="380" w:lineRule="atLeast"/>
        <w:ind w:firstLine="440" w:firstLineChars="200"/>
        <w:rPr>
          <w:rFonts w:ascii="宋体" w:hAnsi="宋体"/>
          <w:sz w:val="22"/>
          <w:szCs w:val="22"/>
        </w:rPr>
      </w:pPr>
      <w:r>
        <w:rPr>
          <w:rFonts w:hint="eastAsia" w:ascii="宋体" w:hAnsi="宋体"/>
          <w:sz w:val="22"/>
          <w:szCs w:val="22"/>
        </w:rPr>
        <w:t>4.1在投标截止时间之前递交。</w:t>
      </w:r>
    </w:p>
    <w:p w14:paraId="1D7B4D6F">
      <w:pPr>
        <w:adjustRightInd w:val="0"/>
        <w:spacing w:line="380" w:lineRule="atLeast"/>
        <w:ind w:firstLine="440" w:firstLineChars="200"/>
        <w:rPr>
          <w:rFonts w:ascii="宋体" w:hAnsi="宋体"/>
          <w:sz w:val="22"/>
          <w:szCs w:val="22"/>
        </w:rPr>
      </w:pPr>
      <w:r>
        <w:rPr>
          <w:rFonts w:hint="eastAsia" w:ascii="宋体" w:hAnsi="宋体"/>
          <w:sz w:val="22"/>
          <w:szCs w:val="22"/>
        </w:rPr>
        <w:t>4.2包装与密封符合招标文件要求。</w:t>
      </w:r>
    </w:p>
    <w:p w14:paraId="7FD2CF08">
      <w:pPr>
        <w:adjustRightInd w:val="0"/>
        <w:spacing w:line="380" w:lineRule="atLeas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w:t>
      </w:r>
      <w:r>
        <w:rPr>
          <w:rFonts w:hint="eastAsia" w:ascii="宋体" w:hAnsi="宋体"/>
          <w:sz w:val="22"/>
          <w:szCs w:val="22"/>
        </w:rPr>
        <w:t>3</w:t>
      </w:r>
      <w:r>
        <w:rPr>
          <w:rFonts w:ascii="宋体" w:hAnsi="宋体"/>
          <w:sz w:val="22"/>
          <w:szCs w:val="22"/>
        </w:rPr>
        <w:t>投标文件递交到指定的投标地点。</w:t>
      </w:r>
    </w:p>
    <w:p w14:paraId="012A85EC">
      <w:pPr>
        <w:adjustRightInd w:val="0"/>
        <w:snapToGrid w:val="0"/>
        <w:spacing w:line="380" w:lineRule="atLeast"/>
        <w:ind w:firstLine="440" w:firstLineChars="200"/>
        <w:rPr>
          <w:rFonts w:ascii="宋体" w:hAnsi="宋体"/>
          <w:sz w:val="22"/>
          <w:szCs w:val="22"/>
        </w:rPr>
      </w:pPr>
      <w:r>
        <w:rPr>
          <w:rFonts w:hint="eastAsia" w:ascii="宋体" w:hAnsi="宋体"/>
          <w:sz w:val="22"/>
          <w:szCs w:val="22"/>
        </w:rPr>
        <w:t>4.4投标供应商法定代表人或其授权代表必须携合法有效身份证明、投标文件等相关资料，按招标文件规定本人亲自递交，并签字签到。</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1D67445F">
      <w:pPr>
        <w:autoSpaceDE w:val="0"/>
        <w:autoSpaceDN w:val="0"/>
        <w:adjustRightInd w:val="0"/>
        <w:snapToGrid w:val="0"/>
        <w:spacing w:line="380" w:lineRule="atLeast"/>
        <w:textAlignment w:val="bottom"/>
        <w:outlineLvl w:val="1"/>
        <w:rPr>
          <w:rFonts w:ascii="宋体"/>
          <w:b/>
          <w:bCs/>
          <w:sz w:val="22"/>
          <w:szCs w:val="22"/>
        </w:rPr>
      </w:pPr>
      <w:bookmarkStart w:id="55" w:name="_Toc511768884"/>
      <w:r>
        <w:rPr>
          <w:rFonts w:hint="eastAsia" w:ascii="宋体"/>
          <w:b/>
          <w:bCs/>
          <w:sz w:val="22"/>
          <w:szCs w:val="22"/>
        </w:rPr>
        <w:t>五、开标和评标</w:t>
      </w:r>
      <w:bookmarkEnd w:id="55"/>
    </w:p>
    <w:p w14:paraId="26FE7C21">
      <w:pPr>
        <w:adjustRightInd w:val="0"/>
        <w:snapToGrid w:val="0"/>
        <w:spacing w:line="380" w:lineRule="atLeast"/>
        <w:ind w:firstLine="433" w:firstLineChars="197"/>
        <w:rPr>
          <w:rFonts w:ascii="宋体" w:hAnsi="宋体"/>
          <w:sz w:val="22"/>
          <w:szCs w:val="22"/>
        </w:rPr>
      </w:pPr>
      <w:r>
        <w:rPr>
          <w:rFonts w:hint="eastAsia" w:ascii="宋体" w:hAnsi="宋体"/>
          <w:sz w:val="22"/>
          <w:szCs w:val="22"/>
        </w:rPr>
        <w:t>1、开标</w:t>
      </w:r>
    </w:p>
    <w:p w14:paraId="198102C0">
      <w:pPr>
        <w:adjustRightInd w:val="0"/>
        <w:snapToGrid w:val="0"/>
        <w:spacing w:line="380" w:lineRule="atLeast"/>
        <w:ind w:firstLine="433" w:firstLineChars="197"/>
        <w:rPr>
          <w:rFonts w:ascii="宋体" w:hAnsi="宋体"/>
          <w:sz w:val="22"/>
          <w:szCs w:val="22"/>
        </w:rPr>
      </w:pPr>
      <w:r>
        <w:rPr>
          <w:rFonts w:hint="eastAsia" w:ascii="宋体" w:hAnsi="宋体"/>
          <w:sz w:val="22"/>
          <w:szCs w:val="22"/>
        </w:rPr>
        <w:t>1.1采购代理机构按招标文件规定的时间、地点开标。</w:t>
      </w:r>
    </w:p>
    <w:p w14:paraId="317E5DCE">
      <w:pPr>
        <w:adjustRightInd w:val="0"/>
        <w:spacing w:line="380" w:lineRule="atLeast"/>
        <w:ind w:firstLine="433" w:firstLineChars="197"/>
        <w:rPr>
          <w:rFonts w:ascii="宋体" w:hAnsi="宋体"/>
          <w:sz w:val="22"/>
          <w:szCs w:val="22"/>
        </w:rPr>
      </w:pPr>
      <w:r>
        <w:rPr>
          <w:rFonts w:hint="eastAsia" w:ascii="宋体" w:hAnsi="宋体"/>
          <w:sz w:val="22"/>
          <w:szCs w:val="22"/>
        </w:rPr>
        <w:t>1.2开启技术资信标时，供应商法定代表人授权代表必须出示并递交法定代表人授权书原件（密封在技术资信部分投标文件中也为有效）、合法有效的身份证明；法定代表人直接作为投标代表的必须出示并递交营业执照复印件（密封在技术资信部分投标文件中也为有效）、合法有效的身份证明。</w:t>
      </w:r>
    </w:p>
    <w:p w14:paraId="26DB41FC">
      <w:pPr>
        <w:adjustRightInd w:val="0"/>
        <w:snapToGrid w:val="0"/>
        <w:spacing w:line="460" w:lineRule="atLeast"/>
        <w:ind w:firstLine="440" w:firstLineChars="200"/>
        <w:rPr>
          <w:rFonts w:ascii="宋体" w:hAnsi="宋体"/>
          <w:kern w:val="0"/>
          <w:sz w:val="22"/>
          <w:szCs w:val="22"/>
        </w:rPr>
      </w:pPr>
      <w:r>
        <w:rPr>
          <w:rFonts w:ascii="宋体" w:hAnsi="宋体"/>
          <w:kern w:val="0"/>
          <w:sz w:val="22"/>
          <w:szCs w:val="22"/>
        </w:rPr>
        <w:t>1.</w:t>
      </w:r>
      <w:r>
        <w:rPr>
          <w:rFonts w:hint="eastAsia" w:ascii="宋体" w:hAnsi="宋体"/>
          <w:kern w:val="0"/>
          <w:sz w:val="22"/>
          <w:szCs w:val="22"/>
        </w:rPr>
        <w:t>3</w:t>
      </w:r>
      <w:r>
        <w:rPr>
          <w:rFonts w:ascii="宋体" w:hAnsi="宋体"/>
          <w:kern w:val="0"/>
          <w:sz w:val="22"/>
          <w:szCs w:val="22"/>
        </w:rPr>
        <w:t>、开标</w:t>
      </w:r>
    </w:p>
    <w:p w14:paraId="4DA7ACA8">
      <w:pPr>
        <w:adjustRightInd w:val="0"/>
        <w:snapToGrid w:val="0"/>
        <w:spacing w:line="460" w:lineRule="atLeast"/>
        <w:ind w:firstLine="440" w:firstLineChars="200"/>
        <w:rPr>
          <w:rFonts w:ascii="宋体" w:hAnsi="宋体"/>
          <w:kern w:val="0"/>
          <w:sz w:val="22"/>
          <w:szCs w:val="22"/>
        </w:rPr>
      </w:pPr>
      <w:r>
        <w:rPr>
          <w:rFonts w:ascii="宋体" w:hAnsi="宋体"/>
          <w:kern w:val="0"/>
          <w:sz w:val="22"/>
          <w:szCs w:val="22"/>
        </w:rPr>
        <w:t xml:space="preserve">1）首先当众开启各投标供应商技术资信标。 </w:t>
      </w:r>
    </w:p>
    <w:p w14:paraId="1DCDE4D7">
      <w:pPr>
        <w:adjustRightInd w:val="0"/>
        <w:snapToGrid w:val="0"/>
        <w:spacing w:line="460" w:lineRule="atLeast"/>
        <w:ind w:firstLine="440" w:firstLineChars="200"/>
        <w:rPr>
          <w:rFonts w:ascii="宋体" w:hAnsi="宋体"/>
          <w:kern w:val="0"/>
          <w:sz w:val="22"/>
          <w:szCs w:val="22"/>
        </w:rPr>
      </w:pPr>
      <w:r>
        <w:rPr>
          <w:rFonts w:hint="eastAsia" w:ascii="宋体" w:hAnsi="宋体"/>
          <w:kern w:val="0"/>
          <w:sz w:val="22"/>
          <w:szCs w:val="22"/>
        </w:rPr>
        <w:t>▲</w:t>
      </w:r>
      <w:r>
        <w:rPr>
          <w:rFonts w:hint="eastAsia" w:ascii="宋体" w:hAnsi="宋体"/>
          <w:b/>
          <w:kern w:val="0"/>
          <w:sz w:val="22"/>
          <w:szCs w:val="22"/>
        </w:rPr>
        <w:t>按招标文件规定的开标时间，采购组织机构审查投标供应商代表身份证明、法定代表人授权书原件</w:t>
      </w:r>
      <w:r>
        <w:rPr>
          <w:rFonts w:hint="eastAsia" w:ascii="宋体" w:hAnsi="宋体"/>
          <w:kern w:val="0"/>
          <w:sz w:val="22"/>
          <w:szCs w:val="22"/>
        </w:rPr>
        <w:t>。</w:t>
      </w:r>
    </w:p>
    <w:p w14:paraId="22B11CA0">
      <w:pPr>
        <w:adjustRightInd w:val="0"/>
        <w:snapToGrid w:val="0"/>
        <w:spacing w:line="460" w:lineRule="atLeast"/>
        <w:ind w:firstLine="440" w:firstLineChars="200"/>
        <w:rPr>
          <w:rFonts w:ascii="宋体" w:hAnsi="宋体"/>
          <w:kern w:val="0"/>
          <w:sz w:val="22"/>
          <w:szCs w:val="22"/>
        </w:rPr>
      </w:pPr>
      <w:r>
        <w:rPr>
          <w:rFonts w:hint="eastAsia" w:ascii="宋体" w:hAnsi="宋体"/>
          <w:kern w:val="0"/>
          <w:sz w:val="22"/>
          <w:szCs w:val="22"/>
        </w:rPr>
        <w:t>为方便投标供应商投标，投标供应商法定代表人授权书原件密封在技术资信部分投标文件中的，开启其技术资信部分投标文件后再进行审查，但对于其技术资信部分投标文件的启封，采购人及采购机构不承担任何责任。</w:t>
      </w:r>
    </w:p>
    <w:p w14:paraId="58AE5285">
      <w:pPr>
        <w:adjustRightInd w:val="0"/>
        <w:snapToGrid w:val="0"/>
        <w:spacing w:line="460" w:lineRule="atLeast"/>
        <w:ind w:firstLine="440" w:firstLineChars="200"/>
        <w:rPr>
          <w:rFonts w:ascii="宋体" w:hAnsi="宋体"/>
          <w:kern w:val="0"/>
          <w:sz w:val="22"/>
          <w:szCs w:val="22"/>
        </w:rPr>
      </w:pPr>
      <w:r>
        <w:rPr>
          <w:rFonts w:hint="eastAsia" w:ascii="宋体" w:hAnsi="宋体"/>
          <w:kern w:val="0"/>
          <w:sz w:val="22"/>
          <w:szCs w:val="22"/>
        </w:rPr>
        <w:t>2）对各投标供应商进行资格审查，通过资格审查的投标供应商，进入其技术资信标评审。资格审查不通过的，退还其未拆封的相关投标文件。</w:t>
      </w:r>
    </w:p>
    <w:p w14:paraId="05B4C6B8">
      <w:pPr>
        <w:adjustRightInd w:val="0"/>
        <w:snapToGrid w:val="0"/>
        <w:spacing w:line="460" w:lineRule="atLeast"/>
        <w:ind w:firstLine="440" w:firstLineChars="200"/>
        <w:rPr>
          <w:rFonts w:ascii="宋体" w:hAnsi="宋体"/>
          <w:kern w:val="0"/>
          <w:sz w:val="22"/>
          <w:szCs w:val="22"/>
        </w:rPr>
      </w:pPr>
      <w:r>
        <w:rPr>
          <w:rFonts w:hint="eastAsia" w:ascii="宋体" w:hAnsi="宋体"/>
          <w:kern w:val="0"/>
          <w:sz w:val="22"/>
          <w:szCs w:val="22"/>
        </w:rPr>
        <w:t>3</w:t>
      </w:r>
      <w:r>
        <w:rPr>
          <w:rFonts w:ascii="宋体" w:hAnsi="宋体"/>
          <w:kern w:val="0"/>
          <w:sz w:val="22"/>
          <w:szCs w:val="22"/>
        </w:rPr>
        <w:t>）由评标委员会对各投标供应商资信、资质及技术进行评审。评审通过的投标</w:t>
      </w:r>
      <w:r>
        <w:rPr>
          <w:rFonts w:hint="eastAsia" w:ascii="宋体" w:hAnsi="宋体"/>
          <w:kern w:val="0"/>
          <w:sz w:val="22"/>
          <w:szCs w:val="22"/>
        </w:rPr>
        <w:t>供应商</w:t>
      </w:r>
      <w:r>
        <w:rPr>
          <w:rFonts w:ascii="宋体" w:hAnsi="宋体"/>
          <w:kern w:val="0"/>
          <w:sz w:val="22"/>
          <w:szCs w:val="22"/>
        </w:rPr>
        <w:t>进入商务报价标开标</w:t>
      </w:r>
      <w:r>
        <w:rPr>
          <w:rFonts w:hint="eastAsia" w:ascii="宋体" w:hAnsi="宋体"/>
          <w:kern w:val="0"/>
          <w:sz w:val="22"/>
          <w:szCs w:val="22"/>
        </w:rPr>
        <w:t>，</w:t>
      </w:r>
      <w:r>
        <w:rPr>
          <w:rFonts w:ascii="宋体" w:hAnsi="宋体"/>
          <w:kern w:val="0"/>
          <w:sz w:val="22"/>
          <w:szCs w:val="22"/>
        </w:rPr>
        <w:t>不通过的退还其商务报价部分投标文件。</w:t>
      </w:r>
    </w:p>
    <w:p w14:paraId="1FF34173">
      <w:pPr>
        <w:adjustRightInd w:val="0"/>
        <w:snapToGrid w:val="0"/>
        <w:spacing w:line="460" w:lineRule="atLeast"/>
        <w:ind w:firstLine="440" w:firstLineChars="200"/>
        <w:rPr>
          <w:rFonts w:ascii="宋体" w:hAnsi="宋体"/>
          <w:kern w:val="0"/>
          <w:sz w:val="22"/>
          <w:szCs w:val="22"/>
        </w:rPr>
      </w:pPr>
      <w:r>
        <w:rPr>
          <w:rFonts w:hint="eastAsia" w:ascii="宋体" w:hAnsi="宋体"/>
          <w:kern w:val="0"/>
          <w:sz w:val="22"/>
          <w:szCs w:val="22"/>
        </w:rPr>
        <w:t>4</w:t>
      </w:r>
      <w:r>
        <w:rPr>
          <w:rFonts w:ascii="宋体" w:hAnsi="宋体"/>
          <w:kern w:val="0"/>
          <w:sz w:val="22"/>
          <w:szCs w:val="22"/>
        </w:rPr>
        <w:t>）商务报价标开标</w:t>
      </w:r>
    </w:p>
    <w:p w14:paraId="5F466A00">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w:t>
      </w:r>
      <w:r>
        <w:rPr>
          <w:rFonts w:ascii="宋体" w:hAnsi="宋体"/>
          <w:kern w:val="0"/>
          <w:sz w:val="22"/>
          <w:szCs w:val="22"/>
        </w:rPr>
        <w:t>1）开商务报价标时邀请所有投标</w:t>
      </w:r>
      <w:r>
        <w:rPr>
          <w:rFonts w:hint="eastAsia" w:ascii="宋体" w:hAnsi="宋体"/>
          <w:kern w:val="0"/>
          <w:sz w:val="22"/>
          <w:szCs w:val="22"/>
        </w:rPr>
        <w:t>供应商授权</w:t>
      </w:r>
      <w:r>
        <w:rPr>
          <w:rFonts w:ascii="宋体" w:hAnsi="宋体"/>
          <w:kern w:val="0"/>
          <w:sz w:val="22"/>
          <w:szCs w:val="22"/>
        </w:rPr>
        <w:t>代表参加。投标</w:t>
      </w:r>
      <w:r>
        <w:rPr>
          <w:rFonts w:hint="eastAsia" w:ascii="宋体" w:hAnsi="宋体"/>
          <w:kern w:val="0"/>
          <w:sz w:val="22"/>
          <w:szCs w:val="22"/>
        </w:rPr>
        <w:t>供应商授权</w:t>
      </w:r>
      <w:r>
        <w:rPr>
          <w:rFonts w:ascii="宋体" w:hAnsi="宋体"/>
          <w:kern w:val="0"/>
          <w:sz w:val="22"/>
          <w:szCs w:val="22"/>
        </w:rPr>
        <w:t>代表未及时参加商务报价标开标的，事后不得对</w:t>
      </w:r>
      <w:r>
        <w:rPr>
          <w:rFonts w:hint="eastAsia" w:ascii="宋体" w:hAnsi="宋体"/>
          <w:kern w:val="0"/>
          <w:sz w:val="22"/>
          <w:szCs w:val="22"/>
        </w:rPr>
        <w:t>商务报价标</w:t>
      </w:r>
      <w:r>
        <w:rPr>
          <w:rFonts w:ascii="宋体" w:hAnsi="宋体"/>
          <w:kern w:val="0"/>
          <w:sz w:val="22"/>
          <w:szCs w:val="22"/>
        </w:rPr>
        <w:t>开标过程和开标结果提出异议。</w:t>
      </w:r>
    </w:p>
    <w:p w14:paraId="303178FD">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w:t>
      </w:r>
      <w:r>
        <w:rPr>
          <w:rFonts w:ascii="宋体" w:hAnsi="宋体"/>
          <w:kern w:val="0"/>
          <w:sz w:val="22"/>
          <w:szCs w:val="22"/>
        </w:rPr>
        <w:t>2）宣布各投标</w:t>
      </w:r>
      <w:r>
        <w:rPr>
          <w:rFonts w:hint="eastAsia" w:ascii="宋体" w:hAnsi="宋体"/>
          <w:kern w:val="0"/>
          <w:sz w:val="22"/>
          <w:szCs w:val="22"/>
        </w:rPr>
        <w:t>供应商</w:t>
      </w:r>
      <w:r>
        <w:rPr>
          <w:rFonts w:ascii="宋体" w:hAnsi="宋体"/>
          <w:kern w:val="0"/>
          <w:sz w:val="22"/>
          <w:szCs w:val="22"/>
        </w:rPr>
        <w:t>技术资信标得分情况。</w:t>
      </w:r>
    </w:p>
    <w:p w14:paraId="476720F2">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w:t>
      </w:r>
      <w:r>
        <w:rPr>
          <w:rFonts w:ascii="宋体" w:hAnsi="宋体"/>
          <w:kern w:val="0"/>
          <w:sz w:val="22"/>
          <w:szCs w:val="22"/>
        </w:rPr>
        <w:t>3）检查有效投标</w:t>
      </w:r>
      <w:r>
        <w:rPr>
          <w:rFonts w:hint="eastAsia" w:ascii="宋体" w:hAnsi="宋体"/>
          <w:kern w:val="0"/>
          <w:sz w:val="22"/>
          <w:szCs w:val="22"/>
        </w:rPr>
        <w:t>供应商</w:t>
      </w:r>
      <w:r>
        <w:rPr>
          <w:rFonts w:ascii="宋体" w:hAnsi="宋体"/>
          <w:kern w:val="0"/>
          <w:sz w:val="22"/>
          <w:szCs w:val="22"/>
        </w:rPr>
        <w:t>商务报价部分投标文件的密封情况，确认无误后开启</w:t>
      </w:r>
      <w:r>
        <w:rPr>
          <w:rFonts w:hint="eastAsia" w:ascii="宋体" w:hAnsi="宋体"/>
          <w:kern w:val="0"/>
          <w:sz w:val="22"/>
          <w:szCs w:val="22"/>
        </w:rPr>
        <w:t>各投标供应商的</w:t>
      </w:r>
      <w:r>
        <w:rPr>
          <w:rFonts w:ascii="宋体" w:hAnsi="宋体"/>
          <w:kern w:val="0"/>
          <w:sz w:val="22"/>
          <w:szCs w:val="22"/>
        </w:rPr>
        <w:t>商务报价部分投标文件，唱读“开标一览表”全部内容。唱读结束后，投标</w:t>
      </w:r>
      <w:r>
        <w:rPr>
          <w:rFonts w:hint="eastAsia" w:ascii="宋体" w:hAnsi="宋体"/>
          <w:kern w:val="0"/>
          <w:sz w:val="22"/>
          <w:szCs w:val="22"/>
        </w:rPr>
        <w:t>供应商授权</w:t>
      </w:r>
      <w:r>
        <w:rPr>
          <w:rFonts w:ascii="宋体" w:hAnsi="宋体"/>
          <w:kern w:val="0"/>
          <w:sz w:val="22"/>
          <w:szCs w:val="22"/>
        </w:rPr>
        <w:t>代表应对唱读内容及记录结果当场进行校核和签字确认，如有异议应当场提出，否则视为默许同意。</w:t>
      </w:r>
    </w:p>
    <w:p w14:paraId="69BEE16F">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w:t>
      </w:r>
      <w:r>
        <w:rPr>
          <w:rFonts w:ascii="宋体" w:hAnsi="宋体"/>
          <w:kern w:val="0"/>
          <w:sz w:val="22"/>
          <w:szCs w:val="22"/>
        </w:rPr>
        <w:t>4）开标时没有启封和宣读的投标文件，退回给投标</w:t>
      </w:r>
      <w:r>
        <w:rPr>
          <w:rFonts w:hint="eastAsia" w:ascii="宋体" w:hAnsi="宋体"/>
          <w:kern w:val="0"/>
          <w:sz w:val="22"/>
          <w:szCs w:val="22"/>
        </w:rPr>
        <w:t>供应商</w:t>
      </w:r>
      <w:r>
        <w:rPr>
          <w:rFonts w:ascii="宋体" w:hAnsi="宋体"/>
          <w:kern w:val="0"/>
          <w:sz w:val="22"/>
          <w:szCs w:val="22"/>
        </w:rPr>
        <w:t>。</w:t>
      </w:r>
    </w:p>
    <w:p w14:paraId="79257652">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w:t>
      </w:r>
      <w:r>
        <w:rPr>
          <w:rFonts w:ascii="宋体" w:hAnsi="宋体"/>
          <w:kern w:val="0"/>
          <w:sz w:val="22"/>
          <w:szCs w:val="22"/>
        </w:rPr>
        <w:t>5）开</w:t>
      </w:r>
      <w:r>
        <w:rPr>
          <w:rFonts w:hint="eastAsia" w:ascii="宋体" w:hAnsi="宋体"/>
          <w:kern w:val="0"/>
          <w:sz w:val="22"/>
          <w:szCs w:val="22"/>
        </w:rPr>
        <w:t>商务报价部分投标文件</w:t>
      </w:r>
      <w:r>
        <w:rPr>
          <w:rFonts w:ascii="宋体" w:hAnsi="宋体"/>
          <w:kern w:val="0"/>
          <w:sz w:val="22"/>
          <w:szCs w:val="22"/>
        </w:rPr>
        <w:t>时，指定专人作好记录，存档备查。</w:t>
      </w:r>
    </w:p>
    <w:p w14:paraId="334EB4B4">
      <w:pPr>
        <w:adjustRightInd w:val="0"/>
        <w:snapToGrid w:val="0"/>
        <w:spacing w:line="460" w:lineRule="atLeast"/>
        <w:ind w:firstLine="440" w:firstLineChars="200"/>
        <w:rPr>
          <w:rFonts w:ascii="宋体" w:hAnsi="宋体"/>
          <w:kern w:val="0"/>
          <w:sz w:val="22"/>
          <w:szCs w:val="22"/>
        </w:rPr>
      </w:pPr>
      <w:r>
        <w:rPr>
          <w:rFonts w:hint="eastAsia" w:ascii="宋体" w:hAnsi="宋体"/>
          <w:kern w:val="0"/>
          <w:sz w:val="22"/>
          <w:szCs w:val="22"/>
        </w:rPr>
        <w:t>5</w:t>
      </w:r>
      <w:r>
        <w:rPr>
          <w:rFonts w:ascii="宋体" w:hAnsi="宋体"/>
          <w:kern w:val="0"/>
          <w:sz w:val="22"/>
          <w:szCs w:val="22"/>
        </w:rPr>
        <w:t>）开标时，</w:t>
      </w:r>
      <w:r>
        <w:rPr>
          <w:rFonts w:hint="eastAsia" w:ascii="宋体" w:hAnsi="宋体"/>
          <w:kern w:val="0"/>
          <w:sz w:val="22"/>
          <w:szCs w:val="22"/>
        </w:rPr>
        <w:t>投标文件报价出现前后不一致的，按照下列规定修正：</w:t>
      </w:r>
    </w:p>
    <w:p w14:paraId="40318178">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（一）投标文件中开标一览表内容与投标文件中相应内容不一致的，以开标一览表为准；</w:t>
      </w:r>
    </w:p>
    <w:p w14:paraId="05A8D5E3">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（二）大写金额和小写金额不一致的，以大写金额为准；</w:t>
      </w:r>
    </w:p>
    <w:p w14:paraId="5468BDA8">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（三）单价金额小数点或者百分比有明显错位的，以开标一览表的总价为准，并修改单价；</w:t>
      </w:r>
    </w:p>
    <w:p w14:paraId="1B6DFCCC">
      <w:pPr>
        <w:adjustRightInd w:val="0"/>
        <w:snapToGrid w:val="0"/>
        <w:spacing w:line="460" w:lineRule="atLeast"/>
        <w:ind w:firstLine="330" w:firstLineChars="150"/>
        <w:rPr>
          <w:rFonts w:ascii="宋体" w:hAnsi="宋体"/>
          <w:kern w:val="0"/>
          <w:sz w:val="22"/>
          <w:szCs w:val="22"/>
        </w:rPr>
      </w:pPr>
      <w:r>
        <w:rPr>
          <w:rFonts w:hint="eastAsia" w:ascii="宋体" w:hAnsi="宋体"/>
          <w:kern w:val="0"/>
          <w:sz w:val="22"/>
          <w:szCs w:val="22"/>
        </w:rPr>
        <w:t>（四）总价金额与按单价汇总金额不一致的，以单价金额计算结果为准。</w:t>
      </w:r>
    </w:p>
    <w:p w14:paraId="20799518">
      <w:pPr>
        <w:adjustRightInd w:val="0"/>
        <w:snapToGrid w:val="0"/>
        <w:spacing w:line="460" w:lineRule="atLeast"/>
        <w:ind w:firstLine="440" w:firstLineChars="200"/>
        <w:rPr>
          <w:rFonts w:ascii="宋体" w:hAnsi="宋体"/>
          <w:kern w:val="0"/>
          <w:sz w:val="22"/>
          <w:szCs w:val="22"/>
        </w:rPr>
      </w:pPr>
      <w:r>
        <w:rPr>
          <w:rFonts w:hint="eastAsia" w:ascii="宋体" w:hAnsi="宋体"/>
          <w:kern w:val="0"/>
          <w:sz w:val="22"/>
          <w:szCs w:val="22"/>
        </w:rPr>
        <w:t>同时出现两种以上不一致的，按照前款规定的顺序修正。</w:t>
      </w:r>
    </w:p>
    <w:p w14:paraId="6B9E4521">
      <w:pPr>
        <w:pStyle w:val="16"/>
        <w:adjustRightInd w:val="0"/>
        <w:snapToGrid w:val="0"/>
        <w:spacing w:before="120" w:beforeLines="0" w:after="120" w:afterLines="0" w:line="460" w:lineRule="atLeast"/>
        <w:ind w:firstLine="440" w:firstLineChars="200"/>
        <w:rPr>
          <w:rFonts w:hAnsi="宋体"/>
          <w:sz w:val="22"/>
          <w:szCs w:val="22"/>
        </w:rPr>
      </w:pPr>
    </w:p>
    <w:p w14:paraId="7EB4807C">
      <w:pPr>
        <w:pStyle w:val="16"/>
        <w:adjustRightInd w:val="0"/>
        <w:snapToGrid w:val="0"/>
        <w:spacing w:before="120" w:beforeLines="0" w:after="120" w:afterLines="0" w:line="460" w:lineRule="atLeast"/>
        <w:ind w:firstLine="440" w:firstLineChars="200"/>
        <w:rPr>
          <w:rFonts w:hAnsi="宋体"/>
          <w:sz w:val="22"/>
          <w:szCs w:val="22"/>
        </w:rPr>
      </w:pPr>
    </w:p>
    <w:p w14:paraId="17F4028C">
      <w:pPr>
        <w:pStyle w:val="26"/>
        <w:rPr>
          <w:rFonts w:hAnsi="宋体"/>
          <w:sz w:val="22"/>
          <w:szCs w:val="22"/>
        </w:rPr>
      </w:pPr>
    </w:p>
    <w:p w14:paraId="0871A239">
      <w:pPr>
        <w:rPr>
          <w:rFonts w:hAnsi="宋体"/>
          <w:sz w:val="22"/>
          <w:szCs w:val="22"/>
        </w:rPr>
      </w:pPr>
    </w:p>
    <w:p w14:paraId="7F5A3420">
      <w:pPr>
        <w:pStyle w:val="47"/>
        <w:spacing w:before="120" w:beforeLines="0" w:after="120" w:afterLines="0"/>
        <w:rPr>
          <w:rFonts w:hAnsi="宋体"/>
          <w:sz w:val="22"/>
          <w:szCs w:val="22"/>
        </w:rPr>
      </w:pPr>
    </w:p>
    <w:p w14:paraId="395EFF66">
      <w:pPr>
        <w:pStyle w:val="3"/>
      </w:pPr>
    </w:p>
    <w:p w14:paraId="3137B0E1">
      <w:pPr>
        <w:pStyle w:val="16"/>
        <w:adjustRightInd w:val="0"/>
        <w:snapToGrid w:val="0"/>
        <w:spacing w:before="120" w:beforeLines="0" w:after="120" w:afterLines="0" w:line="460" w:lineRule="atLeast"/>
        <w:ind w:firstLine="440" w:firstLineChars="200"/>
        <w:rPr>
          <w:rFonts w:hAnsi="宋体"/>
          <w:sz w:val="22"/>
          <w:szCs w:val="22"/>
        </w:rPr>
      </w:pPr>
    </w:p>
    <w:p w14:paraId="71EF21F6">
      <w:pPr>
        <w:pStyle w:val="16"/>
        <w:adjustRightInd w:val="0"/>
        <w:snapToGrid w:val="0"/>
        <w:spacing w:before="120" w:beforeLines="0" w:after="120" w:afterLines="0" w:line="460" w:lineRule="atLeast"/>
        <w:ind w:firstLine="440" w:firstLineChars="200"/>
        <w:rPr>
          <w:rFonts w:hAnsi="宋体"/>
          <w:sz w:val="22"/>
          <w:szCs w:val="22"/>
        </w:rPr>
      </w:pPr>
      <w:r>
        <w:rPr>
          <w:rFonts w:hint="eastAsia" w:hAnsi="宋体"/>
          <w:sz w:val="22"/>
          <w:szCs w:val="22"/>
        </w:rPr>
        <w:t>2、资格审查</w:t>
      </w:r>
    </w:p>
    <w:p w14:paraId="25E97BEE">
      <w:pPr>
        <w:pStyle w:val="16"/>
        <w:adjustRightInd w:val="0"/>
        <w:snapToGrid w:val="0"/>
        <w:spacing w:before="120" w:beforeLines="0" w:after="120" w:afterLines="0" w:line="460" w:lineRule="atLeast"/>
        <w:ind w:firstLine="440" w:firstLineChars="200"/>
        <w:rPr>
          <w:rFonts w:hAnsi="宋体"/>
          <w:sz w:val="22"/>
          <w:szCs w:val="22"/>
        </w:rPr>
      </w:pPr>
      <w:r>
        <w:rPr>
          <w:rFonts w:hint="eastAsia" w:hAnsi="宋体"/>
          <w:sz w:val="22"/>
          <w:szCs w:val="22"/>
        </w:rPr>
        <w:t>开标后，采购人或者采购机构应当依法对投标供应商的资格进行审查。</w:t>
      </w:r>
    </w:p>
    <w:p w14:paraId="4D74B7FC">
      <w:pPr>
        <w:pStyle w:val="16"/>
        <w:adjustRightInd w:val="0"/>
        <w:spacing w:before="120" w:beforeLines="0" w:after="120" w:afterLines="0"/>
        <w:ind w:firstLine="440" w:firstLineChars="200"/>
        <w:rPr>
          <w:rFonts w:hAnsi="宋体"/>
          <w:b/>
          <w:bCs/>
          <w:sz w:val="22"/>
        </w:rPr>
      </w:pPr>
      <w:r>
        <w:rPr>
          <w:rFonts w:hint="eastAsia" w:hAnsi="宋体"/>
          <w:sz w:val="22"/>
        </w:rPr>
        <w:t>2.评标</w:t>
      </w:r>
    </w:p>
    <w:p w14:paraId="0A321DD6">
      <w:pPr>
        <w:pStyle w:val="16"/>
        <w:adjustRightInd w:val="0"/>
        <w:spacing w:before="120" w:beforeLines="0" w:after="120" w:afterLines="0"/>
        <w:ind w:firstLine="440" w:firstLineChars="200"/>
        <w:rPr>
          <w:rFonts w:hAnsi="宋体"/>
          <w:b/>
          <w:bCs/>
          <w:sz w:val="22"/>
        </w:rPr>
      </w:pPr>
      <w:r>
        <w:rPr>
          <w:rFonts w:hint="eastAsia" w:hAnsi="宋体"/>
          <w:sz w:val="22"/>
        </w:rPr>
        <w:t>2.1 评标由采购人依法组建的评审专家负责，并独立履行下列职责：</w:t>
      </w:r>
    </w:p>
    <w:p w14:paraId="20A8E13C">
      <w:pPr>
        <w:spacing w:line="400" w:lineRule="exact"/>
        <w:ind w:firstLine="431" w:firstLineChars="196"/>
        <w:rPr>
          <w:rFonts w:ascii="宋体" w:hAnsi="宋体" w:cs="宋体"/>
          <w:sz w:val="22"/>
        </w:rPr>
      </w:pPr>
      <w:bookmarkStart w:id="56" w:name="_Toc2500_WPSOffice_Level3"/>
      <w:r>
        <w:rPr>
          <w:rFonts w:hint="eastAsia" w:ascii="宋体" w:hAnsi="宋体" w:cs="宋体"/>
          <w:sz w:val="22"/>
        </w:rPr>
        <w:t>1）审查投标文件是否符合招标文件要求，并作出评价；</w:t>
      </w:r>
      <w:bookmarkEnd w:id="56"/>
    </w:p>
    <w:p w14:paraId="11D866EB">
      <w:pPr>
        <w:spacing w:line="400" w:lineRule="exact"/>
        <w:ind w:firstLine="431" w:firstLineChars="196"/>
        <w:rPr>
          <w:rFonts w:ascii="宋体" w:hAnsi="宋体" w:cs="宋体"/>
          <w:sz w:val="22"/>
        </w:rPr>
      </w:pPr>
      <w:bookmarkStart w:id="57" w:name="_Toc20806_WPSOffice_Level3"/>
      <w:r>
        <w:rPr>
          <w:rFonts w:hint="eastAsia" w:ascii="宋体" w:hAnsi="宋体" w:cs="宋体"/>
          <w:sz w:val="22"/>
        </w:rPr>
        <w:t>2）要求供应商对投标文件有关事项作出解释或者澄清；</w:t>
      </w:r>
      <w:bookmarkEnd w:id="57"/>
    </w:p>
    <w:p w14:paraId="1275D83A">
      <w:pPr>
        <w:spacing w:line="400" w:lineRule="exact"/>
        <w:ind w:firstLine="431" w:firstLineChars="196"/>
        <w:rPr>
          <w:rFonts w:ascii="宋体" w:hAnsi="宋体" w:cs="宋体"/>
          <w:sz w:val="22"/>
        </w:rPr>
      </w:pPr>
      <w:bookmarkStart w:id="58" w:name="_Toc12689_WPSOffice_Level3"/>
      <w:r>
        <w:rPr>
          <w:rFonts w:hint="eastAsia" w:ascii="宋体" w:hAnsi="宋体" w:cs="宋体"/>
          <w:sz w:val="22"/>
        </w:rPr>
        <w:t>3）按照招标文件确定的评标办法直接确定中标（成交）供应商；</w:t>
      </w:r>
      <w:bookmarkEnd w:id="58"/>
    </w:p>
    <w:p w14:paraId="5CAF88D3">
      <w:pPr>
        <w:spacing w:line="400" w:lineRule="exact"/>
        <w:ind w:firstLine="431" w:firstLineChars="196"/>
        <w:rPr>
          <w:rFonts w:ascii="宋体" w:hAnsi="宋体" w:cs="宋体"/>
          <w:sz w:val="22"/>
        </w:rPr>
      </w:pPr>
      <w:bookmarkStart w:id="59" w:name="_Toc20017_WPSOffice_Level3"/>
      <w:r>
        <w:rPr>
          <w:rFonts w:hint="eastAsia" w:ascii="宋体" w:hAnsi="宋体" w:cs="宋体"/>
          <w:sz w:val="22"/>
        </w:rPr>
        <w:t>4）向采购人或者有关部门报告非法干预评标工作的行为。</w:t>
      </w:r>
      <w:bookmarkEnd w:id="59"/>
    </w:p>
    <w:p w14:paraId="047DB500">
      <w:pPr>
        <w:spacing w:line="400" w:lineRule="exact"/>
        <w:ind w:firstLine="431" w:firstLineChars="196"/>
        <w:rPr>
          <w:rFonts w:ascii="宋体" w:hAnsi="宋体" w:cs="宋体"/>
          <w:sz w:val="22"/>
        </w:rPr>
      </w:pPr>
      <w:r>
        <w:rPr>
          <w:rFonts w:hint="eastAsia" w:ascii="宋体" w:hAnsi="宋体" w:cs="宋体"/>
          <w:sz w:val="22"/>
        </w:rPr>
        <w:t>2.2 评标应当遵循下列工作程序：</w:t>
      </w:r>
    </w:p>
    <w:p w14:paraId="55503A19">
      <w:pPr>
        <w:spacing w:line="400" w:lineRule="exact"/>
        <w:rPr>
          <w:rFonts w:ascii="宋体" w:hAnsi="宋体" w:cs="宋体"/>
          <w:sz w:val="22"/>
        </w:rPr>
      </w:pPr>
      <w:r>
        <w:rPr>
          <w:rFonts w:hint="eastAsia" w:ascii="宋体" w:hAnsi="宋体" w:cs="宋体"/>
          <w:sz w:val="22"/>
        </w:rPr>
        <w:t xml:space="preserve">    1）投标文件初审。初审分为资格性检查和符合性检查。</w:t>
      </w:r>
    </w:p>
    <w:p w14:paraId="04BB87B6">
      <w:pPr>
        <w:spacing w:line="400" w:lineRule="exact"/>
        <w:ind w:firstLine="440" w:firstLineChars="200"/>
        <w:rPr>
          <w:rFonts w:ascii="宋体" w:hAnsi="宋体" w:cs="宋体"/>
          <w:sz w:val="22"/>
        </w:rPr>
      </w:pPr>
      <w:r>
        <w:rPr>
          <w:rFonts w:hint="eastAsia" w:ascii="宋体" w:hAnsi="宋体" w:cs="宋体"/>
          <w:sz w:val="22"/>
        </w:rPr>
        <w:t>（1)资格性检查。由采购人代表或招标代理机构对供应商资格进行审查。依据法律法规和招标文件的规定，对投标文件中的资格证明文件等进行审查，以确定供应商是否具备投标资格。</w:t>
      </w:r>
    </w:p>
    <w:p w14:paraId="630BD35A">
      <w:pPr>
        <w:spacing w:line="400" w:lineRule="exact"/>
        <w:ind w:firstLine="440" w:firstLineChars="200"/>
        <w:rPr>
          <w:rFonts w:ascii="宋体" w:hAnsi="宋体" w:cs="宋体"/>
          <w:sz w:val="22"/>
        </w:rPr>
      </w:pPr>
      <w:r>
        <w:rPr>
          <w:rFonts w:hint="eastAsia" w:ascii="宋体" w:hAnsi="宋体" w:cs="宋体"/>
          <w:sz w:val="22"/>
        </w:rPr>
        <w:t>（2)符合性检查。评审专家依据招标文件的规定，从投标文件的有效性、完整性和对招标文件的响应程度进行审查，以确定是否对招标文件的实质性要求作出响应。</w:t>
      </w:r>
    </w:p>
    <w:p w14:paraId="0C16D6EA">
      <w:pPr>
        <w:spacing w:line="400" w:lineRule="exact"/>
        <w:ind w:firstLine="440"/>
        <w:rPr>
          <w:rFonts w:ascii="宋体" w:hAnsi="宋体" w:cs="宋体"/>
          <w:sz w:val="22"/>
        </w:rPr>
      </w:pPr>
      <w:r>
        <w:rPr>
          <w:rFonts w:hint="eastAsia" w:ascii="宋体" w:hAnsi="宋体" w:cs="宋体"/>
          <w:sz w:val="22"/>
        </w:rPr>
        <w:t>2）评审专家可以根据供应商投标文件情况，经采购人确认，调整招标文件及采购方案，在统一采购要求的基础上，要求所有有效供应商重新修正投标文件及进行多轮次报价。</w:t>
      </w:r>
    </w:p>
    <w:p w14:paraId="7AB8AD2E">
      <w:pPr>
        <w:spacing w:line="400" w:lineRule="exact"/>
        <w:ind w:firstLine="440"/>
        <w:rPr>
          <w:rFonts w:ascii="宋体" w:hAnsi="宋体" w:cs="宋体"/>
          <w:sz w:val="22"/>
        </w:rPr>
      </w:pPr>
      <w:r>
        <w:rPr>
          <w:rFonts w:hint="eastAsia" w:ascii="宋体" w:hAnsi="宋体" w:cs="宋体"/>
          <w:sz w:val="22"/>
        </w:rPr>
        <w:t>3）综合评价。按招标文件中规定的评标方法和标准，对资格性检查和符合性检查合格的投标文件进行商务和技术评估，综合评价。</w:t>
      </w:r>
    </w:p>
    <w:p w14:paraId="288D9A08">
      <w:pPr>
        <w:spacing w:line="400" w:lineRule="exact"/>
        <w:ind w:firstLine="440"/>
        <w:rPr>
          <w:rFonts w:ascii="宋体" w:hAnsi="宋体" w:cs="宋体"/>
          <w:sz w:val="22"/>
        </w:rPr>
      </w:pPr>
      <w:r>
        <w:rPr>
          <w:rFonts w:hint="eastAsia" w:ascii="宋体" w:hAnsi="宋体" w:cs="宋体"/>
          <w:sz w:val="22"/>
        </w:rPr>
        <w:t>4）推荐中标（成交）供应商候选人名单，并根据采购人的授权确定中标（成交）供应商。</w:t>
      </w:r>
    </w:p>
    <w:p w14:paraId="10091850">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rPr>
        <w:t xml:space="preserve">2.3 </w:t>
      </w:r>
      <w:r>
        <w:rPr>
          <w:rFonts w:hint="eastAsia" w:hAnsi="宋体"/>
          <w:sz w:val="22"/>
          <w:u w:val="single"/>
        </w:rPr>
        <w:t>▲供应商存在下列情况之一的，报价无效:</w:t>
      </w:r>
    </w:p>
    <w:p w14:paraId="7585939A">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1）投标文件未按招标文件要求签署、盖章的；</w:t>
      </w:r>
    </w:p>
    <w:p w14:paraId="5EF924FF">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2）不具备招标文件中规定的资格要求的；</w:t>
      </w:r>
    </w:p>
    <w:p w14:paraId="05AFCA5B">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3）报价超过招标文件中规定的预算金额或者最高限价的；</w:t>
      </w:r>
    </w:p>
    <w:p w14:paraId="4FC11457">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4）投标文件含有采购人不能接受的附加条件的（包括招标文件中明确要求不得偏离的招标要求，存在负偏离的）;</w:t>
      </w:r>
    </w:p>
    <w:p w14:paraId="675DD54F">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5）对关键条文的偏离、保留或反对，例如关于付款方式、完工期（服务期）、免费质保期、适用法律法规、标准、税费等其他内容；</w:t>
      </w:r>
    </w:p>
    <w:p w14:paraId="40141839">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6）存在串标、抬标或弄虚作假情况的；</w:t>
      </w:r>
    </w:p>
    <w:p w14:paraId="3D196D2F">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7）法律、法规和招标文件规定的其他无效情形（或出现重大偏差）。</w:t>
      </w:r>
    </w:p>
    <w:p w14:paraId="69CCA6BD">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rPr>
        <w:t xml:space="preserve">2.4 </w:t>
      </w:r>
      <w:r>
        <w:rPr>
          <w:rFonts w:hint="eastAsia" w:hAnsi="宋体"/>
          <w:sz w:val="22"/>
          <w:u w:val="single"/>
        </w:rPr>
        <w:t>▲评审专家发现投标文件有下列情形之一的属于重大偏差(评审专家按少数服从多数原则认定),按照无效投标处理：</w:t>
      </w:r>
    </w:p>
    <w:p w14:paraId="6443ED20">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1）未按招标文件要求编制或字迹模糊、辨认不清的投标文件；</w:t>
      </w:r>
    </w:p>
    <w:p w14:paraId="5263A90B">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2）除2.3条款以外，出现其它明显不符合采购要求的投标文件；</w:t>
      </w:r>
    </w:p>
    <w:p w14:paraId="63CCC508">
      <w:pPr>
        <w:pStyle w:val="16"/>
        <w:adjustRightInd w:val="0"/>
        <w:snapToGrid w:val="0"/>
        <w:spacing w:before="120" w:beforeLines="0" w:after="120" w:afterLines="0"/>
        <w:ind w:firstLine="433" w:firstLineChars="197"/>
        <w:rPr>
          <w:rFonts w:hAnsi="宋体"/>
          <w:b/>
          <w:bCs/>
          <w:sz w:val="22"/>
        </w:rPr>
      </w:pPr>
      <w:r>
        <w:rPr>
          <w:rFonts w:hint="eastAsia" w:hAnsi="宋体"/>
          <w:sz w:val="22"/>
          <w:u w:val="single"/>
        </w:rPr>
        <w:t>3）除2.3条款以外，出现其它不符合招标文件中规定的实质性要求的投标文件，是否为偏离实质性要求由评审专家认定。</w:t>
      </w:r>
    </w:p>
    <w:p w14:paraId="0A7BE5CA">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rPr>
        <w:t>2.5</w:t>
      </w:r>
      <w:r>
        <w:rPr>
          <w:rFonts w:hint="eastAsia" w:hAnsi="宋体"/>
          <w:sz w:val="22"/>
          <w:u w:val="single"/>
        </w:rPr>
        <w:t>▲评审专家认为供应商的报价明显低于其他有效供应商的报价，有可能影响采购质量或者不能诚信履约的，应当要求其在合理的时间内提供说明，必要时提交相关证明材料；供应商不能证明其报价合理性的，评审专家应当将其作为无效投标处理。</w:t>
      </w:r>
    </w:p>
    <w:p w14:paraId="0430D040">
      <w:pPr>
        <w:pStyle w:val="16"/>
        <w:adjustRightInd w:val="0"/>
        <w:snapToGrid w:val="0"/>
        <w:spacing w:before="120" w:beforeLines="0" w:after="120" w:afterLines="0"/>
        <w:ind w:firstLine="433" w:firstLineChars="197"/>
        <w:rPr>
          <w:rFonts w:hAnsi="宋体"/>
          <w:b/>
          <w:bCs/>
          <w:sz w:val="22"/>
        </w:rPr>
      </w:pPr>
      <w:r>
        <w:rPr>
          <w:rFonts w:hint="eastAsia" w:hAnsi="宋体"/>
          <w:sz w:val="22"/>
        </w:rPr>
        <w:t>2.6 评审专家在评标中，不得改变招标文件中规定的评标标准、方法和中标(成交)条件。</w:t>
      </w:r>
    </w:p>
    <w:p w14:paraId="49F0780F">
      <w:pPr>
        <w:pStyle w:val="16"/>
        <w:adjustRightInd w:val="0"/>
        <w:snapToGrid w:val="0"/>
        <w:spacing w:before="120" w:beforeLines="0" w:after="120" w:afterLines="0"/>
        <w:ind w:firstLine="433" w:firstLineChars="197"/>
        <w:rPr>
          <w:rFonts w:hAnsi="宋体"/>
          <w:b/>
          <w:bCs/>
          <w:sz w:val="22"/>
          <w:u w:val="single"/>
        </w:rPr>
      </w:pPr>
      <w:r>
        <w:rPr>
          <w:rFonts w:hint="eastAsia" w:hAnsi="宋体"/>
          <w:sz w:val="22"/>
          <w:u w:val="single"/>
        </w:rPr>
        <w:t>2.7 评标时如遇到招标文件未规定的特殊情况，由评审专家按少数服从多数原则集体决定处理。</w:t>
      </w:r>
    </w:p>
    <w:p w14:paraId="69240BB2">
      <w:pPr>
        <w:pStyle w:val="16"/>
        <w:adjustRightInd w:val="0"/>
        <w:spacing w:before="120" w:beforeLines="0" w:after="120" w:afterLines="0" w:line="380" w:lineRule="exact"/>
        <w:ind w:firstLine="440" w:firstLineChars="200"/>
        <w:rPr>
          <w:rFonts w:hAnsi="宋体"/>
          <w:b/>
          <w:bCs/>
          <w:sz w:val="22"/>
          <w:u w:val="single"/>
        </w:rPr>
      </w:pPr>
      <w:r>
        <w:rPr>
          <w:rFonts w:hint="eastAsia" w:hAnsi="宋体"/>
          <w:sz w:val="22"/>
          <w:u w:val="single"/>
        </w:rPr>
        <w:t>2.8</w:t>
      </w:r>
      <w:r>
        <w:rPr>
          <w:rFonts w:hint="eastAsia" w:hAnsi="宋体"/>
          <w:b/>
          <w:bCs/>
          <w:sz w:val="22"/>
          <w:szCs w:val="22"/>
          <w:u w:val="single"/>
        </w:rPr>
        <w:t>投标截止时或评审过程中有效投标供应商不足三家的，不予开标或评标</w:t>
      </w:r>
      <w:r>
        <w:rPr>
          <w:rFonts w:hint="eastAsia" w:hAnsi="宋体"/>
          <w:sz w:val="22"/>
          <w:u w:val="single"/>
        </w:rPr>
        <w:t>。</w:t>
      </w:r>
    </w:p>
    <w:p w14:paraId="21046593">
      <w:pPr>
        <w:pStyle w:val="16"/>
        <w:adjustRightInd w:val="0"/>
        <w:snapToGrid w:val="0"/>
        <w:spacing w:before="120" w:beforeLines="0" w:after="120" w:afterLines="0"/>
        <w:ind w:firstLine="433" w:firstLineChars="197"/>
        <w:rPr>
          <w:rFonts w:hAnsi="宋体"/>
          <w:b/>
          <w:bCs/>
          <w:sz w:val="22"/>
        </w:rPr>
      </w:pPr>
      <w:r>
        <w:rPr>
          <w:rFonts w:hint="eastAsia" w:hAnsi="宋体"/>
          <w:sz w:val="22"/>
        </w:rPr>
        <w:t>3.投标文件的澄清</w:t>
      </w:r>
    </w:p>
    <w:p w14:paraId="781B6F13">
      <w:pPr>
        <w:adjustRightInd w:val="0"/>
        <w:snapToGrid w:val="0"/>
        <w:spacing w:line="400" w:lineRule="exact"/>
        <w:ind w:firstLine="433" w:firstLineChars="197"/>
        <w:rPr>
          <w:rFonts w:ascii="宋体" w:hAnsi="宋体" w:cs="宋体"/>
          <w:sz w:val="22"/>
        </w:rPr>
      </w:pPr>
      <w:r>
        <w:rPr>
          <w:rFonts w:hint="eastAsia" w:ascii="宋体" w:hAnsi="宋体" w:cs="宋体"/>
          <w:sz w:val="22"/>
        </w:rPr>
        <w:t>为有利于对投标文件的评议，必要时采购人及评审专家可要求供应商对投标文件及合同条款进行澄清，并做出答复。答复须有授权代表签字并作为报价内容的一部分。</w:t>
      </w:r>
    </w:p>
    <w:p w14:paraId="5CD62AE1">
      <w:pPr>
        <w:pStyle w:val="16"/>
        <w:adjustRightInd w:val="0"/>
        <w:spacing w:before="120" w:beforeLines="0" w:after="120" w:afterLines="0"/>
        <w:ind w:left="437" w:leftChars="208"/>
        <w:rPr>
          <w:rFonts w:hAnsi="宋体"/>
          <w:sz w:val="22"/>
        </w:rPr>
      </w:pPr>
      <w:r>
        <w:rPr>
          <w:rFonts w:hint="eastAsia" w:hAnsi="宋体"/>
          <w:sz w:val="22"/>
        </w:rPr>
        <w:t>4.有下列情形之一的，视为供应商相互串通投标：</w:t>
      </w:r>
    </w:p>
    <w:p w14:paraId="283201FA">
      <w:pPr>
        <w:pStyle w:val="16"/>
        <w:adjustRightInd w:val="0"/>
        <w:spacing w:before="120" w:beforeLines="0" w:after="120" w:afterLines="0"/>
        <w:ind w:left="437" w:leftChars="208"/>
        <w:rPr>
          <w:rFonts w:hAnsi="宋体"/>
          <w:sz w:val="22"/>
        </w:rPr>
      </w:pPr>
      <w:r>
        <w:rPr>
          <w:rFonts w:hint="eastAsia" w:hAnsi="宋体"/>
          <w:sz w:val="22"/>
        </w:rPr>
        <w:t>4.1不同供应商的投标文件由同一单位或者个人编制；</w:t>
      </w:r>
    </w:p>
    <w:p w14:paraId="288EA4B7">
      <w:pPr>
        <w:pStyle w:val="16"/>
        <w:adjustRightInd w:val="0"/>
        <w:spacing w:before="120" w:beforeLines="0" w:after="120" w:afterLines="0"/>
        <w:ind w:left="437" w:leftChars="208"/>
        <w:rPr>
          <w:rFonts w:hAnsi="宋体"/>
          <w:sz w:val="22"/>
        </w:rPr>
      </w:pPr>
      <w:r>
        <w:rPr>
          <w:rFonts w:hint="eastAsia" w:hAnsi="宋体"/>
          <w:sz w:val="22"/>
        </w:rPr>
        <w:t>4.2不同供应商委托同一单位或者个人办理投标事宜；</w:t>
      </w:r>
    </w:p>
    <w:p w14:paraId="5A40F89B">
      <w:pPr>
        <w:pStyle w:val="16"/>
        <w:adjustRightInd w:val="0"/>
        <w:spacing w:before="120" w:beforeLines="0" w:after="120" w:afterLines="0"/>
        <w:ind w:left="437" w:leftChars="208"/>
        <w:rPr>
          <w:rFonts w:hAnsi="宋体"/>
          <w:sz w:val="22"/>
        </w:rPr>
      </w:pPr>
      <w:r>
        <w:rPr>
          <w:rFonts w:hint="eastAsia" w:hAnsi="宋体"/>
          <w:sz w:val="22"/>
        </w:rPr>
        <w:t>4.3不同供应商的投标文件载明的项目管理成员为同一人；</w:t>
      </w:r>
    </w:p>
    <w:p w14:paraId="7113CE46">
      <w:pPr>
        <w:pStyle w:val="16"/>
        <w:adjustRightInd w:val="0"/>
        <w:spacing w:before="120" w:beforeLines="0" w:after="120" w:afterLines="0"/>
        <w:ind w:left="437" w:leftChars="208"/>
        <w:rPr>
          <w:rFonts w:hAnsi="宋体"/>
          <w:sz w:val="22"/>
        </w:rPr>
      </w:pPr>
      <w:r>
        <w:rPr>
          <w:rFonts w:hint="eastAsia" w:hAnsi="宋体"/>
          <w:sz w:val="22"/>
        </w:rPr>
        <w:t>4.4不同供应商的投标文件异常一致或者投标报价呈规律性差异；</w:t>
      </w:r>
    </w:p>
    <w:p w14:paraId="5D68F3AF">
      <w:pPr>
        <w:pStyle w:val="16"/>
        <w:adjustRightInd w:val="0"/>
        <w:spacing w:before="120" w:beforeLines="0" w:after="120" w:afterLines="0"/>
        <w:ind w:left="437" w:leftChars="208"/>
        <w:rPr>
          <w:rFonts w:hAnsi="宋体"/>
          <w:sz w:val="22"/>
        </w:rPr>
      </w:pPr>
      <w:r>
        <w:rPr>
          <w:rFonts w:hint="eastAsia" w:hAnsi="宋体"/>
          <w:sz w:val="22"/>
        </w:rPr>
        <w:t>4.5不同供应商的投标文件相互混装；</w:t>
      </w:r>
    </w:p>
    <w:p w14:paraId="08E1A0E0">
      <w:pPr>
        <w:pStyle w:val="16"/>
        <w:adjustRightInd w:val="0"/>
        <w:spacing w:before="120" w:beforeLines="0" w:after="120" w:afterLines="0"/>
        <w:ind w:left="437" w:leftChars="208"/>
        <w:rPr>
          <w:rFonts w:hAnsi="宋体"/>
          <w:b/>
          <w:bCs/>
          <w:sz w:val="22"/>
        </w:rPr>
      </w:pPr>
      <w:r>
        <w:rPr>
          <w:rFonts w:hint="eastAsia" w:hAnsi="宋体"/>
          <w:sz w:val="22"/>
        </w:rPr>
        <w:t>4.6经评审专家认定供应商进行串通投标的，评审专家可以对相关供应商做出无效报价处理，并上报政府采购管理部门进行进一步处理。</w:t>
      </w:r>
    </w:p>
    <w:p w14:paraId="013A3868">
      <w:pPr>
        <w:pStyle w:val="16"/>
        <w:adjustRightInd w:val="0"/>
        <w:snapToGrid w:val="0"/>
        <w:spacing w:before="120" w:beforeLines="0" w:after="120" w:afterLines="0"/>
        <w:ind w:firstLine="433" w:firstLineChars="197"/>
        <w:rPr>
          <w:rFonts w:hAnsi="宋体"/>
          <w:b/>
          <w:bCs/>
          <w:sz w:val="22"/>
        </w:rPr>
      </w:pPr>
      <w:r>
        <w:rPr>
          <w:rFonts w:hint="eastAsia" w:hAnsi="宋体"/>
          <w:sz w:val="22"/>
        </w:rPr>
        <w:t>5.评标原则</w:t>
      </w:r>
    </w:p>
    <w:p w14:paraId="0C92EABD">
      <w:pPr>
        <w:pStyle w:val="16"/>
        <w:adjustRightInd w:val="0"/>
        <w:spacing w:before="120" w:beforeLines="0" w:after="120" w:afterLines="0"/>
        <w:ind w:firstLine="440" w:firstLineChars="200"/>
        <w:rPr>
          <w:rFonts w:hAnsi="宋体"/>
          <w:b/>
          <w:bCs/>
          <w:sz w:val="22"/>
        </w:rPr>
      </w:pPr>
      <w:r>
        <w:rPr>
          <w:rFonts w:hint="eastAsia" w:hAnsi="宋体"/>
          <w:sz w:val="22"/>
        </w:rPr>
        <w:t>评标办法具体见本招标文件第七部分。</w:t>
      </w:r>
    </w:p>
    <w:p w14:paraId="37946C2E">
      <w:pPr>
        <w:pStyle w:val="16"/>
        <w:adjustRightInd w:val="0"/>
        <w:snapToGrid w:val="0"/>
        <w:spacing w:before="120" w:beforeLines="0" w:after="120" w:afterLines="0"/>
        <w:ind w:firstLine="480"/>
        <w:outlineLvl w:val="0"/>
        <w:rPr>
          <w:rFonts w:hAnsi="宋体"/>
          <w:b/>
          <w:bCs/>
          <w:sz w:val="22"/>
        </w:rPr>
      </w:pPr>
      <w:bookmarkStart w:id="60" w:name="_Toc132124596"/>
      <w:bookmarkStart w:id="61" w:name="_Toc132125039"/>
      <w:bookmarkStart w:id="62" w:name="_Toc132125985"/>
      <w:bookmarkStart w:id="63" w:name="_Toc132123636"/>
      <w:bookmarkStart w:id="64" w:name="_Toc132123441"/>
      <w:bookmarkStart w:id="65" w:name="_Toc493530208"/>
      <w:bookmarkStart w:id="66" w:name="_Toc132126156"/>
      <w:bookmarkStart w:id="67" w:name="_Toc132122418"/>
      <w:bookmarkStart w:id="68" w:name="_Toc132125576"/>
      <w:bookmarkStart w:id="69" w:name="_Toc132125097"/>
      <w:bookmarkStart w:id="70" w:name="_Toc132125153"/>
      <w:bookmarkStart w:id="71" w:name="_Toc132123883"/>
      <w:bookmarkStart w:id="72" w:name="_Toc132655778"/>
      <w:bookmarkStart w:id="73" w:name="_Toc132122121"/>
      <w:bookmarkStart w:id="74" w:name="_Toc24884_WPSOffice_Level2"/>
      <w:bookmarkStart w:id="75" w:name="_Toc132123549"/>
      <w:bookmarkStart w:id="76" w:name="_Toc132123840"/>
      <w:r>
        <w:rPr>
          <w:rFonts w:hint="eastAsia" w:hAnsi="宋体"/>
          <w:b/>
          <w:bCs/>
          <w:sz w:val="22"/>
        </w:rPr>
        <w:t>六、授予合同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93AF1BB">
      <w:pPr>
        <w:pStyle w:val="16"/>
        <w:adjustRightInd w:val="0"/>
        <w:snapToGrid w:val="0"/>
        <w:spacing w:before="120" w:beforeLines="0" w:after="120" w:afterLines="0"/>
        <w:ind w:firstLine="433" w:firstLineChars="197"/>
        <w:rPr>
          <w:rFonts w:hAnsi="宋体"/>
          <w:b/>
          <w:bCs/>
          <w:sz w:val="22"/>
        </w:rPr>
      </w:pPr>
      <w:bookmarkStart w:id="77" w:name="_Toc23038_WPSOffice_Level3"/>
      <w:r>
        <w:rPr>
          <w:rFonts w:hint="eastAsia" w:hAnsi="宋体"/>
          <w:sz w:val="22"/>
        </w:rPr>
        <w:t>1.决标</w:t>
      </w:r>
      <w:bookmarkEnd w:id="77"/>
    </w:p>
    <w:p w14:paraId="5F553D79">
      <w:pPr>
        <w:pStyle w:val="16"/>
        <w:adjustRightInd w:val="0"/>
        <w:snapToGrid w:val="0"/>
        <w:spacing w:before="120" w:beforeLines="0" w:after="120" w:afterLines="0"/>
        <w:ind w:firstLine="433" w:firstLineChars="197"/>
        <w:rPr>
          <w:rFonts w:hAnsi="宋体"/>
          <w:b/>
          <w:bCs/>
          <w:sz w:val="22"/>
        </w:rPr>
      </w:pPr>
      <w:r>
        <w:rPr>
          <w:rFonts w:hint="eastAsia" w:hAnsi="宋体"/>
          <w:sz w:val="22"/>
        </w:rPr>
        <w:t>评标结束后，评审专家按照招标文件确定的评标办法推荐中标（成交）供应商。</w:t>
      </w:r>
    </w:p>
    <w:p w14:paraId="1B56508B">
      <w:pPr>
        <w:pStyle w:val="16"/>
        <w:adjustRightInd w:val="0"/>
        <w:snapToGrid w:val="0"/>
        <w:spacing w:before="120" w:beforeLines="0" w:after="120" w:afterLines="0"/>
        <w:ind w:firstLine="433" w:firstLineChars="197"/>
        <w:rPr>
          <w:rFonts w:hAnsi="宋体"/>
          <w:b/>
          <w:bCs/>
          <w:sz w:val="22"/>
        </w:rPr>
      </w:pPr>
      <w:bookmarkStart w:id="78" w:name="_Toc764_WPSOffice_Level3"/>
      <w:r>
        <w:rPr>
          <w:rFonts w:hint="eastAsia" w:hAnsi="宋体"/>
          <w:sz w:val="22"/>
        </w:rPr>
        <w:t>2.</w:t>
      </w:r>
      <w:bookmarkEnd w:id="78"/>
      <w:r>
        <w:rPr>
          <w:rFonts w:hint="eastAsia" w:hAnsi="宋体"/>
          <w:sz w:val="22"/>
        </w:rPr>
        <w:t>中标（成交）通知书</w:t>
      </w:r>
    </w:p>
    <w:p w14:paraId="7D4EC348">
      <w:pPr>
        <w:spacing w:line="400" w:lineRule="exact"/>
        <w:ind w:firstLine="433" w:firstLineChars="197"/>
        <w:rPr>
          <w:rFonts w:ascii="宋体" w:hAnsi="宋体" w:cs="宋体"/>
          <w:sz w:val="22"/>
        </w:rPr>
      </w:pPr>
      <w:r>
        <w:rPr>
          <w:rFonts w:hint="eastAsia" w:ascii="宋体" w:hAnsi="宋体" w:cs="宋体"/>
          <w:sz w:val="22"/>
        </w:rPr>
        <w:t>2.1采购人依法确认中标（成交）供应商后，代理机构在浙江省政府采购网上公示中标（成交）供应商名单，公示期限为1个工作日。同时向中标（成交）供应商发出中标（成交）通知书。</w:t>
      </w:r>
    </w:p>
    <w:p w14:paraId="07136C95">
      <w:pPr>
        <w:adjustRightInd w:val="0"/>
        <w:snapToGrid w:val="0"/>
        <w:spacing w:line="400" w:lineRule="exact"/>
        <w:ind w:firstLine="433" w:firstLineChars="197"/>
        <w:rPr>
          <w:rFonts w:ascii="宋体" w:hAnsi="宋体" w:cs="宋体"/>
          <w:sz w:val="22"/>
        </w:rPr>
      </w:pPr>
      <w:r>
        <w:rPr>
          <w:rFonts w:hint="eastAsia" w:ascii="宋体" w:hAnsi="宋体" w:cs="宋体"/>
          <w:sz w:val="22"/>
        </w:rPr>
        <w:t>2.2中标（成交）通知书对采购人和中标（成交）供应商具有法律约束力。中标（成交）通知书发出后，采购人改变中标结果或者中标（成交）供应商放弃中标的，应当承担法律责任。</w:t>
      </w:r>
    </w:p>
    <w:p w14:paraId="4CC63FD2">
      <w:pPr>
        <w:adjustRightInd w:val="0"/>
        <w:snapToGrid w:val="0"/>
        <w:spacing w:line="400" w:lineRule="exact"/>
        <w:ind w:firstLine="433" w:firstLineChars="197"/>
        <w:rPr>
          <w:rFonts w:ascii="宋体" w:hAnsi="宋体" w:cs="宋体"/>
          <w:sz w:val="22"/>
        </w:rPr>
      </w:pPr>
      <w:r>
        <w:rPr>
          <w:rFonts w:hint="eastAsia" w:ascii="宋体" w:hAnsi="宋体" w:cs="宋体"/>
          <w:sz w:val="22"/>
        </w:rPr>
        <w:t>3.成交无效</w:t>
      </w:r>
    </w:p>
    <w:p w14:paraId="1DACF98D">
      <w:pPr>
        <w:adjustRightInd w:val="0"/>
        <w:snapToGrid w:val="0"/>
        <w:spacing w:line="400" w:lineRule="exact"/>
        <w:ind w:firstLine="433" w:firstLineChars="197"/>
        <w:rPr>
          <w:rFonts w:ascii="宋体" w:hAnsi="宋体" w:cs="宋体"/>
          <w:sz w:val="22"/>
        </w:rPr>
      </w:pPr>
      <w:r>
        <w:rPr>
          <w:rFonts w:hint="eastAsia" w:ascii="宋体" w:hAnsi="宋体" w:cs="宋体"/>
          <w:sz w:val="22"/>
        </w:rPr>
        <w:t>1）发现中标（成交）供应商资格无效或中标（成交）供应商放弃成交或拒绝与采购人签订合同的,按相关法律法规规定执行，原则上重新开展政府采购活动。</w:t>
      </w:r>
    </w:p>
    <w:p w14:paraId="4BD43C5A">
      <w:pPr>
        <w:adjustRightInd w:val="0"/>
        <w:snapToGrid w:val="0"/>
        <w:spacing w:line="400" w:lineRule="exact"/>
        <w:ind w:firstLine="433" w:firstLineChars="197"/>
        <w:rPr>
          <w:rFonts w:hAnsi="宋体" w:cs="宋体"/>
          <w:b/>
          <w:bCs/>
          <w:sz w:val="22"/>
        </w:rPr>
      </w:pPr>
      <w:bookmarkStart w:id="79" w:name="_Toc3709_WPSOffice_Level3"/>
      <w:r>
        <w:rPr>
          <w:rFonts w:hint="eastAsia" w:hAnsi="宋体" w:cs="宋体"/>
          <w:sz w:val="22"/>
        </w:rPr>
        <w:t>4.签订合同</w:t>
      </w:r>
      <w:bookmarkEnd w:id="79"/>
    </w:p>
    <w:p w14:paraId="64B67E46">
      <w:pPr>
        <w:adjustRightInd w:val="0"/>
        <w:snapToGrid w:val="0"/>
        <w:spacing w:line="400" w:lineRule="exact"/>
        <w:ind w:firstLine="433" w:firstLineChars="197"/>
        <w:rPr>
          <w:rFonts w:ascii="宋体" w:hAnsi="宋体" w:cs="宋体"/>
          <w:sz w:val="22"/>
        </w:rPr>
      </w:pPr>
      <w:r>
        <w:rPr>
          <w:rFonts w:hint="eastAsia" w:ascii="宋体" w:hAns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7686D5DE">
      <w:pPr>
        <w:adjustRightInd w:val="0"/>
        <w:snapToGrid w:val="0"/>
        <w:spacing w:line="400" w:lineRule="exact"/>
        <w:ind w:firstLine="433" w:firstLineChars="197"/>
        <w:rPr>
          <w:rFonts w:ascii="宋体" w:hAnsi="宋体" w:cs="宋体"/>
          <w:sz w:val="22"/>
        </w:rPr>
      </w:pPr>
      <w:r>
        <w:rPr>
          <w:rFonts w:hint="eastAsia" w:ascii="宋体" w:hAnsi="宋体" w:cs="宋体"/>
          <w:sz w:val="22"/>
        </w:rPr>
        <w:t>4.2 招标文件、中标（成交）供应商的投标文件及投标修改文件、评标过程中有关澄清文件及经双方签字的询标纪要（承诺）和中标（成交）通知书均作为合同附件。</w:t>
      </w:r>
    </w:p>
    <w:p w14:paraId="651235FA">
      <w:pPr>
        <w:adjustRightInd w:val="0"/>
        <w:snapToGrid w:val="0"/>
        <w:spacing w:line="400" w:lineRule="exact"/>
        <w:ind w:firstLine="433" w:firstLineChars="197"/>
        <w:rPr>
          <w:rFonts w:ascii="宋体" w:hAnsi="宋体" w:cs="宋体"/>
          <w:sz w:val="22"/>
        </w:rPr>
      </w:pPr>
      <w:r>
        <w:rPr>
          <w:rFonts w:hint="eastAsia" w:ascii="宋体" w:hAnsi="宋体" w:cs="宋体"/>
          <w:sz w:val="22"/>
        </w:rPr>
        <w:t>4.3 拒签合同的责任</w:t>
      </w:r>
    </w:p>
    <w:p w14:paraId="54F31AE7">
      <w:pPr>
        <w:pStyle w:val="16"/>
        <w:adjustRightInd w:val="0"/>
        <w:snapToGrid w:val="0"/>
        <w:spacing w:before="120" w:beforeLines="0" w:after="120" w:afterLines="0"/>
        <w:ind w:firstLine="433" w:firstLineChars="197"/>
        <w:rPr>
          <w:rFonts w:hAnsi="宋体"/>
          <w:b/>
          <w:bCs/>
          <w:sz w:val="22"/>
        </w:rPr>
      </w:pPr>
      <w:r>
        <w:rPr>
          <w:rFonts w:hint="eastAsia" w:hAnsi="宋体"/>
          <w:sz w:val="22"/>
        </w:rPr>
        <w:t>中标（成交）供应商在规定时间内（30日历天）借故否认已经承诺的条件、拒签合同者，以违约处理，并赔偿采购人由此造成的直接经济损失；无正当理由拒签的，按政府采购法有关规定记入采购黑名单，在一定期限内禁止进入采购市场。采购人重新组织采购的，所需费用由原中标（成交）供应商承担。</w:t>
      </w:r>
    </w:p>
    <w:p w14:paraId="6E4766F3">
      <w:pPr>
        <w:pStyle w:val="16"/>
        <w:adjustRightInd w:val="0"/>
        <w:snapToGrid w:val="0"/>
        <w:spacing w:before="120" w:beforeLines="0" w:after="120" w:afterLines="0"/>
        <w:ind w:firstLine="433" w:firstLineChars="197"/>
        <w:rPr>
          <w:rFonts w:hAnsi="宋体"/>
          <w:sz w:val="22"/>
        </w:rPr>
      </w:pPr>
      <w:bookmarkStart w:id="80" w:name="_Toc21884_WPSOffice_Level3"/>
      <w:r>
        <w:rPr>
          <w:rFonts w:hint="eastAsia" w:hAnsi="宋体"/>
          <w:sz w:val="22"/>
        </w:rPr>
        <w:t>5.履约保证金</w:t>
      </w:r>
      <w:bookmarkEnd w:id="80"/>
    </w:p>
    <w:p w14:paraId="4EC8AC70">
      <w:pPr>
        <w:pStyle w:val="16"/>
        <w:adjustRightInd w:val="0"/>
        <w:snapToGrid w:val="0"/>
        <w:spacing w:before="120" w:beforeLines="0" w:after="120" w:afterLines="0"/>
        <w:ind w:firstLine="433" w:firstLineChars="197"/>
        <w:rPr>
          <w:rFonts w:hAnsi="宋体"/>
          <w:sz w:val="22"/>
          <w:highlight w:val="yellow"/>
        </w:rPr>
      </w:pPr>
      <w:r>
        <w:rPr>
          <w:rFonts w:hint="eastAsia" w:hAnsi="宋体"/>
          <w:sz w:val="22"/>
        </w:rPr>
        <w:t>合同签订后5个工作日内成交供应商应提供合同总金额1%的履约保证金至采购单位指定账户，供应商以银行、保险公司出具保函形式提交履约保证金的，采购人不得拒收。</w:t>
      </w:r>
    </w:p>
    <w:p w14:paraId="4D062C20">
      <w:pPr>
        <w:pStyle w:val="16"/>
        <w:adjustRightInd w:val="0"/>
        <w:snapToGrid w:val="0"/>
        <w:spacing w:before="120" w:beforeLines="0" w:after="120" w:afterLines="0"/>
        <w:ind w:firstLine="433" w:firstLineChars="197"/>
        <w:rPr>
          <w:rFonts w:hAnsi="宋体"/>
          <w:sz w:val="22"/>
        </w:rPr>
      </w:pPr>
      <w:r>
        <w:rPr>
          <w:rFonts w:hint="eastAsia" w:hAnsi="宋体"/>
          <w:sz w:val="22"/>
        </w:rPr>
        <w:t>6.招标代理服务费</w:t>
      </w:r>
    </w:p>
    <w:p w14:paraId="16F83AC6">
      <w:pPr>
        <w:pStyle w:val="16"/>
        <w:adjustRightInd w:val="0"/>
        <w:snapToGrid w:val="0"/>
        <w:spacing w:before="120" w:beforeLines="0" w:after="120" w:afterLines="0" w:line="360" w:lineRule="auto"/>
        <w:ind w:firstLine="433" w:firstLineChars="197"/>
        <w:rPr>
          <w:rFonts w:hAnsi="宋体"/>
          <w:sz w:val="22"/>
        </w:rPr>
      </w:pPr>
      <w:r>
        <w:rPr>
          <w:rFonts w:hint="eastAsia" w:hAnsi="宋体"/>
          <w:sz w:val="22"/>
        </w:rPr>
        <w:t>中标（成交）供应商在领取中标（成交）通知书同时向代理机构支付招标代理服务费，按照招标代理服务费计价标准（发改价格[2011]534号）收费标准收取服务费用</w:t>
      </w:r>
      <w:r>
        <w:rPr>
          <w:rFonts w:hint="eastAsia" w:hAnsi="宋体"/>
          <w:szCs w:val="21"/>
        </w:rPr>
        <w:t>。</w:t>
      </w:r>
    </w:p>
    <w:p w14:paraId="3CF0704B">
      <w:pPr>
        <w:autoSpaceDE w:val="0"/>
        <w:autoSpaceDN w:val="0"/>
        <w:adjustRightInd w:val="0"/>
        <w:spacing w:line="360" w:lineRule="auto"/>
        <w:ind w:firstLine="440" w:firstLineChars="200"/>
        <w:textAlignment w:val="bottom"/>
        <w:rPr>
          <w:rFonts w:ascii="宋体" w:hAnsi="宋体"/>
          <w:sz w:val="22"/>
          <w:szCs w:val="24"/>
        </w:rPr>
      </w:pPr>
      <w:r>
        <w:rPr>
          <w:rFonts w:hint="eastAsia" w:ascii="宋体" w:hAnsi="宋体"/>
          <w:sz w:val="22"/>
          <w:szCs w:val="24"/>
        </w:rPr>
        <w:t>招标代理费汇入以下帐号：</w:t>
      </w:r>
    </w:p>
    <w:p w14:paraId="0DB97511">
      <w:pPr>
        <w:autoSpaceDE w:val="0"/>
        <w:autoSpaceDN w:val="0"/>
        <w:adjustRightInd w:val="0"/>
        <w:snapToGrid w:val="0"/>
        <w:spacing w:line="360" w:lineRule="auto"/>
        <w:ind w:firstLine="459" w:firstLineChars="209"/>
        <w:textAlignment w:val="bottom"/>
        <w:rPr>
          <w:rFonts w:ascii="宋体" w:hAnsi="宋体"/>
          <w:sz w:val="22"/>
          <w:szCs w:val="24"/>
        </w:rPr>
      </w:pPr>
      <w:r>
        <w:rPr>
          <w:rFonts w:hint="eastAsia" w:ascii="宋体" w:hAnsi="宋体"/>
          <w:sz w:val="22"/>
          <w:szCs w:val="24"/>
        </w:rPr>
        <w:t xml:space="preserve">开户银行：建行泰顺县支行 </w:t>
      </w:r>
    </w:p>
    <w:p w14:paraId="457D8BFC">
      <w:pPr>
        <w:autoSpaceDE w:val="0"/>
        <w:autoSpaceDN w:val="0"/>
        <w:adjustRightInd w:val="0"/>
        <w:snapToGrid w:val="0"/>
        <w:spacing w:line="360" w:lineRule="auto"/>
        <w:ind w:firstLine="459" w:firstLineChars="209"/>
        <w:textAlignment w:val="bottom"/>
        <w:rPr>
          <w:rFonts w:ascii="宋体" w:hAnsi="宋体"/>
          <w:sz w:val="22"/>
          <w:szCs w:val="24"/>
        </w:rPr>
      </w:pPr>
      <w:r>
        <w:rPr>
          <w:rFonts w:hint="eastAsia" w:ascii="宋体" w:hAnsi="宋体"/>
          <w:sz w:val="22"/>
          <w:szCs w:val="24"/>
        </w:rPr>
        <w:t>开户名称：浙江金穗工程项目管理有限公司泰顺分公司</w:t>
      </w:r>
    </w:p>
    <w:p w14:paraId="5E4D55FB">
      <w:pPr>
        <w:autoSpaceDE w:val="0"/>
        <w:autoSpaceDN w:val="0"/>
        <w:adjustRightInd w:val="0"/>
        <w:snapToGrid w:val="0"/>
        <w:spacing w:line="360" w:lineRule="auto"/>
        <w:ind w:firstLine="459" w:firstLineChars="209"/>
        <w:textAlignment w:val="bottom"/>
        <w:rPr>
          <w:rFonts w:ascii="宋体" w:hAnsi="宋体"/>
          <w:sz w:val="22"/>
          <w:szCs w:val="24"/>
        </w:rPr>
      </w:pPr>
      <w:r>
        <w:rPr>
          <w:rFonts w:hint="eastAsia" w:ascii="宋体" w:hAnsi="宋体"/>
          <w:sz w:val="22"/>
          <w:szCs w:val="24"/>
        </w:rPr>
        <w:t>开户帐号：33001627435053001325；</w:t>
      </w:r>
    </w:p>
    <w:p w14:paraId="6E48EC1E">
      <w:pPr>
        <w:spacing w:line="360" w:lineRule="auto"/>
        <w:jc w:val="center"/>
        <w:rPr>
          <w:rFonts w:ascii="宋体" w:hAnsi="宋体" w:cs="宋体"/>
          <w:b/>
          <w:sz w:val="22"/>
          <w:szCs w:val="22"/>
        </w:rPr>
        <w:sectPr>
          <w:footerReference r:id="rId9" w:type="first"/>
          <w:footerReference r:id="rId8" w:type="default"/>
          <w:pgSz w:w="11906" w:h="16838"/>
          <w:pgMar w:top="1440" w:right="1361" w:bottom="1276" w:left="1361" w:header="851" w:footer="992" w:gutter="0"/>
          <w:pgNumType w:start="1"/>
          <w:cols w:space="720" w:num="1"/>
          <w:titlePg/>
          <w:docGrid w:linePitch="312" w:charSpace="0"/>
        </w:sectPr>
      </w:pPr>
    </w:p>
    <w:p w14:paraId="631484A9">
      <w:pPr>
        <w:pStyle w:val="28"/>
        <w:keepNext/>
        <w:keepLines/>
        <w:pageBreakBefore/>
        <w:widowControl/>
        <w:jc w:val="center"/>
        <w:rPr>
          <w:rFonts w:ascii="宋体"/>
          <w:sz w:val="22"/>
        </w:rPr>
      </w:pPr>
      <w:r>
        <w:rPr>
          <w:rFonts w:hint="eastAsia" w:ascii="宋体" w:hAnsi="宋体"/>
          <w:lang w:val="zh-CN"/>
        </w:rPr>
        <w:t>第四部分   国企采购政策功能相关说明</w:t>
      </w:r>
      <w:bookmarkEnd w:id="0"/>
    </w:p>
    <w:p w14:paraId="7F6B8369">
      <w:pPr>
        <w:spacing w:line="360" w:lineRule="auto"/>
        <w:jc w:val="left"/>
        <w:rPr>
          <w:rFonts w:ascii="宋体" w:hAnsi="宋体" w:cs="宋体"/>
          <w:sz w:val="22"/>
          <w:szCs w:val="22"/>
        </w:rPr>
      </w:pPr>
      <w:r>
        <w:rPr>
          <w:rFonts w:hint="eastAsia" w:ascii="宋体" w:hAnsi="宋体" w:cs="宋体"/>
          <w:sz w:val="22"/>
          <w:szCs w:val="22"/>
        </w:rPr>
        <w:t>一、面向中小企业采购政策说明</w:t>
      </w:r>
    </w:p>
    <w:p w14:paraId="1621C3D2">
      <w:pPr>
        <w:spacing w:line="360" w:lineRule="auto"/>
        <w:jc w:val="left"/>
        <w:rPr>
          <w:rFonts w:ascii="宋体" w:hAnsi="宋体" w:cs="宋体"/>
          <w:sz w:val="22"/>
          <w:szCs w:val="22"/>
        </w:rPr>
      </w:pPr>
      <w:r>
        <w:rPr>
          <w:rFonts w:hint="eastAsia" w:ascii="宋体" w:hAnsi="宋体" w:cs="宋体"/>
          <w:sz w:val="22"/>
          <w:szCs w:val="22"/>
        </w:rPr>
        <w:t>1、文件依据</w:t>
      </w:r>
    </w:p>
    <w:p w14:paraId="1D4D66FB">
      <w:pPr>
        <w:spacing w:line="360" w:lineRule="auto"/>
        <w:jc w:val="left"/>
        <w:rPr>
          <w:rFonts w:ascii="宋体" w:hAnsi="宋体" w:cs="宋体"/>
          <w:sz w:val="22"/>
          <w:szCs w:val="22"/>
        </w:rPr>
      </w:pPr>
      <w:r>
        <w:rPr>
          <w:rFonts w:hint="eastAsia" w:ascii="宋体" w:hAnsi="宋体" w:cs="宋体"/>
          <w:sz w:val="22"/>
          <w:szCs w:val="22"/>
        </w:rPr>
        <w:t>（1）《政府采购促进中小企业发展管理办法》（财库﹝2020﹞46 号）</w:t>
      </w:r>
    </w:p>
    <w:p w14:paraId="60BF1369">
      <w:pPr>
        <w:spacing w:line="360" w:lineRule="auto"/>
        <w:jc w:val="left"/>
        <w:rPr>
          <w:rFonts w:ascii="宋体" w:hAnsi="宋体" w:cs="宋体"/>
          <w:sz w:val="22"/>
          <w:szCs w:val="22"/>
        </w:rPr>
      </w:pPr>
      <w:r>
        <w:rPr>
          <w:rFonts w:hint="eastAsia" w:ascii="宋体" w:hAnsi="宋体" w:cs="宋体"/>
          <w:sz w:val="22"/>
          <w:szCs w:val="22"/>
        </w:rPr>
        <w:t>（2）浙江省省财政厅《关于开展政府采购供应商网上注册登记和诚信管理工作的通知》（浙财采监〔2010〕8号)</w:t>
      </w:r>
    </w:p>
    <w:p w14:paraId="268FC7FC">
      <w:pPr>
        <w:spacing w:line="360" w:lineRule="auto"/>
        <w:jc w:val="left"/>
        <w:rPr>
          <w:rFonts w:ascii="宋体" w:hAnsi="宋体" w:cs="宋体"/>
          <w:sz w:val="22"/>
          <w:szCs w:val="22"/>
        </w:rPr>
      </w:pPr>
      <w:r>
        <w:rPr>
          <w:rFonts w:hint="eastAsia" w:ascii="宋体" w:hAnsi="宋体" w:cs="宋体"/>
          <w:sz w:val="22"/>
          <w:szCs w:val="22"/>
        </w:rPr>
        <w:t>（3）《工业和信息化部、国家统计局、国家发展和改革委员会、财政部关于印发中小企业划型标准规定的通知》（工信部联企业[2011]300号）</w:t>
      </w:r>
    </w:p>
    <w:p w14:paraId="06FF1946">
      <w:pPr>
        <w:spacing w:line="360" w:lineRule="auto"/>
        <w:jc w:val="left"/>
        <w:rPr>
          <w:rFonts w:ascii="宋体" w:hAnsi="宋体" w:cs="宋体"/>
          <w:sz w:val="22"/>
          <w:szCs w:val="22"/>
        </w:rPr>
      </w:pPr>
      <w:r>
        <w:rPr>
          <w:rFonts w:hint="eastAsia" w:ascii="宋体" w:hAnsi="宋体" w:cs="宋体"/>
          <w:sz w:val="22"/>
          <w:szCs w:val="22"/>
        </w:rPr>
        <w:t>（4）财政部、司法部《关于政府采购支持监狱企业发展有关问题的通知》（财库〔2014〕68号）</w:t>
      </w:r>
    </w:p>
    <w:p w14:paraId="342D53E8">
      <w:pPr>
        <w:spacing w:line="360" w:lineRule="auto"/>
        <w:jc w:val="left"/>
        <w:rPr>
          <w:rFonts w:ascii="宋体" w:hAnsi="宋体" w:cs="宋体"/>
          <w:sz w:val="22"/>
          <w:szCs w:val="22"/>
        </w:rPr>
      </w:pPr>
      <w:r>
        <w:rPr>
          <w:rFonts w:hint="eastAsia" w:ascii="宋体" w:hAnsi="宋体" w:cs="宋体"/>
          <w:sz w:val="22"/>
          <w:szCs w:val="22"/>
        </w:rPr>
        <w:t>（5）《财政部民政部中国残疾人联合会关于促进残疾人就业政府采购政策的通知》（财库〔2017〕 141号）</w:t>
      </w:r>
    </w:p>
    <w:p w14:paraId="1ED29C82">
      <w:pPr>
        <w:spacing w:line="360" w:lineRule="auto"/>
        <w:jc w:val="left"/>
        <w:rPr>
          <w:rFonts w:ascii="宋体" w:hAnsi="宋体" w:cs="宋体"/>
          <w:sz w:val="22"/>
          <w:szCs w:val="22"/>
        </w:rPr>
      </w:pPr>
      <w:r>
        <w:rPr>
          <w:rFonts w:hint="eastAsia" w:ascii="宋体" w:hAnsi="宋体" w:cs="宋体"/>
          <w:sz w:val="22"/>
          <w:szCs w:val="22"/>
        </w:rPr>
        <w:t>（6）《关于进一步加大政府采购支持中小企业力度的通知》（财库〔2022〕19号）</w:t>
      </w:r>
    </w:p>
    <w:p w14:paraId="1EA98490">
      <w:pPr>
        <w:spacing w:line="360" w:lineRule="auto"/>
        <w:jc w:val="left"/>
        <w:rPr>
          <w:rFonts w:ascii="宋体" w:hAnsi="宋体" w:cs="宋体"/>
          <w:sz w:val="22"/>
          <w:szCs w:val="22"/>
        </w:rPr>
      </w:pPr>
      <w:r>
        <w:rPr>
          <w:rFonts w:hint="eastAsia" w:ascii="宋体" w:hAnsi="宋体" w:cs="宋体"/>
          <w:sz w:val="22"/>
          <w:szCs w:val="22"/>
        </w:rPr>
        <w:t>（7）《浙江省财政厅关于进一步发挥政府采购政策 功能全力推动经济稳进提质的通知》（浙财采监〔2022〕3号）</w:t>
      </w:r>
    </w:p>
    <w:p w14:paraId="2D224339">
      <w:pPr>
        <w:spacing w:line="360" w:lineRule="auto"/>
        <w:jc w:val="left"/>
        <w:rPr>
          <w:rFonts w:ascii="宋体" w:hAnsi="宋体" w:cs="宋体"/>
          <w:sz w:val="22"/>
          <w:szCs w:val="22"/>
        </w:rPr>
      </w:pPr>
      <w:r>
        <w:rPr>
          <w:rFonts w:hint="eastAsia" w:ascii="宋体" w:hAnsi="宋体" w:cs="宋体"/>
          <w:sz w:val="22"/>
          <w:szCs w:val="22"/>
        </w:rPr>
        <w:t>（8）《关于进一步加大政府采购 支持中小企业力度助力扎实稳住经济 的通知》（浙财采监〔2022〕8号）</w:t>
      </w:r>
    </w:p>
    <w:p w14:paraId="26F6B03B">
      <w:pPr>
        <w:spacing w:line="360" w:lineRule="auto"/>
        <w:jc w:val="left"/>
        <w:rPr>
          <w:rFonts w:ascii="宋体" w:hAnsi="宋体" w:cs="宋体"/>
          <w:sz w:val="22"/>
          <w:szCs w:val="22"/>
        </w:rPr>
      </w:pPr>
      <w:r>
        <w:rPr>
          <w:rFonts w:hint="eastAsia" w:ascii="宋体" w:hAnsi="宋体" w:cs="宋体"/>
          <w:sz w:val="22"/>
          <w:szCs w:val="22"/>
        </w:rPr>
        <w:t>2、符合要求的应提供以下证明材料（附在《报价文件》中）：</w:t>
      </w:r>
    </w:p>
    <w:p w14:paraId="7E57ABBC">
      <w:pPr>
        <w:spacing w:line="360" w:lineRule="auto"/>
        <w:jc w:val="left"/>
        <w:rPr>
          <w:rFonts w:ascii="宋体" w:hAnsi="宋体" w:cs="宋体"/>
          <w:sz w:val="22"/>
          <w:szCs w:val="22"/>
        </w:rPr>
      </w:pPr>
      <w:r>
        <w:rPr>
          <w:rFonts w:hint="eastAsia" w:ascii="宋体" w:hAnsi="宋体" w:cs="宋体"/>
          <w:sz w:val="22"/>
          <w:szCs w:val="22"/>
        </w:rPr>
        <w:t>（1）中小企业：中小企业声明函（原件，加盖供应商公章，格式见附件1）</w:t>
      </w:r>
    </w:p>
    <w:p w14:paraId="18B6158C">
      <w:pPr>
        <w:spacing w:line="360" w:lineRule="auto"/>
        <w:jc w:val="left"/>
        <w:rPr>
          <w:rFonts w:ascii="宋体" w:hAnsi="宋体" w:cs="宋体"/>
          <w:sz w:val="22"/>
          <w:szCs w:val="22"/>
        </w:rPr>
      </w:pPr>
      <w:r>
        <w:rPr>
          <w:rFonts w:hint="eastAsia" w:ascii="宋体" w:hAnsi="宋体" w:cs="宋体"/>
          <w:sz w:val="22"/>
          <w:szCs w:val="22"/>
        </w:rPr>
        <w:t>（2）残疾人福利性单位：残疾人福利性单位声明函（原件，加盖供应商公章，格式见附件1）</w:t>
      </w:r>
    </w:p>
    <w:p w14:paraId="6D5FBB55">
      <w:pPr>
        <w:spacing w:line="360" w:lineRule="auto"/>
        <w:jc w:val="left"/>
        <w:rPr>
          <w:rFonts w:ascii="宋体" w:hAnsi="宋体" w:cs="宋体"/>
          <w:sz w:val="22"/>
          <w:szCs w:val="22"/>
        </w:rPr>
      </w:pPr>
      <w:r>
        <w:rPr>
          <w:rFonts w:hint="eastAsia" w:ascii="宋体" w:hAnsi="宋体" w:cs="宋体"/>
          <w:sz w:val="22"/>
          <w:szCs w:val="22"/>
        </w:rPr>
        <w:t>（3）监狱企业：提供由省级以上监狱管理局、戒毒管理局（含新疆生产建设兵团）出具的属于监狱企业的证明文件（原件）</w:t>
      </w:r>
    </w:p>
    <w:p w14:paraId="3D38532D">
      <w:pPr>
        <w:spacing w:line="360" w:lineRule="auto"/>
        <w:jc w:val="left"/>
        <w:rPr>
          <w:rFonts w:ascii="宋体" w:hAnsi="宋体" w:cs="宋体"/>
          <w:sz w:val="22"/>
          <w:szCs w:val="22"/>
        </w:rPr>
      </w:pPr>
      <w:r>
        <w:rPr>
          <w:rFonts w:hint="eastAsia" w:ascii="宋体" w:hAnsi="宋体" w:cs="宋体"/>
          <w:sz w:val="22"/>
          <w:szCs w:val="22"/>
        </w:rPr>
        <w:t>3、扶持政策说明：</w:t>
      </w:r>
    </w:p>
    <w:p w14:paraId="5CFF273D">
      <w:pPr>
        <w:spacing w:line="360" w:lineRule="auto"/>
        <w:jc w:val="left"/>
        <w:rPr>
          <w:rFonts w:ascii="宋体" w:hAnsi="宋体" w:cs="宋体"/>
          <w:sz w:val="22"/>
          <w:szCs w:val="22"/>
        </w:rPr>
      </w:pPr>
      <w:r>
        <w:rPr>
          <w:rFonts w:hint="eastAsia" w:ascii="宋体" w:hAnsi="宋体" w:cs="宋体"/>
          <w:sz w:val="22"/>
          <w:szCs w:val="22"/>
        </w:rPr>
        <w:t>残疾人福利性单位、监狱企业参加投标视同小微企业。</w:t>
      </w:r>
    </w:p>
    <w:p w14:paraId="2F754E64">
      <w:pPr>
        <w:spacing w:line="360" w:lineRule="auto"/>
        <w:jc w:val="left"/>
        <w:rPr>
          <w:rFonts w:ascii="宋体" w:hAnsi="宋体" w:cs="宋体"/>
          <w:sz w:val="22"/>
          <w:szCs w:val="22"/>
        </w:rPr>
      </w:pPr>
      <w:r>
        <w:rPr>
          <w:rFonts w:hint="eastAsia" w:ascii="宋体" w:hAnsi="宋体" w:cs="宋体"/>
          <w:sz w:val="22"/>
          <w:szCs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2D5B9704">
      <w:pPr>
        <w:spacing w:line="360" w:lineRule="auto"/>
        <w:jc w:val="left"/>
        <w:rPr>
          <w:rFonts w:ascii="宋体" w:hAnsi="宋体" w:cs="宋体"/>
          <w:sz w:val="22"/>
          <w:szCs w:val="22"/>
        </w:rPr>
      </w:pPr>
      <w:r>
        <w:rPr>
          <w:rFonts w:hint="eastAsia" w:ascii="宋体" w:hAnsi="宋体" w:cs="宋体"/>
          <w:sz w:val="22"/>
          <w:szCs w:val="22"/>
        </w:rPr>
        <w:t>5、本项目采购文件明确采购的标的所属行业为</w:t>
      </w:r>
      <w:r>
        <w:rPr>
          <w:rFonts w:hint="eastAsia" w:ascii="宋体" w:hAnsi="宋体" w:cs="宋体"/>
          <w:b/>
          <w:bCs/>
          <w:sz w:val="22"/>
          <w:szCs w:val="22"/>
          <w:lang w:eastAsia="zh-CN"/>
        </w:rPr>
        <w:t>商务和服务业</w:t>
      </w:r>
      <w:r>
        <w:rPr>
          <w:rFonts w:hint="eastAsia" w:ascii="宋体" w:hAnsi="宋体" w:cs="宋体"/>
          <w:sz w:val="22"/>
          <w:szCs w:val="22"/>
        </w:rPr>
        <w:t>。</w:t>
      </w:r>
    </w:p>
    <w:p w14:paraId="1C008BF6">
      <w:pPr>
        <w:spacing w:line="400" w:lineRule="exact"/>
        <w:rPr>
          <w:rFonts w:ascii="宋体" w:hAnsi="宋体"/>
          <w:sz w:val="22"/>
        </w:rPr>
      </w:pPr>
    </w:p>
    <w:p w14:paraId="0A246A3F">
      <w:pPr>
        <w:pageBreakBefore/>
        <w:widowControl w:val="0"/>
        <w:spacing w:line="400" w:lineRule="exact"/>
        <w:rPr>
          <w:rFonts w:ascii="宋体" w:hAnsi="宋体"/>
          <w:b/>
          <w:bCs/>
          <w:sz w:val="24"/>
          <w:szCs w:val="28"/>
        </w:rPr>
      </w:pPr>
      <w:r>
        <w:rPr>
          <w:rFonts w:hint="eastAsia" w:ascii="宋体" w:hAnsi="宋体"/>
          <w:b/>
          <w:bCs/>
          <w:sz w:val="24"/>
          <w:szCs w:val="28"/>
        </w:rPr>
        <w:t>附件1</w:t>
      </w:r>
    </w:p>
    <w:p w14:paraId="4A9BC0E7">
      <w:pPr>
        <w:snapToGrid w:val="0"/>
        <w:spacing w:line="400" w:lineRule="atLeast"/>
        <w:jc w:val="center"/>
        <w:rPr>
          <w:rFonts w:ascii="宋体" w:hAnsi="宋体"/>
          <w:b/>
          <w:sz w:val="24"/>
        </w:rPr>
      </w:pPr>
      <w:r>
        <w:rPr>
          <w:rFonts w:hint="eastAsia" w:ascii="宋体" w:hAnsi="宋体"/>
          <w:b/>
          <w:sz w:val="24"/>
        </w:rPr>
        <w:t>中小企业声明函（服务）</w:t>
      </w:r>
    </w:p>
    <w:p w14:paraId="5B0944F9">
      <w:pPr>
        <w:pStyle w:val="22"/>
      </w:pPr>
    </w:p>
    <w:p w14:paraId="6D740BE9">
      <w:pPr>
        <w:spacing w:line="440" w:lineRule="atLeast"/>
        <w:ind w:firstLine="420"/>
        <w:jc w:val="left"/>
        <w:rPr>
          <w:rFonts w:ascii="宋体" w:hAnsi="宋体" w:cs="宋体"/>
          <w:sz w:val="22"/>
        </w:rPr>
      </w:pPr>
      <w:r>
        <w:rPr>
          <w:rFonts w:hint="eastAsia" w:ascii="宋体" w:hAnsi="宋体" w:cs="宋体"/>
          <w:sz w:val="22"/>
        </w:rPr>
        <w:t>本公司（联合体）郑重声明，根据《政府采购促进中小企业发展管理办法》（财库﹝2020﹞46 号）的规定，本公司（联合体）参加</w:t>
      </w:r>
      <w:r>
        <w:rPr>
          <w:rFonts w:hint="eastAsia" w:ascii="宋体" w:hAnsi="宋体" w:cs="宋体"/>
          <w:sz w:val="22"/>
          <w:u w:val="single"/>
        </w:rPr>
        <w:t>（单位名称）</w:t>
      </w:r>
      <w:r>
        <w:rPr>
          <w:rFonts w:hint="eastAsia" w:ascii="宋体" w:hAnsi="宋体" w:cs="宋体"/>
          <w:sz w:val="22"/>
        </w:rPr>
        <w:t>的</w:t>
      </w:r>
      <w:r>
        <w:rPr>
          <w:rFonts w:hint="eastAsia" w:ascii="宋体" w:hAnsi="宋体" w:cs="宋体"/>
          <w:sz w:val="22"/>
          <w:u w:val="single"/>
        </w:rPr>
        <w:t>（项目名称）</w:t>
      </w:r>
      <w:r>
        <w:rPr>
          <w:rFonts w:hint="eastAsia" w:ascii="宋体" w:hAnsi="宋体" w:cs="宋体"/>
          <w:sz w:val="22"/>
        </w:rPr>
        <w:t>采购活动，服务全部由符合政策要求的中小企业承接。相关企业（含联合体中的中小企业、签订分包意向协议的中小企业）的具体情况如下：</w:t>
      </w:r>
    </w:p>
    <w:p w14:paraId="726EEE3C">
      <w:pPr>
        <w:spacing w:line="440" w:lineRule="atLeast"/>
        <w:ind w:firstLine="420"/>
        <w:jc w:val="left"/>
        <w:rPr>
          <w:rFonts w:ascii="宋体" w:hAnsi="宋体" w:cs="宋体"/>
          <w:sz w:val="22"/>
        </w:rPr>
      </w:pPr>
      <w:r>
        <w:rPr>
          <w:rFonts w:hint="eastAsia" w:ascii="宋体" w:hAnsi="宋体" w:cs="宋体"/>
          <w:sz w:val="22"/>
        </w:rPr>
        <w:t>1.</w:t>
      </w:r>
      <w:r>
        <w:rPr>
          <w:rFonts w:hint="eastAsia" w:ascii="宋体" w:hAnsi="宋体" w:cs="宋体"/>
          <w:sz w:val="22"/>
          <w:u w:val="single"/>
        </w:rPr>
        <w:t xml:space="preserve"> （标的名称） </w:t>
      </w:r>
      <w:r>
        <w:rPr>
          <w:rFonts w:hint="eastAsia" w:ascii="宋体" w:hAnsi="宋体" w:cs="宋体"/>
          <w:sz w:val="22"/>
        </w:rPr>
        <w:t>，属于</w:t>
      </w:r>
      <w:r>
        <w:rPr>
          <w:rFonts w:hint="eastAsia" w:ascii="宋体" w:hAnsi="宋体" w:cs="宋体"/>
          <w:sz w:val="22"/>
          <w:u w:val="single"/>
        </w:rPr>
        <w:t>其他未列明行业（采购文件中明确的所属行业）</w:t>
      </w:r>
      <w:r>
        <w:rPr>
          <w:rFonts w:hint="eastAsia" w:ascii="宋体" w:hAnsi="宋体" w:cs="宋体"/>
          <w:sz w:val="22"/>
        </w:rPr>
        <w:t>；承接企业为</w:t>
      </w:r>
      <w:r>
        <w:rPr>
          <w:rFonts w:hint="eastAsia" w:ascii="宋体" w:hAnsi="宋体" w:cs="宋体"/>
          <w:sz w:val="22"/>
          <w:u w:val="single"/>
        </w:rPr>
        <w:t>（企业名称）</w:t>
      </w:r>
      <w:r>
        <w:rPr>
          <w:rFonts w:hint="eastAsia" w:ascii="宋体" w:hAnsi="宋体" w:cs="宋体"/>
          <w:sz w:val="22"/>
        </w:rPr>
        <w:t>，从业人员</w:t>
      </w:r>
      <w:r>
        <w:rPr>
          <w:rFonts w:hint="eastAsia" w:ascii="宋体" w:hAnsi="宋体" w:cs="宋体"/>
          <w:sz w:val="22"/>
          <w:u w:val="single"/>
        </w:rPr>
        <w:t xml:space="preserve">     </w:t>
      </w:r>
      <w:r>
        <w:rPr>
          <w:rFonts w:hint="eastAsia" w:ascii="宋体" w:hAnsi="宋体" w:cs="宋体"/>
          <w:sz w:val="22"/>
        </w:rPr>
        <w:t>人，营业收入为</w:t>
      </w:r>
      <w:r>
        <w:rPr>
          <w:rFonts w:hint="eastAsia" w:ascii="宋体" w:hAnsi="宋体" w:cs="宋体"/>
          <w:sz w:val="22"/>
          <w:u w:val="single"/>
        </w:rPr>
        <w:t xml:space="preserve">     </w:t>
      </w:r>
      <w:r>
        <w:rPr>
          <w:rFonts w:hint="eastAsia" w:ascii="宋体" w:hAnsi="宋体" w:cs="宋体"/>
          <w:sz w:val="22"/>
        </w:rPr>
        <w:t>万元，资产总额为</w:t>
      </w:r>
      <w:r>
        <w:rPr>
          <w:rFonts w:hint="eastAsia" w:ascii="宋体" w:hAnsi="宋体" w:cs="宋体"/>
          <w:sz w:val="22"/>
          <w:u w:val="single"/>
        </w:rPr>
        <w:t xml:space="preserve">     </w:t>
      </w:r>
      <w:r>
        <w:rPr>
          <w:rFonts w:hint="eastAsia" w:ascii="宋体" w:hAnsi="宋体" w:cs="宋体"/>
          <w:sz w:val="22"/>
        </w:rPr>
        <w:t>万元，属于</w:t>
      </w:r>
      <w:r>
        <w:rPr>
          <w:rFonts w:hint="eastAsia" w:ascii="宋体" w:hAnsi="宋体" w:cs="宋体"/>
          <w:sz w:val="22"/>
          <w:u w:val="single"/>
        </w:rPr>
        <w:t>（中型企业、小型企业、微型企业）</w:t>
      </w:r>
      <w:r>
        <w:rPr>
          <w:rFonts w:hint="eastAsia" w:ascii="宋体" w:hAnsi="宋体" w:cs="宋体"/>
          <w:sz w:val="22"/>
        </w:rPr>
        <w:t xml:space="preserve">； </w:t>
      </w:r>
    </w:p>
    <w:p w14:paraId="6AB31F5E">
      <w:pPr>
        <w:spacing w:line="440" w:lineRule="atLeast"/>
        <w:ind w:firstLine="420"/>
        <w:jc w:val="left"/>
        <w:rPr>
          <w:rFonts w:ascii="宋体" w:hAnsi="宋体" w:cs="宋体"/>
          <w:sz w:val="22"/>
        </w:rPr>
      </w:pPr>
      <w:r>
        <w:rPr>
          <w:rFonts w:hint="eastAsia" w:ascii="宋体" w:hAnsi="宋体" w:cs="宋体"/>
          <w:sz w:val="22"/>
        </w:rPr>
        <w:t>2.</w:t>
      </w:r>
      <w:r>
        <w:rPr>
          <w:rFonts w:hint="eastAsia" w:ascii="宋体" w:hAnsi="宋体" w:cs="宋体"/>
          <w:sz w:val="22"/>
          <w:u w:val="single"/>
        </w:rPr>
        <w:t xml:space="preserve"> （标的名称） </w:t>
      </w:r>
      <w:r>
        <w:rPr>
          <w:rFonts w:hint="eastAsia" w:ascii="宋体" w:hAnsi="宋体" w:cs="宋体"/>
          <w:sz w:val="22"/>
        </w:rPr>
        <w:t>，属于</w:t>
      </w:r>
      <w:r>
        <w:rPr>
          <w:rFonts w:hint="eastAsia" w:ascii="宋体" w:hAnsi="宋体" w:cs="宋体"/>
          <w:sz w:val="22"/>
          <w:u w:val="single"/>
        </w:rPr>
        <w:t>其他未列明行业（采购文件中明确的所属行业）；</w:t>
      </w:r>
      <w:r>
        <w:rPr>
          <w:rFonts w:hint="eastAsia" w:ascii="宋体" w:hAnsi="宋体" w:cs="宋体"/>
          <w:sz w:val="22"/>
        </w:rPr>
        <w:t>承接企业为</w:t>
      </w:r>
      <w:r>
        <w:rPr>
          <w:rFonts w:hint="eastAsia" w:ascii="宋体" w:hAnsi="宋体" w:cs="宋体"/>
          <w:sz w:val="22"/>
          <w:u w:val="single"/>
        </w:rPr>
        <w:t>（企业名称）</w:t>
      </w:r>
      <w:r>
        <w:rPr>
          <w:rFonts w:hint="eastAsia" w:ascii="宋体" w:hAnsi="宋体" w:cs="宋体"/>
          <w:sz w:val="22"/>
        </w:rPr>
        <w:t>，从业人员</w:t>
      </w:r>
      <w:r>
        <w:rPr>
          <w:rFonts w:hint="eastAsia" w:ascii="宋体" w:hAnsi="宋体" w:cs="宋体"/>
          <w:sz w:val="22"/>
          <w:u w:val="single"/>
        </w:rPr>
        <w:t xml:space="preserve">     </w:t>
      </w:r>
      <w:r>
        <w:rPr>
          <w:rFonts w:hint="eastAsia" w:ascii="宋体" w:hAnsi="宋体" w:cs="宋体"/>
          <w:sz w:val="22"/>
        </w:rPr>
        <w:t>人，营业收入为</w:t>
      </w:r>
      <w:r>
        <w:rPr>
          <w:rFonts w:hint="eastAsia" w:ascii="宋体" w:hAnsi="宋体" w:cs="宋体"/>
          <w:sz w:val="22"/>
          <w:u w:val="single"/>
        </w:rPr>
        <w:t xml:space="preserve">     </w:t>
      </w:r>
      <w:r>
        <w:rPr>
          <w:rFonts w:hint="eastAsia" w:ascii="宋体" w:hAnsi="宋体" w:cs="宋体"/>
          <w:sz w:val="22"/>
        </w:rPr>
        <w:t>万元，资产总额为</w:t>
      </w:r>
      <w:r>
        <w:rPr>
          <w:rFonts w:hint="eastAsia" w:ascii="宋体" w:hAnsi="宋体" w:cs="宋体"/>
          <w:sz w:val="22"/>
          <w:u w:val="single"/>
        </w:rPr>
        <w:t xml:space="preserve">     </w:t>
      </w:r>
      <w:r>
        <w:rPr>
          <w:rFonts w:hint="eastAsia" w:ascii="宋体" w:hAnsi="宋体" w:cs="宋体"/>
          <w:sz w:val="22"/>
        </w:rPr>
        <w:t>万元，属于</w:t>
      </w:r>
      <w:r>
        <w:rPr>
          <w:rFonts w:hint="eastAsia" w:ascii="宋体" w:hAnsi="宋体" w:cs="宋体"/>
          <w:sz w:val="22"/>
          <w:u w:val="single"/>
        </w:rPr>
        <w:t>（中型企业、小型企业、微型企业）</w:t>
      </w:r>
      <w:r>
        <w:rPr>
          <w:rFonts w:hint="eastAsia" w:ascii="宋体" w:hAnsi="宋体" w:cs="宋体"/>
          <w:sz w:val="22"/>
        </w:rPr>
        <w:t xml:space="preserve">； </w:t>
      </w:r>
    </w:p>
    <w:p w14:paraId="4575C1F7">
      <w:pPr>
        <w:spacing w:line="440" w:lineRule="atLeast"/>
        <w:ind w:firstLine="420"/>
        <w:jc w:val="left"/>
        <w:rPr>
          <w:rFonts w:ascii="宋体" w:hAnsi="宋体" w:cs="宋体"/>
          <w:sz w:val="22"/>
        </w:rPr>
      </w:pPr>
      <w:r>
        <w:rPr>
          <w:rFonts w:hint="eastAsia" w:ascii="宋体" w:hAnsi="宋体" w:cs="宋体"/>
          <w:sz w:val="22"/>
        </w:rPr>
        <w:t>……</w:t>
      </w:r>
    </w:p>
    <w:p w14:paraId="257B509B">
      <w:pPr>
        <w:spacing w:line="440" w:lineRule="atLeast"/>
        <w:ind w:firstLine="420"/>
        <w:jc w:val="left"/>
        <w:rPr>
          <w:rFonts w:ascii="宋体" w:hAnsi="宋体" w:cs="宋体"/>
          <w:sz w:val="22"/>
        </w:rPr>
      </w:pPr>
      <w:r>
        <w:rPr>
          <w:rFonts w:hint="eastAsia" w:ascii="宋体" w:hAnsi="宋体" w:cs="宋体"/>
          <w:sz w:val="22"/>
        </w:rPr>
        <w:t>以上企业，不属于大企业的分支机构，不存在控股股东为大企业的情形，也不存在与大企业的负责人为同一人的情形。</w:t>
      </w:r>
    </w:p>
    <w:p w14:paraId="41BA0243">
      <w:pPr>
        <w:spacing w:line="440" w:lineRule="atLeast"/>
        <w:ind w:firstLine="420"/>
        <w:jc w:val="left"/>
        <w:rPr>
          <w:rFonts w:ascii="宋体" w:hAnsi="宋体" w:cs="宋体"/>
          <w:sz w:val="22"/>
        </w:rPr>
      </w:pPr>
      <w:r>
        <w:rPr>
          <w:rFonts w:hint="eastAsia" w:ascii="宋体" w:hAnsi="宋体" w:cs="宋体"/>
          <w:sz w:val="22"/>
        </w:rPr>
        <w:t>本企业对上述声明内容的真实性负责。如有虚假，将依法承担相应责任。</w:t>
      </w:r>
    </w:p>
    <w:p w14:paraId="338C85A4">
      <w:pPr>
        <w:spacing w:line="440" w:lineRule="atLeast"/>
        <w:ind w:firstLine="420"/>
        <w:jc w:val="left"/>
        <w:rPr>
          <w:rFonts w:ascii="宋体" w:hAnsi="宋体" w:cs="宋体"/>
          <w:sz w:val="22"/>
        </w:rPr>
      </w:pPr>
      <w:r>
        <w:rPr>
          <w:rFonts w:hint="eastAsia" w:ascii="宋体" w:hAnsi="宋体" w:cs="宋体"/>
          <w:sz w:val="22"/>
        </w:rPr>
        <w:t xml:space="preserve">企业名称（盖章）： </w:t>
      </w:r>
    </w:p>
    <w:p w14:paraId="36745C87">
      <w:pPr>
        <w:spacing w:line="440" w:lineRule="atLeast"/>
        <w:ind w:firstLine="420"/>
        <w:jc w:val="left"/>
        <w:rPr>
          <w:rFonts w:ascii="宋体" w:hAnsi="宋体" w:cs="宋体"/>
          <w:sz w:val="22"/>
        </w:rPr>
      </w:pPr>
      <w:r>
        <w:rPr>
          <w:rFonts w:hint="eastAsia" w:ascii="宋体" w:hAnsi="宋体" w:cs="宋体"/>
          <w:sz w:val="22"/>
        </w:rPr>
        <w:t xml:space="preserve">日 期： </w:t>
      </w:r>
    </w:p>
    <w:p w14:paraId="33A14126">
      <w:pPr>
        <w:spacing w:line="440" w:lineRule="atLeast"/>
        <w:ind w:firstLine="420"/>
        <w:jc w:val="left"/>
        <w:rPr>
          <w:rFonts w:ascii="宋体" w:hAnsi="宋体" w:cs="宋体"/>
          <w:sz w:val="22"/>
        </w:rPr>
      </w:pPr>
      <w:r>
        <w:rPr>
          <w:rFonts w:hint="eastAsia" w:ascii="宋体" w:hAnsi="宋体" w:cs="宋体"/>
          <w:sz w:val="22"/>
        </w:rPr>
        <w:t>注：从业人员、营业收入、资产总额填报上一年度数据，无上一年度数据的新成立企业可不填报。</w:t>
      </w:r>
    </w:p>
    <w:p w14:paraId="3DC7E990">
      <w:pPr>
        <w:spacing w:line="440" w:lineRule="atLeast"/>
        <w:ind w:firstLine="420"/>
        <w:jc w:val="left"/>
        <w:rPr>
          <w:rFonts w:ascii="宋体" w:hAnsi="宋体" w:cs="宋体"/>
          <w:b/>
          <w:bCs/>
          <w:sz w:val="22"/>
        </w:rPr>
      </w:pPr>
      <w:r>
        <w:rPr>
          <w:rFonts w:hint="eastAsia" w:ascii="宋体" w:hAnsi="宋体" w:cs="宋体"/>
          <w:b/>
          <w:bCs/>
          <w:sz w:val="22"/>
        </w:rPr>
        <w:t>采购人或采购代理机构有可能在中标（成交）结果公开中标（成交）供应商的《中小企业声明函》。供应商提供的声明函与实际情况不符的，视为供应商提供虚假材料投标的，投标无效。</w:t>
      </w:r>
    </w:p>
    <w:p w14:paraId="3EA9819B">
      <w:pPr>
        <w:snapToGrid w:val="0"/>
        <w:spacing w:line="360" w:lineRule="auto"/>
        <w:rPr>
          <w:b/>
          <w:sz w:val="28"/>
          <w:szCs w:val="28"/>
        </w:rPr>
      </w:pPr>
    </w:p>
    <w:p w14:paraId="305F6F66">
      <w:pPr>
        <w:spacing w:line="440" w:lineRule="atLeast"/>
        <w:jc w:val="left"/>
        <w:rPr>
          <w:rFonts w:hAnsi="宋体"/>
          <w:szCs w:val="21"/>
        </w:rPr>
      </w:pPr>
    </w:p>
    <w:p w14:paraId="67E4107E">
      <w:pPr>
        <w:pageBreakBefore/>
        <w:widowControl w:val="0"/>
        <w:snapToGrid w:val="0"/>
        <w:spacing w:line="460" w:lineRule="atLeast"/>
        <w:jc w:val="center"/>
        <w:outlineLvl w:val="0"/>
        <w:rPr>
          <w:rFonts w:ascii="宋体" w:hAnsi="宋体"/>
          <w:b/>
          <w:bCs/>
          <w:sz w:val="32"/>
          <w:szCs w:val="32"/>
        </w:rPr>
      </w:pPr>
      <w:bookmarkStart w:id="81" w:name="_Toc511768888"/>
      <w:r>
        <w:rPr>
          <w:rFonts w:hint="eastAsia" w:ascii="宋体" w:hAnsi="宋体"/>
          <w:b/>
          <w:bCs/>
          <w:sz w:val="32"/>
          <w:szCs w:val="32"/>
        </w:rPr>
        <w:t>第五部分  合同格式（参考格式）</w:t>
      </w:r>
    </w:p>
    <w:p w14:paraId="54CA9EEE">
      <w:pPr>
        <w:snapToGrid w:val="0"/>
        <w:spacing w:line="400" w:lineRule="exact"/>
        <w:rPr>
          <w:rFonts w:ascii="宋体"/>
          <w:sz w:val="22"/>
          <w:szCs w:val="24"/>
        </w:rPr>
      </w:pPr>
      <w:r>
        <w:rPr>
          <w:rFonts w:hint="eastAsia" w:ascii="宋体" w:cs="宋体"/>
          <w:sz w:val="22"/>
          <w:szCs w:val="24"/>
        </w:rPr>
        <w:t>甲方：</w:t>
      </w:r>
    </w:p>
    <w:p w14:paraId="49D63AB1">
      <w:pPr>
        <w:snapToGrid w:val="0"/>
        <w:spacing w:line="400" w:lineRule="exact"/>
        <w:rPr>
          <w:rFonts w:ascii="宋体"/>
          <w:sz w:val="22"/>
          <w:szCs w:val="24"/>
        </w:rPr>
      </w:pPr>
      <w:r>
        <w:rPr>
          <w:rFonts w:hint="eastAsia" w:ascii="宋体" w:cs="宋体"/>
          <w:sz w:val="22"/>
          <w:szCs w:val="24"/>
        </w:rPr>
        <w:t>乙方：</w:t>
      </w:r>
    </w:p>
    <w:p w14:paraId="05BB2BAC">
      <w:pPr>
        <w:spacing w:line="400" w:lineRule="exact"/>
        <w:ind w:firstLine="446" w:firstLineChars="200"/>
        <w:rPr>
          <w:rFonts w:ascii="宋体" w:hAnsi="宋体" w:cs="宋体"/>
          <w:sz w:val="22"/>
          <w:szCs w:val="22"/>
        </w:rPr>
      </w:pPr>
      <w:r>
        <w:rPr>
          <w:rFonts w:ascii="宋体" w:hAnsi="宋体" w:cs="宋体"/>
          <w:sz w:val="22"/>
          <w:szCs w:val="22"/>
        </w:rPr>
        <w:t xml:space="preserve">  </w:t>
      </w:r>
      <w:r>
        <w:rPr>
          <w:rFonts w:hint="eastAsia" w:ascii="宋体" w:hAnsi="宋体" w:cs="宋体"/>
          <w:sz w:val="22"/>
          <w:szCs w:val="22"/>
        </w:rPr>
        <w:t>甲乙双方根据</w:t>
      </w:r>
      <w:r>
        <w:rPr>
          <w:rFonts w:hint="eastAsia" w:ascii="宋体" w:hAnsi="宋体" w:cs="宋体"/>
          <w:sz w:val="22"/>
          <w:szCs w:val="22"/>
          <w:u w:val="single"/>
        </w:rPr>
        <w:t xml:space="preserve">     年  月  日</w:t>
      </w:r>
      <w:r>
        <w:rPr>
          <w:rFonts w:hint="eastAsia" w:ascii="宋体" w:hAnsi="宋体" w:cs="宋体"/>
          <w:sz w:val="22"/>
          <w:szCs w:val="22"/>
        </w:rPr>
        <w:t xml:space="preserve">泰顺县南浦溪镇环卫一体化和垃圾分类服务项目(项目编号：   ）的招标结果和有关招投标文件的要求，经双方友好协商，订立本合同。 </w:t>
      </w:r>
    </w:p>
    <w:p w14:paraId="6E376107">
      <w:pPr>
        <w:spacing w:line="400" w:lineRule="exact"/>
        <w:ind w:firstLine="446" w:firstLineChars="200"/>
        <w:rPr>
          <w:rFonts w:ascii="宋体" w:hAnsi="宋体" w:cs="宋体"/>
          <w:b/>
          <w:bCs/>
          <w:sz w:val="22"/>
          <w:szCs w:val="22"/>
        </w:rPr>
      </w:pPr>
      <w:r>
        <w:rPr>
          <w:rFonts w:hint="eastAsia" w:ascii="宋体" w:hAnsi="宋体" w:cs="宋体"/>
          <w:b/>
          <w:bCs/>
          <w:sz w:val="22"/>
          <w:szCs w:val="22"/>
        </w:rPr>
        <w:t>第一条</w:t>
      </w:r>
      <w:r>
        <w:rPr>
          <w:rFonts w:ascii="宋体" w:hAnsi="宋体" w:cs="宋体"/>
          <w:b/>
          <w:bCs/>
          <w:sz w:val="22"/>
          <w:szCs w:val="22"/>
        </w:rPr>
        <w:t xml:space="preserve"> </w:t>
      </w:r>
      <w:r>
        <w:rPr>
          <w:rFonts w:hint="eastAsia" w:ascii="宋体" w:hAnsi="宋体" w:cs="宋体"/>
          <w:b/>
          <w:bCs/>
          <w:sz w:val="22"/>
          <w:szCs w:val="22"/>
        </w:rPr>
        <w:t>服务范围</w:t>
      </w:r>
    </w:p>
    <w:p w14:paraId="413A66D9">
      <w:pPr>
        <w:widowControl/>
        <w:tabs>
          <w:tab w:val="left" w:pos="567"/>
          <w:tab w:val="left" w:pos="851"/>
        </w:tabs>
        <w:spacing w:line="276" w:lineRule="auto"/>
        <w:ind w:firstLine="426" w:firstLineChars="200"/>
        <w:jc w:val="left"/>
        <w:rPr>
          <w:rFonts w:ascii="宋体" w:hAnsi="宋体"/>
          <w:bCs/>
          <w:kern w:val="0"/>
        </w:rPr>
      </w:pPr>
      <w:r>
        <w:rPr>
          <w:rFonts w:hint="eastAsia" w:ascii="宋体" w:hAnsi="宋体"/>
          <w:bCs/>
          <w:kern w:val="0"/>
        </w:rPr>
        <w:t>1、小区</w:t>
      </w:r>
      <w:r>
        <w:rPr>
          <w:rFonts w:hint="eastAsia" w:ascii="Arial" w:hAnsi="宋体" w:cs="Arial"/>
          <w:bCs/>
          <w:kern w:val="0"/>
        </w:rPr>
        <w:t>智能垃圾分类运营项目</w:t>
      </w:r>
      <w:r>
        <w:rPr>
          <w:rFonts w:hint="eastAsia" w:ascii="宋体" w:hAnsi="宋体"/>
          <w:bCs/>
          <w:kern w:val="0"/>
        </w:rPr>
        <w:t>，垃圾分类的设备及配套设施的供货、安装、调试（包括试运行）、技术服务、维修、使用培训及产品保修，</w:t>
      </w:r>
      <w:r>
        <w:rPr>
          <w:rFonts w:ascii="宋体" w:hAnsi="宋体"/>
          <w:kern w:val="0"/>
          <w:szCs w:val="21"/>
        </w:rPr>
        <w:t>云数据管理平台</w:t>
      </w:r>
      <w:r>
        <w:rPr>
          <w:rFonts w:ascii="宋体" w:hAnsi="宋体"/>
          <w:bCs/>
          <w:kern w:val="0"/>
        </w:rPr>
        <w:t>运维服务</w:t>
      </w:r>
      <w:r>
        <w:rPr>
          <w:rFonts w:hint="eastAsia" w:ascii="宋体" w:hAnsi="宋体"/>
          <w:bCs/>
          <w:kern w:val="0"/>
        </w:rPr>
        <w:t>、小区宣传及相关运营服务</w:t>
      </w:r>
      <w:r>
        <w:rPr>
          <w:rFonts w:ascii="宋体" w:hAnsi="宋体"/>
          <w:bCs/>
          <w:kern w:val="0"/>
        </w:rPr>
        <w:t>。</w:t>
      </w:r>
    </w:p>
    <w:p w14:paraId="2026E272">
      <w:pPr>
        <w:spacing w:line="400" w:lineRule="exact"/>
        <w:ind w:firstLine="446" w:firstLineChars="200"/>
        <w:rPr>
          <w:rFonts w:ascii="宋体" w:hAnsi="Calibri" w:cs="宋体"/>
          <w:sz w:val="22"/>
          <w:szCs w:val="24"/>
        </w:rPr>
      </w:pPr>
      <w:r>
        <w:rPr>
          <w:rFonts w:hint="eastAsia" w:ascii="宋体" w:hAnsi="Calibri" w:cs="宋体"/>
          <w:sz w:val="22"/>
          <w:szCs w:val="24"/>
        </w:rPr>
        <w:t>2、负责新仓村、新兴村、库村村、周新村、南嶠村、孙坪村</w:t>
      </w:r>
      <w:r>
        <w:rPr>
          <w:rFonts w:ascii="宋体" w:hAnsi="Calibri" w:cs="宋体"/>
          <w:sz w:val="22"/>
          <w:szCs w:val="24"/>
        </w:rPr>
        <w:t xml:space="preserve"> </w:t>
      </w:r>
      <w:r>
        <w:rPr>
          <w:rFonts w:hint="eastAsia" w:ascii="宋体" w:hAnsi="Calibri" w:cs="宋体"/>
          <w:sz w:val="22"/>
          <w:szCs w:val="24"/>
        </w:rPr>
        <w:t>6个村垃圾分类宣传，知晓率和投放准确率达到各年度考核要求；负责6个行政村室外垃圾分类。</w:t>
      </w:r>
    </w:p>
    <w:p w14:paraId="79C03821">
      <w:pPr>
        <w:spacing w:line="400" w:lineRule="exact"/>
        <w:ind w:firstLine="446" w:firstLineChars="200"/>
        <w:rPr>
          <w:rFonts w:ascii="宋体" w:hAnsi="Calibri" w:cs="宋体"/>
          <w:sz w:val="22"/>
          <w:szCs w:val="24"/>
        </w:rPr>
      </w:pPr>
      <w:r>
        <w:rPr>
          <w:rFonts w:hint="eastAsia" w:ascii="宋体" w:hAnsi="Calibri" w:cs="宋体"/>
          <w:sz w:val="22"/>
          <w:szCs w:val="24"/>
        </w:rPr>
        <w:t>3、负责6个村智能垃圾分类工作所需的设施建设、管理及维护，如定点回收四分类岗亭、智能垃圾桶回收站组合柜、智能数据采集设备及芯片卡等。</w:t>
      </w:r>
    </w:p>
    <w:p w14:paraId="5A23DBBE">
      <w:pPr>
        <w:spacing w:line="400" w:lineRule="exact"/>
        <w:ind w:firstLine="446" w:firstLineChars="200"/>
        <w:rPr>
          <w:rFonts w:ascii="宋体" w:hAnsi="Calibri" w:cs="宋体"/>
          <w:sz w:val="22"/>
          <w:szCs w:val="24"/>
        </w:rPr>
      </w:pPr>
      <w:r>
        <w:rPr>
          <w:rFonts w:hint="eastAsia" w:ascii="宋体" w:hAnsi="Calibri" w:cs="宋体"/>
          <w:sz w:val="22"/>
          <w:szCs w:val="24"/>
        </w:rPr>
        <w:t>4、负责垃圾中转站管理及保洁、垃圾减量化处理设施管理（当前1处）。</w:t>
      </w:r>
    </w:p>
    <w:p w14:paraId="30294A0E">
      <w:pPr>
        <w:spacing w:line="400" w:lineRule="exact"/>
        <w:ind w:firstLine="446" w:firstLineChars="200"/>
        <w:rPr>
          <w:rFonts w:ascii="宋体" w:hAnsi="Calibri" w:cs="宋体"/>
          <w:sz w:val="22"/>
          <w:szCs w:val="24"/>
        </w:rPr>
      </w:pPr>
      <w:r>
        <w:rPr>
          <w:rFonts w:hint="eastAsia" w:ascii="宋体" w:hAnsi="Calibri" w:cs="宋体"/>
          <w:sz w:val="22"/>
          <w:szCs w:val="24"/>
        </w:rPr>
        <w:t>5、对建城区外的垃圾收集点内（垃圾屋）的垃圾进行分类清运，清运至垃圾中转站。</w:t>
      </w:r>
    </w:p>
    <w:p w14:paraId="1477E3A0">
      <w:pPr>
        <w:spacing w:line="400" w:lineRule="exact"/>
        <w:ind w:firstLine="446" w:firstLineChars="200"/>
        <w:rPr>
          <w:rFonts w:ascii="宋体" w:cs="宋体"/>
          <w:sz w:val="22"/>
          <w:szCs w:val="22"/>
        </w:rPr>
      </w:pPr>
      <w:r>
        <w:rPr>
          <w:rFonts w:hint="eastAsia" w:ascii="宋体" w:hAnsi="宋体" w:cs="宋体"/>
          <w:b/>
          <w:bCs/>
          <w:sz w:val="22"/>
          <w:szCs w:val="22"/>
        </w:rPr>
        <w:t>第二条</w:t>
      </w:r>
      <w:r>
        <w:rPr>
          <w:rFonts w:ascii="宋体" w:hAnsi="宋体" w:cs="宋体"/>
          <w:b/>
          <w:bCs/>
          <w:sz w:val="22"/>
          <w:szCs w:val="22"/>
        </w:rPr>
        <w:t xml:space="preserve">  </w:t>
      </w:r>
      <w:r>
        <w:rPr>
          <w:rFonts w:hint="eastAsia" w:ascii="宋体" w:hAnsi="宋体" w:cs="宋体"/>
          <w:b/>
          <w:bCs/>
          <w:sz w:val="22"/>
          <w:szCs w:val="22"/>
        </w:rPr>
        <w:t>合同价款</w:t>
      </w:r>
    </w:p>
    <w:p w14:paraId="1DFA2A29">
      <w:pPr>
        <w:spacing w:line="400" w:lineRule="exact"/>
        <w:ind w:firstLine="446" w:firstLineChars="200"/>
        <w:rPr>
          <w:rFonts w:ascii="宋体" w:cs="宋体"/>
          <w:b/>
          <w:kern w:val="28"/>
          <w:sz w:val="22"/>
          <w:szCs w:val="22"/>
        </w:rPr>
      </w:pPr>
      <w:r>
        <w:rPr>
          <w:rFonts w:hint="eastAsia" w:ascii="宋体" w:hAnsi="宋体" w:cs="宋体"/>
          <w:sz w:val="22"/>
          <w:szCs w:val="22"/>
        </w:rPr>
        <w:t>合同总价：</w:t>
      </w:r>
      <w:r>
        <w:rPr>
          <w:rFonts w:ascii="宋体" w:hAnsi="宋体" w:cs="宋体"/>
          <w:sz w:val="22"/>
          <w:szCs w:val="22"/>
          <w:u w:val="single"/>
        </w:rPr>
        <w:t xml:space="preserve">             </w:t>
      </w:r>
      <w:r>
        <w:rPr>
          <w:rFonts w:hint="eastAsia" w:ascii="宋体" w:hAnsi="宋体" w:cs="宋体"/>
          <w:b/>
          <w:sz w:val="22"/>
          <w:szCs w:val="22"/>
        </w:rPr>
        <w:t>元</w:t>
      </w:r>
      <w:r>
        <w:rPr>
          <w:rFonts w:hint="eastAsia" w:ascii="宋体" w:hAnsi="宋体" w:cs="宋体"/>
          <w:sz w:val="22"/>
          <w:szCs w:val="22"/>
        </w:rPr>
        <w:t>，包含运输工具营运费用（含燃料费、折旧费、维修费）、垃圾消纳费用、车辆保险费、人工费及人员保险费、福利费、装卸费、税金、利润、管理费用及所包含的所有风险、责任等完成招标内容的一切费用</w:t>
      </w:r>
      <w:r>
        <w:rPr>
          <w:rFonts w:hint="eastAsia" w:ascii="宋体" w:hAnsi="宋体" w:cs="宋体"/>
          <w:b/>
          <w:bCs/>
          <w:sz w:val="22"/>
          <w:szCs w:val="22"/>
        </w:rPr>
        <w:t>。</w:t>
      </w:r>
    </w:p>
    <w:p w14:paraId="4100FFC8">
      <w:pPr>
        <w:spacing w:line="400" w:lineRule="exact"/>
        <w:ind w:firstLine="446" w:firstLineChars="200"/>
        <w:rPr>
          <w:rFonts w:ascii="宋体" w:cs="宋体"/>
          <w:sz w:val="22"/>
          <w:szCs w:val="22"/>
        </w:rPr>
      </w:pPr>
      <w:r>
        <w:rPr>
          <w:rFonts w:hint="eastAsia" w:ascii="宋体" w:hAnsi="宋体" w:cs="宋体"/>
          <w:b/>
          <w:bCs/>
          <w:sz w:val="22"/>
          <w:szCs w:val="22"/>
        </w:rPr>
        <w:t>第三条</w:t>
      </w:r>
      <w:r>
        <w:rPr>
          <w:rFonts w:ascii="宋体" w:hAnsi="宋体" w:cs="宋体"/>
          <w:b/>
          <w:bCs/>
          <w:sz w:val="22"/>
          <w:szCs w:val="22"/>
        </w:rPr>
        <w:t xml:space="preserve">  </w:t>
      </w:r>
      <w:r>
        <w:rPr>
          <w:rFonts w:hint="eastAsia" w:ascii="宋体" w:hAnsi="宋体" w:cs="宋体"/>
          <w:b/>
          <w:bCs/>
          <w:sz w:val="22"/>
          <w:szCs w:val="22"/>
        </w:rPr>
        <w:t>服务期限</w:t>
      </w:r>
    </w:p>
    <w:p w14:paraId="5C83E4AF">
      <w:pPr>
        <w:spacing w:line="400" w:lineRule="exact"/>
        <w:ind w:firstLine="446" w:firstLineChars="200"/>
        <w:rPr>
          <w:rFonts w:ascii="宋体" w:cs="宋体"/>
          <w:bCs/>
          <w:sz w:val="22"/>
          <w:szCs w:val="22"/>
        </w:rPr>
      </w:pPr>
      <w:r>
        <w:rPr>
          <w:rFonts w:hint="eastAsia" w:ascii="宋体" w:hAnsi="宋体" w:cs="宋体"/>
          <w:bCs/>
          <w:sz w:val="22"/>
          <w:szCs w:val="22"/>
        </w:rPr>
        <w:t>服务期限：</w:t>
      </w:r>
      <w:r>
        <w:rPr>
          <w:rFonts w:hint="eastAsia" w:ascii="宋体" w:cs="宋体"/>
          <w:sz w:val="22"/>
        </w:rPr>
        <w:t>合同生效后至202</w:t>
      </w:r>
      <w:r>
        <w:rPr>
          <w:rFonts w:hint="eastAsia" w:ascii="宋体" w:cs="宋体"/>
          <w:sz w:val="22"/>
          <w:lang w:val="en-US" w:eastAsia="zh-CN"/>
        </w:rPr>
        <w:t>5</w:t>
      </w:r>
      <w:r>
        <w:rPr>
          <w:rFonts w:hint="eastAsia" w:ascii="宋体" w:cs="宋体"/>
          <w:sz w:val="22"/>
        </w:rPr>
        <w:t>年  月  日</w:t>
      </w:r>
      <w:r>
        <w:rPr>
          <w:rFonts w:hint="eastAsia" w:ascii="宋体" w:hAnsi="宋体" w:cs="宋体"/>
          <w:bCs/>
          <w:sz w:val="22"/>
          <w:szCs w:val="22"/>
        </w:rPr>
        <w:t>，若乙方有违约行为，甲方有权单方面解除合同。</w:t>
      </w:r>
    </w:p>
    <w:p w14:paraId="1256FC0B">
      <w:pPr>
        <w:spacing w:line="400" w:lineRule="exact"/>
        <w:ind w:left="426" w:leftChars="200"/>
        <w:rPr>
          <w:rFonts w:ascii="宋体" w:cs="宋体"/>
          <w:b/>
          <w:bCs/>
          <w:sz w:val="22"/>
          <w:szCs w:val="22"/>
        </w:rPr>
      </w:pPr>
      <w:r>
        <w:rPr>
          <w:rFonts w:hint="eastAsia" w:ascii="宋体" w:hAnsi="宋体" w:cs="宋体"/>
          <w:b/>
          <w:bCs/>
          <w:sz w:val="22"/>
          <w:szCs w:val="22"/>
        </w:rPr>
        <w:t>第四条</w:t>
      </w:r>
      <w:r>
        <w:rPr>
          <w:rFonts w:ascii="宋体" w:hAnsi="宋体" w:cs="宋体"/>
          <w:b/>
          <w:bCs/>
          <w:sz w:val="22"/>
          <w:szCs w:val="22"/>
        </w:rPr>
        <w:t xml:space="preserve">  </w:t>
      </w:r>
      <w:r>
        <w:rPr>
          <w:rFonts w:hint="eastAsia" w:ascii="宋体" w:hAnsi="宋体" w:cs="宋体"/>
          <w:b/>
          <w:bCs/>
          <w:sz w:val="22"/>
          <w:szCs w:val="22"/>
        </w:rPr>
        <w:t>支付方式</w:t>
      </w:r>
    </w:p>
    <w:p w14:paraId="487057AF">
      <w:pPr>
        <w:spacing w:line="400" w:lineRule="exact"/>
        <w:ind w:firstLine="430"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、合同签订后5个工作日内成交供应商应提供合同总金额1%的履约保证金至采购单位指定账户，供应商以银行、保险公司出具保函形式提交履约保证金的，采购人不得拒收履约保证金在合同服务期满后无息退还。</w:t>
      </w:r>
    </w:p>
    <w:p w14:paraId="5499B76B">
      <w:pPr>
        <w:snapToGrid w:val="0"/>
        <w:spacing w:line="460" w:lineRule="atLeast"/>
        <w:ind w:firstLine="446" w:firstLineChars="200"/>
        <w:rPr>
          <w:rFonts w:ascii="宋体" w:hAnsi="宋体"/>
          <w:sz w:val="22"/>
        </w:rPr>
      </w:pPr>
      <w:r>
        <w:rPr>
          <w:rFonts w:hint="eastAsia" w:ascii="宋体" w:hAnsi="宋体"/>
          <w:sz w:val="22"/>
        </w:rPr>
        <w:t>2、运维费用支付</w:t>
      </w:r>
    </w:p>
    <w:p w14:paraId="1D7543D7">
      <w:pPr>
        <w:snapToGrid w:val="0"/>
        <w:spacing w:line="460" w:lineRule="atLeast"/>
        <w:ind w:firstLine="446" w:firstLineChars="200"/>
        <w:rPr>
          <w:rFonts w:ascii="宋体" w:hAnsi="宋体"/>
          <w:sz w:val="22"/>
        </w:rPr>
      </w:pPr>
      <w:r>
        <w:rPr>
          <w:rFonts w:hint="eastAsia" w:ascii="宋体" w:hAnsi="宋体"/>
          <w:sz w:val="22"/>
        </w:rPr>
        <w:t>（1）运维费用每季度支付一次，根据季度考核结果（根据南浦溪镇垃圾分类作业考核标准进行考核。每扣1分，扣100元人民币）及乙方开具的发票进行支付。</w:t>
      </w:r>
    </w:p>
    <w:p w14:paraId="6E163EBB">
      <w:pPr>
        <w:snapToGrid w:val="0"/>
        <w:spacing w:line="460" w:lineRule="atLeast"/>
        <w:ind w:firstLine="446" w:firstLineChars="200"/>
        <w:rPr>
          <w:rFonts w:ascii="宋体" w:hAnsi="宋体"/>
          <w:sz w:val="22"/>
        </w:rPr>
      </w:pPr>
      <w:r>
        <w:rPr>
          <w:rFonts w:hint="eastAsia" w:ascii="宋体" w:hAnsi="宋体"/>
          <w:sz w:val="22"/>
        </w:rPr>
        <w:t>（2）支付时间：乙方开具的发票后7个工作日内。</w:t>
      </w:r>
    </w:p>
    <w:p w14:paraId="284786C6">
      <w:pPr>
        <w:spacing w:line="400" w:lineRule="exact"/>
        <w:ind w:firstLine="446" w:firstLineChars="200"/>
        <w:rPr>
          <w:rFonts w:ascii="宋体" w:cs="宋体"/>
          <w:b/>
          <w:sz w:val="22"/>
          <w:szCs w:val="22"/>
        </w:rPr>
      </w:pPr>
      <w:r>
        <w:rPr>
          <w:rFonts w:hint="eastAsia" w:ascii="宋体" w:hAnsi="宋体" w:cs="宋体"/>
          <w:b/>
          <w:bCs/>
          <w:sz w:val="22"/>
          <w:szCs w:val="22"/>
        </w:rPr>
        <w:t>第五条</w:t>
      </w:r>
      <w:r>
        <w:rPr>
          <w:rFonts w:ascii="宋体" w:hAnsi="宋体" w:cs="宋体"/>
          <w:b/>
          <w:bCs/>
          <w:sz w:val="22"/>
          <w:szCs w:val="22"/>
        </w:rPr>
        <w:t xml:space="preserve">  </w:t>
      </w:r>
      <w:r>
        <w:rPr>
          <w:rFonts w:hint="eastAsia" w:ascii="宋体" w:hAnsi="宋体" w:cs="宋体"/>
          <w:b/>
          <w:sz w:val="22"/>
          <w:szCs w:val="22"/>
        </w:rPr>
        <w:t>甲方的义务</w:t>
      </w:r>
    </w:p>
    <w:p w14:paraId="0E00CA36">
      <w:pPr>
        <w:spacing w:line="400" w:lineRule="exact"/>
        <w:ind w:firstLine="446" w:firstLineChars="200"/>
        <w:rPr>
          <w:rFonts w:ascii="宋体" w:cs="宋体"/>
          <w:sz w:val="22"/>
          <w:szCs w:val="22"/>
        </w:rPr>
      </w:pPr>
      <w:r>
        <w:rPr>
          <w:rFonts w:hint="eastAsia" w:ascii="宋体" w:hAnsi="宋体" w:cs="宋体"/>
          <w:sz w:val="22"/>
          <w:szCs w:val="22"/>
        </w:rPr>
        <w:t>一、甲方的责任条款</w:t>
      </w:r>
    </w:p>
    <w:p w14:paraId="0A41B38B">
      <w:pPr>
        <w:spacing w:line="400" w:lineRule="exact"/>
        <w:ind w:firstLine="430"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、组织有关人员对乙方提供的服务计划进行审定确认；</w:t>
      </w:r>
    </w:p>
    <w:p w14:paraId="74960B07">
      <w:pPr>
        <w:spacing w:line="400" w:lineRule="exact"/>
        <w:ind w:firstLine="430"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、协助乙方办理进场的相关手续；</w:t>
      </w:r>
    </w:p>
    <w:p w14:paraId="01FF16A1">
      <w:pPr>
        <w:spacing w:line="400" w:lineRule="exact"/>
        <w:ind w:firstLine="430" w:firstLineChars="200"/>
        <w:rPr>
          <w:rFonts w:ascii="宋体" w:cs="宋体"/>
          <w:sz w:val="22"/>
          <w:szCs w:val="22"/>
        </w:rPr>
      </w:pPr>
      <w:r>
        <w:rPr>
          <w:rFonts w:ascii="宋体" w:hAnsi="宋体" w:cs="宋体"/>
          <w:spacing w:val="-4"/>
          <w:sz w:val="22"/>
          <w:szCs w:val="22"/>
        </w:rPr>
        <w:t>3</w:t>
      </w:r>
      <w:r>
        <w:rPr>
          <w:rFonts w:hint="eastAsia" w:ascii="宋体" w:hAnsi="宋体" w:cs="宋体"/>
          <w:sz w:val="22"/>
          <w:szCs w:val="22"/>
        </w:rPr>
        <w:t>、双方约定甲方应承担的其他工作。</w:t>
      </w:r>
    </w:p>
    <w:p w14:paraId="46E73577">
      <w:pPr>
        <w:spacing w:line="400" w:lineRule="exact"/>
        <w:ind w:firstLine="446" w:firstLineChars="200"/>
        <w:rPr>
          <w:rFonts w:ascii="宋体" w:cs="宋体"/>
          <w:b/>
          <w:sz w:val="22"/>
          <w:szCs w:val="22"/>
        </w:rPr>
      </w:pPr>
      <w:r>
        <w:rPr>
          <w:rFonts w:hint="eastAsia" w:ascii="宋体" w:hAnsi="宋体" w:cs="宋体"/>
          <w:b/>
          <w:bCs/>
          <w:sz w:val="22"/>
          <w:szCs w:val="22"/>
        </w:rPr>
        <w:t>第六条</w:t>
      </w:r>
      <w:r>
        <w:rPr>
          <w:rFonts w:ascii="宋体" w:hAnsi="宋体" w:cs="宋体"/>
          <w:b/>
          <w:bCs/>
          <w:sz w:val="22"/>
          <w:szCs w:val="22"/>
        </w:rPr>
        <w:t xml:space="preserve">  </w:t>
      </w:r>
      <w:r>
        <w:rPr>
          <w:rFonts w:hint="eastAsia" w:ascii="宋体" w:hAnsi="宋体" w:cs="宋体"/>
          <w:b/>
          <w:sz w:val="22"/>
          <w:szCs w:val="22"/>
        </w:rPr>
        <w:t>乙方的责任条款</w:t>
      </w:r>
    </w:p>
    <w:p w14:paraId="79D76BEB">
      <w:pPr>
        <w:spacing w:line="400" w:lineRule="exact"/>
        <w:ind w:firstLine="430"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、垃圾清运过程中，应自觉将其周围清扫彻底到位，并保证清运沿途无垃圾撒落，保证无二次污染，污水无滴漏，清运完毕后必须将场地清扫、清洗干净；</w:t>
      </w:r>
    </w:p>
    <w:p w14:paraId="7F295A2B">
      <w:pPr>
        <w:spacing w:line="400" w:lineRule="exact"/>
        <w:ind w:firstLine="430" w:firstLineChars="200"/>
        <w:rPr>
          <w:rFonts w:ascii="宋体" w:cs="宋体"/>
          <w:spacing w:val="-4"/>
          <w:sz w:val="22"/>
          <w:szCs w:val="22"/>
        </w:rPr>
      </w:pPr>
      <w:r>
        <w:rPr>
          <w:rFonts w:hint="eastAsia" w:ascii="宋体" w:hAnsi="宋体" w:cs="宋体"/>
          <w:spacing w:val="-4"/>
          <w:sz w:val="22"/>
          <w:szCs w:val="22"/>
        </w:rPr>
        <w:t>2、背街小巷建筑垃圾清运时，运输车辆不能进入的，须根据实际情况安排好作业人员、车辆进行清理，并保证清运沿途无垃圾撒落；</w:t>
      </w:r>
    </w:p>
    <w:p w14:paraId="53E1C1F3">
      <w:pPr>
        <w:spacing w:line="400" w:lineRule="exact"/>
        <w:ind w:firstLine="430" w:firstLineChars="200"/>
        <w:rPr>
          <w:rFonts w:ascii="宋体" w:cs="宋体"/>
          <w:spacing w:val="-4"/>
          <w:sz w:val="22"/>
          <w:szCs w:val="22"/>
        </w:rPr>
      </w:pPr>
      <w:r>
        <w:rPr>
          <w:rFonts w:hint="eastAsia" w:ascii="宋体" w:hAnsi="宋体" w:cs="宋体"/>
          <w:spacing w:val="-4"/>
          <w:sz w:val="22"/>
          <w:szCs w:val="22"/>
        </w:rPr>
        <w:t>3、乙方应科学合理安排收运路线，避免噪音扰民等现象；</w:t>
      </w:r>
    </w:p>
    <w:p w14:paraId="414030D0">
      <w:pPr>
        <w:spacing w:line="400" w:lineRule="exact"/>
        <w:ind w:firstLine="430" w:firstLineChars="200"/>
        <w:rPr>
          <w:rFonts w:ascii="宋体" w:hAnsi="宋体" w:cs="宋体"/>
          <w:spacing w:val="-4"/>
          <w:sz w:val="22"/>
          <w:szCs w:val="22"/>
        </w:rPr>
      </w:pPr>
      <w:r>
        <w:rPr>
          <w:rFonts w:hint="eastAsia" w:ascii="宋体" w:hAnsi="宋体" w:cs="宋体"/>
          <w:spacing w:val="-4"/>
          <w:sz w:val="22"/>
          <w:szCs w:val="22"/>
        </w:rPr>
        <w:t>4、乙方应做好垃圾分类工作；</w:t>
      </w:r>
    </w:p>
    <w:p w14:paraId="31636896">
      <w:pPr>
        <w:spacing w:line="400" w:lineRule="exact"/>
        <w:ind w:firstLine="430" w:firstLineChars="200"/>
        <w:rPr>
          <w:rFonts w:ascii="宋体" w:cs="宋体"/>
          <w:spacing w:val="-4"/>
          <w:sz w:val="22"/>
          <w:szCs w:val="22"/>
        </w:rPr>
      </w:pPr>
      <w:r>
        <w:rPr>
          <w:rFonts w:hint="eastAsia" w:ascii="宋体" w:hAnsi="宋体" w:cs="宋体"/>
          <w:spacing w:val="-4"/>
          <w:sz w:val="22"/>
          <w:szCs w:val="22"/>
        </w:rPr>
        <w:t>5、服务期间若遇上级检查或其它突击任务等特殊情况，应无条件服从甲方调配和安排；</w:t>
      </w:r>
    </w:p>
    <w:p w14:paraId="1BE3079E">
      <w:pPr>
        <w:spacing w:line="400" w:lineRule="exact"/>
        <w:ind w:firstLine="430" w:firstLineChars="200"/>
        <w:rPr>
          <w:rFonts w:ascii="宋体" w:cs="宋体"/>
          <w:spacing w:val="-4"/>
          <w:sz w:val="22"/>
          <w:szCs w:val="22"/>
        </w:rPr>
      </w:pPr>
      <w:r>
        <w:rPr>
          <w:rFonts w:hint="eastAsia" w:ascii="宋体" w:hAnsi="宋体" w:cs="宋体"/>
          <w:spacing w:val="-4"/>
          <w:sz w:val="22"/>
          <w:szCs w:val="22"/>
        </w:rPr>
        <w:t>6、乙方必须定期对相关作业人员进行安全教育，在垃圾运输过程中发生的任何交通事故均由乙方负责，并应及时通知甲方相关人员；</w:t>
      </w:r>
    </w:p>
    <w:p w14:paraId="673BE82C">
      <w:pPr>
        <w:spacing w:line="400" w:lineRule="exact"/>
        <w:ind w:firstLine="430" w:firstLineChars="200"/>
        <w:rPr>
          <w:rFonts w:ascii="宋体" w:cs="宋体"/>
          <w:spacing w:val="-4"/>
          <w:sz w:val="22"/>
          <w:szCs w:val="22"/>
        </w:rPr>
      </w:pPr>
      <w:r>
        <w:rPr>
          <w:rFonts w:hint="eastAsia" w:ascii="宋体" w:hAnsi="宋体" w:cs="宋体"/>
          <w:spacing w:val="-4"/>
          <w:sz w:val="22"/>
          <w:szCs w:val="22"/>
        </w:rPr>
        <w:t>7、乙方应建立针对本项目服务的相应管理制度；</w:t>
      </w:r>
    </w:p>
    <w:p w14:paraId="756A2AEA">
      <w:pPr>
        <w:spacing w:line="400" w:lineRule="exact"/>
        <w:ind w:firstLine="430" w:firstLineChars="200"/>
        <w:rPr>
          <w:rFonts w:ascii="宋体" w:cs="宋体"/>
          <w:spacing w:val="-4"/>
          <w:sz w:val="22"/>
          <w:szCs w:val="22"/>
        </w:rPr>
      </w:pPr>
      <w:r>
        <w:rPr>
          <w:rFonts w:hint="eastAsia" w:ascii="宋体" w:hAnsi="宋体" w:cs="宋体"/>
          <w:spacing w:val="-4"/>
          <w:sz w:val="22"/>
          <w:szCs w:val="22"/>
        </w:rPr>
        <w:t>8、第三者责任保险：乙方应为参与建筑垃圾清运及消纳服务的工作人员（包括人员以及第三方）投保，以保证在服务期间人员和财产以外遭受损失时得到补偿。</w:t>
      </w:r>
    </w:p>
    <w:p w14:paraId="0740BB5B">
      <w:pPr>
        <w:spacing w:line="400" w:lineRule="exact"/>
        <w:ind w:firstLine="430" w:firstLineChars="200"/>
        <w:rPr>
          <w:rFonts w:ascii="宋体" w:cs="宋体"/>
          <w:sz w:val="22"/>
          <w:szCs w:val="22"/>
        </w:rPr>
      </w:pPr>
      <w:r>
        <w:rPr>
          <w:rFonts w:hint="eastAsia" w:ascii="宋体" w:hAnsi="宋体" w:cs="宋体"/>
          <w:spacing w:val="-4"/>
          <w:sz w:val="22"/>
          <w:szCs w:val="22"/>
        </w:rPr>
        <w:t>9、员工人身意外保险：在服务期内，乙方应为其员工投保人身意外险，以保证甲方在乙方工作人员索</w:t>
      </w:r>
      <w:r>
        <w:rPr>
          <w:rFonts w:hint="eastAsia" w:ascii="宋体" w:hAnsi="宋体" w:cs="宋体"/>
          <w:sz w:val="22"/>
          <w:szCs w:val="22"/>
        </w:rPr>
        <w:t>偿时不受任何责任的约束。</w:t>
      </w:r>
    </w:p>
    <w:p w14:paraId="6BC280F9">
      <w:pPr>
        <w:spacing w:line="400" w:lineRule="exact"/>
        <w:ind w:firstLine="446" w:firstLineChars="200"/>
        <w:rPr>
          <w:rFonts w:ascii="宋体" w:cs="宋体"/>
          <w:b/>
          <w:sz w:val="22"/>
          <w:szCs w:val="22"/>
        </w:rPr>
      </w:pPr>
      <w:r>
        <w:rPr>
          <w:rFonts w:hint="eastAsia" w:ascii="宋体" w:hAnsi="宋体" w:cs="宋体"/>
          <w:b/>
          <w:bCs/>
          <w:sz w:val="22"/>
          <w:szCs w:val="22"/>
        </w:rPr>
        <w:t>第七条</w:t>
      </w:r>
      <w:r>
        <w:rPr>
          <w:rFonts w:ascii="宋体" w:hAnsi="宋体" w:cs="宋体"/>
          <w:b/>
          <w:bCs/>
          <w:sz w:val="22"/>
          <w:szCs w:val="22"/>
        </w:rPr>
        <w:t xml:space="preserve">  </w:t>
      </w:r>
      <w:r>
        <w:rPr>
          <w:rFonts w:hint="eastAsia" w:ascii="宋体" w:hAnsi="宋体" w:cs="宋体"/>
          <w:b/>
          <w:sz w:val="22"/>
          <w:szCs w:val="22"/>
        </w:rPr>
        <w:t>不可抗力</w:t>
      </w:r>
    </w:p>
    <w:p w14:paraId="1B78033C">
      <w:pPr>
        <w:spacing w:line="400" w:lineRule="exact"/>
        <w:ind w:firstLine="430"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、如果合同各方因不可抗力而导致合同实施延误或不能履行合同义务的话，不应该承担误期赔偿或不能履行合同义务的责任。</w:t>
      </w:r>
    </w:p>
    <w:p w14:paraId="224FEF03">
      <w:pPr>
        <w:spacing w:line="400" w:lineRule="exact"/>
        <w:ind w:firstLine="430"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1B775CC9">
      <w:pPr>
        <w:spacing w:line="400" w:lineRule="exact"/>
        <w:ind w:firstLine="430" w:firstLineChars="200"/>
        <w:rPr>
          <w:rFonts w:asci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EF23E65">
      <w:pPr>
        <w:tabs>
          <w:tab w:val="left" w:pos="840"/>
        </w:tabs>
        <w:spacing w:line="400" w:lineRule="exact"/>
        <w:ind w:firstLine="446" w:firstLineChars="200"/>
        <w:rPr>
          <w:rFonts w:ascii="宋体" w:cs="宋体"/>
          <w:b/>
          <w:sz w:val="22"/>
          <w:szCs w:val="22"/>
        </w:rPr>
      </w:pPr>
      <w:r>
        <w:rPr>
          <w:rFonts w:hint="eastAsia" w:ascii="宋体" w:hAnsi="宋体" w:cs="宋体"/>
          <w:b/>
          <w:sz w:val="22"/>
          <w:szCs w:val="22"/>
        </w:rPr>
        <w:t>第八条</w:t>
      </w:r>
      <w:r>
        <w:rPr>
          <w:rFonts w:ascii="宋体" w:hAnsi="宋体" w:cs="宋体"/>
          <w:b/>
          <w:sz w:val="22"/>
          <w:szCs w:val="22"/>
        </w:rPr>
        <w:t xml:space="preserve">  </w:t>
      </w:r>
      <w:r>
        <w:rPr>
          <w:rFonts w:hint="eastAsia" w:ascii="宋体" w:hAnsi="宋体" w:cs="宋体"/>
          <w:b/>
          <w:sz w:val="22"/>
          <w:szCs w:val="22"/>
        </w:rPr>
        <w:t>违约终止合同</w:t>
      </w:r>
    </w:p>
    <w:p w14:paraId="4B9D9A4A">
      <w:pPr>
        <w:spacing w:line="400" w:lineRule="exact"/>
        <w:ind w:firstLine="446" w:firstLineChars="200"/>
        <w:rPr>
          <w:rFonts w:ascii="宋体" w:cs="宋体"/>
          <w:sz w:val="22"/>
          <w:szCs w:val="22"/>
        </w:rPr>
      </w:pPr>
      <w:r>
        <w:rPr>
          <w:rFonts w:ascii="宋体" w:hAnsi="宋体" w:cs="宋体"/>
          <w:sz w:val="22"/>
          <w:szCs w:val="22"/>
        </w:rPr>
        <w:t>1</w:t>
      </w:r>
      <w:r>
        <w:rPr>
          <w:rFonts w:hint="eastAsia" w:ascii="宋体" w:hAnsi="宋体" w:cs="宋体"/>
          <w:sz w:val="22"/>
          <w:szCs w:val="22"/>
        </w:rPr>
        <w:t>、在甲方对乙方违约而采取的任何补救措施不受影响的情况下，甲方在报请监管科同意后可在下列情况下向乙方发出书面通知书，提出终止部分或全部合同。</w:t>
      </w:r>
    </w:p>
    <w:p w14:paraId="4C5030DC">
      <w:pPr>
        <w:tabs>
          <w:tab w:val="left" w:pos="840"/>
        </w:tabs>
        <w:spacing w:line="400" w:lineRule="exact"/>
        <w:ind w:firstLine="446" w:firstLineChars="200"/>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）乙方提供的服务不符合国家规定和甲方的标准；</w:t>
      </w:r>
    </w:p>
    <w:p w14:paraId="3ADEB92A">
      <w:pPr>
        <w:tabs>
          <w:tab w:val="left" w:pos="840"/>
        </w:tabs>
        <w:spacing w:line="400" w:lineRule="exact"/>
        <w:ind w:firstLine="446" w:firstLineChars="200"/>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）乙方没有按合同承诺的时间提供服务；</w:t>
      </w:r>
    </w:p>
    <w:p w14:paraId="39CB6EDB">
      <w:pPr>
        <w:tabs>
          <w:tab w:val="left" w:pos="840"/>
        </w:tabs>
        <w:spacing w:line="400" w:lineRule="exact"/>
        <w:ind w:firstLine="446" w:firstLineChars="200"/>
        <w:rPr>
          <w:rFonts w:asci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）乙方没有按合同承诺的价格为甲方服务；</w:t>
      </w:r>
    </w:p>
    <w:p w14:paraId="16BFD70D">
      <w:pPr>
        <w:tabs>
          <w:tab w:val="left" w:pos="840"/>
        </w:tabs>
        <w:spacing w:line="400" w:lineRule="exact"/>
        <w:ind w:firstLine="446" w:firstLineChars="200"/>
        <w:rPr>
          <w:rFonts w:asci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）乙方无故不提供合同服务范围内的内容；</w:t>
      </w:r>
    </w:p>
    <w:p w14:paraId="0E9FB852">
      <w:pPr>
        <w:tabs>
          <w:tab w:val="left" w:pos="840"/>
        </w:tabs>
        <w:spacing w:line="400" w:lineRule="exact"/>
        <w:ind w:left="537" w:leftChars="200" w:hanging="111" w:hangingChars="50"/>
        <w:rPr>
          <w:rFonts w:ascii="宋体" w:cs="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）违反本合同规定或承诺的其他情形。</w:t>
      </w:r>
    </w:p>
    <w:p w14:paraId="47621B1B">
      <w:pPr>
        <w:tabs>
          <w:tab w:val="left" w:pos="840"/>
        </w:tabs>
        <w:spacing w:line="400" w:lineRule="exact"/>
        <w:ind w:firstLine="446" w:firstLineChars="200"/>
        <w:rPr>
          <w:rFonts w:ascii="宋体" w:cs="宋体"/>
          <w:sz w:val="22"/>
          <w:szCs w:val="22"/>
        </w:rPr>
      </w:pPr>
      <w:r>
        <w:rPr>
          <w:rFonts w:ascii="宋体" w:hAnsi="宋体" w:cs="宋体"/>
          <w:sz w:val="22"/>
          <w:szCs w:val="22"/>
        </w:rPr>
        <w:t xml:space="preserve"> </w:t>
      </w:r>
      <w:r>
        <w:rPr>
          <w:rFonts w:hint="eastAsia" w:ascii="宋体" w:hAnsi="宋体" w:cs="宋体"/>
          <w:sz w:val="22"/>
          <w:szCs w:val="22"/>
        </w:rPr>
        <w:t>甲方在提出终止合同的同时，并没收乙方的履约保证金。</w:t>
      </w:r>
    </w:p>
    <w:p w14:paraId="06BC9856">
      <w:pPr>
        <w:spacing w:line="400" w:lineRule="exact"/>
        <w:ind w:firstLine="446" w:firstLineChars="200"/>
        <w:rPr>
          <w:rFonts w:ascii="宋体" w:cs="宋体"/>
          <w:sz w:val="22"/>
          <w:szCs w:val="22"/>
        </w:rPr>
      </w:pPr>
      <w:r>
        <w:rPr>
          <w:rFonts w:ascii="宋体" w:hAnsi="宋体" w:cs="宋体"/>
          <w:sz w:val="22"/>
          <w:szCs w:val="22"/>
        </w:rPr>
        <w:t>2</w:t>
      </w:r>
      <w:r>
        <w:rPr>
          <w:rFonts w:hint="eastAsia" w:ascii="宋体" w:hAnsi="宋体" w:cs="宋体"/>
          <w:sz w:val="22"/>
          <w:szCs w:val="22"/>
        </w:rPr>
        <w:t>、甲方及其人员，不得假借招标之名为其他单位或个人采购，不得向乙方提出超越合同服务范围的其他要求。</w:t>
      </w:r>
    </w:p>
    <w:p w14:paraId="14EC0631">
      <w:pPr>
        <w:spacing w:line="400" w:lineRule="exact"/>
        <w:ind w:firstLine="446" w:firstLineChars="200"/>
        <w:rPr>
          <w:rFonts w:ascii="宋体" w:cs="宋体"/>
          <w:sz w:val="22"/>
          <w:szCs w:val="22"/>
        </w:rPr>
      </w:pPr>
      <w:r>
        <w:rPr>
          <w:rFonts w:ascii="宋体" w:hAnsi="宋体" w:cs="宋体"/>
          <w:sz w:val="22"/>
          <w:szCs w:val="22"/>
        </w:rPr>
        <w:t>3</w:t>
      </w:r>
      <w:r>
        <w:rPr>
          <w:rFonts w:hint="eastAsia" w:ascii="宋体" w:hAnsi="宋体" w:cs="宋体"/>
          <w:sz w:val="22"/>
          <w:szCs w:val="22"/>
        </w:rPr>
        <w:t>、如果甲方根据上述的规定，终止了全部或部分合同，甲方可以依其认为适当的条件和方法采购类似的服务，乙方应对超出的那部分费用负责。但是，乙方应继续执行合同中未终止的部分。</w:t>
      </w:r>
    </w:p>
    <w:p w14:paraId="1DDBB346">
      <w:pPr>
        <w:spacing w:line="400" w:lineRule="exact"/>
        <w:ind w:firstLine="446" w:firstLineChars="200"/>
        <w:rPr>
          <w:rFonts w:ascii="宋体" w:cs="宋体"/>
          <w:sz w:val="22"/>
          <w:szCs w:val="22"/>
        </w:rPr>
      </w:pPr>
      <w:r>
        <w:rPr>
          <w:rFonts w:ascii="宋体" w:hAnsi="宋体" w:cs="宋体"/>
          <w:sz w:val="22"/>
          <w:szCs w:val="22"/>
        </w:rPr>
        <w:t>4</w:t>
      </w:r>
      <w:r>
        <w:rPr>
          <w:rFonts w:hint="eastAsia" w:ascii="宋体" w:hAnsi="宋体" w:cs="宋体"/>
          <w:sz w:val="22"/>
          <w:szCs w:val="22"/>
        </w:rPr>
        <w:t>、如果乙方在履行合同过程中有不正当竞争行为，甲方有权解除合同，并按《中华人民共和国反不正当竞争法》之规定由有关部门追究其法律责任。</w:t>
      </w:r>
    </w:p>
    <w:p w14:paraId="4545371B">
      <w:pPr>
        <w:spacing w:line="400" w:lineRule="exact"/>
        <w:ind w:firstLine="446" w:firstLineChars="200"/>
        <w:rPr>
          <w:rFonts w:ascii="宋体" w:cs="宋体"/>
          <w:sz w:val="22"/>
          <w:szCs w:val="22"/>
        </w:rPr>
      </w:pPr>
      <w:r>
        <w:rPr>
          <w:rFonts w:ascii="宋体" w:hAnsi="宋体" w:cs="宋体"/>
          <w:sz w:val="22"/>
          <w:szCs w:val="22"/>
        </w:rPr>
        <w:t>5</w:t>
      </w:r>
      <w:r>
        <w:rPr>
          <w:rFonts w:hint="eastAsia" w:ascii="宋体" w:hAnsi="宋体" w:cs="宋体"/>
          <w:sz w:val="22"/>
          <w:szCs w:val="22"/>
        </w:rPr>
        <w:t>、甲、乙双方在履行本合同中存在争议的，应首先协商解决，如协商不能解决时，请示上级予以明确，如仍不能解决的，可以向仲裁机构申请调解或仲裁。</w:t>
      </w:r>
    </w:p>
    <w:p w14:paraId="3170426F">
      <w:pPr>
        <w:spacing w:line="400" w:lineRule="exact"/>
        <w:ind w:firstLine="446" w:firstLineChars="200"/>
        <w:rPr>
          <w:rFonts w:ascii="宋体" w:cs="宋体"/>
          <w:b/>
          <w:bCs/>
          <w:sz w:val="22"/>
          <w:szCs w:val="22"/>
        </w:rPr>
      </w:pPr>
      <w:r>
        <w:rPr>
          <w:rFonts w:hint="eastAsia" w:ascii="宋体" w:hAnsi="宋体" w:cs="宋体"/>
          <w:b/>
          <w:bCs/>
          <w:sz w:val="22"/>
          <w:szCs w:val="22"/>
        </w:rPr>
        <w:t>第十条</w:t>
      </w:r>
      <w:r>
        <w:rPr>
          <w:rFonts w:ascii="宋体" w:hAnsi="宋体" w:cs="宋体"/>
          <w:sz w:val="22"/>
          <w:szCs w:val="22"/>
        </w:rPr>
        <w:t xml:space="preserve">  </w:t>
      </w:r>
      <w:r>
        <w:rPr>
          <w:rFonts w:hint="eastAsia" w:ascii="宋体" w:hAnsi="宋体" w:cs="宋体"/>
          <w:sz w:val="22"/>
          <w:szCs w:val="22"/>
        </w:rPr>
        <w:t>本次招标活动中的招标文件、乙方的投标文件、有关澄清文件和中标通知书，为本合同不可分割的组成部分，具有同等的法律效力。</w:t>
      </w:r>
    </w:p>
    <w:p w14:paraId="47898464">
      <w:pPr>
        <w:spacing w:line="400" w:lineRule="exact"/>
        <w:ind w:firstLine="446" w:firstLineChars="200"/>
        <w:rPr>
          <w:rFonts w:ascii="宋体" w:cs="宋体"/>
          <w:sz w:val="22"/>
          <w:szCs w:val="22"/>
        </w:rPr>
      </w:pPr>
      <w:r>
        <w:rPr>
          <w:rFonts w:hint="eastAsia" w:ascii="宋体" w:hAnsi="宋体" w:cs="宋体"/>
          <w:b/>
          <w:bCs/>
          <w:sz w:val="22"/>
          <w:szCs w:val="22"/>
        </w:rPr>
        <w:t>第十一条</w:t>
      </w:r>
      <w:r>
        <w:rPr>
          <w:rFonts w:ascii="宋体" w:hAnsi="宋体" w:cs="宋体"/>
          <w:b/>
          <w:bCs/>
          <w:sz w:val="22"/>
          <w:szCs w:val="22"/>
        </w:rPr>
        <w:t xml:space="preserve">  </w:t>
      </w:r>
      <w:r>
        <w:rPr>
          <w:rFonts w:hint="eastAsia" w:ascii="宋体" w:hAnsi="宋体" w:cs="宋体"/>
          <w:sz w:val="22"/>
          <w:szCs w:val="22"/>
        </w:rPr>
        <w:t>本合同如有未尽事宜，甲乙双方应本着平等互利、友好协商的原则解决。如需修改或补充本合同内容，双方经协商后可签订补充合同，补充合同将作为本合同的一个组成部分。</w:t>
      </w:r>
    </w:p>
    <w:p w14:paraId="451ECD34">
      <w:pPr>
        <w:spacing w:line="400" w:lineRule="exact"/>
        <w:ind w:firstLine="446" w:firstLineChars="200"/>
        <w:rPr>
          <w:rFonts w:ascii="宋体" w:cs="宋体"/>
          <w:sz w:val="22"/>
          <w:szCs w:val="22"/>
        </w:rPr>
      </w:pPr>
      <w:r>
        <w:rPr>
          <w:rFonts w:hint="eastAsia" w:ascii="宋体" w:hAnsi="宋体" w:cs="宋体"/>
          <w:b/>
          <w:bCs/>
          <w:sz w:val="22"/>
          <w:szCs w:val="22"/>
        </w:rPr>
        <w:t>第十二条</w:t>
      </w:r>
      <w:r>
        <w:rPr>
          <w:rFonts w:ascii="宋体" w:hAnsi="宋体" w:cs="宋体"/>
          <w:sz w:val="22"/>
          <w:szCs w:val="22"/>
        </w:rPr>
        <w:t xml:space="preserve">  </w:t>
      </w:r>
      <w:r>
        <w:rPr>
          <w:rFonts w:hint="eastAsia" w:ascii="宋体" w:hAnsi="宋体" w:cs="宋体"/>
          <w:sz w:val="22"/>
          <w:szCs w:val="22"/>
        </w:rPr>
        <w:t>本合同在履行过程中发生的争议，由双方当事人协商解决，协商不成的，任何一方可向合同签订地点的人民法院提起诉讼。</w:t>
      </w:r>
    </w:p>
    <w:p w14:paraId="79425A35">
      <w:pPr>
        <w:spacing w:line="400" w:lineRule="exact"/>
        <w:ind w:firstLine="446" w:firstLineChars="200"/>
        <w:rPr>
          <w:rFonts w:ascii="宋体" w:cs="宋体"/>
          <w:sz w:val="22"/>
          <w:szCs w:val="22"/>
        </w:rPr>
      </w:pPr>
      <w:r>
        <w:rPr>
          <w:rFonts w:hint="eastAsia" w:ascii="宋体" w:hAnsi="宋体" w:cs="宋体"/>
          <w:b/>
          <w:bCs/>
          <w:sz w:val="22"/>
          <w:szCs w:val="22"/>
        </w:rPr>
        <w:t>第十</w:t>
      </w:r>
      <w:r>
        <w:rPr>
          <w:rFonts w:hint="eastAsia" w:ascii="宋体" w:hAnsi="宋体" w:cs="宋体"/>
          <w:b/>
          <w:sz w:val="22"/>
          <w:szCs w:val="22"/>
        </w:rPr>
        <w:t>三</w:t>
      </w:r>
      <w:r>
        <w:rPr>
          <w:rFonts w:hint="eastAsia" w:ascii="宋体" w:hAnsi="宋体" w:cs="宋体"/>
          <w:b/>
          <w:bCs/>
          <w:sz w:val="22"/>
          <w:szCs w:val="22"/>
        </w:rPr>
        <w:t>条</w:t>
      </w:r>
      <w:r>
        <w:rPr>
          <w:rFonts w:ascii="宋体" w:hAnsi="宋体" w:cs="宋体"/>
          <w:sz w:val="22"/>
          <w:szCs w:val="22"/>
        </w:rPr>
        <w:t xml:space="preserve">  </w:t>
      </w:r>
      <w:r>
        <w:rPr>
          <w:rFonts w:hint="eastAsia" w:ascii="宋体" w:hAnsi="宋体" w:cs="宋体"/>
          <w:sz w:val="22"/>
          <w:szCs w:val="22"/>
        </w:rPr>
        <w:t>本合同一式五份，甲乙双方各执两份，合同签订后，乙方将合同原件交招标代理机构备案，合同自双方签字盖章后生效。</w:t>
      </w:r>
    </w:p>
    <w:p w14:paraId="12C9EDB4">
      <w:pPr>
        <w:tabs>
          <w:tab w:val="left" w:pos="840"/>
          <w:tab w:val="left" w:pos="2100"/>
        </w:tabs>
        <w:spacing w:line="400" w:lineRule="exact"/>
        <w:ind w:firstLine="446" w:firstLineChars="200"/>
        <w:rPr>
          <w:rFonts w:ascii="宋体" w:cs="宋体"/>
          <w:b/>
          <w:sz w:val="22"/>
          <w:szCs w:val="22"/>
        </w:rPr>
      </w:pPr>
      <w:bookmarkStart w:id="82" w:name="_Toc5923"/>
      <w:bookmarkStart w:id="83" w:name="_Toc24078"/>
      <w:bookmarkStart w:id="84" w:name="_Toc477610865"/>
      <w:bookmarkStart w:id="85" w:name="_Toc26427"/>
      <w:bookmarkStart w:id="86" w:name="_Toc15668"/>
      <w:bookmarkStart w:id="87" w:name="_Toc27773"/>
      <w:bookmarkStart w:id="88" w:name="_Toc24636"/>
      <w:bookmarkStart w:id="89" w:name="_Toc16423"/>
      <w:bookmarkStart w:id="90" w:name="_Toc474696576"/>
      <w:bookmarkStart w:id="91" w:name="_Toc7842"/>
      <w:bookmarkStart w:id="92" w:name="_Toc23583"/>
      <w:bookmarkStart w:id="93" w:name="_Toc9716"/>
      <w:bookmarkStart w:id="94" w:name="_Toc11453"/>
      <w:bookmarkStart w:id="95" w:name="_Toc22257"/>
      <w:bookmarkStart w:id="96" w:name="_Toc8641"/>
      <w:bookmarkStart w:id="97" w:name="_Toc11232"/>
      <w:bookmarkStart w:id="98" w:name="_Toc22366"/>
      <w:bookmarkStart w:id="99" w:name="_Toc20694"/>
      <w:bookmarkStart w:id="100" w:name="_Toc3235"/>
      <w:bookmarkStart w:id="101" w:name="_Toc9217"/>
      <w:bookmarkStart w:id="102" w:name="_Toc425894578"/>
      <w:bookmarkStart w:id="103" w:name="_Toc18413"/>
      <w:bookmarkStart w:id="104" w:name="_Toc714"/>
      <w:r>
        <w:rPr>
          <w:rFonts w:hint="eastAsia" w:ascii="宋体" w:hAnsi="宋体" w:cs="宋体"/>
          <w:b/>
          <w:sz w:val="22"/>
          <w:szCs w:val="22"/>
        </w:rPr>
        <w:t>第十四条</w:t>
      </w:r>
      <w:r>
        <w:rPr>
          <w:rFonts w:ascii="宋体" w:hAnsi="宋体" w:cs="宋体"/>
          <w:b/>
          <w:sz w:val="22"/>
          <w:szCs w:val="22"/>
        </w:rPr>
        <w:t xml:space="preserve">  </w:t>
      </w:r>
      <w:r>
        <w:rPr>
          <w:rFonts w:hint="eastAsia" w:ascii="宋体" w:hAnsi="宋体" w:cs="宋体"/>
          <w:b/>
          <w:sz w:val="22"/>
          <w:szCs w:val="22"/>
        </w:rPr>
        <w:t>文件构成</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CCDFD29">
      <w:pPr>
        <w:tabs>
          <w:tab w:val="left" w:pos="840"/>
        </w:tabs>
        <w:spacing w:line="400" w:lineRule="exact"/>
        <w:ind w:firstLine="436" w:firstLineChars="196"/>
        <w:rPr>
          <w:rFonts w:ascii="宋体" w:cs="宋体"/>
          <w:sz w:val="22"/>
          <w:szCs w:val="22"/>
        </w:rPr>
      </w:pPr>
      <w:r>
        <w:rPr>
          <w:rFonts w:hint="eastAsia" w:ascii="宋体" w:hAnsi="宋体" w:cs="宋体"/>
          <w:sz w:val="22"/>
          <w:szCs w:val="22"/>
        </w:rPr>
        <w:t>本合同由下列文件构成：</w:t>
      </w:r>
    </w:p>
    <w:p w14:paraId="0F367C8A">
      <w:pPr>
        <w:tabs>
          <w:tab w:val="left" w:pos="840"/>
        </w:tabs>
        <w:spacing w:line="400" w:lineRule="exact"/>
        <w:ind w:firstLine="436" w:firstLineChars="196"/>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）双方在履行本合同过程中形成的补充合同或其他类似文件；</w:t>
      </w:r>
    </w:p>
    <w:p w14:paraId="0D380E42">
      <w:pPr>
        <w:tabs>
          <w:tab w:val="left" w:pos="840"/>
        </w:tabs>
        <w:spacing w:line="400" w:lineRule="exact"/>
        <w:ind w:firstLine="436" w:firstLineChars="196"/>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）中标（成交）通知书；</w:t>
      </w:r>
    </w:p>
    <w:p w14:paraId="22E45CB0">
      <w:pPr>
        <w:tabs>
          <w:tab w:val="left" w:pos="840"/>
        </w:tabs>
        <w:spacing w:line="400" w:lineRule="exact"/>
        <w:ind w:firstLine="436" w:firstLineChars="196"/>
        <w:rPr>
          <w:rFonts w:asci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）询标记录；</w:t>
      </w:r>
    </w:p>
    <w:p w14:paraId="123FFB9F">
      <w:pPr>
        <w:tabs>
          <w:tab w:val="left" w:pos="840"/>
        </w:tabs>
        <w:spacing w:line="400" w:lineRule="exact"/>
        <w:ind w:firstLine="436" w:firstLineChars="196"/>
        <w:rPr>
          <w:rFonts w:asci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）投标文件；</w:t>
      </w:r>
    </w:p>
    <w:p w14:paraId="35E32E70">
      <w:pPr>
        <w:tabs>
          <w:tab w:val="left" w:pos="840"/>
        </w:tabs>
        <w:spacing w:line="400" w:lineRule="exact"/>
        <w:ind w:firstLine="436" w:firstLineChars="196"/>
        <w:rPr>
          <w:rFonts w:ascii="宋体" w:cs="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）招标文件；</w:t>
      </w:r>
    </w:p>
    <w:p w14:paraId="5ABF40C7">
      <w:pPr>
        <w:tabs>
          <w:tab w:val="left" w:pos="840"/>
        </w:tabs>
        <w:spacing w:line="400" w:lineRule="exact"/>
        <w:ind w:firstLine="436" w:firstLineChars="196"/>
        <w:rPr>
          <w:rFonts w:asci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）其他合同文件。</w:t>
      </w:r>
    </w:p>
    <w:p w14:paraId="4E4A9112">
      <w:pPr>
        <w:tabs>
          <w:tab w:val="left" w:pos="840"/>
        </w:tabs>
        <w:spacing w:line="400" w:lineRule="exact"/>
        <w:ind w:firstLine="436" w:firstLineChars="196"/>
        <w:rPr>
          <w:rFonts w:ascii="宋体" w:cs="宋体"/>
          <w:sz w:val="22"/>
          <w:szCs w:val="22"/>
        </w:rPr>
      </w:pPr>
      <w:r>
        <w:rPr>
          <w:rFonts w:hint="eastAsia" w:ascii="宋体" w:hAnsi="宋体" w:cs="宋体"/>
          <w:sz w:val="22"/>
          <w:szCs w:val="22"/>
        </w:rPr>
        <w:t>解释顺序：本合同履行过程中，如果上述第所述各文件之间存在差异或矛盾之处，则应按上述所述先后顺序依次进行解释。</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8"/>
        <w:gridCol w:w="4509"/>
      </w:tblGrid>
      <w:tr w14:paraId="0F8F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6DC55D9B">
            <w:pPr>
              <w:snapToGrid w:val="0"/>
              <w:spacing w:line="400" w:lineRule="exact"/>
              <w:rPr>
                <w:rFonts w:ascii="宋体" w:cs="宋体"/>
                <w:sz w:val="22"/>
                <w:szCs w:val="22"/>
              </w:rPr>
            </w:pPr>
            <w:r>
              <w:rPr>
                <w:rFonts w:hint="eastAsia" w:ascii="宋体" w:hAnsi="宋体" w:cs="宋体"/>
                <w:sz w:val="22"/>
                <w:szCs w:val="22"/>
              </w:rPr>
              <w:t>甲方（盖章）：</w:t>
            </w:r>
          </w:p>
        </w:tc>
        <w:tc>
          <w:tcPr>
            <w:tcW w:w="4509" w:type="dxa"/>
          </w:tcPr>
          <w:p w14:paraId="6E8A320A">
            <w:pPr>
              <w:snapToGrid w:val="0"/>
              <w:spacing w:line="400" w:lineRule="exact"/>
              <w:rPr>
                <w:rFonts w:ascii="宋体" w:cs="宋体"/>
                <w:sz w:val="22"/>
                <w:szCs w:val="22"/>
              </w:rPr>
            </w:pPr>
            <w:r>
              <w:rPr>
                <w:rFonts w:hint="eastAsia" w:ascii="宋体" w:hAnsi="宋体" w:cs="宋体"/>
                <w:sz w:val="22"/>
                <w:szCs w:val="22"/>
              </w:rPr>
              <w:t>乙方（盖章）：</w:t>
            </w:r>
          </w:p>
        </w:tc>
      </w:tr>
      <w:tr w14:paraId="1E0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557EB3B2">
            <w:pPr>
              <w:snapToGrid w:val="0"/>
              <w:spacing w:line="400" w:lineRule="exact"/>
              <w:rPr>
                <w:rFonts w:ascii="宋体" w:cs="宋体"/>
                <w:sz w:val="22"/>
                <w:szCs w:val="22"/>
              </w:rPr>
            </w:pPr>
            <w:r>
              <w:rPr>
                <w:rFonts w:hint="eastAsia" w:ascii="宋体" w:hAnsi="宋体" w:cs="宋体"/>
                <w:sz w:val="22"/>
                <w:szCs w:val="22"/>
              </w:rPr>
              <w:t>法定代表人（签字）：</w:t>
            </w:r>
          </w:p>
        </w:tc>
        <w:tc>
          <w:tcPr>
            <w:tcW w:w="4509" w:type="dxa"/>
          </w:tcPr>
          <w:p w14:paraId="78A377FE">
            <w:pPr>
              <w:snapToGrid w:val="0"/>
              <w:spacing w:line="400" w:lineRule="exact"/>
              <w:rPr>
                <w:rFonts w:ascii="宋体" w:cs="宋体"/>
                <w:sz w:val="22"/>
                <w:szCs w:val="22"/>
              </w:rPr>
            </w:pPr>
            <w:r>
              <w:rPr>
                <w:rFonts w:hint="eastAsia" w:ascii="宋体" w:hAnsi="宋体" w:cs="宋体"/>
                <w:sz w:val="22"/>
                <w:szCs w:val="22"/>
              </w:rPr>
              <w:t>法定代表人（签字）：</w:t>
            </w:r>
          </w:p>
        </w:tc>
      </w:tr>
      <w:tr w14:paraId="386B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5C3D9EB6">
            <w:pPr>
              <w:snapToGrid w:val="0"/>
              <w:spacing w:line="400" w:lineRule="exact"/>
              <w:rPr>
                <w:rFonts w:ascii="宋体" w:cs="宋体"/>
                <w:sz w:val="22"/>
                <w:szCs w:val="22"/>
              </w:rPr>
            </w:pPr>
            <w:r>
              <w:rPr>
                <w:rFonts w:hint="eastAsia" w:ascii="宋体" w:hAnsi="宋体" w:cs="宋体"/>
                <w:sz w:val="22"/>
                <w:szCs w:val="22"/>
              </w:rPr>
              <w:t>地址：</w:t>
            </w:r>
          </w:p>
        </w:tc>
        <w:tc>
          <w:tcPr>
            <w:tcW w:w="4509" w:type="dxa"/>
          </w:tcPr>
          <w:p w14:paraId="47D20F78">
            <w:pPr>
              <w:snapToGrid w:val="0"/>
              <w:spacing w:line="400" w:lineRule="exact"/>
              <w:rPr>
                <w:rFonts w:ascii="宋体" w:cs="宋体"/>
                <w:sz w:val="22"/>
                <w:szCs w:val="22"/>
              </w:rPr>
            </w:pPr>
            <w:r>
              <w:rPr>
                <w:rFonts w:hint="eastAsia" w:ascii="宋体" w:hAnsi="宋体" w:cs="宋体"/>
                <w:sz w:val="22"/>
                <w:szCs w:val="22"/>
              </w:rPr>
              <w:t>地址：</w:t>
            </w:r>
          </w:p>
        </w:tc>
      </w:tr>
      <w:tr w14:paraId="5AB4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20E24C43">
            <w:pPr>
              <w:snapToGrid w:val="0"/>
              <w:spacing w:line="400" w:lineRule="exact"/>
              <w:rPr>
                <w:rFonts w:ascii="宋体" w:cs="宋体"/>
                <w:sz w:val="22"/>
                <w:szCs w:val="22"/>
              </w:rPr>
            </w:pPr>
            <w:r>
              <w:rPr>
                <w:rFonts w:hint="eastAsia" w:ascii="宋体" w:hAnsi="宋体" w:cs="宋体"/>
                <w:sz w:val="22"/>
                <w:szCs w:val="22"/>
              </w:rPr>
              <w:t>邮政编码：</w:t>
            </w:r>
          </w:p>
        </w:tc>
        <w:tc>
          <w:tcPr>
            <w:tcW w:w="4509" w:type="dxa"/>
          </w:tcPr>
          <w:p w14:paraId="37AE3D2C">
            <w:pPr>
              <w:snapToGrid w:val="0"/>
              <w:spacing w:line="400" w:lineRule="exact"/>
              <w:rPr>
                <w:rFonts w:ascii="宋体" w:cs="宋体"/>
                <w:sz w:val="22"/>
                <w:szCs w:val="22"/>
              </w:rPr>
            </w:pPr>
            <w:r>
              <w:rPr>
                <w:rFonts w:hint="eastAsia" w:ascii="宋体" w:hAnsi="宋体" w:cs="宋体"/>
                <w:sz w:val="22"/>
                <w:szCs w:val="22"/>
              </w:rPr>
              <w:t>邮政编码：</w:t>
            </w:r>
          </w:p>
        </w:tc>
      </w:tr>
      <w:tr w14:paraId="3713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6D6C1A23">
            <w:pPr>
              <w:snapToGrid w:val="0"/>
              <w:spacing w:line="400" w:lineRule="exact"/>
              <w:rPr>
                <w:rFonts w:ascii="宋体" w:cs="宋体"/>
                <w:sz w:val="22"/>
                <w:szCs w:val="22"/>
              </w:rPr>
            </w:pPr>
            <w:r>
              <w:rPr>
                <w:rFonts w:hint="eastAsia" w:ascii="宋体" w:hAnsi="宋体" w:cs="宋体"/>
                <w:sz w:val="22"/>
                <w:szCs w:val="22"/>
              </w:rPr>
              <w:t>电话：</w:t>
            </w:r>
          </w:p>
        </w:tc>
        <w:tc>
          <w:tcPr>
            <w:tcW w:w="4509" w:type="dxa"/>
          </w:tcPr>
          <w:p w14:paraId="3F6111EC">
            <w:pPr>
              <w:snapToGrid w:val="0"/>
              <w:spacing w:line="400" w:lineRule="exact"/>
              <w:rPr>
                <w:rFonts w:ascii="宋体" w:cs="宋体"/>
                <w:sz w:val="22"/>
                <w:szCs w:val="22"/>
              </w:rPr>
            </w:pPr>
            <w:r>
              <w:rPr>
                <w:rFonts w:hint="eastAsia" w:ascii="宋体" w:hAnsi="宋体" w:cs="宋体"/>
                <w:sz w:val="22"/>
                <w:szCs w:val="22"/>
              </w:rPr>
              <w:t>电话：</w:t>
            </w:r>
          </w:p>
        </w:tc>
      </w:tr>
      <w:tr w14:paraId="0657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5D3BB055">
            <w:pPr>
              <w:snapToGrid w:val="0"/>
              <w:spacing w:line="400" w:lineRule="exact"/>
              <w:rPr>
                <w:rFonts w:ascii="宋体" w:cs="宋体"/>
                <w:sz w:val="22"/>
                <w:szCs w:val="22"/>
              </w:rPr>
            </w:pPr>
            <w:r>
              <w:rPr>
                <w:rFonts w:hint="eastAsia" w:ascii="宋体" w:hAnsi="宋体" w:cs="宋体"/>
                <w:sz w:val="22"/>
                <w:szCs w:val="22"/>
              </w:rPr>
              <w:t>传真：</w:t>
            </w:r>
          </w:p>
        </w:tc>
        <w:tc>
          <w:tcPr>
            <w:tcW w:w="4509" w:type="dxa"/>
          </w:tcPr>
          <w:p w14:paraId="67A08915">
            <w:pPr>
              <w:snapToGrid w:val="0"/>
              <w:spacing w:line="400" w:lineRule="exact"/>
              <w:rPr>
                <w:rFonts w:ascii="宋体" w:cs="宋体"/>
                <w:sz w:val="22"/>
                <w:szCs w:val="22"/>
              </w:rPr>
            </w:pPr>
            <w:r>
              <w:rPr>
                <w:rFonts w:hint="eastAsia" w:ascii="宋体" w:hAnsi="宋体" w:cs="宋体"/>
                <w:sz w:val="22"/>
                <w:szCs w:val="22"/>
              </w:rPr>
              <w:t>传真：</w:t>
            </w:r>
          </w:p>
        </w:tc>
      </w:tr>
      <w:tr w14:paraId="6342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16B1518F">
            <w:pPr>
              <w:snapToGrid w:val="0"/>
              <w:spacing w:line="400" w:lineRule="exact"/>
              <w:rPr>
                <w:rFonts w:ascii="宋体" w:cs="宋体"/>
                <w:sz w:val="22"/>
                <w:szCs w:val="22"/>
              </w:rPr>
            </w:pPr>
            <w:r>
              <w:rPr>
                <w:rFonts w:hint="eastAsia" w:ascii="宋体" w:hAnsi="宋体" w:cs="宋体"/>
                <w:sz w:val="22"/>
                <w:szCs w:val="22"/>
              </w:rPr>
              <w:t>开户银行：</w:t>
            </w:r>
          </w:p>
        </w:tc>
        <w:tc>
          <w:tcPr>
            <w:tcW w:w="4509" w:type="dxa"/>
          </w:tcPr>
          <w:p w14:paraId="28D7A289">
            <w:pPr>
              <w:snapToGrid w:val="0"/>
              <w:spacing w:line="400" w:lineRule="exact"/>
              <w:rPr>
                <w:rFonts w:ascii="宋体" w:cs="宋体"/>
                <w:sz w:val="22"/>
                <w:szCs w:val="22"/>
              </w:rPr>
            </w:pPr>
            <w:r>
              <w:rPr>
                <w:rFonts w:hint="eastAsia" w:ascii="宋体" w:hAnsi="宋体" w:cs="宋体"/>
                <w:sz w:val="22"/>
                <w:szCs w:val="22"/>
              </w:rPr>
              <w:t>开户银行：</w:t>
            </w:r>
          </w:p>
        </w:tc>
      </w:tr>
      <w:tr w14:paraId="3F86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8" w:type="dxa"/>
          </w:tcPr>
          <w:p w14:paraId="30925FD0">
            <w:pPr>
              <w:snapToGrid w:val="0"/>
              <w:spacing w:line="400" w:lineRule="exact"/>
              <w:rPr>
                <w:rFonts w:ascii="宋体" w:cs="宋体"/>
                <w:sz w:val="22"/>
                <w:szCs w:val="22"/>
              </w:rPr>
            </w:pPr>
            <w:r>
              <w:rPr>
                <w:rFonts w:hint="eastAsia" w:ascii="宋体" w:hAnsi="宋体" w:cs="宋体"/>
                <w:sz w:val="22"/>
                <w:szCs w:val="22"/>
              </w:rPr>
              <w:t>账号：</w:t>
            </w:r>
          </w:p>
        </w:tc>
        <w:tc>
          <w:tcPr>
            <w:tcW w:w="4509" w:type="dxa"/>
          </w:tcPr>
          <w:p w14:paraId="7D97D4BF">
            <w:pPr>
              <w:snapToGrid w:val="0"/>
              <w:spacing w:line="400" w:lineRule="exact"/>
              <w:rPr>
                <w:rFonts w:ascii="宋体" w:cs="宋体"/>
                <w:sz w:val="22"/>
                <w:szCs w:val="22"/>
              </w:rPr>
            </w:pPr>
            <w:r>
              <w:rPr>
                <w:rFonts w:hint="eastAsia" w:ascii="宋体" w:hAnsi="宋体" w:cs="宋体"/>
                <w:sz w:val="22"/>
                <w:szCs w:val="22"/>
              </w:rPr>
              <w:t>账号：</w:t>
            </w:r>
          </w:p>
        </w:tc>
      </w:tr>
    </w:tbl>
    <w:p w14:paraId="7E85175C">
      <w:pPr>
        <w:snapToGrid w:val="0"/>
        <w:spacing w:line="400" w:lineRule="exact"/>
        <w:ind w:firstLine="223" w:firstLineChars="100"/>
        <w:rPr>
          <w:rFonts w:ascii="宋体"/>
          <w:sz w:val="22"/>
        </w:rPr>
      </w:pPr>
      <w:r>
        <w:rPr>
          <w:rFonts w:hint="eastAsia" w:ascii="宋体"/>
          <w:sz w:val="22"/>
        </w:rPr>
        <w:t>注：以上合同条款供采购单位及中标（成交）供应商作为商务参考，具体签订时，采购单位可根据自身项目情况与中标（成交）供应商协商另行修改拟定相关合同具体条款。</w:t>
      </w:r>
    </w:p>
    <w:p w14:paraId="63D65CD0">
      <w:pPr>
        <w:rPr>
          <w:rFonts w:ascii="宋体"/>
          <w:sz w:val="22"/>
        </w:rPr>
      </w:pPr>
      <w:r>
        <w:rPr>
          <w:rFonts w:hint="eastAsia" w:ascii="宋体"/>
          <w:sz w:val="22"/>
        </w:rPr>
        <w:br w:type="page"/>
      </w:r>
    </w:p>
    <w:p w14:paraId="1B4ECBA0">
      <w:pPr>
        <w:pStyle w:val="3"/>
        <w:spacing w:after="0" w:line="400" w:lineRule="exact"/>
        <w:jc w:val="center"/>
        <w:outlineLvl w:val="0"/>
        <w:rPr>
          <w:rFonts w:ascii="宋体" w:hAnsi="宋体" w:cs="宋体"/>
          <w:b/>
          <w:bCs/>
          <w:sz w:val="32"/>
          <w:szCs w:val="32"/>
          <w:lang w:val="zh-CN"/>
        </w:rPr>
      </w:pPr>
      <w:r>
        <w:rPr>
          <w:rFonts w:hint="eastAsia" w:ascii="宋体" w:hAnsi="宋体" w:cs="仿宋_GB2312"/>
          <w:b/>
          <w:bCs/>
          <w:sz w:val="32"/>
          <w:szCs w:val="32"/>
          <w:lang w:val="zh-CN"/>
        </w:rPr>
        <w:t>第六部分</w:t>
      </w:r>
      <w:r>
        <w:rPr>
          <w:rFonts w:ascii="宋体" w:hAnsi="宋体" w:cs="仿宋_GB2312"/>
          <w:b/>
          <w:bCs/>
          <w:sz w:val="32"/>
          <w:szCs w:val="32"/>
          <w:lang w:val="zh-CN"/>
        </w:rPr>
        <w:t xml:space="preserve">   </w:t>
      </w:r>
      <w:r>
        <w:rPr>
          <w:rFonts w:hint="eastAsia" w:ascii="宋体" w:hAnsi="宋体" w:cs="仿宋_GB2312"/>
          <w:b/>
          <w:bCs/>
          <w:sz w:val="32"/>
          <w:szCs w:val="32"/>
          <w:lang w:val="zh-CN"/>
        </w:rPr>
        <w:t>投标文件格式</w:t>
      </w:r>
      <w:bookmarkEnd w:id="81"/>
    </w:p>
    <w:p w14:paraId="6AFF7961">
      <w:pPr>
        <w:pStyle w:val="14"/>
        <w:rPr>
          <w:lang w:val="zh-CN"/>
        </w:rPr>
      </w:pPr>
    </w:p>
    <w:p w14:paraId="60E9BCA4">
      <w:pPr>
        <w:autoSpaceDE w:val="0"/>
        <w:autoSpaceDN w:val="0"/>
        <w:adjustRightInd w:val="0"/>
        <w:spacing w:line="360" w:lineRule="atLeast"/>
        <w:jc w:val="left"/>
        <w:textAlignment w:val="baseline"/>
        <w:rPr>
          <w:rFonts w:ascii="宋体" w:hAnsi="宋体"/>
          <w:b/>
          <w:sz w:val="32"/>
          <w:szCs w:val="32"/>
        </w:rPr>
      </w:pPr>
      <w:r>
        <w:rPr>
          <w:rFonts w:hint="eastAsia" w:ascii="宋体" w:hAnsi="宋体"/>
          <w:b/>
          <w:sz w:val="32"/>
          <w:szCs w:val="32"/>
        </w:rPr>
        <w:t xml:space="preserve">附件一（一） </w:t>
      </w:r>
    </w:p>
    <w:p w14:paraId="0AA7E83E">
      <w:pPr>
        <w:autoSpaceDE w:val="0"/>
        <w:autoSpaceDN w:val="0"/>
        <w:adjustRightInd w:val="0"/>
        <w:spacing w:line="360" w:lineRule="atLeast"/>
        <w:jc w:val="center"/>
        <w:textAlignment w:val="baseline"/>
        <w:rPr>
          <w:rFonts w:ascii="宋体" w:hAnsi="宋体" w:cs="宋体"/>
          <w:b/>
          <w:bCs/>
          <w:sz w:val="32"/>
          <w:szCs w:val="32"/>
          <w:lang w:val="zh-CN"/>
        </w:rPr>
      </w:pPr>
      <w:r>
        <w:rPr>
          <w:rFonts w:hint="eastAsia" w:ascii="宋体" w:hAnsi="宋体" w:cs="宋体"/>
          <w:b/>
          <w:bCs/>
          <w:sz w:val="32"/>
          <w:szCs w:val="32"/>
        </w:rPr>
        <w:t>开标（报价）一览表</w:t>
      </w:r>
    </w:p>
    <w:p w14:paraId="2DC3A813">
      <w:pPr>
        <w:autoSpaceDE w:val="0"/>
        <w:autoSpaceDN w:val="0"/>
        <w:adjustRightInd w:val="0"/>
        <w:spacing w:line="400" w:lineRule="exact"/>
        <w:rPr>
          <w:rFonts w:ascii="宋体" w:hAnsi="宋体" w:cs="宋体"/>
          <w:sz w:val="22"/>
          <w:lang w:val="zh-CN"/>
        </w:rPr>
      </w:pPr>
      <w:r>
        <w:rPr>
          <w:rFonts w:hint="eastAsia" w:ascii="宋体" w:hAnsi="宋体" w:cs="宋体"/>
          <w:sz w:val="22"/>
        </w:rPr>
        <w:t>项目名称</w:t>
      </w:r>
      <w:r>
        <w:rPr>
          <w:rFonts w:hint="eastAsia" w:ascii="宋体" w:hAnsi="宋体" w:cs="宋体"/>
          <w:sz w:val="22"/>
          <w:lang w:val="zh-CN"/>
        </w:rPr>
        <w:t>：</w:t>
      </w:r>
      <w:r>
        <w:rPr>
          <w:rFonts w:hint="eastAsia" w:ascii="宋体" w:hAnsi="宋体" w:cs="宋体"/>
          <w:sz w:val="22"/>
          <w:u w:val="single"/>
        </w:rPr>
        <w:t>泰顺县南浦溪镇环卫一体化和垃圾分类服务项目</w:t>
      </w:r>
    </w:p>
    <w:p w14:paraId="65BF3C3A">
      <w:pPr>
        <w:autoSpaceDE w:val="0"/>
        <w:autoSpaceDN w:val="0"/>
        <w:adjustRightInd w:val="0"/>
        <w:spacing w:line="400" w:lineRule="exact"/>
        <w:rPr>
          <w:rFonts w:ascii="宋体" w:hAnsi="宋体" w:cs="宋体"/>
          <w:sz w:val="22"/>
          <w:lang w:val="zh-CN"/>
        </w:rPr>
      </w:pPr>
      <w:r>
        <w:rPr>
          <w:rFonts w:hint="eastAsia" w:ascii="宋体" w:hAnsi="宋体" w:cs="宋体"/>
          <w:sz w:val="22"/>
          <w:lang w:val="zh-CN"/>
        </w:rPr>
        <w:t>采购编号：</w:t>
      </w:r>
      <w:r>
        <w:rPr>
          <w:rFonts w:hint="eastAsia" w:ascii="宋体" w:hAnsi="宋体" w:cs="宋体"/>
          <w:sz w:val="22"/>
          <w:u w:val="single"/>
          <w:lang w:val="zh-CN"/>
        </w:rPr>
        <w:t xml:space="preserve">TSCG202505002    </w:t>
      </w:r>
    </w:p>
    <w:p w14:paraId="3DB8877B">
      <w:pPr>
        <w:autoSpaceDE w:val="0"/>
        <w:autoSpaceDN w:val="0"/>
        <w:adjustRightInd w:val="0"/>
        <w:spacing w:line="400" w:lineRule="exact"/>
        <w:jc w:val="right"/>
        <w:rPr>
          <w:rFonts w:ascii="宋体" w:hAnsi="宋体" w:cs="宋体"/>
          <w:sz w:val="22"/>
          <w:u w:val="single"/>
        </w:rPr>
      </w:pPr>
    </w:p>
    <w:tbl>
      <w:tblPr>
        <w:tblStyle w:val="31"/>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45"/>
        <w:gridCol w:w="3431"/>
        <w:gridCol w:w="1789"/>
      </w:tblGrid>
      <w:tr w14:paraId="7483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60" w:type="dxa"/>
            <w:vAlign w:val="center"/>
          </w:tcPr>
          <w:p w14:paraId="5D862804">
            <w:pPr>
              <w:pStyle w:val="16"/>
              <w:jc w:val="center"/>
              <w:rPr>
                <w:rFonts w:hAnsi="宋体"/>
                <w:b/>
                <w:bCs/>
                <w:sz w:val="22"/>
                <w:szCs w:val="22"/>
              </w:rPr>
            </w:pPr>
            <w:r>
              <w:rPr>
                <w:rFonts w:hint="eastAsia" w:hAnsi="宋体"/>
                <w:b/>
                <w:bCs/>
                <w:sz w:val="22"/>
                <w:szCs w:val="22"/>
              </w:rPr>
              <w:t>标项</w:t>
            </w:r>
          </w:p>
        </w:tc>
        <w:tc>
          <w:tcPr>
            <w:tcW w:w="3345" w:type="dxa"/>
            <w:tcBorders>
              <w:right w:val="single" w:color="000000" w:sz="4" w:space="0"/>
            </w:tcBorders>
            <w:vAlign w:val="center"/>
          </w:tcPr>
          <w:p w14:paraId="5A5188B6">
            <w:pPr>
              <w:pStyle w:val="16"/>
              <w:jc w:val="center"/>
              <w:rPr>
                <w:rFonts w:hAnsi="宋体"/>
                <w:b/>
                <w:bCs/>
                <w:sz w:val="22"/>
                <w:szCs w:val="22"/>
              </w:rPr>
            </w:pPr>
            <w:r>
              <w:rPr>
                <w:rFonts w:hint="eastAsia" w:hAnsi="宋体"/>
                <w:b/>
                <w:bCs/>
                <w:sz w:val="22"/>
                <w:szCs w:val="22"/>
              </w:rPr>
              <w:t>标项名称</w:t>
            </w:r>
          </w:p>
        </w:tc>
        <w:tc>
          <w:tcPr>
            <w:tcW w:w="3431" w:type="dxa"/>
            <w:tcBorders>
              <w:left w:val="single" w:color="000000" w:sz="4" w:space="0"/>
            </w:tcBorders>
            <w:vAlign w:val="center"/>
          </w:tcPr>
          <w:p w14:paraId="091F6E0E">
            <w:pPr>
              <w:pStyle w:val="16"/>
              <w:jc w:val="center"/>
              <w:rPr>
                <w:rFonts w:hAnsi="宋体"/>
                <w:b/>
                <w:bCs/>
                <w:sz w:val="22"/>
                <w:szCs w:val="22"/>
              </w:rPr>
            </w:pPr>
            <w:r>
              <w:rPr>
                <w:rFonts w:hint="eastAsia" w:hAnsi="宋体"/>
                <w:b/>
                <w:bCs/>
                <w:sz w:val="22"/>
                <w:szCs w:val="22"/>
              </w:rPr>
              <w:t>投标报价</w:t>
            </w:r>
          </w:p>
        </w:tc>
        <w:tc>
          <w:tcPr>
            <w:tcW w:w="1789" w:type="dxa"/>
            <w:vAlign w:val="center"/>
          </w:tcPr>
          <w:p w14:paraId="5C278464">
            <w:pPr>
              <w:pStyle w:val="16"/>
              <w:jc w:val="center"/>
              <w:rPr>
                <w:rFonts w:hAnsi="宋体"/>
                <w:b/>
                <w:bCs/>
                <w:sz w:val="22"/>
                <w:szCs w:val="22"/>
              </w:rPr>
            </w:pPr>
          </w:p>
          <w:p w14:paraId="2901EDC2">
            <w:pPr>
              <w:pStyle w:val="16"/>
              <w:jc w:val="center"/>
              <w:rPr>
                <w:rFonts w:hAnsi="宋体"/>
                <w:b/>
                <w:bCs/>
                <w:sz w:val="22"/>
                <w:szCs w:val="22"/>
              </w:rPr>
            </w:pPr>
            <w:r>
              <w:rPr>
                <w:rFonts w:hint="eastAsia" w:hAnsi="宋体"/>
                <w:b/>
                <w:bCs/>
                <w:sz w:val="22"/>
                <w:szCs w:val="22"/>
              </w:rPr>
              <w:t>最高限价</w:t>
            </w:r>
          </w:p>
        </w:tc>
      </w:tr>
      <w:tr w14:paraId="0F18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960" w:type="dxa"/>
            <w:tcBorders>
              <w:top w:val="single" w:color="auto" w:sz="4" w:space="0"/>
              <w:left w:val="single" w:color="auto" w:sz="4" w:space="0"/>
              <w:right w:val="single" w:color="auto" w:sz="4" w:space="0"/>
            </w:tcBorders>
            <w:vAlign w:val="center"/>
          </w:tcPr>
          <w:p w14:paraId="45385CE8">
            <w:pPr>
              <w:pStyle w:val="16"/>
              <w:spacing w:line="440" w:lineRule="atLeast"/>
              <w:jc w:val="center"/>
              <w:rPr>
                <w:rFonts w:hAnsi="宋体"/>
                <w:sz w:val="22"/>
                <w:szCs w:val="22"/>
              </w:rPr>
            </w:pPr>
            <w:r>
              <w:rPr>
                <w:rFonts w:hint="eastAsia" w:hAnsi="宋体"/>
                <w:sz w:val="22"/>
                <w:szCs w:val="22"/>
              </w:rPr>
              <w:t>1</w:t>
            </w:r>
          </w:p>
        </w:tc>
        <w:tc>
          <w:tcPr>
            <w:tcW w:w="3345" w:type="dxa"/>
            <w:tcBorders>
              <w:right w:val="single" w:color="000000" w:sz="4" w:space="0"/>
            </w:tcBorders>
            <w:vAlign w:val="center"/>
          </w:tcPr>
          <w:p w14:paraId="35F05B43">
            <w:pPr>
              <w:pStyle w:val="16"/>
              <w:spacing w:line="440" w:lineRule="atLeast"/>
              <w:jc w:val="center"/>
              <w:rPr>
                <w:rFonts w:hAnsi="宋体"/>
                <w:sz w:val="22"/>
                <w:szCs w:val="22"/>
              </w:rPr>
            </w:pPr>
            <w:r>
              <w:rPr>
                <w:rFonts w:hint="eastAsia" w:hAnsi="宋体"/>
                <w:bCs/>
                <w:sz w:val="22"/>
              </w:rPr>
              <w:t>泰顺县南浦溪镇环卫一体化和垃圾分类服务项目</w:t>
            </w:r>
          </w:p>
        </w:tc>
        <w:tc>
          <w:tcPr>
            <w:tcW w:w="3431" w:type="dxa"/>
            <w:tcBorders>
              <w:left w:val="single" w:color="000000" w:sz="4" w:space="0"/>
            </w:tcBorders>
            <w:vAlign w:val="center"/>
          </w:tcPr>
          <w:p w14:paraId="65C3A09A">
            <w:pPr>
              <w:pStyle w:val="16"/>
              <w:spacing w:line="440" w:lineRule="atLeast"/>
              <w:ind w:firstLine="223" w:firstLineChars="100"/>
              <w:rPr>
                <w:rFonts w:hAnsi="宋体"/>
                <w:sz w:val="22"/>
                <w:szCs w:val="22"/>
                <w:u w:val="single"/>
              </w:rPr>
            </w:pPr>
            <w:r>
              <w:rPr>
                <w:rFonts w:hint="eastAsia" w:hAnsi="宋体"/>
                <w:sz w:val="22"/>
                <w:szCs w:val="22"/>
                <w:u w:val="single"/>
              </w:rPr>
              <w:t xml:space="preserve">大写：                  </w:t>
            </w:r>
          </w:p>
          <w:p w14:paraId="4F6B2787">
            <w:pPr>
              <w:pStyle w:val="16"/>
              <w:spacing w:line="440" w:lineRule="atLeast"/>
              <w:ind w:firstLine="223" w:firstLineChars="100"/>
              <w:rPr>
                <w:rFonts w:hAnsi="宋体"/>
                <w:sz w:val="22"/>
                <w:szCs w:val="22"/>
                <w:u w:val="single"/>
              </w:rPr>
            </w:pPr>
            <w:r>
              <w:rPr>
                <w:rFonts w:hint="eastAsia" w:hAnsi="宋体"/>
                <w:sz w:val="22"/>
                <w:szCs w:val="22"/>
                <w:u w:val="single"/>
              </w:rPr>
              <w:t xml:space="preserve">小写：                </w:t>
            </w:r>
          </w:p>
        </w:tc>
        <w:tc>
          <w:tcPr>
            <w:tcW w:w="1789" w:type="dxa"/>
            <w:tcBorders>
              <w:top w:val="single" w:color="auto" w:sz="4" w:space="0"/>
              <w:left w:val="single" w:color="auto" w:sz="4" w:space="0"/>
              <w:right w:val="single" w:color="auto" w:sz="4" w:space="0"/>
            </w:tcBorders>
            <w:vAlign w:val="center"/>
          </w:tcPr>
          <w:p w14:paraId="78975DBA">
            <w:pPr>
              <w:pStyle w:val="16"/>
              <w:ind w:firstLine="213" w:firstLineChars="100"/>
              <w:jc w:val="center"/>
              <w:rPr>
                <w:rFonts w:hAnsi="宋体"/>
                <w:sz w:val="22"/>
                <w:szCs w:val="22"/>
                <w:u w:val="single"/>
              </w:rPr>
            </w:pPr>
            <w:r>
              <w:rPr>
                <w:rFonts w:hint="eastAsia" w:ascii="微软雅黑" w:hAnsi="微软雅黑" w:eastAsia="微软雅黑" w:cs="微软雅黑"/>
                <w:sz w:val="21"/>
                <w:szCs w:val="21"/>
                <w:shd w:val="clear" w:color="auto" w:fill="FFFFFF"/>
                <w:lang w:eastAsia="zh-CN"/>
              </w:rPr>
              <w:t>1749932</w:t>
            </w:r>
            <w:r>
              <w:rPr>
                <w:rFonts w:hint="eastAsia" w:ascii="微软雅黑" w:hAnsi="微软雅黑" w:eastAsia="微软雅黑" w:cs="微软雅黑"/>
                <w:sz w:val="21"/>
                <w:szCs w:val="21"/>
                <w:shd w:val="clear" w:color="auto" w:fill="FFFFFF"/>
              </w:rPr>
              <w:t>元</w:t>
            </w:r>
          </w:p>
        </w:tc>
      </w:tr>
    </w:tbl>
    <w:p w14:paraId="3928FA17">
      <w:pPr>
        <w:pStyle w:val="16"/>
        <w:spacing w:line="440" w:lineRule="atLeast"/>
        <w:rPr>
          <w:rFonts w:hAnsi="宋体"/>
          <w:sz w:val="22"/>
        </w:rPr>
      </w:pPr>
    </w:p>
    <w:p w14:paraId="21DA001D">
      <w:pPr>
        <w:autoSpaceDE w:val="0"/>
        <w:autoSpaceDN w:val="0"/>
        <w:adjustRightInd w:val="0"/>
        <w:spacing w:line="440" w:lineRule="atLeast"/>
        <w:rPr>
          <w:rFonts w:ascii="宋体" w:hAnsi="宋体" w:cs="仿宋_GB2312"/>
          <w:sz w:val="22"/>
          <w:szCs w:val="24"/>
        </w:rPr>
      </w:pPr>
      <w:r>
        <w:rPr>
          <w:rFonts w:hint="eastAsia" w:ascii="宋体" w:hAnsi="宋体" w:cs="仿宋_GB2312"/>
          <w:sz w:val="22"/>
          <w:szCs w:val="24"/>
        </w:rPr>
        <w:t>注: 1、▲不提供此表格的将视为没有实质性响应招标文件。</w:t>
      </w:r>
    </w:p>
    <w:p w14:paraId="5B299DD2">
      <w:pPr>
        <w:autoSpaceDE w:val="0"/>
        <w:autoSpaceDN w:val="0"/>
        <w:adjustRightInd w:val="0"/>
        <w:spacing w:line="440" w:lineRule="atLeast"/>
        <w:ind w:firstLine="446" w:firstLineChars="200"/>
        <w:rPr>
          <w:rFonts w:ascii="宋体" w:hAnsi="宋体" w:cs="仿宋_GB2312"/>
          <w:sz w:val="22"/>
          <w:szCs w:val="24"/>
        </w:rPr>
      </w:pPr>
      <w:r>
        <w:rPr>
          <w:rFonts w:hint="eastAsia" w:ascii="宋体" w:hAnsi="宋体" w:cs="仿宋_GB2312"/>
          <w:sz w:val="22"/>
          <w:szCs w:val="24"/>
        </w:rPr>
        <w:t xml:space="preserve">2、报价一经涂改，应在涂改处加盖单位公章或者由法定代表人或授权委托人签字或盖章，否则其投标作无效标处理。 </w:t>
      </w:r>
    </w:p>
    <w:p w14:paraId="5110ED5F">
      <w:pPr>
        <w:spacing w:line="400" w:lineRule="exact"/>
        <w:ind w:firstLine="446" w:firstLineChars="200"/>
        <w:jc w:val="left"/>
        <w:rPr>
          <w:rFonts w:ascii="宋体" w:hAnsi="宋体" w:cs="仿宋_GB2312"/>
          <w:sz w:val="22"/>
          <w:szCs w:val="24"/>
        </w:rPr>
      </w:pPr>
      <w:r>
        <w:rPr>
          <w:rFonts w:hint="eastAsia" w:ascii="宋体" w:hAnsi="宋体" w:cs="仿宋_GB2312"/>
          <w:sz w:val="22"/>
          <w:szCs w:val="24"/>
        </w:rPr>
        <w:t>3、▲报价一览表中投标价为符合招标文件要求的项目总价。</w:t>
      </w:r>
    </w:p>
    <w:p w14:paraId="4619858C">
      <w:pPr>
        <w:pStyle w:val="16"/>
        <w:spacing w:line="440" w:lineRule="atLeast"/>
        <w:rPr>
          <w:rFonts w:hAnsi="宋体"/>
          <w:sz w:val="22"/>
        </w:rPr>
      </w:pPr>
    </w:p>
    <w:p w14:paraId="7789D4A7">
      <w:pPr>
        <w:pStyle w:val="16"/>
        <w:spacing w:line="440" w:lineRule="atLeast"/>
        <w:rPr>
          <w:rFonts w:hAnsi="宋体"/>
          <w:b/>
          <w:bCs/>
          <w:sz w:val="22"/>
        </w:rPr>
      </w:pPr>
      <w:r>
        <w:rPr>
          <w:rFonts w:hint="eastAsia" w:hAnsi="宋体"/>
          <w:sz w:val="22"/>
        </w:rPr>
        <w:t>供应商全称：（盖章）</w:t>
      </w:r>
    </w:p>
    <w:p w14:paraId="55BC32D3">
      <w:pPr>
        <w:pStyle w:val="16"/>
        <w:spacing w:line="440" w:lineRule="atLeast"/>
        <w:rPr>
          <w:rFonts w:hAnsi="宋体"/>
          <w:b/>
          <w:bCs/>
          <w:sz w:val="22"/>
          <w:lang w:val="zh-CN"/>
        </w:rPr>
      </w:pPr>
      <w:r>
        <w:rPr>
          <w:rFonts w:hint="eastAsia" w:hAnsi="宋体"/>
          <w:sz w:val="22"/>
        </w:rPr>
        <w:t>法定代表人（签字或盖章）或</w:t>
      </w:r>
      <w:r>
        <w:rPr>
          <w:rFonts w:hint="eastAsia" w:hAnsi="宋体"/>
          <w:sz w:val="22"/>
          <w:lang w:val="zh-CN"/>
        </w:rPr>
        <w:t>授权代表（签字）：</w:t>
      </w:r>
    </w:p>
    <w:p w14:paraId="65967620">
      <w:pPr>
        <w:pStyle w:val="16"/>
        <w:spacing w:line="440" w:lineRule="atLeast"/>
        <w:rPr>
          <w:rFonts w:hAnsi="宋体"/>
          <w:sz w:val="22"/>
        </w:rPr>
        <w:sectPr>
          <w:footerReference r:id="rId12" w:type="first"/>
          <w:headerReference r:id="rId10" w:type="default"/>
          <w:footerReference r:id="rId11" w:type="default"/>
          <w:pgSz w:w="11906" w:h="16838"/>
          <w:pgMar w:top="1440" w:right="1247" w:bottom="1440" w:left="1247" w:header="851" w:footer="992" w:gutter="0"/>
          <w:cols w:space="720" w:num="1"/>
          <w:titlePg/>
          <w:docGrid w:type="linesAndChars" w:linePitch="313" w:charSpace="799"/>
        </w:sectPr>
      </w:pPr>
      <w:r>
        <w:rPr>
          <w:rFonts w:hint="eastAsia" w:hAnsi="宋体"/>
          <w:sz w:val="22"/>
        </w:rPr>
        <w:t>日期：</w:t>
      </w:r>
    </w:p>
    <w:p w14:paraId="3B3771E3">
      <w:pPr>
        <w:adjustRightInd w:val="0"/>
        <w:snapToGrid w:val="0"/>
        <w:spacing w:line="460" w:lineRule="atLeast"/>
        <w:rPr>
          <w:rFonts w:ascii="宋体" w:hAnsi="宋体"/>
          <w:b/>
          <w:bCs/>
          <w:sz w:val="32"/>
          <w:szCs w:val="32"/>
        </w:rPr>
      </w:pPr>
      <w:r>
        <w:rPr>
          <w:rFonts w:hint="eastAsia" w:ascii="宋体" w:hAnsi="宋体"/>
          <w:b/>
          <w:bCs/>
          <w:sz w:val="32"/>
          <w:szCs w:val="32"/>
        </w:rPr>
        <w:t>附件一（二）</w:t>
      </w:r>
    </w:p>
    <w:p w14:paraId="76598B5B">
      <w:pPr>
        <w:adjustRightInd w:val="0"/>
        <w:snapToGrid w:val="0"/>
        <w:spacing w:line="460" w:lineRule="atLeast"/>
        <w:jc w:val="center"/>
        <w:rPr>
          <w:rFonts w:ascii="宋体"/>
          <w:sz w:val="36"/>
          <w:szCs w:val="36"/>
        </w:rPr>
      </w:pPr>
      <w:r>
        <w:rPr>
          <w:rFonts w:ascii="宋体" w:hAnsi="宋体"/>
          <w:b/>
          <w:bCs/>
          <w:sz w:val="32"/>
          <w:szCs w:val="32"/>
        </w:rPr>
        <w:tab/>
      </w:r>
      <w:r>
        <w:rPr>
          <w:rFonts w:hint="eastAsia" w:ascii="宋体"/>
          <w:sz w:val="36"/>
          <w:szCs w:val="36"/>
        </w:rPr>
        <w:t>投标分项报价表</w:t>
      </w:r>
    </w:p>
    <w:p w14:paraId="28D9EA3F">
      <w:pPr>
        <w:autoSpaceDE w:val="0"/>
        <w:autoSpaceDN w:val="0"/>
        <w:adjustRightInd w:val="0"/>
        <w:spacing w:line="400" w:lineRule="exact"/>
        <w:rPr>
          <w:rFonts w:ascii="宋体" w:hAnsi="宋体" w:cs="宋体"/>
          <w:sz w:val="22"/>
          <w:lang w:val="zh-CN"/>
        </w:rPr>
      </w:pPr>
      <w:r>
        <w:rPr>
          <w:rFonts w:hint="eastAsia" w:ascii="宋体" w:hAnsi="宋体" w:cs="宋体"/>
          <w:sz w:val="22"/>
        </w:rPr>
        <w:t>项目名称</w:t>
      </w:r>
      <w:r>
        <w:rPr>
          <w:rFonts w:hint="eastAsia" w:ascii="宋体" w:hAnsi="宋体" w:cs="宋体"/>
          <w:sz w:val="22"/>
          <w:lang w:val="zh-CN"/>
        </w:rPr>
        <w:t>：</w:t>
      </w:r>
      <w:r>
        <w:rPr>
          <w:rFonts w:hint="eastAsia" w:ascii="宋体" w:hAnsi="宋体" w:cs="宋体"/>
          <w:sz w:val="22"/>
          <w:u w:val="single"/>
        </w:rPr>
        <w:t>泰顺县南浦溪镇环卫一体化和垃圾分类服务项目</w:t>
      </w:r>
    </w:p>
    <w:p w14:paraId="6971E0B3">
      <w:pPr>
        <w:autoSpaceDE w:val="0"/>
        <w:autoSpaceDN w:val="0"/>
        <w:adjustRightInd w:val="0"/>
        <w:spacing w:line="400" w:lineRule="exact"/>
        <w:rPr>
          <w:rFonts w:ascii="宋体" w:hAnsi="宋体"/>
          <w:kern w:val="0"/>
          <w:sz w:val="22"/>
        </w:rPr>
      </w:pPr>
      <w:r>
        <w:rPr>
          <w:rFonts w:hint="eastAsia" w:ascii="宋体" w:hAnsi="宋体" w:cs="宋体"/>
          <w:sz w:val="22"/>
          <w:lang w:val="zh-CN"/>
        </w:rPr>
        <w:t>采购编号：</w:t>
      </w:r>
      <w:r>
        <w:rPr>
          <w:rFonts w:hint="eastAsia" w:ascii="宋体" w:hAnsi="宋体" w:cs="宋体"/>
          <w:sz w:val="22"/>
          <w:u w:val="single"/>
          <w:lang w:val="zh-CN"/>
        </w:rPr>
        <w:t xml:space="preserve">TSCG202505002    </w:t>
      </w:r>
      <w:r>
        <w:rPr>
          <w:rFonts w:ascii="宋体" w:hAnsi="宋体"/>
          <w:kern w:val="0"/>
          <w:sz w:val="22"/>
          <w:u w:val="single"/>
        </w:rPr>
        <w:t xml:space="preserve">             </w:t>
      </w:r>
      <w:r>
        <w:rPr>
          <w:rFonts w:ascii="宋体" w:hAnsi="宋体"/>
          <w:kern w:val="0"/>
          <w:sz w:val="22"/>
        </w:rPr>
        <w:t xml:space="preserve">                       </w:t>
      </w:r>
    </w:p>
    <w:p w14:paraId="7A40C03C">
      <w:pPr>
        <w:autoSpaceDE w:val="0"/>
        <w:autoSpaceDN w:val="0"/>
        <w:adjustRightInd w:val="0"/>
        <w:spacing w:line="400" w:lineRule="exact"/>
        <w:rPr>
          <w:rFonts w:ascii="宋体"/>
          <w:kern w:val="0"/>
          <w:sz w:val="22"/>
        </w:rPr>
      </w:pPr>
      <w:r>
        <w:rPr>
          <w:rFonts w:ascii="宋体" w:hAnsi="宋体"/>
          <w:kern w:val="0"/>
          <w:sz w:val="22"/>
        </w:rPr>
        <w:t xml:space="preserve">                       </w:t>
      </w:r>
    </w:p>
    <w:tbl>
      <w:tblPr>
        <w:tblStyle w:val="31"/>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10"/>
        <w:gridCol w:w="810"/>
        <w:gridCol w:w="2385"/>
        <w:gridCol w:w="3285"/>
      </w:tblGrid>
      <w:tr w14:paraId="034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6" w:type="dxa"/>
            <w:vAlign w:val="center"/>
          </w:tcPr>
          <w:p w14:paraId="133DFA59">
            <w:pPr>
              <w:jc w:val="center"/>
              <w:rPr>
                <w:rFonts w:ascii="宋体" w:hAnsi="宋体"/>
                <w:szCs w:val="21"/>
              </w:rPr>
            </w:pPr>
            <w:r>
              <w:rPr>
                <w:rFonts w:hint="eastAsia" w:ascii="宋体" w:hAnsi="宋体"/>
                <w:szCs w:val="21"/>
              </w:rPr>
              <w:t>序号</w:t>
            </w:r>
          </w:p>
        </w:tc>
        <w:tc>
          <w:tcPr>
            <w:tcW w:w="2010" w:type="dxa"/>
            <w:vAlign w:val="center"/>
          </w:tcPr>
          <w:p w14:paraId="16C3A29A">
            <w:pPr>
              <w:jc w:val="center"/>
              <w:rPr>
                <w:rFonts w:ascii="宋体" w:hAnsi="宋体"/>
                <w:szCs w:val="21"/>
              </w:rPr>
            </w:pPr>
            <w:r>
              <w:rPr>
                <w:rFonts w:hint="eastAsia" w:ascii="宋体" w:hAnsi="宋体"/>
                <w:szCs w:val="21"/>
              </w:rPr>
              <w:t>项目</w:t>
            </w:r>
          </w:p>
        </w:tc>
        <w:tc>
          <w:tcPr>
            <w:tcW w:w="810" w:type="dxa"/>
            <w:vAlign w:val="center"/>
          </w:tcPr>
          <w:p w14:paraId="427D5A26">
            <w:pPr>
              <w:jc w:val="center"/>
              <w:rPr>
                <w:rFonts w:ascii="宋体" w:hAnsi="宋体"/>
                <w:szCs w:val="21"/>
              </w:rPr>
            </w:pPr>
            <w:r>
              <w:rPr>
                <w:rFonts w:hint="eastAsia" w:ascii="宋体" w:hAnsi="宋体"/>
                <w:szCs w:val="21"/>
              </w:rPr>
              <w:t>数量</w:t>
            </w:r>
          </w:p>
        </w:tc>
        <w:tc>
          <w:tcPr>
            <w:tcW w:w="2385" w:type="dxa"/>
            <w:vAlign w:val="center"/>
          </w:tcPr>
          <w:p w14:paraId="2942A045">
            <w:pPr>
              <w:jc w:val="center"/>
              <w:rPr>
                <w:rFonts w:ascii="宋体" w:hAnsi="宋体"/>
                <w:szCs w:val="21"/>
              </w:rPr>
            </w:pPr>
            <w:r>
              <w:rPr>
                <w:rFonts w:hint="eastAsia" w:ascii="宋体" w:hAnsi="宋体"/>
                <w:szCs w:val="21"/>
              </w:rPr>
              <w:t>投标单价（万元）</w:t>
            </w:r>
          </w:p>
        </w:tc>
        <w:tc>
          <w:tcPr>
            <w:tcW w:w="3285" w:type="dxa"/>
            <w:vAlign w:val="center"/>
          </w:tcPr>
          <w:p w14:paraId="13BEE777">
            <w:pPr>
              <w:jc w:val="center"/>
              <w:rPr>
                <w:rFonts w:ascii="宋体" w:hAnsi="宋体"/>
                <w:szCs w:val="21"/>
              </w:rPr>
            </w:pPr>
            <w:r>
              <w:rPr>
                <w:rFonts w:hint="eastAsia" w:ascii="宋体" w:hAnsi="宋体"/>
                <w:szCs w:val="21"/>
              </w:rPr>
              <w:t>控制单价（万元）</w:t>
            </w:r>
          </w:p>
        </w:tc>
      </w:tr>
      <w:tr w14:paraId="41C4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5F4B84F4">
            <w:pPr>
              <w:widowControl/>
              <w:jc w:val="center"/>
              <w:textAlignment w:val="center"/>
              <w:rPr>
                <w:rFonts w:ascii="宋体" w:hAnsi="宋体"/>
                <w:szCs w:val="21"/>
              </w:rPr>
            </w:pPr>
            <w:r>
              <w:rPr>
                <w:rFonts w:hint="eastAsia" w:ascii="宋体" w:hAnsi="宋体" w:cs="宋体"/>
                <w:kern w:val="0"/>
                <w:sz w:val="22"/>
                <w:szCs w:val="22"/>
              </w:rPr>
              <w:t>1</w:t>
            </w:r>
          </w:p>
        </w:tc>
        <w:tc>
          <w:tcPr>
            <w:tcW w:w="2010" w:type="dxa"/>
            <w:tcBorders>
              <w:top w:val="single" w:color="auto" w:sz="4" w:space="0"/>
              <w:left w:val="single" w:color="auto" w:sz="4" w:space="0"/>
              <w:right w:val="single" w:color="auto" w:sz="4" w:space="0"/>
            </w:tcBorders>
            <w:vAlign w:val="center"/>
          </w:tcPr>
          <w:p w14:paraId="0EB95C03">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7AD36BF7">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53F6980C">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487F9767">
            <w:pPr>
              <w:jc w:val="center"/>
              <w:rPr>
                <w:rFonts w:ascii="宋体" w:hAnsi="宋体"/>
                <w:szCs w:val="21"/>
              </w:rPr>
            </w:pPr>
          </w:p>
        </w:tc>
      </w:tr>
      <w:tr w14:paraId="40D1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43CA5372">
            <w:pPr>
              <w:widowControl/>
              <w:jc w:val="center"/>
              <w:textAlignment w:val="center"/>
              <w:rPr>
                <w:rFonts w:ascii="宋体" w:hAnsi="宋体"/>
                <w:szCs w:val="21"/>
              </w:rPr>
            </w:pPr>
            <w:r>
              <w:rPr>
                <w:rFonts w:hint="eastAsia" w:ascii="宋体" w:hAnsi="宋体" w:cs="宋体"/>
                <w:kern w:val="0"/>
                <w:sz w:val="22"/>
                <w:szCs w:val="22"/>
              </w:rPr>
              <w:t>2</w:t>
            </w:r>
          </w:p>
        </w:tc>
        <w:tc>
          <w:tcPr>
            <w:tcW w:w="2010" w:type="dxa"/>
            <w:tcBorders>
              <w:top w:val="single" w:color="auto" w:sz="4" w:space="0"/>
              <w:left w:val="single" w:color="auto" w:sz="4" w:space="0"/>
              <w:right w:val="single" w:color="auto" w:sz="4" w:space="0"/>
            </w:tcBorders>
            <w:vAlign w:val="center"/>
          </w:tcPr>
          <w:p w14:paraId="13D2F7FB">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2C11D670">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5579B82D">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160C86E1">
            <w:pPr>
              <w:jc w:val="center"/>
              <w:rPr>
                <w:rFonts w:ascii="宋体" w:hAnsi="宋体"/>
                <w:szCs w:val="21"/>
              </w:rPr>
            </w:pPr>
          </w:p>
        </w:tc>
      </w:tr>
      <w:tr w14:paraId="1C80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70075FCE">
            <w:pPr>
              <w:widowControl/>
              <w:jc w:val="center"/>
              <w:textAlignment w:val="center"/>
              <w:rPr>
                <w:rFonts w:ascii="宋体" w:hAnsi="宋体"/>
                <w:szCs w:val="21"/>
              </w:rPr>
            </w:pPr>
            <w:r>
              <w:rPr>
                <w:rFonts w:hint="eastAsia" w:ascii="宋体" w:hAnsi="宋体" w:cs="宋体"/>
                <w:kern w:val="0"/>
                <w:sz w:val="22"/>
                <w:szCs w:val="22"/>
              </w:rPr>
              <w:t>3</w:t>
            </w:r>
          </w:p>
        </w:tc>
        <w:tc>
          <w:tcPr>
            <w:tcW w:w="2010" w:type="dxa"/>
            <w:tcBorders>
              <w:top w:val="single" w:color="auto" w:sz="4" w:space="0"/>
              <w:left w:val="single" w:color="auto" w:sz="4" w:space="0"/>
              <w:right w:val="single" w:color="auto" w:sz="4" w:space="0"/>
            </w:tcBorders>
            <w:vAlign w:val="center"/>
          </w:tcPr>
          <w:p w14:paraId="775C55D8">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4F9FEA74">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43797EF6">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5157E9C8">
            <w:pPr>
              <w:jc w:val="center"/>
              <w:rPr>
                <w:rFonts w:ascii="宋体" w:hAnsi="宋体"/>
                <w:szCs w:val="21"/>
              </w:rPr>
            </w:pPr>
          </w:p>
        </w:tc>
      </w:tr>
      <w:tr w14:paraId="47DE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16D5D7CA">
            <w:pPr>
              <w:widowControl/>
              <w:jc w:val="center"/>
              <w:textAlignment w:val="center"/>
              <w:rPr>
                <w:rFonts w:ascii="宋体" w:hAnsi="宋体"/>
                <w:szCs w:val="21"/>
              </w:rPr>
            </w:pPr>
            <w:r>
              <w:rPr>
                <w:rFonts w:hint="eastAsia" w:ascii="宋体" w:hAnsi="宋体"/>
                <w:szCs w:val="21"/>
              </w:rPr>
              <w:t>...</w:t>
            </w:r>
          </w:p>
        </w:tc>
        <w:tc>
          <w:tcPr>
            <w:tcW w:w="2010" w:type="dxa"/>
            <w:tcBorders>
              <w:top w:val="single" w:color="auto" w:sz="4" w:space="0"/>
              <w:left w:val="single" w:color="auto" w:sz="4" w:space="0"/>
              <w:right w:val="single" w:color="auto" w:sz="4" w:space="0"/>
            </w:tcBorders>
            <w:vAlign w:val="center"/>
          </w:tcPr>
          <w:p w14:paraId="0BC86E98">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6613A078">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34219657">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3EABE93D">
            <w:pPr>
              <w:jc w:val="center"/>
              <w:rPr>
                <w:rFonts w:ascii="宋体" w:hAnsi="宋体"/>
                <w:szCs w:val="21"/>
              </w:rPr>
            </w:pPr>
          </w:p>
        </w:tc>
      </w:tr>
      <w:tr w14:paraId="7D0C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2D41CB4B">
            <w:pPr>
              <w:widowControl/>
              <w:jc w:val="center"/>
              <w:textAlignment w:val="center"/>
              <w:rPr>
                <w:rFonts w:ascii="宋体" w:hAnsi="宋体"/>
                <w:szCs w:val="21"/>
              </w:rPr>
            </w:pPr>
          </w:p>
        </w:tc>
        <w:tc>
          <w:tcPr>
            <w:tcW w:w="2010" w:type="dxa"/>
            <w:tcBorders>
              <w:top w:val="single" w:color="auto" w:sz="4" w:space="0"/>
              <w:left w:val="single" w:color="auto" w:sz="4" w:space="0"/>
              <w:right w:val="single" w:color="auto" w:sz="4" w:space="0"/>
            </w:tcBorders>
            <w:vAlign w:val="center"/>
          </w:tcPr>
          <w:p w14:paraId="14623820">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45AF8989">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117E8085">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2AECB7F8">
            <w:pPr>
              <w:jc w:val="center"/>
              <w:rPr>
                <w:rFonts w:ascii="宋体" w:hAnsi="宋体"/>
                <w:szCs w:val="21"/>
              </w:rPr>
            </w:pPr>
          </w:p>
        </w:tc>
      </w:tr>
      <w:tr w14:paraId="184E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182A6562">
            <w:pPr>
              <w:widowControl/>
              <w:jc w:val="center"/>
              <w:textAlignment w:val="center"/>
              <w:rPr>
                <w:rFonts w:ascii="宋体" w:hAnsi="宋体"/>
                <w:szCs w:val="21"/>
              </w:rPr>
            </w:pPr>
          </w:p>
        </w:tc>
        <w:tc>
          <w:tcPr>
            <w:tcW w:w="2010" w:type="dxa"/>
            <w:tcBorders>
              <w:top w:val="single" w:color="auto" w:sz="4" w:space="0"/>
              <w:left w:val="single" w:color="auto" w:sz="4" w:space="0"/>
              <w:right w:val="single" w:color="auto" w:sz="4" w:space="0"/>
            </w:tcBorders>
            <w:vAlign w:val="center"/>
          </w:tcPr>
          <w:p w14:paraId="1C935F22">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7A127AB7">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0149ED43">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7FC3ED63">
            <w:pPr>
              <w:jc w:val="center"/>
              <w:rPr>
                <w:rFonts w:ascii="宋体" w:hAnsi="宋体"/>
                <w:szCs w:val="21"/>
              </w:rPr>
            </w:pPr>
          </w:p>
        </w:tc>
      </w:tr>
      <w:tr w14:paraId="0B8B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61C4176A">
            <w:pPr>
              <w:widowControl/>
              <w:jc w:val="center"/>
              <w:textAlignment w:val="center"/>
              <w:rPr>
                <w:rFonts w:ascii="宋体" w:hAnsi="宋体"/>
                <w:szCs w:val="21"/>
              </w:rPr>
            </w:pPr>
          </w:p>
        </w:tc>
        <w:tc>
          <w:tcPr>
            <w:tcW w:w="2010" w:type="dxa"/>
            <w:tcBorders>
              <w:top w:val="single" w:color="auto" w:sz="4" w:space="0"/>
              <w:left w:val="single" w:color="auto" w:sz="4" w:space="0"/>
              <w:right w:val="single" w:color="auto" w:sz="4" w:space="0"/>
            </w:tcBorders>
            <w:vAlign w:val="center"/>
          </w:tcPr>
          <w:p w14:paraId="6DE2EF04">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2920076A">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5B4AB21F">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190ECFE4">
            <w:pPr>
              <w:jc w:val="center"/>
              <w:rPr>
                <w:rFonts w:ascii="宋体" w:hAnsi="宋体"/>
                <w:szCs w:val="21"/>
              </w:rPr>
            </w:pPr>
          </w:p>
        </w:tc>
      </w:tr>
      <w:tr w14:paraId="203A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2A5B083B">
            <w:pPr>
              <w:widowControl/>
              <w:jc w:val="center"/>
              <w:textAlignment w:val="center"/>
              <w:rPr>
                <w:rFonts w:ascii="宋体" w:hAnsi="宋体"/>
                <w:szCs w:val="21"/>
              </w:rPr>
            </w:pPr>
          </w:p>
        </w:tc>
        <w:tc>
          <w:tcPr>
            <w:tcW w:w="2010" w:type="dxa"/>
            <w:tcBorders>
              <w:top w:val="single" w:color="auto" w:sz="4" w:space="0"/>
              <w:left w:val="single" w:color="auto" w:sz="4" w:space="0"/>
              <w:right w:val="single" w:color="auto" w:sz="4" w:space="0"/>
            </w:tcBorders>
            <w:vAlign w:val="center"/>
          </w:tcPr>
          <w:p w14:paraId="5D8A8761">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64E8A518">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19F0892A">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1083A16E">
            <w:pPr>
              <w:jc w:val="center"/>
              <w:rPr>
                <w:rFonts w:ascii="宋体" w:hAnsi="宋体"/>
                <w:szCs w:val="21"/>
              </w:rPr>
            </w:pPr>
          </w:p>
        </w:tc>
      </w:tr>
      <w:tr w14:paraId="21FA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tcBorders>
              <w:top w:val="single" w:color="auto" w:sz="4" w:space="0"/>
              <w:left w:val="single" w:color="auto" w:sz="4" w:space="0"/>
              <w:right w:val="single" w:color="auto" w:sz="4" w:space="0"/>
            </w:tcBorders>
            <w:vAlign w:val="center"/>
          </w:tcPr>
          <w:p w14:paraId="2DD54835">
            <w:pPr>
              <w:widowControl/>
              <w:jc w:val="center"/>
              <w:textAlignment w:val="center"/>
              <w:rPr>
                <w:rFonts w:ascii="宋体" w:hAnsi="宋体"/>
                <w:szCs w:val="21"/>
              </w:rPr>
            </w:pPr>
          </w:p>
        </w:tc>
        <w:tc>
          <w:tcPr>
            <w:tcW w:w="2010" w:type="dxa"/>
            <w:tcBorders>
              <w:top w:val="single" w:color="auto" w:sz="4" w:space="0"/>
              <w:left w:val="single" w:color="auto" w:sz="4" w:space="0"/>
              <w:right w:val="single" w:color="auto" w:sz="4" w:space="0"/>
            </w:tcBorders>
            <w:vAlign w:val="center"/>
          </w:tcPr>
          <w:p w14:paraId="745A3C33">
            <w:pPr>
              <w:jc w:val="center"/>
              <w:rPr>
                <w:rFonts w:ascii="宋体" w:hAnsi="宋体"/>
                <w:sz w:val="22"/>
                <w:szCs w:val="22"/>
              </w:rPr>
            </w:pPr>
          </w:p>
        </w:tc>
        <w:tc>
          <w:tcPr>
            <w:tcW w:w="810" w:type="dxa"/>
            <w:tcBorders>
              <w:top w:val="single" w:color="auto" w:sz="4" w:space="0"/>
              <w:left w:val="single" w:color="auto" w:sz="4" w:space="0"/>
              <w:right w:val="single" w:color="auto" w:sz="4" w:space="0"/>
            </w:tcBorders>
            <w:vAlign w:val="center"/>
          </w:tcPr>
          <w:p w14:paraId="2F78B1D5">
            <w:pPr>
              <w:jc w:val="center"/>
              <w:rPr>
                <w:rFonts w:ascii="宋体" w:hAnsi="宋体"/>
                <w:szCs w:val="21"/>
              </w:rPr>
            </w:pPr>
          </w:p>
        </w:tc>
        <w:tc>
          <w:tcPr>
            <w:tcW w:w="2385" w:type="dxa"/>
            <w:tcBorders>
              <w:top w:val="single" w:color="auto" w:sz="4" w:space="0"/>
              <w:left w:val="single" w:color="auto" w:sz="4" w:space="0"/>
              <w:right w:val="single" w:color="auto" w:sz="4" w:space="0"/>
            </w:tcBorders>
            <w:vAlign w:val="center"/>
          </w:tcPr>
          <w:p w14:paraId="2B06634A">
            <w:pPr>
              <w:jc w:val="center"/>
              <w:rPr>
                <w:rFonts w:ascii="宋体" w:hAnsi="宋体"/>
                <w:szCs w:val="21"/>
              </w:rPr>
            </w:pPr>
          </w:p>
        </w:tc>
        <w:tc>
          <w:tcPr>
            <w:tcW w:w="3285" w:type="dxa"/>
            <w:tcBorders>
              <w:top w:val="single" w:color="auto" w:sz="4" w:space="0"/>
              <w:left w:val="single" w:color="auto" w:sz="4" w:space="0"/>
              <w:right w:val="single" w:color="auto" w:sz="4" w:space="0"/>
            </w:tcBorders>
            <w:vAlign w:val="center"/>
          </w:tcPr>
          <w:p w14:paraId="4B25728E">
            <w:pPr>
              <w:jc w:val="center"/>
              <w:rPr>
                <w:rFonts w:ascii="宋体" w:hAnsi="宋体"/>
                <w:szCs w:val="21"/>
              </w:rPr>
            </w:pPr>
          </w:p>
        </w:tc>
      </w:tr>
      <w:tr w14:paraId="1D1C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756" w:type="dxa"/>
            <w:gridSpan w:val="2"/>
            <w:tcBorders>
              <w:top w:val="single" w:color="auto" w:sz="4" w:space="0"/>
              <w:left w:val="single" w:color="auto" w:sz="4" w:space="0"/>
              <w:right w:val="single" w:color="auto" w:sz="4" w:space="0"/>
            </w:tcBorders>
            <w:vAlign w:val="center"/>
          </w:tcPr>
          <w:p w14:paraId="1A60876D">
            <w:pPr>
              <w:spacing w:line="400" w:lineRule="exact"/>
              <w:jc w:val="center"/>
              <w:rPr>
                <w:rFonts w:ascii="宋体" w:hAnsi="宋体"/>
                <w:szCs w:val="21"/>
              </w:rPr>
            </w:pPr>
            <w:r>
              <w:rPr>
                <w:rFonts w:hint="eastAsia" w:ascii="宋体" w:hAnsi="宋体" w:cs="宋体"/>
                <w:b/>
                <w:bCs/>
                <w:kern w:val="0"/>
                <w:sz w:val="22"/>
                <w:szCs w:val="24"/>
              </w:rPr>
              <w:t>投标总价（万元）</w:t>
            </w:r>
          </w:p>
        </w:tc>
        <w:tc>
          <w:tcPr>
            <w:tcW w:w="6480" w:type="dxa"/>
            <w:gridSpan w:val="3"/>
            <w:tcBorders>
              <w:top w:val="single" w:color="auto" w:sz="4" w:space="0"/>
              <w:left w:val="single" w:color="auto" w:sz="4" w:space="0"/>
              <w:right w:val="single" w:color="auto" w:sz="4" w:space="0"/>
            </w:tcBorders>
            <w:vAlign w:val="center"/>
          </w:tcPr>
          <w:p w14:paraId="32AF03DF">
            <w:pPr>
              <w:spacing w:line="400" w:lineRule="exact"/>
              <w:jc w:val="left"/>
              <w:rPr>
                <w:rFonts w:ascii="宋体" w:hAnsi="宋体" w:cs="宋体"/>
                <w:b/>
                <w:bCs/>
                <w:kern w:val="0"/>
                <w:sz w:val="22"/>
                <w:szCs w:val="24"/>
              </w:rPr>
            </w:pPr>
            <w:r>
              <w:rPr>
                <w:rFonts w:hint="eastAsia" w:ascii="宋体" w:hAnsi="宋体" w:cs="宋体"/>
                <w:b/>
                <w:bCs/>
                <w:kern w:val="0"/>
                <w:sz w:val="22"/>
                <w:szCs w:val="24"/>
              </w:rPr>
              <w:t>大写：</w:t>
            </w:r>
          </w:p>
          <w:p w14:paraId="6FE4A89C">
            <w:pPr>
              <w:spacing w:line="400" w:lineRule="exact"/>
              <w:jc w:val="left"/>
              <w:rPr>
                <w:rFonts w:ascii="宋体" w:hAnsi="宋体"/>
                <w:szCs w:val="21"/>
              </w:rPr>
            </w:pPr>
            <w:r>
              <w:rPr>
                <w:rFonts w:hint="eastAsia" w:ascii="宋体" w:hAnsi="宋体" w:cs="宋体"/>
                <w:b/>
                <w:bCs/>
                <w:kern w:val="0"/>
                <w:sz w:val="22"/>
                <w:szCs w:val="24"/>
              </w:rPr>
              <w:t>小写：</w:t>
            </w:r>
          </w:p>
        </w:tc>
      </w:tr>
    </w:tbl>
    <w:p w14:paraId="1FF038A8">
      <w:pPr>
        <w:spacing w:line="320" w:lineRule="exact"/>
        <w:rPr>
          <w:rFonts w:ascii="宋体" w:cs="宋体"/>
          <w:b/>
          <w:kern w:val="0"/>
          <w:sz w:val="22"/>
        </w:rPr>
      </w:pPr>
    </w:p>
    <w:p w14:paraId="2D962818">
      <w:pPr>
        <w:spacing w:line="360" w:lineRule="auto"/>
        <w:ind w:firstLine="420"/>
        <w:rPr>
          <w:rFonts w:ascii="宋体" w:hAnsi="宋体"/>
          <w:sz w:val="22"/>
          <w:szCs w:val="24"/>
        </w:rPr>
      </w:pPr>
      <w:r>
        <w:rPr>
          <w:rFonts w:hint="eastAsia" w:ascii="宋体" w:hAnsi="宋体"/>
          <w:b/>
          <w:bCs/>
          <w:kern w:val="0"/>
          <w:sz w:val="22"/>
          <w:szCs w:val="22"/>
        </w:rPr>
        <w:t>注：</w:t>
      </w:r>
      <w:r>
        <w:rPr>
          <w:rFonts w:hint="eastAsia" w:ascii="宋体" w:hAnsi="宋体"/>
          <w:sz w:val="22"/>
          <w:szCs w:val="24"/>
        </w:rPr>
        <w:t>1. 不提供此表格的将视为没有实质性响应招标文件。</w:t>
      </w:r>
    </w:p>
    <w:p w14:paraId="1F874252">
      <w:pPr>
        <w:spacing w:line="360" w:lineRule="auto"/>
        <w:ind w:firstLine="880" w:firstLineChars="400"/>
        <w:rPr>
          <w:rFonts w:ascii="宋体" w:hAnsi="宋体"/>
          <w:sz w:val="22"/>
          <w:szCs w:val="24"/>
        </w:rPr>
      </w:pPr>
      <w:r>
        <w:rPr>
          <w:rFonts w:hint="eastAsia" w:ascii="宋体" w:hAnsi="宋体"/>
          <w:sz w:val="22"/>
          <w:szCs w:val="24"/>
        </w:rPr>
        <w:t>2. 此表的投标总价应与附件一（一）“开标一览表”中的投标报价相一致。</w:t>
      </w:r>
    </w:p>
    <w:p w14:paraId="3397D04F">
      <w:pPr>
        <w:spacing w:line="360" w:lineRule="auto"/>
        <w:ind w:firstLine="883" w:firstLineChars="400"/>
        <w:rPr>
          <w:rFonts w:ascii="宋体"/>
          <w:b/>
          <w:bCs/>
          <w:kern w:val="0"/>
          <w:sz w:val="22"/>
          <w:szCs w:val="22"/>
        </w:rPr>
      </w:pPr>
      <w:r>
        <w:rPr>
          <w:rFonts w:hint="eastAsia" w:ascii="宋体" w:hAnsi="宋体"/>
          <w:b/>
          <w:bCs/>
          <w:sz w:val="22"/>
          <w:szCs w:val="24"/>
          <w:u w:val="single"/>
        </w:rPr>
        <w:t>3.▲投标供应商员最低工资不得低于本项目所在地标准。</w:t>
      </w:r>
      <w:r>
        <w:rPr>
          <w:rFonts w:ascii="宋体" w:hAnsi="宋体"/>
          <w:b/>
          <w:bCs/>
          <w:kern w:val="0"/>
          <w:sz w:val="22"/>
          <w:szCs w:val="22"/>
        </w:rPr>
        <w:t xml:space="preserve">          </w:t>
      </w:r>
    </w:p>
    <w:p w14:paraId="2137ABC8">
      <w:pPr>
        <w:spacing w:line="460" w:lineRule="atLeast"/>
        <w:ind w:firstLine="883" w:firstLineChars="400"/>
        <w:rPr>
          <w:rFonts w:ascii="宋体"/>
          <w:b/>
          <w:bCs/>
          <w:kern w:val="0"/>
          <w:sz w:val="22"/>
          <w:szCs w:val="22"/>
        </w:rPr>
      </w:pPr>
      <w:r>
        <w:rPr>
          <w:rFonts w:ascii="宋体" w:hAnsi="宋体"/>
          <w:b/>
          <w:bCs/>
          <w:kern w:val="0"/>
          <w:sz w:val="22"/>
          <w:szCs w:val="22"/>
        </w:rPr>
        <w:t xml:space="preserve">4. </w:t>
      </w:r>
      <w:r>
        <w:rPr>
          <w:rFonts w:hint="eastAsia" w:ascii="宋体" w:hAnsi="宋体"/>
          <w:b/>
          <w:bCs/>
          <w:kern w:val="0"/>
          <w:sz w:val="22"/>
          <w:szCs w:val="22"/>
        </w:rPr>
        <w:t>本表可以改变，按清单报价方式进行报价，格式由供应商自拟。</w:t>
      </w:r>
    </w:p>
    <w:p w14:paraId="19FBAB9C">
      <w:pPr>
        <w:snapToGrid w:val="0"/>
        <w:spacing w:line="500" w:lineRule="atLeast"/>
        <w:ind w:firstLine="550" w:firstLineChars="250"/>
        <w:rPr>
          <w:rFonts w:ascii="宋体" w:hAnsi="宋体"/>
          <w:kern w:val="0"/>
          <w:sz w:val="22"/>
        </w:rPr>
      </w:pPr>
    </w:p>
    <w:p w14:paraId="099454E8">
      <w:pPr>
        <w:snapToGrid w:val="0"/>
        <w:spacing w:line="500" w:lineRule="atLeast"/>
        <w:ind w:firstLine="550" w:firstLineChars="250"/>
        <w:rPr>
          <w:rFonts w:ascii="宋体"/>
          <w:kern w:val="0"/>
          <w:sz w:val="22"/>
        </w:rPr>
      </w:pPr>
      <w:r>
        <w:rPr>
          <w:rFonts w:hint="eastAsia" w:ascii="宋体" w:hAnsi="宋体"/>
          <w:kern w:val="0"/>
          <w:sz w:val="22"/>
        </w:rPr>
        <w:t>供应商（盖章）：</w:t>
      </w:r>
    </w:p>
    <w:p w14:paraId="66631118">
      <w:pPr>
        <w:snapToGrid w:val="0"/>
        <w:spacing w:line="500" w:lineRule="atLeast"/>
        <w:ind w:firstLine="550" w:firstLineChars="250"/>
        <w:rPr>
          <w:rFonts w:ascii="宋体"/>
          <w:kern w:val="0"/>
          <w:sz w:val="22"/>
        </w:rPr>
      </w:pPr>
      <w:r>
        <w:rPr>
          <w:rFonts w:hint="eastAsia" w:ascii="宋体" w:hAnsi="宋体"/>
          <w:kern w:val="0"/>
          <w:sz w:val="22"/>
          <w:lang w:val="zh-CN"/>
        </w:rPr>
        <w:t>法定代表人或授权代表（签字或盖章）：</w:t>
      </w:r>
      <w:r>
        <w:rPr>
          <w:rFonts w:ascii="宋体" w:hAnsi="宋体"/>
          <w:kern w:val="0"/>
          <w:sz w:val="22"/>
        </w:rPr>
        <w:t xml:space="preserve">                       </w:t>
      </w:r>
    </w:p>
    <w:p w14:paraId="59E18BA9">
      <w:pPr>
        <w:snapToGrid w:val="0"/>
        <w:spacing w:line="500" w:lineRule="atLeast"/>
        <w:ind w:firstLine="550" w:firstLineChars="250"/>
        <w:rPr>
          <w:rFonts w:ascii="宋体"/>
          <w:kern w:val="0"/>
          <w:sz w:val="22"/>
        </w:rPr>
      </w:pPr>
      <w:r>
        <w:rPr>
          <w:rFonts w:hint="eastAsia" w:ascii="宋体" w:hAnsi="宋体"/>
          <w:kern w:val="0"/>
          <w:sz w:val="22"/>
        </w:rPr>
        <w:t>日期：</w:t>
      </w:r>
    </w:p>
    <w:p w14:paraId="14A08C50">
      <w:pPr>
        <w:autoSpaceDE w:val="0"/>
        <w:autoSpaceDN w:val="0"/>
        <w:adjustRightInd w:val="0"/>
        <w:spacing w:line="460" w:lineRule="atLeast"/>
        <w:rPr>
          <w:rFonts w:ascii="宋体" w:hAnsi="宋体" w:cs="宋体"/>
          <w:b/>
          <w:bCs/>
          <w:sz w:val="30"/>
          <w:lang w:val="zh-CN"/>
        </w:rPr>
      </w:pPr>
    </w:p>
    <w:p w14:paraId="7AE01B6F">
      <w:pPr>
        <w:spacing w:line="440" w:lineRule="exact"/>
        <w:jc w:val="left"/>
        <w:rPr>
          <w:rFonts w:ascii="宋体" w:hAnsi="宋体"/>
          <w:b/>
          <w:sz w:val="32"/>
          <w:szCs w:val="32"/>
        </w:rPr>
      </w:pPr>
      <w:r>
        <w:rPr>
          <w:rFonts w:hint="eastAsia" w:ascii="宋体" w:hAnsi="宋体" w:cs="宋体"/>
          <w:b/>
          <w:bCs/>
          <w:sz w:val="30"/>
          <w:lang w:val="zh-CN"/>
        </w:rPr>
        <w:br w:type="page"/>
      </w:r>
      <w:r>
        <w:rPr>
          <w:rFonts w:hint="eastAsia" w:ascii="宋体" w:hAnsi="宋体"/>
          <w:b/>
          <w:sz w:val="32"/>
          <w:szCs w:val="32"/>
        </w:rPr>
        <w:t>附件二</w:t>
      </w:r>
    </w:p>
    <w:p w14:paraId="53B45F22">
      <w:pPr>
        <w:autoSpaceDE w:val="0"/>
        <w:autoSpaceDN w:val="0"/>
        <w:adjustRightInd w:val="0"/>
        <w:spacing w:line="460" w:lineRule="atLeast"/>
        <w:rPr>
          <w:rFonts w:ascii="宋体" w:hAnsi="宋体" w:cs="宋体"/>
          <w:sz w:val="36"/>
          <w:lang w:val="zh-CN"/>
        </w:rPr>
      </w:pPr>
    </w:p>
    <w:p w14:paraId="7E1068F7">
      <w:pPr>
        <w:autoSpaceDE w:val="0"/>
        <w:autoSpaceDN w:val="0"/>
        <w:adjustRightInd w:val="0"/>
        <w:spacing w:line="460" w:lineRule="atLeast"/>
        <w:jc w:val="center"/>
        <w:rPr>
          <w:rFonts w:ascii="宋体" w:hAnsi="宋体" w:cs="宋体"/>
          <w:sz w:val="32"/>
          <w:szCs w:val="32"/>
          <w:lang w:val="zh-CN"/>
        </w:rPr>
      </w:pPr>
      <w:r>
        <w:rPr>
          <w:rFonts w:hint="eastAsia" w:ascii="宋体" w:hAnsi="宋体" w:cs="宋体"/>
          <w:b/>
          <w:bCs/>
          <w:sz w:val="32"/>
          <w:szCs w:val="32"/>
          <w:lang w:val="zh-CN"/>
        </w:rPr>
        <w:t>具有履行合同所必需的设备和专业技术能力的承诺函</w:t>
      </w:r>
    </w:p>
    <w:p w14:paraId="65426684">
      <w:pPr>
        <w:spacing w:line="460" w:lineRule="exact"/>
        <w:rPr>
          <w:rFonts w:ascii="宋体" w:hAnsi="宋体" w:cs="宋体"/>
          <w:sz w:val="22"/>
          <w:u w:val="single"/>
        </w:rPr>
      </w:pPr>
      <w:r>
        <w:rPr>
          <w:rFonts w:hint="eastAsia" w:ascii="宋体" w:hAnsi="宋体" w:cs="宋体"/>
          <w:sz w:val="22"/>
          <w:u w:val="single"/>
        </w:rPr>
        <w:t>泰顺县南浦溪新农村建设投资有限公司、浙江金穗工程项目管理有限公司：</w:t>
      </w:r>
    </w:p>
    <w:p w14:paraId="126BA922">
      <w:pPr>
        <w:widowControl/>
        <w:snapToGrid w:val="0"/>
        <w:spacing w:line="460" w:lineRule="exact"/>
        <w:ind w:firstLine="440" w:firstLineChars="200"/>
        <w:jc w:val="left"/>
        <w:rPr>
          <w:rFonts w:ascii="宋体" w:hAnsi="宋体" w:cs="宋体"/>
          <w:sz w:val="22"/>
        </w:rPr>
      </w:pPr>
    </w:p>
    <w:p w14:paraId="0A8582DC">
      <w:pPr>
        <w:widowControl/>
        <w:snapToGrid w:val="0"/>
        <w:spacing w:line="460" w:lineRule="exact"/>
        <w:ind w:firstLine="440" w:firstLineChars="200"/>
        <w:jc w:val="left"/>
        <w:rPr>
          <w:rFonts w:ascii="宋体" w:hAnsi="宋体" w:cs="宋体"/>
          <w:sz w:val="22"/>
        </w:rPr>
      </w:pPr>
      <w:r>
        <w:rPr>
          <w:rFonts w:hint="eastAsia" w:ascii="宋体" w:hAnsi="宋体" w:cs="宋体"/>
          <w:sz w:val="22"/>
        </w:rPr>
        <w:t>我方</w:t>
      </w:r>
      <w:r>
        <w:rPr>
          <w:rFonts w:hint="eastAsia" w:ascii="宋体" w:hAnsi="宋体" w:cs="宋体"/>
          <w:sz w:val="22"/>
          <w:u w:val="single"/>
        </w:rPr>
        <w:t xml:space="preserve"> （供应商）  </w:t>
      </w:r>
      <w:r>
        <w:rPr>
          <w:rFonts w:hint="eastAsia" w:ascii="宋体" w:hAnsi="宋体" w:cs="宋体"/>
          <w:sz w:val="22"/>
        </w:rPr>
        <w:t>承诺具有履行合同所必需的设备和专业技术能力。如有虚假，采购人可取消我方任何资格（投标/中标/签订合同），我方对此无任何异议。</w:t>
      </w:r>
    </w:p>
    <w:p w14:paraId="44EBAE8C">
      <w:pPr>
        <w:widowControl/>
        <w:snapToGrid w:val="0"/>
        <w:spacing w:line="460" w:lineRule="exact"/>
        <w:ind w:firstLine="440" w:firstLineChars="200"/>
        <w:jc w:val="left"/>
        <w:rPr>
          <w:rFonts w:ascii="宋体" w:hAnsi="宋体" w:cs="宋体"/>
          <w:sz w:val="22"/>
        </w:rPr>
      </w:pPr>
    </w:p>
    <w:p w14:paraId="51C8023D">
      <w:pPr>
        <w:widowControl/>
        <w:snapToGrid w:val="0"/>
        <w:spacing w:line="460" w:lineRule="exact"/>
        <w:ind w:firstLine="440" w:firstLineChars="200"/>
        <w:jc w:val="left"/>
        <w:rPr>
          <w:rFonts w:ascii="宋体" w:hAnsi="宋体" w:cs="宋体"/>
          <w:sz w:val="22"/>
        </w:rPr>
      </w:pPr>
      <w:r>
        <w:rPr>
          <w:rFonts w:hint="eastAsia" w:ascii="宋体" w:hAnsi="宋体" w:cs="宋体"/>
          <w:sz w:val="22"/>
        </w:rPr>
        <w:t>特此承诺！</w:t>
      </w:r>
    </w:p>
    <w:p w14:paraId="7D22B40C">
      <w:pPr>
        <w:widowControl/>
        <w:snapToGrid w:val="0"/>
        <w:spacing w:line="460" w:lineRule="exact"/>
        <w:ind w:firstLine="440" w:firstLineChars="200"/>
        <w:jc w:val="left"/>
        <w:rPr>
          <w:rFonts w:ascii="宋体" w:hAnsi="宋体" w:cs="宋体"/>
          <w:sz w:val="22"/>
        </w:rPr>
      </w:pPr>
    </w:p>
    <w:p w14:paraId="3A004F4C">
      <w:pPr>
        <w:pStyle w:val="16"/>
        <w:spacing w:line="440" w:lineRule="atLeast"/>
        <w:rPr>
          <w:rFonts w:hAnsi="宋体"/>
          <w:b/>
          <w:sz w:val="22"/>
        </w:rPr>
      </w:pPr>
      <w:r>
        <w:rPr>
          <w:rFonts w:hint="eastAsia" w:hAnsi="宋体"/>
          <w:sz w:val="22"/>
        </w:rPr>
        <w:t>供应商全称：（盖章）</w:t>
      </w:r>
    </w:p>
    <w:p w14:paraId="0A1491E5">
      <w:pPr>
        <w:pStyle w:val="16"/>
        <w:spacing w:line="440" w:lineRule="atLeast"/>
        <w:rPr>
          <w:rFonts w:hAnsi="宋体"/>
          <w:b/>
          <w:sz w:val="22"/>
          <w:lang w:val="zh-CN"/>
        </w:rPr>
      </w:pPr>
      <w:r>
        <w:rPr>
          <w:rFonts w:hint="eastAsia" w:hAnsi="宋体"/>
          <w:sz w:val="22"/>
        </w:rPr>
        <w:t>法定代表人（签字或盖章）或</w:t>
      </w:r>
      <w:r>
        <w:rPr>
          <w:rFonts w:hint="eastAsia" w:hAnsi="宋体"/>
          <w:sz w:val="22"/>
          <w:lang w:val="zh-CN"/>
        </w:rPr>
        <w:t>授权代表（签字）：</w:t>
      </w:r>
    </w:p>
    <w:p w14:paraId="4168183D">
      <w:pPr>
        <w:pStyle w:val="16"/>
        <w:spacing w:line="440" w:lineRule="atLeast"/>
        <w:rPr>
          <w:rFonts w:hAnsi="宋体"/>
          <w:b/>
          <w:sz w:val="22"/>
          <w:lang w:val="zh-CN"/>
        </w:rPr>
      </w:pPr>
      <w:r>
        <w:rPr>
          <w:rFonts w:hint="eastAsia" w:hAnsi="宋体"/>
          <w:sz w:val="22"/>
        </w:rPr>
        <w:t>日期：</w:t>
      </w:r>
    </w:p>
    <w:p w14:paraId="1CB09BC0">
      <w:pPr>
        <w:widowControl/>
        <w:snapToGrid w:val="0"/>
        <w:spacing w:line="460" w:lineRule="exact"/>
        <w:ind w:firstLine="440" w:firstLineChars="200"/>
        <w:jc w:val="left"/>
        <w:rPr>
          <w:rFonts w:ascii="宋体" w:hAnsi="宋体" w:cs="宋体"/>
          <w:sz w:val="22"/>
        </w:rPr>
      </w:pPr>
    </w:p>
    <w:p w14:paraId="03A36CA2">
      <w:pPr>
        <w:autoSpaceDE w:val="0"/>
        <w:autoSpaceDN w:val="0"/>
        <w:adjustRightInd w:val="0"/>
        <w:spacing w:line="460" w:lineRule="atLeast"/>
        <w:rPr>
          <w:rFonts w:ascii="宋体" w:hAnsi="宋体" w:cs="宋体"/>
          <w:sz w:val="36"/>
        </w:rPr>
      </w:pPr>
    </w:p>
    <w:p w14:paraId="45DCAAA8">
      <w:pPr>
        <w:autoSpaceDE w:val="0"/>
        <w:autoSpaceDN w:val="0"/>
        <w:adjustRightInd w:val="0"/>
        <w:spacing w:line="460" w:lineRule="atLeast"/>
        <w:rPr>
          <w:rFonts w:ascii="宋体" w:hAnsi="宋体" w:cs="宋体"/>
          <w:sz w:val="36"/>
        </w:rPr>
      </w:pPr>
    </w:p>
    <w:p w14:paraId="4E763E98">
      <w:pPr>
        <w:autoSpaceDE w:val="0"/>
        <w:autoSpaceDN w:val="0"/>
        <w:adjustRightInd w:val="0"/>
        <w:spacing w:line="460" w:lineRule="atLeast"/>
        <w:rPr>
          <w:rFonts w:ascii="宋体" w:hAnsi="宋体" w:cs="宋体"/>
          <w:sz w:val="36"/>
        </w:rPr>
      </w:pPr>
    </w:p>
    <w:p w14:paraId="7E416DED">
      <w:pPr>
        <w:autoSpaceDE w:val="0"/>
        <w:autoSpaceDN w:val="0"/>
        <w:adjustRightInd w:val="0"/>
        <w:spacing w:line="460" w:lineRule="atLeast"/>
        <w:rPr>
          <w:rFonts w:ascii="宋体" w:hAnsi="宋体" w:cs="宋体"/>
          <w:sz w:val="36"/>
        </w:rPr>
      </w:pPr>
    </w:p>
    <w:p w14:paraId="44435E0B">
      <w:pPr>
        <w:autoSpaceDE w:val="0"/>
        <w:autoSpaceDN w:val="0"/>
        <w:adjustRightInd w:val="0"/>
        <w:spacing w:line="460" w:lineRule="atLeast"/>
        <w:rPr>
          <w:rFonts w:ascii="宋体" w:hAnsi="宋体" w:cs="宋体"/>
          <w:sz w:val="36"/>
        </w:rPr>
      </w:pPr>
    </w:p>
    <w:p w14:paraId="337D958B">
      <w:pPr>
        <w:autoSpaceDE w:val="0"/>
        <w:autoSpaceDN w:val="0"/>
        <w:adjustRightInd w:val="0"/>
        <w:spacing w:line="460" w:lineRule="atLeast"/>
        <w:rPr>
          <w:rFonts w:ascii="宋体" w:hAnsi="宋体" w:cs="宋体"/>
          <w:sz w:val="36"/>
        </w:rPr>
      </w:pPr>
    </w:p>
    <w:p w14:paraId="45AEFF7A">
      <w:pPr>
        <w:autoSpaceDE w:val="0"/>
        <w:autoSpaceDN w:val="0"/>
        <w:adjustRightInd w:val="0"/>
        <w:spacing w:line="460" w:lineRule="atLeast"/>
        <w:rPr>
          <w:rFonts w:ascii="宋体" w:hAnsi="宋体" w:cs="宋体"/>
          <w:sz w:val="36"/>
        </w:rPr>
      </w:pPr>
    </w:p>
    <w:p w14:paraId="634181A5">
      <w:pPr>
        <w:autoSpaceDE w:val="0"/>
        <w:autoSpaceDN w:val="0"/>
        <w:adjustRightInd w:val="0"/>
        <w:spacing w:line="460" w:lineRule="atLeast"/>
        <w:rPr>
          <w:rFonts w:ascii="宋体" w:hAnsi="宋体" w:cs="宋体"/>
          <w:sz w:val="36"/>
        </w:rPr>
      </w:pPr>
    </w:p>
    <w:p w14:paraId="28252A66">
      <w:pPr>
        <w:autoSpaceDE w:val="0"/>
        <w:autoSpaceDN w:val="0"/>
        <w:adjustRightInd w:val="0"/>
        <w:spacing w:line="460" w:lineRule="atLeast"/>
        <w:rPr>
          <w:rFonts w:ascii="宋体" w:hAnsi="宋体" w:cs="宋体"/>
          <w:sz w:val="36"/>
        </w:rPr>
      </w:pPr>
    </w:p>
    <w:p w14:paraId="72ABC361">
      <w:pPr>
        <w:autoSpaceDE w:val="0"/>
        <w:autoSpaceDN w:val="0"/>
        <w:adjustRightInd w:val="0"/>
        <w:spacing w:line="460" w:lineRule="atLeast"/>
        <w:rPr>
          <w:rFonts w:ascii="宋体" w:hAnsi="宋体" w:cs="宋体"/>
          <w:b/>
          <w:bCs/>
          <w:sz w:val="30"/>
          <w:lang w:val="zh-CN"/>
        </w:rPr>
      </w:pPr>
    </w:p>
    <w:p w14:paraId="660F70AC">
      <w:pPr>
        <w:spacing w:line="440" w:lineRule="exact"/>
        <w:jc w:val="left"/>
        <w:rPr>
          <w:rFonts w:ascii="宋体" w:hAnsi="宋体"/>
          <w:b/>
          <w:sz w:val="32"/>
          <w:szCs w:val="32"/>
        </w:rPr>
      </w:pPr>
      <w:r>
        <w:rPr>
          <w:rFonts w:hint="eastAsia" w:ascii="宋体" w:hAnsi="宋体"/>
          <w:b/>
          <w:sz w:val="32"/>
          <w:szCs w:val="32"/>
        </w:rPr>
        <w:t>附件三</w:t>
      </w:r>
    </w:p>
    <w:p w14:paraId="26B28D7F">
      <w:pPr>
        <w:jc w:val="center"/>
        <w:rPr>
          <w:rFonts w:ascii="宋体"/>
          <w:sz w:val="36"/>
          <w:szCs w:val="36"/>
          <w:lang w:val="zh-CN"/>
        </w:rPr>
      </w:pPr>
    </w:p>
    <w:p w14:paraId="243A573B">
      <w:pPr>
        <w:jc w:val="center"/>
        <w:rPr>
          <w:rFonts w:ascii="宋体"/>
          <w:sz w:val="36"/>
          <w:szCs w:val="36"/>
          <w:lang w:val="zh-CN"/>
        </w:rPr>
      </w:pPr>
    </w:p>
    <w:p w14:paraId="2FF9A773">
      <w:pPr>
        <w:jc w:val="center"/>
        <w:rPr>
          <w:rFonts w:ascii="宋体"/>
          <w:sz w:val="36"/>
          <w:szCs w:val="36"/>
        </w:rPr>
      </w:pPr>
      <w:r>
        <w:rPr>
          <w:rFonts w:hint="eastAsia" w:ascii="宋体"/>
          <w:sz w:val="36"/>
          <w:szCs w:val="36"/>
        </w:rPr>
        <w:t>依法缴纳税收和社会保障资金的承诺函</w:t>
      </w:r>
    </w:p>
    <w:p w14:paraId="34304A2D">
      <w:pPr>
        <w:spacing w:line="360" w:lineRule="auto"/>
        <w:rPr>
          <w:rFonts w:ascii="仿宋" w:hAnsi="仿宋" w:eastAsia="仿宋" w:cs="Arial"/>
          <w:b/>
          <w:w w:val="90"/>
          <w:sz w:val="28"/>
          <w:szCs w:val="24"/>
          <w:u w:val="single"/>
        </w:rPr>
      </w:pPr>
    </w:p>
    <w:p w14:paraId="15169789">
      <w:pPr>
        <w:spacing w:line="360" w:lineRule="auto"/>
        <w:rPr>
          <w:rFonts w:ascii="宋体" w:hAnsi="宋体"/>
          <w:sz w:val="22"/>
          <w:szCs w:val="24"/>
          <w:u w:val="single"/>
        </w:rPr>
      </w:pPr>
      <w:r>
        <w:rPr>
          <w:rFonts w:hint="eastAsia" w:ascii="宋体" w:hAnsi="宋体"/>
          <w:sz w:val="22"/>
          <w:szCs w:val="24"/>
          <w:u w:val="single"/>
        </w:rPr>
        <w:t>泰顺县南浦溪新农村建设投资有限公司、浙江金穗工程项目管理有限公司：</w:t>
      </w:r>
    </w:p>
    <w:p w14:paraId="1CC93870">
      <w:pPr>
        <w:spacing w:line="360" w:lineRule="auto"/>
        <w:rPr>
          <w:rFonts w:ascii="仿宋" w:hAnsi="仿宋" w:eastAsia="仿宋" w:cs="Arial"/>
          <w:sz w:val="32"/>
          <w:szCs w:val="28"/>
        </w:rPr>
      </w:pPr>
    </w:p>
    <w:p w14:paraId="37FE49BA">
      <w:pPr>
        <w:spacing w:line="460" w:lineRule="exact"/>
        <w:ind w:firstLine="440" w:firstLineChars="200"/>
        <w:rPr>
          <w:rFonts w:ascii="宋体" w:hAnsi="宋体" w:cs="黑体"/>
          <w:sz w:val="22"/>
          <w:szCs w:val="24"/>
        </w:rPr>
      </w:pPr>
      <w:r>
        <w:rPr>
          <w:rFonts w:hint="eastAsia" w:ascii="宋体" w:hAnsi="宋体" w:cs="黑体"/>
          <w:sz w:val="22"/>
          <w:szCs w:val="24"/>
        </w:rPr>
        <w:t>我公司郑重声明，我公司严格依法缴纳税收和社会保障资金，本文件中所提供的相关材料均真实有效，不存在虚假、造假行为。如有违反，愿承担一切责任。</w:t>
      </w:r>
    </w:p>
    <w:p w14:paraId="597E93D7">
      <w:pPr>
        <w:spacing w:line="360" w:lineRule="auto"/>
        <w:rPr>
          <w:rFonts w:ascii="宋体" w:hAnsi="宋体"/>
          <w:sz w:val="22"/>
          <w:szCs w:val="24"/>
        </w:rPr>
      </w:pPr>
    </w:p>
    <w:p w14:paraId="7C835567">
      <w:pPr>
        <w:spacing w:line="360" w:lineRule="auto"/>
        <w:ind w:firstLine="440" w:firstLineChars="200"/>
        <w:rPr>
          <w:rFonts w:ascii="宋体" w:hAnsi="宋体"/>
          <w:sz w:val="22"/>
          <w:szCs w:val="24"/>
        </w:rPr>
      </w:pPr>
      <w:r>
        <w:rPr>
          <w:rFonts w:hint="eastAsia" w:ascii="宋体" w:hAnsi="宋体"/>
          <w:sz w:val="22"/>
          <w:szCs w:val="24"/>
        </w:rPr>
        <w:t>特此承诺！</w:t>
      </w:r>
    </w:p>
    <w:p w14:paraId="337B4113">
      <w:pPr>
        <w:spacing w:line="360" w:lineRule="auto"/>
        <w:ind w:firstLine="420" w:firstLineChars="200"/>
        <w:rPr>
          <w:rFonts w:ascii="仿宋" w:hAnsi="仿宋" w:eastAsia="仿宋" w:cs="Arial"/>
          <w:szCs w:val="24"/>
        </w:rPr>
      </w:pPr>
    </w:p>
    <w:p w14:paraId="5CB6B1B6">
      <w:pPr>
        <w:spacing w:line="360" w:lineRule="auto"/>
        <w:ind w:firstLine="420" w:firstLineChars="200"/>
        <w:rPr>
          <w:rFonts w:ascii="仿宋" w:hAnsi="仿宋" w:eastAsia="仿宋" w:cs="Arial"/>
          <w:szCs w:val="24"/>
        </w:rPr>
      </w:pPr>
    </w:p>
    <w:p w14:paraId="07E0DBDE">
      <w:pPr>
        <w:spacing w:line="360" w:lineRule="auto"/>
        <w:ind w:firstLine="420" w:firstLineChars="200"/>
        <w:rPr>
          <w:rFonts w:ascii="仿宋" w:hAnsi="仿宋" w:eastAsia="仿宋" w:cs="Arial"/>
          <w:szCs w:val="24"/>
        </w:rPr>
      </w:pPr>
    </w:p>
    <w:p w14:paraId="5EE446E2">
      <w:pPr>
        <w:spacing w:line="460" w:lineRule="atLeast"/>
        <w:ind w:firstLine="770" w:firstLineChars="350"/>
        <w:rPr>
          <w:rFonts w:ascii="宋体" w:hAnsi="宋体"/>
          <w:sz w:val="22"/>
          <w:szCs w:val="22"/>
        </w:rPr>
      </w:pPr>
      <w:r>
        <w:rPr>
          <w:rFonts w:hint="eastAsia" w:ascii="宋体" w:hAnsi="宋体"/>
          <w:sz w:val="22"/>
          <w:szCs w:val="22"/>
        </w:rPr>
        <w:t>供应商全称（盖章）：</w:t>
      </w:r>
    </w:p>
    <w:p w14:paraId="7C0188EA">
      <w:pPr>
        <w:spacing w:line="460" w:lineRule="atLeast"/>
        <w:ind w:firstLine="770" w:firstLineChars="350"/>
        <w:rPr>
          <w:rFonts w:ascii="宋体" w:hAnsi="宋体"/>
          <w:sz w:val="22"/>
          <w:szCs w:val="22"/>
        </w:rPr>
      </w:pPr>
      <w:r>
        <w:rPr>
          <w:rFonts w:hint="eastAsia" w:ascii="宋体" w:hAnsi="宋体"/>
          <w:sz w:val="22"/>
          <w:szCs w:val="22"/>
        </w:rPr>
        <w:t>法定代表人（签字或盖章）或授权代表（签字或盖章）：</w:t>
      </w:r>
    </w:p>
    <w:p w14:paraId="786E4DEC">
      <w:pPr>
        <w:spacing w:line="460" w:lineRule="atLeast"/>
        <w:ind w:firstLine="770" w:firstLineChars="350"/>
        <w:rPr>
          <w:rFonts w:ascii="宋体" w:hAnsi="宋体"/>
          <w:sz w:val="22"/>
          <w:szCs w:val="22"/>
        </w:rPr>
      </w:pPr>
      <w:r>
        <w:rPr>
          <w:rFonts w:hint="eastAsia" w:ascii="宋体" w:hAnsi="宋体"/>
          <w:sz w:val="22"/>
          <w:szCs w:val="22"/>
        </w:rPr>
        <w:t>日期：</w:t>
      </w:r>
    </w:p>
    <w:p w14:paraId="4060E4B7">
      <w:pPr>
        <w:spacing w:line="460" w:lineRule="atLeast"/>
        <w:ind w:firstLine="773" w:firstLineChars="350"/>
        <w:rPr>
          <w:rFonts w:ascii="宋体" w:hAnsi="宋体"/>
          <w:b/>
          <w:bCs/>
          <w:sz w:val="22"/>
          <w:szCs w:val="22"/>
        </w:rPr>
      </w:pPr>
    </w:p>
    <w:p w14:paraId="4B4D39BC">
      <w:pPr>
        <w:spacing w:line="460" w:lineRule="atLeast"/>
        <w:ind w:firstLine="773" w:firstLineChars="350"/>
        <w:rPr>
          <w:rFonts w:ascii="宋体" w:hAnsi="宋体"/>
          <w:b/>
          <w:bCs/>
          <w:sz w:val="22"/>
          <w:szCs w:val="22"/>
        </w:rPr>
      </w:pPr>
    </w:p>
    <w:p w14:paraId="255F1708">
      <w:pPr>
        <w:spacing w:line="440" w:lineRule="exact"/>
        <w:jc w:val="left"/>
        <w:rPr>
          <w:rFonts w:hAnsi="宋体"/>
          <w:b/>
          <w:bCs/>
          <w:sz w:val="22"/>
          <w:szCs w:val="24"/>
          <w:u w:val="single"/>
        </w:rPr>
      </w:pPr>
      <w:r>
        <w:rPr>
          <w:rFonts w:hint="eastAsia" w:hAnsi="宋体" w:cs="仿宋_GB2312"/>
          <w:b/>
          <w:sz w:val="22"/>
          <w:szCs w:val="24"/>
          <w:u w:val="single"/>
          <w:lang w:val="zh-CN"/>
        </w:rPr>
        <w:t>备注</w:t>
      </w:r>
      <w:r>
        <w:rPr>
          <w:rFonts w:hint="eastAsia" w:hAnsi="宋体"/>
          <w:b/>
          <w:bCs/>
          <w:sz w:val="22"/>
          <w:szCs w:val="24"/>
          <w:u w:val="single"/>
        </w:rPr>
        <w:t>：承诺函后附近期依法缴纳税收的证明材料、依法缴纳社保的证明材料（新成立单位，应提供情况说明）</w:t>
      </w:r>
    </w:p>
    <w:p w14:paraId="637FF71F">
      <w:pPr>
        <w:widowControl/>
        <w:snapToGrid w:val="0"/>
        <w:spacing w:line="460" w:lineRule="exact"/>
        <w:ind w:firstLine="440" w:firstLineChars="200"/>
        <w:jc w:val="left"/>
        <w:rPr>
          <w:rFonts w:ascii="宋体" w:hAnsi="宋体" w:cs="宋体"/>
          <w:sz w:val="22"/>
        </w:rPr>
      </w:pPr>
      <w:r>
        <w:rPr>
          <w:rFonts w:hint="eastAsia" w:ascii="宋体" w:hAnsi="宋体" w:cs="宋体"/>
          <w:sz w:val="22"/>
        </w:rPr>
        <w:t xml:space="preserve"> </w:t>
      </w:r>
    </w:p>
    <w:p w14:paraId="73DA4BFC">
      <w:pPr>
        <w:autoSpaceDE w:val="0"/>
        <w:autoSpaceDN w:val="0"/>
        <w:adjustRightInd w:val="0"/>
        <w:spacing w:line="460" w:lineRule="atLeast"/>
        <w:rPr>
          <w:rFonts w:ascii="宋体" w:hAnsi="宋体" w:cs="宋体"/>
          <w:sz w:val="36"/>
        </w:rPr>
      </w:pPr>
    </w:p>
    <w:p w14:paraId="2B783A63">
      <w:pPr>
        <w:snapToGrid w:val="0"/>
        <w:spacing w:line="500" w:lineRule="atLeast"/>
        <w:rPr>
          <w:rFonts w:ascii="宋体" w:hAnsi="宋体" w:cs="宋体"/>
          <w:sz w:val="30"/>
          <w:szCs w:val="30"/>
        </w:rPr>
      </w:pPr>
    </w:p>
    <w:p w14:paraId="172887C3">
      <w:pPr>
        <w:spacing w:line="360" w:lineRule="exact"/>
        <w:jc w:val="left"/>
        <w:rPr>
          <w:rFonts w:ascii="宋体" w:hAnsi="宋体" w:cs="宋体"/>
          <w:b/>
          <w:bCs/>
          <w:sz w:val="30"/>
        </w:rPr>
      </w:pPr>
    </w:p>
    <w:p w14:paraId="44C4EF01">
      <w:pPr>
        <w:spacing w:line="440" w:lineRule="exact"/>
        <w:jc w:val="left"/>
        <w:rPr>
          <w:rFonts w:ascii="宋体" w:hAnsi="宋体"/>
          <w:b/>
          <w:sz w:val="32"/>
          <w:szCs w:val="32"/>
        </w:rPr>
      </w:pPr>
    </w:p>
    <w:p w14:paraId="7781F373">
      <w:pPr>
        <w:spacing w:line="440" w:lineRule="exact"/>
        <w:jc w:val="left"/>
        <w:rPr>
          <w:rFonts w:ascii="宋体" w:hAnsi="宋体"/>
          <w:b/>
          <w:sz w:val="32"/>
          <w:szCs w:val="32"/>
        </w:rPr>
      </w:pPr>
    </w:p>
    <w:p w14:paraId="22450CE6">
      <w:pPr>
        <w:spacing w:line="440" w:lineRule="exact"/>
        <w:jc w:val="left"/>
        <w:rPr>
          <w:rFonts w:ascii="宋体" w:hAnsi="宋体"/>
          <w:b/>
          <w:sz w:val="32"/>
          <w:szCs w:val="32"/>
        </w:rPr>
      </w:pPr>
    </w:p>
    <w:p w14:paraId="58C8D7A0">
      <w:pPr>
        <w:spacing w:line="440" w:lineRule="exact"/>
        <w:jc w:val="left"/>
        <w:rPr>
          <w:rFonts w:ascii="宋体" w:hAnsi="宋体"/>
          <w:b/>
          <w:sz w:val="32"/>
          <w:szCs w:val="32"/>
        </w:rPr>
      </w:pPr>
      <w:r>
        <w:rPr>
          <w:rFonts w:hint="eastAsia" w:ascii="宋体" w:hAnsi="宋体"/>
          <w:b/>
          <w:sz w:val="32"/>
          <w:szCs w:val="32"/>
        </w:rPr>
        <w:t>附件四</w:t>
      </w:r>
    </w:p>
    <w:p w14:paraId="2F76438A">
      <w:pPr>
        <w:jc w:val="center"/>
        <w:rPr>
          <w:rFonts w:ascii="宋体"/>
          <w:sz w:val="36"/>
          <w:szCs w:val="36"/>
          <w:lang w:val="zh-CN"/>
        </w:rPr>
      </w:pPr>
    </w:p>
    <w:p w14:paraId="26262FB4">
      <w:pPr>
        <w:jc w:val="center"/>
        <w:rPr>
          <w:rFonts w:ascii="宋体"/>
          <w:sz w:val="36"/>
          <w:szCs w:val="36"/>
        </w:rPr>
      </w:pPr>
      <w:r>
        <w:rPr>
          <w:rFonts w:hint="eastAsia" w:ascii="宋体"/>
          <w:sz w:val="36"/>
          <w:szCs w:val="36"/>
          <w:lang w:val="zh-CN"/>
        </w:rPr>
        <w:t>参加国企采购活动前3年内在经营活动中没有重大违法记录的声明函</w:t>
      </w:r>
    </w:p>
    <w:p w14:paraId="6FA25BBF">
      <w:pPr>
        <w:jc w:val="left"/>
        <w:rPr>
          <w:rFonts w:ascii="宋体" w:hAnsi="宋体"/>
          <w:sz w:val="22"/>
          <w:szCs w:val="24"/>
          <w:u w:val="single"/>
        </w:rPr>
      </w:pPr>
    </w:p>
    <w:p w14:paraId="7B3ADFDB">
      <w:pPr>
        <w:jc w:val="left"/>
        <w:rPr>
          <w:rFonts w:ascii="宋体" w:hAnsi="宋体"/>
          <w:sz w:val="22"/>
          <w:szCs w:val="24"/>
          <w:u w:val="single"/>
        </w:rPr>
      </w:pPr>
      <w:r>
        <w:rPr>
          <w:rFonts w:hint="eastAsia" w:ascii="宋体" w:hAnsi="宋体"/>
          <w:sz w:val="22"/>
          <w:szCs w:val="24"/>
          <w:u w:val="single"/>
        </w:rPr>
        <w:t>泰顺县南浦溪新农村建设投资有限公司、浙江金穗工程项目管理有限公司：</w:t>
      </w:r>
    </w:p>
    <w:p w14:paraId="3121264D">
      <w:pPr>
        <w:spacing w:line="460" w:lineRule="exact"/>
        <w:ind w:firstLine="440" w:firstLineChars="200"/>
        <w:rPr>
          <w:rFonts w:ascii="宋体" w:hAnsi="宋体" w:cs="黑体"/>
          <w:sz w:val="22"/>
          <w:szCs w:val="24"/>
          <w:lang w:val="zh-CN"/>
        </w:rPr>
      </w:pPr>
      <w:r>
        <w:rPr>
          <w:rFonts w:hint="eastAsia" w:ascii="宋体" w:hAnsi="宋体" w:cs="黑体"/>
          <w:sz w:val="22"/>
          <w:szCs w:val="24"/>
          <w:lang w:val="zh-CN"/>
        </w:rPr>
        <w:t>我方</w:t>
      </w:r>
      <w:r>
        <w:rPr>
          <w:rFonts w:hint="eastAsia" w:ascii="宋体" w:hAnsi="宋体" w:cs="黑体"/>
          <w:sz w:val="22"/>
          <w:szCs w:val="24"/>
          <w:u w:val="single"/>
          <w:lang w:val="zh-CN"/>
        </w:rPr>
        <w:t xml:space="preserve"> （投标供应商）</w:t>
      </w:r>
      <w:r>
        <w:rPr>
          <w:rFonts w:hint="eastAsia" w:ascii="宋体" w:hAnsi="宋体" w:cs="黑体"/>
          <w:sz w:val="22"/>
          <w:szCs w:val="24"/>
          <w:u w:val="single"/>
        </w:rPr>
        <w:t xml:space="preserve">  </w:t>
      </w:r>
      <w:r>
        <w:rPr>
          <w:rFonts w:hint="eastAsia" w:ascii="宋体" w:hAnsi="宋体" w:cs="黑体"/>
          <w:sz w:val="22"/>
          <w:szCs w:val="24"/>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5F7B59DA">
      <w:pPr>
        <w:spacing w:line="460" w:lineRule="exact"/>
        <w:ind w:firstLine="440" w:firstLineChars="200"/>
        <w:rPr>
          <w:rFonts w:ascii="宋体" w:hAnsi="宋体" w:cs="黑体"/>
          <w:sz w:val="22"/>
          <w:szCs w:val="24"/>
          <w:lang w:val="zh-CN"/>
        </w:rPr>
      </w:pPr>
    </w:p>
    <w:p w14:paraId="59EE5CE7">
      <w:pPr>
        <w:spacing w:line="460" w:lineRule="exact"/>
        <w:ind w:firstLine="440" w:firstLineChars="200"/>
        <w:rPr>
          <w:rFonts w:ascii="宋体" w:hAnsi="宋体" w:cs="黑体"/>
          <w:sz w:val="22"/>
          <w:szCs w:val="24"/>
          <w:lang w:val="zh-CN"/>
        </w:rPr>
      </w:pPr>
      <w:r>
        <w:rPr>
          <w:rFonts w:hint="eastAsia" w:ascii="宋体" w:hAnsi="宋体" w:cs="黑体"/>
          <w:sz w:val="22"/>
          <w:szCs w:val="24"/>
          <w:lang w:val="zh-CN"/>
        </w:rPr>
        <w:t>特此承诺！</w:t>
      </w:r>
    </w:p>
    <w:p w14:paraId="483BE8AD">
      <w:pPr>
        <w:spacing w:line="460" w:lineRule="exact"/>
        <w:ind w:firstLine="440" w:firstLineChars="200"/>
        <w:rPr>
          <w:rFonts w:ascii="宋体" w:hAnsi="宋体" w:cs="黑体"/>
          <w:sz w:val="22"/>
          <w:szCs w:val="24"/>
          <w:lang w:val="zh-CN"/>
        </w:rPr>
      </w:pPr>
    </w:p>
    <w:p w14:paraId="2C281AF2">
      <w:pPr>
        <w:spacing w:line="460" w:lineRule="exact"/>
        <w:ind w:firstLine="440" w:firstLineChars="200"/>
        <w:rPr>
          <w:rFonts w:ascii="宋体" w:hAnsi="宋体" w:cs="黑体"/>
          <w:sz w:val="22"/>
          <w:szCs w:val="24"/>
          <w:lang w:val="zh-CN"/>
        </w:rPr>
      </w:pPr>
      <w:r>
        <w:rPr>
          <w:rFonts w:hint="eastAsia" w:ascii="宋体" w:hAnsi="宋体" w:cs="黑体"/>
          <w:sz w:val="22"/>
          <w:szCs w:val="24"/>
          <w:lang w:val="zh-CN"/>
        </w:rPr>
        <w:t>供应商全称：（盖章）</w:t>
      </w:r>
    </w:p>
    <w:p w14:paraId="0FD8D8D5">
      <w:pPr>
        <w:spacing w:line="460" w:lineRule="exact"/>
        <w:ind w:firstLine="440" w:firstLineChars="200"/>
        <w:rPr>
          <w:rFonts w:ascii="宋体" w:hAnsi="宋体" w:cs="黑体"/>
          <w:sz w:val="22"/>
          <w:szCs w:val="24"/>
          <w:lang w:val="zh-CN"/>
        </w:rPr>
      </w:pPr>
      <w:r>
        <w:rPr>
          <w:rFonts w:hint="eastAsia" w:ascii="宋体" w:hAnsi="宋体" w:cs="黑体"/>
          <w:sz w:val="22"/>
          <w:szCs w:val="24"/>
          <w:lang w:val="zh-CN"/>
        </w:rPr>
        <w:t>法定代表人（签字或盖章）或授权代表（签字）：</w:t>
      </w:r>
    </w:p>
    <w:p w14:paraId="084FDB6D">
      <w:pPr>
        <w:spacing w:line="460" w:lineRule="exact"/>
        <w:ind w:firstLine="440" w:firstLineChars="200"/>
        <w:rPr>
          <w:rFonts w:ascii="宋体" w:hAnsi="宋体" w:cs="黑体"/>
          <w:sz w:val="22"/>
          <w:szCs w:val="24"/>
          <w:lang w:val="zh-CN"/>
        </w:rPr>
      </w:pPr>
      <w:r>
        <w:rPr>
          <w:rFonts w:hint="eastAsia" w:ascii="宋体" w:hAnsi="宋体" w:cs="黑体"/>
          <w:sz w:val="22"/>
          <w:szCs w:val="24"/>
          <w:lang w:val="zh-CN"/>
        </w:rPr>
        <w:t>日期：</w:t>
      </w:r>
    </w:p>
    <w:p w14:paraId="04F613AD">
      <w:pPr>
        <w:jc w:val="center"/>
        <w:rPr>
          <w:rFonts w:ascii="宋体"/>
          <w:sz w:val="36"/>
          <w:szCs w:val="36"/>
          <w:lang w:val="zh-CN"/>
        </w:rPr>
      </w:pPr>
    </w:p>
    <w:p w14:paraId="381AC53D">
      <w:pPr>
        <w:adjustRightInd w:val="0"/>
        <w:snapToGrid w:val="0"/>
        <w:spacing w:line="340" w:lineRule="atLeast"/>
        <w:rPr>
          <w:rFonts w:ascii="宋体" w:hAnsi="宋体"/>
          <w:b/>
          <w:sz w:val="32"/>
          <w:szCs w:val="32"/>
        </w:rPr>
      </w:pPr>
    </w:p>
    <w:p w14:paraId="576D3512">
      <w:pPr>
        <w:adjustRightInd w:val="0"/>
        <w:snapToGrid w:val="0"/>
        <w:spacing w:line="340" w:lineRule="atLeast"/>
        <w:rPr>
          <w:rFonts w:ascii="宋体" w:hAnsi="宋体"/>
          <w:b/>
          <w:sz w:val="32"/>
          <w:szCs w:val="32"/>
        </w:rPr>
      </w:pPr>
    </w:p>
    <w:p w14:paraId="3FD367AE">
      <w:pPr>
        <w:adjustRightInd w:val="0"/>
        <w:snapToGrid w:val="0"/>
        <w:spacing w:line="340" w:lineRule="atLeast"/>
        <w:rPr>
          <w:rFonts w:ascii="宋体" w:hAnsi="宋体"/>
          <w:b/>
          <w:sz w:val="32"/>
          <w:szCs w:val="32"/>
        </w:rPr>
      </w:pPr>
    </w:p>
    <w:p w14:paraId="73D41269">
      <w:pPr>
        <w:spacing w:line="480" w:lineRule="auto"/>
        <w:jc w:val="center"/>
        <w:rPr>
          <w:rFonts w:ascii="宋体" w:hAnsi="宋体" w:cs="仿宋_GB2312"/>
          <w:sz w:val="36"/>
          <w:szCs w:val="36"/>
        </w:rPr>
      </w:pPr>
    </w:p>
    <w:p w14:paraId="65B62CAE">
      <w:pPr>
        <w:spacing w:line="480" w:lineRule="auto"/>
        <w:jc w:val="center"/>
        <w:rPr>
          <w:rFonts w:ascii="宋体" w:hAnsi="宋体" w:cs="仿宋_GB2312"/>
          <w:sz w:val="36"/>
          <w:szCs w:val="36"/>
        </w:rPr>
      </w:pPr>
    </w:p>
    <w:p w14:paraId="410919C2">
      <w:pPr>
        <w:spacing w:line="480" w:lineRule="auto"/>
        <w:jc w:val="center"/>
        <w:rPr>
          <w:rFonts w:ascii="宋体" w:hAnsi="宋体" w:cs="仿宋_GB2312"/>
          <w:sz w:val="36"/>
          <w:szCs w:val="36"/>
        </w:rPr>
      </w:pPr>
    </w:p>
    <w:p w14:paraId="085B5797">
      <w:pPr>
        <w:spacing w:line="480" w:lineRule="auto"/>
        <w:jc w:val="center"/>
        <w:rPr>
          <w:rFonts w:ascii="宋体" w:hAnsi="宋体" w:cs="仿宋_GB2312"/>
          <w:sz w:val="36"/>
          <w:szCs w:val="36"/>
        </w:rPr>
      </w:pPr>
    </w:p>
    <w:p w14:paraId="6BF36817">
      <w:pPr>
        <w:spacing w:line="480" w:lineRule="auto"/>
        <w:jc w:val="center"/>
        <w:rPr>
          <w:rFonts w:ascii="宋体" w:hAnsi="宋体" w:cs="仿宋_GB2312"/>
          <w:sz w:val="36"/>
          <w:szCs w:val="36"/>
        </w:rPr>
      </w:pPr>
    </w:p>
    <w:p w14:paraId="5B322053">
      <w:pPr>
        <w:spacing w:line="480" w:lineRule="auto"/>
        <w:jc w:val="left"/>
        <w:rPr>
          <w:rFonts w:ascii="宋体" w:hAnsi="宋体"/>
          <w:b/>
          <w:sz w:val="32"/>
          <w:szCs w:val="32"/>
        </w:rPr>
      </w:pPr>
      <w:r>
        <w:rPr>
          <w:rFonts w:hint="eastAsia" w:ascii="宋体" w:hAnsi="宋体"/>
          <w:b/>
          <w:sz w:val="32"/>
          <w:szCs w:val="32"/>
        </w:rPr>
        <w:t>附件五(一）</w:t>
      </w:r>
    </w:p>
    <w:p w14:paraId="72CB5142">
      <w:pPr>
        <w:spacing w:line="480" w:lineRule="auto"/>
        <w:jc w:val="center"/>
        <w:rPr>
          <w:rFonts w:ascii="宋体" w:hAnsi="宋体" w:cs="仿宋_GB2312"/>
          <w:sz w:val="36"/>
          <w:szCs w:val="36"/>
        </w:rPr>
      </w:pPr>
      <w:r>
        <w:rPr>
          <w:rFonts w:hint="eastAsia" w:ascii="宋体" w:hAnsi="宋体" w:cs="仿宋_GB2312"/>
          <w:sz w:val="36"/>
          <w:szCs w:val="36"/>
        </w:rPr>
        <w:t>法定代表人身份证明书</w:t>
      </w:r>
    </w:p>
    <w:p w14:paraId="49449D87">
      <w:pPr>
        <w:spacing w:line="480" w:lineRule="auto"/>
        <w:jc w:val="center"/>
        <w:rPr>
          <w:rFonts w:ascii="宋体" w:hAnsi="宋体" w:cs="宋体"/>
          <w:sz w:val="30"/>
        </w:rPr>
      </w:pPr>
    </w:p>
    <w:p w14:paraId="075EB5B6">
      <w:pPr>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3DC560B5">
      <w:pPr>
        <w:spacing w:line="360" w:lineRule="auto"/>
        <w:ind w:firstLine="612"/>
        <w:rPr>
          <w:rFonts w:ascii="宋体" w:hAnsi="宋体" w:cs="宋体"/>
          <w:sz w:val="24"/>
        </w:rPr>
      </w:pPr>
    </w:p>
    <w:p w14:paraId="51330895">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3008B73E">
      <w:pPr>
        <w:spacing w:line="360" w:lineRule="auto"/>
        <w:ind w:firstLine="610"/>
        <w:rPr>
          <w:rFonts w:ascii="宋体" w:hAnsi="宋体" w:cs="宋体"/>
          <w:sz w:val="24"/>
        </w:rPr>
      </w:pPr>
    </w:p>
    <w:p w14:paraId="10C74586">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9566918">
      <w:pPr>
        <w:spacing w:line="360" w:lineRule="auto"/>
        <w:ind w:firstLine="610"/>
        <w:rPr>
          <w:rFonts w:ascii="宋体" w:hAnsi="宋体" w:cs="宋体"/>
          <w:sz w:val="24"/>
        </w:rPr>
      </w:pPr>
    </w:p>
    <w:p w14:paraId="7FC44E7E">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27016C">
      <w:pPr>
        <w:spacing w:line="360" w:lineRule="auto"/>
        <w:ind w:firstLine="610"/>
        <w:rPr>
          <w:rFonts w:ascii="宋体" w:hAnsi="宋体" w:cs="宋体"/>
          <w:sz w:val="24"/>
        </w:rPr>
      </w:pPr>
    </w:p>
    <w:p w14:paraId="38317F1A">
      <w:pPr>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222E017E">
      <w:pPr>
        <w:spacing w:line="360" w:lineRule="auto"/>
        <w:ind w:firstLine="610"/>
        <w:rPr>
          <w:rFonts w:ascii="宋体" w:hAnsi="宋体" w:cs="宋体"/>
          <w:sz w:val="24"/>
        </w:rPr>
      </w:pPr>
    </w:p>
    <w:p w14:paraId="1BD7FB99">
      <w:pPr>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5FE0A55D">
      <w:pPr>
        <w:spacing w:line="360" w:lineRule="auto"/>
        <w:ind w:firstLine="610"/>
        <w:rPr>
          <w:rFonts w:ascii="宋体" w:hAnsi="宋体" w:cs="宋体"/>
          <w:sz w:val="24"/>
        </w:rPr>
      </w:pPr>
    </w:p>
    <w:p w14:paraId="5DA9B9C8">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（投标供应商单位名称）         </w:t>
      </w:r>
      <w:r>
        <w:rPr>
          <w:rFonts w:hint="eastAsia" w:ascii="宋体" w:hAnsi="宋体" w:cs="宋体"/>
          <w:sz w:val="24"/>
        </w:rPr>
        <w:t>的法定代表人。</w:t>
      </w:r>
    </w:p>
    <w:p w14:paraId="20FA53F2">
      <w:pPr>
        <w:spacing w:line="360" w:lineRule="auto"/>
        <w:rPr>
          <w:rFonts w:ascii="宋体" w:hAnsi="宋体" w:cs="宋体"/>
          <w:sz w:val="24"/>
        </w:rPr>
      </w:pPr>
    </w:p>
    <w:tbl>
      <w:tblPr>
        <w:tblStyle w:val="3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1EA6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0E7B4A89">
            <w:pPr>
              <w:snapToGrid w:val="0"/>
              <w:jc w:val="center"/>
              <w:rPr>
                <w:rFonts w:ascii="宋体"/>
                <w:sz w:val="24"/>
              </w:rPr>
            </w:pPr>
          </w:p>
          <w:p w14:paraId="6373B10A">
            <w:pPr>
              <w:snapToGrid w:val="0"/>
              <w:rPr>
                <w:rFonts w:ascii="宋体"/>
                <w:sz w:val="24"/>
              </w:rPr>
            </w:pPr>
          </w:p>
          <w:p w14:paraId="2B917139">
            <w:pPr>
              <w:snapToGrid w:val="0"/>
              <w:jc w:val="center"/>
              <w:rPr>
                <w:rFonts w:ascii="宋体"/>
                <w:sz w:val="24"/>
              </w:rPr>
            </w:pPr>
          </w:p>
          <w:p w14:paraId="16C40659">
            <w:pPr>
              <w:snapToGrid w:val="0"/>
              <w:ind w:firstLine="2520" w:firstLineChars="1050"/>
              <w:rPr>
                <w:rFonts w:ascii="宋体"/>
                <w:sz w:val="24"/>
              </w:rPr>
            </w:pPr>
            <w:r>
              <w:rPr>
                <w:rFonts w:ascii="宋体"/>
                <w:sz w:val="24"/>
              </w:rPr>
              <w:t>身份证复印件粘贴处</w:t>
            </w:r>
          </w:p>
          <w:p w14:paraId="611DFF8E">
            <w:pPr>
              <w:snapToGrid w:val="0"/>
              <w:rPr>
                <w:rFonts w:ascii="宋体"/>
                <w:sz w:val="24"/>
              </w:rPr>
            </w:pPr>
          </w:p>
          <w:p w14:paraId="42A87909">
            <w:pPr>
              <w:tabs>
                <w:tab w:val="left" w:pos="720"/>
                <w:tab w:val="left" w:pos="900"/>
              </w:tabs>
              <w:spacing w:line="360" w:lineRule="auto"/>
              <w:rPr>
                <w:rFonts w:ascii="宋体" w:hAnsi="宋体" w:cs="宋体"/>
                <w:sz w:val="24"/>
              </w:rPr>
            </w:pPr>
            <w:r>
              <w:rPr>
                <w:rFonts w:ascii="宋体"/>
                <w:sz w:val="24"/>
              </w:rPr>
              <w:t xml:space="preserve">                                 </w:t>
            </w:r>
          </w:p>
          <w:p w14:paraId="37E6579F">
            <w:pPr>
              <w:tabs>
                <w:tab w:val="left" w:pos="720"/>
                <w:tab w:val="left" w:pos="900"/>
              </w:tabs>
              <w:spacing w:line="360" w:lineRule="auto"/>
              <w:rPr>
                <w:rFonts w:ascii="宋体" w:hAnsi="宋体" w:cs="宋体"/>
                <w:sz w:val="24"/>
              </w:rPr>
            </w:pPr>
            <w:r>
              <w:rPr>
                <w:rFonts w:ascii="宋体" w:hAnsi="宋体" w:cs="宋体"/>
                <w:sz w:val="24"/>
              </w:rPr>
              <w:t xml:space="preserve">                                         </w:t>
            </w:r>
            <w:r>
              <w:rPr>
                <w:rFonts w:ascii="宋体"/>
                <w:sz w:val="24"/>
              </w:rPr>
              <w:t>（二代身份证需双面复印）</w:t>
            </w:r>
          </w:p>
        </w:tc>
      </w:tr>
    </w:tbl>
    <w:p w14:paraId="13D622AF">
      <w:pPr>
        <w:spacing w:line="360" w:lineRule="auto"/>
        <w:ind w:firstLine="610"/>
        <w:rPr>
          <w:rFonts w:ascii="宋体" w:hAnsi="宋体" w:cs="宋体"/>
          <w:sz w:val="24"/>
        </w:rPr>
      </w:pPr>
      <w:r>
        <w:rPr>
          <w:rFonts w:hint="eastAsia" w:ascii="宋体" w:hAnsi="宋体" w:cs="宋体"/>
          <w:sz w:val="24"/>
        </w:rPr>
        <w:t>特此证明。</w:t>
      </w:r>
    </w:p>
    <w:p w14:paraId="09213D54">
      <w:pPr>
        <w:adjustRightInd w:val="0"/>
        <w:snapToGrid w:val="0"/>
        <w:spacing w:line="400" w:lineRule="exact"/>
        <w:rPr>
          <w:rFonts w:ascii="宋体" w:hAnsi="宋体" w:cs="Courier New"/>
          <w:b/>
          <w:kern w:val="0"/>
          <w:sz w:val="22"/>
          <w:u w:val="single"/>
        </w:rPr>
      </w:pPr>
    </w:p>
    <w:p w14:paraId="50C87B4B">
      <w:pPr>
        <w:adjustRightInd w:val="0"/>
        <w:snapToGrid w:val="0"/>
        <w:spacing w:line="400" w:lineRule="exact"/>
        <w:rPr>
          <w:rFonts w:ascii="宋体" w:hAnsi="宋体" w:cs="Courier New"/>
          <w:b/>
          <w:kern w:val="0"/>
          <w:sz w:val="22"/>
          <w:u w:val="single"/>
        </w:rPr>
      </w:pPr>
    </w:p>
    <w:p w14:paraId="5510A4C3">
      <w:pPr>
        <w:adjustRightInd w:val="0"/>
        <w:snapToGrid w:val="0"/>
        <w:spacing w:line="400" w:lineRule="exact"/>
        <w:rPr>
          <w:rFonts w:ascii="宋体" w:hAnsi="宋体" w:cs="Courier New"/>
          <w:b/>
          <w:kern w:val="0"/>
          <w:sz w:val="22"/>
          <w:u w:val="single"/>
        </w:rPr>
      </w:pPr>
    </w:p>
    <w:p w14:paraId="1FF9FAE8">
      <w:pPr>
        <w:adjustRightInd w:val="0"/>
        <w:snapToGrid w:val="0"/>
        <w:spacing w:line="400" w:lineRule="exact"/>
        <w:rPr>
          <w:rFonts w:ascii="宋体" w:hAnsi="宋体" w:cs="Courier New"/>
          <w:b/>
          <w:kern w:val="0"/>
          <w:sz w:val="22"/>
          <w:u w:val="single"/>
        </w:rPr>
      </w:pPr>
    </w:p>
    <w:p w14:paraId="1977408A">
      <w:pPr>
        <w:autoSpaceDE w:val="0"/>
        <w:autoSpaceDN w:val="0"/>
        <w:adjustRightInd w:val="0"/>
        <w:spacing w:line="440" w:lineRule="atLeast"/>
        <w:rPr>
          <w:rFonts w:ascii="宋体" w:hAnsi="宋体" w:cs="Courier New"/>
          <w:b/>
          <w:kern w:val="0"/>
          <w:sz w:val="22"/>
        </w:rPr>
      </w:pPr>
      <w:r>
        <w:rPr>
          <w:rFonts w:hint="eastAsia" w:ascii="宋体" w:hAnsi="宋体" w:cs="Courier New"/>
          <w:b/>
          <w:kern w:val="0"/>
          <w:sz w:val="22"/>
        </w:rPr>
        <w:t xml:space="preserve"> ▲法定代表人参加投标，不提供此表格的将视为没有实质性响应招标文件。</w:t>
      </w:r>
    </w:p>
    <w:p w14:paraId="7411972F">
      <w:pPr>
        <w:autoSpaceDE w:val="0"/>
        <w:autoSpaceDN w:val="0"/>
        <w:adjustRightInd w:val="0"/>
        <w:spacing w:line="440" w:lineRule="atLeast"/>
        <w:rPr>
          <w:rFonts w:ascii="宋体" w:hAnsi="宋体"/>
          <w:b/>
          <w:sz w:val="32"/>
          <w:szCs w:val="32"/>
        </w:rPr>
      </w:pPr>
      <w:r>
        <w:rPr>
          <w:rFonts w:hint="eastAsia" w:hAnsi="宋体"/>
          <w:b/>
          <w:sz w:val="32"/>
          <w:szCs w:val="32"/>
        </w:rPr>
        <w:br w:type="page"/>
      </w:r>
      <w:r>
        <w:rPr>
          <w:rFonts w:hint="eastAsia" w:ascii="宋体" w:hAnsi="宋体"/>
          <w:b/>
          <w:sz w:val="32"/>
          <w:szCs w:val="32"/>
        </w:rPr>
        <w:t>附件五（二）</w:t>
      </w:r>
    </w:p>
    <w:p w14:paraId="3F932F46">
      <w:pPr>
        <w:tabs>
          <w:tab w:val="left" w:pos="1080"/>
        </w:tabs>
        <w:autoSpaceDE w:val="0"/>
        <w:autoSpaceDN w:val="0"/>
        <w:adjustRightInd w:val="0"/>
        <w:spacing w:line="440" w:lineRule="atLeast"/>
        <w:jc w:val="center"/>
        <w:rPr>
          <w:rFonts w:ascii="宋体"/>
          <w:sz w:val="36"/>
          <w:szCs w:val="36"/>
        </w:rPr>
      </w:pPr>
      <w:r>
        <w:rPr>
          <w:rFonts w:hint="eastAsia" w:ascii="宋体"/>
          <w:sz w:val="36"/>
          <w:szCs w:val="36"/>
        </w:rPr>
        <w:t>法定代表人授权书</w:t>
      </w:r>
    </w:p>
    <w:p w14:paraId="5882F94C">
      <w:pPr>
        <w:spacing w:line="480" w:lineRule="auto"/>
        <w:rPr>
          <w:rFonts w:ascii="宋体" w:hAnsi="宋体"/>
          <w:sz w:val="22"/>
          <w:szCs w:val="24"/>
        </w:rPr>
      </w:pPr>
      <w:r>
        <w:rPr>
          <w:rFonts w:hint="eastAsia" w:ascii="宋体" w:hAnsi="宋体"/>
          <w:sz w:val="22"/>
          <w:szCs w:val="24"/>
          <w:u w:val="single"/>
        </w:rPr>
        <w:t>（采购单位名称）</w:t>
      </w:r>
      <w:r>
        <w:rPr>
          <w:rFonts w:hint="eastAsia" w:ascii="宋体" w:hAnsi="宋体"/>
          <w:sz w:val="22"/>
          <w:szCs w:val="24"/>
          <w:lang w:val="zh-CN"/>
        </w:rPr>
        <w:t>：</w:t>
      </w:r>
    </w:p>
    <w:p w14:paraId="2E9B7915">
      <w:pPr>
        <w:spacing w:line="480" w:lineRule="auto"/>
        <w:ind w:firstLine="440" w:firstLineChars="200"/>
        <w:rPr>
          <w:rFonts w:ascii="宋体" w:hAnsi="宋体"/>
          <w:sz w:val="22"/>
          <w:szCs w:val="24"/>
        </w:rPr>
      </w:pPr>
      <w:r>
        <w:rPr>
          <w:rFonts w:hint="eastAsia" w:ascii="宋体" w:hAnsi="宋体"/>
          <w:sz w:val="22"/>
          <w:szCs w:val="24"/>
        </w:rPr>
        <w:t>本授权委托书声明：我</w:t>
      </w:r>
      <w:r>
        <w:rPr>
          <w:rFonts w:hint="eastAsia" w:ascii="宋体" w:hAnsi="宋体"/>
          <w:sz w:val="22"/>
          <w:szCs w:val="24"/>
          <w:u w:val="single"/>
        </w:rPr>
        <w:t xml:space="preserve">   （法定代表人姓名）   </w:t>
      </w:r>
      <w:r>
        <w:rPr>
          <w:rFonts w:hint="eastAsia" w:ascii="宋体" w:hAnsi="宋体"/>
          <w:sz w:val="22"/>
          <w:szCs w:val="24"/>
        </w:rPr>
        <w:t>系</w:t>
      </w:r>
      <w:r>
        <w:rPr>
          <w:rFonts w:hint="eastAsia" w:ascii="宋体" w:hAnsi="宋体"/>
          <w:sz w:val="22"/>
          <w:szCs w:val="24"/>
          <w:u w:val="single"/>
        </w:rPr>
        <w:t xml:space="preserve">   （供 应 商 名 称）  </w:t>
      </w:r>
      <w:r>
        <w:rPr>
          <w:rFonts w:hint="eastAsia" w:ascii="宋体" w:hAnsi="宋体"/>
          <w:sz w:val="22"/>
          <w:szCs w:val="24"/>
        </w:rPr>
        <w:t>的法定代表人，现授权委托</w:t>
      </w:r>
      <w:r>
        <w:rPr>
          <w:rFonts w:hint="eastAsia" w:ascii="宋体" w:hAnsi="宋体"/>
          <w:sz w:val="22"/>
          <w:szCs w:val="24"/>
          <w:u w:val="single"/>
        </w:rPr>
        <w:t xml:space="preserve">  （单 位 名 称）   </w:t>
      </w:r>
      <w:r>
        <w:rPr>
          <w:rFonts w:hint="eastAsia" w:ascii="宋体" w:hAnsi="宋体"/>
          <w:sz w:val="22"/>
          <w:szCs w:val="24"/>
        </w:rPr>
        <w:t>的</w:t>
      </w:r>
      <w:r>
        <w:rPr>
          <w:rFonts w:hint="eastAsia" w:ascii="宋体" w:hAnsi="宋体"/>
          <w:sz w:val="22"/>
          <w:szCs w:val="24"/>
          <w:u w:val="single"/>
        </w:rPr>
        <w:t xml:space="preserve">  （授权代表姓名）  </w:t>
      </w:r>
      <w:r>
        <w:rPr>
          <w:rFonts w:hint="eastAsia" w:ascii="宋体" w:hAnsi="宋体"/>
          <w:sz w:val="22"/>
          <w:szCs w:val="24"/>
        </w:rPr>
        <w:t>为我公司法定代表人授权代表，参加贵处组织的</w:t>
      </w:r>
      <w:r>
        <w:rPr>
          <w:rFonts w:hint="eastAsia" w:ascii="宋体" w:hAnsi="宋体"/>
          <w:sz w:val="22"/>
          <w:szCs w:val="24"/>
          <w:u w:val="single"/>
        </w:rPr>
        <w:t xml:space="preserve">  （招标项目名称，括号中填写项目编号）  </w:t>
      </w:r>
      <w:r>
        <w:rPr>
          <w:rFonts w:hint="eastAsia" w:ascii="宋体" w:hAnsi="宋体"/>
          <w:sz w:val="22"/>
          <w:szCs w:val="24"/>
        </w:rPr>
        <w:t>项目投标，全权处理本次招投标活动中的一切事宜，我承认授权代表全权代表我所签署的本项目的响应文件的内容。</w:t>
      </w:r>
    </w:p>
    <w:p w14:paraId="55A97EFA">
      <w:pPr>
        <w:spacing w:line="480" w:lineRule="auto"/>
        <w:ind w:firstLine="440" w:firstLineChars="200"/>
        <w:rPr>
          <w:rFonts w:ascii="宋体" w:hAnsi="宋体"/>
          <w:sz w:val="22"/>
          <w:szCs w:val="24"/>
        </w:rPr>
      </w:pPr>
      <w:r>
        <w:rPr>
          <w:rFonts w:hint="eastAsia" w:ascii="宋体" w:hAnsi="宋体"/>
          <w:sz w:val="22"/>
          <w:szCs w:val="24"/>
        </w:rPr>
        <w:t>授权代表无转授权，特此授权</w:t>
      </w:r>
    </w:p>
    <w:p w14:paraId="21FEBBF8">
      <w:pPr>
        <w:spacing w:line="480" w:lineRule="auto"/>
        <w:ind w:left="2100" w:leftChars="1000" w:firstLine="440" w:firstLineChars="200"/>
        <w:rPr>
          <w:rFonts w:ascii="宋体" w:hAnsi="宋体"/>
          <w:sz w:val="22"/>
          <w:szCs w:val="24"/>
          <w:u w:val="single"/>
        </w:rPr>
      </w:pPr>
      <w:r>
        <w:rPr>
          <w:rFonts w:hint="eastAsia" w:ascii="宋体" w:hAnsi="宋体"/>
          <w:sz w:val="22"/>
          <w:szCs w:val="24"/>
        </w:rPr>
        <w:t>授权代表：</w:t>
      </w:r>
      <w:r>
        <w:rPr>
          <w:rFonts w:hint="eastAsia" w:ascii="宋体" w:hAnsi="宋体"/>
          <w:sz w:val="22"/>
          <w:szCs w:val="24"/>
          <w:u w:val="single"/>
        </w:rPr>
        <w:t xml:space="preserve">   （手写签字）  </w:t>
      </w:r>
      <w:r>
        <w:rPr>
          <w:rFonts w:hint="eastAsia" w:ascii="宋体" w:hAnsi="宋体"/>
          <w:sz w:val="22"/>
          <w:szCs w:val="24"/>
        </w:rPr>
        <w:t xml:space="preserve"> 性别 ：</w:t>
      </w:r>
      <w:r>
        <w:rPr>
          <w:rFonts w:hint="eastAsia" w:ascii="宋体" w:hAnsi="宋体"/>
          <w:sz w:val="22"/>
          <w:szCs w:val="24"/>
          <w:u w:val="single"/>
        </w:rPr>
        <w:t xml:space="preserve">                    </w:t>
      </w:r>
      <w:r>
        <w:rPr>
          <w:rFonts w:ascii="宋体" w:hAnsi="宋体"/>
          <w:sz w:val="22"/>
          <w:szCs w:val="24"/>
          <w:u w:val="single"/>
        </w:rPr>
        <w:t xml:space="preserve">    </w:t>
      </w:r>
    </w:p>
    <w:p w14:paraId="34A710F3">
      <w:pPr>
        <w:spacing w:line="480" w:lineRule="auto"/>
        <w:ind w:left="2100" w:leftChars="1000" w:firstLine="440" w:firstLineChars="200"/>
        <w:rPr>
          <w:rFonts w:ascii="宋体" w:hAnsi="宋体"/>
          <w:sz w:val="22"/>
          <w:szCs w:val="24"/>
          <w:u w:val="single"/>
        </w:rPr>
      </w:pPr>
      <w:r>
        <w:rPr>
          <w:rFonts w:hint="eastAsia" w:ascii="宋体" w:hAnsi="宋体"/>
          <w:sz w:val="22"/>
          <w:szCs w:val="24"/>
        </w:rPr>
        <w:t>职务：</w:t>
      </w:r>
      <w:r>
        <w:rPr>
          <w:rFonts w:hint="eastAsia" w:ascii="宋体" w:hAnsi="宋体"/>
          <w:sz w:val="22"/>
          <w:szCs w:val="24"/>
          <w:u w:val="single"/>
        </w:rPr>
        <w:t xml:space="preserve">                  </w:t>
      </w:r>
      <w:r>
        <w:rPr>
          <w:rFonts w:hint="eastAsia" w:ascii="宋体" w:hAnsi="宋体"/>
          <w:sz w:val="22"/>
          <w:szCs w:val="24"/>
        </w:rPr>
        <w:t>年龄：</w:t>
      </w:r>
      <w:r>
        <w:rPr>
          <w:rFonts w:hint="eastAsia" w:ascii="宋体" w:hAnsi="宋体"/>
          <w:sz w:val="22"/>
          <w:szCs w:val="24"/>
          <w:u w:val="single"/>
        </w:rPr>
        <w:t xml:space="preserve">                  </w:t>
      </w:r>
      <w:r>
        <w:rPr>
          <w:rFonts w:ascii="宋体" w:hAnsi="宋体"/>
          <w:sz w:val="22"/>
          <w:szCs w:val="24"/>
          <w:u w:val="single"/>
        </w:rPr>
        <w:t xml:space="preserve">           </w:t>
      </w:r>
    </w:p>
    <w:p w14:paraId="6321EE8C">
      <w:pPr>
        <w:spacing w:line="480" w:lineRule="auto"/>
        <w:ind w:left="2100" w:leftChars="1000" w:firstLine="440" w:firstLineChars="200"/>
        <w:rPr>
          <w:rFonts w:ascii="宋体" w:hAnsi="宋体"/>
          <w:sz w:val="22"/>
          <w:szCs w:val="24"/>
          <w:u w:val="single"/>
        </w:rPr>
      </w:pPr>
      <w:r>
        <w:rPr>
          <w:rFonts w:hint="eastAsia" w:ascii="宋体" w:hAnsi="宋体"/>
          <w:sz w:val="22"/>
          <w:szCs w:val="24"/>
        </w:rPr>
        <w:t>详细通讯地址：</w:t>
      </w:r>
      <w:r>
        <w:rPr>
          <w:rFonts w:hint="eastAsia" w:ascii="宋体" w:hAnsi="宋体"/>
          <w:sz w:val="22"/>
          <w:szCs w:val="24"/>
          <w:u w:val="single"/>
        </w:rPr>
        <w:t xml:space="preserve">                  </w:t>
      </w:r>
      <w:r>
        <w:rPr>
          <w:rFonts w:hint="eastAsia" w:ascii="宋体" w:hAnsi="宋体"/>
          <w:sz w:val="22"/>
          <w:szCs w:val="24"/>
        </w:rPr>
        <w:t xml:space="preserve"> 邮政编码：</w:t>
      </w:r>
      <w:r>
        <w:rPr>
          <w:rFonts w:hint="eastAsia" w:ascii="宋体" w:hAnsi="宋体"/>
          <w:sz w:val="22"/>
          <w:szCs w:val="24"/>
          <w:u w:val="single"/>
        </w:rPr>
        <w:t xml:space="preserve">         </w:t>
      </w:r>
      <w:r>
        <w:rPr>
          <w:rFonts w:ascii="宋体" w:hAnsi="宋体"/>
          <w:sz w:val="22"/>
          <w:szCs w:val="24"/>
          <w:u w:val="single"/>
        </w:rPr>
        <w:t xml:space="preserve">       </w:t>
      </w:r>
    </w:p>
    <w:p w14:paraId="7ABE8C2D">
      <w:pPr>
        <w:spacing w:line="480" w:lineRule="auto"/>
        <w:ind w:left="1" w:firstLine="2510" w:firstLineChars="1141"/>
        <w:rPr>
          <w:rFonts w:ascii="宋体" w:hAnsi="宋体"/>
          <w:sz w:val="22"/>
          <w:szCs w:val="24"/>
          <w:u w:val="single"/>
        </w:rPr>
      </w:pPr>
      <w:r>
        <w:rPr>
          <w:rFonts w:hint="eastAsia" w:ascii="宋体" w:hAnsi="宋体"/>
          <w:sz w:val="22"/>
          <w:szCs w:val="24"/>
        </w:rPr>
        <w:t>电话：</w:t>
      </w:r>
      <w:r>
        <w:rPr>
          <w:rFonts w:hint="eastAsia" w:ascii="宋体" w:hAnsi="宋体"/>
          <w:sz w:val="22"/>
          <w:szCs w:val="24"/>
          <w:u w:val="single"/>
        </w:rPr>
        <w:t xml:space="preserve">                   </w:t>
      </w:r>
      <w:r>
        <w:rPr>
          <w:rFonts w:hint="eastAsia" w:ascii="宋体" w:hAnsi="宋体"/>
          <w:sz w:val="22"/>
          <w:szCs w:val="24"/>
        </w:rPr>
        <w:t xml:space="preserve"> 传真：</w:t>
      </w:r>
      <w:r>
        <w:rPr>
          <w:rFonts w:hint="eastAsia" w:ascii="宋体" w:hAnsi="宋体"/>
          <w:sz w:val="22"/>
          <w:szCs w:val="24"/>
          <w:u w:val="single"/>
        </w:rPr>
        <w:t xml:space="preserve">                  </w:t>
      </w:r>
      <w:r>
        <w:rPr>
          <w:rFonts w:ascii="宋体" w:hAnsi="宋体"/>
          <w:sz w:val="22"/>
          <w:szCs w:val="24"/>
          <w:u w:val="single"/>
        </w:rPr>
        <w:t xml:space="preserve">          </w:t>
      </w:r>
    </w:p>
    <w:p w14:paraId="25653B45">
      <w:pPr>
        <w:spacing w:line="480" w:lineRule="auto"/>
        <w:ind w:left="1" w:firstLine="422" w:firstLineChars="192"/>
        <w:rPr>
          <w:rFonts w:ascii="宋体" w:hAnsi="宋体"/>
          <w:sz w:val="22"/>
          <w:szCs w:val="24"/>
        </w:rPr>
      </w:pPr>
      <w:r>
        <w:rPr>
          <w:rFonts w:hint="eastAsia" w:ascii="宋体" w:hAnsi="宋体"/>
          <w:sz w:val="22"/>
          <w:szCs w:val="24"/>
        </w:rPr>
        <w:t xml:space="preserve">                   供应商：</w:t>
      </w:r>
      <w:r>
        <w:rPr>
          <w:rFonts w:hint="eastAsia" w:ascii="宋体" w:hAnsi="宋体"/>
          <w:sz w:val="22"/>
          <w:szCs w:val="24"/>
          <w:u w:val="single"/>
        </w:rPr>
        <w:t xml:space="preserve">                                     </w:t>
      </w:r>
      <w:r>
        <w:rPr>
          <w:rFonts w:ascii="宋体" w:hAnsi="宋体"/>
          <w:sz w:val="22"/>
          <w:szCs w:val="24"/>
          <w:u w:val="single"/>
        </w:rPr>
        <w:t xml:space="preserve"> </w:t>
      </w:r>
      <w:r>
        <w:rPr>
          <w:rFonts w:hint="eastAsia" w:ascii="宋体" w:hAnsi="宋体"/>
          <w:sz w:val="22"/>
          <w:szCs w:val="24"/>
          <w:u w:val="single"/>
        </w:rPr>
        <w:t xml:space="preserve"> </w:t>
      </w:r>
      <w:r>
        <w:rPr>
          <w:rFonts w:ascii="宋体" w:hAnsi="宋体"/>
          <w:sz w:val="22"/>
          <w:szCs w:val="24"/>
          <w:u w:val="single"/>
        </w:rPr>
        <w:t xml:space="preserve">     </w:t>
      </w:r>
      <w:r>
        <w:rPr>
          <w:rFonts w:hint="eastAsia" w:ascii="宋体" w:hAnsi="宋体"/>
          <w:sz w:val="22"/>
          <w:szCs w:val="24"/>
          <w:u w:val="single"/>
        </w:rPr>
        <w:t>（盖章）</w:t>
      </w:r>
    </w:p>
    <w:p w14:paraId="55A31AC1">
      <w:pPr>
        <w:spacing w:line="480" w:lineRule="auto"/>
        <w:ind w:left="2100" w:right="440"/>
        <w:jc w:val="right"/>
        <w:rPr>
          <w:rFonts w:ascii="宋体" w:hAnsi="宋体"/>
          <w:b/>
          <w:sz w:val="22"/>
          <w:szCs w:val="24"/>
        </w:rPr>
      </w:pPr>
      <w:r>
        <w:rPr>
          <w:rFonts w:hint="eastAsia" w:ascii="宋体" w:hAnsi="宋体"/>
          <w:sz w:val="22"/>
          <w:szCs w:val="24"/>
        </w:rPr>
        <w:t xml:space="preserve">   法定代表人：</w:t>
      </w:r>
      <w:r>
        <w:rPr>
          <w:rFonts w:hint="eastAsia" w:ascii="宋体" w:hAnsi="宋体"/>
          <w:sz w:val="22"/>
          <w:szCs w:val="24"/>
          <w:u w:val="single"/>
        </w:rPr>
        <w:t xml:space="preserve">                                 </w:t>
      </w:r>
      <w:r>
        <w:rPr>
          <w:rFonts w:ascii="宋体" w:hAnsi="宋体"/>
          <w:sz w:val="22"/>
          <w:szCs w:val="24"/>
          <w:u w:val="single"/>
        </w:rPr>
        <w:t xml:space="preserve"> </w:t>
      </w:r>
      <w:r>
        <w:rPr>
          <w:rFonts w:hint="eastAsia" w:ascii="宋体" w:hAnsi="宋体"/>
          <w:sz w:val="22"/>
          <w:szCs w:val="24"/>
          <w:u w:val="single"/>
        </w:rPr>
        <w:t>（签字或盖章</w:t>
      </w:r>
      <w:r>
        <w:rPr>
          <w:rFonts w:ascii="宋体" w:hAnsi="宋体"/>
          <w:sz w:val="22"/>
          <w:szCs w:val="24"/>
          <w:u w:val="single"/>
        </w:rPr>
        <w:t>）</w:t>
      </w:r>
      <w:r>
        <w:rPr>
          <w:rFonts w:hint="eastAsia" w:ascii="宋体" w:hAnsi="宋体"/>
          <w:sz w:val="22"/>
          <w:szCs w:val="24"/>
        </w:rPr>
        <w:t>授权委托日期：</w:t>
      </w:r>
      <w:r>
        <w:rPr>
          <w:rFonts w:hint="eastAsia" w:ascii="宋体" w:hAnsi="宋体"/>
          <w:sz w:val="22"/>
          <w:szCs w:val="24"/>
          <w:u w:val="single"/>
        </w:rPr>
        <w:t xml:space="preserve">     </w:t>
      </w:r>
      <w:r>
        <w:rPr>
          <w:rFonts w:hint="eastAsia" w:ascii="宋体" w:hAnsi="宋体"/>
          <w:sz w:val="22"/>
          <w:szCs w:val="24"/>
        </w:rPr>
        <w:t xml:space="preserve">年 </w:t>
      </w:r>
      <w:r>
        <w:rPr>
          <w:rFonts w:hint="eastAsia" w:ascii="宋体" w:hAnsi="宋体"/>
          <w:sz w:val="22"/>
          <w:szCs w:val="24"/>
          <w:u w:val="single"/>
        </w:rPr>
        <w:t xml:space="preserve">    </w:t>
      </w:r>
      <w:r>
        <w:rPr>
          <w:rFonts w:hint="eastAsia" w:ascii="宋体" w:hAnsi="宋体"/>
          <w:sz w:val="22"/>
          <w:szCs w:val="24"/>
        </w:rPr>
        <w:t>月</w:t>
      </w:r>
      <w:r>
        <w:rPr>
          <w:rFonts w:hint="eastAsia" w:ascii="宋体" w:hAnsi="宋体"/>
          <w:sz w:val="22"/>
          <w:szCs w:val="24"/>
          <w:u w:val="single"/>
        </w:rPr>
        <w:t xml:space="preserve">     </w:t>
      </w:r>
      <w:r>
        <w:rPr>
          <w:rFonts w:hint="eastAsia" w:ascii="宋体" w:hAnsi="宋体"/>
          <w:sz w:val="22"/>
          <w:szCs w:val="24"/>
        </w:rPr>
        <w:t>日</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44C1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6327CA58">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黏贴授权代表身份证复印件或影印件（正反面）</w:t>
            </w:r>
          </w:p>
          <w:p w14:paraId="5AC86BF3">
            <w:pPr>
              <w:autoSpaceDE w:val="0"/>
              <w:autoSpaceDN w:val="0"/>
              <w:adjustRightInd w:val="0"/>
              <w:spacing w:line="440" w:lineRule="atLeast"/>
              <w:jc w:val="center"/>
              <w:rPr>
                <w:rFonts w:ascii="宋体" w:hAnsi="宋体" w:cs="仿宋_GB2312"/>
                <w:bCs/>
                <w:sz w:val="36"/>
                <w:szCs w:val="36"/>
              </w:rPr>
            </w:pPr>
          </w:p>
        </w:tc>
      </w:tr>
      <w:tr w14:paraId="3FC8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Borders>
              <w:top w:val="single" w:color="auto" w:sz="4" w:space="0"/>
              <w:left w:val="single" w:color="auto" w:sz="4" w:space="0"/>
              <w:right w:val="single" w:color="auto" w:sz="4" w:space="0"/>
            </w:tcBorders>
          </w:tcPr>
          <w:p w14:paraId="045DCF4A">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黏贴法人身份证复印件或影印件（正反面）</w:t>
            </w:r>
          </w:p>
          <w:p w14:paraId="682C6979">
            <w:pPr>
              <w:autoSpaceDE w:val="0"/>
              <w:autoSpaceDN w:val="0"/>
              <w:adjustRightInd w:val="0"/>
              <w:spacing w:line="440" w:lineRule="atLeast"/>
              <w:jc w:val="center"/>
              <w:rPr>
                <w:rFonts w:ascii="宋体" w:hAnsi="宋体" w:cs="仿宋_GB2312"/>
                <w:bCs/>
                <w:sz w:val="36"/>
                <w:szCs w:val="36"/>
              </w:rPr>
            </w:pPr>
          </w:p>
        </w:tc>
      </w:tr>
    </w:tbl>
    <w:p w14:paraId="481C1BD8">
      <w:pPr>
        <w:autoSpaceDE w:val="0"/>
        <w:autoSpaceDN w:val="0"/>
        <w:adjustRightInd w:val="0"/>
        <w:spacing w:line="440" w:lineRule="atLeast"/>
        <w:jc w:val="center"/>
        <w:rPr>
          <w:rFonts w:ascii="宋体" w:hAnsi="宋体" w:cs="仿宋_GB2312"/>
          <w:sz w:val="36"/>
          <w:szCs w:val="36"/>
        </w:rPr>
      </w:pPr>
    </w:p>
    <w:p w14:paraId="15810B29">
      <w:pPr>
        <w:autoSpaceDE w:val="0"/>
        <w:autoSpaceDN w:val="0"/>
        <w:adjustRightInd w:val="0"/>
        <w:spacing w:line="440" w:lineRule="atLeast"/>
        <w:jc w:val="center"/>
        <w:rPr>
          <w:rFonts w:ascii="宋体" w:hAnsi="宋体" w:cs="仿宋_GB2312"/>
          <w:sz w:val="36"/>
          <w:szCs w:val="36"/>
          <w:lang w:val="zh-CN"/>
        </w:rPr>
      </w:pPr>
    </w:p>
    <w:p w14:paraId="2E81AFBA">
      <w:pPr>
        <w:adjustRightInd w:val="0"/>
        <w:snapToGrid w:val="0"/>
        <w:spacing w:line="400" w:lineRule="exact"/>
        <w:rPr>
          <w:rFonts w:ascii="宋体" w:hAnsi="Courier New" w:cs="Courier New"/>
          <w:b/>
          <w:bCs/>
          <w:kern w:val="0"/>
          <w:sz w:val="22"/>
          <w:szCs w:val="24"/>
          <w:u w:val="single"/>
        </w:rPr>
      </w:pPr>
      <w:r>
        <w:rPr>
          <w:rFonts w:hint="eastAsia" w:ascii="宋体" w:hAnsi="宋体" w:cs="Courier New"/>
          <w:b/>
          <w:kern w:val="0"/>
          <w:sz w:val="22"/>
          <w:szCs w:val="24"/>
          <w:u w:val="single"/>
        </w:rPr>
        <w:t>授权委托人参加投标，不提供此表格的将视为没有实质性响应招标文件。</w:t>
      </w:r>
    </w:p>
    <w:p w14:paraId="7E56E25A">
      <w:pPr>
        <w:rPr>
          <w:rFonts w:hAnsi="宋体"/>
          <w:b/>
          <w:sz w:val="32"/>
          <w:szCs w:val="32"/>
        </w:rPr>
      </w:pPr>
      <w:r>
        <w:rPr>
          <w:rFonts w:hint="eastAsia" w:hAnsi="宋体"/>
          <w:b/>
          <w:sz w:val="32"/>
          <w:szCs w:val="32"/>
        </w:rPr>
        <w:t xml:space="preserve">附件六                </w:t>
      </w:r>
    </w:p>
    <w:p w14:paraId="3100E600">
      <w:pPr>
        <w:adjustRightInd w:val="0"/>
        <w:snapToGrid w:val="0"/>
        <w:spacing w:line="340" w:lineRule="atLeast"/>
        <w:rPr>
          <w:rFonts w:ascii="宋体" w:hAnsi="宋体"/>
          <w:b/>
          <w:sz w:val="32"/>
          <w:szCs w:val="32"/>
        </w:rPr>
      </w:pPr>
      <w:r>
        <w:rPr>
          <w:rFonts w:hint="eastAsia" w:ascii="宋体" w:hAnsi="宋体"/>
          <w:b/>
          <w:sz w:val="32"/>
          <w:szCs w:val="32"/>
        </w:rPr>
        <w:t xml:space="preserve">        </w:t>
      </w:r>
    </w:p>
    <w:p w14:paraId="73D11591">
      <w:pPr>
        <w:adjustRightInd w:val="0"/>
        <w:snapToGrid w:val="0"/>
        <w:spacing w:line="460" w:lineRule="atLeast"/>
        <w:jc w:val="center"/>
        <w:rPr>
          <w:rFonts w:ascii="宋体"/>
          <w:sz w:val="36"/>
          <w:szCs w:val="36"/>
        </w:rPr>
      </w:pPr>
      <w:r>
        <w:rPr>
          <w:rFonts w:hint="eastAsia" w:ascii="宋体"/>
          <w:sz w:val="36"/>
          <w:szCs w:val="36"/>
        </w:rPr>
        <w:t>投  标  函</w:t>
      </w:r>
    </w:p>
    <w:p w14:paraId="09171C74">
      <w:pPr>
        <w:adjustRightInd w:val="0"/>
        <w:snapToGrid w:val="0"/>
        <w:spacing w:line="340" w:lineRule="atLeast"/>
        <w:rPr>
          <w:rFonts w:ascii="宋体" w:hAnsi="宋体"/>
          <w:sz w:val="22"/>
          <w:szCs w:val="22"/>
        </w:rPr>
      </w:pPr>
      <w:r>
        <w:rPr>
          <w:rFonts w:hint="eastAsia" w:ascii="宋体" w:hAnsi="宋体"/>
          <w:sz w:val="22"/>
          <w:szCs w:val="22"/>
          <w:u w:val="single"/>
        </w:rPr>
        <w:t>泰顺县南浦溪新农村建设投资有限公司</w:t>
      </w:r>
      <w:r>
        <w:rPr>
          <w:rFonts w:hint="eastAsia" w:ascii="宋体" w:hAnsi="宋体"/>
          <w:sz w:val="22"/>
          <w:szCs w:val="22"/>
        </w:rPr>
        <w:t>：</w:t>
      </w:r>
    </w:p>
    <w:p w14:paraId="6EFCBAA0">
      <w:pPr>
        <w:autoSpaceDE w:val="0"/>
        <w:autoSpaceDN w:val="0"/>
        <w:adjustRightInd w:val="0"/>
        <w:spacing w:line="440" w:lineRule="atLeast"/>
        <w:rPr>
          <w:rFonts w:ascii="宋体" w:cs="仿宋_GB2312"/>
          <w:sz w:val="22"/>
          <w:szCs w:val="22"/>
          <w:lang w:val="zh-CN"/>
        </w:rPr>
      </w:pPr>
      <w:r>
        <w:rPr>
          <w:rFonts w:hint="eastAsia"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w:t>
      </w:r>
      <w:r>
        <w:rPr>
          <w:rFonts w:hint="eastAsia" w:ascii="宋体" w:cs="仿宋_GB2312"/>
          <w:sz w:val="22"/>
          <w:szCs w:val="22"/>
        </w:rPr>
        <w:t>采购编号：</w:t>
      </w:r>
      <w:r>
        <w:rPr>
          <w:rFonts w:hint="eastAsia" w:ascii="宋体" w:hAnsi="宋体" w:cs="宋体"/>
          <w:sz w:val="22"/>
          <w:u w:val="single"/>
          <w:lang w:val="zh-CN"/>
        </w:rPr>
        <w:t xml:space="preserve">TSCG202505002  </w:t>
      </w:r>
      <w:r>
        <w:rPr>
          <w:rFonts w:hint="eastAsia" w:ascii="宋体" w:cs="仿宋_GB2312"/>
          <w:sz w:val="22"/>
          <w:szCs w:val="22"/>
          <w:lang w:val="zh-CN"/>
        </w:rPr>
        <w:t>）招标的有关活动，为此：并对</w:t>
      </w:r>
      <w:r>
        <w:rPr>
          <w:rFonts w:hint="eastAsia" w:ascii="宋体" w:cs="仿宋_GB2312"/>
          <w:sz w:val="22"/>
          <w:szCs w:val="22"/>
          <w:u w:val="single"/>
          <w:lang w:val="zh-CN"/>
        </w:rPr>
        <w:t xml:space="preserve">            </w:t>
      </w:r>
      <w:r>
        <w:rPr>
          <w:rFonts w:hint="eastAsia" w:ascii="宋体" w:cs="仿宋_GB2312"/>
          <w:sz w:val="22"/>
          <w:szCs w:val="22"/>
          <w:lang w:val="zh-CN"/>
        </w:rPr>
        <w:t>项目（招标项目名称）进行投标。</w:t>
      </w:r>
      <w:r>
        <w:rPr>
          <w:rFonts w:ascii="宋体" w:cs="仿宋_GB2312"/>
          <w:sz w:val="22"/>
          <w:szCs w:val="22"/>
          <w:lang w:val="zh-CN"/>
        </w:rPr>
        <w:t xml:space="preserve">   </w:t>
      </w:r>
    </w:p>
    <w:p w14:paraId="43BD9531">
      <w:pPr>
        <w:autoSpaceDE w:val="0"/>
        <w:autoSpaceDN w:val="0"/>
        <w:adjustRightInd w:val="0"/>
        <w:spacing w:line="400" w:lineRule="exact"/>
        <w:ind w:firstLine="440" w:firstLineChars="200"/>
        <w:rPr>
          <w:rFonts w:ascii="宋体"/>
          <w:sz w:val="22"/>
          <w:szCs w:val="24"/>
          <w:lang w:val="zh-CN"/>
        </w:rPr>
      </w:pPr>
      <w:r>
        <w:rPr>
          <w:rFonts w:hint="eastAsia" w:ascii="宋体"/>
          <w:sz w:val="22"/>
          <w:szCs w:val="24"/>
        </w:rPr>
        <w:t>1、</w:t>
      </w:r>
      <w:r>
        <w:rPr>
          <w:rFonts w:hint="eastAsia" w:ascii="宋体"/>
          <w:sz w:val="22"/>
          <w:szCs w:val="24"/>
          <w:lang w:val="zh-CN"/>
        </w:rPr>
        <w:t>“电子加密投标文件”：在线上传递交。</w:t>
      </w:r>
    </w:p>
    <w:p w14:paraId="4F64EE49">
      <w:pPr>
        <w:autoSpaceDE w:val="0"/>
        <w:autoSpaceDN w:val="0"/>
        <w:adjustRightInd w:val="0"/>
        <w:spacing w:line="400" w:lineRule="exact"/>
        <w:ind w:firstLine="440" w:firstLineChars="200"/>
        <w:rPr>
          <w:rFonts w:ascii="宋体"/>
          <w:sz w:val="22"/>
          <w:szCs w:val="24"/>
          <w:lang w:val="zh-CN"/>
        </w:rPr>
      </w:pPr>
      <w:r>
        <w:rPr>
          <w:rFonts w:hint="eastAsia" w:ascii="宋体"/>
          <w:sz w:val="22"/>
          <w:szCs w:val="24"/>
          <w:lang w:val="zh-CN"/>
        </w:rPr>
        <w:t>2、保证遵守招标文件中的有关规定和收费标准。</w:t>
      </w:r>
    </w:p>
    <w:p w14:paraId="639C2ADF">
      <w:pPr>
        <w:autoSpaceDE w:val="0"/>
        <w:autoSpaceDN w:val="0"/>
        <w:adjustRightInd w:val="0"/>
        <w:spacing w:line="440" w:lineRule="atLeast"/>
        <w:ind w:firstLine="442" w:firstLineChars="201"/>
        <w:rPr>
          <w:rFonts w:ascii="宋体"/>
          <w:sz w:val="22"/>
          <w:szCs w:val="24"/>
          <w:lang w:val="zh-CN"/>
        </w:rPr>
      </w:pPr>
      <w:r>
        <w:rPr>
          <w:rFonts w:ascii="宋体"/>
          <w:sz w:val="22"/>
          <w:szCs w:val="24"/>
          <w:lang w:val="zh-CN"/>
        </w:rPr>
        <w:t>3</w:t>
      </w:r>
      <w:r>
        <w:rPr>
          <w:rFonts w:hint="eastAsia" w:ascii="宋体"/>
          <w:sz w:val="22"/>
          <w:szCs w:val="24"/>
          <w:lang w:val="zh-CN"/>
        </w:rPr>
        <w:t>、保证忠实地执行采购单位、</w:t>
      </w:r>
      <w:r>
        <w:rPr>
          <w:rFonts w:hint="eastAsia" w:ascii="宋体" w:cs="??_GB2312"/>
          <w:sz w:val="22"/>
          <w:szCs w:val="24"/>
          <w:lang w:val="zh-CN"/>
        </w:rPr>
        <w:t>中标（成交）供应商</w:t>
      </w:r>
      <w:r>
        <w:rPr>
          <w:rFonts w:hint="eastAsia" w:ascii="宋体"/>
          <w:sz w:val="22"/>
          <w:szCs w:val="24"/>
          <w:lang w:val="zh-CN"/>
        </w:rPr>
        <w:t>双方所签的合同，并承担合同规定的责任义务。</w:t>
      </w:r>
    </w:p>
    <w:p w14:paraId="167191C8">
      <w:pPr>
        <w:snapToGrid w:val="0"/>
        <w:spacing w:line="410" w:lineRule="atLeast"/>
        <w:ind w:firstLine="440" w:firstLineChars="200"/>
        <w:rPr>
          <w:rFonts w:ascii="宋体" w:hAnsi="宋体"/>
          <w:b/>
          <w:bCs/>
          <w:sz w:val="22"/>
          <w:u w:val="single"/>
        </w:rPr>
      </w:pPr>
      <w:r>
        <w:rPr>
          <w:rFonts w:ascii="宋体" w:hAnsi="Courier New" w:cs="??_GB2312"/>
          <w:sz w:val="22"/>
          <w:lang w:val="zh-CN"/>
        </w:rPr>
        <w:t>4</w:t>
      </w:r>
      <w:r>
        <w:rPr>
          <w:rFonts w:hint="eastAsia" w:ascii="宋体" w:hAnsi="Courier New" w:cs="??_GB2312"/>
          <w:sz w:val="22"/>
          <w:lang w:val="zh-CN"/>
        </w:rPr>
        <w:t>、</w:t>
      </w:r>
      <w:r>
        <w:rPr>
          <w:rFonts w:hint="eastAsia" w:ascii="宋体" w:hAnsi="Courier New"/>
          <w:sz w:val="22"/>
          <w:lang w:val="zh-CN"/>
        </w:rPr>
        <w:t>我方对完工期承诺如下</w:t>
      </w:r>
      <w:r>
        <w:rPr>
          <w:rFonts w:hint="eastAsia" w:ascii="宋体" w:hAnsi="Courier New"/>
          <w:b/>
          <w:bCs/>
          <w:sz w:val="22"/>
          <w:u w:val="single"/>
          <w:lang w:val="zh-CN"/>
        </w:rPr>
        <w:t>：</w:t>
      </w:r>
      <w:r>
        <w:rPr>
          <w:rFonts w:hint="eastAsia" w:ascii="宋体" w:hAnsi="宋体"/>
          <w:b/>
          <w:bCs/>
          <w:sz w:val="22"/>
          <w:u w:val="single"/>
        </w:rPr>
        <w:t>按招标文件规定期限交货并通过采购单位验收，逾期采购单位有权拒绝供货。</w:t>
      </w:r>
    </w:p>
    <w:p w14:paraId="1C5DF773">
      <w:pPr>
        <w:autoSpaceDE w:val="0"/>
        <w:autoSpaceDN w:val="0"/>
        <w:adjustRightInd w:val="0"/>
        <w:spacing w:line="440" w:lineRule="atLeast"/>
        <w:ind w:firstLine="450"/>
        <w:rPr>
          <w:rFonts w:ascii="宋体"/>
          <w:sz w:val="22"/>
          <w:szCs w:val="24"/>
          <w:lang w:val="zh-CN"/>
        </w:rPr>
      </w:pPr>
      <w:r>
        <w:rPr>
          <w:rFonts w:ascii="宋体"/>
          <w:sz w:val="22"/>
          <w:szCs w:val="24"/>
          <w:lang w:val="zh-CN"/>
        </w:rPr>
        <w:t>5</w:t>
      </w:r>
      <w:r>
        <w:rPr>
          <w:rFonts w:hint="eastAsia" w:ascii="宋体"/>
          <w:sz w:val="22"/>
          <w:szCs w:val="24"/>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52DAEBD7">
      <w:pPr>
        <w:spacing w:line="340" w:lineRule="exact"/>
        <w:ind w:firstLine="442" w:firstLineChars="201"/>
        <w:rPr>
          <w:rFonts w:ascii="宋体"/>
          <w:sz w:val="22"/>
          <w:szCs w:val="24"/>
        </w:rPr>
      </w:pPr>
      <w:r>
        <w:rPr>
          <w:rFonts w:ascii="宋体"/>
          <w:sz w:val="22"/>
          <w:szCs w:val="24"/>
        </w:rPr>
        <w:t>6</w:t>
      </w:r>
      <w:r>
        <w:rPr>
          <w:rFonts w:hint="eastAsia" w:ascii="宋体"/>
          <w:sz w:val="22"/>
          <w:szCs w:val="24"/>
        </w:rPr>
        <w:t>、利益冲突：近三年内直至目前，我公司与本项目的采购单位、招标代理机构没有任何的隶属关系。</w:t>
      </w:r>
    </w:p>
    <w:p w14:paraId="39DA9474">
      <w:pPr>
        <w:autoSpaceDE w:val="0"/>
        <w:autoSpaceDN w:val="0"/>
        <w:adjustRightInd w:val="0"/>
        <w:spacing w:line="440" w:lineRule="atLeast"/>
        <w:ind w:firstLine="442" w:firstLineChars="201"/>
        <w:rPr>
          <w:rFonts w:ascii="宋体"/>
          <w:sz w:val="22"/>
          <w:szCs w:val="24"/>
          <w:lang w:val="zh-CN"/>
        </w:rPr>
      </w:pPr>
      <w:r>
        <w:rPr>
          <w:rFonts w:ascii="宋体"/>
          <w:sz w:val="22"/>
          <w:szCs w:val="24"/>
        </w:rPr>
        <w:t>7</w:t>
      </w:r>
      <w:r>
        <w:rPr>
          <w:rFonts w:hint="eastAsia" w:ascii="宋体"/>
          <w:sz w:val="22"/>
          <w:szCs w:val="24"/>
        </w:rPr>
        <w:t>、我公司没有被各级、各地财政监管部门限制参加政府采购活动，且在限制期内。</w:t>
      </w:r>
    </w:p>
    <w:p w14:paraId="031BD19F">
      <w:pPr>
        <w:autoSpaceDE w:val="0"/>
        <w:autoSpaceDN w:val="0"/>
        <w:adjustRightInd w:val="0"/>
        <w:spacing w:line="440" w:lineRule="atLeast"/>
        <w:ind w:firstLine="442" w:firstLineChars="201"/>
        <w:rPr>
          <w:rFonts w:ascii="宋体"/>
          <w:sz w:val="22"/>
          <w:szCs w:val="24"/>
          <w:lang w:val="zh-CN"/>
        </w:rPr>
      </w:pPr>
      <w:r>
        <w:rPr>
          <w:rFonts w:ascii="宋体"/>
          <w:sz w:val="22"/>
          <w:szCs w:val="24"/>
          <w:lang w:val="zh-CN"/>
        </w:rPr>
        <w:t>8</w:t>
      </w:r>
      <w:r>
        <w:rPr>
          <w:rFonts w:hint="eastAsia" w:ascii="宋体"/>
          <w:sz w:val="22"/>
          <w:szCs w:val="24"/>
          <w:lang w:val="zh-CN"/>
        </w:rPr>
        <w:t>、愿意向贵方提供任何与该项投标有关的数据、情况和技术资料，完全理解贵方不一定接受最低价的投标或收到的任何投标。</w:t>
      </w:r>
    </w:p>
    <w:p w14:paraId="4113FDE4">
      <w:pPr>
        <w:autoSpaceDE w:val="0"/>
        <w:autoSpaceDN w:val="0"/>
        <w:adjustRightInd w:val="0"/>
        <w:spacing w:line="440" w:lineRule="atLeast"/>
        <w:ind w:firstLine="442" w:firstLineChars="201"/>
        <w:rPr>
          <w:rFonts w:ascii="宋体"/>
          <w:sz w:val="22"/>
          <w:szCs w:val="24"/>
          <w:lang w:val="zh-CN"/>
        </w:rPr>
      </w:pPr>
      <w:r>
        <w:rPr>
          <w:rFonts w:ascii="宋体"/>
          <w:sz w:val="22"/>
          <w:szCs w:val="24"/>
          <w:lang w:val="zh-CN"/>
        </w:rPr>
        <w:t>9</w:t>
      </w:r>
      <w:r>
        <w:rPr>
          <w:rFonts w:hint="eastAsia" w:ascii="宋体"/>
          <w:sz w:val="22"/>
          <w:szCs w:val="24"/>
          <w:lang w:val="zh-CN"/>
        </w:rPr>
        <w:t>、本投标自开标之日起</w:t>
      </w:r>
      <w:r>
        <w:rPr>
          <w:rFonts w:ascii="宋体"/>
          <w:sz w:val="22"/>
          <w:szCs w:val="24"/>
          <w:lang w:val="zh-CN"/>
        </w:rPr>
        <w:t>90</w:t>
      </w:r>
      <w:r>
        <w:rPr>
          <w:rFonts w:hint="eastAsia" w:ascii="宋体"/>
          <w:sz w:val="22"/>
          <w:szCs w:val="24"/>
          <w:lang w:val="zh-CN"/>
        </w:rPr>
        <w:t>天内有效。</w:t>
      </w:r>
    </w:p>
    <w:p w14:paraId="4FE01089">
      <w:pPr>
        <w:autoSpaceDE w:val="0"/>
        <w:autoSpaceDN w:val="0"/>
        <w:adjustRightInd w:val="0"/>
        <w:spacing w:line="440" w:lineRule="atLeast"/>
        <w:ind w:firstLine="442" w:firstLineChars="201"/>
        <w:rPr>
          <w:rFonts w:ascii="宋体"/>
          <w:sz w:val="22"/>
          <w:szCs w:val="24"/>
          <w:lang w:val="zh-CN"/>
        </w:rPr>
      </w:pPr>
      <w:r>
        <w:rPr>
          <w:rFonts w:ascii="宋体"/>
          <w:sz w:val="22"/>
          <w:szCs w:val="24"/>
          <w:lang w:val="zh-CN"/>
        </w:rPr>
        <w:t>10</w:t>
      </w:r>
      <w:r>
        <w:rPr>
          <w:rFonts w:hint="eastAsia" w:ascii="宋体"/>
          <w:sz w:val="22"/>
          <w:szCs w:val="24"/>
          <w:lang w:val="zh-CN"/>
        </w:rPr>
        <w:t>、与本投标有关的一切往来通讯请寄：</w:t>
      </w:r>
    </w:p>
    <w:p w14:paraId="08B71825">
      <w:pPr>
        <w:autoSpaceDE w:val="0"/>
        <w:autoSpaceDN w:val="0"/>
        <w:adjustRightInd w:val="0"/>
        <w:spacing w:line="440" w:lineRule="atLeast"/>
        <w:ind w:firstLine="585" w:firstLineChars="266"/>
        <w:rPr>
          <w:rFonts w:ascii="宋体" w:cs="仿宋_GB2312"/>
          <w:sz w:val="22"/>
          <w:szCs w:val="22"/>
          <w:u w:val="single"/>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14:paraId="02DDC10F">
      <w:pPr>
        <w:autoSpaceDE w:val="0"/>
        <w:autoSpaceDN w:val="0"/>
        <w:adjustRightInd w:val="0"/>
        <w:spacing w:line="440" w:lineRule="atLeast"/>
        <w:ind w:firstLine="585" w:firstLineChars="266"/>
        <w:rPr>
          <w:rFonts w:ascii="宋体" w:cs="仿宋_GB2312"/>
          <w:sz w:val="22"/>
          <w:szCs w:val="22"/>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14:paraId="6E184FAA">
      <w:pPr>
        <w:autoSpaceDE w:val="0"/>
        <w:autoSpaceDN w:val="0"/>
        <w:adjustRightInd w:val="0"/>
        <w:spacing w:line="440" w:lineRule="atLeast"/>
        <w:rPr>
          <w:rFonts w:ascii="宋体" w:cs="仿宋_GB2312"/>
          <w:sz w:val="22"/>
          <w:szCs w:val="22"/>
          <w:lang w:val="zh-CN"/>
        </w:rPr>
      </w:pPr>
    </w:p>
    <w:p w14:paraId="59FEB314">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供应商全称（盖章）：</w:t>
      </w:r>
    </w:p>
    <w:p w14:paraId="1C4F6A25">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法定代表人（签字或盖章）：</w:t>
      </w:r>
    </w:p>
    <w:p w14:paraId="0777DD43">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14:paraId="2A34BC14">
      <w:pPr>
        <w:autoSpaceDE w:val="0"/>
        <w:autoSpaceDN w:val="0"/>
        <w:adjustRightInd w:val="0"/>
        <w:spacing w:line="440" w:lineRule="atLeast"/>
        <w:ind w:firstLine="627" w:firstLineChars="285"/>
        <w:rPr>
          <w:rFonts w:ascii="宋体" w:cs="仿宋_GB2312"/>
          <w:sz w:val="22"/>
          <w:szCs w:val="22"/>
          <w:lang w:val="zh-CN"/>
        </w:rPr>
      </w:pPr>
    </w:p>
    <w:p w14:paraId="244882F6">
      <w:pPr>
        <w:spacing w:line="360" w:lineRule="auto"/>
        <w:ind w:firstLine="442" w:firstLineChars="200"/>
        <w:rPr>
          <w:rFonts w:ascii="宋体" w:hAnsi="宋体"/>
          <w:szCs w:val="21"/>
        </w:rPr>
      </w:pPr>
      <w:r>
        <w:rPr>
          <w:rFonts w:hint="eastAsia" w:ascii="宋体" w:hAnsi="宋体" w:cs="宋体"/>
          <w:b/>
          <w:bCs/>
          <w:kern w:val="0"/>
          <w:sz w:val="22"/>
          <w:szCs w:val="22"/>
          <w:u w:val="single"/>
        </w:rPr>
        <w:t>备注：不提供本函做无效投标处理。</w:t>
      </w:r>
    </w:p>
    <w:p w14:paraId="09C14D29">
      <w:pPr>
        <w:adjustRightInd w:val="0"/>
        <w:snapToGrid w:val="0"/>
        <w:spacing w:line="400" w:lineRule="exact"/>
        <w:rPr>
          <w:rFonts w:ascii="宋体" w:hAnsi="宋体"/>
          <w:sz w:val="32"/>
          <w:szCs w:val="32"/>
        </w:rPr>
      </w:pPr>
      <w:r>
        <w:rPr>
          <w:rFonts w:hint="eastAsia" w:ascii="宋体" w:hAnsi="宋体"/>
          <w:b/>
          <w:sz w:val="32"/>
          <w:szCs w:val="32"/>
        </w:rPr>
        <w:br w:type="page"/>
      </w:r>
      <w:r>
        <w:rPr>
          <w:rFonts w:hint="eastAsia" w:ascii="宋体" w:hAnsi="宋体"/>
          <w:b/>
          <w:sz w:val="32"/>
          <w:szCs w:val="32"/>
        </w:rPr>
        <w:t>附件七</w:t>
      </w:r>
      <w:r>
        <w:rPr>
          <w:rFonts w:hint="eastAsia" w:ascii="宋体" w:hAnsi="宋体"/>
          <w:sz w:val="32"/>
          <w:szCs w:val="32"/>
        </w:rPr>
        <w:t xml:space="preserve"> </w:t>
      </w:r>
    </w:p>
    <w:p w14:paraId="7BCE866B">
      <w:pPr>
        <w:adjustRightInd w:val="0"/>
        <w:snapToGrid w:val="0"/>
        <w:spacing w:line="360" w:lineRule="exact"/>
        <w:jc w:val="center"/>
        <w:rPr>
          <w:rFonts w:ascii="宋体"/>
          <w:sz w:val="36"/>
          <w:szCs w:val="36"/>
        </w:rPr>
      </w:pPr>
      <w:r>
        <w:rPr>
          <w:rFonts w:hint="eastAsia" w:ascii="宋体"/>
          <w:sz w:val="36"/>
          <w:szCs w:val="36"/>
        </w:rPr>
        <w:t>供应商参与国企采购活动投标资格声明函</w:t>
      </w:r>
    </w:p>
    <w:tbl>
      <w:tblPr>
        <w:tblStyle w:val="31"/>
        <w:tblW w:w="98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389"/>
      </w:tblGrid>
      <w:tr w14:paraId="1125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30" w:type="dxa"/>
          </w:tcPr>
          <w:p w14:paraId="7E67D281">
            <w:pPr>
              <w:adjustRightInd w:val="0"/>
              <w:snapToGrid w:val="0"/>
              <w:spacing w:line="400" w:lineRule="exact"/>
              <w:jc w:val="center"/>
              <w:rPr>
                <w:rFonts w:ascii="宋体" w:hAnsi="宋体"/>
                <w:bCs/>
                <w:sz w:val="22"/>
                <w:szCs w:val="22"/>
              </w:rPr>
            </w:pPr>
            <w:r>
              <w:rPr>
                <w:rFonts w:ascii="宋体" w:hAnsi="宋体"/>
                <w:bCs/>
                <w:sz w:val="22"/>
                <w:szCs w:val="22"/>
              </w:rPr>
              <w:t>项目名称</w:t>
            </w:r>
          </w:p>
        </w:tc>
        <w:tc>
          <w:tcPr>
            <w:tcW w:w="8389" w:type="dxa"/>
          </w:tcPr>
          <w:p w14:paraId="31843333">
            <w:pPr>
              <w:adjustRightInd w:val="0"/>
              <w:snapToGrid w:val="0"/>
              <w:spacing w:line="400" w:lineRule="exact"/>
              <w:rPr>
                <w:rFonts w:ascii="宋体" w:hAnsi="宋体"/>
                <w:bCs/>
                <w:sz w:val="22"/>
                <w:szCs w:val="22"/>
              </w:rPr>
            </w:pPr>
            <w:r>
              <w:rPr>
                <w:rFonts w:hint="eastAsia" w:ascii="宋体" w:hAnsi="宋体"/>
                <w:bCs/>
                <w:sz w:val="22"/>
                <w:szCs w:val="22"/>
                <w:lang w:val="zh-CN"/>
              </w:rPr>
              <w:t>泰顺县南浦溪镇环卫一体化和垃圾分类服务项目</w:t>
            </w:r>
          </w:p>
        </w:tc>
      </w:tr>
      <w:tr w14:paraId="7B3B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0" w:type="dxa"/>
            <w:tcBorders>
              <w:top w:val="single" w:color="auto" w:sz="4" w:space="0"/>
              <w:left w:val="single" w:color="auto" w:sz="4" w:space="0"/>
              <w:right w:val="single" w:color="auto" w:sz="4" w:space="0"/>
            </w:tcBorders>
          </w:tcPr>
          <w:p w14:paraId="559D2CBB">
            <w:pPr>
              <w:adjustRightInd w:val="0"/>
              <w:snapToGrid w:val="0"/>
              <w:spacing w:line="400" w:lineRule="exact"/>
              <w:jc w:val="center"/>
              <w:rPr>
                <w:rFonts w:ascii="宋体" w:hAnsi="宋体"/>
                <w:bCs/>
                <w:sz w:val="22"/>
                <w:szCs w:val="22"/>
              </w:rPr>
            </w:pPr>
            <w:r>
              <w:rPr>
                <w:rFonts w:hint="eastAsia" w:ascii="宋体" w:hAnsi="宋体"/>
                <w:bCs/>
                <w:sz w:val="22"/>
                <w:szCs w:val="22"/>
              </w:rPr>
              <w:t>项目编号</w:t>
            </w:r>
          </w:p>
        </w:tc>
        <w:tc>
          <w:tcPr>
            <w:tcW w:w="8389" w:type="dxa"/>
            <w:tcBorders>
              <w:top w:val="single" w:color="auto" w:sz="4" w:space="0"/>
              <w:left w:val="single" w:color="auto" w:sz="4" w:space="0"/>
              <w:right w:val="single" w:color="auto" w:sz="4" w:space="0"/>
            </w:tcBorders>
          </w:tcPr>
          <w:p w14:paraId="48391D00">
            <w:pPr>
              <w:adjustRightInd w:val="0"/>
              <w:snapToGrid w:val="0"/>
              <w:spacing w:line="400" w:lineRule="exact"/>
              <w:rPr>
                <w:rFonts w:ascii="宋体" w:hAnsi="宋体"/>
                <w:bCs/>
                <w:sz w:val="22"/>
                <w:szCs w:val="22"/>
              </w:rPr>
            </w:pPr>
            <w:r>
              <w:rPr>
                <w:rFonts w:hint="eastAsia" w:ascii="宋体" w:hAnsi="宋体"/>
                <w:bCs/>
                <w:sz w:val="22"/>
                <w:szCs w:val="22"/>
                <w:lang w:eastAsia="zh-CN"/>
              </w:rPr>
              <w:t xml:space="preserve">TSCG202505002  </w:t>
            </w:r>
            <w:r>
              <w:rPr>
                <w:rFonts w:hint="eastAsia" w:ascii="宋体" w:hAnsi="宋体"/>
                <w:bCs/>
                <w:sz w:val="22"/>
                <w:szCs w:val="22"/>
              </w:rPr>
              <w:t xml:space="preserve"> </w:t>
            </w:r>
          </w:p>
        </w:tc>
      </w:tr>
      <w:tr w14:paraId="50C0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0" w:type="dxa"/>
            <w:tcBorders>
              <w:top w:val="single" w:color="auto" w:sz="4" w:space="0"/>
              <w:left w:val="single" w:color="auto" w:sz="4" w:space="0"/>
              <w:right w:val="single" w:color="auto" w:sz="4" w:space="0"/>
            </w:tcBorders>
          </w:tcPr>
          <w:p w14:paraId="2C447919">
            <w:pPr>
              <w:adjustRightInd w:val="0"/>
              <w:snapToGrid w:val="0"/>
              <w:spacing w:line="400" w:lineRule="exact"/>
              <w:jc w:val="center"/>
              <w:rPr>
                <w:rFonts w:ascii="宋体" w:hAnsi="宋体"/>
                <w:bCs/>
                <w:sz w:val="22"/>
                <w:szCs w:val="22"/>
              </w:rPr>
            </w:pPr>
            <w:r>
              <w:rPr>
                <w:rFonts w:ascii="宋体" w:hAnsi="宋体"/>
                <w:bCs/>
                <w:sz w:val="22"/>
                <w:szCs w:val="22"/>
              </w:rPr>
              <w:t>时    间</w:t>
            </w:r>
          </w:p>
        </w:tc>
        <w:tc>
          <w:tcPr>
            <w:tcW w:w="8389" w:type="dxa"/>
            <w:tcBorders>
              <w:top w:val="single" w:color="auto" w:sz="4" w:space="0"/>
              <w:left w:val="single" w:color="auto" w:sz="4" w:space="0"/>
              <w:right w:val="single" w:color="auto" w:sz="4" w:space="0"/>
            </w:tcBorders>
          </w:tcPr>
          <w:p w14:paraId="3458335C">
            <w:pPr>
              <w:adjustRightInd w:val="0"/>
              <w:snapToGrid w:val="0"/>
              <w:spacing w:line="400" w:lineRule="exact"/>
              <w:rPr>
                <w:rFonts w:ascii="宋体" w:hAnsi="宋体"/>
                <w:bCs/>
                <w:sz w:val="22"/>
                <w:szCs w:val="22"/>
              </w:rPr>
            </w:pPr>
            <w:r>
              <w:rPr>
                <w:rFonts w:ascii="宋体" w:hAnsi="宋体"/>
                <w:bCs/>
                <w:sz w:val="22"/>
                <w:szCs w:val="22"/>
              </w:rPr>
              <w:t>投标截止时间：</w:t>
            </w:r>
          </w:p>
        </w:tc>
      </w:tr>
      <w:tr w14:paraId="0149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Borders>
              <w:top w:val="single" w:color="auto" w:sz="4" w:space="0"/>
              <w:left w:val="single" w:color="auto" w:sz="4" w:space="0"/>
              <w:right w:val="single" w:color="auto" w:sz="4" w:space="0"/>
            </w:tcBorders>
          </w:tcPr>
          <w:p w14:paraId="585B4F49">
            <w:pPr>
              <w:pStyle w:val="27"/>
              <w:widowControl w:val="0"/>
              <w:adjustRightInd w:val="0"/>
              <w:snapToGrid w:val="0"/>
              <w:spacing w:line="360" w:lineRule="auto"/>
              <w:ind w:firstLine="450"/>
              <w:jc w:val="both"/>
              <w:rPr>
                <w:kern w:val="2"/>
                <w:sz w:val="21"/>
                <w:szCs w:val="21"/>
              </w:rPr>
            </w:pPr>
            <w:r>
              <w:rPr>
                <w:rFonts w:hint="eastAsia"/>
                <w:kern w:val="2"/>
                <w:sz w:val="21"/>
                <w:szCs w:val="21"/>
              </w:rPr>
              <w:t>1、根据《</w:t>
            </w:r>
            <w:r>
              <w:rPr>
                <w:rFonts w:hint="eastAsia" w:hAnsi="Times New Roman" w:cs="Times New Roman"/>
                <w:kern w:val="2"/>
                <w:sz w:val="21"/>
                <w:szCs w:val="18"/>
              </w:rPr>
              <w:t>泰顺县县属国有企业采购管理办法（试行）</w:t>
            </w:r>
            <w:r>
              <w:rPr>
                <w:rFonts w:hint="eastAsia"/>
                <w:kern w:val="2"/>
                <w:sz w:val="21"/>
                <w:szCs w:val="21"/>
              </w:rPr>
              <w:t>》第十二条规定，我单位满足以下条件，并已经在技术资信部分投标文件中提供了相应的证明材料：</w:t>
            </w:r>
          </w:p>
          <w:p w14:paraId="756DFD86">
            <w:pPr>
              <w:pStyle w:val="27"/>
              <w:widowControl w:val="0"/>
              <w:adjustRightInd w:val="0"/>
              <w:snapToGrid w:val="0"/>
              <w:spacing w:line="360" w:lineRule="auto"/>
              <w:ind w:firstLine="450"/>
              <w:jc w:val="both"/>
              <w:rPr>
                <w:kern w:val="2"/>
                <w:sz w:val="21"/>
                <w:szCs w:val="21"/>
              </w:rPr>
            </w:pPr>
            <w:r>
              <w:rPr>
                <w:rFonts w:hint="eastAsia"/>
                <w:kern w:val="2"/>
                <w:sz w:val="21"/>
                <w:szCs w:val="21"/>
              </w:rPr>
              <w:t>（一）具有独立承担民事责任的能力；</w:t>
            </w:r>
          </w:p>
          <w:p w14:paraId="7CD53284">
            <w:pPr>
              <w:pStyle w:val="27"/>
              <w:widowControl w:val="0"/>
              <w:adjustRightInd w:val="0"/>
              <w:snapToGrid w:val="0"/>
              <w:spacing w:line="360" w:lineRule="auto"/>
              <w:ind w:firstLine="450"/>
              <w:jc w:val="both"/>
              <w:rPr>
                <w:kern w:val="2"/>
                <w:sz w:val="21"/>
                <w:szCs w:val="21"/>
              </w:rPr>
            </w:pPr>
            <w:r>
              <w:rPr>
                <w:rFonts w:hint="eastAsia"/>
                <w:kern w:val="2"/>
                <w:sz w:val="21"/>
                <w:szCs w:val="21"/>
              </w:rPr>
              <w:t xml:space="preserve">  （二）具有良好的商业信誉和健全的财务会计制度；</w:t>
            </w:r>
          </w:p>
          <w:p w14:paraId="74A6E358">
            <w:pPr>
              <w:pStyle w:val="27"/>
              <w:widowControl w:val="0"/>
              <w:adjustRightInd w:val="0"/>
              <w:snapToGrid w:val="0"/>
              <w:spacing w:line="360" w:lineRule="auto"/>
              <w:ind w:firstLine="450"/>
              <w:jc w:val="both"/>
              <w:rPr>
                <w:kern w:val="2"/>
                <w:sz w:val="21"/>
                <w:szCs w:val="21"/>
              </w:rPr>
            </w:pPr>
            <w:r>
              <w:rPr>
                <w:rFonts w:hint="eastAsia"/>
                <w:kern w:val="2"/>
                <w:sz w:val="21"/>
                <w:szCs w:val="21"/>
              </w:rPr>
              <w:t xml:space="preserve">  （三）具有履行合同所必需的设备和专业技术能力；</w:t>
            </w:r>
          </w:p>
          <w:p w14:paraId="6A0E9AD3">
            <w:pPr>
              <w:pStyle w:val="27"/>
              <w:widowControl w:val="0"/>
              <w:adjustRightInd w:val="0"/>
              <w:snapToGrid w:val="0"/>
              <w:spacing w:line="360" w:lineRule="auto"/>
              <w:ind w:firstLine="450"/>
              <w:jc w:val="both"/>
              <w:rPr>
                <w:kern w:val="2"/>
                <w:sz w:val="21"/>
                <w:szCs w:val="21"/>
              </w:rPr>
            </w:pPr>
            <w:r>
              <w:rPr>
                <w:rFonts w:hint="eastAsia"/>
                <w:kern w:val="2"/>
                <w:sz w:val="21"/>
                <w:szCs w:val="21"/>
              </w:rPr>
              <w:t xml:space="preserve">  （四）有依法缴纳税收和社会保障资金的良好记录；</w:t>
            </w:r>
          </w:p>
          <w:p w14:paraId="4B2074D4">
            <w:pPr>
              <w:pStyle w:val="27"/>
              <w:widowControl w:val="0"/>
              <w:adjustRightInd w:val="0"/>
              <w:snapToGrid w:val="0"/>
              <w:spacing w:line="360" w:lineRule="auto"/>
              <w:ind w:firstLine="450"/>
              <w:jc w:val="both"/>
              <w:rPr>
                <w:kern w:val="2"/>
                <w:sz w:val="21"/>
                <w:szCs w:val="21"/>
              </w:rPr>
            </w:pPr>
            <w:r>
              <w:rPr>
                <w:rFonts w:hint="eastAsia"/>
                <w:kern w:val="2"/>
                <w:sz w:val="21"/>
                <w:szCs w:val="21"/>
              </w:rPr>
              <w:t xml:space="preserve">  （五）参加国企或政府采购活动前三年内，在经营活动中没有重大违法记录；</w:t>
            </w:r>
          </w:p>
          <w:p w14:paraId="00DF22FF">
            <w:pPr>
              <w:pStyle w:val="27"/>
              <w:widowControl w:val="0"/>
              <w:adjustRightInd w:val="0"/>
              <w:snapToGrid w:val="0"/>
              <w:spacing w:line="360" w:lineRule="auto"/>
              <w:ind w:firstLine="450"/>
              <w:jc w:val="both"/>
              <w:rPr>
                <w:kern w:val="2"/>
                <w:sz w:val="21"/>
                <w:szCs w:val="21"/>
              </w:rPr>
            </w:pPr>
            <w:r>
              <w:rPr>
                <w:rFonts w:hint="eastAsia"/>
                <w:kern w:val="2"/>
                <w:sz w:val="21"/>
                <w:szCs w:val="21"/>
              </w:rPr>
              <w:t xml:space="preserve">  （六）法律、行政法规规定的其他条件。</w:t>
            </w:r>
          </w:p>
          <w:p w14:paraId="62B88149">
            <w:pPr>
              <w:pStyle w:val="27"/>
              <w:widowControl w:val="0"/>
              <w:adjustRightInd w:val="0"/>
              <w:snapToGrid w:val="0"/>
              <w:spacing w:line="360" w:lineRule="auto"/>
              <w:ind w:firstLine="450"/>
              <w:jc w:val="both"/>
              <w:rPr>
                <w:kern w:val="2"/>
                <w:sz w:val="21"/>
                <w:szCs w:val="21"/>
              </w:rPr>
            </w:pPr>
            <w:r>
              <w:rPr>
                <w:rFonts w:hint="eastAsia"/>
                <w:kern w:val="2"/>
                <w:sz w:val="21"/>
                <w:szCs w:val="21"/>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国企或政府采购活动。我单位不存在上述文件规定依法限制参与国企或政府采购的情况，并提供“信用中国”、“中国政府采购网”查询网页截图（公告发布之日至投标截止时间）。</w:t>
            </w:r>
          </w:p>
          <w:p w14:paraId="27F8A98A">
            <w:pPr>
              <w:pStyle w:val="27"/>
              <w:widowControl w:val="0"/>
              <w:adjustRightInd w:val="0"/>
              <w:snapToGrid w:val="0"/>
              <w:spacing w:line="360" w:lineRule="auto"/>
              <w:ind w:firstLine="450"/>
              <w:jc w:val="both"/>
              <w:rPr>
                <w:kern w:val="2"/>
                <w:sz w:val="21"/>
                <w:szCs w:val="21"/>
              </w:rPr>
            </w:pPr>
            <w:r>
              <w:rPr>
                <w:rFonts w:hint="eastAsia"/>
                <w:kern w:val="2"/>
                <w:sz w:val="21"/>
                <w:szCs w:val="21"/>
              </w:rPr>
              <w:t>3、我单位没有被各地、各级财政部门限制参加国企或政府采购活动，且在限制期内：</w:t>
            </w:r>
          </w:p>
          <w:p w14:paraId="100C6EFF">
            <w:pPr>
              <w:adjustRightInd w:val="0"/>
              <w:spacing w:line="360" w:lineRule="auto"/>
              <w:ind w:firstLine="400"/>
              <w:rPr>
                <w:rFonts w:ascii="宋体" w:hAnsi="宋体" w:cs="宋体"/>
                <w:szCs w:val="21"/>
                <w:u w:val="single"/>
              </w:rPr>
            </w:pPr>
            <w:r>
              <w:rPr>
                <w:rFonts w:hint="eastAsia" w:ascii="宋体" w:hAnsi="宋体" w:cs="宋体"/>
                <w:szCs w:val="21"/>
              </w:rPr>
              <w:t>4、我单位参与本项目国企或政府采购活动3年内其它重大违法记录（重大违法记录，是指供应商因违法经营受到刑事处罚或者责令停产停业、吊销许可证或者执照、较大数额罚款等行政处罚）情况声明：</w:t>
            </w:r>
          </w:p>
          <w:p w14:paraId="0ED3D78E">
            <w:pPr>
              <w:adjustRightInd w:val="0"/>
              <w:spacing w:line="360" w:lineRule="auto"/>
              <w:ind w:firstLine="400"/>
              <w:rPr>
                <w:rFonts w:ascii="宋体" w:hAnsi="宋体" w:cs="宋体"/>
                <w:szCs w:val="21"/>
              </w:rPr>
            </w:pPr>
            <w:r>
              <w:rPr>
                <w:rFonts w:hint="eastAsia" w:ascii="宋体" w:hAnsi="宋体" w:cs="宋体"/>
                <w:szCs w:val="21"/>
                <w:u w:val="single"/>
              </w:rPr>
              <w:t>5、我单位符合本项目特定资格条件：                       的要求</w:t>
            </w:r>
            <w:r>
              <w:rPr>
                <w:rFonts w:hint="eastAsia" w:ascii="宋体" w:hAnsi="宋体" w:cs="宋体"/>
                <w:szCs w:val="21"/>
              </w:rPr>
              <w:t>，并在技术资信部分投标文件中提供了相应的证明材料</w:t>
            </w:r>
            <w:r>
              <w:rPr>
                <w:rFonts w:hint="eastAsia" w:ascii="宋体" w:hAnsi="宋体" w:cs="宋体"/>
                <w:szCs w:val="21"/>
                <w:u w:val="single"/>
              </w:rPr>
              <w:t>（竞争性磋商文件没有要求特定资格条件的，本条款空格处可以空白）</w:t>
            </w:r>
          </w:p>
          <w:p w14:paraId="7594172A">
            <w:pPr>
              <w:rPr>
                <w:rFonts w:ascii="宋体"/>
                <w:bCs/>
                <w:sz w:val="22"/>
                <w:szCs w:val="24"/>
              </w:rPr>
            </w:pPr>
            <w:r>
              <w:rPr>
                <w:rFonts w:hint="eastAsia" w:ascii="宋体" w:hAns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846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819" w:type="dxa"/>
            <w:gridSpan w:val="2"/>
            <w:tcBorders>
              <w:top w:val="single" w:color="auto" w:sz="4" w:space="0"/>
              <w:left w:val="single" w:color="auto" w:sz="4" w:space="0"/>
              <w:right w:val="single" w:color="auto" w:sz="4" w:space="0"/>
            </w:tcBorders>
            <w:vAlign w:val="center"/>
          </w:tcPr>
          <w:p w14:paraId="0391551C">
            <w:pPr>
              <w:adjustRightInd w:val="0"/>
              <w:snapToGrid w:val="0"/>
              <w:spacing w:line="400" w:lineRule="exact"/>
              <w:rPr>
                <w:rFonts w:ascii="宋体" w:hAnsi="宋体"/>
                <w:bCs/>
                <w:sz w:val="22"/>
                <w:szCs w:val="22"/>
              </w:rPr>
            </w:pPr>
            <w:r>
              <w:rPr>
                <w:rFonts w:ascii="宋体" w:hAnsi="宋体"/>
                <w:bCs/>
                <w:sz w:val="22"/>
                <w:szCs w:val="22"/>
              </w:rPr>
              <w:t>供应商名称（加盖公章）：</w:t>
            </w:r>
          </w:p>
        </w:tc>
      </w:tr>
      <w:tr w14:paraId="13F1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819" w:type="dxa"/>
            <w:gridSpan w:val="2"/>
            <w:tcBorders>
              <w:top w:val="single" w:color="auto" w:sz="4" w:space="0"/>
              <w:left w:val="single" w:color="auto" w:sz="4" w:space="0"/>
              <w:right w:val="single" w:color="auto" w:sz="4" w:space="0"/>
            </w:tcBorders>
            <w:vAlign w:val="center"/>
          </w:tcPr>
          <w:p w14:paraId="4E646AE7">
            <w:pPr>
              <w:adjustRightInd w:val="0"/>
              <w:snapToGrid w:val="0"/>
              <w:spacing w:line="400" w:lineRule="exact"/>
              <w:rPr>
                <w:rFonts w:ascii="宋体" w:hAnsi="宋体"/>
                <w:bCs/>
                <w:sz w:val="22"/>
                <w:szCs w:val="22"/>
              </w:rPr>
            </w:pPr>
            <w:r>
              <w:rPr>
                <w:rFonts w:ascii="宋体" w:hAnsi="宋体"/>
                <w:bCs/>
                <w:sz w:val="22"/>
                <w:szCs w:val="22"/>
              </w:rPr>
              <w:t>法定代表人（签字或盖章）或</w:t>
            </w:r>
            <w:r>
              <w:rPr>
                <w:rFonts w:ascii="宋体" w:hAnsi="宋体"/>
                <w:bCs/>
                <w:sz w:val="22"/>
                <w:szCs w:val="22"/>
                <w:lang w:val="zh-CN"/>
              </w:rPr>
              <w:t>授权代表（</w:t>
            </w:r>
            <w:r>
              <w:rPr>
                <w:rFonts w:ascii="宋体" w:hAnsi="宋体"/>
                <w:bCs/>
                <w:sz w:val="22"/>
                <w:szCs w:val="22"/>
              </w:rPr>
              <w:t>签字或盖章</w:t>
            </w:r>
            <w:r>
              <w:rPr>
                <w:rFonts w:ascii="宋体" w:hAnsi="宋体"/>
                <w:bCs/>
                <w:sz w:val="22"/>
                <w:szCs w:val="22"/>
                <w:lang w:val="zh-CN"/>
              </w:rPr>
              <w:t>）</w:t>
            </w:r>
            <w:r>
              <w:rPr>
                <w:rFonts w:ascii="宋体" w:hAnsi="宋体"/>
                <w:bCs/>
                <w:sz w:val="22"/>
                <w:szCs w:val="22"/>
              </w:rPr>
              <w:t>：</w:t>
            </w:r>
          </w:p>
        </w:tc>
      </w:tr>
      <w:tr w14:paraId="12B7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tcBorders>
              <w:top w:val="single" w:color="auto" w:sz="4" w:space="0"/>
              <w:left w:val="single" w:color="auto" w:sz="4" w:space="0"/>
              <w:right w:val="single" w:color="auto" w:sz="4" w:space="0"/>
            </w:tcBorders>
            <w:vAlign w:val="center"/>
          </w:tcPr>
          <w:p w14:paraId="5695C8DC">
            <w:pPr>
              <w:adjustRightInd w:val="0"/>
              <w:snapToGrid w:val="0"/>
              <w:spacing w:line="400" w:lineRule="exact"/>
              <w:rPr>
                <w:rFonts w:ascii="宋体" w:hAnsi="宋体"/>
                <w:bCs/>
                <w:sz w:val="22"/>
                <w:szCs w:val="22"/>
              </w:rPr>
            </w:pPr>
            <w:r>
              <w:rPr>
                <w:rFonts w:ascii="宋体" w:hAnsi="宋体"/>
                <w:bCs/>
                <w:sz w:val="22"/>
                <w:szCs w:val="22"/>
              </w:rPr>
              <w:t>签署日期：</w:t>
            </w:r>
          </w:p>
        </w:tc>
      </w:tr>
    </w:tbl>
    <w:p w14:paraId="6C834731">
      <w:pPr>
        <w:autoSpaceDE w:val="0"/>
        <w:autoSpaceDN w:val="0"/>
        <w:adjustRightInd w:val="0"/>
        <w:spacing w:line="440" w:lineRule="atLeast"/>
        <w:rPr>
          <w:rFonts w:ascii="宋体" w:hAnsi="宋体"/>
          <w:b/>
          <w:sz w:val="32"/>
          <w:szCs w:val="32"/>
        </w:rPr>
      </w:pPr>
      <w:r>
        <w:rPr>
          <w:rFonts w:hint="eastAsia" w:hAnsi="宋体"/>
          <w:b/>
          <w:sz w:val="22"/>
          <w:szCs w:val="24"/>
          <w:u w:val="single"/>
        </w:rPr>
        <w:t>备注：投标供应商必须按要求提供本声明，不提供按无效标处理</w:t>
      </w:r>
      <w:r>
        <w:rPr>
          <w:rFonts w:hint="eastAsia" w:hAnsi="宋体"/>
          <w:sz w:val="22"/>
          <w:szCs w:val="24"/>
          <w:u w:val="single"/>
        </w:rPr>
        <w:t>。</w:t>
      </w:r>
    </w:p>
    <w:p w14:paraId="02482A41">
      <w:pPr>
        <w:spacing w:line="440" w:lineRule="exact"/>
        <w:jc w:val="left"/>
        <w:rPr>
          <w:rFonts w:ascii="宋体" w:hAnsi="宋体"/>
          <w:b/>
          <w:sz w:val="32"/>
          <w:szCs w:val="32"/>
        </w:rPr>
      </w:pPr>
    </w:p>
    <w:p w14:paraId="79DB30EA">
      <w:pPr>
        <w:spacing w:line="440" w:lineRule="exact"/>
        <w:jc w:val="left"/>
        <w:rPr>
          <w:szCs w:val="24"/>
        </w:rPr>
      </w:pPr>
      <w:r>
        <w:rPr>
          <w:rFonts w:hint="eastAsia" w:ascii="宋体" w:hAnsi="宋体"/>
          <w:b/>
          <w:sz w:val="32"/>
          <w:szCs w:val="32"/>
        </w:rPr>
        <w:t>附件八</w:t>
      </w:r>
    </w:p>
    <w:p w14:paraId="5C6FE0E9">
      <w:pPr>
        <w:spacing w:line="460" w:lineRule="atLeast"/>
        <w:ind w:firstLine="773" w:firstLineChars="350"/>
        <w:rPr>
          <w:rFonts w:ascii="宋体" w:hAnsi="宋体"/>
          <w:b/>
          <w:bCs/>
          <w:sz w:val="22"/>
          <w:szCs w:val="22"/>
          <w:u w:val="single"/>
        </w:rPr>
      </w:pPr>
    </w:p>
    <w:p w14:paraId="6F6D6D53">
      <w:pPr>
        <w:spacing w:line="360" w:lineRule="auto"/>
        <w:jc w:val="center"/>
        <w:rPr>
          <w:rFonts w:ascii="宋体"/>
          <w:sz w:val="36"/>
          <w:szCs w:val="36"/>
        </w:rPr>
      </w:pPr>
      <w:r>
        <w:rPr>
          <w:rFonts w:hint="eastAsia" w:ascii="宋体"/>
          <w:sz w:val="36"/>
          <w:szCs w:val="36"/>
        </w:rPr>
        <w:t>法定代表人诚信投标承诺书</w:t>
      </w:r>
    </w:p>
    <w:p w14:paraId="461DDEF8">
      <w:pPr>
        <w:spacing w:line="360" w:lineRule="auto"/>
        <w:rPr>
          <w:rFonts w:ascii="宋体" w:hAnsi="宋体"/>
          <w:sz w:val="22"/>
          <w:szCs w:val="24"/>
        </w:rPr>
      </w:pPr>
      <w:r>
        <w:rPr>
          <w:rFonts w:hint="eastAsia" w:ascii="宋体" w:hAnsi="宋体"/>
          <w:sz w:val="22"/>
          <w:szCs w:val="24"/>
        </w:rPr>
        <w:t>本人以企业法定代表人的身份郑重承诺：</w:t>
      </w:r>
    </w:p>
    <w:p w14:paraId="60DBABEC">
      <w:pPr>
        <w:spacing w:line="360" w:lineRule="auto"/>
        <w:ind w:firstLine="420"/>
        <w:rPr>
          <w:rFonts w:ascii="宋体" w:hAnsi="宋体"/>
          <w:sz w:val="22"/>
          <w:szCs w:val="24"/>
        </w:rPr>
      </w:pPr>
      <w:r>
        <w:rPr>
          <w:rFonts w:hint="eastAsia" w:ascii="宋体" w:hAnsi="宋体"/>
          <w:sz w:val="22"/>
          <w:szCs w:val="24"/>
        </w:rPr>
        <w:t>将遵循公开、公平、公正和诚信信用的原则参加</w:t>
      </w:r>
      <w:r>
        <w:rPr>
          <w:rFonts w:hint="eastAsia" w:ascii="宋体" w:hAnsi="宋体"/>
          <w:sz w:val="22"/>
          <w:szCs w:val="24"/>
          <w:u w:val="single"/>
        </w:rPr>
        <w:t xml:space="preserve">                  项目（项目编号：</w:t>
      </w:r>
      <w:r>
        <w:rPr>
          <w:rFonts w:hint="eastAsia" w:ascii="宋体" w:hAnsi="宋体"/>
          <w:sz w:val="22"/>
          <w:szCs w:val="24"/>
          <w:u w:val="single"/>
          <w:lang w:eastAsia="zh-CN"/>
        </w:rPr>
        <w:t xml:space="preserve">TSCG202505002  </w:t>
      </w:r>
      <w:r>
        <w:rPr>
          <w:rFonts w:hint="eastAsia" w:ascii="宋体" w:hAnsi="宋体"/>
          <w:sz w:val="22"/>
          <w:szCs w:val="24"/>
          <w:u w:val="single"/>
        </w:rPr>
        <w:t xml:space="preserve"> ）</w:t>
      </w:r>
      <w:r>
        <w:rPr>
          <w:rFonts w:hint="eastAsia" w:ascii="宋体" w:hAnsi="宋体"/>
          <w:sz w:val="22"/>
          <w:szCs w:val="24"/>
        </w:rPr>
        <w:t>的投标；</w:t>
      </w:r>
    </w:p>
    <w:p w14:paraId="4B43994B">
      <w:pPr>
        <w:spacing w:line="360" w:lineRule="auto"/>
        <w:ind w:firstLine="420"/>
        <w:rPr>
          <w:rFonts w:ascii="宋体" w:hAnsi="宋体"/>
          <w:sz w:val="22"/>
          <w:szCs w:val="24"/>
        </w:rPr>
      </w:pPr>
      <w:r>
        <w:rPr>
          <w:rFonts w:hint="eastAsia" w:ascii="宋体" w:hAnsi="宋体"/>
          <w:sz w:val="22"/>
          <w:szCs w:val="24"/>
        </w:rPr>
        <w:t>一、杜绝以收取管理费等形式的一切挂靠、违法转包、分包行为；并选派有丰富经验、无不</w:t>
      </w:r>
    </w:p>
    <w:p w14:paraId="115B5D09">
      <w:pPr>
        <w:spacing w:line="360" w:lineRule="auto"/>
        <w:rPr>
          <w:rFonts w:ascii="宋体" w:hAnsi="宋体"/>
          <w:sz w:val="22"/>
          <w:szCs w:val="24"/>
        </w:rPr>
      </w:pPr>
      <w:r>
        <w:rPr>
          <w:rFonts w:hint="eastAsia" w:ascii="宋体" w:hAnsi="宋体"/>
          <w:sz w:val="22"/>
          <w:szCs w:val="24"/>
        </w:rPr>
        <w:t>良行为记录的在项目管理人员、技术人员，严格按招标文件文件、响应文件及合同等要求保证</w:t>
      </w:r>
    </w:p>
    <w:p w14:paraId="55B704C6">
      <w:pPr>
        <w:spacing w:line="360" w:lineRule="auto"/>
        <w:rPr>
          <w:rFonts w:ascii="宋体" w:hAnsi="宋体"/>
          <w:sz w:val="22"/>
          <w:szCs w:val="24"/>
        </w:rPr>
      </w:pPr>
      <w:r>
        <w:rPr>
          <w:rFonts w:hint="eastAsia" w:ascii="宋体" w:hAnsi="宋体"/>
          <w:sz w:val="22"/>
          <w:szCs w:val="24"/>
        </w:rPr>
        <w:t>拟派人员的到岗率。</w:t>
      </w:r>
    </w:p>
    <w:p w14:paraId="468B2143">
      <w:pPr>
        <w:spacing w:line="360" w:lineRule="auto"/>
        <w:ind w:firstLine="420"/>
        <w:rPr>
          <w:rFonts w:ascii="宋体" w:hAnsi="宋体"/>
          <w:sz w:val="22"/>
          <w:szCs w:val="24"/>
        </w:rPr>
      </w:pPr>
      <w:r>
        <w:rPr>
          <w:rFonts w:hint="eastAsia" w:ascii="宋体" w:hAnsi="宋体"/>
          <w:sz w:val="22"/>
          <w:szCs w:val="24"/>
        </w:rPr>
        <w:t>二、响应文件所提供的一切材料都是真实、有效、合法的。</w:t>
      </w:r>
    </w:p>
    <w:p w14:paraId="5E3B1787">
      <w:pPr>
        <w:spacing w:line="360" w:lineRule="auto"/>
        <w:ind w:firstLine="420"/>
        <w:rPr>
          <w:rFonts w:ascii="宋体" w:hAnsi="宋体"/>
          <w:sz w:val="22"/>
          <w:szCs w:val="24"/>
        </w:rPr>
      </w:pPr>
      <w:r>
        <w:rPr>
          <w:rFonts w:hint="eastAsia" w:ascii="宋体" w:hAnsi="宋体"/>
          <w:sz w:val="22"/>
          <w:szCs w:val="24"/>
        </w:rPr>
        <w:t>三、不与其他供应商相互串通投标报价，不排挤其他供应商的公平竞争，不损害采购单位或其他供应商的合法权益。</w:t>
      </w:r>
    </w:p>
    <w:p w14:paraId="5016D72D">
      <w:pPr>
        <w:spacing w:line="360" w:lineRule="auto"/>
        <w:ind w:firstLine="420"/>
        <w:rPr>
          <w:rFonts w:ascii="宋体" w:hAnsi="宋体"/>
          <w:sz w:val="22"/>
          <w:szCs w:val="24"/>
        </w:rPr>
      </w:pPr>
      <w:r>
        <w:rPr>
          <w:rFonts w:hint="eastAsia" w:ascii="宋体" w:hAnsi="宋体"/>
          <w:sz w:val="22"/>
          <w:szCs w:val="24"/>
        </w:rPr>
        <w:t>四、不与采购单位或招标代理机构串通投标，不损害国家利益，社会公共利益或其他人的合法权益。</w:t>
      </w:r>
    </w:p>
    <w:p w14:paraId="3B98E44F">
      <w:pPr>
        <w:spacing w:line="360" w:lineRule="auto"/>
        <w:ind w:firstLine="420"/>
        <w:rPr>
          <w:rFonts w:ascii="宋体" w:hAnsi="宋体"/>
          <w:sz w:val="22"/>
          <w:szCs w:val="24"/>
        </w:rPr>
      </w:pPr>
      <w:r>
        <w:rPr>
          <w:rFonts w:hint="eastAsia" w:ascii="宋体" w:hAnsi="宋体"/>
          <w:sz w:val="22"/>
          <w:szCs w:val="24"/>
        </w:rPr>
        <w:t>五、不向采购单位或者评委成员行贿以牟取中标。</w:t>
      </w:r>
    </w:p>
    <w:p w14:paraId="65907C42">
      <w:pPr>
        <w:spacing w:line="360" w:lineRule="auto"/>
        <w:ind w:firstLine="420"/>
        <w:rPr>
          <w:rFonts w:ascii="宋体" w:hAnsi="宋体"/>
          <w:sz w:val="22"/>
          <w:szCs w:val="24"/>
        </w:rPr>
      </w:pPr>
      <w:r>
        <w:rPr>
          <w:rFonts w:hint="eastAsia" w:ascii="宋体" w:hAnsi="宋体"/>
          <w:sz w:val="22"/>
          <w:szCs w:val="24"/>
        </w:rPr>
        <w:t>六、不以其他人名义投标或者以其他方式弄虚作假，骗取中标。</w:t>
      </w:r>
    </w:p>
    <w:p w14:paraId="7DDCE525">
      <w:pPr>
        <w:spacing w:line="360" w:lineRule="auto"/>
        <w:ind w:firstLine="420"/>
        <w:rPr>
          <w:rFonts w:ascii="宋体" w:hAnsi="宋体"/>
          <w:sz w:val="22"/>
          <w:szCs w:val="24"/>
        </w:rPr>
      </w:pPr>
      <w:r>
        <w:rPr>
          <w:rFonts w:hint="eastAsia" w:ascii="宋体" w:hAnsi="宋体"/>
          <w:sz w:val="22"/>
          <w:szCs w:val="24"/>
        </w:rPr>
        <w:t>七、不在开标后进行虚假恶意投诉。</w:t>
      </w:r>
    </w:p>
    <w:p w14:paraId="0A0F00F1">
      <w:pPr>
        <w:spacing w:line="360" w:lineRule="auto"/>
        <w:ind w:firstLine="420"/>
        <w:rPr>
          <w:rFonts w:ascii="宋体" w:hAnsi="宋体"/>
          <w:sz w:val="22"/>
          <w:szCs w:val="24"/>
        </w:rPr>
      </w:pPr>
      <w:r>
        <w:rPr>
          <w:rFonts w:hint="eastAsia" w:ascii="宋体" w:hAnsi="宋体"/>
          <w:sz w:val="22"/>
          <w:szCs w:val="24"/>
        </w:rPr>
        <w:t>八、我单位没有被政府机关列入失信被执行人名单、重大税收违法案件当事人名单、政府采</w:t>
      </w:r>
    </w:p>
    <w:p w14:paraId="61B79DAB">
      <w:pPr>
        <w:spacing w:line="360" w:lineRule="auto"/>
        <w:rPr>
          <w:rFonts w:ascii="宋体" w:hAnsi="宋体"/>
          <w:sz w:val="22"/>
          <w:szCs w:val="24"/>
        </w:rPr>
      </w:pPr>
      <w:r>
        <w:rPr>
          <w:rFonts w:hint="eastAsia" w:ascii="宋体" w:hAnsi="宋体"/>
          <w:sz w:val="22"/>
          <w:szCs w:val="24"/>
        </w:rPr>
        <w:t>购严重违法失信行为记录名单及其他不符合《中华人民共和国政府采购法》第二十二条规定条件</w:t>
      </w:r>
    </w:p>
    <w:p w14:paraId="08FB234A">
      <w:pPr>
        <w:spacing w:line="360" w:lineRule="auto"/>
        <w:rPr>
          <w:rFonts w:ascii="宋体" w:hAnsi="宋体"/>
          <w:sz w:val="22"/>
          <w:szCs w:val="24"/>
        </w:rPr>
      </w:pPr>
      <w:r>
        <w:rPr>
          <w:rFonts w:hint="eastAsia" w:ascii="宋体" w:hAnsi="宋体"/>
          <w:sz w:val="22"/>
          <w:szCs w:val="24"/>
        </w:rPr>
        <w:t>的情形：</w:t>
      </w:r>
    </w:p>
    <w:p w14:paraId="65C8F56D">
      <w:pPr>
        <w:spacing w:line="360" w:lineRule="auto"/>
        <w:ind w:firstLine="420"/>
        <w:rPr>
          <w:rFonts w:ascii="宋体" w:hAnsi="宋体"/>
          <w:sz w:val="22"/>
          <w:szCs w:val="24"/>
        </w:rPr>
      </w:pPr>
      <w:r>
        <w:rPr>
          <w:rFonts w:hint="eastAsia" w:ascii="宋体" w:hAnsi="宋体"/>
          <w:sz w:val="22"/>
          <w:szCs w:val="24"/>
        </w:rPr>
        <w:t>九、没有被各地、各级财政部门禁止参加政府采购活动，且在限制期限内：</w:t>
      </w:r>
    </w:p>
    <w:p w14:paraId="3AA87DBB">
      <w:pPr>
        <w:spacing w:line="360" w:lineRule="auto"/>
        <w:ind w:firstLine="420"/>
        <w:rPr>
          <w:rFonts w:ascii="宋体" w:hAnsi="宋体"/>
          <w:sz w:val="22"/>
          <w:szCs w:val="24"/>
        </w:rPr>
      </w:pPr>
      <w:r>
        <w:rPr>
          <w:rFonts w:hint="eastAsia" w:ascii="宋体" w:hAnsi="宋体"/>
          <w:sz w:val="22"/>
          <w:szCs w:val="24"/>
        </w:rPr>
        <w:t>十、参与本项目政府采购活动 3 年内没有重大违法记录情况。</w:t>
      </w:r>
    </w:p>
    <w:p w14:paraId="51F72B0A">
      <w:pPr>
        <w:spacing w:line="360" w:lineRule="auto"/>
        <w:ind w:firstLine="420"/>
        <w:rPr>
          <w:rFonts w:ascii="宋体" w:hAnsi="宋体"/>
          <w:sz w:val="22"/>
          <w:szCs w:val="24"/>
        </w:rPr>
      </w:pPr>
      <w:r>
        <w:rPr>
          <w:rFonts w:hint="eastAsia" w:ascii="宋体" w:hAnsi="宋体"/>
          <w:sz w:val="22"/>
          <w:szCs w:val="24"/>
        </w:rPr>
        <w:t>本公司若有违反本承诺内容的行为，愿意承担法律责任，包括不限于：愿意接受相关行政主</w:t>
      </w:r>
    </w:p>
    <w:p w14:paraId="17241583">
      <w:pPr>
        <w:spacing w:line="360" w:lineRule="auto"/>
        <w:rPr>
          <w:rFonts w:ascii="宋体" w:hAnsi="宋体"/>
          <w:sz w:val="22"/>
          <w:szCs w:val="24"/>
        </w:rPr>
      </w:pPr>
      <w:r>
        <w:rPr>
          <w:rFonts w:hint="eastAsia" w:ascii="宋体" w:hAnsi="宋体"/>
          <w:sz w:val="22"/>
          <w:szCs w:val="24"/>
        </w:rPr>
        <w:t>管部门作出的处罚；给采购单位造成损失的，依法承担相应的赔偿责任。</w:t>
      </w:r>
    </w:p>
    <w:p w14:paraId="0E5BAC72">
      <w:pPr>
        <w:spacing w:line="360" w:lineRule="auto"/>
        <w:ind w:left="5040"/>
        <w:rPr>
          <w:rFonts w:ascii="宋体" w:hAnsi="宋体"/>
          <w:sz w:val="22"/>
          <w:szCs w:val="24"/>
        </w:rPr>
      </w:pPr>
      <w:r>
        <w:rPr>
          <w:rFonts w:hint="eastAsia" w:ascii="宋体" w:hAnsi="宋体"/>
          <w:sz w:val="22"/>
          <w:szCs w:val="24"/>
        </w:rPr>
        <w:t>法定代表人（签字或盖章）：</w:t>
      </w:r>
    </w:p>
    <w:p w14:paraId="3FE54622">
      <w:pPr>
        <w:spacing w:line="360" w:lineRule="auto"/>
        <w:ind w:left="4620" w:firstLine="420"/>
        <w:rPr>
          <w:rFonts w:ascii="宋体" w:hAnsi="宋体"/>
          <w:sz w:val="22"/>
          <w:szCs w:val="24"/>
        </w:rPr>
      </w:pPr>
      <w:r>
        <w:rPr>
          <w:rFonts w:hint="eastAsia" w:ascii="宋体" w:hAnsi="宋体"/>
          <w:sz w:val="22"/>
          <w:szCs w:val="24"/>
        </w:rPr>
        <w:t>投标供应商（盖章）</w:t>
      </w:r>
    </w:p>
    <w:p w14:paraId="2D7D463F">
      <w:pPr>
        <w:spacing w:line="360" w:lineRule="auto"/>
        <w:ind w:left="4620" w:firstLine="440" w:firstLineChars="200"/>
        <w:rPr>
          <w:rFonts w:ascii="宋体" w:hAnsi="宋体"/>
          <w:sz w:val="22"/>
          <w:szCs w:val="24"/>
        </w:rPr>
      </w:pPr>
      <w:r>
        <w:rPr>
          <w:rFonts w:hint="eastAsia" w:ascii="宋体" w:hAnsi="宋体"/>
          <w:sz w:val="22"/>
          <w:szCs w:val="24"/>
        </w:rPr>
        <w:t>承诺书签署日期：</w:t>
      </w:r>
      <w:r>
        <w:rPr>
          <w:rFonts w:ascii="宋体" w:hAnsi="宋体"/>
          <w:sz w:val="22"/>
          <w:szCs w:val="24"/>
        </w:rPr>
        <w:t xml:space="preserve"> </w:t>
      </w:r>
    </w:p>
    <w:p w14:paraId="35B008D6">
      <w:pPr>
        <w:spacing w:line="360" w:lineRule="auto"/>
        <w:rPr>
          <w:rFonts w:ascii="宋体" w:hAnsi="宋体"/>
          <w:b/>
          <w:sz w:val="22"/>
          <w:szCs w:val="24"/>
          <w:u w:val="single"/>
        </w:rPr>
      </w:pPr>
      <w:r>
        <w:rPr>
          <w:rFonts w:hint="eastAsia" w:ascii="宋体" w:hAnsi="宋体"/>
          <w:b/>
          <w:sz w:val="22"/>
          <w:szCs w:val="24"/>
          <w:u w:val="single"/>
        </w:rPr>
        <w:t>备注：投标供应商必须提供本承诺书，不提供按无效投标处理。</w:t>
      </w:r>
    </w:p>
    <w:p w14:paraId="5B43A591">
      <w:pPr>
        <w:spacing w:line="440" w:lineRule="exact"/>
        <w:jc w:val="left"/>
        <w:rPr>
          <w:rFonts w:ascii="宋体" w:hAnsi="宋体"/>
          <w:b/>
          <w:sz w:val="32"/>
          <w:szCs w:val="32"/>
        </w:rPr>
      </w:pPr>
    </w:p>
    <w:p w14:paraId="26C38371">
      <w:pPr>
        <w:autoSpaceDE w:val="0"/>
        <w:autoSpaceDN w:val="0"/>
        <w:adjustRightInd w:val="0"/>
        <w:spacing w:line="440" w:lineRule="atLeast"/>
        <w:rPr>
          <w:rFonts w:ascii="宋体" w:hAnsi="宋体" w:cs="仿宋_GB2312"/>
          <w:b/>
          <w:bCs/>
          <w:sz w:val="32"/>
          <w:szCs w:val="32"/>
        </w:rPr>
      </w:pPr>
      <w:r>
        <w:rPr>
          <w:rFonts w:ascii="宋体" w:hAnsi="宋体"/>
          <w:b/>
          <w:sz w:val="32"/>
          <w:szCs w:val="32"/>
        </w:rPr>
        <w:br w:type="page"/>
      </w:r>
      <w:r>
        <w:rPr>
          <w:rFonts w:hint="eastAsia" w:ascii="宋体" w:hAnsi="宋体" w:cs="仿宋_GB2312"/>
          <w:b/>
          <w:bCs/>
          <w:sz w:val="32"/>
          <w:szCs w:val="32"/>
        </w:rPr>
        <w:t>附件</w:t>
      </w:r>
      <w:r>
        <w:rPr>
          <w:rFonts w:hint="eastAsia" w:ascii="宋体" w:hAnsi="宋体"/>
          <w:b/>
          <w:sz w:val="32"/>
          <w:szCs w:val="32"/>
          <w:lang w:val="zh-CN"/>
        </w:rPr>
        <w:t>九</w:t>
      </w:r>
      <w:r>
        <w:rPr>
          <w:rFonts w:hint="eastAsia" w:ascii="宋体" w:hAnsi="宋体"/>
          <w:b/>
          <w:sz w:val="32"/>
          <w:szCs w:val="32"/>
        </w:rPr>
        <w:t>（</w:t>
      </w:r>
      <w:r>
        <w:rPr>
          <w:rFonts w:hint="eastAsia" w:ascii="宋体" w:hAnsi="宋体"/>
          <w:b/>
          <w:sz w:val="32"/>
          <w:szCs w:val="32"/>
          <w:lang w:val="zh-CN"/>
        </w:rPr>
        <w:t>一</w:t>
      </w:r>
      <w:r>
        <w:rPr>
          <w:rFonts w:hint="eastAsia" w:ascii="宋体" w:hAnsi="宋体"/>
          <w:b/>
          <w:sz w:val="32"/>
          <w:szCs w:val="32"/>
        </w:rPr>
        <w:t>）</w:t>
      </w:r>
    </w:p>
    <w:p w14:paraId="7B9D0F5A">
      <w:pPr>
        <w:spacing w:line="360" w:lineRule="auto"/>
        <w:jc w:val="center"/>
        <w:rPr>
          <w:rFonts w:ascii="宋体" w:hAnsi="宋体"/>
          <w:sz w:val="36"/>
          <w:szCs w:val="36"/>
        </w:rPr>
      </w:pPr>
      <w:r>
        <w:rPr>
          <w:rFonts w:hint="eastAsia" w:ascii="宋体" w:hAnsi="宋体"/>
          <w:sz w:val="36"/>
          <w:szCs w:val="36"/>
        </w:rPr>
        <w:t>商 务 偏 离 表</w:t>
      </w:r>
      <w:r>
        <w:rPr>
          <w:rFonts w:hint="eastAsia" w:ascii="宋体"/>
          <w:b/>
          <w:bCs/>
          <w:sz w:val="36"/>
          <w:szCs w:val="36"/>
        </w:rPr>
        <w:t xml:space="preserve"> </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664"/>
        <w:gridCol w:w="2110"/>
        <w:gridCol w:w="2126"/>
      </w:tblGrid>
      <w:tr w14:paraId="435D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7409101E">
            <w:pPr>
              <w:autoSpaceDE w:val="0"/>
              <w:autoSpaceDN w:val="0"/>
              <w:adjustRightInd w:val="0"/>
              <w:spacing w:line="440" w:lineRule="atLeast"/>
              <w:jc w:val="center"/>
              <w:rPr>
                <w:rFonts w:ascii="宋体" w:hAnsi="宋体"/>
                <w:sz w:val="22"/>
                <w:szCs w:val="24"/>
              </w:rPr>
            </w:pPr>
            <w:r>
              <w:rPr>
                <w:rFonts w:ascii="宋体" w:hAnsi="宋体"/>
                <w:sz w:val="22"/>
                <w:szCs w:val="24"/>
              </w:rPr>
              <w:t>序 号</w:t>
            </w:r>
          </w:p>
        </w:tc>
        <w:tc>
          <w:tcPr>
            <w:tcW w:w="1800" w:type="dxa"/>
            <w:tcBorders>
              <w:top w:val="single" w:color="auto" w:sz="6" w:space="0"/>
              <w:left w:val="nil"/>
              <w:bottom w:val="single" w:color="auto" w:sz="6" w:space="0"/>
              <w:right w:val="single" w:color="auto" w:sz="6" w:space="0"/>
            </w:tcBorders>
            <w:vAlign w:val="center"/>
          </w:tcPr>
          <w:p w14:paraId="3EE131AC">
            <w:pPr>
              <w:autoSpaceDE w:val="0"/>
              <w:autoSpaceDN w:val="0"/>
              <w:adjustRightInd w:val="0"/>
              <w:spacing w:line="440" w:lineRule="atLeast"/>
              <w:jc w:val="center"/>
              <w:rPr>
                <w:rFonts w:ascii="宋体" w:hAnsi="宋体"/>
                <w:sz w:val="22"/>
                <w:szCs w:val="24"/>
              </w:rPr>
            </w:pPr>
            <w:r>
              <w:rPr>
                <w:rFonts w:ascii="宋体" w:hAnsi="宋体"/>
                <w:sz w:val="22"/>
                <w:szCs w:val="24"/>
              </w:rPr>
              <w:t>内   容</w:t>
            </w:r>
          </w:p>
        </w:tc>
        <w:tc>
          <w:tcPr>
            <w:tcW w:w="2664" w:type="dxa"/>
            <w:tcBorders>
              <w:top w:val="single" w:color="auto" w:sz="6" w:space="0"/>
              <w:left w:val="nil"/>
              <w:bottom w:val="single" w:color="auto" w:sz="6" w:space="0"/>
              <w:right w:val="single" w:color="auto" w:sz="6" w:space="0"/>
            </w:tcBorders>
            <w:vAlign w:val="center"/>
          </w:tcPr>
          <w:p w14:paraId="081CCC11">
            <w:pPr>
              <w:autoSpaceDE w:val="0"/>
              <w:autoSpaceDN w:val="0"/>
              <w:adjustRightInd w:val="0"/>
              <w:spacing w:line="440" w:lineRule="atLeast"/>
              <w:jc w:val="center"/>
              <w:rPr>
                <w:rFonts w:ascii="宋体" w:hAnsi="宋体"/>
                <w:sz w:val="22"/>
                <w:szCs w:val="24"/>
              </w:rPr>
            </w:pPr>
            <w:r>
              <w:rPr>
                <w:rFonts w:ascii="宋体" w:hAnsi="宋体"/>
                <w:sz w:val="22"/>
                <w:szCs w:val="24"/>
              </w:rPr>
              <w:t>招标文件规范要求</w:t>
            </w:r>
          </w:p>
        </w:tc>
        <w:tc>
          <w:tcPr>
            <w:tcW w:w="2110" w:type="dxa"/>
            <w:tcBorders>
              <w:top w:val="single" w:color="auto" w:sz="6" w:space="0"/>
              <w:left w:val="nil"/>
              <w:bottom w:val="single" w:color="auto" w:sz="6" w:space="0"/>
              <w:right w:val="single" w:color="auto" w:sz="6" w:space="0"/>
            </w:tcBorders>
            <w:vAlign w:val="center"/>
          </w:tcPr>
          <w:p w14:paraId="182DB125">
            <w:pPr>
              <w:autoSpaceDE w:val="0"/>
              <w:autoSpaceDN w:val="0"/>
              <w:adjustRightInd w:val="0"/>
              <w:spacing w:line="440" w:lineRule="atLeast"/>
              <w:jc w:val="center"/>
              <w:rPr>
                <w:rFonts w:ascii="宋体" w:hAnsi="宋体"/>
                <w:sz w:val="22"/>
                <w:szCs w:val="24"/>
              </w:rPr>
            </w:pPr>
            <w:r>
              <w:rPr>
                <w:rFonts w:ascii="宋体" w:hAnsi="宋体"/>
                <w:sz w:val="22"/>
                <w:szCs w:val="24"/>
              </w:rPr>
              <w:t>投标文件对应规范</w:t>
            </w:r>
          </w:p>
        </w:tc>
        <w:tc>
          <w:tcPr>
            <w:tcW w:w="2126" w:type="dxa"/>
            <w:tcBorders>
              <w:top w:val="single" w:color="auto" w:sz="6" w:space="0"/>
              <w:left w:val="nil"/>
              <w:bottom w:val="single" w:color="auto" w:sz="6" w:space="0"/>
              <w:right w:val="single" w:color="auto" w:sz="6" w:space="0"/>
            </w:tcBorders>
            <w:vAlign w:val="center"/>
          </w:tcPr>
          <w:p w14:paraId="456AAF2A">
            <w:pPr>
              <w:autoSpaceDE w:val="0"/>
              <w:autoSpaceDN w:val="0"/>
              <w:adjustRightInd w:val="0"/>
              <w:spacing w:line="440" w:lineRule="atLeast"/>
              <w:jc w:val="center"/>
              <w:rPr>
                <w:rFonts w:ascii="宋体" w:hAnsi="宋体"/>
                <w:sz w:val="22"/>
                <w:szCs w:val="24"/>
              </w:rPr>
            </w:pPr>
            <w:r>
              <w:rPr>
                <w:rFonts w:ascii="宋体" w:hAnsi="宋体"/>
                <w:sz w:val="22"/>
                <w:szCs w:val="24"/>
              </w:rPr>
              <w:t>备 注</w:t>
            </w:r>
          </w:p>
        </w:tc>
      </w:tr>
      <w:tr w14:paraId="7F00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CEBA7A4">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065EC802">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386A8CBE">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324F4F94">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3E877D56">
            <w:pPr>
              <w:autoSpaceDE w:val="0"/>
              <w:autoSpaceDN w:val="0"/>
              <w:adjustRightInd w:val="0"/>
              <w:spacing w:line="440" w:lineRule="atLeast"/>
              <w:jc w:val="center"/>
              <w:rPr>
                <w:rFonts w:ascii="宋体" w:cs="宋体"/>
                <w:b/>
                <w:bCs/>
                <w:sz w:val="24"/>
                <w:szCs w:val="24"/>
              </w:rPr>
            </w:pPr>
          </w:p>
        </w:tc>
      </w:tr>
      <w:tr w14:paraId="73F8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B6A4ED2">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140F0C68">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0BD0C60C">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4601113C">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77B38C3F">
            <w:pPr>
              <w:autoSpaceDE w:val="0"/>
              <w:autoSpaceDN w:val="0"/>
              <w:adjustRightInd w:val="0"/>
              <w:spacing w:line="440" w:lineRule="atLeast"/>
              <w:jc w:val="center"/>
              <w:rPr>
                <w:rFonts w:ascii="宋体" w:cs="宋体"/>
                <w:b/>
                <w:bCs/>
                <w:sz w:val="24"/>
                <w:szCs w:val="24"/>
              </w:rPr>
            </w:pPr>
          </w:p>
        </w:tc>
      </w:tr>
      <w:tr w14:paraId="6CB6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2820814">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4F1EB484">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7138B5DB">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09CE1983">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3ECBB8F8">
            <w:pPr>
              <w:autoSpaceDE w:val="0"/>
              <w:autoSpaceDN w:val="0"/>
              <w:adjustRightInd w:val="0"/>
              <w:spacing w:line="440" w:lineRule="atLeast"/>
              <w:jc w:val="center"/>
              <w:rPr>
                <w:rFonts w:ascii="宋体" w:cs="宋体"/>
                <w:b/>
                <w:bCs/>
                <w:sz w:val="24"/>
                <w:szCs w:val="24"/>
              </w:rPr>
            </w:pPr>
          </w:p>
        </w:tc>
      </w:tr>
      <w:tr w14:paraId="66CA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46E3CDA1">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29D27BD8">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0252E2F4">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208BD365">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23220AF4">
            <w:pPr>
              <w:autoSpaceDE w:val="0"/>
              <w:autoSpaceDN w:val="0"/>
              <w:adjustRightInd w:val="0"/>
              <w:spacing w:line="440" w:lineRule="atLeast"/>
              <w:jc w:val="center"/>
              <w:rPr>
                <w:rFonts w:ascii="宋体" w:cs="宋体"/>
                <w:b/>
                <w:bCs/>
                <w:sz w:val="24"/>
                <w:szCs w:val="24"/>
              </w:rPr>
            </w:pPr>
          </w:p>
        </w:tc>
      </w:tr>
      <w:tr w14:paraId="0CBD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019A793">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019CA6A1">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08F02AAF">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493ECFA2">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28235F62">
            <w:pPr>
              <w:autoSpaceDE w:val="0"/>
              <w:autoSpaceDN w:val="0"/>
              <w:adjustRightInd w:val="0"/>
              <w:spacing w:line="440" w:lineRule="atLeast"/>
              <w:jc w:val="center"/>
              <w:rPr>
                <w:rFonts w:ascii="宋体" w:cs="宋体"/>
                <w:b/>
                <w:bCs/>
                <w:sz w:val="24"/>
                <w:szCs w:val="24"/>
              </w:rPr>
            </w:pPr>
          </w:p>
        </w:tc>
      </w:tr>
      <w:tr w14:paraId="41BC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BA1689D">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73956D90">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39A7F08F">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14DDF660">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7BD0F551">
            <w:pPr>
              <w:autoSpaceDE w:val="0"/>
              <w:autoSpaceDN w:val="0"/>
              <w:adjustRightInd w:val="0"/>
              <w:spacing w:line="440" w:lineRule="atLeast"/>
              <w:jc w:val="center"/>
              <w:rPr>
                <w:rFonts w:ascii="宋体" w:cs="宋体"/>
                <w:b/>
                <w:bCs/>
                <w:sz w:val="24"/>
                <w:szCs w:val="24"/>
              </w:rPr>
            </w:pPr>
          </w:p>
        </w:tc>
      </w:tr>
      <w:tr w14:paraId="7C20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B73578E">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60551217">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38D132BB">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6E529DC1">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6A15182E">
            <w:pPr>
              <w:autoSpaceDE w:val="0"/>
              <w:autoSpaceDN w:val="0"/>
              <w:adjustRightInd w:val="0"/>
              <w:spacing w:line="440" w:lineRule="atLeast"/>
              <w:jc w:val="center"/>
              <w:rPr>
                <w:rFonts w:ascii="宋体" w:cs="宋体"/>
                <w:b/>
                <w:bCs/>
                <w:sz w:val="24"/>
                <w:szCs w:val="24"/>
              </w:rPr>
            </w:pPr>
          </w:p>
        </w:tc>
      </w:tr>
      <w:tr w14:paraId="6D14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0FDEAAD2">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5E913CC6">
            <w:pPr>
              <w:autoSpaceDE w:val="0"/>
              <w:autoSpaceDN w:val="0"/>
              <w:adjustRightInd w:val="0"/>
              <w:spacing w:line="440" w:lineRule="atLeast"/>
              <w:jc w:val="center"/>
              <w:rPr>
                <w:rFonts w:ascii="宋体" w:cs="宋体"/>
                <w:b/>
                <w:bCs/>
                <w:sz w:val="24"/>
                <w:szCs w:val="24"/>
              </w:rPr>
            </w:pPr>
          </w:p>
        </w:tc>
        <w:tc>
          <w:tcPr>
            <w:tcW w:w="2664" w:type="dxa"/>
            <w:tcBorders>
              <w:top w:val="single" w:color="auto" w:sz="6" w:space="0"/>
              <w:left w:val="nil"/>
              <w:bottom w:val="single" w:color="auto" w:sz="6" w:space="0"/>
              <w:right w:val="single" w:color="auto" w:sz="6" w:space="0"/>
            </w:tcBorders>
          </w:tcPr>
          <w:p w14:paraId="5D62F326">
            <w:pPr>
              <w:autoSpaceDE w:val="0"/>
              <w:autoSpaceDN w:val="0"/>
              <w:adjustRightInd w:val="0"/>
              <w:spacing w:line="440" w:lineRule="atLeast"/>
              <w:jc w:val="center"/>
              <w:rPr>
                <w:rFonts w:ascii="宋体" w:cs="宋体"/>
                <w:b/>
                <w:bCs/>
                <w:sz w:val="24"/>
                <w:szCs w:val="24"/>
              </w:rPr>
            </w:pPr>
          </w:p>
        </w:tc>
        <w:tc>
          <w:tcPr>
            <w:tcW w:w="2110" w:type="dxa"/>
            <w:tcBorders>
              <w:top w:val="single" w:color="auto" w:sz="6" w:space="0"/>
              <w:left w:val="nil"/>
              <w:bottom w:val="single" w:color="auto" w:sz="6" w:space="0"/>
              <w:right w:val="single" w:color="auto" w:sz="6" w:space="0"/>
            </w:tcBorders>
          </w:tcPr>
          <w:p w14:paraId="62F3EB03">
            <w:pPr>
              <w:autoSpaceDE w:val="0"/>
              <w:autoSpaceDN w:val="0"/>
              <w:adjustRightInd w:val="0"/>
              <w:spacing w:line="440" w:lineRule="atLeast"/>
              <w:jc w:val="center"/>
              <w:rPr>
                <w:rFonts w:ascii="宋体" w:cs="宋体"/>
                <w:b/>
                <w:bCs/>
                <w:sz w:val="24"/>
                <w:szCs w:val="24"/>
              </w:rPr>
            </w:pPr>
          </w:p>
        </w:tc>
        <w:tc>
          <w:tcPr>
            <w:tcW w:w="2126" w:type="dxa"/>
            <w:tcBorders>
              <w:top w:val="single" w:color="auto" w:sz="6" w:space="0"/>
              <w:left w:val="nil"/>
              <w:bottom w:val="single" w:color="auto" w:sz="6" w:space="0"/>
              <w:right w:val="single" w:color="auto" w:sz="6" w:space="0"/>
            </w:tcBorders>
          </w:tcPr>
          <w:p w14:paraId="27FCB883">
            <w:pPr>
              <w:autoSpaceDE w:val="0"/>
              <w:autoSpaceDN w:val="0"/>
              <w:adjustRightInd w:val="0"/>
              <w:spacing w:line="440" w:lineRule="atLeast"/>
              <w:jc w:val="center"/>
              <w:rPr>
                <w:rFonts w:ascii="宋体" w:cs="宋体"/>
                <w:b/>
                <w:bCs/>
                <w:sz w:val="24"/>
                <w:szCs w:val="24"/>
              </w:rPr>
            </w:pPr>
          </w:p>
        </w:tc>
      </w:tr>
    </w:tbl>
    <w:p w14:paraId="03029FF0">
      <w:pPr>
        <w:spacing w:line="360" w:lineRule="auto"/>
        <w:ind w:left="4620" w:hanging="4620"/>
        <w:jc w:val="left"/>
        <w:rPr>
          <w:rFonts w:ascii="宋体"/>
          <w:b/>
          <w:bCs/>
          <w:sz w:val="24"/>
          <w:szCs w:val="24"/>
        </w:rPr>
      </w:pPr>
      <w:r>
        <w:rPr>
          <w:rFonts w:hint="eastAsia" w:ascii="宋体" w:hAnsi="宋体"/>
          <w:sz w:val="22"/>
          <w:szCs w:val="24"/>
        </w:rPr>
        <w:t>供应商全称（盖章）：</w:t>
      </w:r>
      <w:r>
        <w:rPr>
          <w:rFonts w:hint="eastAsia" w:ascii="宋体" w:hAnsi="宋体"/>
          <w:sz w:val="22"/>
          <w:szCs w:val="24"/>
          <w:u w:val="single"/>
        </w:rPr>
        <w:t xml:space="preserve"> </w:t>
      </w:r>
      <w:r>
        <w:rPr>
          <w:rFonts w:hint="eastAsia" w:ascii="宋体"/>
          <w:b/>
          <w:bCs/>
          <w:sz w:val="24"/>
          <w:szCs w:val="24"/>
          <w:u w:val="single"/>
        </w:rPr>
        <w:t xml:space="preserve">                </w:t>
      </w:r>
      <w:r>
        <w:rPr>
          <w:rFonts w:hint="eastAsia" w:ascii="宋体"/>
          <w:b/>
          <w:bCs/>
          <w:sz w:val="32"/>
          <w:szCs w:val="32"/>
          <w:u w:val="single"/>
        </w:rPr>
        <w:t xml:space="preserve"> </w:t>
      </w:r>
    </w:p>
    <w:p w14:paraId="3B71CFB7">
      <w:pPr>
        <w:autoSpaceDE w:val="0"/>
        <w:autoSpaceDN w:val="0"/>
        <w:adjustRightInd w:val="0"/>
        <w:spacing w:line="440" w:lineRule="atLeast"/>
        <w:rPr>
          <w:rFonts w:ascii="宋体" w:hAnsi="宋体" w:cs="仿宋_GB2312"/>
          <w:b/>
          <w:bCs/>
          <w:sz w:val="32"/>
          <w:szCs w:val="32"/>
        </w:rPr>
      </w:pPr>
      <w:r>
        <w:rPr>
          <w:rFonts w:hint="eastAsia" w:ascii="宋体" w:hAnsi="宋体" w:cs="仿宋_GB2312"/>
          <w:b/>
          <w:bCs/>
          <w:sz w:val="32"/>
          <w:szCs w:val="32"/>
        </w:rPr>
        <w:t>附件</w:t>
      </w:r>
      <w:r>
        <w:rPr>
          <w:rFonts w:hint="eastAsia" w:ascii="宋体" w:hAnsi="宋体"/>
          <w:b/>
          <w:sz w:val="32"/>
          <w:szCs w:val="32"/>
          <w:lang w:val="zh-CN"/>
        </w:rPr>
        <w:t>九</w:t>
      </w:r>
      <w:r>
        <w:rPr>
          <w:rFonts w:hint="eastAsia" w:ascii="宋体" w:hAnsi="宋体"/>
          <w:b/>
          <w:sz w:val="32"/>
          <w:szCs w:val="32"/>
        </w:rPr>
        <w:t>（</w:t>
      </w:r>
      <w:r>
        <w:rPr>
          <w:rFonts w:hint="eastAsia" w:ascii="宋体" w:hAnsi="宋体"/>
          <w:b/>
          <w:sz w:val="32"/>
          <w:szCs w:val="32"/>
          <w:lang w:val="zh-CN"/>
        </w:rPr>
        <w:t>二</w:t>
      </w:r>
      <w:r>
        <w:rPr>
          <w:rFonts w:hint="eastAsia" w:ascii="宋体" w:hAnsi="宋体"/>
          <w:b/>
          <w:sz w:val="32"/>
          <w:szCs w:val="32"/>
        </w:rPr>
        <w:t>）</w:t>
      </w:r>
    </w:p>
    <w:p w14:paraId="24E845A7">
      <w:pPr>
        <w:spacing w:line="360" w:lineRule="auto"/>
        <w:jc w:val="center"/>
        <w:rPr>
          <w:rFonts w:ascii="宋体" w:hAnsi="宋体"/>
          <w:sz w:val="36"/>
          <w:szCs w:val="36"/>
        </w:rPr>
      </w:pPr>
      <w:r>
        <w:rPr>
          <w:rFonts w:hint="eastAsia" w:ascii="宋体" w:hAnsi="宋体"/>
          <w:sz w:val="36"/>
          <w:szCs w:val="36"/>
        </w:rPr>
        <w:t>技术偏离表</w:t>
      </w:r>
    </w:p>
    <w:tbl>
      <w:tblPr>
        <w:tblStyle w:val="31"/>
        <w:tblW w:w="0" w:type="auto"/>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300"/>
        <w:gridCol w:w="2000"/>
        <w:gridCol w:w="2800"/>
      </w:tblGrid>
      <w:tr w14:paraId="01F0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373C0924">
            <w:pPr>
              <w:autoSpaceDE w:val="0"/>
              <w:autoSpaceDN w:val="0"/>
              <w:adjustRightInd w:val="0"/>
              <w:spacing w:line="440" w:lineRule="atLeast"/>
              <w:jc w:val="center"/>
              <w:rPr>
                <w:rFonts w:ascii="宋体" w:hAnsi="宋体"/>
                <w:sz w:val="22"/>
                <w:szCs w:val="24"/>
              </w:rPr>
            </w:pPr>
            <w:r>
              <w:rPr>
                <w:rFonts w:ascii="宋体" w:hAnsi="宋体"/>
                <w:sz w:val="22"/>
                <w:szCs w:val="24"/>
              </w:rPr>
              <w:t>序 号</w:t>
            </w:r>
          </w:p>
        </w:tc>
        <w:tc>
          <w:tcPr>
            <w:tcW w:w="1800" w:type="dxa"/>
            <w:tcBorders>
              <w:top w:val="single" w:color="auto" w:sz="6" w:space="0"/>
              <w:left w:val="nil"/>
              <w:bottom w:val="single" w:color="auto" w:sz="6" w:space="0"/>
              <w:right w:val="single" w:color="auto" w:sz="6" w:space="0"/>
            </w:tcBorders>
            <w:vAlign w:val="center"/>
          </w:tcPr>
          <w:p w14:paraId="3550C7D7">
            <w:pPr>
              <w:autoSpaceDE w:val="0"/>
              <w:autoSpaceDN w:val="0"/>
              <w:adjustRightInd w:val="0"/>
              <w:spacing w:line="440" w:lineRule="atLeast"/>
              <w:jc w:val="center"/>
              <w:rPr>
                <w:rFonts w:ascii="宋体" w:hAnsi="宋体"/>
                <w:sz w:val="22"/>
                <w:szCs w:val="24"/>
              </w:rPr>
            </w:pPr>
            <w:r>
              <w:rPr>
                <w:rFonts w:ascii="宋体" w:hAnsi="宋体"/>
                <w:sz w:val="22"/>
                <w:szCs w:val="24"/>
              </w:rPr>
              <w:t>内     容</w:t>
            </w:r>
          </w:p>
        </w:tc>
        <w:tc>
          <w:tcPr>
            <w:tcW w:w="2300" w:type="dxa"/>
            <w:tcBorders>
              <w:top w:val="single" w:color="auto" w:sz="6" w:space="0"/>
              <w:left w:val="nil"/>
              <w:bottom w:val="single" w:color="auto" w:sz="6" w:space="0"/>
              <w:right w:val="single" w:color="auto" w:sz="6" w:space="0"/>
            </w:tcBorders>
            <w:vAlign w:val="center"/>
          </w:tcPr>
          <w:p w14:paraId="772AB0FC">
            <w:pPr>
              <w:autoSpaceDE w:val="0"/>
              <w:autoSpaceDN w:val="0"/>
              <w:adjustRightInd w:val="0"/>
              <w:spacing w:line="440" w:lineRule="atLeast"/>
              <w:jc w:val="center"/>
              <w:rPr>
                <w:rFonts w:ascii="宋体" w:hAnsi="宋体"/>
                <w:sz w:val="22"/>
                <w:szCs w:val="24"/>
              </w:rPr>
            </w:pPr>
            <w:r>
              <w:rPr>
                <w:rFonts w:ascii="宋体" w:hAnsi="宋体"/>
                <w:sz w:val="22"/>
                <w:szCs w:val="24"/>
              </w:rPr>
              <w:t>招标文件规范要求</w:t>
            </w:r>
          </w:p>
        </w:tc>
        <w:tc>
          <w:tcPr>
            <w:tcW w:w="2000" w:type="dxa"/>
            <w:tcBorders>
              <w:top w:val="single" w:color="auto" w:sz="6" w:space="0"/>
              <w:left w:val="nil"/>
              <w:bottom w:val="single" w:color="auto" w:sz="6" w:space="0"/>
              <w:right w:val="single" w:color="auto" w:sz="6" w:space="0"/>
            </w:tcBorders>
            <w:vAlign w:val="center"/>
          </w:tcPr>
          <w:p w14:paraId="55EF35A3">
            <w:pPr>
              <w:autoSpaceDE w:val="0"/>
              <w:autoSpaceDN w:val="0"/>
              <w:adjustRightInd w:val="0"/>
              <w:spacing w:line="440" w:lineRule="atLeast"/>
              <w:jc w:val="center"/>
              <w:rPr>
                <w:rFonts w:ascii="宋体" w:hAnsi="宋体"/>
                <w:sz w:val="22"/>
                <w:szCs w:val="24"/>
              </w:rPr>
            </w:pPr>
            <w:r>
              <w:rPr>
                <w:rFonts w:ascii="宋体" w:hAnsi="宋体"/>
                <w:sz w:val="22"/>
                <w:szCs w:val="24"/>
              </w:rPr>
              <w:t>投标文件对应规范</w:t>
            </w:r>
          </w:p>
        </w:tc>
        <w:tc>
          <w:tcPr>
            <w:tcW w:w="2800" w:type="dxa"/>
            <w:tcBorders>
              <w:top w:val="single" w:color="auto" w:sz="6" w:space="0"/>
              <w:left w:val="nil"/>
              <w:bottom w:val="single" w:color="auto" w:sz="6" w:space="0"/>
              <w:right w:val="single" w:color="auto" w:sz="6" w:space="0"/>
            </w:tcBorders>
            <w:vAlign w:val="center"/>
          </w:tcPr>
          <w:p w14:paraId="3FA05C32">
            <w:pPr>
              <w:autoSpaceDE w:val="0"/>
              <w:autoSpaceDN w:val="0"/>
              <w:adjustRightInd w:val="0"/>
              <w:spacing w:line="440" w:lineRule="atLeast"/>
              <w:jc w:val="center"/>
              <w:rPr>
                <w:rFonts w:ascii="宋体" w:hAnsi="宋体"/>
                <w:sz w:val="22"/>
                <w:szCs w:val="24"/>
              </w:rPr>
            </w:pPr>
            <w:r>
              <w:rPr>
                <w:rFonts w:ascii="宋体" w:hAnsi="宋体"/>
                <w:sz w:val="22"/>
                <w:szCs w:val="24"/>
              </w:rPr>
              <w:t>备 注</w:t>
            </w:r>
          </w:p>
        </w:tc>
      </w:tr>
      <w:tr w14:paraId="20D1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FF85040">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0E4CABEB">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5827EE56">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0CE47B76">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29D4B278">
            <w:pPr>
              <w:autoSpaceDE w:val="0"/>
              <w:autoSpaceDN w:val="0"/>
              <w:adjustRightInd w:val="0"/>
              <w:spacing w:line="440" w:lineRule="atLeast"/>
              <w:jc w:val="center"/>
              <w:rPr>
                <w:rFonts w:ascii="宋体" w:cs="宋体"/>
                <w:b/>
                <w:bCs/>
                <w:sz w:val="24"/>
                <w:szCs w:val="24"/>
              </w:rPr>
            </w:pPr>
          </w:p>
        </w:tc>
      </w:tr>
      <w:tr w14:paraId="411D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69DF709">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696545BA">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242B1905">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144D5220">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53EC006B">
            <w:pPr>
              <w:autoSpaceDE w:val="0"/>
              <w:autoSpaceDN w:val="0"/>
              <w:adjustRightInd w:val="0"/>
              <w:spacing w:line="440" w:lineRule="atLeast"/>
              <w:jc w:val="center"/>
              <w:rPr>
                <w:rFonts w:ascii="宋体" w:cs="宋体"/>
                <w:b/>
                <w:bCs/>
                <w:sz w:val="24"/>
                <w:szCs w:val="24"/>
              </w:rPr>
            </w:pPr>
          </w:p>
        </w:tc>
      </w:tr>
      <w:tr w14:paraId="3100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D398F81">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0591364D">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4533D2A8">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06BBD009">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79E9237C">
            <w:pPr>
              <w:autoSpaceDE w:val="0"/>
              <w:autoSpaceDN w:val="0"/>
              <w:adjustRightInd w:val="0"/>
              <w:spacing w:line="440" w:lineRule="atLeast"/>
              <w:jc w:val="center"/>
              <w:rPr>
                <w:rFonts w:ascii="宋体" w:cs="宋体"/>
                <w:b/>
                <w:bCs/>
                <w:sz w:val="24"/>
                <w:szCs w:val="24"/>
              </w:rPr>
            </w:pPr>
          </w:p>
        </w:tc>
      </w:tr>
      <w:tr w14:paraId="60BF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A287017">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25930314">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2B621057">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151587D1">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5C705230">
            <w:pPr>
              <w:autoSpaceDE w:val="0"/>
              <w:autoSpaceDN w:val="0"/>
              <w:adjustRightInd w:val="0"/>
              <w:spacing w:line="440" w:lineRule="atLeast"/>
              <w:jc w:val="center"/>
              <w:rPr>
                <w:rFonts w:ascii="宋体" w:cs="宋体"/>
                <w:b/>
                <w:bCs/>
                <w:sz w:val="24"/>
                <w:szCs w:val="24"/>
              </w:rPr>
            </w:pPr>
          </w:p>
        </w:tc>
      </w:tr>
      <w:tr w14:paraId="1A1C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72936CF">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108EDD9C">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3DC0C89C">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1793CD0F">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79D2246D">
            <w:pPr>
              <w:autoSpaceDE w:val="0"/>
              <w:autoSpaceDN w:val="0"/>
              <w:adjustRightInd w:val="0"/>
              <w:spacing w:line="440" w:lineRule="atLeast"/>
              <w:jc w:val="center"/>
              <w:rPr>
                <w:rFonts w:ascii="宋体" w:cs="宋体"/>
                <w:b/>
                <w:bCs/>
                <w:sz w:val="24"/>
                <w:szCs w:val="24"/>
              </w:rPr>
            </w:pPr>
          </w:p>
        </w:tc>
      </w:tr>
      <w:tr w14:paraId="63EE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FA4F678">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07561C98">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32D00193">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439E0C0B">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46C1F779">
            <w:pPr>
              <w:autoSpaceDE w:val="0"/>
              <w:autoSpaceDN w:val="0"/>
              <w:adjustRightInd w:val="0"/>
              <w:spacing w:line="440" w:lineRule="atLeast"/>
              <w:jc w:val="center"/>
              <w:rPr>
                <w:rFonts w:ascii="宋体" w:cs="宋体"/>
                <w:b/>
                <w:bCs/>
                <w:sz w:val="24"/>
                <w:szCs w:val="24"/>
              </w:rPr>
            </w:pPr>
          </w:p>
        </w:tc>
      </w:tr>
      <w:tr w14:paraId="0C26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95524B3">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121C4A32">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567C378E">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3F0B0FF5">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65968E4C">
            <w:pPr>
              <w:autoSpaceDE w:val="0"/>
              <w:autoSpaceDN w:val="0"/>
              <w:adjustRightInd w:val="0"/>
              <w:spacing w:line="440" w:lineRule="atLeast"/>
              <w:jc w:val="center"/>
              <w:rPr>
                <w:rFonts w:ascii="宋体" w:cs="宋体"/>
                <w:b/>
                <w:bCs/>
                <w:sz w:val="24"/>
                <w:szCs w:val="24"/>
              </w:rPr>
            </w:pPr>
          </w:p>
        </w:tc>
      </w:tr>
      <w:tr w14:paraId="71F0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F986A6E">
            <w:pPr>
              <w:autoSpaceDE w:val="0"/>
              <w:autoSpaceDN w:val="0"/>
              <w:adjustRightInd w:val="0"/>
              <w:spacing w:line="440" w:lineRule="atLeast"/>
              <w:jc w:val="center"/>
              <w:rPr>
                <w:rFonts w:ascii="宋体" w:cs="宋体"/>
                <w:b/>
                <w:bCs/>
                <w:sz w:val="24"/>
                <w:szCs w:val="24"/>
              </w:rPr>
            </w:pPr>
          </w:p>
        </w:tc>
        <w:tc>
          <w:tcPr>
            <w:tcW w:w="1800" w:type="dxa"/>
            <w:tcBorders>
              <w:top w:val="single" w:color="auto" w:sz="6" w:space="0"/>
              <w:left w:val="nil"/>
              <w:bottom w:val="single" w:color="auto" w:sz="6" w:space="0"/>
              <w:right w:val="single" w:color="auto" w:sz="6" w:space="0"/>
            </w:tcBorders>
          </w:tcPr>
          <w:p w14:paraId="56AC0303">
            <w:pPr>
              <w:autoSpaceDE w:val="0"/>
              <w:autoSpaceDN w:val="0"/>
              <w:adjustRightInd w:val="0"/>
              <w:spacing w:line="440" w:lineRule="atLeast"/>
              <w:jc w:val="center"/>
              <w:rPr>
                <w:rFonts w:ascii="宋体" w:cs="宋体"/>
                <w:b/>
                <w:bCs/>
                <w:sz w:val="24"/>
                <w:szCs w:val="24"/>
              </w:rPr>
            </w:pPr>
          </w:p>
        </w:tc>
        <w:tc>
          <w:tcPr>
            <w:tcW w:w="2300" w:type="dxa"/>
            <w:tcBorders>
              <w:top w:val="single" w:color="auto" w:sz="6" w:space="0"/>
              <w:left w:val="nil"/>
              <w:bottom w:val="single" w:color="auto" w:sz="6" w:space="0"/>
              <w:right w:val="single" w:color="auto" w:sz="6" w:space="0"/>
            </w:tcBorders>
          </w:tcPr>
          <w:p w14:paraId="44A8EC5F">
            <w:pPr>
              <w:autoSpaceDE w:val="0"/>
              <w:autoSpaceDN w:val="0"/>
              <w:adjustRightInd w:val="0"/>
              <w:spacing w:line="440" w:lineRule="atLeast"/>
              <w:jc w:val="center"/>
              <w:rPr>
                <w:rFonts w:ascii="宋体" w:cs="宋体"/>
                <w:b/>
                <w:bCs/>
                <w:sz w:val="24"/>
                <w:szCs w:val="24"/>
              </w:rPr>
            </w:pPr>
          </w:p>
        </w:tc>
        <w:tc>
          <w:tcPr>
            <w:tcW w:w="2000" w:type="dxa"/>
            <w:tcBorders>
              <w:top w:val="single" w:color="auto" w:sz="6" w:space="0"/>
              <w:left w:val="nil"/>
              <w:bottom w:val="single" w:color="auto" w:sz="6" w:space="0"/>
              <w:right w:val="single" w:color="auto" w:sz="6" w:space="0"/>
            </w:tcBorders>
          </w:tcPr>
          <w:p w14:paraId="669A46E8">
            <w:pPr>
              <w:autoSpaceDE w:val="0"/>
              <w:autoSpaceDN w:val="0"/>
              <w:adjustRightInd w:val="0"/>
              <w:spacing w:line="440" w:lineRule="atLeast"/>
              <w:jc w:val="center"/>
              <w:rPr>
                <w:rFonts w:ascii="宋体" w:cs="宋体"/>
                <w:b/>
                <w:bCs/>
                <w:sz w:val="24"/>
                <w:szCs w:val="24"/>
              </w:rPr>
            </w:pPr>
          </w:p>
        </w:tc>
        <w:tc>
          <w:tcPr>
            <w:tcW w:w="2800" w:type="dxa"/>
            <w:tcBorders>
              <w:top w:val="single" w:color="auto" w:sz="6" w:space="0"/>
              <w:left w:val="nil"/>
              <w:bottom w:val="single" w:color="auto" w:sz="6" w:space="0"/>
              <w:right w:val="single" w:color="auto" w:sz="6" w:space="0"/>
            </w:tcBorders>
          </w:tcPr>
          <w:p w14:paraId="38980496">
            <w:pPr>
              <w:autoSpaceDE w:val="0"/>
              <w:autoSpaceDN w:val="0"/>
              <w:adjustRightInd w:val="0"/>
              <w:spacing w:line="440" w:lineRule="atLeast"/>
              <w:jc w:val="center"/>
              <w:rPr>
                <w:rFonts w:ascii="宋体" w:cs="宋体"/>
                <w:b/>
                <w:bCs/>
                <w:sz w:val="24"/>
                <w:szCs w:val="24"/>
              </w:rPr>
            </w:pPr>
          </w:p>
        </w:tc>
      </w:tr>
    </w:tbl>
    <w:p w14:paraId="454F7D1C">
      <w:pPr>
        <w:adjustRightInd w:val="0"/>
        <w:snapToGrid w:val="0"/>
        <w:spacing w:line="400" w:lineRule="exact"/>
        <w:rPr>
          <w:rFonts w:ascii="宋体" w:hAnsi="Courier New"/>
          <w:b/>
          <w:bCs/>
          <w:sz w:val="24"/>
          <w:szCs w:val="24"/>
          <w:u w:val="single"/>
        </w:rPr>
      </w:pPr>
      <w:r>
        <w:rPr>
          <w:rFonts w:hint="eastAsia" w:ascii="宋体" w:hAnsi="宋体"/>
          <w:sz w:val="22"/>
        </w:rPr>
        <w:t xml:space="preserve">供应商全称（盖章）： </w:t>
      </w:r>
      <w:r>
        <w:rPr>
          <w:rFonts w:hint="eastAsia" w:ascii="宋体" w:hAnsi="Courier New"/>
          <w:b/>
          <w:bCs/>
          <w:sz w:val="24"/>
          <w:szCs w:val="24"/>
          <w:u w:val="single"/>
        </w:rPr>
        <w:t xml:space="preserve">    </w:t>
      </w:r>
    </w:p>
    <w:p w14:paraId="58B80A5F">
      <w:pPr>
        <w:adjustRightInd w:val="0"/>
        <w:snapToGrid w:val="0"/>
        <w:spacing w:line="400" w:lineRule="exact"/>
        <w:rPr>
          <w:rFonts w:ascii="宋体" w:hAnsi="宋体"/>
          <w:b/>
          <w:sz w:val="22"/>
          <w:szCs w:val="22"/>
          <w:u w:val="single"/>
        </w:rPr>
      </w:pPr>
    </w:p>
    <w:p w14:paraId="175015CA">
      <w:pPr>
        <w:adjustRightInd w:val="0"/>
        <w:snapToGrid w:val="0"/>
        <w:spacing w:line="400" w:lineRule="exact"/>
        <w:rPr>
          <w:rFonts w:ascii="宋体" w:hAnsi="Courier New"/>
          <w:b/>
          <w:bCs/>
          <w:sz w:val="22"/>
          <w:szCs w:val="22"/>
          <w:u w:val="single"/>
        </w:rPr>
      </w:pPr>
      <w:r>
        <w:rPr>
          <w:rFonts w:hint="eastAsia" w:ascii="宋体" w:hAnsi="宋体"/>
          <w:b/>
          <w:sz w:val="22"/>
          <w:szCs w:val="22"/>
          <w:u w:val="single"/>
        </w:rPr>
        <w:t>不提供此表格的将视为没有实质性响应招标文件。</w:t>
      </w:r>
    </w:p>
    <w:p w14:paraId="5EE2A7EA">
      <w:pPr>
        <w:widowControl/>
        <w:jc w:val="left"/>
        <w:rPr>
          <w:rFonts w:ascii="宋体" w:hAnsi="宋体" w:cs="仿宋_GB2312"/>
          <w:sz w:val="32"/>
          <w:szCs w:val="32"/>
        </w:rPr>
        <w:sectPr>
          <w:footerReference r:id="rId13" w:type="default"/>
          <w:pgSz w:w="11906" w:h="16838"/>
          <w:pgMar w:top="1440" w:right="1106" w:bottom="1440" w:left="1622" w:header="720" w:footer="720" w:gutter="0"/>
          <w:cols w:space="720" w:num="1"/>
          <w:docGrid w:type="lines" w:linePitch="312" w:charSpace="0"/>
        </w:sectPr>
      </w:pPr>
    </w:p>
    <w:p w14:paraId="61562ECD">
      <w:pPr>
        <w:spacing w:line="440" w:lineRule="exact"/>
        <w:jc w:val="left"/>
        <w:rPr>
          <w:rFonts w:ascii="宋体" w:hAnsi="宋体"/>
          <w:b/>
          <w:sz w:val="32"/>
          <w:szCs w:val="32"/>
        </w:rPr>
      </w:pPr>
      <w:r>
        <w:rPr>
          <w:rFonts w:hint="eastAsia" w:ascii="宋体" w:hAnsi="宋体"/>
          <w:b/>
          <w:sz w:val="32"/>
          <w:szCs w:val="32"/>
        </w:rPr>
        <w:t>附件十</w:t>
      </w:r>
    </w:p>
    <w:p w14:paraId="0918226A">
      <w:pPr>
        <w:spacing w:line="440" w:lineRule="atLeast"/>
        <w:ind w:firstLine="1440" w:firstLineChars="400"/>
        <w:rPr>
          <w:rFonts w:ascii="宋体"/>
          <w:sz w:val="36"/>
          <w:szCs w:val="36"/>
        </w:rPr>
      </w:pPr>
    </w:p>
    <w:p w14:paraId="030443B6">
      <w:pPr>
        <w:jc w:val="center"/>
        <w:rPr>
          <w:rFonts w:ascii="宋体"/>
          <w:b/>
          <w:bCs/>
          <w:sz w:val="32"/>
          <w:szCs w:val="32"/>
        </w:rPr>
      </w:pPr>
      <w:r>
        <w:rPr>
          <w:rFonts w:hint="eastAsia" w:ascii="宋体"/>
          <w:b/>
          <w:bCs/>
          <w:sz w:val="32"/>
          <w:szCs w:val="32"/>
        </w:rPr>
        <w:t>供应商项目服务人员汇总表</w:t>
      </w:r>
    </w:p>
    <w:p w14:paraId="2EF7237D">
      <w:pPr>
        <w:spacing w:line="360" w:lineRule="auto"/>
        <w:rPr>
          <w:rFonts w:ascii="宋体"/>
          <w:sz w:val="22"/>
          <w:szCs w:val="24"/>
        </w:rPr>
      </w:pPr>
      <w:r>
        <w:rPr>
          <w:rFonts w:hint="eastAsia" w:ascii="宋体"/>
          <w:sz w:val="22"/>
          <w:szCs w:val="24"/>
        </w:rPr>
        <w:t>项目名称：</w:t>
      </w:r>
      <w:r>
        <w:rPr>
          <w:rFonts w:hint="eastAsia" w:ascii="宋体"/>
          <w:sz w:val="22"/>
          <w:szCs w:val="24"/>
          <w:u w:val="single"/>
          <w:lang w:val="zh-CN"/>
        </w:rPr>
        <w:t>泰顺县南浦溪镇环卫一体化和垃圾分类服务项目</w:t>
      </w:r>
    </w:p>
    <w:p w14:paraId="606A6552">
      <w:pPr>
        <w:spacing w:line="360" w:lineRule="auto"/>
        <w:rPr>
          <w:rFonts w:ascii="宋体"/>
          <w:bCs/>
          <w:sz w:val="22"/>
          <w:szCs w:val="24"/>
        </w:rPr>
      </w:pPr>
      <w:r>
        <w:rPr>
          <w:rFonts w:hint="eastAsia" w:ascii="宋体"/>
          <w:sz w:val="22"/>
          <w:szCs w:val="24"/>
        </w:rPr>
        <w:t>项目编号：</w:t>
      </w:r>
      <w:r>
        <w:rPr>
          <w:rFonts w:hint="eastAsia" w:ascii="宋体" w:hAnsi="宋体" w:cs="宋体"/>
          <w:sz w:val="22"/>
          <w:u w:val="single"/>
          <w:lang w:val="zh-CN"/>
        </w:rPr>
        <w:t xml:space="preserve">TSCG202505002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964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EED1C17">
            <w:pPr>
              <w:jc w:val="center"/>
              <w:rPr>
                <w:rFonts w:ascii="宋体"/>
                <w:bCs/>
                <w:sz w:val="22"/>
                <w:szCs w:val="24"/>
              </w:rPr>
            </w:pPr>
            <w:r>
              <w:rPr>
                <w:rFonts w:hint="eastAsia" w:ascii="宋体"/>
                <w:bCs/>
                <w:sz w:val="22"/>
                <w:szCs w:val="24"/>
              </w:rPr>
              <w:t>姓名</w:t>
            </w:r>
          </w:p>
        </w:tc>
        <w:tc>
          <w:tcPr>
            <w:tcW w:w="2520" w:type="dxa"/>
            <w:vAlign w:val="center"/>
          </w:tcPr>
          <w:p w14:paraId="29864052">
            <w:pPr>
              <w:jc w:val="center"/>
              <w:rPr>
                <w:rFonts w:ascii="宋体"/>
                <w:bCs/>
                <w:sz w:val="22"/>
                <w:szCs w:val="24"/>
              </w:rPr>
            </w:pPr>
            <w:r>
              <w:rPr>
                <w:rFonts w:hint="eastAsia" w:ascii="宋体"/>
                <w:bCs/>
                <w:sz w:val="22"/>
                <w:szCs w:val="24"/>
              </w:rPr>
              <w:t>本项目主要工作</w:t>
            </w:r>
          </w:p>
        </w:tc>
        <w:tc>
          <w:tcPr>
            <w:tcW w:w="720" w:type="dxa"/>
            <w:vAlign w:val="center"/>
          </w:tcPr>
          <w:p w14:paraId="3AC03A06">
            <w:pPr>
              <w:jc w:val="center"/>
              <w:rPr>
                <w:rFonts w:ascii="宋体"/>
                <w:bCs/>
                <w:sz w:val="22"/>
                <w:szCs w:val="24"/>
              </w:rPr>
            </w:pPr>
            <w:r>
              <w:rPr>
                <w:rFonts w:hint="eastAsia" w:ascii="宋体"/>
                <w:bCs/>
                <w:sz w:val="22"/>
                <w:szCs w:val="24"/>
              </w:rPr>
              <w:t>年龄</w:t>
            </w:r>
          </w:p>
        </w:tc>
        <w:tc>
          <w:tcPr>
            <w:tcW w:w="720" w:type="dxa"/>
            <w:vAlign w:val="center"/>
          </w:tcPr>
          <w:p w14:paraId="0968B593">
            <w:pPr>
              <w:jc w:val="center"/>
              <w:rPr>
                <w:rFonts w:ascii="宋体"/>
                <w:bCs/>
                <w:sz w:val="22"/>
                <w:szCs w:val="24"/>
              </w:rPr>
            </w:pPr>
            <w:r>
              <w:rPr>
                <w:rFonts w:hint="eastAsia" w:ascii="宋体"/>
                <w:bCs/>
                <w:sz w:val="22"/>
                <w:szCs w:val="24"/>
              </w:rPr>
              <w:t>性别</w:t>
            </w:r>
          </w:p>
        </w:tc>
        <w:tc>
          <w:tcPr>
            <w:tcW w:w="720" w:type="dxa"/>
            <w:vAlign w:val="center"/>
          </w:tcPr>
          <w:p w14:paraId="19D0D9B1">
            <w:pPr>
              <w:jc w:val="center"/>
              <w:rPr>
                <w:rFonts w:ascii="宋体"/>
                <w:bCs/>
                <w:sz w:val="22"/>
                <w:szCs w:val="24"/>
              </w:rPr>
            </w:pPr>
            <w:r>
              <w:rPr>
                <w:rFonts w:hint="eastAsia" w:ascii="宋体"/>
                <w:bCs/>
                <w:sz w:val="22"/>
                <w:szCs w:val="24"/>
              </w:rPr>
              <w:t>专业</w:t>
            </w:r>
          </w:p>
        </w:tc>
        <w:tc>
          <w:tcPr>
            <w:tcW w:w="1080" w:type="dxa"/>
            <w:vAlign w:val="center"/>
          </w:tcPr>
          <w:p w14:paraId="37F06DFC">
            <w:pPr>
              <w:jc w:val="center"/>
              <w:rPr>
                <w:rFonts w:ascii="宋体"/>
                <w:bCs/>
                <w:sz w:val="22"/>
                <w:szCs w:val="24"/>
              </w:rPr>
            </w:pPr>
            <w:r>
              <w:rPr>
                <w:rFonts w:hint="eastAsia" w:ascii="宋体"/>
                <w:bCs/>
                <w:sz w:val="22"/>
                <w:szCs w:val="24"/>
              </w:rPr>
              <w:t>专业</w:t>
            </w:r>
          </w:p>
          <w:p w14:paraId="4422918D">
            <w:pPr>
              <w:jc w:val="center"/>
              <w:rPr>
                <w:rFonts w:ascii="宋体"/>
                <w:bCs/>
                <w:sz w:val="22"/>
                <w:szCs w:val="24"/>
              </w:rPr>
            </w:pPr>
            <w:r>
              <w:rPr>
                <w:rFonts w:hint="eastAsia" w:ascii="宋体"/>
                <w:bCs/>
                <w:sz w:val="22"/>
                <w:szCs w:val="24"/>
              </w:rPr>
              <w:t>年限</w:t>
            </w:r>
          </w:p>
        </w:tc>
        <w:tc>
          <w:tcPr>
            <w:tcW w:w="1458" w:type="dxa"/>
            <w:vAlign w:val="center"/>
          </w:tcPr>
          <w:p w14:paraId="44C8E86D">
            <w:pPr>
              <w:jc w:val="center"/>
              <w:rPr>
                <w:rFonts w:ascii="宋体"/>
                <w:bCs/>
                <w:sz w:val="22"/>
                <w:szCs w:val="24"/>
              </w:rPr>
            </w:pPr>
            <w:r>
              <w:rPr>
                <w:rFonts w:hint="eastAsia" w:ascii="宋体"/>
                <w:bCs/>
                <w:sz w:val="22"/>
                <w:szCs w:val="24"/>
              </w:rPr>
              <w:t>职务</w:t>
            </w:r>
          </w:p>
          <w:p w14:paraId="319AC18D">
            <w:pPr>
              <w:jc w:val="center"/>
              <w:rPr>
                <w:rFonts w:ascii="宋体"/>
                <w:bCs/>
                <w:sz w:val="22"/>
                <w:szCs w:val="24"/>
              </w:rPr>
            </w:pPr>
            <w:r>
              <w:rPr>
                <w:rFonts w:hint="eastAsia" w:ascii="宋体"/>
                <w:bCs/>
                <w:sz w:val="22"/>
                <w:szCs w:val="24"/>
              </w:rPr>
              <w:t>和职称</w:t>
            </w:r>
            <w:r>
              <w:rPr>
                <w:rFonts w:ascii="宋体"/>
                <w:bCs/>
                <w:sz w:val="22"/>
                <w:szCs w:val="24"/>
              </w:rPr>
              <w:t>/</w:t>
            </w:r>
            <w:r>
              <w:rPr>
                <w:rFonts w:hint="eastAsia" w:ascii="宋体"/>
                <w:bCs/>
                <w:sz w:val="22"/>
                <w:szCs w:val="24"/>
              </w:rPr>
              <w:t>认证</w:t>
            </w:r>
          </w:p>
        </w:tc>
        <w:tc>
          <w:tcPr>
            <w:tcW w:w="1560" w:type="dxa"/>
            <w:vAlign w:val="center"/>
          </w:tcPr>
          <w:p w14:paraId="2A7B15DC">
            <w:pPr>
              <w:jc w:val="center"/>
              <w:rPr>
                <w:rFonts w:ascii="宋体"/>
                <w:bCs/>
                <w:sz w:val="22"/>
                <w:szCs w:val="24"/>
              </w:rPr>
            </w:pPr>
            <w:r>
              <w:rPr>
                <w:rFonts w:hint="eastAsia" w:ascii="宋体"/>
                <w:bCs/>
                <w:sz w:val="22"/>
                <w:szCs w:val="24"/>
              </w:rPr>
              <w:t>备注</w:t>
            </w:r>
          </w:p>
        </w:tc>
      </w:tr>
      <w:tr w14:paraId="0FFE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F440A6E">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2808CEAB">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04B3936">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28722811">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41DC861">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77655E47">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3C14BFF9">
            <w:pPr>
              <w:spacing w:line="360" w:lineRule="auto"/>
              <w:ind w:left="5250"/>
              <w:rPr>
                <w:rFonts w:ascii="宋体"/>
                <w:spacing w:val="12"/>
                <w:sz w:val="22"/>
                <w:szCs w:val="24"/>
              </w:rPr>
            </w:pPr>
          </w:p>
        </w:tc>
        <w:tc>
          <w:tcPr>
            <w:tcW w:w="1560" w:type="dxa"/>
            <w:tcBorders>
              <w:top w:val="single" w:color="auto" w:sz="4" w:space="0"/>
              <w:left w:val="single" w:color="auto" w:sz="4" w:space="0"/>
              <w:right w:val="single" w:color="auto" w:sz="4" w:space="0"/>
            </w:tcBorders>
            <w:vAlign w:val="center"/>
          </w:tcPr>
          <w:p w14:paraId="1462AB91">
            <w:pPr>
              <w:spacing w:line="360" w:lineRule="auto"/>
              <w:rPr>
                <w:rFonts w:ascii="宋体"/>
                <w:sz w:val="22"/>
                <w:szCs w:val="24"/>
              </w:rPr>
            </w:pPr>
          </w:p>
        </w:tc>
      </w:tr>
      <w:tr w14:paraId="4BD4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9EE66BE">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2B43397E">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06F8536">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1019A5A">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4AD3A8C">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33C8058D">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4B8ABCDA">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716708FD">
            <w:pPr>
              <w:spacing w:line="360" w:lineRule="auto"/>
              <w:ind w:left="5250"/>
              <w:rPr>
                <w:rFonts w:ascii="宋体"/>
                <w:spacing w:val="12"/>
                <w:sz w:val="22"/>
                <w:szCs w:val="24"/>
              </w:rPr>
            </w:pPr>
          </w:p>
        </w:tc>
      </w:tr>
      <w:tr w14:paraId="3C07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519EF34">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2AAC2B6D">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3692D367">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B8F639D">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8573341">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73DCA21F">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7D8B3922">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0B0D7A1A">
            <w:pPr>
              <w:spacing w:line="360" w:lineRule="auto"/>
              <w:rPr>
                <w:rFonts w:ascii="宋体"/>
                <w:sz w:val="22"/>
                <w:szCs w:val="24"/>
              </w:rPr>
            </w:pPr>
          </w:p>
        </w:tc>
      </w:tr>
      <w:tr w14:paraId="2D63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8BAAE62">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30DC96F6">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67DE7246">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449AA50">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2F8EA412">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2BEDA6F7">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28E96DB1">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137F24AE">
            <w:pPr>
              <w:spacing w:line="360" w:lineRule="auto"/>
              <w:rPr>
                <w:rFonts w:ascii="宋体"/>
                <w:sz w:val="22"/>
                <w:szCs w:val="24"/>
              </w:rPr>
            </w:pPr>
          </w:p>
        </w:tc>
      </w:tr>
      <w:tr w14:paraId="6407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48451E0">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3017956C">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71982FD9">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2A7879E3">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63CDDE9">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7E66650C">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5CFAC4B1">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24F465A6">
            <w:pPr>
              <w:spacing w:line="360" w:lineRule="auto"/>
              <w:rPr>
                <w:rFonts w:ascii="宋体"/>
                <w:sz w:val="22"/>
                <w:szCs w:val="24"/>
              </w:rPr>
            </w:pPr>
          </w:p>
        </w:tc>
      </w:tr>
      <w:tr w14:paraId="07A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4A0ADF1">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0F6BB5AB">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A61EA4D">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D1B7A71">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3FB1D53E">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42A885A9">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65F22DE4">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4E1AD1E7">
            <w:pPr>
              <w:spacing w:line="360" w:lineRule="auto"/>
              <w:rPr>
                <w:rFonts w:ascii="宋体"/>
                <w:sz w:val="22"/>
                <w:szCs w:val="24"/>
              </w:rPr>
            </w:pPr>
          </w:p>
        </w:tc>
      </w:tr>
      <w:tr w14:paraId="2FC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1FE08E8">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4CDD982D">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C439A4A">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9B286F4">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789C8C26">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72207649">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61C91497">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0DB272DA">
            <w:pPr>
              <w:spacing w:line="360" w:lineRule="auto"/>
              <w:rPr>
                <w:rFonts w:ascii="宋体"/>
                <w:sz w:val="22"/>
                <w:szCs w:val="24"/>
              </w:rPr>
            </w:pPr>
          </w:p>
        </w:tc>
      </w:tr>
      <w:tr w14:paraId="3E59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C52013C">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6F27A7A7">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0813B16A">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96063DE">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A3A7653">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65BEBA39">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7CEDE56A">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72FFBB5B">
            <w:pPr>
              <w:spacing w:line="360" w:lineRule="auto"/>
              <w:rPr>
                <w:rFonts w:ascii="宋体"/>
                <w:sz w:val="22"/>
                <w:szCs w:val="24"/>
              </w:rPr>
            </w:pPr>
          </w:p>
        </w:tc>
      </w:tr>
      <w:tr w14:paraId="034E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14C946B">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0FF387EA">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7160E8C">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14589EE2">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245633C7">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1D4FEAF1">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31C53118">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7F116FEF">
            <w:pPr>
              <w:spacing w:line="360" w:lineRule="auto"/>
              <w:rPr>
                <w:rFonts w:ascii="宋体"/>
                <w:sz w:val="22"/>
                <w:szCs w:val="24"/>
              </w:rPr>
            </w:pPr>
          </w:p>
        </w:tc>
      </w:tr>
      <w:tr w14:paraId="0CA0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0A88505">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1A97231A">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7B220774">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69C7700">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6FD1CED1">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0D8BA733">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6D475EEE">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77808194">
            <w:pPr>
              <w:spacing w:line="360" w:lineRule="auto"/>
              <w:rPr>
                <w:rFonts w:ascii="宋体"/>
                <w:sz w:val="22"/>
                <w:szCs w:val="24"/>
              </w:rPr>
            </w:pPr>
          </w:p>
        </w:tc>
      </w:tr>
      <w:tr w14:paraId="1D23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7C4A2EE">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0949F080">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F2F2D02">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7C4F96C5">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39FDD5A">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54C798B4">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19104AC1">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1A3DD23A">
            <w:pPr>
              <w:spacing w:line="360" w:lineRule="auto"/>
              <w:rPr>
                <w:rFonts w:ascii="宋体"/>
                <w:sz w:val="22"/>
                <w:szCs w:val="24"/>
              </w:rPr>
            </w:pPr>
          </w:p>
        </w:tc>
      </w:tr>
      <w:tr w14:paraId="6331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67E5E94">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2AEDC825">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0E384B5A">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3B29AE1D">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9E5CC9F">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579FD7AE">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20FA330E">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0209DAC2">
            <w:pPr>
              <w:spacing w:line="360" w:lineRule="auto"/>
              <w:rPr>
                <w:rFonts w:ascii="宋体"/>
                <w:sz w:val="22"/>
                <w:szCs w:val="24"/>
              </w:rPr>
            </w:pPr>
          </w:p>
        </w:tc>
      </w:tr>
      <w:tr w14:paraId="3300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47FC6BA">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53B61C2C">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49884838">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3D233C0A">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7A7A8ABE">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497F72B7">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70867EA4">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117682B5">
            <w:pPr>
              <w:spacing w:line="360" w:lineRule="auto"/>
              <w:rPr>
                <w:rFonts w:ascii="宋体"/>
                <w:sz w:val="22"/>
                <w:szCs w:val="24"/>
              </w:rPr>
            </w:pPr>
          </w:p>
        </w:tc>
      </w:tr>
      <w:tr w14:paraId="5E29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87EBE21">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3A5A3D19">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3F1F13D7">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2B874275">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6718B67">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352E0EE2">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56195E6C">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638DF580">
            <w:pPr>
              <w:spacing w:line="360" w:lineRule="auto"/>
              <w:rPr>
                <w:rFonts w:ascii="宋体"/>
                <w:sz w:val="22"/>
                <w:szCs w:val="24"/>
              </w:rPr>
            </w:pPr>
          </w:p>
        </w:tc>
      </w:tr>
      <w:tr w14:paraId="244F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4582B00">
            <w:pPr>
              <w:spacing w:line="360" w:lineRule="auto"/>
              <w:rPr>
                <w:rFonts w:ascii="宋体"/>
                <w:sz w:val="22"/>
                <w:szCs w:val="24"/>
              </w:rPr>
            </w:pPr>
          </w:p>
        </w:tc>
        <w:tc>
          <w:tcPr>
            <w:tcW w:w="2520" w:type="dxa"/>
            <w:tcBorders>
              <w:top w:val="single" w:color="auto" w:sz="4" w:space="0"/>
              <w:left w:val="single" w:color="auto" w:sz="4" w:space="0"/>
              <w:right w:val="single" w:color="auto" w:sz="4" w:space="0"/>
            </w:tcBorders>
            <w:vAlign w:val="center"/>
          </w:tcPr>
          <w:p w14:paraId="77DA63BE">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5D1633FF">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0CA29A60">
            <w:pPr>
              <w:spacing w:line="360" w:lineRule="auto"/>
              <w:rPr>
                <w:rFonts w:ascii="宋体"/>
                <w:sz w:val="22"/>
                <w:szCs w:val="24"/>
              </w:rPr>
            </w:pPr>
          </w:p>
        </w:tc>
        <w:tc>
          <w:tcPr>
            <w:tcW w:w="720" w:type="dxa"/>
            <w:tcBorders>
              <w:top w:val="single" w:color="auto" w:sz="4" w:space="0"/>
              <w:left w:val="single" w:color="auto" w:sz="4" w:space="0"/>
              <w:right w:val="single" w:color="auto" w:sz="4" w:space="0"/>
            </w:tcBorders>
            <w:vAlign w:val="center"/>
          </w:tcPr>
          <w:p w14:paraId="3BB72134">
            <w:pPr>
              <w:spacing w:line="360" w:lineRule="auto"/>
              <w:rPr>
                <w:rFonts w:ascii="宋体"/>
                <w:sz w:val="22"/>
                <w:szCs w:val="24"/>
              </w:rPr>
            </w:pPr>
          </w:p>
        </w:tc>
        <w:tc>
          <w:tcPr>
            <w:tcW w:w="1080" w:type="dxa"/>
            <w:tcBorders>
              <w:top w:val="single" w:color="auto" w:sz="4" w:space="0"/>
              <w:left w:val="single" w:color="auto" w:sz="4" w:space="0"/>
              <w:right w:val="single" w:color="auto" w:sz="4" w:space="0"/>
            </w:tcBorders>
            <w:vAlign w:val="center"/>
          </w:tcPr>
          <w:p w14:paraId="3E007F41">
            <w:pPr>
              <w:spacing w:line="360" w:lineRule="auto"/>
              <w:rPr>
                <w:rFonts w:ascii="宋体"/>
                <w:sz w:val="22"/>
                <w:szCs w:val="24"/>
              </w:rPr>
            </w:pPr>
          </w:p>
        </w:tc>
        <w:tc>
          <w:tcPr>
            <w:tcW w:w="1458" w:type="dxa"/>
            <w:tcBorders>
              <w:top w:val="single" w:color="auto" w:sz="4" w:space="0"/>
              <w:left w:val="single" w:color="auto" w:sz="4" w:space="0"/>
              <w:right w:val="single" w:color="auto" w:sz="4" w:space="0"/>
            </w:tcBorders>
            <w:vAlign w:val="center"/>
          </w:tcPr>
          <w:p w14:paraId="6326D0B6">
            <w:pPr>
              <w:spacing w:line="360" w:lineRule="auto"/>
              <w:rPr>
                <w:rFonts w:ascii="宋体"/>
                <w:sz w:val="22"/>
                <w:szCs w:val="24"/>
              </w:rPr>
            </w:pPr>
          </w:p>
        </w:tc>
        <w:tc>
          <w:tcPr>
            <w:tcW w:w="1560" w:type="dxa"/>
            <w:tcBorders>
              <w:top w:val="single" w:color="auto" w:sz="4" w:space="0"/>
              <w:left w:val="single" w:color="auto" w:sz="4" w:space="0"/>
              <w:right w:val="single" w:color="auto" w:sz="4" w:space="0"/>
            </w:tcBorders>
            <w:vAlign w:val="center"/>
          </w:tcPr>
          <w:p w14:paraId="0ACCBA96">
            <w:pPr>
              <w:spacing w:line="360" w:lineRule="auto"/>
              <w:rPr>
                <w:rFonts w:ascii="宋体"/>
                <w:sz w:val="22"/>
                <w:szCs w:val="24"/>
              </w:rPr>
            </w:pPr>
          </w:p>
        </w:tc>
      </w:tr>
    </w:tbl>
    <w:p w14:paraId="423833CA">
      <w:pPr>
        <w:spacing w:line="360" w:lineRule="exact"/>
        <w:ind w:left="968" w:hanging="968" w:hangingChars="440"/>
        <w:rPr>
          <w:rFonts w:ascii="宋体" w:cs="Arial"/>
          <w:sz w:val="22"/>
          <w:szCs w:val="24"/>
        </w:rPr>
      </w:pPr>
      <w:r>
        <w:rPr>
          <w:rFonts w:hint="eastAsia" w:ascii="宋体" w:cs="Arial"/>
          <w:sz w:val="22"/>
          <w:szCs w:val="24"/>
        </w:rPr>
        <w:t xml:space="preserve">注：  </w:t>
      </w:r>
      <w:r>
        <w:rPr>
          <w:rFonts w:ascii="宋体" w:cs="Arial"/>
          <w:sz w:val="22"/>
          <w:szCs w:val="24"/>
        </w:rPr>
        <w:t xml:space="preserve">1. </w:t>
      </w:r>
      <w:r>
        <w:rPr>
          <w:rFonts w:hint="eastAsia" w:ascii="宋体" w:cs="Arial"/>
          <w:sz w:val="22"/>
          <w:szCs w:val="24"/>
        </w:rPr>
        <w:t>项目负责人及其他服务人员均应列入；</w:t>
      </w:r>
    </w:p>
    <w:p w14:paraId="2ABC61E0">
      <w:pPr>
        <w:spacing w:line="360" w:lineRule="exact"/>
        <w:ind w:left="718" w:leftChars="321" w:hanging="44" w:hangingChars="20"/>
        <w:rPr>
          <w:rFonts w:ascii="宋体" w:cs="Arial"/>
          <w:sz w:val="22"/>
          <w:szCs w:val="24"/>
        </w:rPr>
      </w:pPr>
      <w:r>
        <w:rPr>
          <w:rFonts w:ascii="宋体" w:cs="Arial"/>
          <w:sz w:val="22"/>
          <w:szCs w:val="24"/>
        </w:rPr>
        <w:t xml:space="preserve">2. </w:t>
      </w:r>
      <w:r>
        <w:rPr>
          <w:rFonts w:hint="eastAsia" w:ascii="宋体" w:cs="Arial"/>
          <w:sz w:val="22"/>
          <w:szCs w:val="24"/>
        </w:rPr>
        <w:t>列入本表人员如要更换，需经采购人同意，擅自更换或不到位属违约行为；</w:t>
      </w:r>
    </w:p>
    <w:p w14:paraId="4AC688F4">
      <w:pPr>
        <w:spacing w:line="360" w:lineRule="exact"/>
        <w:ind w:left="718" w:leftChars="321" w:hanging="44" w:hangingChars="20"/>
        <w:rPr>
          <w:rFonts w:ascii="宋体" w:cs="Arial"/>
          <w:sz w:val="22"/>
          <w:szCs w:val="24"/>
        </w:rPr>
      </w:pPr>
      <w:r>
        <w:rPr>
          <w:rFonts w:ascii="宋体" w:cs="Arial"/>
          <w:sz w:val="22"/>
          <w:szCs w:val="24"/>
        </w:rPr>
        <w:t xml:space="preserve">3. </w:t>
      </w:r>
      <w:r>
        <w:rPr>
          <w:rFonts w:hint="eastAsia" w:ascii="宋体" w:cs="Arial"/>
          <w:sz w:val="22"/>
          <w:szCs w:val="24"/>
        </w:rPr>
        <w:t>职称证书、执业资格证书、职业水平证书等人员证件复印件附后。</w:t>
      </w:r>
    </w:p>
    <w:p w14:paraId="768FF8BB">
      <w:pPr>
        <w:spacing w:line="360" w:lineRule="exact"/>
        <w:ind w:left="718" w:leftChars="321" w:hanging="44" w:hangingChars="20"/>
        <w:rPr>
          <w:rFonts w:ascii="宋体" w:cs="Arial"/>
          <w:sz w:val="22"/>
          <w:szCs w:val="24"/>
        </w:rPr>
      </w:pPr>
      <w:r>
        <w:rPr>
          <w:rFonts w:hint="eastAsia" w:ascii="宋体" w:cs="Arial"/>
          <w:sz w:val="22"/>
          <w:szCs w:val="24"/>
        </w:rPr>
        <w:t>4.表格可以延续。</w:t>
      </w:r>
    </w:p>
    <w:p w14:paraId="74FF27B3">
      <w:pPr>
        <w:spacing w:line="440" w:lineRule="atLeast"/>
        <w:rPr>
          <w:rFonts w:ascii="宋体" w:hAnsi="宋体"/>
          <w:sz w:val="22"/>
          <w:szCs w:val="22"/>
        </w:rPr>
      </w:pPr>
      <w:r>
        <w:rPr>
          <w:rFonts w:hint="eastAsia" w:ascii="宋体" w:hAnsi="宋体"/>
          <w:sz w:val="22"/>
          <w:szCs w:val="22"/>
        </w:rPr>
        <w:t>供应商全称：（盖章）</w:t>
      </w:r>
    </w:p>
    <w:p w14:paraId="149E61D4">
      <w:pPr>
        <w:spacing w:line="440" w:lineRule="atLeast"/>
        <w:rPr>
          <w:rFonts w:ascii="宋体" w:hAnsi="宋体"/>
          <w:sz w:val="22"/>
          <w:szCs w:val="22"/>
          <w:lang w:val="zh-CN"/>
        </w:rPr>
      </w:pPr>
      <w:r>
        <w:rPr>
          <w:rFonts w:hint="eastAsia" w:ascii="宋体" w:hAnsi="宋体"/>
          <w:sz w:val="22"/>
          <w:szCs w:val="22"/>
        </w:rPr>
        <w:t>法定代表人（签字或盖章）或</w:t>
      </w:r>
      <w:r>
        <w:rPr>
          <w:rFonts w:hint="eastAsia" w:ascii="宋体" w:hAnsi="宋体"/>
          <w:sz w:val="22"/>
          <w:szCs w:val="22"/>
          <w:lang w:val="zh-CN"/>
        </w:rPr>
        <w:t>授权代表（签字）：</w:t>
      </w:r>
    </w:p>
    <w:p w14:paraId="21AC7EFF">
      <w:pPr>
        <w:rPr>
          <w:rFonts w:ascii="宋体" w:hAnsi="宋体"/>
          <w:b/>
          <w:sz w:val="32"/>
          <w:szCs w:val="32"/>
        </w:rPr>
      </w:pPr>
      <w:r>
        <w:rPr>
          <w:rFonts w:hint="eastAsia" w:ascii="宋体" w:hAnsi="宋体"/>
          <w:b/>
          <w:sz w:val="32"/>
          <w:szCs w:val="32"/>
        </w:rPr>
        <w:br w:type="page"/>
      </w:r>
    </w:p>
    <w:p w14:paraId="35281308">
      <w:pPr>
        <w:spacing w:line="440" w:lineRule="exact"/>
        <w:jc w:val="left"/>
        <w:rPr>
          <w:rFonts w:ascii="宋体" w:hAnsi="宋体"/>
          <w:b/>
          <w:sz w:val="32"/>
          <w:szCs w:val="32"/>
        </w:rPr>
      </w:pPr>
      <w:r>
        <w:rPr>
          <w:rFonts w:hint="eastAsia" w:ascii="宋体" w:hAnsi="宋体"/>
          <w:b/>
          <w:sz w:val="32"/>
          <w:szCs w:val="32"/>
        </w:rPr>
        <w:t>附件十一</w:t>
      </w:r>
    </w:p>
    <w:p w14:paraId="7646EF84">
      <w:pPr>
        <w:spacing w:line="440" w:lineRule="atLeast"/>
        <w:jc w:val="center"/>
        <w:rPr>
          <w:rFonts w:ascii="宋体"/>
          <w:sz w:val="36"/>
          <w:szCs w:val="36"/>
        </w:rPr>
      </w:pPr>
    </w:p>
    <w:p w14:paraId="432884C4">
      <w:pPr>
        <w:spacing w:line="440" w:lineRule="atLeast"/>
        <w:jc w:val="center"/>
        <w:rPr>
          <w:rFonts w:ascii="宋体"/>
          <w:sz w:val="36"/>
          <w:szCs w:val="36"/>
        </w:rPr>
      </w:pPr>
      <w:r>
        <w:rPr>
          <w:rFonts w:hint="eastAsia" w:ascii="宋体"/>
          <w:sz w:val="36"/>
          <w:szCs w:val="36"/>
        </w:rPr>
        <w:t>投标供应商认为有必要提供的其他材料或证明</w:t>
      </w:r>
    </w:p>
    <w:p w14:paraId="2861C3E0">
      <w:pPr>
        <w:rPr>
          <w:szCs w:val="24"/>
        </w:rPr>
      </w:pPr>
    </w:p>
    <w:p w14:paraId="7C5AEC9A">
      <w:pPr>
        <w:adjustRightInd w:val="0"/>
        <w:snapToGrid w:val="0"/>
        <w:spacing w:line="400" w:lineRule="exact"/>
        <w:rPr>
          <w:rFonts w:hAnsi="宋体"/>
          <w:sz w:val="22"/>
          <w:szCs w:val="22"/>
        </w:rPr>
      </w:pPr>
      <w:r>
        <w:rPr>
          <w:rFonts w:hAnsi="宋体"/>
          <w:sz w:val="22"/>
          <w:szCs w:val="22"/>
        </w:rPr>
        <w:t xml:space="preserve"> </w:t>
      </w:r>
    </w:p>
    <w:p w14:paraId="13C10536">
      <w:pPr>
        <w:autoSpaceDE w:val="0"/>
        <w:autoSpaceDN w:val="0"/>
        <w:adjustRightInd w:val="0"/>
        <w:snapToGrid w:val="0"/>
        <w:spacing w:line="360" w:lineRule="atLeast"/>
        <w:jc w:val="center"/>
        <w:textAlignment w:val="bottom"/>
        <w:rPr>
          <w:rFonts w:hAnsi="宋体" w:cs="宋体"/>
          <w:b/>
          <w:bCs/>
          <w:sz w:val="24"/>
          <w:szCs w:val="24"/>
        </w:rPr>
      </w:pPr>
      <w:r>
        <w:rPr>
          <w:rFonts w:hAnsi="宋体"/>
          <w:b/>
          <w:bCs/>
          <w:sz w:val="24"/>
          <w:szCs w:val="24"/>
        </w:rPr>
        <w:t xml:space="preserve"> </w:t>
      </w:r>
    </w:p>
    <w:p w14:paraId="24681D00">
      <w:pPr>
        <w:widowControl/>
        <w:jc w:val="left"/>
        <w:rPr>
          <w:rFonts w:ascii="宋体" w:hAnsi="宋体"/>
          <w:b/>
          <w:bCs/>
          <w:sz w:val="32"/>
          <w:szCs w:val="32"/>
        </w:rPr>
        <w:sectPr>
          <w:headerReference r:id="rId14" w:type="default"/>
          <w:footerReference r:id="rId15" w:type="default"/>
          <w:pgSz w:w="11907" w:h="16840"/>
          <w:pgMar w:top="1440" w:right="1106" w:bottom="1440" w:left="1157" w:header="720" w:footer="720" w:gutter="0"/>
          <w:cols w:space="720" w:num="1"/>
          <w:docGrid w:type="lines" w:linePitch="312" w:charSpace="0"/>
        </w:sectPr>
      </w:pPr>
    </w:p>
    <w:p w14:paraId="3A72C8FF">
      <w:pPr>
        <w:spacing w:line="440" w:lineRule="exact"/>
        <w:jc w:val="left"/>
        <w:rPr>
          <w:rFonts w:ascii="宋体" w:hAnsi="宋体"/>
          <w:b/>
          <w:bCs/>
          <w:sz w:val="32"/>
          <w:szCs w:val="32"/>
        </w:rPr>
      </w:pPr>
      <w:r>
        <w:rPr>
          <w:rFonts w:hint="eastAsia" w:ascii="宋体" w:hAnsi="宋体"/>
          <w:b/>
          <w:bCs/>
          <w:sz w:val="32"/>
          <w:szCs w:val="32"/>
        </w:rPr>
        <w:t>附件十二</w:t>
      </w:r>
    </w:p>
    <w:p w14:paraId="3649E65F">
      <w:pPr>
        <w:spacing w:line="440" w:lineRule="exact"/>
        <w:ind w:firstLine="360"/>
        <w:jc w:val="center"/>
        <w:rPr>
          <w:rFonts w:ascii="宋体" w:hAnsi="宋体"/>
          <w:b/>
          <w:bCs/>
          <w:sz w:val="32"/>
          <w:szCs w:val="32"/>
        </w:rPr>
      </w:pPr>
      <w:r>
        <w:rPr>
          <w:rFonts w:hint="eastAsia" w:ascii="宋体" w:hAnsi="宋体"/>
          <w:b/>
          <w:bCs/>
          <w:sz w:val="32"/>
          <w:szCs w:val="32"/>
        </w:rPr>
        <w:t>评分对应表（参考）</w:t>
      </w:r>
    </w:p>
    <w:p w14:paraId="6E41119A">
      <w:pPr>
        <w:spacing w:line="440" w:lineRule="exact"/>
        <w:ind w:firstLine="360"/>
        <w:jc w:val="center"/>
        <w:rPr>
          <w:rFonts w:ascii="宋体" w:hAnsi="宋体"/>
          <w:b/>
          <w:bCs/>
          <w:sz w:val="24"/>
          <w:szCs w:val="24"/>
        </w:rPr>
      </w:pPr>
      <w:r>
        <w:rPr>
          <w:rFonts w:hint="eastAsia" w:ascii="宋体" w:hAnsi="宋体"/>
          <w:b/>
          <w:bCs/>
          <w:szCs w:val="21"/>
        </w:rPr>
        <w:t>置于目录处</w:t>
      </w:r>
    </w:p>
    <w:tbl>
      <w:tblPr>
        <w:tblStyle w:val="31"/>
        <w:tblW w:w="9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7"/>
        <w:gridCol w:w="1384"/>
        <w:gridCol w:w="3186"/>
        <w:gridCol w:w="3192"/>
      </w:tblGrid>
      <w:tr w14:paraId="5F1E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41F06A52">
            <w:pPr>
              <w:autoSpaceDE w:val="0"/>
              <w:autoSpaceDN w:val="0"/>
              <w:spacing w:line="400" w:lineRule="atLeast"/>
              <w:jc w:val="center"/>
              <w:textAlignment w:val="bottom"/>
              <w:rPr>
                <w:rFonts w:ascii="宋体" w:hAnsi="宋体" w:eastAsia="黑体"/>
                <w:b/>
                <w:bCs/>
                <w:sz w:val="22"/>
                <w:szCs w:val="22"/>
              </w:rPr>
            </w:pPr>
            <w:r>
              <w:rPr>
                <w:rFonts w:ascii="宋体" w:hAnsi="宋体" w:eastAsia="黑体"/>
                <w:b/>
                <w:bCs/>
                <w:sz w:val="22"/>
                <w:szCs w:val="22"/>
              </w:rPr>
              <w:t>序号</w:t>
            </w:r>
          </w:p>
        </w:tc>
        <w:tc>
          <w:tcPr>
            <w:tcW w:w="1384" w:type="dxa"/>
            <w:tcBorders>
              <w:top w:val="single" w:color="000000" w:sz="4" w:space="0"/>
              <w:left w:val="nil"/>
              <w:bottom w:val="single" w:color="000000" w:sz="4" w:space="0"/>
              <w:right w:val="single" w:color="000000" w:sz="4" w:space="0"/>
            </w:tcBorders>
            <w:vAlign w:val="center"/>
          </w:tcPr>
          <w:p w14:paraId="4A5A21F3">
            <w:pPr>
              <w:autoSpaceDE w:val="0"/>
              <w:autoSpaceDN w:val="0"/>
              <w:spacing w:line="400" w:lineRule="atLeast"/>
              <w:jc w:val="center"/>
              <w:textAlignment w:val="bottom"/>
              <w:rPr>
                <w:rFonts w:ascii="宋体" w:hAnsi="宋体" w:eastAsia="黑体"/>
                <w:b/>
                <w:bCs/>
                <w:sz w:val="22"/>
                <w:szCs w:val="22"/>
              </w:rPr>
            </w:pPr>
            <w:r>
              <w:rPr>
                <w:rFonts w:ascii="宋体" w:hAnsi="宋体" w:eastAsia="黑体"/>
                <w:b/>
                <w:bCs/>
                <w:sz w:val="22"/>
                <w:szCs w:val="22"/>
              </w:rPr>
              <w:t>评审内容</w:t>
            </w:r>
          </w:p>
        </w:tc>
        <w:tc>
          <w:tcPr>
            <w:tcW w:w="3186" w:type="dxa"/>
            <w:tcBorders>
              <w:top w:val="single" w:color="000000" w:sz="4" w:space="0"/>
              <w:left w:val="nil"/>
              <w:bottom w:val="single" w:color="000000" w:sz="4" w:space="0"/>
              <w:right w:val="single" w:color="000000" w:sz="4" w:space="0"/>
            </w:tcBorders>
            <w:vAlign w:val="center"/>
          </w:tcPr>
          <w:p w14:paraId="12468B34">
            <w:pPr>
              <w:autoSpaceDE w:val="0"/>
              <w:autoSpaceDN w:val="0"/>
              <w:spacing w:line="400" w:lineRule="atLeast"/>
              <w:jc w:val="center"/>
              <w:textAlignment w:val="bottom"/>
              <w:rPr>
                <w:rFonts w:ascii="宋体" w:hAnsi="宋体" w:eastAsia="黑体"/>
                <w:b/>
                <w:bCs/>
                <w:sz w:val="22"/>
                <w:szCs w:val="22"/>
              </w:rPr>
            </w:pPr>
            <w:r>
              <w:rPr>
                <w:rFonts w:ascii="宋体" w:hAnsi="宋体" w:eastAsia="黑体"/>
                <w:b/>
                <w:bCs/>
                <w:sz w:val="22"/>
                <w:szCs w:val="22"/>
              </w:rPr>
              <w:t>评分标准</w:t>
            </w:r>
          </w:p>
        </w:tc>
        <w:tc>
          <w:tcPr>
            <w:tcW w:w="3192" w:type="dxa"/>
            <w:tcBorders>
              <w:top w:val="single" w:color="000000" w:sz="4" w:space="0"/>
              <w:left w:val="nil"/>
              <w:bottom w:val="single" w:color="000000" w:sz="4" w:space="0"/>
              <w:right w:val="single" w:color="000000" w:sz="4" w:space="0"/>
            </w:tcBorders>
            <w:vAlign w:val="center"/>
          </w:tcPr>
          <w:p w14:paraId="6D7AB4EB">
            <w:pPr>
              <w:autoSpaceDE w:val="0"/>
              <w:autoSpaceDN w:val="0"/>
              <w:spacing w:line="400" w:lineRule="atLeast"/>
              <w:jc w:val="center"/>
              <w:textAlignment w:val="bottom"/>
              <w:rPr>
                <w:rFonts w:ascii="宋体" w:hAnsi="宋体" w:eastAsia="黑体"/>
                <w:b/>
                <w:bCs/>
                <w:sz w:val="22"/>
                <w:szCs w:val="22"/>
              </w:rPr>
            </w:pPr>
            <w:r>
              <w:rPr>
                <w:rFonts w:ascii="宋体" w:hAnsi="宋体" w:eastAsia="黑体"/>
                <w:b/>
                <w:bCs/>
                <w:sz w:val="22"/>
                <w:szCs w:val="22"/>
              </w:rPr>
              <w:t>页码</w:t>
            </w:r>
          </w:p>
        </w:tc>
      </w:tr>
      <w:tr w14:paraId="13DA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6C629312">
            <w:pPr>
              <w:autoSpaceDE w:val="0"/>
              <w:autoSpaceDN w:val="0"/>
              <w:spacing w:line="400" w:lineRule="atLeast"/>
              <w:jc w:val="center"/>
              <w:textAlignment w:val="bottom"/>
              <w:rPr>
                <w:rFonts w:ascii="宋体" w:hAnsi="宋体" w:eastAsia="黑体"/>
                <w:sz w:val="22"/>
                <w:szCs w:val="22"/>
              </w:rPr>
            </w:pPr>
            <w:r>
              <w:rPr>
                <w:rFonts w:ascii="宋体" w:hAnsi="宋体" w:eastAsia="黑体"/>
                <w:sz w:val="22"/>
                <w:szCs w:val="22"/>
              </w:rPr>
              <w:t>一</w:t>
            </w:r>
          </w:p>
        </w:tc>
        <w:tc>
          <w:tcPr>
            <w:tcW w:w="1384" w:type="dxa"/>
            <w:tcBorders>
              <w:top w:val="single" w:color="000000" w:sz="4" w:space="0"/>
              <w:left w:val="nil"/>
              <w:bottom w:val="single" w:color="000000" w:sz="4" w:space="0"/>
              <w:right w:val="single" w:color="000000" w:sz="4" w:space="0"/>
            </w:tcBorders>
            <w:vAlign w:val="center"/>
          </w:tcPr>
          <w:p w14:paraId="27565BF3">
            <w:pPr>
              <w:autoSpaceDE w:val="0"/>
              <w:autoSpaceDN w:val="0"/>
              <w:spacing w:line="400" w:lineRule="atLeast"/>
              <w:jc w:val="center"/>
              <w:textAlignment w:val="bottom"/>
              <w:rPr>
                <w:rFonts w:ascii="宋体" w:hAnsi="宋体" w:eastAsia="黑体"/>
                <w:sz w:val="22"/>
                <w:szCs w:val="22"/>
              </w:rPr>
            </w:pPr>
            <w:r>
              <w:rPr>
                <w:rFonts w:ascii="宋体" w:hAnsi="宋体" w:eastAsia="黑体"/>
                <w:sz w:val="22"/>
                <w:szCs w:val="22"/>
              </w:rPr>
              <w:t>技术分</w:t>
            </w:r>
          </w:p>
        </w:tc>
        <w:tc>
          <w:tcPr>
            <w:tcW w:w="3186" w:type="dxa"/>
            <w:tcBorders>
              <w:top w:val="single" w:color="000000" w:sz="4" w:space="0"/>
              <w:left w:val="nil"/>
              <w:bottom w:val="single" w:color="000000" w:sz="4" w:space="0"/>
              <w:right w:val="single" w:color="000000" w:sz="4" w:space="0"/>
            </w:tcBorders>
            <w:vAlign w:val="center"/>
          </w:tcPr>
          <w:p w14:paraId="01FAAB89">
            <w:pPr>
              <w:autoSpaceDE w:val="0"/>
              <w:autoSpaceDN w:val="0"/>
              <w:spacing w:line="400" w:lineRule="atLeast"/>
              <w:ind w:firstLine="446" w:firstLineChars="200"/>
              <w:jc w:val="center"/>
              <w:textAlignment w:val="bottom"/>
              <w:rPr>
                <w:rFonts w:ascii="宋体" w:hAnsi="宋体" w:eastAsia="黑体"/>
                <w:sz w:val="22"/>
                <w:szCs w:val="22"/>
              </w:rPr>
            </w:pPr>
          </w:p>
        </w:tc>
        <w:tc>
          <w:tcPr>
            <w:tcW w:w="3192" w:type="dxa"/>
            <w:tcBorders>
              <w:top w:val="single" w:color="000000" w:sz="4" w:space="0"/>
              <w:left w:val="nil"/>
              <w:bottom w:val="single" w:color="000000" w:sz="4" w:space="0"/>
              <w:right w:val="single" w:color="000000" w:sz="4" w:space="0"/>
            </w:tcBorders>
            <w:vAlign w:val="center"/>
          </w:tcPr>
          <w:p w14:paraId="6BF6D8ED">
            <w:pPr>
              <w:autoSpaceDE w:val="0"/>
              <w:autoSpaceDN w:val="0"/>
              <w:spacing w:line="400" w:lineRule="atLeast"/>
              <w:ind w:firstLine="446" w:firstLineChars="200"/>
              <w:jc w:val="center"/>
              <w:textAlignment w:val="bottom"/>
              <w:rPr>
                <w:rFonts w:ascii="宋体" w:hAnsi="宋体" w:eastAsia="黑体"/>
                <w:sz w:val="22"/>
                <w:szCs w:val="22"/>
              </w:rPr>
            </w:pPr>
          </w:p>
        </w:tc>
      </w:tr>
      <w:tr w14:paraId="0792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630F7ECB">
            <w:pPr>
              <w:widowControl/>
              <w:jc w:val="center"/>
              <w:rPr>
                <w:rFonts w:ascii="宋体" w:hAnsi="宋体" w:cs="宋体"/>
                <w:sz w:val="22"/>
                <w:szCs w:val="24"/>
              </w:rPr>
            </w:pPr>
            <w:r>
              <w:rPr>
                <w:rFonts w:ascii="宋体" w:hAnsi="宋体"/>
                <w:sz w:val="22"/>
                <w:szCs w:val="24"/>
              </w:rPr>
              <w:t>1</w:t>
            </w:r>
          </w:p>
        </w:tc>
        <w:tc>
          <w:tcPr>
            <w:tcW w:w="1384" w:type="dxa"/>
            <w:tcBorders>
              <w:top w:val="single" w:color="000000" w:sz="4" w:space="0"/>
              <w:left w:val="nil"/>
              <w:bottom w:val="single" w:color="000000" w:sz="4" w:space="0"/>
              <w:right w:val="single" w:color="000000" w:sz="4" w:space="0"/>
            </w:tcBorders>
            <w:vAlign w:val="center"/>
          </w:tcPr>
          <w:p w14:paraId="32A8F007">
            <w:pPr>
              <w:jc w:val="center"/>
              <w:rPr>
                <w:rFonts w:ascii="宋体" w:hAnsi="宋体" w:cs="宋体"/>
                <w:sz w:val="22"/>
                <w:szCs w:val="24"/>
              </w:rPr>
            </w:pPr>
          </w:p>
        </w:tc>
        <w:tc>
          <w:tcPr>
            <w:tcW w:w="3186" w:type="dxa"/>
            <w:tcBorders>
              <w:top w:val="single" w:color="000000" w:sz="4" w:space="0"/>
              <w:left w:val="nil"/>
              <w:bottom w:val="nil"/>
              <w:right w:val="single" w:color="000000" w:sz="4" w:space="0"/>
            </w:tcBorders>
            <w:vAlign w:val="center"/>
          </w:tcPr>
          <w:p w14:paraId="7390D10D">
            <w:pPr>
              <w:jc w:val="center"/>
              <w:rPr>
                <w:rFonts w:ascii="宋体" w:hAnsi="宋体" w:cs="宋体"/>
                <w:sz w:val="22"/>
                <w:szCs w:val="24"/>
              </w:rPr>
            </w:pPr>
          </w:p>
        </w:tc>
        <w:tc>
          <w:tcPr>
            <w:tcW w:w="3192" w:type="dxa"/>
            <w:tcBorders>
              <w:top w:val="single" w:color="000000" w:sz="4" w:space="0"/>
              <w:left w:val="nil"/>
              <w:bottom w:val="nil"/>
              <w:right w:val="single" w:color="000000" w:sz="4" w:space="0"/>
            </w:tcBorders>
            <w:vAlign w:val="center"/>
          </w:tcPr>
          <w:p w14:paraId="2C18AF9E">
            <w:pPr>
              <w:jc w:val="center"/>
              <w:rPr>
                <w:rFonts w:ascii="宋体" w:hAnsi="宋体" w:cs="宋体"/>
                <w:sz w:val="22"/>
                <w:szCs w:val="24"/>
              </w:rPr>
            </w:pPr>
            <w:r>
              <w:rPr>
                <w:rFonts w:ascii="宋体" w:hAnsi="宋体"/>
                <w:sz w:val="22"/>
                <w:szCs w:val="24"/>
              </w:rPr>
              <w:t>详见</w:t>
            </w:r>
            <w:r>
              <w:rPr>
                <w:rFonts w:hint="eastAsia" w:ascii="宋体" w:hAnsi="宋体"/>
                <w:sz w:val="22"/>
                <w:szCs w:val="24"/>
              </w:rPr>
              <w:t>投标</w:t>
            </w:r>
            <w:r>
              <w:rPr>
                <w:rFonts w:ascii="宋体" w:hAnsi="宋体"/>
                <w:sz w:val="22"/>
                <w:szCs w:val="24"/>
              </w:rPr>
              <w:t>文件第几页</w:t>
            </w:r>
          </w:p>
        </w:tc>
      </w:tr>
      <w:tr w14:paraId="3E6A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7"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10C7CDA0">
            <w:pPr>
              <w:widowControl/>
              <w:jc w:val="center"/>
              <w:rPr>
                <w:rFonts w:ascii="宋体" w:hAnsi="宋体" w:cs="宋体"/>
                <w:sz w:val="22"/>
                <w:szCs w:val="24"/>
              </w:rPr>
            </w:pPr>
            <w:r>
              <w:rPr>
                <w:rFonts w:ascii="宋体" w:hAnsi="宋体"/>
                <w:sz w:val="22"/>
                <w:szCs w:val="24"/>
              </w:rPr>
              <w:t>2</w:t>
            </w:r>
          </w:p>
        </w:tc>
        <w:tc>
          <w:tcPr>
            <w:tcW w:w="1384" w:type="dxa"/>
            <w:tcBorders>
              <w:top w:val="single" w:color="000000" w:sz="4" w:space="0"/>
              <w:left w:val="nil"/>
              <w:bottom w:val="single" w:color="000000" w:sz="4" w:space="0"/>
              <w:right w:val="single" w:color="000000" w:sz="4" w:space="0"/>
            </w:tcBorders>
            <w:vAlign w:val="center"/>
          </w:tcPr>
          <w:p w14:paraId="408A40A7">
            <w:pPr>
              <w:jc w:val="center"/>
              <w:rPr>
                <w:rFonts w:ascii="宋体" w:hAnsi="宋体" w:cs="宋体"/>
                <w:sz w:val="22"/>
                <w:szCs w:val="24"/>
              </w:rPr>
            </w:pPr>
          </w:p>
        </w:tc>
        <w:tc>
          <w:tcPr>
            <w:tcW w:w="3186" w:type="dxa"/>
            <w:tcBorders>
              <w:top w:val="single" w:color="000000" w:sz="4" w:space="0"/>
              <w:left w:val="nil"/>
              <w:bottom w:val="nil"/>
              <w:right w:val="single" w:color="000000" w:sz="4" w:space="0"/>
            </w:tcBorders>
            <w:vAlign w:val="center"/>
          </w:tcPr>
          <w:p w14:paraId="47CB7ECA">
            <w:pPr>
              <w:widowControl/>
              <w:jc w:val="center"/>
              <w:rPr>
                <w:rFonts w:ascii="宋体" w:hAnsi="宋体" w:cs="宋体"/>
                <w:sz w:val="22"/>
                <w:szCs w:val="24"/>
              </w:rPr>
            </w:pPr>
          </w:p>
        </w:tc>
        <w:tc>
          <w:tcPr>
            <w:tcW w:w="3192" w:type="dxa"/>
            <w:tcBorders>
              <w:top w:val="single" w:color="000000" w:sz="4" w:space="0"/>
              <w:left w:val="nil"/>
              <w:bottom w:val="nil"/>
              <w:right w:val="single" w:color="000000" w:sz="4" w:space="0"/>
            </w:tcBorders>
            <w:vAlign w:val="center"/>
          </w:tcPr>
          <w:p w14:paraId="042983AA">
            <w:pPr>
              <w:jc w:val="center"/>
              <w:rPr>
                <w:rFonts w:ascii="宋体" w:hAnsi="宋体" w:cs="宋体"/>
                <w:sz w:val="22"/>
                <w:szCs w:val="24"/>
              </w:rPr>
            </w:pPr>
            <w:r>
              <w:rPr>
                <w:rFonts w:ascii="宋体" w:hAnsi="宋体"/>
                <w:sz w:val="22"/>
                <w:szCs w:val="24"/>
              </w:rPr>
              <w:t>……</w:t>
            </w:r>
          </w:p>
        </w:tc>
      </w:tr>
      <w:tr w14:paraId="2410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1907" w:type="dxa"/>
            <w:tcBorders>
              <w:top w:val="nil"/>
              <w:left w:val="single" w:color="000000" w:sz="4" w:space="0"/>
              <w:bottom w:val="single" w:color="000000" w:sz="4" w:space="0"/>
              <w:right w:val="single" w:color="000000" w:sz="4" w:space="0"/>
            </w:tcBorders>
            <w:vAlign w:val="center"/>
          </w:tcPr>
          <w:p w14:paraId="7F3B4B3D">
            <w:pPr>
              <w:widowControl/>
              <w:jc w:val="center"/>
              <w:rPr>
                <w:rFonts w:ascii="宋体" w:hAnsi="宋体" w:cs="宋体"/>
                <w:sz w:val="22"/>
                <w:szCs w:val="24"/>
              </w:rPr>
            </w:pPr>
            <w:r>
              <w:rPr>
                <w:rFonts w:ascii="宋体" w:hAnsi="宋体"/>
                <w:sz w:val="22"/>
                <w:szCs w:val="24"/>
              </w:rPr>
              <w:t>……</w:t>
            </w:r>
          </w:p>
        </w:tc>
        <w:tc>
          <w:tcPr>
            <w:tcW w:w="1384" w:type="dxa"/>
            <w:tcBorders>
              <w:top w:val="nil"/>
              <w:left w:val="nil"/>
              <w:bottom w:val="single" w:color="000000" w:sz="4" w:space="0"/>
              <w:right w:val="single" w:color="000000" w:sz="4" w:space="0"/>
            </w:tcBorders>
            <w:vAlign w:val="center"/>
          </w:tcPr>
          <w:p w14:paraId="41A89F22">
            <w:pPr>
              <w:widowControl/>
              <w:jc w:val="center"/>
              <w:rPr>
                <w:rFonts w:ascii="宋体" w:hAnsi="宋体" w:cs="宋体"/>
                <w:sz w:val="22"/>
                <w:szCs w:val="24"/>
              </w:rPr>
            </w:pPr>
          </w:p>
        </w:tc>
        <w:tc>
          <w:tcPr>
            <w:tcW w:w="3186" w:type="dxa"/>
            <w:tcBorders>
              <w:top w:val="single" w:color="000000" w:sz="4" w:space="0"/>
              <w:left w:val="nil"/>
              <w:bottom w:val="single" w:color="000000" w:sz="4" w:space="0"/>
              <w:right w:val="single" w:color="000000" w:sz="4" w:space="0"/>
            </w:tcBorders>
            <w:vAlign w:val="center"/>
          </w:tcPr>
          <w:p w14:paraId="2CC4EF86">
            <w:pPr>
              <w:ind w:left="55"/>
              <w:jc w:val="center"/>
              <w:rPr>
                <w:rFonts w:ascii="宋体" w:hAnsi="宋体" w:cs="宋体"/>
                <w:sz w:val="22"/>
                <w:szCs w:val="24"/>
              </w:rPr>
            </w:pPr>
          </w:p>
        </w:tc>
        <w:tc>
          <w:tcPr>
            <w:tcW w:w="3192" w:type="dxa"/>
            <w:tcBorders>
              <w:top w:val="single" w:color="000000" w:sz="4" w:space="0"/>
              <w:left w:val="nil"/>
              <w:bottom w:val="single" w:color="000000" w:sz="4" w:space="0"/>
              <w:right w:val="single" w:color="000000" w:sz="4" w:space="0"/>
            </w:tcBorders>
            <w:vAlign w:val="center"/>
          </w:tcPr>
          <w:p w14:paraId="05E109E3">
            <w:pPr>
              <w:jc w:val="center"/>
              <w:rPr>
                <w:rFonts w:ascii="宋体" w:hAnsi="宋体" w:cs="宋体"/>
                <w:sz w:val="22"/>
                <w:szCs w:val="24"/>
              </w:rPr>
            </w:pPr>
          </w:p>
        </w:tc>
      </w:tr>
      <w:tr w14:paraId="7CAC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61F9AE26">
            <w:pPr>
              <w:widowControl/>
              <w:jc w:val="center"/>
              <w:rPr>
                <w:rFonts w:ascii="宋体" w:hAnsi="宋体" w:cs="宋体"/>
                <w:sz w:val="22"/>
                <w:szCs w:val="24"/>
              </w:rPr>
            </w:pPr>
          </w:p>
        </w:tc>
        <w:tc>
          <w:tcPr>
            <w:tcW w:w="1384" w:type="dxa"/>
            <w:tcBorders>
              <w:top w:val="single" w:color="000000" w:sz="4" w:space="0"/>
              <w:left w:val="nil"/>
              <w:bottom w:val="single" w:color="000000" w:sz="4" w:space="0"/>
              <w:right w:val="single" w:color="000000" w:sz="4" w:space="0"/>
            </w:tcBorders>
            <w:vAlign w:val="center"/>
          </w:tcPr>
          <w:p w14:paraId="4294C36F">
            <w:pPr>
              <w:widowControl/>
              <w:jc w:val="center"/>
              <w:rPr>
                <w:rFonts w:ascii="宋体" w:hAnsi="宋体" w:cs="宋体"/>
                <w:sz w:val="22"/>
                <w:szCs w:val="24"/>
              </w:rPr>
            </w:pPr>
          </w:p>
        </w:tc>
        <w:tc>
          <w:tcPr>
            <w:tcW w:w="3186" w:type="dxa"/>
            <w:tcBorders>
              <w:top w:val="single" w:color="000000" w:sz="4" w:space="0"/>
              <w:left w:val="nil"/>
              <w:bottom w:val="single" w:color="000000" w:sz="4" w:space="0"/>
              <w:right w:val="single" w:color="000000" w:sz="4" w:space="0"/>
            </w:tcBorders>
            <w:vAlign w:val="center"/>
          </w:tcPr>
          <w:p w14:paraId="45ABFD19">
            <w:pPr>
              <w:autoSpaceDE w:val="0"/>
              <w:autoSpaceDN w:val="0"/>
              <w:spacing w:line="400" w:lineRule="atLeast"/>
              <w:ind w:firstLine="446" w:firstLineChars="200"/>
              <w:jc w:val="center"/>
              <w:textAlignment w:val="bottom"/>
              <w:rPr>
                <w:rFonts w:ascii="宋体" w:hAnsi="宋体" w:eastAsia="黑体"/>
                <w:sz w:val="22"/>
                <w:szCs w:val="22"/>
              </w:rPr>
            </w:pPr>
          </w:p>
        </w:tc>
        <w:tc>
          <w:tcPr>
            <w:tcW w:w="3192" w:type="dxa"/>
            <w:tcBorders>
              <w:top w:val="single" w:color="000000" w:sz="4" w:space="0"/>
              <w:left w:val="nil"/>
              <w:bottom w:val="single" w:color="000000" w:sz="4" w:space="0"/>
              <w:right w:val="single" w:color="000000" w:sz="4" w:space="0"/>
            </w:tcBorders>
            <w:vAlign w:val="center"/>
          </w:tcPr>
          <w:p w14:paraId="6BEB64AE">
            <w:pPr>
              <w:autoSpaceDE w:val="0"/>
              <w:autoSpaceDN w:val="0"/>
              <w:spacing w:line="400" w:lineRule="atLeast"/>
              <w:ind w:firstLine="446" w:firstLineChars="200"/>
              <w:jc w:val="center"/>
              <w:textAlignment w:val="bottom"/>
              <w:rPr>
                <w:rFonts w:ascii="宋体" w:hAnsi="宋体" w:eastAsia="黑体"/>
                <w:sz w:val="22"/>
                <w:szCs w:val="22"/>
              </w:rPr>
            </w:pPr>
          </w:p>
        </w:tc>
      </w:tr>
      <w:tr w14:paraId="240C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21397D02">
            <w:pPr>
              <w:widowControl/>
              <w:jc w:val="center"/>
              <w:rPr>
                <w:rFonts w:ascii="宋体" w:hAnsi="宋体" w:cs="宋体"/>
                <w:sz w:val="22"/>
                <w:szCs w:val="24"/>
              </w:rPr>
            </w:pPr>
          </w:p>
        </w:tc>
        <w:tc>
          <w:tcPr>
            <w:tcW w:w="1384" w:type="dxa"/>
            <w:tcBorders>
              <w:top w:val="single" w:color="000000" w:sz="4" w:space="0"/>
              <w:left w:val="nil"/>
              <w:bottom w:val="single" w:color="000000" w:sz="4" w:space="0"/>
              <w:right w:val="single" w:color="000000" w:sz="4" w:space="0"/>
            </w:tcBorders>
            <w:vAlign w:val="center"/>
          </w:tcPr>
          <w:p w14:paraId="1F51C7BB">
            <w:pPr>
              <w:jc w:val="center"/>
              <w:rPr>
                <w:rFonts w:ascii="宋体" w:hAnsi="宋体" w:cs="宋体"/>
                <w:sz w:val="22"/>
                <w:szCs w:val="24"/>
              </w:rPr>
            </w:pPr>
          </w:p>
        </w:tc>
        <w:tc>
          <w:tcPr>
            <w:tcW w:w="3186" w:type="dxa"/>
            <w:tcBorders>
              <w:top w:val="single" w:color="000000" w:sz="4" w:space="0"/>
              <w:left w:val="nil"/>
              <w:bottom w:val="single" w:color="000000" w:sz="4" w:space="0"/>
              <w:right w:val="single" w:color="000000" w:sz="4" w:space="0"/>
            </w:tcBorders>
            <w:vAlign w:val="center"/>
          </w:tcPr>
          <w:p w14:paraId="524D1E17">
            <w:pPr>
              <w:jc w:val="center"/>
              <w:rPr>
                <w:rFonts w:ascii="宋体" w:hAnsi="宋体" w:cs="宋体"/>
                <w:sz w:val="22"/>
                <w:szCs w:val="24"/>
              </w:rPr>
            </w:pPr>
          </w:p>
        </w:tc>
        <w:tc>
          <w:tcPr>
            <w:tcW w:w="3192" w:type="dxa"/>
            <w:tcBorders>
              <w:top w:val="single" w:color="000000" w:sz="4" w:space="0"/>
              <w:left w:val="nil"/>
              <w:bottom w:val="single" w:color="000000" w:sz="4" w:space="0"/>
              <w:right w:val="single" w:color="000000" w:sz="4" w:space="0"/>
            </w:tcBorders>
            <w:vAlign w:val="center"/>
          </w:tcPr>
          <w:p w14:paraId="445F45B7">
            <w:pPr>
              <w:jc w:val="center"/>
              <w:rPr>
                <w:rFonts w:ascii="宋体" w:hAnsi="宋体" w:cs="宋体"/>
                <w:sz w:val="22"/>
                <w:szCs w:val="24"/>
              </w:rPr>
            </w:pPr>
          </w:p>
        </w:tc>
      </w:tr>
      <w:tr w14:paraId="39B2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522F8B44">
            <w:pPr>
              <w:widowControl/>
              <w:jc w:val="center"/>
              <w:rPr>
                <w:rFonts w:ascii="宋体" w:hAnsi="宋体" w:cs="宋体"/>
                <w:sz w:val="22"/>
                <w:szCs w:val="24"/>
              </w:rPr>
            </w:pPr>
          </w:p>
        </w:tc>
        <w:tc>
          <w:tcPr>
            <w:tcW w:w="1384" w:type="dxa"/>
            <w:tcBorders>
              <w:top w:val="single" w:color="000000" w:sz="4" w:space="0"/>
              <w:left w:val="nil"/>
              <w:bottom w:val="single" w:color="000000" w:sz="4" w:space="0"/>
              <w:right w:val="single" w:color="000000" w:sz="4" w:space="0"/>
            </w:tcBorders>
            <w:vAlign w:val="center"/>
          </w:tcPr>
          <w:p w14:paraId="645979FF">
            <w:pPr>
              <w:jc w:val="center"/>
              <w:rPr>
                <w:rFonts w:ascii="宋体" w:hAnsi="宋体" w:cs="宋体"/>
                <w:sz w:val="22"/>
                <w:szCs w:val="24"/>
              </w:rPr>
            </w:pPr>
          </w:p>
        </w:tc>
        <w:tc>
          <w:tcPr>
            <w:tcW w:w="3186" w:type="dxa"/>
            <w:tcBorders>
              <w:top w:val="single" w:color="000000" w:sz="4" w:space="0"/>
              <w:left w:val="nil"/>
              <w:bottom w:val="single" w:color="000000" w:sz="4" w:space="0"/>
              <w:right w:val="single" w:color="000000" w:sz="4" w:space="0"/>
            </w:tcBorders>
            <w:vAlign w:val="center"/>
          </w:tcPr>
          <w:p w14:paraId="6FB52B10">
            <w:pPr>
              <w:jc w:val="center"/>
              <w:rPr>
                <w:rFonts w:ascii="宋体" w:hAnsi="宋体" w:cs="宋体"/>
                <w:sz w:val="22"/>
                <w:szCs w:val="24"/>
              </w:rPr>
            </w:pPr>
          </w:p>
        </w:tc>
        <w:tc>
          <w:tcPr>
            <w:tcW w:w="3192" w:type="dxa"/>
            <w:tcBorders>
              <w:top w:val="single" w:color="000000" w:sz="4" w:space="0"/>
              <w:left w:val="nil"/>
              <w:bottom w:val="single" w:color="000000" w:sz="4" w:space="0"/>
              <w:right w:val="single" w:color="000000" w:sz="4" w:space="0"/>
            </w:tcBorders>
            <w:vAlign w:val="center"/>
          </w:tcPr>
          <w:p w14:paraId="3ECDBC92">
            <w:pPr>
              <w:autoSpaceDE w:val="0"/>
              <w:autoSpaceDN w:val="0"/>
              <w:spacing w:line="400" w:lineRule="atLeast"/>
              <w:ind w:firstLine="446" w:firstLineChars="200"/>
              <w:jc w:val="center"/>
              <w:textAlignment w:val="bottom"/>
              <w:rPr>
                <w:rFonts w:ascii="宋体" w:hAnsi="宋体" w:eastAsia="黑体"/>
                <w:sz w:val="22"/>
                <w:szCs w:val="22"/>
              </w:rPr>
            </w:pPr>
          </w:p>
        </w:tc>
      </w:tr>
      <w:tr w14:paraId="1448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61B5BED9">
            <w:pPr>
              <w:widowControl/>
              <w:jc w:val="center"/>
              <w:rPr>
                <w:rFonts w:ascii="宋体" w:hAnsi="宋体" w:cs="宋体"/>
                <w:sz w:val="22"/>
                <w:szCs w:val="24"/>
              </w:rPr>
            </w:pPr>
          </w:p>
        </w:tc>
        <w:tc>
          <w:tcPr>
            <w:tcW w:w="1384" w:type="dxa"/>
            <w:tcBorders>
              <w:top w:val="single" w:color="000000" w:sz="4" w:space="0"/>
              <w:left w:val="nil"/>
              <w:bottom w:val="single" w:color="000000" w:sz="4" w:space="0"/>
              <w:right w:val="single" w:color="000000" w:sz="4" w:space="0"/>
            </w:tcBorders>
            <w:vAlign w:val="center"/>
          </w:tcPr>
          <w:p w14:paraId="41DC8F23">
            <w:pPr>
              <w:jc w:val="center"/>
              <w:rPr>
                <w:rFonts w:ascii="宋体" w:hAnsi="宋体" w:cs="宋体"/>
                <w:sz w:val="22"/>
                <w:szCs w:val="24"/>
              </w:rPr>
            </w:pPr>
          </w:p>
        </w:tc>
        <w:tc>
          <w:tcPr>
            <w:tcW w:w="3186" w:type="dxa"/>
            <w:tcBorders>
              <w:top w:val="single" w:color="000000" w:sz="4" w:space="0"/>
              <w:left w:val="nil"/>
              <w:bottom w:val="single" w:color="000000" w:sz="4" w:space="0"/>
              <w:right w:val="single" w:color="000000" w:sz="4" w:space="0"/>
            </w:tcBorders>
            <w:vAlign w:val="center"/>
          </w:tcPr>
          <w:p w14:paraId="080B7867">
            <w:pPr>
              <w:jc w:val="center"/>
              <w:rPr>
                <w:rFonts w:ascii="宋体" w:hAnsi="宋体" w:cs="宋体"/>
                <w:sz w:val="22"/>
                <w:szCs w:val="24"/>
              </w:rPr>
            </w:pPr>
          </w:p>
        </w:tc>
        <w:tc>
          <w:tcPr>
            <w:tcW w:w="3192" w:type="dxa"/>
            <w:tcBorders>
              <w:top w:val="single" w:color="000000" w:sz="4" w:space="0"/>
              <w:left w:val="nil"/>
              <w:bottom w:val="single" w:color="000000" w:sz="4" w:space="0"/>
              <w:right w:val="single" w:color="000000" w:sz="4" w:space="0"/>
            </w:tcBorders>
            <w:vAlign w:val="center"/>
          </w:tcPr>
          <w:p w14:paraId="61EF81D6">
            <w:pPr>
              <w:autoSpaceDE w:val="0"/>
              <w:autoSpaceDN w:val="0"/>
              <w:spacing w:line="400" w:lineRule="atLeast"/>
              <w:ind w:firstLine="446" w:firstLineChars="200"/>
              <w:jc w:val="center"/>
              <w:textAlignment w:val="bottom"/>
              <w:rPr>
                <w:rFonts w:ascii="宋体" w:hAnsi="宋体" w:eastAsia="黑体"/>
                <w:sz w:val="22"/>
                <w:szCs w:val="22"/>
              </w:rPr>
            </w:pPr>
          </w:p>
        </w:tc>
      </w:tr>
      <w:tr w14:paraId="3F9A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907" w:type="dxa"/>
            <w:tcBorders>
              <w:top w:val="nil"/>
              <w:left w:val="single" w:color="000000" w:sz="4" w:space="0"/>
              <w:bottom w:val="single" w:color="000000" w:sz="4" w:space="0"/>
              <w:right w:val="single" w:color="000000" w:sz="4" w:space="0"/>
            </w:tcBorders>
            <w:vAlign w:val="center"/>
          </w:tcPr>
          <w:p w14:paraId="55B0E695">
            <w:pPr>
              <w:widowControl/>
              <w:jc w:val="center"/>
              <w:rPr>
                <w:rFonts w:ascii="宋体" w:hAnsi="宋体" w:cs="宋体"/>
                <w:sz w:val="24"/>
                <w:szCs w:val="24"/>
              </w:rPr>
            </w:pPr>
          </w:p>
        </w:tc>
        <w:tc>
          <w:tcPr>
            <w:tcW w:w="1384" w:type="dxa"/>
            <w:tcBorders>
              <w:top w:val="nil"/>
              <w:left w:val="nil"/>
              <w:bottom w:val="single" w:color="000000" w:sz="4" w:space="0"/>
              <w:right w:val="single" w:color="000000" w:sz="4" w:space="0"/>
            </w:tcBorders>
            <w:vAlign w:val="center"/>
          </w:tcPr>
          <w:p w14:paraId="48DED336">
            <w:pPr>
              <w:widowControl/>
              <w:jc w:val="center"/>
              <w:rPr>
                <w:rFonts w:ascii="宋体" w:hAnsi="宋体" w:cs="宋体"/>
                <w:sz w:val="24"/>
                <w:szCs w:val="24"/>
              </w:rPr>
            </w:pPr>
          </w:p>
        </w:tc>
        <w:tc>
          <w:tcPr>
            <w:tcW w:w="3186" w:type="dxa"/>
            <w:tcBorders>
              <w:top w:val="single" w:color="000000" w:sz="4" w:space="0"/>
              <w:left w:val="nil"/>
              <w:bottom w:val="single" w:color="000000" w:sz="4" w:space="0"/>
              <w:right w:val="single" w:color="000000" w:sz="4" w:space="0"/>
            </w:tcBorders>
            <w:vAlign w:val="center"/>
          </w:tcPr>
          <w:p w14:paraId="245F3BC1">
            <w:pPr>
              <w:autoSpaceDE w:val="0"/>
              <w:autoSpaceDN w:val="0"/>
              <w:spacing w:line="400" w:lineRule="atLeast"/>
              <w:ind w:firstLine="486" w:firstLineChars="200"/>
              <w:jc w:val="center"/>
              <w:textAlignment w:val="bottom"/>
              <w:rPr>
                <w:rFonts w:ascii="宋体" w:hAnsi="宋体" w:eastAsia="黑体"/>
                <w:sz w:val="24"/>
                <w:szCs w:val="24"/>
              </w:rPr>
            </w:pPr>
          </w:p>
        </w:tc>
        <w:tc>
          <w:tcPr>
            <w:tcW w:w="3192" w:type="dxa"/>
            <w:tcBorders>
              <w:top w:val="single" w:color="000000" w:sz="4" w:space="0"/>
              <w:left w:val="nil"/>
              <w:bottom w:val="single" w:color="000000" w:sz="4" w:space="0"/>
              <w:right w:val="single" w:color="000000" w:sz="4" w:space="0"/>
            </w:tcBorders>
            <w:vAlign w:val="center"/>
          </w:tcPr>
          <w:p w14:paraId="7B59B8B1">
            <w:pPr>
              <w:widowControl/>
              <w:jc w:val="center"/>
              <w:rPr>
                <w:rFonts w:ascii="宋体" w:hAnsi="宋体" w:cs="宋体"/>
                <w:sz w:val="24"/>
                <w:szCs w:val="24"/>
              </w:rPr>
            </w:pPr>
          </w:p>
        </w:tc>
      </w:tr>
      <w:tr w14:paraId="1762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1907" w:type="dxa"/>
            <w:tcBorders>
              <w:top w:val="nil"/>
              <w:left w:val="single" w:color="000000" w:sz="4" w:space="0"/>
              <w:bottom w:val="single" w:color="000000" w:sz="4" w:space="0"/>
              <w:right w:val="single" w:color="000000" w:sz="4" w:space="0"/>
            </w:tcBorders>
            <w:vAlign w:val="center"/>
          </w:tcPr>
          <w:p w14:paraId="70FB8C40">
            <w:pPr>
              <w:widowControl/>
              <w:jc w:val="center"/>
              <w:rPr>
                <w:rFonts w:ascii="宋体" w:hAnsi="宋体" w:cs="宋体"/>
                <w:sz w:val="24"/>
                <w:szCs w:val="24"/>
              </w:rPr>
            </w:pPr>
          </w:p>
        </w:tc>
        <w:tc>
          <w:tcPr>
            <w:tcW w:w="1384" w:type="dxa"/>
            <w:tcBorders>
              <w:top w:val="nil"/>
              <w:left w:val="nil"/>
              <w:bottom w:val="single" w:color="000000" w:sz="4" w:space="0"/>
              <w:right w:val="single" w:color="000000" w:sz="4" w:space="0"/>
            </w:tcBorders>
            <w:vAlign w:val="center"/>
          </w:tcPr>
          <w:p w14:paraId="3156C253">
            <w:pPr>
              <w:jc w:val="center"/>
              <w:rPr>
                <w:rFonts w:ascii="宋体" w:hAnsi="宋体" w:cs="宋体"/>
                <w:sz w:val="24"/>
                <w:szCs w:val="24"/>
              </w:rPr>
            </w:pPr>
          </w:p>
        </w:tc>
        <w:tc>
          <w:tcPr>
            <w:tcW w:w="3186" w:type="dxa"/>
            <w:tcBorders>
              <w:top w:val="single" w:color="000000" w:sz="4" w:space="0"/>
              <w:left w:val="nil"/>
              <w:bottom w:val="single" w:color="000000" w:sz="4" w:space="0"/>
              <w:right w:val="single" w:color="000000" w:sz="4" w:space="0"/>
            </w:tcBorders>
            <w:vAlign w:val="center"/>
          </w:tcPr>
          <w:p w14:paraId="1CF57B19">
            <w:pPr>
              <w:jc w:val="center"/>
              <w:rPr>
                <w:rFonts w:ascii="宋体" w:hAnsi="宋体" w:cs="宋体"/>
                <w:sz w:val="24"/>
                <w:szCs w:val="24"/>
              </w:rPr>
            </w:pPr>
          </w:p>
        </w:tc>
        <w:tc>
          <w:tcPr>
            <w:tcW w:w="3192" w:type="dxa"/>
            <w:tcBorders>
              <w:top w:val="single" w:color="000000" w:sz="4" w:space="0"/>
              <w:left w:val="nil"/>
              <w:bottom w:val="single" w:color="000000" w:sz="4" w:space="0"/>
              <w:right w:val="single" w:color="000000" w:sz="4" w:space="0"/>
            </w:tcBorders>
            <w:vAlign w:val="center"/>
          </w:tcPr>
          <w:p w14:paraId="195E78CC">
            <w:pPr>
              <w:jc w:val="center"/>
              <w:rPr>
                <w:rFonts w:ascii="宋体" w:hAnsi="宋体" w:cs="宋体"/>
                <w:sz w:val="24"/>
                <w:szCs w:val="24"/>
              </w:rPr>
            </w:pPr>
          </w:p>
        </w:tc>
      </w:tr>
      <w:tr w14:paraId="5BBA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2E15F716">
            <w:pPr>
              <w:widowControl/>
              <w:jc w:val="center"/>
              <w:rPr>
                <w:rFonts w:ascii="宋体" w:hAnsi="宋体" w:cs="宋体"/>
                <w:sz w:val="24"/>
                <w:szCs w:val="24"/>
              </w:rPr>
            </w:pPr>
          </w:p>
        </w:tc>
        <w:tc>
          <w:tcPr>
            <w:tcW w:w="1384" w:type="dxa"/>
            <w:tcBorders>
              <w:top w:val="single" w:color="000000" w:sz="4" w:space="0"/>
              <w:left w:val="nil"/>
              <w:bottom w:val="single" w:color="000000" w:sz="4" w:space="0"/>
              <w:right w:val="single" w:color="000000" w:sz="4" w:space="0"/>
            </w:tcBorders>
            <w:vAlign w:val="center"/>
          </w:tcPr>
          <w:p w14:paraId="391F038B">
            <w:pPr>
              <w:jc w:val="center"/>
              <w:rPr>
                <w:rFonts w:ascii="宋体" w:hAnsi="宋体" w:cs="宋体"/>
                <w:sz w:val="24"/>
                <w:szCs w:val="24"/>
              </w:rPr>
            </w:pPr>
          </w:p>
        </w:tc>
        <w:tc>
          <w:tcPr>
            <w:tcW w:w="3186" w:type="dxa"/>
            <w:tcBorders>
              <w:top w:val="single" w:color="000000" w:sz="4" w:space="0"/>
              <w:left w:val="nil"/>
              <w:bottom w:val="single" w:color="000000" w:sz="4" w:space="0"/>
              <w:right w:val="single" w:color="000000" w:sz="4" w:space="0"/>
            </w:tcBorders>
            <w:vAlign w:val="center"/>
          </w:tcPr>
          <w:p w14:paraId="7E91C125">
            <w:pPr>
              <w:jc w:val="center"/>
              <w:rPr>
                <w:rFonts w:ascii="宋体" w:hAnsi="宋体" w:cs="宋体"/>
                <w:sz w:val="24"/>
                <w:szCs w:val="24"/>
              </w:rPr>
            </w:pPr>
          </w:p>
        </w:tc>
        <w:tc>
          <w:tcPr>
            <w:tcW w:w="3192" w:type="dxa"/>
            <w:tcBorders>
              <w:top w:val="single" w:color="000000" w:sz="4" w:space="0"/>
              <w:left w:val="nil"/>
              <w:bottom w:val="single" w:color="000000" w:sz="4" w:space="0"/>
              <w:right w:val="single" w:color="000000" w:sz="4" w:space="0"/>
            </w:tcBorders>
            <w:vAlign w:val="center"/>
          </w:tcPr>
          <w:p w14:paraId="4C7B093B">
            <w:pPr>
              <w:jc w:val="center"/>
              <w:rPr>
                <w:rFonts w:ascii="宋体" w:hAnsi="宋体" w:cs="宋体"/>
                <w:sz w:val="24"/>
                <w:szCs w:val="24"/>
              </w:rPr>
            </w:pPr>
          </w:p>
        </w:tc>
      </w:tr>
      <w:tr w14:paraId="097B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14:paraId="44F44455">
            <w:pPr>
              <w:widowControl/>
              <w:jc w:val="center"/>
              <w:rPr>
                <w:rFonts w:ascii="宋体" w:hAnsi="宋体" w:cs="宋体"/>
                <w:sz w:val="24"/>
                <w:szCs w:val="24"/>
              </w:rPr>
            </w:pPr>
          </w:p>
        </w:tc>
        <w:tc>
          <w:tcPr>
            <w:tcW w:w="1384" w:type="dxa"/>
            <w:tcBorders>
              <w:top w:val="single" w:color="000000" w:sz="4" w:space="0"/>
              <w:left w:val="nil"/>
              <w:bottom w:val="single" w:color="000000" w:sz="4" w:space="0"/>
              <w:right w:val="single" w:color="000000" w:sz="4" w:space="0"/>
            </w:tcBorders>
            <w:vAlign w:val="center"/>
          </w:tcPr>
          <w:p w14:paraId="1DEF0F96">
            <w:pPr>
              <w:jc w:val="center"/>
              <w:rPr>
                <w:rFonts w:ascii="宋体" w:hAnsi="宋体" w:cs="宋体"/>
                <w:sz w:val="24"/>
                <w:szCs w:val="24"/>
              </w:rPr>
            </w:pPr>
          </w:p>
        </w:tc>
        <w:tc>
          <w:tcPr>
            <w:tcW w:w="3186" w:type="dxa"/>
            <w:tcBorders>
              <w:top w:val="single" w:color="000000" w:sz="4" w:space="0"/>
              <w:left w:val="nil"/>
              <w:bottom w:val="single" w:color="000000" w:sz="4" w:space="0"/>
              <w:right w:val="single" w:color="000000" w:sz="4" w:space="0"/>
            </w:tcBorders>
            <w:vAlign w:val="center"/>
          </w:tcPr>
          <w:p w14:paraId="57BB2823">
            <w:pPr>
              <w:jc w:val="center"/>
              <w:rPr>
                <w:rFonts w:ascii="宋体" w:hAnsi="宋体" w:cs="宋体"/>
                <w:sz w:val="24"/>
                <w:szCs w:val="24"/>
              </w:rPr>
            </w:pPr>
          </w:p>
        </w:tc>
        <w:tc>
          <w:tcPr>
            <w:tcW w:w="3192" w:type="dxa"/>
            <w:tcBorders>
              <w:top w:val="single" w:color="000000" w:sz="4" w:space="0"/>
              <w:left w:val="nil"/>
              <w:bottom w:val="single" w:color="000000" w:sz="4" w:space="0"/>
              <w:right w:val="single" w:color="000000" w:sz="4" w:space="0"/>
            </w:tcBorders>
            <w:vAlign w:val="center"/>
          </w:tcPr>
          <w:p w14:paraId="2B24CA71">
            <w:pPr>
              <w:jc w:val="center"/>
              <w:rPr>
                <w:rFonts w:ascii="宋体" w:hAnsi="宋体" w:cs="宋体"/>
                <w:sz w:val="24"/>
                <w:szCs w:val="24"/>
              </w:rPr>
            </w:pPr>
          </w:p>
        </w:tc>
      </w:tr>
    </w:tbl>
    <w:p w14:paraId="3E7AD23B">
      <w:pPr>
        <w:spacing w:before="50" w:after="50"/>
        <w:ind w:firstLine="600"/>
        <w:rPr>
          <w:rFonts w:ascii="宋体" w:hAnsi="宋体"/>
          <w:b/>
          <w:bCs/>
          <w:sz w:val="24"/>
          <w:szCs w:val="24"/>
        </w:rPr>
      </w:pPr>
      <w:r>
        <w:rPr>
          <w:rFonts w:hint="eastAsia" w:ascii="宋体" w:hAnsi="宋体"/>
          <w:b/>
          <w:bCs/>
          <w:sz w:val="24"/>
          <w:szCs w:val="24"/>
        </w:rPr>
        <w:t>注：评分对应表主要用于作为专家评分的一个参考及查阅依据。</w:t>
      </w:r>
    </w:p>
    <w:p w14:paraId="734188DA">
      <w:pPr>
        <w:spacing w:line="360" w:lineRule="exact"/>
        <w:jc w:val="left"/>
        <w:rPr>
          <w:rFonts w:ascii="宋体" w:hAnsi="宋体" w:cs="宋体"/>
          <w:b/>
          <w:bCs/>
          <w:sz w:val="30"/>
        </w:rPr>
      </w:pPr>
    </w:p>
    <w:p w14:paraId="18E72E61">
      <w:pPr>
        <w:spacing w:line="360" w:lineRule="exact"/>
        <w:jc w:val="left"/>
        <w:rPr>
          <w:rFonts w:ascii="宋体" w:hAnsi="宋体" w:cs="宋体"/>
          <w:b/>
          <w:bCs/>
          <w:sz w:val="30"/>
        </w:rPr>
      </w:pPr>
    </w:p>
    <w:p w14:paraId="49146FE0">
      <w:pPr>
        <w:rPr>
          <w:rFonts w:ascii="宋体" w:hAnsi="宋体" w:cs="宋体"/>
          <w:b/>
          <w:bCs/>
          <w:sz w:val="32"/>
          <w:szCs w:val="32"/>
        </w:rPr>
      </w:pPr>
    </w:p>
    <w:p w14:paraId="56B45681">
      <w:pPr>
        <w:rPr>
          <w:rFonts w:ascii="宋体" w:hAnsi="宋体" w:cs="宋体"/>
          <w:b/>
          <w:bCs/>
          <w:sz w:val="32"/>
          <w:szCs w:val="32"/>
        </w:rPr>
      </w:pPr>
    </w:p>
    <w:p w14:paraId="49AB1515">
      <w:pPr>
        <w:rPr>
          <w:rFonts w:ascii="宋体" w:hAnsi="宋体" w:cs="宋体"/>
          <w:b/>
          <w:bCs/>
          <w:sz w:val="32"/>
          <w:szCs w:val="32"/>
        </w:rPr>
      </w:pPr>
    </w:p>
    <w:p w14:paraId="79B4CEDE">
      <w:pPr>
        <w:rPr>
          <w:rFonts w:ascii="宋体" w:hAnsi="宋体" w:cs="宋体"/>
          <w:b/>
          <w:bCs/>
          <w:sz w:val="32"/>
          <w:szCs w:val="32"/>
        </w:rPr>
      </w:pPr>
    </w:p>
    <w:p w14:paraId="10CFCE6C">
      <w:pPr>
        <w:rPr>
          <w:rFonts w:ascii="宋体" w:hAnsi="宋体" w:cs="宋体"/>
          <w:b/>
          <w:bCs/>
          <w:sz w:val="32"/>
          <w:szCs w:val="32"/>
        </w:rPr>
      </w:pPr>
    </w:p>
    <w:p w14:paraId="6F340E94">
      <w:pPr>
        <w:spacing w:line="360" w:lineRule="exact"/>
        <w:jc w:val="left"/>
        <w:rPr>
          <w:rFonts w:ascii="宋体" w:hAnsi="宋体" w:cs="宋体"/>
          <w:b/>
          <w:bCs/>
          <w:sz w:val="30"/>
        </w:rPr>
        <w:sectPr>
          <w:pgSz w:w="11906" w:h="16838"/>
          <w:pgMar w:top="1440" w:right="1247" w:bottom="1440" w:left="1247" w:header="851" w:footer="992" w:gutter="0"/>
          <w:cols w:space="720" w:num="1"/>
          <w:titlePg/>
          <w:docGrid w:type="linesAndChars" w:linePitch="313" w:charSpace="799"/>
        </w:sectPr>
      </w:pPr>
    </w:p>
    <w:p w14:paraId="671BCB11">
      <w:pPr>
        <w:rPr>
          <w:rFonts w:ascii="宋体" w:hAnsi="宋体" w:cs="方正小标宋简体"/>
          <w:sz w:val="32"/>
          <w:szCs w:val="32"/>
        </w:rPr>
      </w:pPr>
      <w:r>
        <w:rPr>
          <w:rFonts w:hint="eastAsia" w:ascii="宋体" w:hAnsi="宋体" w:cs="宋体"/>
          <w:b/>
          <w:bCs/>
          <w:sz w:val="32"/>
          <w:szCs w:val="32"/>
        </w:rPr>
        <w:t>附件十三</w:t>
      </w:r>
    </w:p>
    <w:p w14:paraId="14036F3D">
      <w:pPr>
        <w:snapToGrid w:val="0"/>
        <w:spacing w:line="500" w:lineRule="exact"/>
        <w:jc w:val="center"/>
        <w:rPr>
          <w:rFonts w:ascii="宋体" w:hAnsi="宋体"/>
          <w:b/>
          <w:sz w:val="32"/>
          <w:szCs w:val="32"/>
        </w:rPr>
      </w:pPr>
      <w:r>
        <w:rPr>
          <w:rFonts w:hint="eastAsia" w:ascii="宋体" w:hAnsi="宋体" w:cs="方正小标宋简体"/>
          <w:b/>
          <w:sz w:val="32"/>
          <w:szCs w:val="32"/>
        </w:rPr>
        <w:t>政府采购活动现场确认声明书</w:t>
      </w:r>
    </w:p>
    <w:p w14:paraId="24ED175B">
      <w:pPr>
        <w:snapToGrid w:val="0"/>
        <w:spacing w:line="440" w:lineRule="exact"/>
        <w:rPr>
          <w:rFonts w:ascii="宋体" w:hAnsi="宋体"/>
          <w:bCs/>
          <w:sz w:val="22"/>
          <w:szCs w:val="22"/>
        </w:rPr>
      </w:pPr>
      <w:r>
        <w:rPr>
          <w:rFonts w:hint="eastAsia" w:ascii="宋体" w:hAnsi="宋体" w:cs="宋体"/>
          <w:sz w:val="22"/>
          <w:szCs w:val="22"/>
        </w:rPr>
        <w:t>泰顺县南浦溪新农村建设投资有限公司：</w:t>
      </w:r>
    </w:p>
    <w:p w14:paraId="72F8511A">
      <w:pPr>
        <w:snapToGrid w:val="0"/>
        <w:spacing w:line="440" w:lineRule="exact"/>
        <w:ind w:firstLine="464" w:firstLineChars="200"/>
        <w:rPr>
          <w:rFonts w:ascii="宋体" w:hAnsi="宋体" w:cs="宋体"/>
          <w:spacing w:val="6"/>
          <w:sz w:val="22"/>
          <w:szCs w:val="22"/>
        </w:rPr>
      </w:pPr>
      <w:r>
        <w:rPr>
          <w:rFonts w:hint="eastAsia" w:ascii="宋体" w:hAnsi="宋体" w:cs="宋体"/>
          <w:spacing w:val="6"/>
          <w:sz w:val="22"/>
          <w:szCs w:val="22"/>
        </w:rPr>
        <w:t>本人</w:t>
      </w:r>
      <w:r>
        <w:rPr>
          <w:rFonts w:hint="eastAsia" w:ascii="宋体" w:hAnsi="宋体" w:cs="宋体"/>
          <w:spacing w:val="6"/>
          <w:sz w:val="22"/>
          <w:szCs w:val="22"/>
          <w:u w:val="single"/>
        </w:rPr>
        <w:t>（授权代表姓名）</w:t>
      </w:r>
      <w:r>
        <w:rPr>
          <w:rFonts w:hint="eastAsia" w:ascii="宋体" w:hAnsi="宋体" w:cs="宋体"/>
          <w:spacing w:val="6"/>
          <w:sz w:val="22"/>
          <w:szCs w:val="22"/>
        </w:rPr>
        <w:t>，经由</w:t>
      </w:r>
      <w:r>
        <w:rPr>
          <w:rFonts w:hint="eastAsia" w:ascii="宋体" w:hAnsi="宋体" w:cs="宋体"/>
          <w:spacing w:val="6"/>
          <w:sz w:val="22"/>
          <w:szCs w:val="22"/>
          <w:u w:val="single"/>
        </w:rPr>
        <w:t>（单位）</w:t>
      </w:r>
      <w:r>
        <w:rPr>
          <w:rFonts w:hint="eastAsia" w:ascii="宋体" w:hAnsi="宋体" w:cs="宋体"/>
          <w:spacing w:val="6"/>
          <w:sz w:val="22"/>
          <w:szCs w:val="22"/>
        </w:rPr>
        <w:t>，</w:t>
      </w:r>
      <w:r>
        <w:rPr>
          <w:rFonts w:hint="eastAsia" w:ascii="宋体" w:hAnsi="宋体" w:cs="宋体"/>
          <w:spacing w:val="6"/>
          <w:sz w:val="22"/>
          <w:szCs w:val="22"/>
          <w:u w:val="single"/>
        </w:rPr>
        <w:t>（法定代表人姓名）</w:t>
      </w:r>
      <w:r>
        <w:rPr>
          <w:rFonts w:hint="eastAsia" w:ascii="宋体" w:hAnsi="宋体" w:cs="宋体"/>
          <w:spacing w:val="6"/>
          <w:sz w:val="22"/>
          <w:szCs w:val="22"/>
        </w:rPr>
        <w:t>合法授权参加</w:t>
      </w:r>
      <w:r>
        <w:rPr>
          <w:rFonts w:hint="eastAsia" w:ascii="宋体" w:hAnsi="宋体" w:cs="宋体"/>
          <w:spacing w:val="6"/>
          <w:sz w:val="22"/>
          <w:szCs w:val="22"/>
          <w:u w:val="single"/>
        </w:rPr>
        <w:t>泰顺县南浦溪镇环卫一体化和垃圾分类服务项目（项目编号：</w:t>
      </w:r>
      <w:r>
        <w:rPr>
          <w:rFonts w:hint="eastAsia" w:ascii="宋体" w:hAnsi="宋体" w:cs="宋体"/>
          <w:spacing w:val="6"/>
          <w:sz w:val="22"/>
          <w:szCs w:val="22"/>
          <w:u w:val="single"/>
          <w:lang w:val="zh-CN"/>
        </w:rPr>
        <w:t xml:space="preserve">TSCG202505002   </w:t>
      </w:r>
      <w:r>
        <w:rPr>
          <w:rFonts w:hint="eastAsia" w:ascii="宋体" w:hAnsi="宋体" w:cs="宋体"/>
          <w:spacing w:val="6"/>
          <w:sz w:val="22"/>
          <w:szCs w:val="22"/>
          <w:u w:val="single"/>
        </w:rPr>
        <w:t xml:space="preserve">） </w:t>
      </w:r>
      <w:r>
        <w:rPr>
          <w:rFonts w:hint="eastAsia" w:ascii="宋体" w:hAnsi="宋体" w:cs="宋体"/>
          <w:spacing w:val="6"/>
          <w:sz w:val="22"/>
          <w:szCs w:val="22"/>
        </w:rPr>
        <w:t>政府采购活动，经与本单位法人代表（负责人）联系确认，现就有关公平竞争事项郑重声明如下：</w:t>
      </w:r>
    </w:p>
    <w:p w14:paraId="66DD2B6C">
      <w:pPr>
        <w:widowControl/>
        <w:numPr>
          <w:ilvl w:val="0"/>
          <w:numId w:val="8"/>
        </w:numPr>
        <w:snapToGrid w:val="0"/>
        <w:spacing w:line="440" w:lineRule="exact"/>
        <w:ind w:left="0" w:firstLine="415" w:firstLineChars="189"/>
        <w:rPr>
          <w:rFonts w:ascii="宋体" w:hAnsi="宋体"/>
          <w:sz w:val="22"/>
          <w:szCs w:val="22"/>
        </w:rPr>
      </w:pPr>
      <w:r>
        <w:rPr>
          <w:rFonts w:hint="eastAsia" w:ascii="宋体" w:hAnsi="宋体" w:cs="宋体"/>
          <w:sz w:val="22"/>
          <w:szCs w:val="22"/>
        </w:rPr>
        <w:t>本单位与采购人之间□不存在利害关系□存在下列利害关系：</w:t>
      </w:r>
    </w:p>
    <w:p w14:paraId="2804DC17">
      <w:pPr>
        <w:snapToGrid w:val="0"/>
        <w:spacing w:line="440" w:lineRule="exact"/>
        <w:rPr>
          <w:rFonts w:ascii="宋体" w:hAnsi="宋体"/>
          <w:sz w:val="22"/>
          <w:szCs w:val="22"/>
        </w:rPr>
      </w:pPr>
      <w:r>
        <w:rPr>
          <w:rFonts w:ascii="宋体" w:hAnsi="宋体" w:cs="宋体"/>
          <w:sz w:val="22"/>
          <w:szCs w:val="22"/>
        </w:rPr>
        <w:t xml:space="preserve">  A.</w:t>
      </w:r>
      <w:r>
        <w:rPr>
          <w:rFonts w:hint="eastAsia" w:ascii="宋体" w:hAnsi="宋体" w:cs="宋体"/>
          <w:sz w:val="22"/>
          <w:szCs w:val="22"/>
        </w:rPr>
        <w:t>投资关系</w:t>
      </w:r>
      <w:r>
        <w:rPr>
          <w:rFonts w:ascii="宋体" w:hAnsi="宋体" w:cs="宋体"/>
          <w:sz w:val="22"/>
          <w:szCs w:val="22"/>
        </w:rPr>
        <w:t xml:space="preserve">    B.</w:t>
      </w:r>
      <w:r>
        <w:rPr>
          <w:rFonts w:hint="eastAsia" w:ascii="宋体" w:hAnsi="宋体" w:cs="宋体"/>
          <w:sz w:val="22"/>
          <w:szCs w:val="22"/>
        </w:rPr>
        <w:t>行政隶属关系</w:t>
      </w:r>
      <w:r>
        <w:rPr>
          <w:rFonts w:ascii="宋体" w:hAnsi="宋体" w:cs="宋体"/>
          <w:sz w:val="22"/>
          <w:szCs w:val="22"/>
        </w:rPr>
        <w:t xml:space="preserve">    C.</w:t>
      </w:r>
      <w:r>
        <w:rPr>
          <w:rFonts w:hint="eastAsia" w:ascii="宋体" w:hAnsi="宋体" w:cs="宋体"/>
          <w:sz w:val="22"/>
          <w:szCs w:val="22"/>
        </w:rPr>
        <w:t>业务指导关系</w:t>
      </w:r>
    </w:p>
    <w:p w14:paraId="1B97ED57">
      <w:pPr>
        <w:snapToGrid w:val="0"/>
        <w:spacing w:line="440" w:lineRule="exact"/>
        <w:rPr>
          <w:rFonts w:ascii="宋体" w:hAnsi="宋体"/>
          <w:sz w:val="22"/>
          <w:szCs w:val="22"/>
        </w:rPr>
      </w:pPr>
      <w:r>
        <w:rPr>
          <w:rFonts w:ascii="宋体" w:hAnsi="宋体" w:cs="宋体"/>
          <w:sz w:val="22"/>
          <w:szCs w:val="22"/>
        </w:rPr>
        <w:t xml:space="preserve">  D.</w:t>
      </w:r>
      <w:r>
        <w:rPr>
          <w:rFonts w:hint="eastAsia" w:ascii="宋体" w:hAnsi="宋体" w:cs="宋体"/>
          <w:sz w:val="22"/>
          <w:szCs w:val="22"/>
        </w:rPr>
        <w:t>其他可能影响采购公正的利害关系（如有，请如实说明）。</w:t>
      </w:r>
    </w:p>
    <w:p w14:paraId="1244DFD8">
      <w:pPr>
        <w:widowControl/>
        <w:numPr>
          <w:ilvl w:val="0"/>
          <w:numId w:val="8"/>
        </w:numPr>
        <w:snapToGrid w:val="0"/>
        <w:spacing w:line="440" w:lineRule="exact"/>
        <w:ind w:left="0" w:firstLine="415" w:firstLineChars="189"/>
        <w:rPr>
          <w:rFonts w:ascii="宋体" w:hAnsi="宋体" w:cs="宋体"/>
          <w:sz w:val="22"/>
          <w:szCs w:val="22"/>
        </w:rPr>
      </w:pPr>
      <w:r>
        <w:rPr>
          <w:rFonts w:hint="eastAsia" w:ascii="宋体" w:hAnsi="宋体" w:cs="宋体"/>
          <w:sz w:val="22"/>
          <w:szCs w:val="22"/>
        </w:rPr>
        <w:t>现已清楚知道参加本项目采购活动的其他所有供应商名称，本单位□与其他所有供应商之间均不存在利害关系□与（供应商名称）之间存在下列利害关系：</w:t>
      </w:r>
    </w:p>
    <w:p w14:paraId="4D5B8333">
      <w:pPr>
        <w:snapToGrid w:val="0"/>
        <w:spacing w:line="440" w:lineRule="exact"/>
        <w:rPr>
          <w:rFonts w:ascii="宋体" w:hAnsi="宋体"/>
          <w:sz w:val="22"/>
          <w:szCs w:val="22"/>
        </w:rPr>
      </w:pPr>
      <w:r>
        <w:rPr>
          <w:rFonts w:ascii="宋体" w:hAnsi="宋体" w:cs="宋体"/>
          <w:sz w:val="22"/>
          <w:szCs w:val="22"/>
        </w:rPr>
        <w:t xml:space="preserve">  A.</w:t>
      </w:r>
      <w:r>
        <w:rPr>
          <w:rFonts w:hint="eastAsia" w:ascii="宋体" w:hAnsi="宋体" w:cs="宋体"/>
          <w:sz w:val="22"/>
          <w:szCs w:val="22"/>
        </w:rPr>
        <w:t>法定代表人或负责人或实际控制人是同一人</w:t>
      </w:r>
    </w:p>
    <w:p w14:paraId="227B1322">
      <w:pPr>
        <w:snapToGrid w:val="0"/>
        <w:spacing w:line="440" w:lineRule="exact"/>
        <w:rPr>
          <w:rFonts w:ascii="宋体" w:hAnsi="宋体"/>
          <w:spacing w:val="6"/>
          <w:sz w:val="22"/>
          <w:szCs w:val="22"/>
        </w:rPr>
      </w:pPr>
      <w:r>
        <w:rPr>
          <w:rFonts w:ascii="宋体" w:hAnsi="宋体" w:cs="宋体"/>
          <w:sz w:val="22"/>
          <w:szCs w:val="22"/>
        </w:rPr>
        <w:t xml:space="preserve">  B.</w:t>
      </w:r>
      <w:r>
        <w:rPr>
          <w:rFonts w:hint="eastAsia" w:ascii="宋体" w:hAnsi="宋体" w:cs="宋体"/>
          <w:sz w:val="22"/>
          <w:szCs w:val="22"/>
        </w:rPr>
        <w:t>法定代表人或负责人或实际控制人是夫妻关系</w:t>
      </w:r>
    </w:p>
    <w:p w14:paraId="45AD7CAA">
      <w:pPr>
        <w:snapToGrid w:val="0"/>
        <w:spacing w:line="440" w:lineRule="exact"/>
        <w:rPr>
          <w:rFonts w:ascii="宋体" w:hAnsi="宋体"/>
          <w:spacing w:val="6"/>
          <w:sz w:val="22"/>
          <w:szCs w:val="22"/>
        </w:rPr>
      </w:pPr>
      <w:r>
        <w:rPr>
          <w:rFonts w:ascii="宋体" w:hAnsi="宋体" w:cs="宋体"/>
          <w:sz w:val="22"/>
          <w:szCs w:val="22"/>
        </w:rPr>
        <w:t xml:space="preserve">  C.</w:t>
      </w:r>
      <w:r>
        <w:rPr>
          <w:rFonts w:hint="eastAsia" w:ascii="宋体" w:hAnsi="宋体" w:cs="宋体"/>
          <w:sz w:val="22"/>
          <w:szCs w:val="22"/>
        </w:rPr>
        <w:t>法定代表人或负责人或实际控制人是直系血亲关系</w:t>
      </w:r>
    </w:p>
    <w:p w14:paraId="64C1FC50">
      <w:pPr>
        <w:snapToGrid w:val="0"/>
        <w:spacing w:line="440" w:lineRule="exact"/>
        <w:rPr>
          <w:rFonts w:ascii="宋体" w:hAnsi="宋体"/>
          <w:spacing w:val="6"/>
          <w:sz w:val="22"/>
          <w:szCs w:val="22"/>
        </w:rPr>
      </w:pPr>
      <w:r>
        <w:rPr>
          <w:rFonts w:ascii="宋体" w:hAnsi="宋体" w:cs="宋体"/>
          <w:sz w:val="22"/>
          <w:szCs w:val="22"/>
        </w:rPr>
        <w:t xml:space="preserve">  D.</w:t>
      </w:r>
      <w:r>
        <w:rPr>
          <w:rFonts w:hint="eastAsia" w:ascii="宋体" w:hAnsi="宋体" w:cs="宋体"/>
          <w:sz w:val="22"/>
          <w:szCs w:val="22"/>
        </w:rPr>
        <w:t>法定代表人或负责人或实际控制人存在三代以内旁系血亲关系</w:t>
      </w:r>
    </w:p>
    <w:p w14:paraId="66FB0849">
      <w:pPr>
        <w:snapToGrid w:val="0"/>
        <w:spacing w:line="440" w:lineRule="exact"/>
        <w:rPr>
          <w:rFonts w:ascii="宋体" w:hAnsi="宋体"/>
          <w:sz w:val="22"/>
          <w:szCs w:val="22"/>
        </w:rPr>
      </w:pPr>
      <w:r>
        <w:rPr>
          <w:rFonts w:ascii="宋体" w:hAnsi="宋体" w:cs="宋体"/>
          <w:sz w:val="22"/>
          <w:szCs w:val="22"/>
        </w:rPr>
        <w:t xml:space="preserve">  E.</w:t>
      </w:r>
      <w:r>
        <w:rPr>
          <w:rFonts w:hint="eastAsia" w:ascii="宋体" w:hAnsi="宋体" w:cs="宋体"/>
          <w:sz w:val="22"/>
          <w:szCs w:val="22"/>
        </w:rPr>
        <w:t>法定代表人或负责人或实际控制人存在近姻亲关系</w:t>
      </w:r>
    </w:p>
    <w:p w14:paraId="087BCEAB">
      <w:pPr>
        <w:snapToGrid w:val="0"/>
        <w:spacing w:line="440" w:lineRule="exact"/>
        <w:rPr>
          <w:rFonts w:ascii="宋体" w:hAnsi="宋体"/>
          <w:sz w:val="22"/>
          <w:szCs w:val="22"/>
        </w:rPr>
      </w:pPr>
      <w:r>
        <w:rPr>
          <w:rFonts w:ascii="宋体" w:hAnsi="宋体" w:cs="宋体"/>
          <w:sz w:val="22"/>
          <w:szCs w:val="22"/>
        </w:rPr>
        <w:t xml:space="preserve">  F.</w:t>
      </w:r>
      <w:r>
        <w:rPr>
          <w:rFonts w:hint="eastAsia" w:ascii="宋体" w:hAnsi="宋体" w:cs="宋体"/>
          <w:sz w:val="22"/>
          <w:szCs w:val="22"/>
        </w:rPr>
        <w:t>法定代表人或负责人或实际控制人存在股份控制或实际控制关系</w:t>
      </w:r>
    </w:p>
    <w:p w14:paraId="3916556B">
      <w:pPr>
        <w:snapToGrid w:val="0"/>
        <w:spacing w:line="440" w:lineRule="exact"/>
        <w:rPr>
          <w:rFonts w:ascii="宋体" w:hAnsi="宋体"/>
          <w:sz w:val="22"/>
          <w:szCs w:val="22"/>
        </w:rPr>
      </w:pPr>
      <w:r>
        <w:rPr>
          <w:rFonts w:ascii="宋体" w:hAnsi="宋体" w:cs="宋体"/>
          <w:sz w:val="22"/>
          <w:szCs w:val="22"/>
        </w:rPr>
        <w:t xml:space="preserve">  G.</w:t>
      </w:r>
      <w:r>
        <w:rPr>
          <w:rFonts w:hint="eastAsia" w:ascii="宋体" w:hAnsi="宋体" w:cs="宋体"/>
          <w:sz w:val="22"/>
          <w:szCs w:val="22"/>
        </w:rPr>
        <w:t>存在共同直接或间接投资设立子公司、联营企业和合营企业情况</w:t>
      </w:r>
    </w:p>
    <w:p w14:paraId="032D8AF7">
      <w:pPr>
        <w:snapToGrid w:val="0"/>
        <w:spacing w:line="440" w:lineRule="exact"/>
        <w:rPr>
          <w:rFonts w:ascii="宋体" w:hAnsi="宋体"/>
          <w:sz w:val="22"/>
          <w:szCs w:val="22"/>
        </w:rPr>
      </w:pPr>
      <w:r>
        <w:rPr>
          <w:rFonts w:ascii="宋体" w:hAnsi="宋体" w:cs="宋体"/>
          <w:sz w:val="22"/>
          <w:szCs w:val="22"/>
        </w:rPr>
        <w:t xml:space="preserve">  H.</w:t>
      </w:r>
      <w:r>
        <w:rPr>
          <w:rFonts w:hint="eastAsia" w:ascii="宋体" w:hAnsi="宋体" w:cs="宋体"/>
          <w:sz w:val="22"/>
          <w:szCs w:val="22"/>
        </w:rPr>
        <w:t>存在分级代理或代销关系、同一生产制造商关系、管理关系、重要业务（占主营业务收入</w:t>
      </w:r>
      <w:r>
        <w:rPr>
          <w:rFonts w:ascii="宋体" w:hAnsi="宋体" w:cs="宋体"/>
          <w:sz w:val="22"/>
          <w:szCs w:val="22"/>
        </w:rPr>
        <w:t>50%</w:t>
      </w:r>
      <w:r>
        <w:rPr>
          <w:rFonts w:hint="eastAsia" w:ascii="宋体" w:hAnsi="宋体" w:cs="宋体"/>
          <w:sz w:val="22"/>
          <w:szCs w:val="22"/>
        </w:rPr>
        <w:t>以上）或重要财务往来关系（如融资）等其他实质性控制关系</w:t>
      </w:r>
    </w:p>
    <w:p w14:paraId="1F9F9AC7">
      <w:pPr>
        <w:snapToGrid w:val="0"/>
        <w:spacing w:line="440" w:lineRule="exact"/>
        <w:rPr>
          <w:rFonts w:ascii="宋体" w:hAnsi="宋体"/>
          <w:spacing w:val="6"/>
          <w:sz w:val="22"/>
          <w:szCs w:val="22"/>
        </w:rPr>
      </w:pPr>
      <w:r>
        <w:rPr>
          <w:rFonts w:ascii="宋体" w:hAnsi="宋体" w:cs="宋体"/>
          <w:sz w:val="22"/>
          <w:szCs w:val="22"/>
        </w:rPr>
        <w:t xml:space="preserve">  I.</w:t>
      </w:r>
      <w:r>
        <w:rPr>
          <w:rFonts w:hint="eastAsia" w:ascii="宋体" w:hAnsi="宋体" w:cs="宋体"/>
          <w:sz w:val="22"/>
          <w:szCs w:val="22"/>
        </w:rPr>
        <w:t>其他利害关系情况。</w:t>
      </w:r>
    </w:p>
    <w:p w14:paraId="12D0AD1E">
      <w:pPr>
        <w:widowControl/>
        <w:numPr>
          <w:ilvl w:val="0"/>
          <w:numId w:val="9"/>
        </w:numPr>
        <w:snapToGrid w:val="0"/>
        <w:spacing w:line="440" w:lineRule="exact"/>
        <w:ind w:left="0" w:firstLine="415" w:firstLineChars="189"/>
        <w:rPr>
          <w:rFonts w:ascii="宋体" w:hAnsi="宋体"/>
          <w:sz w:val="22"/>
          <w:szCs w:val="22"/>
        </w:rPr>
      </w:pPr>
      <w:r>
        <w:rPr>
          <w:rFonts w:hint="eastAsia" w:ascii="宋体" w:hAnsi="宋体" w:cs="宋体"/>
          <w:sz w:val="22"/>
          <w:szCs w:val="22"/>
        </w:rPr>
        <w:t>现已清楚知道并严格遵守政府采购法律法规和现场纪律。</w:t>
      </w:r>
    </w:p>
    <w:p w14:paraId="7BEEF5B3">
      <w:pPr>
        <w:widowControl/>
        <w:numPr>
          <w:ilvl w:val="0"/>
          <w:numId w:val="9"/>
        </w:numPr>
        <w:snapToGrid w:val="0"/>
        <w:spacing w:line="440" w:lineRule="exact"/>
        <w:ind w:left="0" w:firstLine="415" w:firstLineChars="189"/>
        <w:rPr>
          <w:rFonts w:ascii="宋体" w:hAnsi="宋体"/>
          <w:sz w:val="22"/>
          <w:szCs w:val="22"/>
        </w:rPr>
      </w:pPr>
      <w:r>
        <w:rPr>
          <w:rFonts w:hint="eastAsia" w:ascii="宋体" w:hAnsi="宋体" w:cs="宋体"/>
          <w:sz w:val="22"/>
          <w:szCs w:val="22"/>
        </w:rPr>
        <w:t>我发现供应商之间存在或可能存在上述第二条第项利害关系。</w:t>
      </w:r>
    </w:p>
    <w:p w14:paraId="7C9B0C7F">
      <w:pPr>
        <w:widowControl/>
        <w:numPr>
          <w:ilvl w:val="0"/>
          <w:numId w:val="9"/>
        </w:numPr>
        <w:snapToGrid w:val="0"/>
        <w:spacing w:line="440" w:lineRule="exact"/>
        <w:ind w:left="0" w:firstLine="415" w:firstLineChars="189"/>
        <w:rPr>
          <w:rFonts w:ascii="宋体" w:hAnsi="宋体"/>
          <w:sz w:val="22"/>
          <w:szCs w:val="22"/>
        </w:rPr>
      </w:pPr>
      <w:r>
        <w:rPr>
          <w:rFonts w:hint="eastAsia" w:ascii="宋体" w:hAnsi="宋体" w:cs="宋体"/>
          <w:sz w:val="22"/>
          <w:szCs w:val="22"/>
        </w:rPr>
        <w:t>经检查确认所有投标人投标文件□不存在密封包装问题□存在密封包装问题（具体指出）。</w:t>
      </w:r>
    </w:p>
    <w:p w14:paraId="48725C00">
      <w:pPr>
        <w:snapToGrid w:val="0"/>
        <w:spacing w:line="440" w:lineRule="exact"/>
        <w:ind w:firstLine="440" w:firstLineChars="200"/>
        <w:jc w:val="right"/>
        <w:rPr>
          <w:rFonts w:ascii="宋体" w:hAnsi="宋体" w:cs="宋体"/>
          <w:sz w:val="22"/>
          <w:szCs w:val="22"/>
        </w:rPr>
      </w:pPr>
    </w:p>
    <w:p w14:paraId="5D75F1C3">
      <w:pPr>
        <w:snapToGrid w:val="0"/>
        <w:spacing w:line="440" w:lineRule="exact"/>
        <w:ind w:firstLine="440" w:firstLineChars="200"/>
        <w:jc w:val="right"/>
        <w:rPr>
          <w:rFonts w:ascii="宋体" w:hAnsi="宋体"/>
          <w:sz w:val="22"/>
          <w:szCs w:val="22"/>
        </w:rPr>
      </w:pPr>
      <w:r>
        <w:rPr>
          <w:rFonts w:hint="eastAsia" w:ascii="宋体" w:hAnsi="宋体" w:cs="宋体"/>
          <w:sz w:val="22"/>
          <w:szCs w:val="22"/>
        </w:rPr>
        <w:t>（供应商代表签名）：</w:t>
      </w:r>
    </w:p>
    <w:p w14:paraId="534ACC41">
      <w:pPr>
        <w:snapToGrid w:val="0"/>
        <w:spacing w:line="440" w:lineRule="exact"/>
        <w:ind w:right="240" w:firstLine="440" w:firstLineChars="200"/>
        <w:jc w:val="right"/>
        <w:rPr>
          <w:rFonts w:ascii="宋体" w:hAnsi="宋体" w:cs="宋体"/>
          <w:sz w:val="22"/>
          <w:szCs w:val="22"/>
        </w:rPr>
      </w:pPr>
      <w:r>
        <w:rPr>
          <w:rFonts w:hint="eastAsia" w:ascii="宋体" w:hAnsi="宋体" w:cs="宋体"/>
          <w:sz w:val="22"/>
          <w:szCs w:val="22"/>
          <w:lang w:eastAsia="zh-CN"/>
        </w:rPr>
        <w:t>2025年</w:t>
      </w:r>
      <w:r>
        <w:rPr>
          <w:rFonts w:hint="eastAsia" w:ascii="宋体" w:hAnsi="宋体" w:cs="宋体"/>
          <w:sz w:val="22"/>
          <w:szCs w:val="22"/>
        </w:rPr>
        <w:t xml:space="preserve">  月  日</w:t>
      </w:r>
    </w:p>
    <w:p w14:paraId="716B371C">
      <w:pPr>
        <w:rPr>
          <w:rFonts w:ascii="宋体" w:hAnsi="宋体" w:cs="宋体"/>
          <w:b/>
          <w:bCs/>
          <w:sz w:val="32"/>
          <w:szCs w:val="32"/>
        </w:rPr>
      </w:pPr>
    </w:p>
    <w:p w14:paraId="1E01D9C9">
      <w:pPr>
        <w:rPr>
          <w:rFonts w:ascii="宋体" w:hAnsi="宋体" w:cs="宋体"/>
          <w:b/>
          <w:bCs/>
          <w:sz w:val="32"/>
          <w:szCs w:val="32"/>
        </w:rPr>
      </w:pPr>
    </w:p>
    <w:p w14:paraId="2090D82F">
      <w:pPr>
        <w:rPr>
          <w:rFonts w:ascii="宋体" w:hAnsi="宋体" w:cs="宋体"/>
          <w:b/>
          <w:bCs/>
          <w:sz w:val="32"/>
          <w:szCs w:val="32"/>
        </w:rPr>
      </w:pPr>
    </w:p>
    <w:p w14:paraId="1059BE76">
      <w:pPr>
        <w:rPr>
          <w:rFonts w:ascii="宋体" w:hAnsi="宋体" w:cs="宋体"/>
          <w:b/>
          <w:bCs/>
          <w:sz w:val="32"/>
          <w:szCs w:val="32"/>
        </w:rPr>
      </w:pPr>
    </w:p>
    <w:p w14:paraId="7523D39A">
      <w:pPr>
        <w:rPr>
          <w:rFonts w:ascii="宋体" w:hAnsi="宋体" w:cs="宋体"/>
          <w:b/>
          <w:bCs/>
          <w:sz w:val="32"/>
          <w:szCs w:val="32"/>
        </w:rPr>
      </w:pPr>
    </w:p>
    <w:p w14:paraId="764AC1B6">
      <w:pPr>
        <w:rPr>
          <w:rFonts w:ascii="宋体" w:hAnsi="宋体" w:cs="宋体"/>
          <w:b/>
          <w:bCs/>
          <w:sz w:val="32"/>
          <w:szCs w:val="32"/>
        </w:rPr>
      </w:pPr>
      <w:r>
        <w:rPr>
          <w:rFonts w:hint="eastAsia" w:ascii="宋体" w:hAnsi="宋体" w:cs="宋体"/>
          <w:b/>
          <w:bCs/>
          <w:sz w:val="32"/>
          <w:szCs w:val="32"/>
        </w:rPr>
        <w:t>附件十四</w:t>
      </w:r>
    </w:p>
    <w:p w14:paraId="03C16475">
      <w:pPr>
        <w:autoSpaceDE w:val="0"/>
        <w:autoSpaceDN w:val="0"/>
        <w:adjustRightInd w:val="0"/>
        <w:spacing w:line="500" w:lineRule="atLeast"/>
        <w:jc w:val="center"/>
        <w:rPr>
          <w:rFonts w:ascii="宋体" w:hAnsi="宋体" w:cs="宋体"/>
          <w:b/>
          <w:bCs/>
          <w:sz w:val="32"/>
        </w:rPr>
      </w:pPr>
      <w:r>
        <w:rPr>
          <w:rFonts w:hint="eastAsia" w:ascii="宋体" w:hAnsi="宋体" w:cs="宋体"/>
          <w:b/>
          <w:bCs/>
          <w:sz w:val="32"/>
        </w:rPr>
        <w:t>二次报价表</w:t>
      </w:r>
    </w:p>
    <w:p w14:paraId="778D65E4">
      <w:pPr>
        <w:widowControl/>
        <w:jc w:val="right"/>
        <w:rPr>
          <w:rFonts w:ascii="宋体" w:hAnsi="宋体"/>
          <w:spacing w:val="-4"/>
          <w:sz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6476"/>
      </w:tblGrid>
      <w:tr w14:paraId="557F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3174" w:type="dxa"/>
            <w:tcBorders>
              <w:top w:val="single" w:color="auto" w:sz="12" w:space="0"/>
              <w:left w:val="single" w:color="auto" w:sz="12" w:space="0"/>
              <w:bottom w:val="single" w:color="auto" w:sz="4" w:space="0"/>
              <w:right w:val="single" w:color="auto" w:sz="4" w:space="0"/>
            </w:tcBorders>
            <w:vAlign w:val="center"/>
          </w:tcPr>
          <w:p w14:paraId="6DAA34FE">
            <w:pPr>
              <w:jc w:val="center"/>
              <w:rPr>
                <w:rFonts w:ascii="宋体" w:hAnsi="宋体"/>
                <w:sz w:val="22"/>
                <w:szCs w:val="22"/>
              </w:rPr>
            </w:pPr>
            <w:r>
              <w:rPr>
                <w:rFonts w:hint="eastAsia" w:ascii="宋体" w:hAnsi="宋体"/>
                <w:sz w:val="22"/>
                <w:szCs w:val="22"/>
              </w:rPr>
              <w:t>采购单位</w:t>
            </w:r>
          </w:p>
        </w:tc>
        <w:tc>
          <w:tcPr>
            <w:tcW w:w="6476" w:type="dxa"/>
            <w:tcBorders>
              <w:top w:val="single" w:color="auto" w:sz="12" w:space="0"/>
              <w:left w:val="single" w:color="auto" w:sz="4" w:space="0"/>
              <w:bottom w:val="single" w:color="auto" w:sz="4" w:space="0"/>
              <w:right w:val="single" w:color="auto" w:sz="12" w:space="0"/>
            </w:tcBorders>
            <w:vAlign w:val="center"/>
          </w:tcPr>
          <w:p w14:paraId="5B543FFB">
            <w:pPr>
              <w:ind w:firstLine="220" w:firstLineChars="100"/>
              <w:jc w:val="center"/>
              <w:rPr>
                <w:rFonts w:ascii="宋体" w:hAnsi="宋体"/>
                <w:sz w:val="22"/>
                <w:szCs w:val="22"/>
              </w:rPr>
            </w:pPr>
            <w:r>
              <w:rPr>
                <w:rFonts w:hint="eastAsia" w:ascii="宋体" w:hAnsi="宋体"/>
                <w:sz w:val="22"/>
                <w:szCs w:val="22"/>
              </w:rPr>
              <w:t>泰顺县南浦溪新农村建设投资有限公司</w:t>
            </w:r>
          </w:p>
        </w:tc>
      </w:tr>
      <w:tr w14:paraId="699B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3174" w:type="dxa"/>
            <w:tcBorders>
              <w:top w:val="single" w:color="auto" w:sz="4" w:space="0"/>
              <w:left w:val="single" w:color="auto" w:sz="12" w:space="0"/>
              <w:bottom w:val="single" w:color="auto" w:sz="4" w:space="0"/>
              <w:right w:val="single" w:color="auto" w:sz="4" w:space="0"/>
            </w:tcBorders>
            <w:vAlign w:val="center"/>
          </w:tcPr>
          <w:p w14:paraId="2BB37E40">
            <w:pPr>
              <w:jc w:val="center"/>
              <w:rPr>
                <w:rFonts w:ascii="宋体" w:hAnsi="宋体"/>
                <w:sz w:val="22"/>
                <w:szCs w:val="22"/>
              </w:rPr>
            </w:pPr>
            <w:r>
              <w:rPr>
                <w:rFonts w:hint="eastAsia" w:ascii="宋体" w:hAnsi="宋体"/>
                <w:sz w:val="22"/>
                <w:szCs w:val="22"/>
              </w:rPr>
              <w:t>项目名称</w:t>
            </w:r>
          </w:p>
        </w:tc>
        <w:tc>
          <w:tcPr>
            <w:tcW w:w="6476" w:type="dxa"/>
            <w:tcBorders>
              <w:top w:val="single" w:color="auto" w:sz="4" w:space="0"/>
              <w:left w:val="single" w:color="auto" w:sz="4" w:space="0"/>
              <w:bottom w:val="single" w:color="auto" w:sz="4" w:space="0"/>
              <w:right w:val="single" w:color="auto" w:sz="12" w:space="0"/>
            </w:tcBorders>
            <w:vAlign w:val="center"/>
          </w:tcPr>
          <w:p w14:paraId="3F7AE8C9">
            <w:pPr>
              <w:jc w:val="center"/>
              <w:rPr>
                <w:rFonts w:ascii="宋体" w:hAnsi="宋体"/>
                <w:sz w:val="22"/>
                <w:szCs w:val="22"/>
              </w:rPr>
            </w:pPr>
            <w:r>
              <w:rPr>
                <w:rFonts w:hint="eastAsia" w:ascii="宋体" w:hAnsi="宋体"/>
                <w:sz w:val="22"/>
                <w:szCs w:val="22"/>
              </w:rPr>
              <w:t>泰顺县南浦溪镇环卫一体化和垃圾分类服务项目</w:t>
            </w:r>
          </w:p>
        </w:tc>
      </w:tr>
      <w:tr w14:paraId="72E1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174" w:type="dxa"/>
            <w:tcBorders>
              <w:top w:val="single" w:color="auto" w:sz="4" w:space="0"/>
              <w:left w:val="single" w:color="auto" w:sz="12" w:space="0"/>
              <w:bottom w:val="single" w:color="auto" w:sz="4" w:space="0"/>
              <w:right w:val="single" w:color="auto" w:sz="4" w:space="0"/>
            </w:tcBorders>
            <w:vAlign w:val="center"/>
          </w:tcPr>
          <w:p w14:paraId="1A655C9E">
            <w:pPr>
              <w:jc w:val="center"/>
              <w:rPr>
                <w:rFonts w:ascii="宋体" w:hAnsi="宋体"/>
                <w:sz w:val="22"/>
                <w:szCs w:val="22"/>
              </w:rPr>
            </w:pPr>
            <w:r>
              <w:rPr>
                <w:rFonts w:hint="eastAsia" w:ascii="宋体" w:hAnsi="宋体"/>
                <w:sz w:val="22"/>
                <w:szCs w:val="22"/>
              </w:rPr>
              <w:t>最终报价：（小写）</w:t>
            </w:r>
          </w:p>
        </w:tc>
        <w:tc>
          <w:tcPr>
            <w:tcW w:w="6476" w:type="dxa"/>
            <w:tcBorders>
              <w:top w:val="single" w:color="auto" w:sz="4" w:space="0"/>
              <w:left w:val="single" w:color="auto" w:sz="4" w:space="0"/>
              <w:bottom w:val="single" w:color="auto" w:sz="4" w:space="0"/>
              <w:right w:val="single" w:color="auto" w:sz="12" w:space="0"/>
            </w:tcBorders>
            <w:vAlign w:val="center"/>
          </w:tcPr>
          <w:p w14:paraId="0B829506">
            <w:pPr>
              <w:ind w:firstLine="552" w:firstLineChars="250"/>
              <w:rPr>
                <w:rFonts w:ascii="宋体" w:hAnsi="宋体"/>
                <w:sz w:val="22"/>
                <w:szCs w:val="22"/>
                <w:u w:val="single"/>
              </w:rPr>
            </w:pPr>
            <w:r>
              <w:rPr>
                <w:rFonts w:hint="eastAsia" w:ascii="宋体" w:hAnsi="宋体"/>
                <w:b/>
                <w:sz w:val="22"/>
                <w:szCs w:val="22"/>
                <w:u w:val="single"/>
              </w:rPr>
              <w:t>￥　     　　　　</w:t>
            </w:r>
            <w:r>
              <w:rPr>
                <w:rFonts w:hint="eastAsia" w:ascii="宋体" w:hAnsi="宋体"/>
                <w:b/>
                <w:sz w:val="22"/>
                <w:szCs w:val="22"/>
              </w:rPr>
              <w:t>元</w:t>
            </w:r>
          </w:p>
        </w:tc>
      </w:tr>
      <w:tr w14:paraId="6A6D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3174" w:type="dxa"/>
            <w:tcBorders>
              <w:top w:val="single" w:color="auto" w:sz="4" w:space="0"/>
              <w:left w:val="single" w:color="auto" w:sz="12" w:space="0"/>
              <w:bottom w:val="single" w:color="auto" w:sz="4" w:space="0"/>
              <w:right w:val="single" w:color="auto" w:sz="4" w:space="0"/>
            </w:tcBorders>
            <w:vAlign w:val="center"/>
          </w:tcPr>
          <w:p w14:paraId="5E267F7B">
            <w:pPr>
              <w:jc w:val="center"/>
              <w:rPr>
                <w:rFonts w:ascii="宋体" w:hAnsi="宋体"/>
                <w:sz w:val="22"/>
                <w:szCs w:val="22"/>
                <w:u w:val="single"/>
              </w:rPr>
            </w:pPr>
            <w:r>
              <w:rPr>
                <w:rFonts w:hint="eastAsia" w:ascii="宋体" w:hAnsi="宋体"/>
                <w:sz w:val="22"/>
                <w:szCs w:val="22"/>
              </w:rPr>
              <w:t>最终报价：（大写）</w:t>
            </w:r>
          </w:p>
        </w:tc>
        <w:tc>
          <w:tcPr>
            <w:tcW w:w="6476" w:type="dxa"/>
            <w:tcBorders>
              <w:top w:val="single" w:color="auto" w:sz="4" w:space="0"/>
              <w:left w:val="single" w:color="auto" w:sz="4" w:space="0"/>
              <w:bottom w:val="single" w:color="auto" w:sz="4" w:space="0"/>
              <w:right w:val="single" w:color="auto" w:sz="12" w:space="0"/>
            </w:tcBorders>
            <w:vAlign w:val="center"/>
          </w:tcPr>
          <w:p w14:paraId="4E344791">
            <w:pPr>
              <w:jc w:val="center"/>
              <w:rPr>
                <w:rFonts w:ascii="宋体" w:hAnsi="宋体"/>
                <w:sz w:val="22"/>
                <w:szCs w:val="22"/>
                <w:u w:val="single"/>
              </w:rPr>
            </w:pPr>
          </w:p>
        </w:tc>
      </w:tr>
      <w:tr w14:paraId="7CB1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jc w:val="center"/>
        </w:trPr>
        <w:tc>
          <w:tcPr>
            <w:tcW w:w="9650" w:type="dxa"/>
            <w:gridSpan w:val="2"/>
            <w:tcBorders>
              <w:top w:val="single" w:color="auto" w:sz="4" w:space="0"/>
              <w:left w:val="single" w:color="auto" w:sz="12" w:space="0"/>
              <w:bottom w:val="single" w:color="auto" w:sz="12" w:space="0"/>
              <w:right w:val="single" w:color="auto" w:sz="12" w:space="0"/>
            </w:tcBorders>
            <w:vAlign w:val="center"/>
          </w:tcPr>
          <w:p w14:paraId="0E2EC725">
            <w:pPr>
              <w:spacing w:before="156"/>
              <w:ind w:right="480"/>
              <w:rPr>
                <w:rFonts w:ascii="宋体" w:hAnsi="宋体"/>
                <w:sz w:val="22"/>
                <w:szCs w:val="22"/>
              </w:rPr>
            </w:pPr>
          </w:p>
          <w:p w14:paraId="4270005D">
            <w:pPr>
              <w:pStyle w:val="16"/>
              <w:spacing w:line="440" w:lineRule="atLeast"/>
              <w:rPr>
                <w:rFonts w:hAnsi="宋体"/>
                <w:sz w:val="22"/>
              </w:rPr>
            </w:pPr>
            <w:r>
              <w:rPr>
                <w:rFonts w:hint="eastAsia" w:hAnsi="宋体"/>
                <w:sz w:val="22"/>
              </w:rPr>
              <w:t>供应商全称：（盖章）</w:t>
            </w:r>
          </w:p>
          <w:p w14:paraId="28DABB95"/>
          <w:p w14:paraId="7633B79E">
            <w:pPr>
              <w:pStyle w:val="16"/>
              <w:spacing w:line="440" w:lineRule="atLeast"/>
              <w:rPr>
                <w:rFonts w:hAnsi="宋体"/>
                <w:b/>
                <w:bCs/>
                <w:sz w:val="22"/>
                <w:lang w:val="zh-CN"/>
              </w:rPr>
            </w:pPr>
            <w:r>
              <w:rPr>
                <w:rFonts w:hint="eastAsia" w:hAnsi="宋体"/>
                <w:sz w:val="22"/>
              </w:rPr>
              <w:t>法定代表人（签字或盖章）或</w:t>
            </w:r>
            <w:r>
              <w:rPr>
                <w:rFonts w:hint="eastAsia" w:hAnsi="宋体"/>
                <w:sz w:val="22"/>
                <w:lang w:val="zh-CN"/>
              </w:rPr>
              <w:t>授权代表（签字）：</w:t>
            </w:r>
          </w:p>
          <w:p w14:paraId="616F9CCF">
            <w:pPr>
              <w:spacing w:before="156"/>
              <w:ind w:right="480"/>
              <w:rPr>
                <w:rFonts w:ascii="宋体" w:hAnsi="宋体"/>
                <w:sz w:val="22"/>
                <w:szCs w:val="22"/>
              </w:rPr>
            </w:pPr>
          </w:p>
          <w:p w14:paraId="2A0B6FCC">
            <w:pPr>
              <w:wordWrap w:val="0"/>
              <w:spacing w:before="156"/>
              <w:ind w:right="480"/>
              <w:jc w:val="right"/>
              <w:rPr>
                <w:rFonts w:ascii="宋体" w:hAnsi="宋体"/>
                <w:sz w:val="22"/>
                <w:szCs w:val="22"/>
              </w:rPr>
            </w:pPr>
            <w:r>
              <w:rPr>
                <w:rFonts w:hint="eastAsia" w:ascii="宋体" w:hAnsi="宋体"/>
                <w:sz w:val="22"/>
                <w:szCs w:val="22"/>
              </w:rPr>
              <w:t>日期：    年   月   日</w:t>
            </w:r>
          </w:p>
          <w:p w14:paraId="2EF7806E">
            <w:pPr>
              <w:jc w:val="right"/>
              <w:rPr>
                <w:rFonts w:ascii="宋体" w:hAnsi="宋体"/>
                <w:sz w:val="22"/>
                <w:szCs w:val="22"/>
                <w:u w:val="single"/>
              </w:rPr>
            </w:pPr>
          </w:p>
        </w:tc>
      </w:tr>
    </w:tbl>
    <w:p w14:paraId="458CF9BF">
      <w:pPr>
        <w:pStyle w:val="2"/>
        <w:sectPr>
          <w:pgSz w:w="11906" w:h="16838"/>
          <w:pgMar w:top="760" w:right="1080" w:bottom="590" w:left="1080" w:header="510" w:footer="624" w:gutter="0"/>
          <w:cols w:space="720" w:num="1"/>
          <w:docGrid w:type="lines" w:linePitch="312" w:charSpace="0"/>
        </w:sectPr>
      </w:pPr>
    </w:p>
    <w:p w14:paraId="7795AF84">
      <w:pPr>
        <w:autoSpaceDE w:val="0"/>
        <w:autoSpaceDN w:val="0"/>
        <w:adjustRightInd w:val="0"/>
        <w:snapToGrid w:val="0"/>
        <w:spacing w:line="360" w:lineRule="atLeast"/>
        <w:jc w:val="center"/>
        <w:textAlignment w:val="bottom"/>
        <w:outlineLvl w:val="0"/>
        <w:rPr>
          <w:rFonts w:ascii="宋体" w:hAnsi="宋体" w:cs="宋体"/>
          <w:b/>
          <w:sz w:val="32"/>
          <w:szCs w:val="32"/>
        </w:rPr>
      </w:pPr>
      <w:r>
        <w:rPr>
          <w:rFonts w:hint="eastAsia" w:ascii="宋体" w:hAnsi="宋体" w:cs="宋体"/>
          <w:b/>
          <w:sz w:val="32"/>
          <w:szCs w:val="32"/>
        </w:rPr>
        <w:t>第七部分   评标办法</w:t>
      </w:r>
    </w:p>
    <w:p w14:paraId="0E075D4E">
      <w:pPr>
        <w:tabs>
          <w:tab w:val="left" w:pos="8820"/>
        </w:tabs>
        <w:adjustRightInd w:val="0"/>
        <w:snapToGrid w:val="0"/>
        <w:spacing w:line="240" w:lineRule="exact"/>
        <w:ind w:firstLine="440" w:firstLineChars="200"/>
        <w:rPr>
          <w:rFonts w:ascii="宋体" w:hAnsi="宋体" w:cs="宋体"/>
          <w:sz w:val="22"/>
          <w:szCs w:val="22"/>
        </w:rPr>
      </w:pPr>
    </w:p>
    <w:p w14:paraId="2BA4CE69">
      <w:pPr>
        <w:tabs>
          <w:tab w:val="left" w:pos="8820"/>
        </w:tabs>
        <w:adjustRightInd w:val="0"/>
        <w:snapToGrid w:val="0"/>
        <w:spacing w:before="100" w:line="380" w:lineRule="exact"/>
        <w:ind w:firstLine="440" w:firstLineChars="200"/>
        <w:rPr>
          <w:rFonts w:ascii="宋体" w:hAnsi="宋体"/>
          <w:sz w:val="22"/>
          <w:szCs w:val="22"/>
        </w:rPr>
      </w:pPr>
      <w:r>
        <w:rPr>
          <w:rFonts w:hint="eastAsia" w:ascii="宋体" w:hAnsi="宋体"/>
          <w:sz w:val="22"/>
          <w:szCs w:val="22"/>
        </w:rPr>
        <w:t>根据</w:t>
      </w:r>
      <w:r>
        <w:rPr>
          <w:rFonts w:hint="eastAsia" w:ascii="宋体" w:hAnsi="宋体" w:cs="Courier New"/>
          <w:sz w:val="22"/>
          <w:szCs w:val="22"/>
        </w:rPr>
        <w:t>《泰顺县县属国有企业采购管理办法（试行）》</w:t>
      </w:r>
      <w:r>
        <w:rPr>
          <w:rFonts w:hint="eastAsia" w:ascii="宋体" w:hAnsi="宋体"/>
          <w:sz w:val="22"/>
          <w:szCs w:val="22"/>
        </w:rPr>
        <w:t>等有关采购法规，结合本次所要采购产品的实际，按照公平、公正、科学、择优的原则选择中标人，特制定本评标办法。</w:t>
      </w:r>
    </w:p>
    <w:p w14:paraId="274FFEF7">
      <w:pPr>
        <w:adjustRightInd w:val="0"/>
        <w:snapToGrid w:val="0"/>
        <w:spacing w:line="400" w:lineRule="exact"/>
        <w:jc w:val="center"/>
        <w:outlineLvl w:val="1"/>
        <w:rPr>
          <w:rFonts w:ascii="宋体" w:hAnsi="宋体" w:cs="宋体"/>
          <w:b/>
          <w:bCs/>
          <w:sz w:val="22"/>
          <w:szCs w:val="22"/>
        </w:rPr>
      </w:pPr>
      <w:r>
        <w:rPr>
          <w:rFonts w:hint="eastAsia" w:ascii="宋体" w:hAnsi="宋体" w:cs="宋体"/>
          <w:b/>
          <w:bCs/>
          <w:sz w:val="22"/>
          <w:szCs w:val="22"/>
        </w:rPr>
        <w:t>一、总则</w:t>
      </w:r>
    </w:p>
    <w:p w14:paraId="0F888039">
      <w:pPr>
        <w:adjustRightInd w:val="0"/>
        <w:snapToGrid w:val="0"/>
        <w:spacing w:line="400" w:lineRule="exact"/>
        <w:ind w:firstLine="420"/>
        <w:rPr>
          <w:rFonts w:ascii="宋体" w:hAnsi="宋体" w:cs="宋体"/>
          <w:sz w:val="22"/>
          <w:szCs w:val="22"/>
        </w:rPr>
      </w:pPr>
      <w:r>
        <w:rPr>
          <w:rFonts w:hint="eastAsia" w:ascii="宋体" w:hAnsi="宋体" w:cs="宋体"/>
          <w:sz w:val="22"/>
          <w:szCs w:val="22"/>
        </w:rPr>
        <w:t>评标工作遵循公平、公正、民主、科学的原则和诚实、信誉、效率的服务原则。本着科学、严谨的态度，认真进行评标。择优选定产品的服务投标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投标供应商，评标委员会不作任何落标解释。投标供应商不得以任何方式干扰招投标工作的进行，一经发现其投标文件将被拒绝。</w:t>
      </w:r>
    </w:p>
    <w:p w14:paraId="098FC1BB">
      <w:pPr>
        <w:adjustRightInd w:val="0"/>
        <w:snapToGrid w:val="0"/>
        <w:spacing w:line="400" w:lineRule="exact"/>
        <w:jc w:val="center"/>
        <w:outlineLvl w:val="1"/>
        <w:rPr>
          <w:rFonts w:ascii="宋体" w:hAnsi="宋体" w:cs="宋体"/>
          <w:b/>
          <w:bCs/>
          <w:sz w:val="22"/>
          <w:szCs w:val="22"/>
        </w:rPr>
      </w:pPr>
      <w:r>
        <w:rPr>
          <w:rFonts w:hint="eastAsia" w:ascii="宋体" w:hAnsi="宋体" w:cs="宋体"/>
          <w:b/>
          <w:bCs/>
          <w:sz w:val="22"/>
          <w:szCs w:val="22"/>
        </w:rPr>
        <w:t>二、评审组织</w:t>
      </w:r>
    </w:p>
    <w:p w14:paraId="6B30A872">
      <w:pPr>
        <w:adjustRightInd w:val="0"/>
        <w:snapToGrid w:val="0"/>
        <w:spacing w:line="400" w:lineRule="exact"/>
        <w:ind w:firstLine="420"/>
        <w:rPr>
          <w:rFonts w:ascii="宋体" w:hAnsi="宋体" w:cs="宋体"/>
          <w:sz w:val="22"/>
          <w:szCs w:val="22"/>
        </w:rPr>
      </w:pPr>
      <w:r>
        <w:rPr>
          <w:rFonts w:hint="eastAsia" w:ascii="宋体" w:hAnsi="宋体" w:cs="宋体"/>
          <w:sz w:val="22"/>
          <w:szCs w:val="22"/>
        </w:rPr>
        <w:t>评标工作由采购机构依法组建的评标委员会负责，评标委员会由采购人代表以及评标专家库中随机抽取的有关技术、经济专家共同组成。评标全过程由招标管理部门监督整个开标、评标和定标过程。</w:t>
      </w:r>
    </w:p>
    <w:p w14:paraId="18BB6AF2">
      <w:pPr>
        <w:pStyle w:val="16"/>
        <w:adjustRightInd w:val="0"/>
        <w:snapToGrid w:val="0"/>
        <w:spacing w:line="380" w:lineRule="exact"/>
        <w:ind w:firstLine="3975" w:firstLineChars="1800"/>
        <w:rPr>
          <w:rFonts w:ascii="宋体" w:hAnsi="宋体" w:eastAsia="宋体" w:cs="宋体"/>
          <w:b/>
          <w:bCs/>
          <w:color w:val="auto"/>
          <w:kern w:val="0"/>
          <w:sz w:val="22"/>
          <w:szCs w:val="22"/>
        </w:rPr>
      </w:pPr>
      <w:bookmarkStart w:id="105" w:name="_Toc7010_WPSOffice_Level2"/>
      <w:r>
        <w:rPr>
          <w:rFonts w:hint="eastAsia" w:ascii="宋体" w:hAnsi="宋体" w:eastAsia="宋体" w:cs="宋体"/>
          <w:b/>
          <w:bCs/>
          <w:color w:val="auto"/>
          <w:kern w:val="0"/>
          <w:sz w:val="22"/>
          <w:szCs w:val="22"/>
        </w:rPr>
        <w:t>三、</w:t>
      </w:r>
      <w:bookmarkEnd w:id="105"/>
      <w:r>
        <w:rPr>
          <w:rFonts w:hint="eastAsia" w:ascii="宋体" w:hAnsi="宋体" w:eastAsia="宋体" w:cs="宋体"/>
          <w:b/>
          <w:bCs/>
          <w:color w:val="auto"/>
          <w:kern w:val="0"/>
          <w:sz w:val="22"/>
          <w:szCs w:val="22"/>
        </w:rPr>
        <w:t>评审办法</w:t>
      </w:r>
    </w:p>
    <w:p w14:paraId="764BBEF8">
      <w:pPr>
        <w:pStyle w:val="18"/>
        <w:widowControl w:val="0"/>
        <w:adjustRightInd w:val="0"/>
        <w:snapToGrid w:val="0"/>
        <w:spacing w:line="460" w:lineRule="exact"/>
        <w:rPr>
          <w:rFonts w:hint="eastAsia" w:ascii="宋体" w:hAnsi="宋体" w:eastAsia="宋体" w:cs="Times New Roman"/>
          <w:b w:val="0"/>
          <w:color w:val="auto"/>
          <w:sz w:val="22"/>
          <w:highlight w:val="none"/>
          <w:lang w:val="en-US" w:eastAsia="zh-CN"/>
        </w:rPr>
      </w:pPr>
      <w:r>
        <w:rPr>
          <w:rFonts w:hint="eastAsia" w:ascii="宋体" w:hAnsi="宋体" w:eastAsia="宋体" w:cs="Times New Roman"/>
          <w:b w:val="0"/>
          <w:color w:val="auto"/>
          <w:sz w:val="22"/>
          <w:highlight w:val="none"/>
          <w:lang w:val="en-US" w:eastAsia="zh-CN"/>
        </w:rPr>
        <w:t>采购人或招标代理机构对各投标供应商资格进行审查。评标委员会根据评审原则和评审办法，对各投标供应商的资信、技术部分投标进行评审并打分，以技术资信和商务报价标合计分值由高到低的顺序推荐候选供应商名单，并提交书面评审报告，推荐综合得分第一名的供应商为中标方。如果得分相同的，按投标报价由低到高顺序排列，得分且报价均相同的，按技术标得分由高到低排列，均相同者，则由采购人现场抽签决定。</w:t>
      </w:r>
    </w:p>
    <w:p w14:paraId="3020F684">
      <w:pPr>
        <w:pStyle w:val="18"/>
        <w:widowControl w:val="0"/>
        <w:adjustRightInd w:val="0"/>
        <w:snapToGrid w:val="0"/>
        <w:spacing w:line="460" w:lineRule="exact"/>
        <w:rPr>
          <w:rFonts w:hint="eastAsia" w:ascii="宋体" w:hAnsi="宋体" w:eastAsia="宋体" w:cs="Times New Roman"/>
          <w:b w:val="0"/>
          <w:color w:val="auto"/>
          <w:sz w:val="22"/>
          <w:highlight w:val="none"/>
          <w:lang w:val="en-US" w:eastAsia="zh-CN"/>
        </w:rPr>
      </w:pPr>
      <w:r>
        <w:rPr>
          <w:rFonts w:hint="eastAsia" w:ascii="宋体" w:hAnsi="宋体" w:eastAsia="宋体" w:cs="Times New Roman"/>
          <w:b w:val="0"/>
          <w:color w:val="auto"/>
          <w:sz w:val="22"/>
          <w:highlight w:val="none"/>
          <w:lang w:val="en-US" w:eastAsia="zh-CN"/>
        </w:rPr>
        <w:t>中标方放弃中标，或者因不可抗力提出不能履行合同，或者招标文件规定应当提交履约保证金、签订合同而在规定的期限内未能提交、签订合同的，采购人可以取消其中标资格。并按供应商评标排序从高到低排序依次确定新的中标方或重新组织采购。</w:t>
      </w:r>
    </w:p>
    <w:p w14:paraId="3618612D">
      <w:pPr>
        <w:adjustRightInd w:val="0"/>
        <w:snapToGrid w:val="0"/>
        <w:spacing w:line="400" w:lineRule="exact"/>
        <w:jc w:val="left"/>
        <w:rPr>
          <w:rFonts w:hint="eastAsia" w:ascii="宋体" w:hAnsi="宋体" w:eastAsia="宋体" w:cs="Times New Roman"/>
          <w:b w:val="0"/>
          <w:color w:val="auto"/>
          <w:sz w:val="22"/>
          <w:highlight w:val="none"/>
          <w:lang w:val="en-US" w:eastAsia="zh-CN"/>
        </w:rPr>
      </w:pPr>
      <w:r>
        <w:rPr>
          <w:rFonts w:hint="eastAsia" w:ascii="宋体" w:hAnsi="宋体" w:eastAsia="宋体" w:cs="Times New Roman"/>
          <w:b w:val="0"/>
          <w:color w:val="auto"/>
          <w:sz w:val="22"/>
          <w:highlight w:val="none"/>
          <w:lang w:val="en-US" w:eastAsia="zh-CN"/>
        </w:rPr>
        <w:t xml:space="preserve">    如果无候选供应商，或者候选供应商因前款规定的同样原因不能签订合同的，本次采购失败，重新组织采购。其它参见本招标文件第三部分：“供应商须知”中的相关内容。</w:t>
      </w:r>
    </w:p>
    <w:p w14:paraId="4962B78F">
      <w:pPr>
        <w:adjustRightInd w:val="0"/>
        <w:snapToGrid w:val="0"/>
        <w:spacing w:line="400" w:lineRule="exact"/>
        <w:jc w:val="center"/>
        <w:rPr>
          <w:rFonts w:ascii="宋体"/>
          <w:sz w:val="22"/>
          <w:szCs w:val="22"/>
        </w:rPr>
      </w:pPr>
      <w:r>
        <w:rPr>
          <w:rFonts w:hint="eastAsia" w:ascii="宋体" w:hAnsi="宋体"/>
          <w:b/>
          <w:sz w:val="22"/>
          <w:szCs w:val="22"/>
        </w:rPr>
        <w:t>四、评审细则</w:t>
      </w:r>
    </w:p>
    <w:p w14:paraId="4C3A9746">
      <w:pPr>
        <w:adjustRightInd w:val="0"/>
        <w:snapToGrid w:val="0"/>
        <w:spacing w:line="400" w:lineRule="exact"/>
        <w:ind w:firstLine="220" w:firstLineChars="100"/>
        <w:rPr>
          <w:rFonts w:ascii="宋体"/>
          <w:sz w:val="22"/>
          <w:szCs w:val="22"/>
        </w:rPr>
      </w:pPr>
      <w:r>
        <w:rPr>
          <w:rFonts w:hint="eastAsia" w:ascii="宋体" w:hAnsi="宋体"/>
          <w:sz w:val="22"/>
          <w:szCs w:val="22"/>
        </w:rPr>
        <w:t>（一）商务报价评分（20分）</w:t>
      </w:r>
    </w:p>
    <w:p w14:paraId="1E02442D">
      <w:pPr>
        <w:widowControl/>
        <w:spacing w:line="400" w:lineRule="exact"/>
        <w:ind w:firstLine="440"/>
        <w:rPr>
          <w:rFonts w:ascii="宋体" w:hAnsi="宋体" w:cs="Arial"/>
          <w:kern w:val="0"/>
          <w:sz w:val="22"/>
        </w:rPr>
      </w:pPr>
      <w:r>
        <w:rPr>
          <w:rFonts w:hint="eastAsia" w:ascii="宋体" w:hAnsi="宋体" w:cs="Arial"/>
          <w:kern w:val="0"/>
          <w:sz w:val="22"/>
        </w:rPr>
        <w:t>1.以满足竞争性磋商文件要求且最终报价最低的有效供应商的价格为磋商基准价，其价格分为满分。其他供应商的价格分统一按照下列公式计算：</w:t>
      </w:r>
    </w:p>
    <w:p w14:paraId="2FEBB85D">
      <w:pPr>
        <w:widowControl/>
        <w:spacing w:line="400" w:lineRule="exact"/>
        <w:ind w:firstLine="440"/>
        <w:rPr>
          <w:rFonts w:ascii="宋体" w:hAnsi="宋体" w:cs="Arial"/>
          <w:kern w:val="0"/>
          <w:sz w:val="22"/>
        </w:rPr>
      </w:pPr>
      <w:r>
        <w:rPr>
          <w:rFonts w:hint="eastAsia" w:ascii="宋体" w:hAnsi="宋体" w:cs="Arial"/>
          <w:kern w:val="0"/>
          <w:sz w:val="22"/>
        </w:rPr>
        <w:t>报价得分=（磋商基准价/最终报价）×20%×100</w:t>
      </w:r>
    </w:p>
    <w:p w14:paraId="28387BBB">
      <w:pPr>
        <w:widowControl/>
        <w:spacing w:line="400" w:lineRule="exact"/>
        <w:ind w:firstLine="440"/>
        <w:rPr>
          <w:rFonts w:ascii="宋体" w:hAnsi="宋体" w:cs="Arial"/>
          <w:kern w:val="0"/>
          <w:sz w:val="22"/>
        </w:rPr>
      </w:pPr>
      <w:r>
        <w:rPr>
          <w:rFonts w:hint="eastAsia" w:ascii="宋体" w:hAnsi="宋体" w:cs="Arial"/>
          <w:kern w:val="0"/>
          <w:sz w:val="22"/>
        </w:rPr>
        <w:t>2.本项目专门面向中小企业采购，不再执行价格评审优惠的扶持政策。</w:t>
      </w:r>
    </w:p>
    <w:p w14:paraId="4645E360">
      <w:pPr>
        <w:adjustRightInd w:val="0"/>
        <w:snapToGrid w:val="0"/>
        <w:spacing w:line="400" w:lineRule="exact"/>
        <w:ind w:firstLine="220" w:firstLineChars="100"/>
        <w:rPr>
          <w:rFonts w:ascii="宋体"/>
          <w:sz w:val="22"/>
          <w:szCs w:val="22"/>
        </w:rPr>
      </w:pPr>
      <w:r>
        <w:rPr>
          <w:rFonts w:hint="eastAsia" w:ascii="宋体" w:hAnsi="宋体"/>
          <w:sz w:val="22"/>
          <w:szCs w:val="22"/>
        </w:rPr>
        <w:t>（二）技术资信分评分（80分）</w:t>
      </w:r>
    </w:p>
    <w:p w14:paraId="448253DB">
      <w:pPr>
        <w:widowControl/>
        <w:spacing w:line="400" w:lineRule="exact"/>
        <w:ind w:firstLine="440"/>
        <w:rPr>
          <w:rFonts w:ascii="宋体" w:hAnsi="宋体" w:cs="Arial"/>
          <w:kern w:val="0"/>
          <w:sz w:val="22"/>
        </w:rPr>
      </w:pPr>
      <w:r>
        <w:rPr>
          <w:rFonts w:hint="eastAsia" w:ascii="宋体" w:hAnsi="宋体" w:cs="Arial"/>
          <w:kern w:val="0"/>
          <w:sz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w:t>
      </w:r>
      <w:r>
        <w:rPr>
          <w:rFonts w:ascii="宋体" w:hAnsi="宋体" w:cs="Arial"/>
          <w:kern w:val="0"/>
          <w:sz w:val="22"/>
        </w:rPr>
        <w:t>2</w:t>
      </w:r>
      <w:r>
        <w:rPr>
          <w:rFonts w:hint="eastAsia" w:ascii="宋体" w:hAnsi="宋体" w:cs="Arial"/>
          <w:kern w:val="0"/>
          <w:sz w:val="22"/>
        </w:rPr>
        <w:t>位）。</w:t>
      </w:r>
    </w:p>
    <w:p w14:paraId="1FBF5F61">
      <w:pPr>
        <w:pStyle w:val="4"/>
      </w:pPr>
    </w:p>
    <w:tbl>
      <w:tblPr>
        <w:tblStyle w:val="31"/>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67"/>
        <w:gridCol w:w="7014"/>
        <w:gridCol w:w="975"/>
      </w:tblGrid>
      <w:tr w14:paraId="3564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8" w:type="dxa"/>
            <w:vAlign w:val="center"/>
          </w:tcPr>
          <w:p w14:paraId="74F253E0">
            <w:pPr>
              <w:spacing w:line="312" w:lineRule="auto"/>
              <w:jc w:val="center"/>
              <w:rPr>
                <w:rFonts w:ascii="宋体" w:hAnsi="宋体" w:cs="宋体"/>
                <w:b/>
                <w:bCs/>
                <w:szCs w:val="21"/>
              </w:rPr>
            </w:pPr>
            <w:r>
              <w:rPr>
                <w:rFonts w:hint="eastAsia" w:ascii="宋体" w:hAnsi="宋体" w:cs="宋体"/>
                <w:b/>
                <w:bCs/>
                <w:szCs w:val="21"/>
              </w:rPr>
              <w:t>序号</w:t>
            </w:r>
          </w:p>
        </w:tc>
        <w:tc>
          <w:tcPr>
            <w:tcW w:w="1367" w:type="dxa"/>
            <w:vAlign w:val="center"/>
          </w:tcPr>
          <w:p w14:paraId="35B6B639">
            <w:pPr>
              <w:spacing w:line="312" w:lineRule="auto"/>
              <w:jc w:val="center"/>
              <w:rPr>
                <w:rFonts w:ascii="宋体" w:hAnsi="宋体" w:cs="宋体"/>
                <w:b/>
                <w:bCs/>
                <w:szCs w:val="21"/>
              </w:rPr>
            </w:pPr>
            <w:r>
              <w:rPr>
                <w:rFonts w:hint="eastAsia" w:ascii="宋体" w:hAnsi="宋体" w:cs="宋体"/>
                <w:b/>
                <w:bCs/>
                <w:szCs w:val="21"/>
              </w:rPr>
              <w:t>评审内容</w:t>
            </w:r>
          </w:p>
        </w:tc>
        <w:tc>
          <w:tcPr>
            <w:tcW w:w="7014" w:type="dxa"/>
            <w:vAlign w:val="center"/>
          </w:tcPr>
          <w:p w14:paraId="6983D81D">
            <w:pPr>
              <w:spacing w:line="312" w:lineRule="auto"/>
              <w:jc w:val="center"/>
              <w:rPr>
                <w:rFonts w:ascii="宋体" w:hAnsi="宋体" w:cs="宋体"/>
                <w:b/>
                <w:bCs/>
                <w:szCs w:val="21"/>
              </w:rPr>
            </w:pPr>
            <w:r>
              <w:rPr>
                <w:rFonts w:hint="eastAsia" w:ascii="宋体" w:hAnsi="宋体" w:cs="宋体"/>
                <w:b/>
                <w:bCs/>
                <w:szCs w:val="21"/>
              </w:rPr>
              <w:t>评分标准</w:t>
            </w:r>
          </w:p>
        </w:tc>
        <w:tc>
          <w:tcPr>
            <w:tcW w:w="975" w:type="dxa"/>
            <w:vAlign w:val="center"/>
          </w:tcPr>
          <w:p w14:paraId="379AD398">
            <w:pPr>
              <w:spacing w:line="312" w:lineRule="auto"/>
              <w:jc w:val="center"/>
              <w:rPr>
                <w:rFonts w:ascii="宋体" w:hAnsi="宋体" w:cs="宋体"/>
                <w:b/>
                <w:bCs/>
                <w:szCs w:val="21"/>
              </w:rPr>
            </w:pPr>
            <w:r>
              <w:rPr>
                <w:rFonts w:hint="eastAsia" w:ascii="宋体" w:hAnsi="宋体" w:cs="宋体"/>
                <w:b/>
                <w:bCs/>
                <w:szCs w:val="21"/>
              </w:rPr>
              <w:t>分值</w:t>
            </w:r>
          </w:p>
        </w:tc>
      </w:tr>
      <w:tr w14:paraId="5586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698" w:type="dxa"/>
            <w:tcBorders>
              <w:top w:val="single" w:color="auto" w:sz="4" w:space="0"/>
              <w:left w:val="single" w:color="auto" w:sz="4" w:space="0"/>
              <w:right w:val="single" w:color="auto" w:sz="4" w:space="0"/>
            </w:tcBorders>
            <w:vAlign w:val="center"/>
          </w:tcPr>
          <w:p w14:paraId="2C68C7DA">
            <w:pPr>
              <w:spacing w:line="312" w:lineRule="auto"/>
              <w:jc w:val="center"/>
              <w:rPr>
                <w:rFonts w:ascii="宋体" w:hAnsi="宋体" w:cs="宋体"/>
                <w:szCs w:val="21"/>
              </w:rPr>
            </w:pPr>
            <w:r>
              <w:rPr>
                <w:rFonts w:hint="eastAsia" w:ascii="宋体" w:hAnsi="宋体" w:cs="宋体"/>
                <w:szCs w:val="21"/>
              </w:rPr>
              <w:t>1</w:t>
            </w:r>
          </w:p>
        </w:tc>
        <w:tc>
          <w:tcPr>
            <w:tcW w:w="1367" w:type="dxa"/>
            <w:tcBorders>
              <w:top w:val="single" w:color="auto" w:sz="4" w:space="0"/>
              <w:left w:val="single" w:color="auto" w:sz="4" w:space="0"/>
              <w:right w:val="single" w:color="auto" w:sz="4" w:space="0"/>
            </w:tcBorders>
            <w:vAlign w:val="center"/>
          </w:tcPr>
          <w:p w14:paraId="4357D528">
            <w:pPr>
              <w:spacing w:line="312" w:lineRule="auto"/>
              <w:jc w:val="center"/>
              <w:rPr>
                <w:rFonts w:ascii="宋体" w:hAnsi="宋体" w:cs="宋体"/>
                <w:szCs w:val="21"/>
              </w:rPr>
            </w:pPr>
            <w:r>
              <w:rPr>
                <w:rFonts w:hint="eastAsia" w:ascii="宋体" w:hAnsi="宋体" w:cs="宋体"/>
                <w:szCs w:val="21"/>
              </w:rPr>
              <w:t>供应商</w:t>
            </w:r>
          </w:p>
          <w:p w14:paraId="05E49E6A">
            <w:pPr>
              <w:spacing w:line="312" w:lineRule="auto"/>
              <w:jc w:val="center"/>
              <w:rPr>
                <w:rFonts w:ascii="宋体" w:hAnsi="宋体" w:cs="宋体"/>
                <w:szCs w:val="21"/>
              </w:rPr>
            </w:pPr>
            <w:r>
              <w:rPr>
                <w:rFonts w:hint="eastAsia" w:ascii="宋体" w:hAnsi="宋体" w:cs="宋体"/>
                <w:szCs w:val="21"/>
              </w:rPr>
              <w:t>综合实力</w:t>
            </w:r>
          </w:p>
        </w:tc>
        <w:tc>
          <w:tcPr>
            <w:tcW w:w="7014" w:type="dxa"/>
            <w:tcBorders>
              <w:top w:val="single" w:color="auto" w:sz="4" w:space="0"/>
              <w:left w:val="single" w:color="auto" w:sz="4" w:space="0"/>
              <w:right w:val="single" w:color="auto" w:sz="4" w:space="0"/>
            </w:tcBorders>
            <w:vAlign w:val="center"/>
          </w:tcPr>
          <w:p w14:paraId="062EF3E6">
            <w:pPr>
              <w:spacing w:line="312" w:lineRule="auto"/>
              <w:rPr>
                <w:rFonts w:ascii="宋体" w:hAnsi="宋体" w:cs="宋体"/>
                <w:b/>
                <w:bCs/>
                <w:szCs w:val="21"/>
              </w:rPr>
            </w:pPr>
            <w:r>
              <w:rPr>
                <w:rFonts w:hint="eastAsia" w:ascii="宋体" w:hAnsi="宋体" w:cs="宋体"/>
                <w:b/>
                <w:bCs/>
                <w:szCs w:val="21"/>
              </w:rPr>
              <w:t>供应商具有环卫保洁行业的质量管理体系认证证书、环境管理体系认证证书、职业健康安全管理体系认证证书、</w:t>
            </w:r>
            <w:r>
              <w:rPr>
                <w:rFonts w:hint="eastAsia" w:ascii="宋体" w:hAnsi="宋体" w:eastAsia="宋体" w:cs="宋体"/>
                <w:b/>
                <w:bCs/>
                <w:color w:val="auto"/>
                <w:spacing w:val="0"/>
                <w:sz w:val="21"/>
                <w:szCs w:val="21"/>
                <w:highlight w:val="none"/>
                <w:lang w:val="en-US" w:eastAsia="zh-CN"/>
              </w:rPr>
              <w:t>生活垃圾分类服务能力认证证书</w:t>
            </w:r>
            <w:r>
              <w:rPr>
                <w:rFonts w:hint="eastAsia" w:ascii="宋体" w:hAnsi="宋体" w:cs="宋体"/>
                <w:b/>
                <w:bCs/>
                <w:szCs w:val="21"/>
              </w:rPr>
              <w:t>、社会责任管理体系认证证书，每提供一个证书得1分，此项最高得</w:t>
            </w:r>
            <w:r>
              <w:rPr>
                <w:rFonts w:hint="eastAsia" w:ascii="宋体" w:hAnsi="宋体" w:cs="宋体"/>
                <w:b/>
                <w:bCs/>
                <w:szCs w:val="21"/>
                <w:lang w:val="en-US" w:eastAsia="zh-CN"/>
              </w:rPr>
              <w:t>5</w:t>
            </w:r>
            <w:r>
              <w:rPr>
                <w:rFonts w:hint="eastAsia" w:ascii="宋体" w:hAnsi="宋体" w:cs="宋体"/>
                <w:b/>
                <w:bCs/>
                <w:szCs w:val="21"/>
              </w:rPr>
              <w:t>分。</w:t>
            </w:r>
          </w:p>
          <w:p w14:paraId="6990BC25">
            <w:pPr>
              <w:spacing w:line="312" w:lineRule="auto"/>
              <w:rPr>
                <w:rFonts w:ascii="宋体" w:hAnsi="宋体" w:cs="宋体"/>
                <w:szCs w:val="21"/>
              </w:rPr>
            </w:pPr>
            <w:r>
              <w:rPr>
                <w:rFonts w:hint="eastAsia" w:ascii="宋体" w:hAnsi="宋体" w:cs="宋体"/>
                <w:szCs w:val="21"/>
              </w:rPr>
              <w:t>注：以上证书在中国国家认证认可监督管理委员会官网（http://www.cnca.gov.cn）查询截图为准，同时提供有效期内的证书扫描件加盖公章，否则不得分。</w:t>
            </w:r>
          </w:p>
        </w:tc>
        <w:tc>
          <w:tcPr>
            <w:tcW w:w="975" w:type="dxa"/>
            <w:tcBorders>
              <w:top w:val="single" w:color="auto" w:sz="4" w:space="0"/>
              <w:left w:val="single" w:color="auto" w:sz="4" w:space="0"/>
              <w:right w:val="single" w:color="auto" w:sz="4" w:space="0"/>
            </w:tcBorders>
            <w:vAlign w:val="center"/>
          </w:tcPr>
          <w:p w14:paraId="4D1432EB">
            <w:pPr>
              <w:spacing w:line="312" w:lineRule="auto"/>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144B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98" w:type="dxa"/>
            <w:vMerge w:val="restart"/>
            <w:tcBorders>
              <w:top w:val="single" w:color="auto" w:sz="4" w:space="0"/>
              <w:left w:val="single" w:color="auto" w:sz="4" w:space="0"/>
              <w:right w:val="single" w:color="auto" w:sz="4" w:space="0"/>
            </w:tcBorders>
            <w:vAlign w:val="center"/>
          </w:tcPr>
          <w:p w14:paraId="6A373B64">
            <w:pPr>
              <w:spacing w:line="312" w:lineRule="auto"/>
              <w:jc w:val="center"/>
              <w:rPr>
                <w:rFonts w:ascii="宋体" w:hAnsi="宋体" w:cs="宋体"/>
                <w:szCs w:val="21"/>
              </w:rPr>
            </w:pPr>
            <w:r>
              <w:rPr>
                <w:rFonts w:hint="eastAsia" w:ascii="宋体" w:hAnsi="宋体" w:cs="宋体"/>
                <w:szCs w:val="21"/>
              </w:rPr>
              <w:t>2</w:t>
            </w:r>
          </w:p>
        </w:tc>
        <w:tc>
          <w:tcPr>
            <w:tcW w:w="1367" w:type="dxa"/>
            <w:vMerge w:val="restart"/>
            <w:tcBorders>
              <w:top w:val="single" w:color="auto" w:sz="4" w:space="0"/>
              <w:left w:val="single" w:color="auto" w:sz="4" w:space="0"/>
              <w:right w:val="single" w:color="auto" w:sz="4" w:space="0"/>
            </w:tcBorders>
            <w:vAlign w:val="center"/>
          </w:tcPr>
          <w:p w14:paraId="3FC5E938">
            <w:pPr>
              <w:spacing w:line="312" w:lineRule="auto"/>
              <w:jc w:val="center"/>
              <w:rPr>
                <w:rFonts w:ascii="宋体" w:hAnsi="宋体" w:cs="宋体"/>
                <w:szCs w:val="21"/>
              </w:rPr>
            </w:pPr>
            <w:r>
              <w:rPr>
                <w:rFonts w:hint="eastAsia" w:ascii="宋体" w:hAnsi="宋体" w:cs="宋体"/>
                <w:szCs w:val="21"/>
              </w:rPr>
              <w:t>项目管理</w:t>
            </w:r>
          </w:p>
          <w:p w14:paraId="48118FEF">
            <w:pPr>
              <w:spacing w:line="312" w:lineRule="auto"/>
              <w:jc w:val="center"/>
              <w:rPr>
                <w:rFonts w:ascii="宋体" w:hAnsi="宋体" w:cs="宋体"/>
                <w:szCs w:val="21"/>
              </w:rPr>
            </w:pPr>
            <w:r>
              <w:rPr>
                <w:rFonts w:hint="eastAsia" w:ascii="宋体" w:hAnsi="宋体" w:cs="宋体"/>
                <w:szCs w:val="21"/>
              </w:rPr>
              <w:t>团队</w:t>
            </w:r>
          </w:p>
        </w:tc>
        <w:tc>
          <w:tcPr>
            <w:tcW w:w="7014" w:type="dxa"/>
            <w:tcBorders>
              <w:top w:val="single" w:color="auto" w:sz="4" w:space="0"/>
              <w:left w:val="single" w:color="auto" w:sz="4" w:space="0"/>
              <w:right w:val="single" w:color="auto" w:sz="4" w:space="0"/>
            </w:tcBorders>
            <w:vAlign w:val="center"/>
          </w:tcPr>
          <w:p w14:paraId="75EA479C">
            <w:pPr>
              <w:spacing w:line="312" w:lineRule="auto"/>
              <w:rPr>
                <w:rFonts w:hint="eastAsia" w:ascii="宋体" w:hAnsi="宋体" w:cs="宋体"/>
                <w:b/>
                <w:bCs/>
                <w:szCs w:val="21"/>
                <w:lang w:val="en-US" w:eastAsia="zh-CN"/>
              </w:rPr>
            </w:pPr>
            <w:r>
              <w:rPr>
                <w:rFonts w:hint="eastAsia" w:ascii="宋体" w:hAnsi="宋体" w:cs="宋体"/>
                <w:b/>
                <w:bCs/>
                <w:szCs w:val="21"/>
                <w:lang w:val="en-US" w:eastAsia="zh-CN"/>
              </w:rPr>
              <w:t>(1)项目负责人具有环卫作业项目经理培训合格证书的得1分，具有智慧环卫工程师培训合格证书得1分；此项最高得2分。</w:t>
            </w:r>
          </w:p>
          <w:p w14:paraId="71991D2D">
            <w:pPr>
              <w:spacing w:line="312" w:lineRule="auto"/>
              <w:rPr>
                <w:rFonts w:ascii="宋体" w:hAnsi="宋体" w:cs="宋体"/>
                <w:szCs w:val="21"/>
              </w:rPr>
            </w:pPr>
            <w:r>
              <w:rPr>
                <w:rFonts w:hint="eastAsia" w:ascii="宋体" w:hAnsi="宋体" w:cs="宋体"/>
                <w:szCs w:val="21"/>
              </w:rPr>
              <w:t>注：提供有效期内的证书扫描件加盖公章及磋商截止时间前本单位</w:t>
            </w:r>
            <w:r>
              <w:rPr>
                <w:rFonts w:hint="eastAsia" w:ascii="宋体" w:hAnsi="宋体" w:cs="宋体"/>
                <w:szCs w:val="21"/>
                <w:lang w:val="en-US" w:eastAsia="zh-CN"/>
              </w:rPr>
              <w:t>近6个月</w:t>
            </w:r>
            <w:r>
              <w:rPr>
                <w:rFonts w:hint="eastAsia" w:ascii="宋体" w:hAnsi="宋体" w:cs="宋体"/>
                <w:szCs w:val="21"/>
              </w:rPr>
              <w:t>社保缴纳证明电子件加盖公章。以上证明材料未提供或提供不全的不得分。</w:t>
            </w:r>
          </w:p>
        </w:tc>
        <w:tc>
          <w:tcPr>
            <w:tcW w:w="975" w:type="dxa"/>
            <w:vMerge w:val="restart"/>
            <w:tcBorders>
              <w:top w:val="single" w:color="auto" w:sz="4" w:space="0"/>
              <w:left w:val="single" w:color="auto" w:sz="4" w:space="0"/>
              <w:right w:val="single" w:color="auto" w:sz="4" w:space="0"/>
            </w:tcBorders>
            <w:vAlign w:val="center"/>
          </w:tcPr>
          <w:p w14:paraId="6251A22A">
            <w:pPr>
              <w:spacing w:line="312" w:lineRule="auto"/>
              <w:jc w:val="center"/>
              <w:rPr>
                <w:rFonts w:ascii="宋体" w:hAnsi="宋体" w:cs="宋体"/>
                <w:szCs w:val="21"/>
              </w:rPr>
            </w:pPr>
            <w:r>
              <w:rPr>
                <w:rFonts w:hint="eastAsia" w:ascii="宋体" w:hAnsi="宋体" w:cs="宋体"/>
                <w:szCs w:val="21"/>
              </w:rPr>
              <w:t>0-8分</w:t>
            </w:r>
          </w:p>
        </w:tc>
      </w:tr>
      <w:tr w14:paraId="7652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98" w:type="dxa"/>
            <w:vMerge w:val="continue"/>
            <w:tcBorders>
              <w:top w:val="single" w:color="auto" w:sz="4" w:space="0"/>
              <w:left w:val="single" w:color="auto" w:sz="4" w:space="0"/>
              <w:right w:val="single" w:color="auto" w:sz="4" w:space="0"/>
            </w:tcBorders>
            <w:vAlign w:val="center"/>
          </w:tcPr>
          <w:p w14:paraId="610FDB4E"/>
        </w:tc>
        <w:tc>
          <w:tcPr>
            <w:tcW w:w="1367" w:type="dxa"/>
            <w:vMerge w:val="continue"/>
            <w:tcBorders>
              <w:top w:val="single" w:color="auto" w:sz="4" w:space="0"/>
              <w:left w:val="single" w:color="auto" w:sz="4" w:space="0"/>
              <w:right w:val="single" w:color="auto" w:sz="4" w:space="0"/>
            </w:tcBorders>
            <w:vAlign w:val="center"/>
          </w:tcPr>
          <w:p w14:paraId="4A208A55"/>
        </w:tc>
        <w:tc>
          <w:tcPr>
            <w:tcW w:w="7014" w:type="dxa"/>
            <w:tcBorders>
              <w:top w:val="single" w:color="auto" w:sz="4" w:space="0"/>
              <w:left w:val="single" w:color="auto" w:sz="4" w:space="0"/>
              <w:right w:val="single" w:color="auto" w:sz="4" w:space="0"/>
            </w:tcBorders>
            <w:vAlign w:val="center"/>
          </w:tcPr>
          <w:p w14:paraId="69F404C0">
            <w:pPr>
              <w:spacing w:line="312" w:lineRule="auto"/>
              <w:rPr>
                <w:rFonts w:hint="default" w:ascii="宋体" w:hAnsi="宋体" w:cs="宋体"/>
                <w:b/>
                <w:bCs/>
                <w:szCs w:val="21"/>
                <w:lang w:val="en-US" w:eastAsia="zh-CN"/>
              </w:rPr>
            </w:pPr>
            <w:r>
              <w:rPr>
                <w:rFonts w:hint="eastAsia" w:ascii="宋体" w:hAnsi="宋体" w:cs="宋体"/>
                <w:b/>
                <w:bCs/>
                <w:szCs w:val="21"/>
                <w:lang w:val="en-US" w:eastAsia="zh-CN"/>
              </w:rPr>
              <w:t>（2）项目负责人具有环卫作业三年以上管理经验得2分；大于一年不满三年得1分；其余不得分。本项最高2分。</w:t>
            </w:r>
          </w:p>
          <w:p w14:paraId="0BAE557A">
            <w:pPr>
              <w:spacing w:line="312" w:lineRule="auto"/>
              <w:rPr>
                <w:rFonts w:ascii="宋体" w:hAnsi="宋体" w:cs="宋体"/>
                <w:szCs w:val="21"/>
              </w:rPr>
            </w:pPr>
            <w:r>
              <w:rPr>
                <w:rFonts w:hint="eastAsia" w:ascii="宋体" w:hAnsi="宋体" w:cs="宋体"/>
                <w:szCs w:val="21"/>
              </w:rPr>
              <w:t>注：证明材料</w:t>
            </w:r>
            <w:r>
              <w:rPr>
                <w:rFonts w:hint="eastAsia" w:ascii="宋体" w:hAnsi="宋体" w:cs="宋体"/>
                <w:szCs w:val="21"/>
                <w:lang w:val="en-US" w:eastAsia="zh-CN"/>
              </w:rPr>
              <w:t>需</w:t>
            </w:r>
            <w:r>
              <w:rPr>
                <w:rFonts w:hint="eastAsia" w:ascii="宋体" w:hAnsi="宋体" w:cs="宋体"/>
                <w:szCs w:val="21"/>
              </w:rPr>
              <w:t>提供</w:t>
            </w:r>
            <w:r>
              <w:rPr>
                <w:rFonts w:hint="eastAsia" w:ascii="宋体" w:hAnsi="宋体" w:cs="宋体"/>
                <w:szCs w:val="21"/>
                <w:lang w:val="en-US" w:eastAsia="zh-CN"/>
              </w:rPr>
              <w:t>业绩</w:t>
            </w:r>
            <w:r>
              <w:rPr>
                <w:rFonts w:hint="eastAsia" w:ascii="宋体" w:hAnsi="宋体" w:cs="宋体"/>
                <w:szCs w:val="21"/>
              </w:rPr>
              <w:t>合同扫描件，若</w:t>
            </w:r>
            <w:r>
              <w:rPr>
                <w:rFonts w:hint="eastAsia" w:ascii="宋体" w:hAnsi="宋体" w:cs="宋体"/>
                <w:szCs w:val="21"/>
                <w:lang w:val="en-US" w:eastAsia="zh-CN"/>
              </w:rPr>
              <w:t>业绩</w:t>
            </w:r>
            <w:r>
              <w:rPr>
                <w:rFonts w:hint="eastAsia" w:ascii="宋体" w:hAnsi="宋体" w:cs="宋体"/>
                <w:szCs w:val="21"/>
              </w:rPr>
              <w:t>合同不能反映项目负责人名字及服务年限的，则需提供该项目合同采购人盖公章的证明材料扫描件。</w:t>
            </w:r>
          </w:p>
        </w:tc>
        <w:tc>
          <w:tcPr>
            <w:tcW w:w="975" w:type="dxa"/>
            <w:vMerge w:val="continue"/>
            <w:tcBorders>
              <w:top w:val="single" w:color="auto" w:sz="4" w:space="0"/>
              <w:left w:val="single" w:color="auto" w:sz="4" w:space="0"/>
              <w:right w:val="single" w:color="auto" w:sz="4" w:space="0"/>
            </w:tcBorders>
            <w:vAlign w:val="center"/>
          </w:tcPr>
          <w:p w14:paraId="560C24E6"/>
        </w:tc>
      </w:tr>
      <w:tr w14:paraId="41D0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698" w:type="dxa"/>
            <w:vMerge w:val="continue"/>
            <w:tcBorders>
              <w:top w:val="single" w:color="auto" w:sz="4" w:space="0"/>
              <w:left w:val="single" w:color="auto" w:sz="4" w:space="0"/>
              <w:right w:val="single" w:color="auto" w:sz="4" w:space="0"/>
            </w:tcBorders>
            <w:vAlign w:val="center"/>
          </w:tcPr>
          <w:p w14:paraId="7F7CBDCA"/>
        </w:tc>
        <w:tc>
          <w:tcPr>
            <w:tcW w:w="1367" w:type="dxa"/>
            <w:vMerge w:val="continue"/>
            <w:tcBorders>
              <w:top w:val="single" w:color="auto" w:sz="4" w:space="0"/>
              <w:left w:val="single" w:color="auto" w:sz="4" w:space="0"/>
              <w:right w:val="single" w:color="auto" w:sz="4" w:space="0"/>
            </w:tcBorders>
            <w:vAlign w:val="center"/>
          </w:tcPr>
          <w:p w14:paraId="1DB295C0"/>
        </w:tc>
        <w:tc>
          <w:tcPr>
            <w:tcW w:w="7014" w:type="dxa"/>
            <w:tcBorders>
              <w:top w:val="single" w:color="auto" w:sz="4" w:space="0"/>
              <w:left w:val="single" w:color="auto" w:sz="4" w:space="0"/>
              <w:right w:val="single" w:color="auto" w:sz="4" w:space="0"/>
            </w:tcBorders>
            <w:vAlign w:val="center"/>
          </w:tcPr>
          <w:p w14:paraId="67EA9A10">
            <w:pPr>
              <w:spacing w:line="312" w:lineRule="auto"/>
              <w:rPr>
                <w:rFonts w:hint="eastAsia" w:ascii="宋体" w:hAnsi="宋体" w:cs="宋体"/>
                <w:b/>
                <w:bCs/>
                <w:szCs w:val="21"/>
                <w:lang w:val="en-US" w:eastAsia="zh-CN"/>
              </w:rPr>
            </w:pPr>
            <w:r>
              <w:rPr>
                <w:rFonts w:hint="eastAsia" w:ascii="宋体" w:hAnsi="宋体" w:cs="宋体"/>
                <w:b/>
                <w:bCs/>
                <w:szCs w:val="21"/>
                <w:lang w:val="en-US" w:eastAsia="zh-CN"/>
              </w:rPr>
              <w:t>（3）项目管理人员具有主管部门颁发或主管部门指定机构颁发的安全员提供一证得2分，本项最高得4分。</w:t>
            </w:r>
          </w:p>
          <w:p w14:paraId="0427B784">
            <w:pPr>
              <w:spacing w:line="312" w:lineRule="auto"/>
              <w:rPr>
                <w:rFonts w:ascii="宋体" w:hAnsi="宋体" w:cs="宋体"/>
                <w:szCs w:val="21"/>
              </w:rPr>
            </w:pPr>
            <w:r>
              <w:rPr>
                <w:rFonts w:hint="eastAsia" w:ascii="宋体" w:hAnsi="宋体" w:cs="宋体"/>
                <w:szCs w:val="21"/>
              </w:rPr>
              <w:t>注：证书扫描件加盖公章及磋商截止时间前本单位</w:t>
            </w:r>
            <w:r>
              <w:rPr>
                <w:rFonts w:hint="eastAsia" w:ascii="宋体" w:hAnsi="宋体" w:cs="宋体"/>
                <w:szCs w:val="21"/>
                <w:lang w:val="en-US" w:eastAsia="zh-CN"/>
              </w:rPr>
              <w:t>近6个月的</w:t>
            </w:r>
            <w:r>
              <w:rPr>
                <w:rFonts w:hint="eastAsia" w:ascii="宋体" w:hAnsi="宋体" w:cs="宋体"/>
                <w:szCs w:val="21"/>
              </w:rPr>
              <w:t>社保缴纳证明电子件加盖公章，以上证明材料未提供或提供不全的不得分。</w:t>
            </w:r>
          </w:p>
        </w:tc>
        <w:tc>
          <w:tcPr>
            <w:tcW w:w="975" w:type="dxa"/>
            <w:vMerge w:val="continue"/>
            <w:tcBorders>
              <w:top w:val="single" w:color="auto" w:sz="4" w:space="0"/>
              <w:left w:val="single" w:color="auto" w:sz="4" w:space="0"/>
              <w:right w:val="single" w:color="auto" w:sz="4" w:space="0"/>
            </w:tcBorders>
            <w:vAlign w:val="center"/>
          </w:tcPr>
          <w:p w14:paraId="07D3FAD0"/>
        </w:tc>
      </w:tr>
      <w:tr w14:paraId="7D27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98" w:type="dxa"/>
            <w:tcBorders>
              <w:top w:val="single" w:color="auto" w:sz="4" w:space="0"/>
              <w:left w:val="single" w:color="auto" w:sz="4" w:space="0"/>
              <w:right w:val="single" w:color="auto" w:sz="4" w:space="0"/>
            </w:tcBorders>
            <w:vAlign w:val="center"/>
          </w:tcPr>
          <w:p w14:paraId="09DE82D6">
            <w:pPr>
              <w:spacing w:line="312" w:lineRule="auto"/>
              <w:jc w:val="center"/>
              <w:rPr>
                <w:rFonts w:ascii="宋体" w:hAnsi="宋体" w:cs="宋体"/>
                <w:szCs w:val="21"/>
              </w:rPr>
            </w:pPr>
            <w:r>
              <w:rPr>
                <w:rFonts w:hint="eastAsia" w:ascii="宋体" w:hAnsi="宋体" w:cs="宋体"/>
                <w:szCs w:val="21"/>
              </w:rPr>
              <w:t>3</w:t>
            </w:r>
          </w:p>
        </w:tc>
        <w:tc>
          <w:tcPr>
            <w:tcW w:w="1367" w:type="dxa"/>
            <w:tcBorders>
              <w:top w:val="single" w:color="auto" w:sz="4" w:space="0"/>
              <w:left w:val="single" w:color="auto" w:sz="4" w:space="0"/>
              <w:right w:val="single" w:color="auto" w:sz="4" w:space="0"/>
            </w:tcBorders>
            <w:vAlign w:val="center"/>
          </w:tcPr>
          <w:p w14:paraId="3CD63271">
            <w:pPr>
              <w:spacing w:line="312" w:lineRule="auto"/>
              <w:jc w:val="center"/>
              <w:rPr>
                <w:rFonts w:ascii="宋体" w:hAnsi="宋体" w:cs="宋体"/>
                <w:szCs w:val="21"/>
              </w:rPr>
            </w:pPr>
            <w:r>
              <w:rPr>
                <w:rFonts w:hint="eastAsia" w:ascii="宋体" w:hAnsi="宋体" w:cs="宋体"/>
                <w:szCs w:val="21"/>
              </w:rPr>
              <w:t>供应商</w:t>
            </w:r>
          </w:p>
          <w:p w14:paraId="15310193">
            <w:pPr>
              <w:spacing w:line="312" w:lineRule="auto"/>
              <w:jc w:val="center"/>
              <w:rPr>
                <w:rFonts w:ascii="宋体" w:hAnsi="宋体" w:cs="宋体"/>
                <w:szCs w:val="21"/>
              </w:rPr>
            </w:pPr>
            <w:r>
              <w:rPr>
                <w:rFonts w:hint="eastAsia" w:ascii="宋体" w:hAnsi="宋体" w:cs="宋体"/>
                <w:szCs w:val="21"/>
              </w:rPr>
              <w:t>业绩</w:t>
            </w:r>
          </w:p>
        </w:tc>
        <w:tc>
          <w:tcPr>
            <w:tcW w:w="7014" w:type="dxa"/>
            <w:tcBorders>
              <w:top w:val="single" w:color="auto" w:sz="4" w:space="0"/>
              <w:left w:val="single" w:color="auto" w:sz="4" w:space="0"/>
              <w:right w:val="single" w:color="auto" w:sz="4" w:space="0"/>
            </w:tcBorders>
            <w:vAlign w:val="center"/>
          </w:tcPr>
          <w:p w14:paraId="645DED0C">
            <w:pPr>
              <w:spacing w:line="312" w:lineRule="auto"/>
              <w:rPr>
                <w:rFonts w:hint="eastAsia" w:ascii="宋体" w:hAnsi="宋体" w:cs="宋体"/>
                <w:b/>
                <w:bCs/>
                <w:szCs w:val="21"/>
              </w:rPr>
            </w:pPr>
            <w:r>
              <w:rPr>
                <w:rFonts w:hint="eastAsia" w:ascii="宋体" w:hAnsi="宋体" w:cs="宋体"/>
                <w:b/>
                <w:bCs/>
                <w:szCs w:val="21"/>
                <w:lang w:val="en-US" w:eastAsia="zh-CN"/>
              </w:rPr>
              <w:t>供应商每提供一项类似环卫保洁或垃圾分类一体化</w:t>
            </w:r>
            <w:r>
              <w:rPr>
                <w:rFonts w:hint="eastAsia" w:ascii="宋体" w:hAnsi="宋体" w:cs="宋体"/>
                <w:b/>
                <w:bCs/>
                <w:szCs w:val="21"/>
              </w:rPr>
              <w:t>业绩的每个得</w:t>
            </w:r>
            <w:r>
              <w:rPr>
                <w:rFonts w:hint="eastAsia" w:ascii="宋体" w:hAnsi="宋体" w:cs="宋体"/>
                <w:b/>
                <w:bCs/>
                <w:szCs w:val="21"/>
                <w:lang w:val="en-US" w:eastAsia="zh-CN"/>
              </w:rPr>
              <w:t>0.5</w:t>
            </w:r>
            <w:r>
              <w:rPr>
                <w:rFonts w:hint="eastAsia" w:ascii="宋体" w:hAnsi="宋体" w:cs="宋体"/>
                <w:b/>
                <w:bCs/>
                <w:szCs w:val="21"/>
              </w:rPr>
              <w:t>分，本项最高得</w:t>
            </w:r>
            <w:r>
              <w:rPr>
                <w:rFonts w:hint="eastAsia" w:ascii="宋体" w:hAnsi="宋体" w:cs="宋体"/>
                <w:b/>
                <w:bCs/>
                <w:szCs w:val="21"/>
                <w:lang w:val="en-US" w:eastAsia="zh-CN"/>
              </w:rPr>
              <w:t>2</w:t>
            </w:r>
            <w:r>
              <w:rPr>
                <w:rFonts w:hint="eastAsia" w:ascii="宋体" w:hAnsi="宋体" w:cs="宋体"/>
                <w:b/>
                <w:bCs/>
                <w:szCs w:val="21"/>
              </w:rPr>
              <w:t>分。</w:t>
            </w:r>
          </w:p>
          <w:p w14:paraId="311967E9">
            <w:pPr>
              <w:spacing w:line="312" w:lineRule="auto"/>
              <w:rPr>
                <w:rFonts w:ascii="宋体" w:hAnsi="宋体" w:cs="宋体"/>
                <w:szCs w:val="21"/>
              </w:rPr>
            </w:pPr>
            <w:r>
              <w:rPr>
                <w:rFonts w:hint="eastAsia" w:ascii="宋体" w:hAnsi="宋体" w:cs="宋体"/>
                <w:szCs w:val="21"/>
              </w:rPr>
              <w:t>注：以上业绩均需提供中标通知书、合同、政府网站中标公示（公告）截图扫描件加盖公章</w:t>
            </w:r>
            <w:r>
              <w:rPr>
                <w:rFonts w:hint="eastAsia" w:ascii="宋体" w:hAnsi="宋体" w:cs="宋体"/>
                <w:szCs w:val="21"/>
                <w:lang w:eastAsia="zh-CN"/>
              </w:rPr>
              <w:t>、履约验收合格材料</w:t>
            </w:r>
            <w:r>
              <w:rPr>
                <w:rFonts w:hint="eastAsia" w:ascii="宋体" w:hAnsi="宋体" w:cs="宋体"/>
                <w:szCs w:val="21"/>
              </w:rPr>
              <w:t>，以上证明材料未提供或提供不全的不得分。</w:t>
            </w:r>
          </w:p>
        </w:tc>
        <w:tc>
          <w:tcPr>
            <w:tcW w:w="975" w:type="dxa"/>
            <w:tcBorders>
              <w:top w:val="single" w:color="auto" w:sz="4" w:space="0"/>
              <w:left w:val="single" w:color="auto" w:sz="4" w:space="0"/>
              <w:right w:val="single" w:color="auto" w:sz="4" w:space="0"/>
            </w:tcBorders>
            <w:vAlign w:val="center"/>
          </w:tcPr>
          <w:p w14:paraId="511A1E99">
            <w:pPr>
              <w:spacing w:line="312" w:lineRule="auto"/>
              <w:jc w:val="center"/>
              <w:rPr>
                <w:rFonts w:ascii="宋体" w:hAnsi="宋体" w:cs="宋体"/>
                <w:szCs w:val="21"/>
              </w:rPr>
            </w:pPr>
            <w:r>
              <w:rPr>
                <w:rFonts w:hint="eastAsia" w:ascii="宋体" w:hAnsi="宋体" w:cs="宋体"/>
                <w:szCs w:val="21"/>
              </w:rPr>
              <w:t>0-2分</w:t>
            </w:r>
          </w:p>
        </w:tc>
      </w:tr>
      <w:tr w14:paraId="50A4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98" w:type="dxa"/>
            <w:vMerge w:val="restart"/>
            <w:tcBorders>
              <w:top w:val="single" w:color="auto" w:sz="4" w:space="0"/>
              <w:left w:val="single" w:color="auto" w:sz="4" w:space="0"/>
              <w:right w:val="single" w:color="auto" w:sz="4" w:space="0"/>
            </w:tcBorders>
            <w:vAlign w:val="center"/>
          </w:tcPr>
          <w:p w14:paraId="2658628D">
            <w:pPr>
              <w:spacing w:line="312" w:lineRule="auto"/>
              <w:jc w:val="center"/>
              <w:rPr>
                <w:rFonts w:ascii="宋体" w:hAnsi="宋体" w:cs="宋体"/>
                <w:szCs w:val="21"/>
              </w:rPr>
            </w:pPr>
            <w:r>
              <w:rPr>
                <w:rFonts w:hint="eastAsia" w:ascii="宋体" w:hAnsi="宋体" w:cs="宋体"/>
                <w:szCs w:val="21"/>
              </w:rPr>
              <w:t>4</w:t>
            </w:r>
          </w:p>
        </w:tc>
        <w:tc>
          <w:tcPr>
            <w:tcW w:w="1367" w:type="dxa"/>
            <w:vMerge w:val="restart"/>
            <w:tcBorders>
              <w:top w:val="single" w:color="auto" w:sz="4" w:space="0"/>
              <w:left w:val="single" w:color="auto" w:sz="4" w:space="0"/>
              <w:right w:val="single" w:color="auto" w:sz="4" w:space="0"/>
            </w:tcBorders>
            <w:vAlign w:val="center"/>
          </w:tcPr>
          <w:p w14:paraId="3C71B83B">
            <w:pPr>
              <w:spacing w:line="312" w:lineRule="auto"/>
              <w:jc w:val="center"/>
              <w:rPr>
                <w:rFonts w:ascii="宋体" w:hAnsi="宋体" w:cs="宋体"/>
                <w:szCs w:val="21"/>
              </w:rPr>
            </w:pPr>
            <w:r>
              <w:rPr>
                <w:rFonts w:hint="eastAsia" w:ascii="宋体" w:hAnsi="宋体" w:cs="宋体"/>
                <w:szCs w:val="21"/>
              </w:rPr>
              <w:t>履约能力</w:t>
            </w:r>
          </w:p>
        </w:tc>
        <w:tc>
          <w:tcPr>
            <w:tcW w:w="7014" w:type="dxa"/>
            <w:tcBorders>
              <w:top w:val="single" w:color="auto" w:sz="4" w:space="0"/>
              <w:left w:val="single" w:color="auto" w:sz="4" w:space="0"/>
              <w:right w:val="single" w:color="auto" w:sz="4" w:space="0"/>
            </w:tcBorders>
            <w:vAlign w:val="center"/>
          </w:tcPr>
          <w:p w14:paraId="7FE4C01A">
            <w:pPr>
              <w:spacing w:line="312" w:lineRule="auto"/>
              <w:rPr>
                <w:rFonts w:ascii="宋体" w:hAnsi="宋体" w:cs="宋体"/>
                <w:b/>
                <w:bCs/>
                <w:szCs w:val="21"/>
              </w:rPr>
            </w:pPr>
            <w:r>
              <w:rPr>
                <w:rFonts w:hint="eastAsia" w:ascii="宋体" w:hAnsi="宋体" w:eastAsia="宋体" w:cs="宋体"/>
                <w:b/>
                <w:bCs/>
                <w:color w:val="auto"/>
                <w:spacing w:val="0"/>
                <w:sz w:val="21"/>
                <w:szCs w:val="21"/>
                <w:highlight w:val="none"/>
                <w:lang w:val="en-US" w:eastAsia="zh-CN"/>
              </w:rPr>
              <w:t>供应商在运营期间取得省级主管单位颁发的市容环境先进集体荣誉得3分，</w:t>
            </w:r>
            <w:r>
              <w:rPr>
                <w:rFonts w:hint="eastAsia" w:ascii="宋体" w:hAnsi="宋体" w:cs="宋体"/>
                <w:b/>
                <w:bCs/>
                <w:color w:val="auto"/>
                <w:spacing w:val="0"/>
                <w:sz w:val="21"/>
                <w:szCs w:val="21"/>
                <w:highlight w:val="none"/>
                <w:lang w:val="en-US" w:eastAsia="zh-CN"/>
              </w:rPr>
              <w:t>或</w:t>
            </w:r>
            <w:r>
              <w:rPr>
                <w:rFonts w:hint="eastAsia" w:ascii="宋体" w:hAnsi="宋体" w:eastAsia="宋体" w:cs="宋体"/>
                <w:b/>
                <w:bCs/>
                <w:color w:val="auto"/>
                <w:spacing w:val="0"/>
                <w:sz w:val="21"/>
                <w:szCs w:val="21"/>
                <w:highlight w:val="none"/>
                <w:lang w:val="en-US" w:eastAsia="zh-CN"/>
              </w:rPr>
              <w:t>供应商具有政府部门颁发的市容环境相关荣誉。省级及以上的得3分，市级市容环境相关荣誉的得</w:t>
            </w:r>
            <w:r>
              <w:rPr>
                <w:rFonts w:hint="eastAsia" w:ascii="宋体" w:hAnsi="宋体" w:cs="宋体"/>
                <w:b/>
                <w:bCs/>
                <w:color w:val="auto"/>
                <w:spacing w:val="0"/>
                <w:sz w:val="21"/>
                <w:szCs w:val="21"/>
                <w:highlight w:val="none"/>
                <w:lang w:val="en-US" w:eastAsia="zh-CN"/>
              </w:rPr>
              <w:t>2</w:t>
            </w:r>
            <w:r>
              <w:rPr>
                <w:rFonts w:hint="eastAsia" w:ascii="宋体" w:hAnsi="宋体" w:eastAsia="宋体" w:cs="宋体"/>
                <w:b/>
                <w:bCs/>
                <w:color w:val="auto"/>
                <w:spacing w:val="0"/>
                <w:sz w:val="21"/>
                <w:szCs w:val="21"/>
                <w:highlight w:val="none"/>
                <w:lang w:val="en-US" w:eastAsia="zh-CN"/>
              </w:rPr>
              <w:t>分，县级环境相关荣誉的每个得1分</w:t>
            </w:r>
            <w:r>
              <w:rPr>
                <w:rFonts w:hint="eastAsia" w:ascii="宋体" w:hAnsi="宋体" w:cs="宋体"/>
                <w:b/>
                <w:bCs/>
                <w:color w:val="auto"/>
                <w:spacing w:val="0"/>
                <w:sz w:val="21"/>
                <w:szCs w:val="21"/>
                <w:highlight w:val="none"/>
                <w:lang w:val="en-US" w:eastAsia="zh-CN"/>
              </w:rPr>
              <w:t>，本项不</w:t>
            </w:r>
            <w:r>
              <w:rPr>
                <w:rFonts w:hint="eastAsia" w:ascii="宋体" w:hAnsi="宋体" w:eastAsia="宋体" w:cs="宋体"/>
                <w:b/>
                <w:bCs/>
                <w:color w:val="auto"/>
                <w:spacing w:val="0"/>
                <w:sz w:val="21"/>
                <w:szCs w:val="21"/>
                <w:highlight w:val="none"/>
                <w:lang w:val="en-US" w:eastAsia="zh-CN"/>
              </w:rPr>
              <w:t>可累计</w:t>
            </w:r>
            <w:r>
              <w:rPr>
                <w:rFonts w:hint="eastAsia" w:ascii="宋体" w:hAnsi="宋体" w:cs="宋体"/>
                <w:b/>
                <w:bCs/>
                <w:color w:val="auto"/>
                <w:spacing w:val="0"/>
                <w:sz w:val="21"/>
                <w:szCs w:val="21"/>
                <w:highlight w:val="none"/>
                <w:lang w:val="en-US" w:eastAsia="zh-CN"/>
              </w:rPr>
              <w:t>得</w:t>
            </w:r>
            <w:r>
              <w:rPr>
                <w:rFonts w:hint="eastAsia" w:ascii="宋体" w:hAnsi="宋体" w:eastAsia="宋体" w:cs="宋体"/>
                <w:b/>
                <w:bCs/>
                <w:color w:val="auto"/>
                <w:spacing w:val="0"/>
                <w:sz w:val="21"/>
                <w:szCs w:val="21"/>
                <w:highlight w:val="none"/>
                <w:lang w:val="en-US" w:eastAsia="zh-CN"/>
              </w:rPr>
              <w:t>分，此项最高得3分。</w:t>
            </w:r>
          </w:p>
          <w:p w14:paraId="24BA18FC">
            <w:pPr>
              <w:spacing w:line="312" w:lineRule="auto"/>
              <w:rPr>
                <w:rFonts w:ascii="宋体" w:hAnsi="宋体" w:cs="宋体"/>
                <w:szCs w:val="21"/>
              </w:rPr>
            </w:pPr>
            <w:r>
              <w:rPr>
                <w:rFonts w:hint="eastAsia" w:ascii="宋体" w:hAnsi="宋体" w:cs="宋体"/>
                <w:szCs w:val="21"/>
              </w:rPr>
              <w:t>注：提供相关证明材料扫描件加盖公章，否则不得分。</w:t>
            </w:r>
          </w:p>
        </w:tc>
        <w:tc>
          <w:tcPr>
            <w:tcW w:w="975" w:type="dxa"/>
            <w:vMerge w:val="restart"/>
            <w:tcBorders>
              <w:top w:val="single" w:color="auto" w:sz="4" w:space="0"/>
              <w:left w:val="single" w:color="auto" w:sz="4" w:space="0"/>
              <w:right w:val="single" w:color="auto" w:sz="4" w:space="0"/>
            </w:tcBorders>
            <w:vAlign w:val="center"/>
          </w:tcPr>
          <w:p w14:paraId="3921E623">
            <w:pPr>
              <w:spacing w:line="312" w:lineRule="auto"/>
              <w:jc w:val="center"/>
              <w:rPr>
                <w:rFonts w:ascii="宋体" w:hAnsi="宋体" w:cs="宋体"/>
                <w:szCs w:val="21"/>
              </w:rPr>
            </w:pPr>
            <w:r>
              <w:rPr>
                <w:rFonts w:hint="eastAsia" w:ascii="宋体" w:hAnsi="宋体" w:cs="宋体"/>
                <w:szCs w:val="21"/>
              </w:rPr>
              <w:t>0-5分</w:t>
            </w:r>
          </w:p>
        </w:tc>
      </w:tr>
      <w:tr w14:paraId="660A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698" w:type="dxa"/>
            <w:vMerge w:val="continue"/>
            <w:tcBorders>
              <w:top w:val="single" w:color="auto" w:sz="4" w:space="0"/>
              <w:left w:val="single" w:color="auto" w:sz="4" w:space="0"/>
              <w:right w:val="single" w:color="auto" w:sz="4" w:space="0"/>
            </w:tcBorders>
            <w:vAlign w:val="center"/>
          </w:tcPr>
          <w:p w14:paraId="18E30BF5"/>
        </w:tc>
        <w:tc>
          <w:tcPr>
            <w:tcW w:w="1367" w:type="dxa"/>
            <w:vMerge w:val="continue"/>
            <w:tcBorders>
              <w:top w:val="single" w:color="auto" w:sz="4" w:space="0"/>
              <w:left w:val="single" w:color="auto" w:sz="4" w:space="0"/>
              <w:right w:val="single" w:color="auto" w:sz="4" w:space="0"/>
            </w:tcBorders>
            <w:vAlign w:val="center"/>
          </w:tcPr>
          <w:p w14:paraId="4649B9E3"/>
        </w:tc>
        <w:tc>
          <w:tcPr>
            <w:tcW w:w="7014" w:type="dxa"/>
            <w:tcBorders>
              <w:top w:val="single" w:color="auto" w:sz="4" w:space="0"/>
              <w:left w:val="single" w:color="auto" w:sz="4" w:space="0"/>
              <w:right w:val="single" w:color="auto" w:sz="4" w:space="0"/>
            </w:tcBorders>
            <w:vAlign w:val="center"/>
          </w:tcPr>
          <w:p w14:paraId="76A10B75">
            <w:pPr>
              <w:spacing w:line="312" w:lineRule="auto"/>
              <w:rPr>
                <w:rFonts w:ascii="宋体" w:hAnsi="宋体" w:cs="宋体"/>
                <w:b/>
                <w:bCs/>
                <w:szCs w:val="21"/>
              </w:rPr>
            </w:pPr>
            <w:r>
              <w:rPr>
                <w:rFonts w:hint="eastAsia" w:ascii="宋体" w:hAnsi="宋体" w:cs="宋体"/>
                <w:b/>
                <w:bCs/>
                <w:szCs w:val="21"/>
              </w:rPr>
              <w:t>（2）供应商每提供一项类似环卫保洁或垃圾分类一体化服务项目服务满意评价的得1分，此项最高得2分。</w:t>
            </w:r>
          </w:p>
          <w:p w14:paraId="30D2C93B">
            <w:pPr>
              <w:spacing w:line="312" w:lineRule="auto"/>
              <w:rPr>
                <w:rFonts w:ascii="宋体" w:hAnsi="宋体" w:cs="宋体"/>
                <w:szCs w:val="21"/>
              </w:rPr>
            </w:pPr>
            <w:r>
              <w:rPr>
                <w:rFonts w:hint="eastAsia" w:ascii="宋体" w:hAnsi="宋体" w:cs="宋体"/>
                <w:szCs w:val="21"/>
              </w:rPr>
              <w:t>注：同一单位同类型多个评价只算一份评价；提供合同、服务评价证明（需有采购人公章）扫描件加盖公章，以上证明材料未提供或提供不全的不得分。</w:t>
            </w:r>
          </w:p>
        </w:tc>
        <w:tc>
          <w:tcPr>
            <w:tcW w:w="975" w:type="dxa"/>
            <w:vMerge w:val="continue"/>
            <w:tcBorders>
              <w:top w:val="single" w:color="auto" w:sz="4" w:space="0"/>
              <w:left w:val="single" w:color="auto" w:sz="4" w:space="0"/>
              <w:right w:val="single" w:color="auto" w:sz="4" w:space="0"/>
            </w:tcBorders>
            <w:vAlign w:val="center"/>
          </w:tcPr>
          <w:p w14:paraId="3783E508"/>
        </w:tc>
      </w:tr>
      <w:tr w14:paraId="652A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98" w:type="dxa"/>
            <w:vMerge w:val="restart"/>
            <w:tcBorders>
              <w:top w:val="single" w:color="auto" w:sz="4" w:space="0"/>
              <w:left w:val="single" w:color="auto" w:sz="4" w:space="0"/>
              <w:right w:val="single" w:color="auto" w:sz="4" w:space="0"/>
            </w:tcBorders>
            <w:vAlign w:val="center"/>
          </w:tcPr>
          <w:p w14:paraId="0755EA75">
            <w:pPr>
              <w:spacing w:line="312" w:lineRule="auto"/>
              <w:jc w:val="center"/>
              <w:rPr>
                <w:rFonts w:ascii="宋体" w:hAnsi="宋体" w:cs="宋体"/>
                <w:szCs w:val="21"/>
              </w:rPr>
            </w:pPr>
            <w:r>
              <w:rPr>
                <w:rFonts w:hint="eastAsia" w:ascii="宋体" w:hAnsi="宋体" w:cs="宋体"/>
                <w:szCs w:val="21"/>
              </w:rPr>
              <w:t>5</w:t>
            </w:r>
          </w:p>
        </w:tc>
        <w:tc>
          <w:tcPr>
            <w:tcW w:w="1367" w:type="dxa"/>
            <w:vMerge w:val="restart"/>
            <w:tcBorders>
              <w:top w:val="single" w:color="auto" w:sz="4" w:space="0"/>
              <w:left w:val="single" w:color="auto" w:sz="4" w:space="0"/>
              <w:right w:val="single" w:color="auto" w:sz="4" w:space="0"/>
            </w:tcBorders>
            <w:vAlign w:val="center"/>
          </w:tcPr>
          <w:p w14:paraId="734CDF18">
            <w:pPr>
              <w:spacing w:line="312" w:lineRule="auto"/>
              <w:jc w:val="center"/>
              <w:rPr>
                <w:rFonts w:ascii="宋体" w:hAnsi="宋体" w:cs="宋体"/>
                <w:szCs w:val="21"/>
              </w:rPr>
            </w:pPr>
            <w:r>
              <w:rPr>
                <w:rFonts w:hint="eastAsia" w:ascii="宋体" w:hAnsi="宋体" w:cs="宋体"/>
                <w:szCs w:val="21"/>
              </w:rPr>
              <w:t>供应商拟投入设备情况</w:t>
            </w:r>
          </w:p>
        </w:tc>
        <w:tc>
          <w:tcPr>
            <w:tcW w:w="7014" w:type="dxa"/>
            <w:tcBorders>
              <w:top w:val="single" w:color="auto" w:sz="4" w:space="0"/>
              <w:left w:val="single" w:color="auto" w:sz="4" w:space="0"/>
              <w:right w:val="single" w:color="auto" w:sz="4" w:space="0"/>
            </w:tcBorders>
            <w:vAlign w:val="center"/>
          </w:tcPr>
          <w:p w14:paraId="48CF0306">
            <w:pPr>
              <w:spacing w:line="312" w:lineRule="auto"/>
              <w:rPr>
                <w:rFonts w:ascii="宋体" w:hAnsi="宋体" w:cs="宋体"/>
                <w:b/>
                <w:bCs/>
                <w:szCs w:val="21"/>
              </w:rPr>
            </w:pPr>
            <w:r>
              <w:rPr>
                <w:rFonts w:hint="eastAsia" w:ascii="宋体" w:hAnsi="宋体" w:cs="宋体"/>
                <w:b/>
                <w:bCs/>
                <w:szCs w:val="21"/>
              </w:rPr>
              <w:t>（1）根据供应商针对本项目的实际情况和特点，所承诺提供投入的车辆、作业工具、材料配置等设备配备方案的合理性、科学性等方面，对上述内容完全符合招标文件得8分，有不合理的或者欠缺的每项扣0.5分，扣完为止。</w:t>
            </w:r>
          </w:p>
          <w:p w14:paraId="02E945C3">
            <w:pPr>
              <w:spacing w:line="312" w:lineRule="auto"/>
              <w:rPr>
                <w:rFonts w:ascii="宋体" w:hAnsi="宋体" w:cs="宋体"/>
                <w:szCs w:val="21"/>
              </w:rPr>
            </w:pPr>
            <w:r>
              <w:rPr>
                <w:rFonts w:hint="eastAsia" w:ascii="宋体" w:hAnsi="宋体" w:cs="宋体"/>
                <w:szCs w:val="21"/>
              </w:rPr>
              <w:t>注：以上设备须提供相关证明材料（已有设备需提供相关购置发票证明复印件，租赁设备需同时提供租赁合同扫描件和租赁发票证明复印件，承诺购买或承诺租赁的设备需提供承诺书；所有设备需在投标响应文件中明确，中标后30天内所有设备全部进场。）加盖公章。</w:t>
            </w:r>
          </w:p>
        </w:tc>
        <w:tc>
          <w:tcPr>
            <w:tcW w:w="975" w:type="dxa"/>
            <w:vMerge w:val="restart"/>
            <w:tcBorders>
              <w:top w:val="single" w:color="auto" w:sz="4" w:space="0"/>
              <w:left w:val="single" w:color="auto" w:sz="4" w:space="0"/>
              <w:right w:val="single" w:color="auto" w:sz="4" w:space="0"/>
            </w:tcBorders>
            <w:vAlign w:val="center"/>
          </w:tcPr>
          <w:p w14:paraId="4AAE14D8">
            <w:pPr>
              <w:spacing w:line="312" w:lineRule="auto"/>
              <w:jc w:val="center"/>
              <w:rPr>
                <w:rFonts w:ascii="宋体" w:hAnsi="宋体" w:cs="宋体"/>
                <w:szCs w:val="21"/>
              </w:rPr>
            </w:pPr>
            <w:r>
              <w:rPr>
                <w:rFonts w:hint="eastAsia" w:ascii="宋体" w:hAnsi="宋体" w:cs="宋体"/>
                <w:szCs w:val="21"/>
              </w:rPr>
              <w:t>0-12分</w:t>
            </w:r>
          </w:p>
        </w:tc>
      </w:tr>
      <w:tr w14:paraId="5D31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698" w:type="dxa"/>
            <w:vMerge w:val="continue"/>
            <w:tcBorders>
              <w:top w:val="single" w:color="auto" w:sz="4" w:space="0"/>
              <w:left w:val="single" w:color="auto" w:sz="4" w:space="0"/>
              <w:right w:val="single" w:color="auto" w:sz="4" w:space="0"/>
            </w:tcBorders>
            <w:vAlign w:val="center"/>
          </w:tcPr>
          <w:p w14:paraId="320B2F7F"/>
        </w:tc>
        <w:tc>
          <w:tcPr>
            <w:tcW w:w="1367" w:type="dxa"/>
            <w:vMerge w:val="continue"/>
            <w:tcBorders>
              <w:top w:val="single" w:color="auto" w:sz="4" w:space="0"/>
              <w:left w:val="single" w:color="auto" w:sz="4" w:space="0"/>
              <w:right w:val="single" w:color="auto" w:sz="4" w:space="0"/>
            </w:tcBorders>
            <w:vAlign w:val="center"/>
          </w:tcPr>
          <w:p w14:paraId="475F9AC8"/>
        </w:tc>
        <w:tc>
          <w:tcPr>
            <w:tcW w:w="7014" w:type="dxa"/>
            <w:tcBorders>
              <w:top w:val="single" w:color="auto" w:sz="4" w:space="0"/>
              <w:left w:val="single" w:color="auto" w:sz="4" w:space="0"/>
              <w:right w:val="single" w:color="auto" w:sz="4" w:space="0"/>
            </w:tcBorders>
            <w:vAlign w:val="center"/>
          </w:tcPr>
          <w:p w14:paraId="5C6CA3D9">
            <w:pPr>
              <w:spacing w:line="312" w:lineRule="auto"/>
              <w:rPr>
                <w:rFonts w:ascii="宋体" w:hAnsi="宋体" w:cs="宋体"/>
                <w:b/>
                <w:bCs/>
                <w:szCs w:val="21"/>
              </w:rPr>
            </w:pPr>
            <w:r>
              <w:rPr>
                <w:rFonts w:hint="eastAsia" w:ascii="宋体" w:hAnsi="宋体" w:cs="宋体"/>
                <w:b/>
                <w:bCs/>
                <w:szCs w:val="21"/>
              </w:rPr>
              <w:t>（2）供应商具有环卫应用相关的平台得2分；具备智慧环卫相关的环卫车辆智慧监管考核系统得0.5分；环卫人员智慧监管考核系统得0.5分；垃圾分类管理系统得0.5分；环卫视频监控调度系统得0.5分。此项最高得4分。</w:t>
            </w:r>
          </w:p>
          <w:p w14:paraId="77526867">
            <w:pPr>
              <w:spacing w:line="312" w:lineRule="auto"/>
              <w:rPr>
                <w:rFonts w:hint="default" w:ascii="宋体" w:hAnsi="宋体" w:eastAsia="宋体" w:cs="宋体"/>
                <w:szCs w:val="21"/>
                <w:lang w:val="en-US" w:eastAsia="zh-CN"/>
              </w:rPr>
            </w:pPr>
            <w:r>
              <w:rPr>
                <w:rFonts w:hint="eastAsia" w:ascii="宋体" w:hAnsi="宋体" w:cs="宋体"/>
                <w:szCs w:val="21"/>
              </w:rPr>
              <w:t>注：</w:t>
            </w:r>
            <w:r>
              <w:rPr>
                <w:rFonts w:hint="eastAsia" w:ascii="宋体" w:hAnsi="宋体" w:cs="宋体"/>
                <w:szCs w:val="21"/>
                <w:lang w:val="en-US" w:eastAsia="zh-CN"/>
              </w:rPr>
              <w:t>自有</w:t>
            </w:r>
            <w:r>
              <w:rPr>
                <w:rFonts w:hint="eastAsia" w:ascii="宋体" w:hAnsi="宋体" w:cs="宋体"/>
                <w:szCs w:val="21"/>
              </w:rPr>
              <w:t>平台或系统</w:t>
            </w:r>
            <w:r>
              <w:rPr>
                <w:rFonts w:hint="eastAsia" w:ascii="宋体" w:hAnsi="宋体" w:cs="宋体"/>
                <w:szCs w:val="21"/>
                <w:lang w:val="en-US" w:eastAsia="zh-CN"/>
              </w:rPr>
              <w:t>提供</w:t>
            </w:r>
            <w:r>
              <w:rPr>
                <w:rFonts w:hint="eastAsia" w:ascii="宋体" w:hAnsi="宋体" w:cs="宋体"/>
                <w:szCs w:val="21"/>
              </w:rPr>
              <w:t>相关</w:t>
            </w:r>
            <w:r>
              <w:rPr>
                <w:rFonts w:hint="eastAsia" w:ascii="宋体" w:hAnsi="宋体" w:cs="宋体"/>
                <w:szCs w:val="21"/>
                <w:lang w:val="en-US" w:eastAsia="zh-CN"/>
              </w:rPr>
              <w:t>软件著作</w:t>
            </w:r>
            <w:r>
              <w:rPr>
                <w:rFonts w:hint="eastAsia" w:ascii="宋体" w:hAnsi="宋体" w:cs="宋体"/>
                <w:szCs w:val="21"/>
              </w:rPr>
              <w:t>的证明材料（平台或系统的名称不作要求）扫描件加盖公章</w:t>
            </w:r>
            <w:r>
              <w:rPr>
                <w:rFonts w:hint="eastAsia" w:ascii="宋体" w:hAnsi="宋体" w:cs="宋体"/>
                <w:szCs w:val="21"/>
                <w:lang w:eastAsia="zh-CN"/>
              </w:rPr>
              <w:t>；</w:t>
            </w:r>
            <w:r>
              <w:rPr>
                <w:rFonts w:hint="eastAsia" w:ascii="宋体" w:hAnsi="宋体" w:cs="宋体"/>
                <w:szCs w:val="21"/>
                <w:lang w:val="en-US" w:eastAsia="zh-CN"/>
              </w:rPr>
              <w:t>租赁或购买的提供购置或租赁发票及以上功能截图并加盖公章。</w:t>
            </w:r>
          </w:p>
        </w:tc>
        <w:tc>
          <w:tcPr>
            <w:tcW w:w="975" w:type="dxa"/>
            <w:vMerge w:val="continue"/>
            <w:tcBorders>
              <w:top w:val="single" w:color="auto" w:sz="4" w:space="0"/>
              <w:left w:val="single" w:color="auto" w:sz="4" w:space="0"/>
              <w:right w:val="single" w:color="auto" w:sz="4" w:space="0"/>
            </w:tcBorders>
            <w:vAlign w:val="center"/>
          </w:tcPr>
          <w:p w14:paraId="12912AC9"/>
        </w:tc>
      </w:tr>
      <w:tr w14:paraId="4291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98" w:type="dxa"/>
            <w:tcBorders>
              <w:top w:val="single" w:color="auto" w:sz="4" w:space="0"/>
              <w:left w:val="single" w:color="auto" w:sz="4" w:space="0"/>
              <w:right w:val="single" w:color="auto" w:sz="4" w:space="0"/>
            </w:tcBorders>
            <w:vAlign w:val="center"/>
          </w:tcPr>
          <w:p w14:paraId="066183A2">
            <w:pPr>
              <w:spacing w:line="312" w:lineRule="auto"/>
              <w:jc w:val="center"/>
              <w:rPr>
                <w:rFonts w:ascii="宋体" w:hAnsi="宋体" w:cs="宋体"/>
                <w:sz w:val="22"/>
                <w:szCs w:val="22"/>
              </w:rPr>
            </w:pPr>
            <w:r>
              <w:rPr>
                <w:rFonts w:hint="eastAsia" w:ascii="宋体" w:hAnsi="宋体" w:cs="宋体"/>
                <w:sz w:val="22"/>
                <w:szCs w:val="22"/>
              </w:rPr>
              <w:t>6</w:t>
            </w:r>
          </w:p>
        </w:tc>
        <w:tc>
          <w:tcPr>
            <w:tcW w:w="1367" w:type="dxa"/>
            <w:tcBorders>
              <w:top w:val="single" w:color="auto" w:sz="4" w:space="0"/>
              <w:left w:val="single" w:color="auto" w:sz="4" w:space="0"/>
              <w:right w:val="single" w:color="auto" w:sz="4" w:space="0"/>
            </w:tcBorders>
            <w:vAlign w:val="center"/>
          </w:tcPr>
          <w:p w14:paraId="156906DF">
            <w:pPr>
              <w:spacing w:line="312" w:lineRule="auto"/>
              <w:jc w:val="center"/>
              <w:rPr>
                <w:rFonts w:hint="eastAsia" w:ascii="宋体" w:hAnsi="宋体" w:cs="宋体"/>
                <w:bCs/>
                <w:kern w:val="0"/>
                <w:szCs w:val="21"/>
              </w:rPr>
            </w:pPr>
            <w:r>
              <w:rPr>
                <w:rFonts w:hint="eastAsia" w:ascii="宋体" w:hAnsi="宋体" w:cs="宋体"/>
                <w:bCs/>
                <w:kern w:val="0"/>
                <w:szCs w:val="21"/>
              </w:rPr>
              <w:t>企业管理</w:t>
            </w:r>
          </w:p>
        </w:tc>
        <w:tc>
          <w:tcPr>
            <w:tcW w:w="7014" w:type="dxa"/>
            <w:tcBorders>
              <w:top w:val="single" w:color="auto" w:sz="4" w:space="0"/>
              <w:left w:val="single" w:color="auto" w:sz="4" w:space="0"/>
              <w:right w:val="single" w:color="auto" w:sz="4" w:space="0"/>
            </w:tcBorders>
            <w:vAlign w:val="center"/>
          </w:tcPr>
          <w:p w14:paraId="35278A54">
            <w:pPr>
              <w:spacing w:line="312" w:lineRule="auto"/>
              <w:rPr>
                <w:rFonts w:ascii="宋体" w:hAnsi="宋体" w:cs="宋体"/>
                <w:szCs w:val="21"/>
              </w:rPr>
            </w:pPr>
            <w:r>
              <w:rPr>
                <w:rFonts w:hint="eastAsia" w:ascii="宋体" w:hAnsi="宋体" w:cs="宋体"/>
                <w:szCs w:val="21"/>
              </w:rPr>
              <w:t>根据供应商提供的各项企业管理制度，包括岗位责任制度、机构运作制度、考核制度、安全生产制度、环卫设施管理制度、作业规范管理制度、</w:t>
            </w:r>
            <w:r>
              <w:rPr>
                <w:rFonts w:hint="eastAsia" w:ascii="宋体" w:hAnsi="宋体" w:cs="宋体"/>
                <w:szCs w:val="21"/>
                <w:lang w:val="zh-TW" w:eastAsia="zh-TW"/>
              </w:rPr>
              <w:t>质量保证措施</w:t>
            </w:r>
            <w:r>
              <w:rPr>
                <w:rFonts w:hint="eastAsia" w:ascii="宋体" w:hAnsi="宋体" w:cs="宋体"/>
                <w:szCs w:val="21"/>
                <w:lang w:val="zh-TW"/>
              </w:rPr>
              <w:t>、</w:t>
            </w:r>
            <w:r>
              <w:rPr>
                <w:rFonts w:hint="eastAsia" w:ascii="宋体" w:hAnsi="宋体" w:cs="宋体"/>
                <w:szCs w:val="21"/>
              </w:rPr>
              <w:t>日常管理服务项目标准及管理细则等</w:t>
            </w:r>
            <w:r>
              <w:rPr>
                <w:rFonts w:hint="eastAsia" w:ascii="宋体" w:hAnsi="宋体" w:cs="宋体"/>
                <w:szCs w:val="21"/>
                <w:lang w:val="zh-TW"/>
              </w:rPr>
              <w:t>进行打分</w:t>
            </w:r>
            <w:r>
              <w:rPr>
                <w:rFonts w:hint="eastAsia" w:ascii="宋体" w:hAnsi="宋体" w:cs="宋体"/>
                <w:szCs w:val="21"/>
              </w:rPr>
              <w:t>。企业管理制度完善且合理的得4分，有不合理的或者欠缺的每项扣0.5分，扣完为止。</w:t>
            </w:r>
          </w:p>
        </w:tc>
        <w:tc>
          <w:tcPr>
            <w:tcW w:w="975" w:type="dxa"/>
            <w:tcBorders>
              <w:top w:val="single" w:color="auto" w:sz="4" w:space="0"/>
              <w:left w:val="single" w:color="auto" w:sz="4" w:space="0"/>
              <w:right w:val="single" w:color="auto" w:sz="4" w:space="0"/>
            </w:tcBorders>
            <w:vAlign w:val="center"/>
          </w:tcPr>
          <w:p w14:paraId="28EC1F2E">
            <w:pPr>
              <w:spacing w:line="312" w:lineRule="auto"/>
              <w:jc w:val="center"/>
              <w:rPr>
                <w:rFonts w:ascii="宋体" w:hAnsi="宋体" w:cs="宋体"/>
                <w:sz w:val="22"/>
                <w:szCs w:val="22"/>
              </w:rPr>
            </w:pPr>
            <w:r>
              <w:rPr>
                <w:rFonts w:hint="eastAsia" w:ascii="宋体" w:hAnsi="宋体" w:cs="宋体"/>
                <w:sz w:val="22"/>
                <w:szCs w:val="22"/>
              </w:rPr>
              <w:t>0-4分</w:t>
            </w:r>
          </w:p>
        </w:tc>
      </w:tr>
      <w:tr w14:paraId="4591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8" w:type="dxa"/>
            <w:tcBorders>
              <w:top w:val="single" w:color="auto" w:sz="4" w:space="0"/>
              <w:left w:val="single" w:color="auto" w:sz="4" w:space="0"/>
              <w:right w:val="single" w:color="auto" w:sz="4" w:space="0"/>
            </w:tcBorders>
            <w:vAlign w:val="center"/>
          </w:tcPr>
          <w:p w14:paraId="5ECFF96E">
            <w:pPr>
              <w:spacing w:line="312" w:lineRule="auto"/>
              <w:jc w:val="center"/>
              <w:rPr>
                <w:rFonts w:ascii="宋体" w:hAnsi="宋体" w:cs="宋体"/>
                <w:szCs w:val="21"/>
              </w:rPr>
            </w:pPr>
            <w:r>
              <w:rPr>
                <w:rFonts w:hint="eastAsia" w:ascii="宋体" w:hAnsi="宋体" w:cs="宋体"/>
                <w:szCs w:val="21"/>
              </w:rPr>
              <w:t>7</w:t>
            </w:r>
          </w:p>
        </w:tc>
        <w:tc>
          <w:tcPr>
            <w:tcW w:w="1367" w:type="dxa"/>
            <w:tcBorders>
              <w:top w:val="single" w:color="auto" w:sz="4" w:space="0"/>
              <w:left w:val="single" w:color="auto" w:sz="4" w:space="0"/>
              <w:right w:val="single" w:color="auto" w:sz="4" w:space="0"/>
            </w:tcBorders>
            <w:vAlign w:val="center"/>
          </w:tcPr>
          <w:p w14:paraId="15873B34">
            <w:pPr>
              <w:spacing w:line="312" w:lineRule="auto"/>
              <w:jc w:val="center"/>
              <w:rPr>
                <w:rFonts w:hint="eastAsia" w:ascii="宋体" w:hAnsi="宋体" w:cs="宋体"/>
                <w:bCs/>
                <w:kern w:val="0"/>
                <w:szCs w:val="21"/>
              </w:rPr>
            </w:pPr>
            <w:r>
              <w:rPr>
                <w:rFonts w:hint="eastAsia" w:ascii="宋体" w:hAnsi="宋体" w:cs="宋体"/>
                <w:bCs/>
                <w:kern w:val="0"/>
                <w:szCs w:val="21"/>
              </w:rPr>
              <w:t>项目拟投入人员</w:t>
            </w:r>
          </w:p>
        </w:tc>
        <w:tc>
          <w:tcPr>
            <w:tcW w:w="7014" w:type="dxa"/>
            <w:tcBorders>
              <w:top w:val="single" w:color="auto" w:sz="4" w:space="0"/>
              <w:left w:val="single" w:color="auto" w:sz="4" w:space="0"/>
              <w:right w:val="single" w:color="auto" w:sz="4" w:space="0"/>
            </w:tcBorders>
            <w:vAlign w:val="center"/>
          </w:tcPr>
          <w:p w14:paraId="663140D6">
            <w:pPr>
              <w:rPr>
                <w:rFonts w:ascii="宋体" w:hAnsi="宋体" w:eastAsia="宋体" w:cs="宋体"/>
                <w:szCs w:val="21"/>
              </w:rPr>
            </w:pPr>
            <w:r>
              <w:rPr>
                <w:rFonts w:hint="eastAsia" w:ascii="宋体" w:hAnsi="宋体" w:cs="宋体"/>
                <w:szCs w:val="21"/>
              </w:rPr>
              <w:t>项目拟投入人员在满足招标文件基础上，每增加1人加1分最高得5分。</w:t>
            </w:r>
          </w:p>
        </w:tc>
        <w:tc>
          <w:tcPr>
            <w:tcW w:w="975" w:type="dxa"/>
            <w:tcBorders>
              <w:top w:val="single" w:color="auto" w:sz="4" w:space="0"/>
              <w:left w:val="single" w:color="auto" w:sz="4" w:space="0"/>
              <w:right w:val="single" w:color="auto" w:sz="4" w:space="0"/>
            </w:tcBorders>
            <w:vAlign w:val="center"/>
          </w:tcPr>
          <w:p w14:paraId="61934C2A">
            <w:pPr>
              <w:jc w:val="center"/>
              <w:rPr>
                <w:rFonts w:ascii="宋体" w:hAnsi="宋体" w:cs="宋体"/>
                <w:szCs w:val="21"/>
              </w:rPr>
            </w:pPr>
            <w:r>
              <w:rPr>
                <w:rFonts w:hint="eastAsia" w:ascii="宋体" w:hAnsi="宋体" w:cs="宋体"/>
                <w:sz w:val="22"/>
                <w:szCs w:val="22"/>
              </w:rPr>
              <w:t>0-</w:t>
            </w:r>
            <w:r>
              <w:rPr>
                <w:rFonts w:hint="eastAsia" w:ascii="宋体" w:eastAsia="宋体" w:cs="宋体"/>
                <w:sz w:val="22"/>
                <w:szCs w:val="22"/>
              </w:rPr>
              <w:t>5分</w:t>
            </w:r>
          </w:p>
        </w:tc>
      </w:tr>
      <w:tr w14:paraId="109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8" w:type="dxa"/>
            <w:tcBorders>
              <w:top w:val="single" w:color="auto" w:sz="4" w:space="0"/>
              <w:left w:val="single" w:color="auto" w:sz="4" w:space="0"/>
              <w:right w:val="single" w:color="auto" w:sz="4" w:space="0"/>
            </w:tcBorders>
            <w:vAlign w:val="center"/>
          </w:tcPr>
          <w:p w14:paraId="3432C551">
            <w:pPr>
              <w:spacing w:line="312" w:lineRule="auto"/>
              <w:jc w:val="center"/>
              <w:rPr>
                <w:rFonts w:ascii="宋体" w:hAnsi="宋体" w:cs="宋体"/>
                <w:szCs w:val="21"/>
              </w:rPr>
            </w:pPr>
            <w:r>
              <w:rPr>
                <w:rFonts w:hint="eastAsia" w:ascii="宋体" w:hAnsi="宋体" w:cs="宋体"/>
                <w:szCs w:val="21"/>
              </w:rPr>
              <w:t>8</w:t>
            </w:r>
          </w:p>
        </w:tc>
        <w:tc>
          <w:tcPr>
            <w:tcW w:w="1367" w:type="dxa"/>
            <w:tcBorders>
              <w:top w:val="single" w:color="auto" w:sz="4" w:space="0"/>
              <w:left w:val="single" w:color="auto" w:sz="4" w:space="0"/>
              <w:right w:val="single" w:color="auto" w:sz="4" w:space="0"/>
            </w:tcBorders>
            <w:vAlign w:val="center"/>
          </w:tcPr>
          <w:p w14:paraId="01EA35D5">
            <w:pPr>
              <w:spacing w:line="312" w:lineRule="auto"/>
              <w:jc w:val="center"/>
              <w:rPr>
                <w:rFonts w:ascii="宋体" w:hAnsi="宋体" w:cs="宋体"/>
                <w:szCs w:val="21"/>
              </w:rPr>
            </w:pPr>
            <w:r>
              <w:rPr>
                <w:rFonts w:hint="eastAsia" w:ascii="宋体" w:hAnsi="宋体" w:cs="宋体"/>
                <w:spacing w:val="-11"/>
                <w:szCs w:val="21"/>
              </w:rPr>
              <w:t>对本项目道路清扫保洁工作的现状调查与问题剖析</w:t>
            </w:r>
          </w:p>
        </w:tc>
        <w:tc>
          <w:tcPr>
            <w:tcW w:w="7014" w:type="dxa"/>
            <w:tcBorders>
              <w:top w:val="single" w:color="auto" w:sz="4" w:space="0"/>
              <w:left w:val="single" w:color="auto" w:sz="4" w:space="0"/>
              <w:right w:val="single" w:color="auto" w:sz="4" w:space="0"/>
            </w:tcBorders>
            <w:vAlign w:val="center"/>
          </w:tcPr>
          <w:p w14:paraId="720685FE">
            <w:pPr>
              <w:spacing w:line="312" w:lineRule="auto"/>
              <w:rPr>
                <w:rFonts w:ascii="宋体" w:hAnsi="宋体" w:cs="宋体"/>
                <w:szCs w:val="21"/>
              </w:rPr>
            </w:pPr>
            <w:r>
              <w:rPr>
                <w:rFonts w:hint="eastAsia" w:ascii="宋体" w:hAnsi="宋体" w:cs="宋体"/>
                <w:szCs w:val="21"/>
              </w:rPr>
              <w:t>根据供应商对项目范围内道路的现状、保洁情况、存在的问题和清扫保洁的难点、要点等问题进行调查剖析，并针对性的提出克服难点和要点。对上述内容完全符合的得</w:t>
            </w:r>
            <w:r>
              <w:rPr>
                <w:rFonts w:hint="eastAsia" w:ascii="宋体" w:hAnsi="宋体" w:cs="宋体"/>
                <w:szCs w:val="21"/>
                <w:lang w:val="en-US" w:eastAsia="zh-CN"/>
              </w:rPr>
              <w:t>6</w:t>
            </w:r>
            <w:r>
              <w:rPr>
                <w:rFonts w:hint="eastAsia" w:ascii="宋体" w:hAnsi="宋体" w:cs="宋体"/>
                <w:szCs w:val="21"/>
              </w:rPr>
              <w:t>分，有不合理的或者欠缺的每项扣0.5分，扣完为止。</w:t>
            </w:r>
          </w:p>
        </w:tc>
        <w:tc>
          <w:tcPr>
            <w:tcW w:w="975" w:type="dxa"/>
            <w:tcBorders>
              <w:top w:val="single" w:color="auto" w:sz="4" w:space="0"/>
              <w:left w:val="single" w:color="auto" w:sz="4" w:space="0"/>
              <w:right w:val="single" w:color="auto" w:sz="4" w:space="0"/>
            </w:tcBorders>
            <w:vAlign w:val="center"/>
          </w:tcPr>
          <w:p w14:paraId="53CEEA59">
            <w:pPr>
              <w:spacing w:line="312" w:lineRule="auto"/>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bookmarkStart w:id="106" w:name="_GoBack"/>
            <w:bookmarkEnd w:id="106"/>
            <w:r>
              <w:rPr>
                <w:rFonts w:hint="eastAsia" w:ascii="宋体" w:hAnsi="宋体" w:cs="宋体"/>
                <w:szCs w:val="21"/>
              </w:rPr>
              <w:t>分</w:t>
            </w:r>
          </w:p>
        </w:tc>
      </w:tr>
      <w:tr w14:paraId="3102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98" w:type="dxa"/>
            <w:vMerge w:val="restart"/>
            <w:tcBorders>
              <w:top w:val="single" w:color="auto" w:sz="4" w:space="0"/>
              <w:left w:val="single" w:color="auto" w:sz="4" w:space="0"/>
              <w:right w:val="single" w:color="auto" w:sz="4" w:space="0"/>
            </w:tcBorders>
            <w:vAlign w:val="center"/>
          </w:tcPr>
          <w:p w14:paraId="60817975">
            <w:pPr>
              <w:spacing w:line="312" w:lineRule="auto"/>
              <w:jc w:val="center"/>
              <w:rPr>
                <w:rFonts w:ascii="宋体" w:hAnsi="宋体" w:cs="宋体"/>
                <w:szCs w:val="21"/>
              </w:rPr>
            </w:pPr>
            <w:r>
              <w:rPr>
                <w:rFonts w:hint="eastAsia" w:ascii="宋体" w:hAnsi="宋体" w:cs="宋体"/>
                <w:szCs w:val="21"/>
              </w:rPr>
              <w:t>9</w:t>
            </w:r>
          </w:p>
        </w:tc>
        <w:tc>
          <w:tcPr>
            <w:tcW w:w="1367" w:type="dxa"/>
            <w:vMerge w:val="restart"/>
            <w:tcBorders>
              <w:top w:val="single" w:color="auto" w:sz="4" w:space="0"/>
              <w:left w:val="single" w:color="auto" w:sz="4" w:space="0"/>
              <w:right w:val="single" w:color="auto" w:sz="4" w:space="0"/>
            </w:tcBorders>
            <w:vAlign w:val="center"/>
          </w:tcPr>
          <w:p w14:paraId="3C41D85E">
            <w:pPr>
              <w:spacing w:line="312" w:lineRule="auto"/>
              <w:jc w:val="center"/>
              <w:rPr>
                <w:rFonts w:ascii="宋体" w:hAnsi="宋体" w:cs="宋体"/>
                <w:szCs w:val="21"/>
              </w:rPr>
            </w:pPr>
            <w:r>
              <w:rPr>
                <w:rFonts w:hint="eastAsia" w:ascii="宋体" w:hAnsi="宋体" w:cs="宋体"/>
                <w:szCs w:val="21"/>
              </w:rPr>
              <w:t>日常保洁、清扫方案</w:t>
            </w:r>
          </w:p>
        </w:tc>
        <w:tc>
          <w:tcPr>
            <w:tcW w:w="7014" w:type="dxa"/>
            <w:tcBorders>
              <w:top w:val="single" w:color="auto" w:sz="4" w:space="0"/>
              <w:left w:val="single" w:color="auto" w:sz="4" w:space="0"/>
              <w:right w:val="single" w:color="auto" w:sz="4" w:space="0"/>
            </w:tcBorders>
            <w:vAlign w:val="center"/>
          </w:tcPr>
          <w:p w14:paraId="2657D1BA">
            <w:pPr>
              <w:spacing w:line="312" w:lineRule="auto"/>
              <w:rPr>
                <w:rFonts w:ascii="宋体" w:hAnsi="宋体" w:cs="宋体"/>
                <w:szCs w:val="21"/>
              </w:rPr>
            </w:pPr>
            <w:r>
              <w:rPr>
                <w:rFonts w:hint="eastAsia" w:ascii="宋体" w:hAnsi="宋体" w:cs="宋体"/>
                <w:szCs w:val="21"/>
              </w:rPr>
              <w:t>（1）针对本项目的实际情况和特点，公厕保洁及河道保洁实施方案：作业计划、排班情况、操作可行性等。方案合理、贴合项目需求的得3分，有不合理的或者欠缺的每项扣0.5分，扣完为止。</w:t>
            </w:r>
          </w:p>
        </w:tc>
        <w:tc>
          <w:tcPr>
            <w:tcW w:w="975" w:type="dxa"/>
            <w:vMerge w:val="restart"/>
            <w:tcBorders>
              <w:top w:val="single" w:color="auto" w:sz="4" w:space="0"/>
              <w:left w:val="single" w:color="auto" w:sz="4" w:space="0"/>
              <w:right w:val="single" w:color="auto" w:sz="4" w:space="0"/>
            </w:tcBorders>
            <w:vAlign w:val="center"/>
          </w:tcPr>
          <w:p w14:paraId="7F283E55">
            <w:pPr>
              <w:spacing w:line="312" w:lineRule="auto"/>
              <w:jc w:val="center"/>
              <w:rPr>
                <w:rFonts w:ascii="宋体" w:hAnsi="宋体" w:cs="宋体"/>
                <w:szCs w:val="21"/>
              </w:rPr>
            </w:pPr>
            <w:r>
              <w:rPr>
                <w:rFonts w:hint="eastAsia" w:ascii="宋体" w:hAnsi="宋体" w:cs="宋体"/>
                <w:szCs w:val="21"/>
              </w:rPr>
              <w:t>0-12分</w:t>
            </w:r>
          </w:p>
        </w:tc>
      </w:tr>
      <w:tr w14:paraId="1426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98" w:type="dxa"/>
            <w:vMerge w:val="continue"/>
            <w:tcBorders>
              <w:top w:val="single" w:color="auto" w:sz="4" w:space="0"/>
              <w:left w:val="single" w:color="auto" w:sz="4" w:space="0"/>
              <w:right w:val="single" w:color="auto" w:sz="4" w:space="0"/>
            </w:tcBorders>
            <w:vAlign w:val="center"/>
          </w:tcPr>
          <w:p w14:paraId="1E026EFD"/>
        </w:tc>
        <w:tc>
          <w:tcPr>
            <w:tcW w:w="1367" w:type="dxa"/>
            <w:vMerge w:val="continue"/>
            <w:tcBorders>
              <w:top w:val="single" w:color="auto" w:sz="4" w:space="0"/>
              <w:left w:val="single" w:color="auto" w:sz="4" w:space="0"/>
              <w:right w:val="single" w:color="auto" w:sz="4" w:space="0"/>
            </w:tcBorders>
            <w:vAlign w:val="center"/>
          </w:tcPr>
          <w:p w14:paraId="10AFFD19"/>
        </w:tc>
        <w:tc>
          <w:tcPr>
            <w:tcW w:w="7014" w:type="dxa"/>
            <w:tcBorders>
              <w:top w:val="single" w:color="auto" w:sz="4" w:space="0"/>
              <w:left w:val="single" w:color="auto" w:sz="4" w:space="0"/>
              <w:right w:val="single" w:color="auto" w:sz="4" w:space="0"/>
            </w:tcBorders>
            <w:vAlign w:val="center"/>
          </w:tcPr>
          <w:p w14:paraId="6D61950E">
            <w:pPr>
              <w:spacing w:line="312" w:lineRule="auto"/>
              <w:rPr>
                <w:rFonts w:ascii="宋体" w:hAnsi="宋体" w:cs="宋体"/>
                <w:szCs w:val="21"/>
              </w:rPr>
            </w:pPr>
            <w:r>
              <w:rPr>
                <w:rFonts w:hint="eastAsia" w:ascii="宋体" w:hAnsi="宋体" w:cs="宋体"/>
                <w:szCs w:val="21"/>
              </w:rPr>
              <w:t>（2）针对本项目的实际情况和特点，道路保洁方案及垃圾桶清洁措施：作业计划、排班情况、操作可行性等。方案合理、贴合项目需求的得3分，有不合理的或者欠缺的每项扣0.5分，扣完为止。</w:t>
            </w:r>
          </w:p>
        </w:tc>
        <w:tc>
          <w:tcPr>
            <w:tcW w:w="975" w:type="dxa"/>
            <w:vMerge w:val="continue"/>
            <w:tcBorders>
              <w:top w:val="single" w:color="auto" w:sz="4" w:space="0"/>
              <w:left w:val="single" w:color="auto" w:sz="4" w:space="0"/>
              <w:right w:val="single" w:color="auto" w:sz="4" w:space="0"/>
            </w:tcBorders>
            <w:vAlign w:val="center"/>
          </w:tcPr>
          <w:p w14:paraId="416B8F2B"/>
        </w:tc>
      </w:tr>
      <w:tr w14:paraId="580D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8" w:type="dxa"/>
            <w:vMerge w:val="continue"/>
            <w:tcBorders>
              <w:top w:val="single" w:color="auto" w:sz="4" w:space="0"/>
              <w:left w:val="single" w:color="auto" w:sz="4" w:space="0"/>
              <w:right w:val="single" w:color="auto" w:sz="4" w:space="0"/>
            </w:tcBorders>
            <w:vAlign w:val="center"/>
          </w:tcPr>
          <w:p w14:paraId="6A8CD13B"/>
        </w:tc>
        <w:tc>
          <w:tcPr>
            <w:tcW w:w="1367" w:type="dxa"/>
            <w:vMerge w:val="continue"/>
            <w:tcBorders>
              <w:top w:val="single" w:color="auto" w:sz="4" w:space="0"/>
              <w:left w:val="single" w:color="auto" w:sz="4" w:space="0"/>
              <w:right w:val="single" w:color="auto" w:sz="4" w:space="0"/>
            </w:tcBorders>
            <w:vAlign w:val="center"/>
          </w:tcPr>
          <w:p w14:paraId="2BA48BED"/>
        </w:tc>
        <w:tc>
          <w:tcPr>
            <w:tcW w:w="7014" w:type="dxa"/>
            <w:tcBorders>
              <w:top w:val="single" w:color="auto" w:sz="4" w:space="0"/>
              <w:left w:val="single" w:color="auto" w:sz="4" w:space="0"/>
              <w:right w:val="single" w:color="auto" w:sz="4" w:space="0"/>
            </w:tcBorders>
            <w:vAlign w:val="center"/>
          </w:tcPr>
          <w:p w14:paraId="5C078FC6">
            <w:pPr>
              <w:spacing w:line="312" w:lineRule="auto"/>
              <w:rPr>
                <w:rFonts w:ascii="宋体" w:hAnsi="宋体" w:cs="宋体"/>
                <w:szCs w:val="21"/>
              </w:rPr>
            </w:pPr>
            <w:r>
              <w:rPr>
                <w:rFonts w:hint="eastAsia" w:ascii="宋体" w:hAnsi="宋体" w:cs="宋体"/>
                <w:szCs w:val="21"/>
              </w:rPr>
              <w:t>（3）针对本项目的实际情况和特点，绿化带保洁与中转站保洁方案：作业计划、排班情况、操作可行性等。方案合理、贴合项目需求的得3分，有不合理的或者欠缺的每项扣0.5分，扣完为止。</w:t>
            </w:r>
          </w:p>
        </w:tc>
        <w:tc>
          <w:tcPr>
            <w:tcW w:w="975" w:type="dxa"/>
            <w:vMerge w:val="continue"/>
            <w:tcBorders>
              <w:top w:val="single" w:color="auto" w:sz="4" w:space="0"/>
              <w:left w:val="single" w:color="auto" w:sz="4" w:space="0"/>
              <w:right w:val="single" w:color="auto" w:sz="4" w:space="0"/>
            </w:tcBorders>
            <w:vAlign w:val="center"/>
          </w:tcPr>
          <w:p w14:paraId="7E616DCC"/>
        </w:tc>
      </w:tr>
      <w:tr w14:paraId="4E47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98" w:type="dxa"/>
            <w:vMerge w:val="continue"/>
            <w:tcBorders>
              <w:top w:val="single" w:color="auto" w:sz="4" w:space="0"/>
              <w:left w:val="single" w:color="auto" w:sz="4" w:space="0"/>
              <w:right w:val="single" w:color="auto" w:sz="4" w:space="0"/>
            </w:tcBorders>
            <w:vAlign w:val="center"/>
          </w:tcPr>
          <w:p w14:paraId="3CBF0FB9"/>
        </w:tc>
        <w:tc>
          <w:tcPr>
            <w:tcW w:w="1367" w:type="dxa"/>
            <w:vMerge w:val="continue"/>
            <w:tcBorders>
              <w:top w:val="single" w:color="auto" w:sz="4" w:space="0"/>
              <w:left w:val="single" w:color="auto" w:sz="4" w:space="0"/>
              <w:right w:val="single" w:color="auto" w:sz="4" w:space="0"/>
            </w:tcBorders>
            <w:vAlign w:val="center"/>
          </w:tcPr>
          <w:p w14:paraId="6C8DB6C7"/>
        </w:tc>
        <w:tc>
          <w:tcPr>
            <w:tcW w:w="7014" w:type="dxa"/>
            <w:tcBorders>
              <w:top w:val="single" w:color="auto" w:sz="4" w:space="0"/>
              <w:left w:val="single" w:color="auto" w:sz="4" w:space="0"/>
              <w:right w:val="single" w:color="auto" w:sz="4" w:space="0"/>
            </w:tcBorders>
            <w:vAlign w:val="center"/>
          </w:tcPr>
          <w:p w14:paraId="7788CF2D">
            <w:pPr>
              <w:spacing w:line="312" w:lineRule="auto"/>
              <w:rPr>
                <w:rFonts w:ascii="宋体" w:hAnsi="宋体" w:cs="宋体"/>
                <w:szCs w:val="21"/>
              </w:rPr>
            </w:pPr>
            <w:r>
              <w:rPr>
                <w:rFonts w:hint="eastAsia" w:ascii="宋体" w:hAnsi="宋体" w:cs="宋体"/>
                <w:szCs w:val="21"/>
              </w:rPr>
              <w:t>（4）针对本项目的实际情况和特点，小广告保洁方案及解决措施：作业计划、排班情况、操作可行性等。方案合理、贴合项目需求的得3分，有不合理的或者欠缺的每项扣0.5分，扣完为止。</w:t>
            </w:r>
          </w:p>
        </w:tc>
        <w:tc>
          <w:tcPr>
            <w:tcW w:w="975" w:type="dxa"/>
            <w:vMerge w:val="continue"/>
            <w:tcBorders>
              <w:top w:val="single" w:color="auto" w:sz="4" w:space="0"/>
              <w:left w:val="single" w:color="auto" w:sz="4" w:space="0"/>
              <w:right w:val="single" w:color="auto" w:sz="4" w:space="0"/>
            </w:tcBorders>
            <w:vAlign w:val="center"/>
          </w:tcPr>
          <w:p w14:paraId="2545A468"/>
        </w:tc>
      </w:tr>
      <w:tr w14:paraId="139F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98" w:type="dxa"/>
            <w:vMerge w:val="restart"/>
            <w:tcBorders>
              <w:top w:val="single" w:color="auto" w:sz="4" w:space="0"/>
              <w:left w:val="single" w:color="auto" w:sz="4" w:space="0"/>
              <w:right w:val="single" w:color="auto" w:sz="4" w:space="0"/>
            </w:tcBorders>
            <w:vAlign w:val="center"/>
          </w:tcPr>
          <w:p w14:paraId="61B989F1">
            <w:pPr>
              <w:spacing w:line="312" w:lineRule="auto"/>
              <w:jc w:val="center"/>
              <w:rPr>
                <w:rFonts w:ascii="宋体" w:hAnsi="宋体" w:cs="宋体"/>
                <w:szCs w:val="21"/>
              </w:rPr>
            </w:pPr>
            <w:r>
              <w:rPr>
                <w:rFonts w:hint="eastAsia" w:ascii="宋体" w:hAnsi="宋体" w:cs="宋体"/>
                <w:szCs w:val="21"/>
              </w:rPr>
              <w:t>10</w:t>
            </w:r>
          </w:p>
        </w:tc>
        <w:tc>
          <w:tcPr>
            <w:tcW w:w="1367" w:type="dxa"/>
            <w:vMerge w:val="restart"/>
            <w:tcBorders>
              <w:top w:val="single" w:color="auto" w:sz="4" w:space="0"/>
              <w:left w:val="single" w:color="auto" w:sz="4" w:space="0"/>
              <w:right w:val="single" w:color="auto" w:sz="4" w:space="0"/>
            </w:tcBorders>
            <w:vAlign w:val="center"/>
          </w:tcPr>
          <w:p w14:paraId="3FD36153">
            <w:pPr>
              <w:spacing w:line="312" w:lineRule="auto"/>
              <w:jc w:val="center"/>
              <w:rPr>
                <w:rFonts w:ascii="宋体" w:hAnsi="宋体" w:cs="宋体"/>
                <w:szCs w:val="21"/>
              </w:rPr>
            </w:pPr>
            <w:r>
              <w:rPr>
                <w:rFonts w:hint="eastAsia" w:ascii="宋体" w:hAnsi="宋体" w:cs="宋体"/>
                <w:szCs w:val="21"/>
              </w:rPr>
              <w:t>垃圾分类</w:t>
            </w:r>
          </w:p>
        </w:tc>
        <w:tc>
          <w:tcPr>
            <w:tcW w:w="7014" w:type="dxa"/>
            <w:tcBorders>
              <w:top w:val="single" w:color="auto" w:sz="4" w:space="0"/>
              <w:left w:val="single" w:color="auto" w:sz="4" w:space="0"/>
              <w:right w:val="single" w:color="auto" w:sz="4" w:space="0"/>
            </w:tcBorders>
            <w:vAlign w:val="center"/>
          </w:tcPr>
          <w:p w14:paraId="1752EB5D">
            <w:pPr>
              <w:spacing w:line="312" w:lineRule="auto"/>
              <w:rPr>
                <w:rFonts w:ascii="宋体" w:hAnsi="宋体" w:cs="宋体"/>
                <w:szCs w:val="21"/>
              </w:rPr>
            </w:pPr>
            <w:r>
              <w:rPr>
                <w:rFonts w:hint="eastAsia" w:ascii="宋体" w:hAnsi="宋体" w:cs="宋体"/>
                <w:szCs w:val="21"/>
              </w:rPr>
              <w:t>（1）针对本项目的实际情况和特点，依据供应商提供的垃圾分类（宣传活动、可回收物二次分拣、有害垃圾清运处置等）及具体实施方案评分，方案合理、贴合项目需求的得4分，有不合理的或者欠缺的每项扣0.5分，扣完为止。</w:t>
            </w:r>
          </w:p>
        </w:tc>
        <w:tc>
          <w:tcPr>
            <w:tcW w:w="975" w:type="dxa"/>
            <w:vMerge w:val="restart"/>
            <w:tcBorders>
              <w:top w:val="single" w:color="auto" w:sz="4" w:space="0"/>
              <w:left w:val="single" w:color="auto" w:sz="4" w:space="0"/>
              <w:right w:val="single" w:color="auto" w:sz="4" w:space="0"/>
            </w:tcBorders>
            <w:vAlign w:val="center"/>
          </w:tcPr>
          <w:p w14:paraId="5CF0477C">
            <w:pPr>
              <w:spacing w:line="312" w:lineRule="auto"/>
              <w:jc w:val="center"/>
              <w:rPr>
                <w:rFonts w:ascii="宋体" w:hAnsi="宋体" w:cs="宋体"/>
                <w:szCs w:val="21"/>
              </w:rPr>
            </w:pPr>
            <w:r>
              <w:rPr>
                <w:rFonts w:hint="eastAsia" w:ascii="宋体" w:hAnsi="宋体" w:cs="宋体"/>
                <w:szCs w:val="21"/>
              </w:rPr>
              <w:t>0-6分</w:t>
            </w:r>
          </w:p>
        </w:tc>
      </w:tr>
      <w:tr w14:paraId="1BFD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98" w:type="dxa"/>
            <w:vMerge w:val="continue"/>
            <w:tcBorders>
              <w:top w:val="single" w:color="auto" w:sz="4" w:space="0"/>
              <w:left w:val="single" w:color="auto" w:sz="4" w:space="0"/>
              <w:right w:val="single" w:color="auto" w:sz="4" w:space="0"/>
            </w:tcBorders>
            <w:vAlign w:val="center"/>
          </w:tcPr>
          <w:p w14:paraId="057164F9"/>
        </w:tc>
        <w:tc>
          <w:tcPr>
            <w:tcW w:w="1367" w:type="dxa"/>
            <w:vMerge w:val="continue"/>
            <w:tcBorders>
              <w:top w:val="single" w:color="auto" w:sz="4" w:space="0"/>
              <w:left w:val="single" w:color="auto" w:sz="4" w:space="0"/>
              <w:right w:val="single" w:color="auto" w:sz="4" w:space="0"/>
            </w:tcBorders>
            <w:vAlign w:val="center"/>
          </w:tcPr>
          <w:p w14:paraId="32B72F61"/>
        </w:tc>
        <w:tc>
          <w:tcPr>
            <w:tcW w:w="7014" w:type="dxa"/>
            <w:tcBorders>
              <w:top w:val="single" w:color="auto" w:sz="4" w:space="0"/>
              <w:left w:val="single" w:color="auto" w:sz="4" w:space="0"/>
              <w:right w:val="single" w:color="auto" w:sz="4" w:space="0"/>
            </w:tcBorders>
            <w:vAlign w:val="center"/>
          </w:tcPr>
          <w:p w14:paraId="2E2A7E75">
            <w:pPr>
              <w:spacing w:line="312" w:lineRule="auto"/>
              <w:rPr>
                <w:rFonts w:ascii="宋体" w:hAnsi="宋体" w:cs="宋体"/>
                <w:szCs w:val="21"/>
              </w:rPr>
            </w:pPr>
            <w:r>
              <w:rPr>
                <w:rFonts w:hint="eastAsia" w:ascii="宋体" w:hAnsi="宋体" w:cs="宋体"/>
                <w:szCs w:val="21"/>
              </w:rPr>
              <w:t>（2）供应商投入垃圾分类回收软件平台的得2分。</w:t>
            </w:r>
          </w:p>
          <w:p w14:paraId="33BC0C27">
            <w:pPr>
              <w:spacing w:line="312" w:lineRule="auto"/>
              <w:rPr>
                <w:rFonts w:ascii="宋体" w:hAnsi="宋体" w:cs="宋体"/>
                <w:szCs w:val="21"/>
              </w:rPr>
            </w:pPr>
            <w:r>
              <w:rPr>
                <w:rFonts w:hint="eastAsia" w:ascii="宋体" w:hAnsi="宋体" w:cs="宋体"/>
                <w:b/>
                <w:bCs/>
                <w:szCs w:val="21"/>
              </w:rPr>
              <w:t>注：提供相关证明材料（证明材料包括：①</w:t>
            </w:r>
            <w:r>
              <w:rPr>
                <w:rFonts w:hint="eastAsia" w:ascii="宋体" w:hAnsi="宋体" w:cs="宋体"/>
                <w:b/>
                <w:bCs/>
                <w:szCs w:val="21"/>
                <w:lang w:val="zh-CN"/>
              </w:rPr>
              <w:t>用户</w:t>
            </w:r>
            <w:r>
              <w:rPr>
                <w:rFonts w:hint="eastAsia" w:ascii="宋体" w:hAnsi="宋体" w:cs="宋体"/>
                <w:b/>
                <w:bCs/>
                <w:szCs w:val="21"/>
              </w:rPr>
              <w:t>手机可</w:t>
            </w:r>
            <w:r>
              <w:rPr>
                <w:rFonts w:hint="eastAsia" w:ascii="宋体" w:hAnsi="宋体" w:cs="宋体"/>
                <w:b/>
                <w:bCs/>
                <w:szCs w:val="21"/>
                <w:lang w:val="zh-CN"/>
              </w:rPr>
              <w:t>下单，</w:t>
            </w:r>
            <w:r>
              <w:rPr>
                <w:rFonts w:hint="eastAsia" w:ascii="宋体" w:hAnsi="宋体" w:cs="宋体"/>
                <w:b/>
                <w:bCs/>
                <w:szCs w:val="21"/>
              </w:rPr>
              <w:t>②免费预约</w:t>
            </w:r>
            <w:r>
              <w:rPr>
                <w:rFonts w:hint="eastAsia" w:ascii="宋体" w:hAnsi="宋体" w:cs="宋体"/>
                <w:b/>
                <w:bCs/>
                <w:szCs w:val="21"/>
                <w:lang w:val="zh-CN"/>
              </w:rPr>
              <w:t>上门</w:t>
            </w:r>
            <w:r>
              <w:rPr>
                <w:rFonts w:hint="eastAsia" w:ascii="宋体" w:hAnsi="宋体" w:cs="宋体"/>
                <w:b/>
                <w:bCs/>
                <w:szCs w:val="21"/>
              </w:rPr>
              <w:t>服务</w:t>
            </w:r>
            <w:r>
              <w:rPr>
                <w:rFonts w:hint="eastAsia" w:ascii="宋体" w:hAnsi="宋体" w:cs="宋体"/>
                <w:b/>
                <w:bCs/>
                <w:szCs w:val="21"/>
                <w:lang w:val="zh-CN"/>
              </w:rPr>
              <w:t>，</w:t>
            </w:r>
            <w:r>
              <w:rPr>
                <w:rFonts w:hint="eastAsia" w:ascii="宋体" w:hAnsi="宋体" w:cs="宋体"/>
                <w:b/>
                <w:bCs/>
                <w:szCs w:val="21"/>
              </w:rPr>
              <w:t>③用户端可实时查看订单状态及相关数据，④平台垃圾</w:t>
            </w:r>
            <w:r>
              <w:rPr>
                <w:rFonts w:hint="eastAsia" w:ascii="宋体" w:hAnsi="宋体" w:cs="宋体"/>
                <w:b/>
                <w:bCs/>
                <w:szCs w:val="21"/>
                <w:lang w:val="zh-CN"/>
              </w:rPr>
              <w:t>分类方法</w:t>
            </w:r>
            <w:r>
              <w:rPr>
                <w:rFonts w:hint="eastAsia" w:ascii="宋体" w:hAnsi="宋体" w:cs="宋体"/>
                <w:b/>
                <w:bCs/>
                <w:szCs w:val="21"/>
              </w:rPr>
              <w:t>及积分兑换方式。）或承诺函加盖公章，否则不得分。</w:t>
            </w:r>
          </w:p>
        </w:tc>
        <w:tc>
          <w:tcPr>
            <w:tcW w:w="975" w:type="dxa"/>
            <w:vMerge w:val="continue"/>
            <w:tcBorders>
              <w:top w:val="single" w:color="auto" w:sz="4" w:space="0"/>
              <w:left w:val="single" w:color="auto" w:sz="4" w:space="0"/>
              <w:right w:val="single" w:color="auto" w:sz="4" w:space="0"/>
            </w:tcBorders>
            <w:vAlign w:val="center"/>
          </w:tcPr>
          <w:p w14:paraId="0F427699"/>
        </w:tc>
      </w:tr>
      <w:tr w14:paraId="287F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98" w:type="dxa"/>
            <w:tcBorders>
              <w:top w:val="single" w:color="auto" w:sz="4" w:space="0"/>
              <w:left w:val="single" w:color="auto" w:sz="4" w:space="0"/>
              <w:right w:val="single" w:color="auto" w:sz="4" w:space="0"/>
            </w:tcBorders>
            <w:vAlign w:val="center"/>
          </w:tcPr>
          <w:p w14:paraId="68B960CE">
            <w:pPr>
              <w:spacing w:line="312" w:lineRule="auto"/>
              <w:jc w:val="center"/>
              <w:rPr>
                <w:rFonts w:ascii="宋体" w:hAnsi="宋体" w:cs="宋体"/>
                <w:szCs w:val="21"/>
              </w:rPr>
            </w:pPr>
            <w:r>
              <w:rPr>
                <w:rFonts w:hint="eastAsia" w:ascii="宋体" w:hAnsi="宋体" w:cs="宋体"/>
                <w:szCs w:val="21"/>
              </w:rPr>
              <w:t>11</w:t>
            </w:r>
          </w:p>
        </w:tc>
        <w:tc>
          <w:tcPr>
            <w:tcW w:w="1367" w:type="dxa"/>
            <w:tcBorders>
              <w:top w:val="single" w:color="auto" w:sz="4" w:space="0"/>
              <w:left w:val="single" w:color="auto" w:sz="4" w:space="0"/>
              <w:right w:val="single" w:color="auto" w:sz="4" w:space="0"/>
            </w:tcBorders>
            <w:vAlign w:val="center"/>
          </w:tcPr>
          <w:p w14:paraId="33C4A093">
            <w:pPr>
              <w:spacing w:line="312" w:lineRule="auto"/>
              <w:jc w:val="center"/>
              <w:rPr>
                <w:rFonts w:ascii="宋体" w:hAnsi="宋体" w:cs="宋体"/>
                <w:szCs w:val="21"/>
              </w:rPr>
            </w:pPr>
            <w:r>
              <w:rPr>
                <w:rFonts w:hint="eastAsia" w:ascii="宋体" w:hAnsi="宋体" w:cs="宋体"/>
                <w:bCs/>
                <w:kern w:val="0"/>
                <w:szCs w:val="21"/>
              </w:rPr>
              <w:t>安全文明作业方案及措施</w:t>
            </w:r>
          </w:p>
        </w:tc>
        <w:tc>
          <w:tcPr>
            <w:tcW w:w="7014" w:type="dxa"/>
            <w:tcBorders>
              <w:top w:val="single" w:color="auto" w:sz="4" w:space="0"/>
              <w:left w:val="single" w:color="auto" w:sz="4" w:space="0"/>
              <w:right w:val="single" w:color="auto" w:sz="4" w:space="0"/>
            </w:tcBorders>
            <w:vAlign w:val="center"/>
          </w:tcPr>
          <w:p w14:paraId="2FFDAA8D">
            <w:pPr>
              <w:spacing w:line="312" w:lineRule="auto"/>
              <w:rPr>
                <w:rFonts w:ascii="宋体" w:hAnsi="宋体" w:cs="宋体"/>
                <w:szCs w:val="21"/>
              </w:rPr>
            </w:pPr>
            <w:r>
              <w:rPr>
                <w:rFonts w:hint="eastAsia" w:ascii="宋体" w:hAnsi="宋体" w:cs="宋体"/>
                <w:szCs w:val="21"/>
              </w:rPr>
              <w:t>针对本项目的实际情况和特点，根据供应商提供的安全文明作业方案及措施进行打分，对上述内容完全符合得4分，有不合理的或者欠缺的每项扣0.5分，扣完为止。</w:t>
            </w:r>
          </w:p>
        </w:tc>
        <w:tc>
          <w:tcPr>
            <w:tcW w:w="975" w:type="dxa"/>
            <w:tcBorders>
              <w:top w:val="single" w:color="auto" w:sz="4" w:space="0"/>
              <w:left w:val="single" w:color="auto" w:sz="4" w:space="0"/>
              <w:right w:val="single" w:color="auto" w:sz="4" w:space="0"/>
            </w:tcBorders>
            <w:vAlign w:val="center"/>
          </w:tcPr>
          <w:p w14:paraId="05DB807E">
            <w:pPr>
              <w:spacing w:line="312" w:lineRule="auto"/>
              <w:jc w:val="center"/>
              <w:rPr>
                <w:rFonts w:ascii="宋体" w:hAnsi="宋体" w:cs="宋体"/>
                <w:szCs w:val="21"/>
              </w:rPr>
            </w:pPr>
            <w:r>
              <w:rPr>
                <w:rFonts w:hint="eastAsia" w:ascii="宋体" w:hAnsi="宋体" w:cs="宋体"/>
                <w:szCs w:val="21"/>
              </w:rPr>
              <w:t>0-4分</w:t>
            </w:r>
          </w:p>
        </w:tc>
      </w:tr>
      <w:tr w14:paraId="076E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698" w:type="dxa"/>
            <w:tcBorders>
              <w:top w:val="single" w:color="auto" w:sz="4" w:space="0"/>
              <w:left w:val="single" w:color="auto" w:sz="4" w:space="0"/>
              <w:right w:val="single" w:color="auto" w:sz="4" w:space="0"/>
            </w:tcBorders>
            <w:vAlign w:val="center"/>
          </w:tcPr>
          <w:p w14:paraId="33F45644">
            <w:pPr>
              <w:spacing w:line="312" w:lineRule="auto"/>
              <w:jc w:val="center"/>
              <w:rPr>
                <w:rFonts w:ascii="宋体" w:hAnsi="宋体" w:cs="宋体"/>
                <w:szCs w:val="21"/>
              </w:rPr>
            </w:pPr>
            <w:r>
              <w:rPr>
                <w:rFonts w:hint="eastAsia" w:ascii="宋体" w:hAnsi="宋体" w:cs="宋体"/>
                <w:szCs w:val="21"/>
              </w:rPr>
              <w:t>12</w:t>
            </w:r>
          </w:p>
        </w:tc>
        <w:tc>
          <w:tcPr>
            <w:tcW w:w="1367" w:type="dxa"/>
            <w:tcBorders>
              <w:top w:val="single" w:color="auto" w:sz="4" w:space="0"/>
              <w:left w:val="single" w:color="auto" w:sz="4" w:space="0"/>
              <w:right w:val="single" w:color="auto" w:sz="4" w:space="0"/>
            </w:tcBorders>
            <w:vAlign w:val="center"/>
          </w:tcPr>
          <w:p w14:paraId="2627FF66">
            <w:pPr>
              <w:spacing w:line="312" w:lineRule="auto"/>
              <w:jc w:val="center"/>
              <w:rPr>
                <w:rFonts w:ascii="宋体" w:hAnsi="宋体" w:cs="宋体"/>
                <w:bCs/>
                <w:kern w:val="0"/>
                <w:szCs w:val="21"/>
              </w:rPr>
            </w:pPr>
            <w:r>
              <w:rPr>
                <w:rFonts w:hint="eastAsia" w:ascii="宋体" w:hAnsi="宋体" w:cs="宋体"/>
                <w:bCs/>
                <w:kern w:val="0"/>
                <w:szCs w:val="21"/>
              </w:rPr>
              <w:t>突发事件的响应、处理方案及处理能力</w:t>
            </w:r>
          </w:p>
        </w:tc>
        <w:tc>
          <w:tcPr>
            <w:tcW w:w="7014" w:type="dxa"/>
            <w:tcBorders>
              <w:top w:val="single" w:color="auto" w:sz="4" w:space="0"/>
              <w:left w:val="single" w:color="auto" w:sz="4" w:space="0"/>
              <w:right w:val="single" w:color="auto" w:sz="4" w:space="0"/>
            </w:tcBorders>
            <w:vAlign w:val="center"/>
          </w:tcPr>
          <w:p w14:paraId="431E6EBE">
            <w:pPr>
              <w:spacing w:line="312" w:lineRule="auto"/>
              <w:rPr>
                <w:rFonts w:ascii="宋体" w:hAnsi="宋体" w:cs="宋体"/>
                <w:szCs w:val="21"/>
              </w:rPr>
            </w:pPr>
            <w:r>
              <w:rPr>
                <w:rFonts w:hint="eastAsia" w:ascii="宋体" w:hAnsi="宋体" w:cs="宋体"/>
                <w:szCs w:val="21"/>
              </w:rPr>
              <w:t>具备重大活动应急管理经验，应对突发事情（包括但不限于重大活动、公共卫生突发事件、自然灾害、应急救援组织建设、应急救援经验等）的响应及处理方案的科学性、合理性、可操作性及高效性，具备一定的处理能力及经验进行打分，对上述内容完全符合得5分，有不合理的或者欠缺的每项扣1分，扣完为止。</w:t>
            </w:r>
          </w:p>
        </w:tc>
        <w:tc>
          <w:tcPr>
            <w:tcW w:w="975" w:type="dxa"/>
            <w:tcBorders>
              <w:top w:val="single" w:color="auto" w:sz="4" w:space="0"/>
              <w:left w:val="single" w:color="auto" w:sz="4" w:space="0"/>
              <w:right w:val="single" w:color="auto" w:sz="4" w:space="0"/>
            </w:tcBorders>
            <w:vAlign w:val="center"/>
          </w:tcPr>
          <w:p w14:paraId="20E98BA7">
            <w:pPr>
              <w:spacing w:line="312" w:lineRule="auto"/>
              <w:jc w:val="center"/>
              <w:rPr>
                <w:rFonts w:ascii="宋体" w:hAnsi="宋体" w:cs="宋体"/>
                <w:szCs w:val="21"/>
              </w:rPr>
            </w:pPr>
            <w:r>
              <w:rPr>
                <w:rFonts w:hint="eastAsia" w:ascii="宋体" w:hAnsi="宋体" w:cs="宋体"/>
                <w:szCs w:val="21"/>
              </w:rPr>
              <w:t>0-5分</w:t>
            </w:r>
          </w:p>
        </w:tc>
      </w:tr>
      <w:tr w14:paraId="3C7D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98" w:type="dxa"/>
            <w:tcBorders>
              <w:top w:val="single" w:color="auto" w:sz="4" w:space="0"/>
              <w:left w:val="single" w:color="auto" w:sz="4" w:space="0"/>
              <w:right w:val="single" w:color="auto" w:sz="4" w:space="0"/>
            </w:tcBorders>
            <w:vAlign w:val="center"/>
          </w:tcPr>
          <w:p w14:paraId="3DB62C0D">
            <w:pPr>
              <w:spacing w:line="312" w:lineRule="auto"/>
              <w:jc w:val="center"/>
              <w:rPr>
                <w:rFonts w:ascii="宋体" w:hAnsi="宋体" w:cs="宋体"/>
                <w:szCs w:val="21"/>
              </w:rPr>
            </w:pPr>
            <w:r>
              <w:rPr>
                <w:rFonts w:hint="eastAsia" w:ascii="宋体" w:hAnsi="宋体" w:cs="宋体"/>
                <w:szCs w:val="21"/>
              </w:rPr>
              <w:t>13</w:t>
            </w:r>
          </w:p>
        </w:tc>
        <w:tc>
          <w:tcPr>
            <w:tcW w:w="1367" w:type="dxa"/>
            <w:tcBorders>
              <w:top w:val="single" w:color="auto" w:sz="4" w:space="0"/>
              <w:left w:val="single" w:color="auto" w:sz="4" w:space="0"/>
              <w:right w:val="single" w:color="auto" w:sz="4" w:space="0"/>
            </w:tcBorders>
            <w:vAlign w:val="center"/>
          </w:tcPr>
          <w:p w14:paraId="1AB646AB">
            <w:pPr>
              <w:spacing w:line="312" w:lineRule="auto"/>
              <w:jc w:val="center"/>
              <w:rPr>
                <w:rFonts w:ascii="宋体" w:hAnsi="宋体" w:cs="宋体"/>
                <w:szCs w:val="21"/>
              </w:rPr>
            </w:pPr>
            <w:r>
              <w:rPr>
                <w:rFonts w:hint="eastAsia" w:ascii="宋体" w:hAnsi="宋体" w:cs="宋体"/>
                <w:szCs w:val="21"/>
              </w:rPr>
              <w:t>后勤服务保障</w:t>
            </w:r>
          </w:p>
        </w:tc>
        <w:tc>
          <w:tcPr>
            <w:tcW w:w="7014" w:type="dxa"/>
            <w:tcBorders>
              <w:top w:val="single" w:color="auto" w:sz="4" w:space="0"/>
              <w:left w:val="single" w:color="auto" w:sz="4" w:space="0"/>
              <w:right w:val="single" w:color="auto" w:sz="4" w:space="0"/>
            </w:tcBorders>
            <w:vAlign w:val="center"/>
          </w:tcPr>
          <w:p w14:paraId="633B9267">
            <w:pPr>
              <w:spacing w:line="312" w:lineRule="auto"/>
              <w:rPr>
                <w:rFonts w:ascii="宋体" w:hAnsi="宋体" w:cs="宋体"/>
                <w:szCs w:val="21"/>
              </w:rPr>
            </w:pPr>
            <w:r>
              <w:rPr>
                <w:rFonts w:hint="eastAsia" w:ascii="宋体" w:hAnsi="宋体" w:cs="宋体"/>
                <w:szCs w:val="21"/>
              </w:rPr>
              <w:t>根据供应商的配备管理机构、管理人员办公室、车辆停放点、车辆维修点等后勤保障措施，能切实保障本项目实施、管理及采购人监管。对上述内容完全符合的得3分，有不合理的或者欠缺的每项扣0.5分，扣完为止。</w:t>
            </w:r>
          </w:p>
        </w:tc>
        <w:tc>
          <w:tcPr>
            <w:tcW w:w="975" w:type="dxa"/>
            <w:tcBorders>
              <w:top w:val="single" w:color="auto" w:sz="4" w:space="0"/>
              <w:left w:val="single" w:color="auto" w:sz="4" w:space="0"/>
              <w:right w:val="single" w:color="auto" w:sz="4" w:space="0"/>
            </w:tcBorders>
            <w:vAlign w:val="center"/>
          </w:tcPr>
          <w:p w14:paraId="121B2987">
            <w:pPr>
              <w:spacing w:line="312" w:lineRule="auto"/>
              <w:jc w:val="center"/>
              <w:rPr>
                <w:rFonts w:ascii="宋体" w:hAnsi="宋体" w:cs="宋体"/>
                <w:szCs w:val="21"/>
              </w:rPr>
            </w:pPr>
            <w:r>
              <w:rPr>
                <w:rFonts w:hint="eastAsia" w:ascii="宋体" w:hAnsi="宋体" w:cs="宋体"/>
                <w:szCs w:val="21"/>
              </w:rPr>
              <w:t>0-3分</w:t>
            </w:r>
          </w:p>
        </w:tc>
      </w:tr>
      <w:tr w14:paraId="7377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98" w:type="dxa"/>
            <w:tcBorders>
              <w:top w:val="single" w:color="auto" w:sz="4" w:space="0"/>
              <w:left w:val="single" w:color="auto" w:sz="4" w:space="0"/>
              <w:right w:val="single" w:color="auto" w:sz="4" w:space="0"/>
            </w:tcBorders>
            <w:vAlign w:val="center"/>
          </w:tcPr>
          <w:p w14:paraId="60AEFFDC">
            <w:pPr>
              <w:spacing w:line="312" w:lineRule="auto"/>
              <w:jc w:val="center"/>
              <w:rPr>
                <w:rFonts w:ascii="宋体" w:hAnsi="宋体" w:cs="宋体"/>
                <w:szCs w:val="21"/>
              </w:rPr>
            </w:pPr>
            <w:r>
              <w:rPr>
                <w:rFonts w:hint="eastAsia" w:ascii="宋体" w:hAnsi="宋体" w:cs="宋体"/>
                <w:szCs w:val="21"/>
              </w:rPr>
              <w:t>14</w:t>
            </w:r>
          </w:p>
        </w:tc>
        <w:tc>
          <w:tcPr>
            <w:tcW w:w="1367" w:type="dxa"/>
            <w:tcBorders>
              <w:top w:val="single" w:color="auto" w:sz="4" w:space="0"/>
              <w:left w:val="single" w:color="auto" w:sz="4" w:space="0"/>
              <w:right w:val="single" w:color="auto" w:sz="4" w:space="0"/>
            </w:tcBorders>
            <w:vAlign w:val="center"/>
          </w:tcPr>
          <w:p w14:paraId="1CE165F2">
            <w:pPr>
              <w:spacing w:line="312" w:lineRule="auto"/>
              <w:jc w:val="center"/>
              <w:rPr>
                <w:rFonts w:ascii="宋体" w:hAnsi="宋体" w:cs="宋体"/>
                <w:szCs w:val="21"/>
              </w:rPr>
            </w:pPr>
            <w:r>
              <w:rPr>
                <w:rFonts w:hint="eastAsia" w:ascii="宋体" w:hAnsi="宋体" w:cs="宋体"/>
                <w:szCs w:val="21"/>
              </w:rPr>
              <w:t>进场交接方案</w:t>
            </w:r>
          </w:p>
        </w:tc>
        <w:tc>
          <w:tcPr>
            <w:tcW w:w="7014" w:type="dxa"/>
            <w:tcBorders>
              <w:top w:val="single" w:color="auto" w:sz="4" w:space="0"/>
              <w:left w:val="single" w:color="auto" w:sz="4" w:space="0"/>
              <w:right w:val="single" w:color="auto" w:sz="4" w:space="0"/>
            </w:tcBorders>
            <w:vAlign w:val="center"/>
          </w:tcPr>
          <w:p w14:paraId="627BEB43">
            <w:pPr>
              <w:spacing w:line="312" w:lineRule="auto"/>
              <w:rPr>
                <w:rFonts w:ascii="宋体" w:hAnsi="宋体" w:cs="宋体"/>
                <w:szCs w:val="21"/>
              </w:rPr>
            </w:pPr>
            <w:r>
              <w:rPr>
                <w:rFonts w:hint="eastAsia" w:ascii="宋体" w:hAnsi="宋体" w:cs="宋体"/>
                <w:szCs w:val="21"/>
              </w:rPr>
              <w:t>根据供应商针对本项目的进场交接方案，为保障项目顺利交接和及时进场所制定的交接落实计划（含与采购单位及原运营单位的交接）的合理性、科学性。对上述内容完全符合的得3分，有不合理的或者欠缺的每项扣0.5分，扣完为止。</w:t>
            </w:r>
          </w:p>
        </w:tc>
        <w:tc>
          <w:tcPr>
            <w:tcW w:w="975" w:type="dxa"/>
            <w:tcBorders>
              <w:top w:val="single" w:color="auto" w:sz="4" w:space="0"/>
              <w:left w:val="single" w:color="auto" w:sz="4" w:space="0"/>
              <w:right w:val="single" w:color="auto" w:sz="4" w:space="0"/>
            </w:tcBorders>
            <w:vAlign w:val="center"/>
          </w:tcPr>
          <w:p w14:paraId="069CB4AC">
            <w:pPr>
              <w:spacing w:line="312" w:lineRule="auto"/>
              <w:jc w:val="center"/>
              <w:rPr>
                <w:rFonts w:ascii="宋体" w:hAnsi="宋体" w:cs="宋体"/>
                <w:szCs w:val="21"/>
              </w:rPr>
            </w:pPr>
            <w:r>
              <w:rPr>
                <w:rFonts w:hint="eastAsia" w:ascii="宋体" w:hAnsi="宋体" w:cs="宋体"/>
                <w:szCs w:val="21"/>
              </w:rPr>
              <w:t>0-3分</w:t>
            </w:r>
          </w:p>
        </w:tc>
      </w:tr>
    </w:tbl>
    <w:p w14:paraId="43058FC5">
      <w:pPr>
        <w:pStyle w:val="3"/>
        <w:jc w:val="center"/>
        <w:rPr>
          <w:b/>
          <w:bCs/>
          <w:sz w:val="22"/>
          <w:szCs w:val="22"/>
        </w:rPr>
      </w:pPr>
      <w:r>
        <w:rPr>
          <w:rFonts w:hint="eastAsia"/>
          <w:b/>
          <w:bCs/>
          <w:sz w:val="22"/>
          <w:szCs w:val="22"/>
        </w:rPr>
        <w:t>五、说明</w:t>
      </w:r>
    </w:p>
    <w:p w14:paraId="10A00BD2">
      <w:pPr>
        <w:pStyle w:val="3"/>
        <w:ind w:firstLine="440" w:firstLineChars="200"/>
        <w:jc w:val="left"/>
        <w:rPr>
          <w:sz w:val="22"/>
          <w:szCs w:val="22"/>
        </w:rPr>
      </w:pPr>
      <w:r>
        <w:rPr>
          <w:sz w:val="22"/>
          <w:szCs w:val="22"/>
        </w:rPr>
        <w:t>1</w:t>
      </w:r>
      <w:r>
        <w:rPr>
          <w:rFonts w:hint="eastAsia"/>
          <w:sz w:val="22"/>
          <w:szCs w:val="22"/>
        </w:rPr>
        <w:t>、竞争性磋商小组推荐综合得分第一名的供应商为成交供应商，（如果得分相同，以报价低的优先；报价也相同，以抽签决定，并编写采购报告。）</w:t>
      </w:r>
    </w:p>
    <w:p w14:paraId="5BC1D30D">
      <w:pPr>
        <w:pStyle w:val="3"/>
        <w:ind w:firstLine="440" w:firstLineChars="200"/>
        <w:jc w:val="left"/>
        <w:rPr>
          <w:sz w:val="22"/>
          <w:szCs w:val="22"/>
        </w:rPr>
      </w:pPr>
      <w:r>
        <w:rPr>
          <w:sz w:val="22"/>
          <w:szCs w:val="22"/>
        </w:rPr>
        <w:t>2</w:t>
      </w:r>
      <w:r>
        <w:rPr>
          <w:rFonts w:hint="eastAsia"/>
          <w:sz w:val="22"/>
          <w:szCs w:val="22"/>
        </w:rPr>
        <w:t>、所有分值计算保留小数点后二位，小数点后三位四舍五入。</w:t>
      </w:r>
    </w:p>
    <w:p w14:paraId="317B8EBF">
      <w:pPr>
        <w:pStyle w:val="3"/>
        <w:ind w:firstLine="440" w:firstLineChars="200"/>
        <w:jc w:val="left"/>
        <w:rPr>
          <w:sz w:val="22"/>
          <w:szCs w:val="22"/>
        </w:rPr>
      </w:pPr>
      <w:r>
        <w:rPr>
          <w:sz w:val="22"/>
          <w:szCs w:val="22"/>
        </w:rPr>
        <w:t>3</w:t>
      </w:r>
      <w:r>
        <w:rPr>
          <w:rFonts w:hint="eastAsia"/>
          <w:sz w:val="22"/>
          <w:szCs w:val="22"/>
        </w:rPr>
        <w:t>、最终得分为技术及资信分与商务分之和。</w:t>
      </w:r>
    </w:p>
    <w:p w14:paraId="2B7633EF">
      <w:pPr>
        <w:ind w:firstLine="420"/>
        <w:jc w:val="left"/>
        <w:rPr>
          <w:sz w:val="22"/>
          <w:szCs w:val="22"/>
        </w:rPr>
      </w:pPr>
      <w:r>
        <w:rPr>
          <w:rFonts w:hint="eastAsia"/>
          <w:sz w:val="22"/>
          <w:szCs w:val="22"/>
        </w:rPr>
        <w:t>参见本竞争性磋商文件第三部分：“供应商须知”中的相关内容，未尽事宜按有关法律规定处理。</w:t>
      </w:r>
    </w:p>
    <w:p w14:paraId="5013708B">
      <w:pPr>
        <w:rPr>
          <w:sz w:val="22"/>
          <w:szCs w:val="22"/>
        </w:rPr>
      </w:pPr>
      <w:r>
        <w:rPr>
          <w:rFonts w:hint="eastAsia"/>
          <w:sz w:val="22"/>
          <w:szCs w:val="22"/>
        </w:rPr>
        <w:br w:type="page"/>
      </w:r>
    </w:p>
    <w:p w14:paraId="0054321A">
      <w:pPr>
        <w:autoSpaceDE w:val="0"/>
        <w:autoSpaceDN w:val="0"/>
        <w:spacing w:line="400" w:lineRule="exact"/>
        <w:ind w:firstLine="562" w:firstLineChars="200"/>
        <w:jc w:val="left"/>
        <w:textAlignment w:val="bottom"/>
        <w:rPr>
          <w:rFonts w:ascii="宋体" w:hAnsi="Calibri" w:cs="宋体"/>
          <w:b/>
          <w:sz w:val="28"/>
          <w:szCs w:val="28"/>
        </w:rPr>
      </w:pPr>
      <w:r>
        <w:rPr>
          <w:rFonts w:hint="eastAsia" w:ascii="宋体" w:hAnsi="宋体" w:cs="宋体"/>
          <w:b/>
          <w:sz w:val="28"/>
          <w:szCs w:val="28"/>
        </w:rPr>
        <w:t>附件：</w:t>
      </w:r>
    </w:p>
    <w:p w14:paraId="2481C293">
      <w:pPr>
        <w:spacing w:line="400" w:lineRule="exact"/>
        <w:jc w:val="center"/>
        <w:rPr>
          <w:rFonts w:ascii="宋体" w:hAnsi="宋体" w:cs="宋体"/>
          <w:b/>
          <w:kern w:val="0"/>
          <w:sz w:val="28"/>
          <w:szCs w:val="28"/>
        </w:rPr>
      </w:pPr>
    </w:p>
    <w:p w14:paraId="549835AE">
      <w:pPr>
        <w:spacing w:line="400" w:lineRule="exact"/>
        <w:jc w:val="center"/>
        <w:rPr>
          <w:rFonts w:ascii="宋体" w:hAnsi="宋体" w:cs="宋体"/>
          <w:kern w:val="0"/>
          <w:sz w:val="22"/>
          <w:szCs w:val="22"/>
        </w:rPr>
      </w:pPr>
      <w:r>
        <w:rPr>
          <w:rFonts w:hint="eastAsia" w:ascii="宋体" w:hAnsi="宋体" w:cs="宋体"/>
          <w:b/>
          <w:kern w:val="0"/>
          <w:sz w:val="28"/>
          <w:szCs w:val="28"/>
        </w:rPr>
        <w:t>泰顺县南浦溪镇保洁服务运营管理办法（试行）</w:t>
      </w:r>
    </w:p>
    <w:p w14:paraId="0DFA63CF">
      <w:pPr>
        <w:spacing w:line="400" w:lineRule="exact"/>
        <w:ind w:firstLine="440" w:firstLineChars="200"/>
        <w:rPr>
          <w:rFonts w:ascii="宋体" w:hAnsi="宋体" w:cs="宋体"/>
          <w:kern w:val="0"/>
          <w:sz w:val="22"/>
          <w:szCs w:val="22"/>
        </w:rPr>
      </w:pPr>
    </w:p>
    <w:p w14:paraId="041B36EE">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为切实提高泰顺县南浦溪镇保洁服务及智能垃圾分类运营管理质量，加强环境卫生保洁的长效管理机制，不断改善环境卫生，提升镇生态、人居，山清、水秀乡村环境品位，依据客观、公开、公平、公正的原则，结合实际情况，特制定本考核办法（试行）。</w:t>
      </w:r>
    </w:p>
    <w:p w14:paraId="20EB5822">
      <w:pPr>
        <w:spacing w:line="400" w:lineRule="exact"/>
        <w:ind w:firstLine="442" w:firstLineChars="200"/>
        <w:rPr>
          <w:rFonts w:ascii="宋体" w:hAnsi="宋体" w:cs="宋体"/>
          <w:kern w:val="0"/>
          <w:sz w:val="22"/>
          <w:szCs w:val="22"/>
        </w:rPr>
      </w:pPr>
      <w:r>
        <w:rPr>
          <w:rFonts w:hint="eastAsia" w:ascii="宋体" w:hAnsi="宋体" w:cs="宋体"/>
          <w:b/>
          <w:kern w:val="0"/>
          <w:sz w:val="22"/>
          <w:szCs w:val="22"/>
        </w:rPr>
        <w:t>一、考核对象：</w:t>
      </w:r>
      <w:r>
        <w:rPr>
          <w:rFonts w:hint="eastAsia" w:ascii="宋体" w:hAnsi="宋体" w:cs="宋体"/>
          <w:kern w:val="0"/>
          <w:sz w:val="22"/>
          <w:szCs w:val="22"/>
        </w:rPr>
        <w:t>本次中标（成交）供应商。</w:t>
      </w:r>
    </w:p>
    <w:p w14:paraId="4A9BBAD2">
      <w:pPr>
        <w:spacing w:line="400" w:lineRule="exact"/>
        <w:ind w:firstLine="442" w:firstLineChars="200"/>
        <w:rPr>
          <w:rFonts w:ascii="宋体" w:hAnsi="宋体" w:cs="宋体"/>
          <w:kern w:val="0"/>
          <w:sz w:val="22"/>
          <w:szCs w:val="22"/>
        </w:rPr>
      </w:pPr>
      <w:r>
        <w:rPr>
          <w:rFonts w:hint="eastAsia" w:ascii="宋体" w:hAnsi="宋体" w:cs="宋体"/>
          <w:b/>
          <w:kern w:val="0"/>
          <w:sz w:val="22"/>
          <w:szCs w:val="22"/>
        </w:rPr>
        <w:t>二、考核范围：</w:t>
      </w:r>
      <w:r>
        <w:rPr>
          <w:rFonts w:hint="eastAsia" w:ascii="宋体" w:hAnsi="宋体" w:cs="宋体"/>
          <w:kern w:val="0"/>
          <w:sz w:val="22"/>
          <w:szCs w:val="22"/>
        </w:rPr>
        <w:t>合同约定的服务范围。</w:t>
      </w:r>
    </w:p>
    <w:p w14:paraId="5F0E539D">
      <w:pPr>
        <w:spacing w:line="400" w:lineRule="exact"/>
        <w:ind w:firstLine="442" w:firstLineChars="200"/>
        <w:rPr>
          <w:rFonts w:ascii="宋体" w:hAnsi="宋体" w:cs="宋体"/>
          <w:b/>
          <w:kern w:val="0"/>
          <w:sz w:val="22"/>
          <w:szCs w:val="22"/>
        </w:rPr>
      </w:pPr>
      <w:r>
        <w:rPr>
          <w:rFonts w:hint="eastAsia" w:ascii="宋体" w:hAnsi="宋体" w:cs="宋体"/>
          <w:b/>
          <w:kern w:val="0"/>
          <w:sz w:val="22"/>
          <w:szCs w:val="22"/>
        </w:rPr>
        <w:t>三、考核要求：详见招标文件第二部分、招标内容及技术要求“六、服务要求与质量标准”的内容要求。</w:t>
      </w:r>
    </w:p>
    <w:p w14:paraId="16C8C089">
      <w:pPr>
        <w:ind w:firstLine="442" w:firstLineChars="200"/>
        <w:jc w:val="left"/>
        <w:rPr>
          <w:rFonts w:ascii="宋体" w:hAnsi="宋体" w:cs="宋体"/>
          <w:b/>
          <w:kern w:val="0"/>
          <w:sz w:val="22"/>
          <w:szCs w:val="22"/>
        </w:rPr>
      </w:pPr>
      <w:r>
        <w:rPr>
          <w:rFonts w:hint="eastAsia" w:ascii="宋体" w:hAnsi="宋体" w:cs="宋体"/>
          <w:b/>
          <w:kern w:val="0"/>
          <w:sz w:val="22"/>
          <w:szCs w:val="22"/>
        </w:rPr>
        <w:t>四、其他说明</w:t>
      </w:r>
    </w:p>
    <w:p w14:paraId="5536D884">
      <w:pPr>
        <w:ind w:firstLine="442" w:firstLineChars="200"/>
        <w:jc w:val="left"/>
        <w:rPr>
          <w:rFonts w:ascii="宋体" w:hAnsi="宋体" w:cs="宋体"/>
          <w:b/>
          <w:kern w:val="0"/>
          <w:sz w:val="22"/>
          <w:szCs w:val="22"/>
        </w:rPr>
      </w:pPr>
      <w:r>
        <w:rPr>
          <w:rFonts w:hint="eastAsia" w:ascii="宋体" w:hAnsi="宋体" w:cs="宋体"/>
          <w:b/>
          <w:kern w:val="0"/>
          <w:sz w:val="22"/>
          <w:szCs w:val="22"/>
        </w:rPr>
        <w:t>（一）定分:</w:t>
      </w:r>
      <w:r>
        <w:rPr>
          <w:rFonts w:hint="eastAsia" w:ascii="宋体" w:hAnsi="宋体" w:cs="宋体"/>
          <w:bCs/>
          <w:kern w:val="0"/>
          <w:sz w:val="22"/>
          <w:szCs w:val="22"/>
        </w:rPr>
        <w:t>考核成绩每次满分为100分。</w:t>
      </w:r>
    </w:p>
    <w:p w14:paraId="181589F1">
      <w:pPr>
        <w:spacing w:line="400" w:lineRule="exact"/>
        <w:ind w:firstLine="442" w:firstLineChars="200"/>
        <w:rPr>
          <w:rFonts w:ascii="宋体" w:hAnsi="宋体" w:cs="宋体"/>
          <w:b/>
          <w:kern w:val="0"/>
          <w:sz w:val="22"/>
          <w:szCs w:val="22"/>
        </w:rPr>
      </w:pPr>
      <w:r>
        <w:rPr>
          <w:rFonts w:hint="eastAsia" w:ascii="宋体" w:hAnsi="宋体" w:cs="宋体"/>
          <w:b/>
          <w:kern w:val="0"/>
          <w:sz w:val="22"/>
          <w:szCs w:val="22"/>
        </w:rPr>
        <w:t>（二）检查方式</w:t>
      </w:r>
    </w:p>
    <w:p w14:paraId="6C372809">
      <w:pPr>
        <w:spacing w:line="400" w:lineRule="exact"/>
        <w:ind w:firstLine="442" w:firstLineChars="200"/>
        <w:rPr>
          <w:rFonts w:ascii="宋体" w:hAnsi="宋体" w:cs="宋体"/>
          <w:b/>
          <w:bCs/>
          <w:kern w:val="0"/>
          <w:sz w:val="22"/>
          <w:szCs w:val="22"/>
        </w:rPr>
      </w:pPr>
      <w:r>
        <w:rPr>
          <w:rFonts w:hint="eastAsia" w:ascii="宋体" w:hAnsi="宋体" w:cs="宋体"/>
          <w:b/>
          <w:bCs/>
          <w:kern w:val="0"/>
          <w:sz w:val="22"/>
          <w:szCs w:val="22"/>
        </w:rPr>
        <w:t>1.检查方式分为日常检查和不定期抽查，由采购单位组织考核和监督；</w:t>
      </w:r>
    </w:p>
    <w:p w14:paraId="48894C60">
      <w:pPr>
        <w:spacing w:line="400" w:lineRule="exact"/>
        <w:ind w:firstLine="442" w:firstLineChars="200"/>
        <w:rPr>
          <w:rFonts w:ascii="宋体" w:hAnsi="宋体" w:cs="宋体"/>
          <w:b/>
          <w:bCs/>
          <w:kern w:val="0"/>
          <w:sz w:val="22"/>
          <w:szCs w:val="22"/>
        </w:rPr>
      </w:pPr>
      <w:r>
        <w:rPr>
          <w:rFonts w:hint="eastAsia" w:ascii="宋体" w:hAnsi="宋体" w:cs="宋体"/>
          <w:b/>
          <w:bCs/>
          <w:kern w:val="0"/>
          <w:sz w:val="22"/>
          <w:szCs w:val="22"/>
        </w:rPr>
        <w:t>2.日常检查每日不少于1次；不定期抽查每月不少于1次。</w:t>
      </w:r>
    </w:p>
    <w:p w14:paraId="34A3CBA2">
      <w:pPr>
        <w:spacing w:line="400" w:lineRule="exact"/>
        <w:ind w:firstLine="442" w:firstLineChars="200"/>
        <w:rPr>
          <w:rFonts w:ascii="宋体" w:hAnsi="宋体" w:cs="宋体"/>
          <w:b/>
          <w:kern w:val="0"/>
          <w:sz w:val="22"/>
          <w:szCs w:val="22"/>
        </w:rPr>
      </w:pPr>
      <w:r>
        <w:rPr>
          <w:rFonts w:hint="eastAsia" w:ascii="宋体" w:hAnsi="宋体" w:cs="宋体"/>
          <w:b/>
          <w:kern w:val="0"/>
          <w:sz w:val="22"/>
          <w:szCs w:val="22"/>
        </w:rPr>
        <w:t>（三）检查计分</w:t>
      </w:r>
    </w:p>
    <w:p w14:paraId="4431CB0B">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当月检查考核分数以当月检查考核计分的平均值为准。</w:t>
      </w:r>
    </w:p>
    <w:p w14:paraId="6AFB5213">
      <w:pPr>
        <w:spacing w:line="400" w:lineRule="exact"/>
        <w:ind w:firstLine="442" w:firstLineChars="200"/>
        <w:rPr>
          <w:rFonts w:ascii="宋体" w:hAnsi="宋体" w:cs="宋体"/>
          <w:b/>
          <w:kern w:val="0"/>
          <w:sz w:val="22"/>
          <w:szCs w:val="22"/>
        </w:rPr>
      </w:pPr>
      <w:r>
        <w:rPr>
          <w:rFonts w:hint="eastAsia" w:ascii="宋体" w:hAnsi="宋体" w:cs="宋体"/>
          <w:b/>
          <w:kern w:val="0"/>
          <w:sz w:val="22"/>
          <w:szCs w:val="22"/>
        </w:rPr>
        <w:t>（四）汇总评议</w:t>
      </w:r>
    </w:p>
    <w:p w14:paraId="61A737B3">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每次考核后统计一次，每周进行汇总，每月进行一次评议；汇总后制成“检查情况汇总表”及“路况通报”，周期内的清扫保洁问题都将一一在通报中反映。</w:t>
      </w:r>
    </w:p>
    <w:p w14:paraId="2112FDA6">
      <w:pPr>
        <w:ind w:firstLine="442" w:firstLineChars="200"/>
        <w:jc w:val="left"/>
        <w:rPr>
          <w:rFonts w:ascii="宋体" w:hAnsi="宋体" w:cs="宋体"/>
          <w:b/>
          <w:kern w:val="0"/>
          <w:sz w:val="22"/>
          <w:szCs w:val="22"/>
        </w:rPr>
      </w:pPr>
      <w:r>
        <w:rPr>
          <w:rFonts w:hint="eastAsia" w:ascii="宋体" w:hAnsi="宋体" w:cs="宋体"/>
          <w:b/>
          <w:kern w:val="0"/>
          <w:sz w:val="22"/>
          <w:szCs w:val="22"/>
        </w:rPr>
        <w:t>五、奖罚措施</w:t>
      </w:r>
    </w:p>
    <w:p w14:paraId="1285C8D8">
      <w:pPr>
        <w:spacing w:line="400" w:lineRule="exact"/>
        <w:ind w:firstLine="442" w:firstLineChars="200"/>
        <w:rPr>
          <w:rFonts w:ascii="宋体" w:hAnsi="宋体" w:cs="宋体"/>
          <w:b/>
          <w:bCs/>
          <w:kern w:val="0"/>
          <w:sz w:val="22"/>
          <w:szCs w:val="22"/>
        </w:rPr>
      </w:pPr>
      <w:r>
        <w:rPr>
          <w:rFonts w:hint="eastAsia" w:ascii="宋体" w:hAnsi="宋体" w:cs="宋体"/>
          <w:b/>
          <w:bCs/>
          <w:kern w:val="0"/>
          <w:sz w:val="22"/>
          <w:szCs w:val="22"/>
        </w:rPr>
        <w:t>1.当月考核最后得分以当月考核平均分为准，当月考核最后得分分值在95分及以上（含95分）为优秀，90至94分为合格，90分以下为不合格；</w:t>
      </w:r>
    </w:p>
    <w:p w14:paraId="0DA929B7">
      <w:pPr>
        <w:spacing w:line="400" w:lineRule="exact"/>
        <w:ind w:firstLine="442" w:firstLineChars="200"/>
        <w:rPr>
          <w:rFonts w:ascii="宋体" w:hAnsi="宋体" w:cs="宋体"/>
          <w:b/>
          <w:bCs/>
          <w:kern w:val="0"/>
          <w:sz w:val="22"/>
          <w:szCs w:val="22"/>
        </w:rPr>
      </w:pPr>
      <w:r>
        <w:rPr>
          <w:rFonts w:hint="eastAsia" w:ascii="宋体" w:hAnsi="宋体" w:cs="宋体"/>
          <w:b/>
          <w:bCs/>
          <w:kern w:val="0"/>
          <w:sz w:val="22"/>
          <w:szCs w:val="22"/>
        </w:rPr>
        <w:t>2.当月考核最后得分分值在85（含85）—90分的每少一分扣罚1000元，85分以下的每少一分扣罚2000元，直至当月承包款扣完为止，扣罚款在支付当月承包款时直接扣除。</w:t>
      </w:r>
    </w:p>
    <w:p w14:paraId="22EC0B4A">
      <w:pPr>
        <w:spacing w:line="400" w:lineRule="exact"/>
        <w:ind w:firstLine="442" w:firstLineChars="200"/>
        <w:rPr>
          <w:rFonts w:ascii="宋体" w:hAnsi="宋体" w:cs="宋体"/>
          <w:b/>
          <w:bCs/>
          <w:kern w:val="0"/>
          <w:sz w:val="22"/>
          <w:szCs w:val="22"/>
        </w:rPr>
      </w:pPr>
      <w:r>
        <w:rPr>
          <w:rFonts w:hint="eastAsia" w:ascii="宋体" w:hAnsi="宋体" w:cs="宋体"/>
          <w:b/>
          <w:bCs/>
          <w:kern w:val="0"/>
          <w:sz w:val="22"/>
          <w:szCs w:val="22"/>
        </w:rPr>
        <w:t>3.一个年度内二个月考核不合格除上述罚款外追加罚没履约保证金的30%；三个月考核不合格，采购人有权终止承包合同并全额扣罚履约保证金。</w:t>
      </w:r>
    </w:p>
    <w:p w14:paraId="179C40C8">
      <w:pPr>
        <w:spacing w:line="400" w:lineRule="exact"/>
        <w:ind w:firstLine="442" w:firstLineChars="200"/>
        <w:rPr>
          <w:rFonts w:ascii="宋体" w:hAnsi="宋体" w:cs="宋体"/>
          <w:b/>
          <w:bCs/>
          <w:kern w:val="0"/>
          <w:sz w:val="22"/>
          <w:szCs w:val="22"/>
        </w:rPr>
      </w:pPr>
      <w:r>
        <w:rPr>
          <w:rFonts w:hint="eastAsia" w:ascii="宋体" w:hAnsi="宋体" w:cs="宋体"/>
          <w:b/>
          <w:bCs/>
          <w:kern w:val="0"/>
          <w:sz w:val="22"/>
          <w:szCs w:val="22"/>
        </w:rPr>
        <w:t>4.全年考核评价均为优秀的，镇政府和保洁范围内的行政村对承包供应商进行考核，并给予相应的奖励，奖励金额由镇班子会研究决定。</w:t>
      </w:r>
    </w:p>
    <w:p w14:paraId="547CED6F">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注：①全年有两次被严重警告或三次被警告（含一次严重警告，两次警告）的承包单位，采购人有权无责任终止采购合同，并没收其全部履约保证金。警告及严重警告情形具体见考核办法。</w:t>
      </w:r>
    </w:p>
    <w:p w14:paraId="5CBEE902">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②全年平均考核得分率低于90%（不含）的，采购人有权无责任终止采购合同，并没收其全部履约保证金。</w:t>
      </w:r>
    </w:p>
    <w:p w14:paraId="187E8518">
      <w:pPr>
        <w:ind w:firstLine="442" w:firstLineChars="200"/>
        <w:jc w:val="left"/>
        <w:rPr>
          <w:rFonts w:ascii="宋体" w:hAnsi="宋体" w:cs="宋体"/>
          <w:b/>
          <w:kern w:val="0"/>
          <w:sz w:val="22"/>
          <w:szCs w:val="22"/>
        </w:rPr>
      </w:pPr>
      <w:r>
        <w:rPr>
          <w:rFonts w:hint="eastAsia" w:ascii="宋体" w:hAnsi="宋体" w:cs="宋体"/>
          <w:b/>
          <w:kern w:val="0"/>
          <w:sz w:val="22"/>
          <w:szCs w:val="22"/>
        </w:rPr>
        <w:t>六、考核标准</w:t>
      </w:r>
    </w:p>
    <w:tbl>
      <w:tblPr>
        <w:tblStyle w:val="31"/>
        <w:tblW w:w="990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795"/>
        <w:gridCol w:w="3523"/>
        <w:gridCol w:w="4500"/>
      </w:tblGrid>
      <w:tr w14:paraId="1E0D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ign w:val="center"/>
          </w:tcPr>
          <w:p w14:paraId="261A7D8A">
            <w:pPr>
              <w:adjustRightInd w:val="0"/>
              <w:snapToGrid w:val="0"/>
              <w:jc w:val="center"/>
              <w:rPr>
                <w:rFonts w:ascii="宋体" w:hAnsi="宋体"/>
                <w:szCs w:val="21"/>
              </w:rPr>
            </w:pPr>
            <w:r>
              <w:rPr>
                <w:rFonts w:hint="eastAsia" w:ascii="宋体" w:hAnsi="宋体"/>
                <w:szCs w:val="21"/>
              </w:rPr>
              <w:t>检 查</w:t>
            </w:r>
          </w:p>
          <w:p w14:paraId="319757D4">
            <w:pPr>
              <w:adjustRightInd w:val="0"/>
              <w:snapToGrid w:val="0"/>
              <w:jc w:val="center"/>
              <w:rPr>
                <w:rFonts w:ascii="宋体" w:hAnsi="宋体"/>
                <w:szCs w:val="21"/>
              </w:rPr>
            </w:pPr>
            <w:r>
              <w:rPr>
                <w:rFonts w:hint="eastAsia" w:ascii="宋体" w:hAnsi="宋体"/>
                <w:szCs w:val="21"/>
              </w:rPr>
              <w:t>项 目</w:t>
            </w:r>
          </w:p>
        </w:tc>
        <w:tc>
          <w:tcPr>
            <w:tcW w:w="795" w:type="dxa"/>
            <w:noWrap/>
            <w:vAlign w:val="center"/>
          </w:tcPr>
          <w:p w14:paraId="0DD44218">
            <w:pPr>
              <w:adjustRightInd w:val="0"/>
              <w:snapToGrid w:val="0"/>
              <w:jc w:val="center"/>
              <w:rPr>
                <w:rFonts w:ascii="宋体" w:hAnsi="宋体"/>
                <w:szCs w:val="21"/>
              </w:rPr>
            </w:pPr>
            <w:r>
              <w:rPr>
                <w:rFonts w:hint="eastAsia" w:ascii="宋体" w:hAnsi="宋体"/>
                <w:szCs w:val="21"/>
              </w:rPr>
              <w:t>检查</w:t>
            </w:r>
          </w:p>
          <w:p w14:paraId="07E8976C">
            <w:pPr>
              <w:adjustRightInd w:val="0"/>
              <w:snapToGrid w:val="0"/>
              <w:jc w:val="center"/>
              <w:rPr>
                <w:rFonts w:ascii="宋体" w:hAnsi="宋体"/>
                <w:szCs w:val="21"/>
              </w:rPr>
            </w:pPr>
            <w:r>
              <w:rPr>
                <w:rFonts w:hint="eastAsia" w:ascii="宋体" w:hAnsi="宋体"/>
                <w:szCs w:val="21"/>
              </w:rPr>
              <w:t>方式</w:t>
            </w:r>
          </w:p>
        </w:tc>
        <w:tc>
          <w:tcPr>
            <w:tcW w:w="3523" w:type="dxa"/>
            <w:noWrap/>
            <w:vAlign w:val="center"/>
          </w:tcPr>
          <w:p w14:paraId="23EAE3AF">
            <w:pPr>
              <w:adjustRightInd w:val="0"/>
              <w:snapToGrid w:val="0"/>
              <w:ind w:left="420"/>
              <w:jc w:val="center"/>
              <w:rPr>
                <w:rFonts w:ascii="宋体" w:hAnsi="宋体"/>
                <w:szCs w:val="21"/>
              </w:rPr>
            </w:pPr>
            <w:r>
              <w:rPr>
                <w:rFonts w:hint="eastAsia" w:ascii="宋体" w:hAnsi="宋体"/>
                <w:szCs w:val="21"/>
              </w:rPr>
              <w:t>管理作业标准</w:t>
            </w:r>
          </w:p>
        </w:tc>
        <w:tc>
          <w:tcPr>
            <w:tcW w:w="4500" w:type="dxa"/>
            <w:noWrap/>
            <w:vAlign w:val="center"/>
          </w:tcPr>
          <w:p w14:paraId="6F0415A6">
            <w:pPr>
              <w:adjustRightInd w:val="0"/>
              <w:snapToGrid w:val="0"/>
              <w:jc w:val="center"/>
              <w:rPr>
                <w:rFonts w:ascii="宋体" w:hAnsi="宋体"/>
                <w:szCs w:val="21"/>
              </w:rPr>
            </w:pPr>
            <w:r>
              <w:rPr>
                <w:rFonts w:hint="eastAsia" w:ascii="宋体" w:hAnsi="宋体"/>
                <w:szCs w:val="21"/>
              </w:rPr>
              <w:t>评分标准</w:t>
            </w:r>
          </w:p>
        </w:tc>
      </w:tr>
      <w:tr w14:paraId="307F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082" w:type="dxa"/>
            <w:vMerge w:val="restart"/>
            <w:tcBorders>
              <w:top w:val="single" w:color="auto" w:sz="4" w:space="0"/>
              <w:left w:val="single" w:color="auto" w:sz="4" w:space="0"/>
              <w:right w:val="single" w:color="auto" w:sz="4" w:space="0"/>
            </w:tcBorders>
            <w:noWrap/>
            <w:vAlign w:val="center"/>
          </w:tcPr>
          <w:p w14:paraId="75CB8AE1">
            <w:pPr>
              <w:adjustRightInd w:val="0"/>
              <w:snapToGrid w:val="0"/>
              <w:jc w:val="center"/>
              <w:rPr>
                <w:rFonts w:ascii="宋体" w:hAnsi="宋体"/>
                <w:szCs w:val="21"/>
              </w:rPr>
            </w:pPr>
            <w:r>
              <w:rPr>
                <w:rFonts w:hint="eastAsia" w:ascii="宋体" w:hAnsi="宋体"/>
                <w:szCs w:val="21"/>
              </w:rPr>
              <w:t>（一）</w:t>
            </w:r>
          </w:p>
          <w:p w14:paraId="583E785E">
            <w:pPr>
              <w:adjustRightInd w:val="0"/>
              <w:snapToGrid w:val="0"/>
              <w:jc w:val="center"/>
              <w:rPr>
                <w:rFonts w:ascii="宋体" w:hAnsi="宋体"/>
                <w:szCs w:val="21"/>
              </w:rPr>
            </w:pPr>
            <w:r>
              <w:rPr>
                <w:rFonts w:hint="eastAsia" w:ascii="宋体" w:hAnsi="宋体"/>
                <w:szCs w:val="21"/>
              </w:rPr>
              <w:t>作业</w:t>
            </w:r>
          </w:p>
          <w:p w14:paraId="1FF4A0A8">
            <w:pPr>
              <w:adjustRightInd w:val="0"/>
              <w:snapToGrid w:val="0"/>
              <w:jc w:val="center"/>
              <w:rPr>
                <w:rFonts w:ascii="宋体" w:hAnsi="宋体"/>
                <w:szCs w:val="21"/>
              </w:rPr>
            </w:pPr>
            <w:r>
              <w:rPr>
                <w:rFonts w:hint="eastAsia" w:ascii="宋体" w:hAnsi="宋体"/>
                <w:szCs w:val="21"/>
              </w:rPr>
              <w:t>规范</w:t>
            </w:r>
          </w:p>
          <w:p w14:paraId="07F0A5DD">
            <w:pPr>
              <w:adjustRightInd w:val="0"/>
              <w:snapToGrid w:val="0"/>
              <w:jc w:val="center"/>
              <w:rPr>
                <w:rFonts w:ascii="宋体" w:hAnsi="宋体"/>
                <w:szCs w:val="21"/>
              </w:rPr>
            </w:pPr>
            <w:r>
              <w:rPr>
                <w:rFonts w:hint="eastAsia" w:ascii="宋体" w:hAnsi="宋体"/>
                <w:szCs w:val="21"/>
              </w:rPr>
              <w:t>管理</w:t>
            </w:r>
          </w:p>
          <w:p w14:paraId="3CBEDCC7">
            <w:pPr>
              <w:adjustRightInd w:val="0"/>
              <w:snapToGrid w:val="0"/>
              <w:jc w:val="center"/>
              <w:rPr>
                <w:rFonts w:ascii="宋体" w:hAnsi="宋体"/>
                <w:szCs w:val="21"/>
              </w:rPr>
            </w:pPr>
            <w:r>
              <w:rPr>
                <w:rFonts w:hint="eastAsia" w:ascii="宋体" w:hAnsi="宋体"/>
                <w:szCs w:val="21"/>
              </w:rPr>
              <w:t>落实</w:t>
            </w:r>
          </w:p>
          <w:p w14:paraId="21410D21">
            <w:pPr>
              <w:adjustRightInd w:val="0"/>
              <w:snapToGrid w:val="0"/>
              <w:jc w:val="center"/>
              <w:rPr>
                <w:rFonts w:ascii="宋体" w:hAnsi="宋体"/>
                <w:szCs w:val="21"/>
              </w:rPr>
            </w:pPr>
            <w:r>
              <w:rPr>
                <w:rFonts w:hint="eastAsia" w:ascii="宋体" w:hAnsi="宋体"/>
                <w:szCs w:val="21"/>
              </w:rPr>
              <w:t>情况</w:t>
            </w:r>
          </w:p>
        </w:tc>
        <w:tc>
          <w:tcPr>
            <w:tcW w:w="795" w:type="dxa"/>
            <w:vMerge w:val="restart"/>
            <w:tcBorders>
              <w:top w:val="single" w:color="auto" w:sz="4" w:space="0"/>
              <w:left w:val="single" w:color="auto" w:sz="4" w:space="0"/>
              <w:right w:val="single" w:color="auto" w:sz="4" w:space="0"/>
            </w:tcBorders>
            <w:noWrap/>
            <w:vAlign w:val="center"/>
          </w:tcPr>
          <w:p w14:paraId="15970A5C">
            <w:pPr>
              <w:adjustRightInd w:val="0"/>
              <w:snapToGrid w:val="0"/>
              <w:jc w:val="center"/>
              <w:rPr>
                <w:rFonts w:ascii="宋体" w:hAnsi="宋体"/>
                <w:szCs w:val="21"/>
              </w:rPr>
            </w:pPr>
            <w:r>
              <w:rPr>
                <w:rFonts w:hint="eastAsia" w:ascii="宋体" w:hAnsi="宋体"/>
                <w:szCs w:val="21"/>
              </w:rPr>
              <w:t>台</w:t>
            </w:r>
          </w:p>
          <w:p w14:paraId="7DCA71BE">
            <w:pPr>
              <w:adjustRightInd w:val="0"/>
              <w:snapToGrid w:val="0"/>
              <w:jc w:val="center"/>
              <w:rPr>
                <w:rFonts w:ascii="宋体" w:hAnsi="宋体"/>
                <w:szCs w:val="21"/>
              </w:rPr>
            </w:pPr>
            <w:r>
              <w:rPr>
                <w:rFonts w:hint="eastAsia" w:ascii="宋体" w:hAnsi="宋体"/>
                <w:szCs w:val="21"/>
              </w:rPr>
              <w:t>帐</w:t>
            </w:r>
          </w:p>
          <w:p w14:paraId="37456C98">
            <w:pPr>
              <w:adjustRightInd w:val="0"/>
              <w:snapToGrid w:val="0"/>
              <w:jc w:val="center"/>
              <w:rPr>
                <w:rFonts w:ascii="宋体" w:hAnsi="宋体"/>
                <w:szCs w:val="21"/>
              </w:rPr>
            </w:pPr>
            <w:r>
              <w:rPr>
                <w:rFonts w:hint="eastAsia" w:ascii="宋体" w:hAnsi="宋体"/>
                <w:szCs w:val="21"/>
              </w:rPr>
              <w:t>检</w:t>
            </w:r>
          </w:p>
          <w:p w14:paraId="4B2A9D6C">
            <w:pPr>
              <w:adjustRightInd w:val="0"/>
              <w:snapToGrid w:val="0"/>
              <w:jc w:val="center"/>
              <w:rPr>
                <w:rFonts w:ascii="宋体" w:hAnsi="宋体"/>
                <w:szCs w:val="21"/>
              </w:rPr>
            </w:pPr>
            <w:r>
              <w:rPr>
                <w:rFonts w:hint="eastAsia" w:ascii="宋体" w:hAnsi="宋体"/>
                <w:szCs w:val="21"/>
              </w:rPr>
              <w:t>查</w:t>
            </w:r>
          </w:p>
        </w:tc>
        <w:tc>
          <w:tcPr>
            <w:tcW w:w="3523" w:type="dxa"/>
            <w:tcBorders>
              <w:top w:val="single" w:color="auto" w:sz="4" w:space="0"/>
              <w:left w:val="single" w:color="auto" w:sz="4" w:space="0"/>
              <w:right w:val="single" w:color="auto" w:sz="4" w:space="0"/>
            </w:tcBorders>
            <w:noWrap/>
            <w:vAlign w:val="center"/>
          </w:tcPr>
          <w:p w14:paraId="0C09D5E8">
            <w:pPr>
              <w:numPr>
                <w:ilvl w:val="0"/>
                <w:numId w:val="10"/>
              </w:numPr>
              <w:adjustRightInd w:val="0"/>
              <w:snapToGrid w:val="0"/>
              <w:rPr>
                <w:rFonts w:ascii="宋体" w:hAnsi="宋体"/>
                <w:szCs w:val="21"/>
              </w:rPr>
            </w:pPr>
            <w:r>
              <w:rPr>
                <w:rFonts w:hint="eastAsia" w:ascii="宋体" w:hAnsi="宋体"/>
                <w:szCs w:val="21"/>
              </w:rPr>
              <w:t>按照保洁分类管理指标要求配置设备。</w:t>
            </w:r>
          </w:p>
        </w:tc>
        <w:tc>
          <w:tcPr>
            <w:tcW w:w="4500" w:type="dxa"/>
            <w:tcBorders>
              <w:top w:val="single" w:color="auto" w:sz="4" w:space="0"/>
              <w:left w:val="single" w:color="auto" w:sz="4" w:space="0"/>
              <w:right w:val="single" w:color="auto" w:sz="4" w:space="0"/>
            </w:tcBorders>
            <w:noWrap/>
            <w:vAlign w:val="center"/>
          </w:tcPr>
          <w:p w14:paraId="0CF4FD4F">
            <w:pPr>
              <w:numPr>
                <w:ilvl w:val="0"/>
                <w:numId w:val="11"/>
              </w:numPr>
              <w:adjustRightInd w:val="0"/>
              <w:snapToGrid w:val="0"/>
              <w:rPr>
                <w:rFonts w:ascii="宋体" w:hAnsi="宋体"/>
                <w:szCs w:val="21"/>
              </w:rPr>
            </w:pPr>
            <w:r>
              <w:rPr>
                <w:rFonts w:hint="eastAsia" w:ascii="宋体" w:hAnsi="宋体"/>
                <w:szCs w:val="21"/>
              </w:rPr>
              <w:t>在服务过程中，如第一次发现人员及设备未按照招标文件及投标承诺时投入的，扣押月度30%的服务费用，待服务期结束后核发。</w:t>
            </w:r>
          </w:p>
          <w:p w14:paraId="613CB24A">
            <w:pPr>
              <w:adjustRightInd w:val="0"/>
              <w:snapToGrid w:val="0"/>
              <w:ind w:firstLine="420" w:firstLineChars="200"/>
              <w:rPr>
                <w:rFonts w:ascii="宋体" w:hAnsi="宋体"/>
                <w:szCs w:val="21"/>
              </w:rPr>
            </w:pPr>
            <w:r>
              <w:rPr>
                <w:rFonts w:hint="eastAsia" w:ascii="宋体" w:hAnsi="宋体"/>
                <w:szCs w:val="21"/>
              </w:rPr>
              <w:t>如第二次发现人员及设备未按照招标文件及投标承诺时投入的，直接扣除该月度10%的服务费用。</w:t>
            </w:r>
          </w:p>
          <w:p w14:paraId="1E426C3B">
            <w:pPr>
              <w:adjustRightInd w:val="0"/>
              <w:snapToGrid w:val="0"/>
              <w:ind w:firstLine="420" w:firstLineChars="200"/>
              <w:rPr>
                <w:rFonts w:ascii="宋体" w:hAnsi="宋体"/>
                <w:szCs w:val="21"/>
              </w:rPr>
            </w:pPr>
            <w:r>
              <w:rPr>
                <w:rFonts w:hint="eastAsia" w:ascii="宋体" w:hAnsi="宋体"/>
                <w:szCs w:val="21"/>
              </w:rPr>
              <w:t>如第三次发现人员及设备未按照招标文件及投标承诺时投入的，直接扣除该月度30%的服务费用。</w:t>
            </w:r>
          </w:p>
        </w:tc>
      </w:tr>
      <w:tr w14:paraId="5A63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082" w:type="dxa"/>
            <w:vMerge w:val="continue"/>
            <w:tcBorders>
              <w:top w:val="single" w:color="auto" w:sz="4" w:space="0"/>
              <w:left w:val="single" w:color="auto" w:sz="4" w:space="0"/>
              <w:right w:val="single" w:color="auto" w:sz="4" w:space="0"/>
            </w:tcBorders>
            <w:noWrap/>
            <w:vAlign w:val="center"/>
          </w:tcPr>
          <w:p w14:paraId="3A7B8F94"/>
        </w:tc>
        <w:tc>
          <w:tcPr>
            <w:tcW w:w="795" w:type="dxa"/>
            <w:vMerge w:val="continue"/>
            <w:tcBorders>
              <w:top w:val="single" w:color="auto" w:sz="4" w:space="0"/>
              <w:left w:val="single" w:color="auto" w:sz="4" w:space="0"/>
              <w:right w:val="single" w:color="auto" w:sz="4" w:space="0"/>
            </w:tcBorders>
            <w:noWrap/>
            <w:vAlign w:val="center"/>
          </w:tcPr>
          <w:p w14:paraId="21EDB294"/>
        </w:tc>
        <w:tc>
          <w:tcPr>
            <w:tcW w:w="3523" w:type="dxa"/>
            <w:tcBorders>
              <w:top w:val="single" w:color="auto" w:sz="4" w:space="0"/>
              <w:left w:val="single" w:color="auto" w:sz="4" w:space="0"/>
              <w:right w:val="single" w:color="auto" w:sz="4" w:space="0"/>
            </w:tcBorders>
            <w:noWrap/>
            <w:vAlign w:val="center"/>
          </w:tcPr>
          <w:p w14:paraId="70FFDC2C">
            <w:pPr>
              <w:numPr>
                <w:ilvl w:val="0"/>
                <w:numId w:val="10"/>
              </w:numPr>
              <w:adjustRightInd w:val="0"/>
              <w:snapToGrid w:val="0"/>
              <w:rPr>
                <w:rFonts w:ascii="宋体" w:hAnsi="宋体"/>
                <w:szCs w:val="21"/>
              </w:rPr>
            </w:pPr>
            <w:r>
              <w:rPr>
                <w:rFonts w:hint="eastAsia" w:ascii="宋体" w:hAnsi="宋体"/>
                <w:szCs w:val="21"/>
              </w:rPr>
              <w:t>下个月10日前以书面形式上报上月作业计划、保洁、清运、机械化作业等数据台账。</w:t>
            </w:r>
          </w:p>
        </w:tc>
        <w:tc>
          <w:tcPr>
            <w:tcW w:w="4500" w:type="dxa"/>
            <w:tcBorders>
              <w:top w:val="single" w:color="auto" w:sz="4" w:space="0"/>
              <w:left w:val="single" w:color="auto" w:sz="4" w:space="0"/>
              <w:right w:val="single" w:color="auto" w:sz="4" w:space="0"/>
            </w:tcBorders>
            <w:noWrap/>
            <w:vAlign w:val="center"/>
          </w:tcPr>
          <w:p w14:paraId="33EAF5F6">
            <w:pPr>
              <w:numPr>
                <w:ilvl w:val="0"/>
                <w:numId w:val="11"/>
              </w:numPr>
              <w:adjustRightInd w:val="0"/>
              <w:snapToGrid w:val="0"/>
              <w:rPr>
                <w:rFonts w:ascii="宋体" w:hAnsi="宋体"/>
                <w:szCs w:val="21"/>
              </w:rPr>
            </w:pPr>
            <w:r>
              <w:rPr>
                <w:rFonts w:hint="eastAsia" w:ascii="宋体" w:hAnsi="宋体"/>
                <w:szCs w:val="21"/>
              </w:rPr>
              <w:t>未及时上报作业计划、保洁、清运、机械化作业等数据台账及重大活动工作方案，每项每次扣0.5分，经督查还未上报的扣1分。扣分值作当月累加并给予警告。</w:t>
            </w:r>
          </w:p>
        </w:tc>
      </w:tr>
      <w:tr w14:paraId="2A43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082" w:type="dxa"/>
            <w:vMerge w:val="continue"/>
            <w:tcBorders>
              <w:top w:val="single" w:color="auto" w:sz="4" w:space="0"/>
              <w:left w:val="single" w:color="auto" w:sz="4" w:space="0"/>
              <w:right w:val="single" w:color="auto" w:sz="4" w:space="0"/>
            </w:tcBorders>
            <w:noWrap/>
            <w:vAlign w:val="center"/>
          </w:tcPr>
          <w:p w14:paraId="6BDC44A6"/>
        </w:tc>
        <w:tc>
          <w:tcPr>
            <w:tcW w:w="795" w:type="dxa"/>
            <w:vMerge w:val="continue"/>
            <w:tcBorders>
              <w:top w:val="single" w:color="auto" w:sz="4" w:space="0"/>
              <w:left w:val="single" w:color="auto" w:sz="4" w:space="0"/>
              <w:right w:val="single" w:color="auto" w:sz="4" w:space="0"/>
            </w:tcBorders>
            <w:noWrap/>
            <w:vAlign w:val="center"/>
          </w:tcPr>
          <w:p w14:paraId="58F2AACB"/>
        </w:tc>
        <w:tc>
          <w:tcPr>
            <w:tcW w:w="3523" w:type="dxa"/>
            <w:tcBorders>
              <w:top w:val="single" w:color="auto" w:sz="4" w:space="0"/>
              <w:left w:val="single" w:color="auto" w:sz="4" w:space="0"/>
              <w:right w:val="single" w:color="auto" w:sz="4" w:space="0"/>
            </w:tcBorders>
            <w:noWrap/>
            <w:vAlign w:val="center"/>
          </w:tcPr>
          <w:p w14:paraId="285BC896">
            <w:pPr>
              <w:numPr>
                <w:ilvl w:val="0"/>
                <w:numId w:val="10"/>
              </w:numPr>
              <w:adjustRightInd w:val="0"/>
              <w:snapToGrid w:val="0"/>
              <w:rPr>
                <w:rFonts w:ascii="宋体" w:hAnsi="宋体"/>
                <w:szCs w:val="21"/>
              </w:rPr>
            </w:pPr>
            <w:r>
              <w:rPr>
                <w:rFonts w:hint="eastAsia" w:ascii="宋体" w:hAnsi="宋体"/>
                <w:szCs w:val="21"/>
              </w:rPr>
              <w:t>保洁企业安全生产工作落实，每季度要对一线道路保洁员进行安全生产全面轮训，新录用环卫工人应实施安全生产培训后方可上岗。</w:t>
            </w:r>
          </w:p>
        </w:tc>
        <w:tc>
          <w:tcPr>
            <w:tcW w:w="4500" w:type="dxa"/>
            <w:tcBorders>
              <w:top w:val="single" w:color="auto" w:sz="4" w:space="0"/>
              <w:left w:val="single" w:color="auto" w:sz="4" w:space="0"/>
              <w:right w:val="single" w:color="auto" w:sz="4" w:space="0"/>
            </w:tcBorders>
            <w:noWrap/>
            <w:vAlign w:val="center"/>
          </w:tcPr>
          <w:p w14:paraId="36C1578B">
            <w:pPr>
              <w:numPr>
                <w:ilvl w:val="0"/>
                <w:numId w:val="11"/>
              </w:numPr>
              <w:adjustRightInd w:val="0"/>
              <w:snapToGrid w:val="0"/>
              <w:rPr>
                <w:rFonts w:ascii="宋体" w:hAnsi="宋体"/>
                <w:szCs w:val="21"/>
              </w:rPr>
            </w:pPr>
            <w:r>
              <w:rPr>
                <w:rFonts w:hint="eastAsia" w:ascii="宋体" w:hAnsi="宋体"/>
                <w:szCs w:val="21"/>
              </w:rPr>
              <w:t>未按规定时间完成一线道路保洁员安全生产全面轮训的每次扣3分，未按时上报轮训记录的每次扣1.5分，未对新录用环卫工人进行安全生产培训就安排上岗的每次扣1分，未按时上报培训情况的扣0.5分。</w:t>
            </w:r>
          </w:p>
        </w:tc>
      </w:tr>
      <w:tr w14:paraId="6409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082" w:type="dxa"/>
            <w:vMerge w:val="continue"/>
            <w:tcBorders>
              <w:top w:val="single" w:color="auto" w:sz="4" w:space="0"/>
              <w:left w:val="single" w:color="auto" w:sz="4" w:space="0"/>
              <w:right w:val="single" w:color="auto" w:sz="4" w:space="0"/>
            </w:tcBorders>
            <w:noWrap/>
            <w:vAlign w:val="center"/>
          </w:tcPr>
          <w:p w14:paraId="22AB3037"/>
        </w:tc>
        <w:tc>
          <w:tcPr>
            <w:tcW w:w="795" w:type="dxa"/>
            <w:vMerge w:val="continue"/>
            <w:tcBorders>
              <w:top w:val="single" w:color="auto" w:sz="4" w:space="0"/>
              <w:left w:val="single" w:color="auto" w:sz="4" w:space="0"/>
              <w:right w:val="single" w:color="auto" w:sz="4" w:space="0"/>
            </w:tcBorders>
            <w:noWrap/>
            <w:vAlign w:val="center"/>
          </w:tcPr>
          <w:p w14:paraId="3267FEFD"/>
        </w:tc>
        <w:tc>
          <w:tcPr>
            <w:tcW w:w="3523" w:type="dxa"/>
            <w:tcBorders>
              <w:top w:val="single" w:color="auto" w:sz="4" w:space="0"/>
              <w:left w:val="single" w:color="auto" w:sz="4" w:space="0"/>
              <w:right w:val="single" w:color="auto" w:sz="4" w:space="0"/>
            </w:tcBorders>
            <w:noWrap/>
            <w:vAlign w:val="center"/>
          </w:tcPr>
          <w:p w14:paraId="2A7804B5">
            <w:pPr>
              <w:numPr>
                <w:ilvl w:val="0"/>
                <w:numId w:val="10"/>
              </w:numPr>
              <w:adjustRightInd w:val="0"/>
              <w:snapToGrid w:val="0"/>
              <w:rPr>
                <w:rFonts w:ascii="宋体" w:hAnsi="宋体"/>
                <w:szCs w:val="21"/>
              </w:rPr>
            </w:pPr>
            <w:r>
              <w:rPr>
                <w:rFonts w:hint="eastAsia" w:ascii="宋体" w:hAnsi="宋体"/>
                <w:szCs w:val="21"/>
              </w:rPr>
              <w:t>保洁企业用工制度必须符合国家相关法律、法规及合同要求的规定。</w:t>
            </w:r>
          </w:p>
        </w:tc>
        <w:tc>
          <w:tcPr>
            <w:tcW w:w="4500" w:type="dxa"/>
            <w:tcBorders>
              <w:top w:val="single" w:color="auto" w:sz="4" w:space="0"/>
              <w:left w:val="single" w:color="auto" w:sz="4" w:space="0"/>
              <w:right w:val="single" w:color="auto" w:sz="4" w:space="0"/>
            </w:tcBorders>
            <w:noWrap/>
            <w:vAlign w:val="center"/>
          </w:tcPr>
          <w:p w14:paraId="1590683C">
            <w:pPr>
              <w:numPr>
                <w:ilvl w:val="0"/>
                <w:numId w:val="11"/>
              </w:numPr>
              <w:adjustRightInd w:val="0"/>
              <w:snapToGrid w:val="0"/>
              <w:rPr>
                <w:rFonts w:ascii="宋体" w:hAnsi="宋体"/>
                <w:szCs w:val="21"/>
              </w:rPr>
            </w:pPr>
            <w:r>
              <w:rPr>
                <w:rFonts w:hint="eastAsia" w:ascii="宋体" w:hAnsi="宋体"/>
                <w:szCs w:val="21"/>
              </w:rPr>
              <w:t>未按要求跟标段内所有员工签订劳动合同的或发放员工工资低于本市区县最低保障工资标准的，每发现一人次扣1分，扣分值作当月累加。经管理部门督查作业单位仍未改正的，终止合同没收履约保证金。</w:t>
            </w:r>
          </w:p>
        </w:tc>
      </w:tr>
      <w:tr w14:paraId="4D18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2" w:type="dxa"/>
            <w:vMerge w:val="restart"/>
            <w:tcBorders>
              <w:top w:val="single" w:color="auto" w:sz="4" w:space="0"/>
              <w:left w:val="single" w:color="auto" w:sz="4" w:space="0"/>
              <w:right w:val="single" w:color="auto" w:sz="4" w:space="0"/>
            </w:tcBorders>
            <w:noWrap/>
            <w:vAlign w:val="center"/>
          </w:tcPr>
          <w:p w14:paraId="33A469E2">
            <w:pPr>
              <w:adjustRightInd w:val="0"/>
              <w:snapToGrid w:val="0"/>
              <w:jc w:val="center"/>
              <w:rPr>
                <w:rFonts w:ascii="宋体" w:hAnsi="宋体"/>
                <w:szCs w:val="21"/>
              </w:rPr>
            </w:pPr>
            <w:r>
              <w:rPr>
                <w:rFonts w:hint="eastAsia" w:ascii="宋体" w:hAnsi="宋体"/>
                <w:szCs w:val="21"/>
              </w:rPr>
              <w:t>（二）</w:t>
            </w:r>
          </w:p>
          <w:p w14:paraId="111FE605">
            <w:pPr>
              <w:adjustRightInd w:val="0"/>
              <w:snapToGrid w:val="0"/>
              <w:jc w:val="center"/>
              <w:rPr>
                <w:rFonts w:ascii="宋体" w:hAnsi="宋体"/>
                <w:szCs w:val="21"/>
              </w:rPr>
            </w:pPr>
            <w:r>
              <w:rPr>
                <w:rFonts w:hint="eastAsia" w:ascii="宋体" w:hAnsi="宋体"/>
                <w:szCs w:val="21"/>
              </w:rPr>
              <w:t>环卫</w:t>
            </w:r>
          </w:p>
          <w:p w14:paraId="344F8B74">
            <w:pPr>
              <w:adjustRightInd w:val="0"/>
              <w:snapToGrid w:val="0"/>
              <w:jc w:val="center"/>
              <w:rPr>
                <w:rFonts w:ascii="宋体" w:hAnsi="宋体"/>
                <w:szCs w:val="21"/>
              </w:rPr>
            </w:pPr>
            <w:r>
              <w:rPr>
                <w:rFonts w:hint="eastAsia" w:ascii="宋体" w:hAnsi="宋体"/>
                <w:szCs w:val="21"/>
              </w:rPr>
              <w:t>设施</w:t>
            </w:r>
          </w:p>
          <w:p w14:paraId="0294FE4C">
            <w:pPr>
              <w:adjustRightInd w:val="0"/>
              <w:snapToGrid w:val="0"/>
              <w:jc w:val="center"/>
              <w:rPr>
                <w:rFonts w:ascii="宋体" w:hAnsi="宋体"/>
                <w:szCs w:val="21"/>
              </w:rPr>
            </w:pPr>
            <w:r>
              <w:rPr>
                <w:rFonts w:hint="eastAsia" w:ascii="宋体" w:hAnsi="宋体"/>
                <w:szCs w:val="21"/>
              </w:rPr>
              <w:t>管理</w:t>
            </w:r>
          </w:p>
          <w:p w14:paraId="5FD4CCC9">
            <w:pPr>
              <w:adjustRightInd w:val="0"/>
              <w:snapToGrid w:val="0"/>
              <w:jc w:val="center"/>
              <w:rPr>
                <w:rFonts w:ascii="宋体" w:hAnsi="宋体"/>
                <w:szCs w:val="21"/>
              </w:rPr>
            </w:pPr>
            <w:r>
              <w:rPr>
                <w:rFonts w:hint="eastAsia" w:ascii="宋体" w:hAnsi="宋体"/>
                <w:szCs w:val="21"/>
              </w:rPr>
              <w:t>落实</w:t>
            </w:r>
          </w:p>
          <w:p w14:paraId="6514D582">
            <w:pPr>
              <w:adjustRightInd w:val="0"/>
              <w:snapToGrid w:val="0"/>
              <w:jc w:val="center"/>
              <w:rPr>
                <w:rFonts w:ascii="宋体" w:hAnsi="宋体"/>
                <w:szCs w:val="21"/>
              </w:rPr>
            </w:pPr>
            <w:r>
              <w:rPr>
                <w:rFonts w:hint="eastAsia" w:ascii="宋体" w:hAnsi="宋体"/>
                <w:szCs w:val="21"/>
              </w:rPr>
              <w:t>情况</w:t>
            </w:r>
          </w:p>
        </w:tc>
        <w:tc>
          <w:tcPr>
            <w:tcW w:w="795" w:type="dxa"/>
            <w:vMerge w:val="restart"/>
            <w:tcBorders>
              <w:top w:val="single" w:color="auto" w:sz="4" w:space="0"/>
              <w:left w:val="single" w:color="auto" w:sz="4" w:space="0"/>
              <w:right w:val="single" w:color="auto" w:sz="4" w:space="0"/>
            </w:tcBorders>
            <w:noWrap/>
            <w:vAlign w:val="center"/>
          </w:tcPr>
          <w:p w14:paraId="1C9F232E">
            <w:pPr>
              <w:adjustRightInd w:val="0"/>
              <w:snapToGrid w:val="0"/>
              <w:jc w:val="center"/>
              <w:rPr>
                <w:rFonts w:ascii="宋体" w:hAnsi="宋体"/>
                <w:szCs w:val="21"/>
              </w:rPr>
            </w:pPr>
            <w:r>
              <w:rPr>
                <w:rFonts w:hint="eastAsia" w:ascii="宋体" w:hAnsi="宋体"/>
                <w:szCs w:val="21"/>
              </w:rPr>
              <w:t>现</w:t>
            </w:r>
          </w:p>
          <w:p w14:paraId="28CCECC6">
            <w:pPr>
              <w:adjustRightInd w:val="0"/>
              <w:snapToGrid w:val="0"/>
              <w:jc w:val="center"/>
              <w:rPr>
                <w:rFonts w:ascii="宋体" w:hAnsi="宋体"/>
                <w:szCs w:val="21"/>
              </w:rPr>
            </w:pPr>
            <w:r>
              <w:rPr>
                <w:rFonts w:hint="eastAsia" w:ascii="宋体" w:hAnsi="宋体"/>
                <w:szCs w:val="21"/>
              </w:rPr>
              <w:t>场</w:t>
            </w:r>
          </w:p>
          <w:p w14:paraId="54DDA8E7">
            <w:pPr>
              <w:adjustRightInd w:val="0"/>
              <w:snapToGrid w:val="0"/>
              <w:jc w:val="center"/>
              <w:rPr>
                <w:rFonts w:ascii="宋体" w:hAnsi="宋体"/>
                <w:szCs w:val="21"/>
              </w:rPr>
            </w:pPr>
            <w:r>
              <w:rPr>
                <w:rFonts w:hint="eastAsia" w:ascii="宋体" w:hAnsi="宋体"/>
                <w:szCs w:val="21"/>
              </w:rPr>
              <w:t>检</w:t>
            </w:r>
          </w:p>
          <w:p w14:paraId="182F5AEA">
            <w:pPr>
              <w:adjustRightInd w:val="0"/>
              <w:snapToGrid w:val="0"/>
              <w:jc w:val="center"/>
              <w:rPr>
                <w:rFonts w:ascii="宋体" w:hAnsi="宋体"/>
                <w:szCs w:val="21"/>
              </w:rPr>
            </w:pPr>
            <w:r>
              <w:rPr>
                <w:rFonts w:hint="eastAsia" w:ascii="宋体" w:hAnsi="宋体"/>
                <w:szCs w:val="21"/>
              </w:rPr>
              <w:t>查</w:t>
            </w:r>
          </w:p>
        </w:tc>
        <w:tc>
          <w:tcPr>
            <w:tcW w:w="3523" w:type="dxa"/>
            <w:tcBorders>
              <w:top w:val="single" w:color="auto" w:sz="4" w:space="0"/>
              <w:left w:val="single" w:color="auto" w:sz="4" w:space="0"/>
              <w:right w:val="single" w:color="auto" w:sz="4" w:space="0"/>
            </w:tcBorders>
            <w:noWrap/>
            <w:vAlign w:val="center"/>
          </w:tcPr>
          <w:p w14:paraId="392550BA">
            <w:pPr>
              <w:numPr>
                <w:ilvl w:val="0"/>
                <w:numId w:val="10"/>
              </w:numPr>
              <w:adjustRightInd w:val="0"/>
              <w:snapToGrid w:val="0"/>
              <w:rPr>
                <w:rFonts w:ascii="宋体" w:hAnsi="宋体"/>
                <w:szCs w:val="21"/>
              </w:rPr>
            </w:pPr>
            <w:r>
              <w:rPr>
                <w:rFonts w:hint="eastAsia" w:ascii="宋体" w:hAnsi="宋体"/>
                <w:szCs w:val="21"/>
              </w:rPr>
              <w:t>果壳箱无歪斜，垃圾收集规范。</w:t>
            </w:r>
          </w:p>
        </w:tc>
        <w:tc>
          <w:tcPr>
            <w:tcW w:w="4500" w:type="dxa"/>
            <w:tcBorders>
              <w:top w:val="single" w:color="auto" w:sz="4" w:space="0"/>
              <w:left w:val="single" w:color="auto" w:sz="4" w:space="0"/>
              <w:right w:val="single" w:color="auto" w:sz="4" w:space="0"/>
            </w:tcBorders>
            <w:noWrap/>
            <w:vAlign w:val="center"/>
          </w:tcPr>
          <w:p w14:paraId="3A3730CE">
            <w:pPr>
              <w:numPr>
                <w:ilvl w:val="0"/>
                <w:numId w:val="11"/>
              </w:numPr>
              <w:adjustRightInd w:val="0"/>
              <w:snapToGrid w:val="0"/>
              <w:rPr>
                <w:rFonts w:ascii="宋体" w:hAnsi="宋体"/>
                <w:szCs w:val="21"/>
              </w:rPr>
            </w:pPr>
            <w:r>
              <w:rPr>
                <w:rFonts w:hint="eastAsia" w:ascii="宋体" w:hAnsi="宋体"/>
                <w:szCs w:val="21"/>
              </w:rPr>
              <w:t xml:space="preserve">果壳箱倾斜的，每只扣0.5分，未按操作规范作业造成破损的扣1分。 </w:t>
            </w:r>
          </w:p>
        </w:tc>
      </w:tr>
      <w:tr w14:paraId="77D8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82" w:type="dxa"/>
            <w:vMerge w:val="continue"/>
            <w:tcBorders>
              <w:top w:val="single" w:color="auto" w:sz="4" w:space="0"/>
              <w:left w:val="single" w:color="auto" w:sz="4" w:space="0"/>
              <w:right w:val="single" w:color="auto" w:sz="4" w:space="0"/>
            </w:tcBorders>
            <w:noWrap/>
            <w:vAlign w:val="center"/>
          </w:tcPr>
          <w:p w14:paraId="109EF73A"/>
        </w:tc>
        <w:tc>
          <w:tcPr>
            <w:tcW w:w="795" w:type="dxa"/>
            <w:vMerge w:val="continue"/>
            <w:tcBorders>
              <w:top w:val="single" w:color="auto" w:sz="4" w:space="0"/>
              <w:left w:val="single" w:color="auto" w:sz="4" w:space="0"/>
              <w:right w:val="single" w:color="auto" w:sz="4" w:space="0"/>
            </w:tcBorders>
            <w:noWrap/>
            <w:vAlign w:val="center"/>
          </w:tcPr>
          <w:p w14:paraId="7E3992F4"/>
        </w:tc>
        <w:tc>
          <w:tcPr>
            <w:tcW w:w="3523" w:type="dxa"/>
            <w:tcBorders>
              <w:top w:val="single" w:color="auto" w:sz="4" w:space="0"/>
              <w:left w:val="single" w:color="auto" w:sz="4" w:space="0"/>
              <w:right w:val="single" w:color="auto" w:sz="4" w:space="0"/>
            </w:tcBorders>
            <w:noWrap/>
            <w:vAlign w:val="center"/>
          </w:tcPr>
          <w:p w14:paraId="6A256556">
            <w:pPr>
              <w:numPr>
                <w:ilvl w:val="0"/>
                <w:numId w:val="10"/>
              </w:numPr>
              <w:adjustRightInd w:val="0"/>
              <w:snapToGrid w:val="0"/>
              <w:rPr>
                <w:rFonts w:ascii="宋体" w:hAnsi="宋体"/>
                <w:szCs w:val="21"/>
              </w:rPr>
            </w:pPr>
            <w:r>
              <w:rPr>
                <w:rFonts w:hint="eastAsia" w:ascii="宋体" w:hAnsi="宋体"/>
                <w:szCs w:val="21"/>
              </w:rPr>
              <w:t>垃圾容器摆放位置合理、整齐，随时保持整洁、无污垢及密闭。垃圾收集后环卫容器必须马上复位。</w:t>
            </w:r>
          </w:p>
        </w:tc>
        <w:tc>
          <w:tcPr>
            <w:tcW w:w="4500" w:type="dxa"/>
            <w:tcBorders>
              <w:top w:val="single" w:color="auto" w:sz="4" w:space="0"/>
              <w:left w:val="single" w:color="auto" w:sz="4" w:space="0"/>
              <w:right w:val="single" w:color="auto" w:sz="4" w:space="0"/>
            </w:tcBorders>
            <w:noWrap/>
            <w:vAlign w:val="center"/>
          </w:tcPr>
          <w:p w14:paraId="45A6A36D">
            <w:pPr>
              <w:numPr>
                <w:ilvl w:val="0"/>
                <w:numId w:val="11"/>
              </w:numPr>
              <w:adjustRightInd w:val="0"/>
              <w:snapToGrid w:val="0"/>
              <w:rPr>
                <w:rFonts w:ascii="宋体" w:hAnsi="宋体"/>
                <w:szCs w:val="21"/>
              </w:rPr>
            </w:pPr>
            <w:r>
              <w:rPr>
                <w:rFonts w:hint="eastAsia" w:ascii="宋体" w:hAnsi="宋体"/>
                <w:szCs w:val="21"/>
              </w:rPr>
              <w:t>垃圾容器不整洁有污垢的每处扣0.5分，环卫容器缺失、垃圾桶不入房每处扣0.5分。果壳箱内胆、垃圾桶未摆放原位每处扣0.5分；果壳箱、垃圾桶、房未密闭每处扣0.1分。</w:t>
            </w:r>
          </w:p>
        </w:tc>
      </w:tr>
      <w:tr w14:paraId="5860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082" w:type="dxa"/>
            <w:vMerge w:val="continue"/>
            <w:tcBorders>
              <w:top w:val="single" w:color="auto" w:sz="4" w:space="0"/>
              <w:left w:val="single" w:color="auto" w:sz="4" w:space="0"/>
              <w:right w:val="single" w:color="auto" w:sz="4" w:space="0"/>
            </w:tcBorders>
            <w:noWrap/>
            <w:vAlign w:val="center"/>
          </w:tcPr>
          <w:p w14:paraId="6120C855"/>
        </w:tc>
        <w:tc>
          <w:tcPr>
            <w:tcW w:w="795" w:type="dxa"/>
            <w:vMerge w:val="continue"/>
            <w:tcBorders>
              <w:top w:val="single" w:color="auto" w:sz="4" w:space="0"/>
              <w:left w:val="single" w:color="auto" w:sz="4" w:space="0"/>
              <w:right w:val="single" w:color="auto" w:sz="4" w:space="0"/>
            </w:tcBorders>
            <w:noWrap/>
            <w:vAlign w:val="center"/>
          </w:tcPr>
          <w:p w14:paraId="6122FCAA"/>
        </w:tc>
        <w:tc>
          <w:tcPr>
            <w:tcW w:w="3523" w:type="dxa"/>
            <w:tcBorders>
              <w:top w:val="single" w:color="auto" w:sz="4" w:space="0"/>
              <w:left w:val="single" w:color="auto" w:sz="4" w:space="0"/>
              <w:right w:val="single" w:color="auto" w:sz="4" w:space="0"/>
            </w:tcBorders>
            <w:noWrap/>
            <w:vAlign w:val="center"/>
          </w:tcPr>
          <w:p w14:paraId="19EBD781">
            <w:pPr>
              <w:numPr>
                <w:ilvl w:val="0"/>
                <w:numId w:val="10"/>
              </w:numPr>
              <w:adjustRightInd w:val="0"/>
              <w:snapToGrid w:val="0"/>
              <w:rPr>
                <w:rFonts w:ascii="宋体" w:hAnsi="宋体"/>
                <w:szCs w:val="21"/>
              </w:rPr>
            </w:pPr>
            <w:r>
              <w:rPr>
                <w:rFonts w:hint="eastAsia" w:ascii="宋体" w:hAnsi="宋体"/>
                <w:szCs w:val="21"/>
              </w:rPr>
              <w:t>保持垃圾容器齐全、完好。垃圾容器定期做好清洗、消杀。</w:t>
            </w:r>
          </w:p>
        </w:tc>
        <w:tc>
          <w:tcPr>
            <w:tcW w:w="4500" w:type="dxa"/>
            <w:tcBorders>
              <w:top w:val="single" w:color="auto" w:sz="4" w:space="0"/>
              <w:left w:val="single" w:color="auto" w:sz="4" w:space="0"/>
              <w:right w:val="single" w:color="auto" w:sz="4" w:space="0"/>
            </w:tcBorders>
            <w:noWrap/>
            <w:vAlign w:val="center"/>
          </w:tcPr>
          <w:p w14:paraId="568B7BD0">
            <w:pPr>
              <w:numPr>
                <w:ilvl w:val="0"/>
                <w:numId w:val="11"/>
              </w:numPr>
              <w:adjustRightInd w:val="0"/>
              <w:snapToGrid w:val="0"/>
              <w:rPr>
                <w:rFonts w:ascii="宋体" w:hAnsi="宋体"/>
                <w:szCs w:val="21"/>
              </w:rPr>
            </w:pPr>
            <w:r>
              <w:rPr>
                <w:rFonts w:hint="eastAsia" w:ascii="宋体" w:hAnsi="宋体"/>
                <w:szCs w:val="21"/>
              </w:rPr>
              <w:t>垃圾容器损坏、丢失应在半个工作日之内，书面形式上报区环卫处进行更换、修复，未及时上报的，每处每次扣1分。未按要求定期做好清洗、消杀的，每处每次扣1分。</w:t>
            </w:r>
          </w:p>
        </w:tc>
      </w:tr>
      <w:tr w14:paraId="107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1082" w:type="dxa"/>
            <w:vMerge w:val="continue"/>
            <w:tcBorders>
              <w:top w:val="single" w:color="auto" w:sz="4" w:space="0"/>
              <w:left w:val="single" w:color="auto" w:sz="4" w:space="0"/>
              <w:right w:val="single" w:color="auto" w:sz="4" w:space="0"/>
            </w:tcBorders>
            <w:noWrap/>
            <w:vAlign w:val="center"/>
          </w:tcPr>
          <w:p w14:paraId="48367425"/>
        </w:tc>
        <w:tc>
          <w:tcPr>
            <w:tcW w:w="795" w:type="dxa"/>
            <w:vMerge w:val="continue"/>
            <w:tcBorders>
              <w:top w:val="single" w:color="auto" w:sz="4" w:space="0"/>
              <w:left w:val="single" w:color="auto" w:sz="4" w:space="0"/>
              <w:right w:val="single" w:color="auto" w:sz="4" w:space="0"/>
            </w:tcBorders>
            <w:noWrap/>
            <w:vAlign w:val="center"/>
          </w:tcPr>
          <w:p w14:paraId="33ED4AE3"/>
        </w:tc>
        <w:tc>
          <w:tcPr>
            <w:tcW w:w="3523" w:type="dxa"/>
            <w:tcBorders>
              <w:top w:val="single" w:color="auto" w:sz="4" w:space="0"/>
              <w:left w:val="single" w:color="auto" w:sz="4" w:space="0"/>
              <w:right w:val="single" w:color="auto" w:sz="4" w:space="0"/>
            </w:tcBorders>
            <w:noWrap/>
            <w:vAlign w:val="center"/>
          </w:tcPr>
          <w:p w14:paraId="07B9593D">
            <w:pPr>
              <w:numPr>
                <w:ilvl w:val="0"/>
                <w:numId w:val="10"/>
              </w:numPr>
              <w:adjustRightInd w:val="0"/>
              <w:snapToGrid w:val="0"/>
              <w:rPr>
                <w:rFonts w:ascii="宋体" w:hAnsi="宋体"/>
                <w:szCs w:val="21"/>
              </w:rPr>
            </w:pPr>
            <w:r>
              <w:rPr>
                <w:rFonts w:hint="eastAsia" w:ascii="宋体" w:hAnsi="宋体"/>
                <w:szCs w:val="21"/>
              </w:rPr>
              <w:t>环卫作业车辆（含机动车、非机动车）保持完好整洁、无破损，有统一编号、监督电话、责任单位、车厢外无吊挂，并按规定进行停放。</w:t>
            </w:r>
          </w:p>
        </w:tc>
        <w:tc>
          <w:tcPr>
            <w:tcW w:w="4500" w:type="dxa"/>
            <w:tcBorders>
              <w:top w:val="single" w:color="auto" w:sz="4" w:space="0"/>
              <w:left w:val="single" w:color="auto" w:sz="4" w:space="0"/>
              <w:right w:val="single" w:color="auto" w:sz="4" w:space="0"/>
            </w:tcBorders>
            <w:noWrap/>
            <w:vAlign w:val="center"/>
          </w:tcPr>
          <w:p w14:paraId="0FFD9D89">
            <w:pPr>
              <w:numPr>
                <w:ilvl w:val="0"/>
                <w:numId w:val="11"/>
              </w:numPr>
              <w:adjustRightInd w:val="0"/>
              <w:snapToGrid w:val="0"/>
              <w:rPr>
                <w:rFonts w:ascii="宋体" w:hAnsi="宋体"/>
                <w:szCs w:val="21"/>
              </w:rPr>
            </w:pPr>
            <w:r>
              <w:rPr>
                <w:rFonts w:hint="eastAsia" w:ascii="宋体" w:hAnsi="宋体"/>
                <w:szCs w:val="21"/>
              </w:rPr>
              <w:t xml:space="preserve">环卫专用车辆外观不洁、积尘、破损、车身油漆剥落（剥落面积大于15cm×15cm），每发现一次扣0.5分；环卫专用车辆无统一编号、监督电话、责任单位的，每发现一次扣0.5分；车厢外有吊挂的，每发现一次扣0.5分；未按规定进行停放的，每发现一次扣0.5分。 </w:t>
            </w:r>
          </w:p>
        </w:tc>
      </w:tr>
      <w:tr w14:paraId="5980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82" w:type="dxa"/>
            <w:vMerge w:val="continue"/>
            <w:tcBorders>
              <w:top w:val="single" w:color="auto" w:sz="4" w:space="0"/>
              <w:left w:val="single" w:color="auto" w:sz="4" w:space="0"/>
              <w:right w:val="single" w:color="auto" w:sz="4" w:space="0"/>
            </w:tcBorders>
            <w:noWrap/>
            <w:vAlign w:val="center"/>
          </w:tcPr>
          <w:p w14:paraId="50C90545"/>
        </w:tc>
        <w:tc>
          <w:tcPr>
            <w:tcW w:w="795" w:type="dxa"/>
            <w:vMerge w:val="continue"/>
            <w:tcBorders>
              <w:top w:val="single" w:color="auto" w:sz="4" w:space="0"/>
              <w:left w:val="single" w:color="auto" w:sz="4" w:space="0"/>
              <w:right w:val="single" w:color="auto" w:sz="4" w:space="0"/>
            </w:tcBorders>
            <w:noWrap/>
            <w:vAlign w:val="center"/>
          </w:tcPr>
          <w:p w14:paraId="28665961"/>
        </w:tc>
        <w:tc>
          <w:tcPr>
            <w:tcW w:w="3523" w:type="dxa"/>
            <w:tcBorders>
              <w:top w:val="single" w:color="auto" w:sz="4" w:space="0"/>
              <w:left w:val="single" w:color="auto" w:sz="4" w:space="0"/>
              <w:right w:val="single" w:color="auto" w:sz="4" w:space="0"/>
            </w:tcBorders>
            <w:noWrap/>
            <w:vAlign w:val="center"/>
          </w:tcPr>
          <w:p w14:paraId="40A96E9E">
            <w:pPr>
              <w:numPr>
                <w:ilvl w:val="0"/>
                <w:numId w:val="10"/>
              </w:numPr>
              <w:adjustRightInd w:val="0"/>
              <w:snapToGrid w:val="0"/>
              <w:rPr>
                <w:rFonts w:ascii="宋体" w:hAnsi="宋体"/>
                <w:szCs w:val="21"/>
              </w:rPr>
            </w:pPr>
            <w:r>
              <w:rPr>
                <w:rFonts w:hint="eastAsia" w:ascii="宋体" w:hAnsi="宋体"/>
                <w:szCs w:val="21"/>
                <w:lang w:val="zh-CN"/>
              </w:rPr>
              <w:t>清扫作业间隙，清扫工具要规范摆放。</w:t>
            </w:r>
          </w:p>
        </w:tc>
        <w:tc>
          <w:tcPr>
            <w:tcW w:w="4500" w:type="dxa"/>
            <w:tcBorders>
              <w:top w:val="single" w:color="auto" w:sz="4" w:space="0"/>
              <w:left w:val="single" w:color="auto" w:sz="4" w:space="0"/>
              <w:right w:val="single" w:color="auto" w:sz="4" w:space="0"/>
            </w:tcBorders>
            <w:noWrap/>
            <w:vAlign w:val="center"/>
          </w:tcPr>
          <w:p w14:paraId="0448150C">
            <w:pPr>
              <w:numPr>
                <w:ilvl w:val="0"/>
                <w:numId w:val="11"/>
              </w:numPr>
              <w:adjustRightInd w:val="0"/>
              <w:snapToGrid w:val="0"/>
              <w:rPr>
                <w:rFonts w:ascii="宋体" w:hAnsi="宋体"/>
                <w:szCs w:val="21"/>
              </w:rPr>
            </w:pPr>
            <w:r>
              <w:rPr>
                <w:rFonts w:hint="eastAsia" w:ascii="宋体" w:hAnsi="宋体"/>
                <w:szCs w:val="21"/>
                <w:lang w:val="zh-CN"/>
              </w:rPr>
              <w:t>摆放不规范、随意放置的，每发现一次扣0.2分。</w:t>
            </w:r>
          </w:p>
        </w:tc>
      </w:tr>
      <w:tr w14:paraId="2260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82" w:type="dxa"/>
            <w:vMerge w:val="restart"/>
            <w:tcBorders>
              <w:top w:val="single" w:color="auto" w:sz="4" w:space="0"/>
              <w:left w:val="single" w:color="auto" w:sz="4" w:space="0"/>
              <w:right w:val="single" w:color="auto" w:sz="4" w:space="0"/>
            </w:tcBorders>
            <w:noWrap/>
            <w:vAlign w:val="center"/>
          </w:tcPr>
          <w:p w14:paraId="7B42E429">
            <w:pPr>
              <w:adjustRightInd w:val="0"/>
              <w:snapToGrid w:val="0"/>
              <w:jc w:val="center"/>
              <w:rPr>
                <w:rFonts w:ascii="宋体" w:hAnsi="宋体"/>
                <w:szCs w:val="21"/>
              </w:rPr>
            </w:pPr>
          </w:p>
          <w:p w14:paraId="63B0992F">
            <w:pPr>
              <w:adjustRightInd w:val="0"/>
              <w:snapToGrid w:val="0"/>
              <w:jc w:val="center"/>
              <w:rPr>
                <w:rFonts w:ascii="宋体" w:hAnsi="宋体"/>
                <w:szCs w:val="21"/>
              </w:rPr>
            </w:pPr>
            <w:r>
              <w:rPr>
                <w:rFonts w:hint="eastAsia" w:ascii="宋体" w:hAnsi="宋体"/>
                <w:szCs w:val="21"/>
              </w:rPr>
              <w:t>（三）</w:t>
            </w:r>
          </w:p>
          <w:p w14:paraId="4164F641">
            <w:pPr>
              <w:adjustRightInd w:val="0"/>
              <w:snapToGrid w:val="0"/>
              <w:jc w:val="center"/>
              <w:rPr>
                <w:rFonts w:ascii="宋体" w:hAnsi="宋体"/>
                <w:szCs w:val="21"/>
              </w:rPr>
            </w:pPr>
            <w:r>
              <w:rPr>
                <w:rFonts w:hint="eastAsia" w:ascii="宋体" w:hAnsi="宋体"/>
                <w:szCs w:val="21"/>
              </w:rPr>
              <w:t>垃圾</w:t>
            </w:r>
          </w:p>
          <w:p w14:paraId="23143DE7">
            <w:pPr>
              <w:adjustRightInd w:val="0"/>
              <w:snapToGrid w:val="0"/>
              <w:jc w:val="center"/>
              <w:rPr>
                <w:rFonts w:ascii="宋体" w:hAnsi="宋体"/>
                <w:szCs w:val="21"/>
              </w:rPr>
            </w:pPr>
            <w:r>
              <w:rPr>
                <w:rFonts w:hint="eastAsia" w:ascii="宋体" w:hAnsi="宋体"/>
                <w:szCs w:val="21"/>
              </w:rPr>
              <w:t>清运</w:t>
            </w:r>
          </w:p>
          <w:p w14:paraId="0448E8E0">
            <w:pPr>
              <w:adjustRightInd w:val="0"/>
              <w:snapToGrid w:val="0"/>
              <w:jc w:val="center"/>
              <w:rPr>
                <w:rFonts w:ascii="宋体" w:hAnsi="宋体"/>
                <w:szCs w:val="21"/>
              </w:rPr>
            </w:pPr>
            <w:r>
              <w:rPr>
                <w:rFonts w:hint="eastAsia" w:ascii="宋体" w:hAnsi="宋体"/>
                <w:szCs w:val="21"/>
              </w:rPr>
              <w:t>管理</w:t>
            </w:r>
          </w:p>
          <w:p w14:paraId="0C310810">
            <w:pPr>
              <w:adjustRightInd w:val="0"/>
              <w:snapToGrid w:val="0"/>
              <w:jc w:val="center"/>
              <w:rPr>
                <w:rFonts w:ascii="宋体" w:hAnsi="宋体"/>
                <w:szCs w:val="21"/>
              </w:rPr>
            </w:pPr>
            <w:r>
              <w:rPr>
                <w:rFonts w:hint="eastAsia" w:ascii="宋体" w:hAnsi="宋体"/>
                <w:szCs w:val="21"/>
              </w:rPr>
              <w:t>指标</w:t>
            </w:r>
          </w:p>
          <w:p w14:paraId="2E5BB438">
            <w:pPr>
              <w:adjustRightInd w:val="0"/>
              <w:snapToGrid w:val="0"/>
              <w:jc w:val="center"/>
              <w:rPr>
                <w:rFonts w:ascii="宋体" w:hAnsi="宋体"/>
                <w:szCs w:val="21"/>
              </w:rPr>
            </w:pPr>
            <w:r>
              <w:rPr>
                <w:rFonts w:hint="eastAsia" w:ascii="宋体" w:hAnsi="宋体"/>
                <w:szCs w:val="21"/>
              </w:rPr>
              <w:t>落实</w:t>
            </w:r>
          </w:p>
          <w:p w14:paraId="27FD60EA">
            <w:pPr>
              <w:adjustRightInd w:val="0"/>
              <w:snapToGrid w:val="0"/>
              <w:jc w:val="center"/>
              <w:rPr>
                <w:rFonts w:ascii="宋体" w:hAnsi="宋体"/>
                <w:szCs w:val="21"/>
              </w:rPr>
            </w:pPr>
            <w:r>
              <w:rPr>
                <w:rFonts w:hint="eastAsia" w:ascii="宋体" w:hAnsi="宋体"/>
                <w:szCs w:val="21"/>
              </w:rPr>
              <w:t>情况</w:t>
            </w:r>
          </w:p>
        </w:tc>
        <w:tc>
          <w:tcPr>
            <w:tcW w:w="795" w:type="dxa"/>
            <w:vMerge w:val="restart"/>
            <w:tcBorders>
              <w:top w:val="single" w:color="auto" w:sz="4" w:space="0"/>
              <w:left w:val="single" w:color="auto" w:sz="4" w:space="0"/>
              <w:right w:val="single" w:color="auto" w:sz="4" w:space="0"/>
            </w:tcBorders>
            <w:noWrap/>
            <w:vAlign w:val="center"/>
          </w:tcPr>
          <w:p w14:paraId="7119A781">
            <w:pPr>
              <w:adjustRightInd w:val="0"/>
              <w:snapToGrid w:val="0"/>
              <w:jc w:val="center"/>
              <w:rPr>
                <w:rFonts w:ascii="宋体" w:hAnsi="宋体"/>
                <w:szCs w:val="21"/>
              </w:rPr>
            </w:pPr>
          </w:p>
          <w:p w14:paraId="0B99BC39">
            <w:pPr>
              <w:adjustRightInd w:val="0"/>
              <w:snapToGrid w:val="0"/>
              <w:jc w:val="center"/>
              <w:rPr>
                <w:rFonts w:ascii="宋体" w:hAnsi="宋体"/>
                <w:szCs w:val="21"/>
              </w:rPr>
            </w:pPr>
            <w:r>
              <w:rPr>
                <w:rFonts w:hint="eastAsia" w:ascii="宋体" w:hAnsi="宋体"/>
                <w:szCs w:val="21"/>
              </w:rPr>
              <w:t>现</w:t>
            </w:r>
          </w:p>
          <w:p w14:paraId="51B0CA6B">
            <w:pPr>
              <w:adjustRightInd w:val="0"/>
              <w:snapToGrid w:val="0"/>
              <w:jc w:val="center"/>
              <w:rPr>
                <w:rFonts w:ascii="宋体" w:hAnsi="宋体"/>
                <w:szCs w:val="21"/>
              </w:rPr>
            </w:pPr>
            <w:r>
              <w:rPr>
                <w:rFonts w:hint="eastAsia" w:ascii="宋体" w:hAnsi="宋体"/>
                <w:szCs w:val="21"/>
              </w:rPr>
              <w:t>场</w:t>
            </w:r>
          </w:p>
          <w:p w14:paraId="24644B7F">
            <w:pPr>
              <w:adjustRightInd w:val="0"/>
              <w:snapToGrid w:val="0"/>
              <w:jc w:val="center"/>
              <w:rPr>
                <w:rFonts w:ascii="宋体" w:hAnsi="宋体"/>
                <w:szCs w:val="21"/>
              </w:rPr>
            </w:pPr>
            <w:r>
              <w:rPr>
                <w:rFonts w:hint="eastAsia" w:ascii="宋体" w:hAnsi="宋体"/>
                <w:szCs w:val="21"/>
              </w:rPr>
              <w:t>检</w:t>
            </w:r>
          </w:p>
          <w:p w14:paraId="203C6783">
            <w:pPr>
              <w:adjustRightInd w:val="0"/>
              <w:snapToGrid w:val="0"/>
              <w:jc w:val="center"/>
              <w:rPr>
                <w:rFonts w:ascii="宋体" w:hAnsi="宋体"/>
                <w:szCs w:val="21"/>
              </w:rPr>
            </w:pPr>
            <w:r>
              <w:rPr>
                <w:rFonts w:hint="eastAsia" w:ascii="宋体" w:hAnsi="宋体"/>
                <w:szCs w:val="21"/>
              </w:rPr>
              <w:t>查</w:t>
            </w:r>
          </w:p>
        </w:tc>
        <w:tc>
          <w:tcPr>
            <w:tcW w:w="3523" w:type="dxa"/>
            <w:tcBorders>
              <w:top w:val="single" w:color="auto" w:sz="4" w:space="0"/>
              <w:left w:val="single" w:color="auto" w:sz="4" w:space="0"/>
              <w:right w:val="single" w:color="auto" w:sz="4" w:space="0"/>
            </w:tcBorders>
            <w:noWrap/>
            <w:vAlign w:val="center"/>
          </w:tcPr>
          <w:p w14:paraId="79A0F16D">
            <w:pPr>
              <w:numPr>
                <w:ilvl w:val="0"/>
                <w:numId w:val="10"/>
              </w:numPr>
              <w:adjustRightInd w:val="0"/>
              <w:snapToGrid w:val="0"/>
              <w:rPr>
                <w:rFonts w:ascii="宋体" w:hAnsi="宋体"/>
                <w:szCs w:val="21"/>
              </w:rPr>
            </w:pPr>
            <w:r>
              <w:rPr>
                <w:rFonts w:hint="eastAsia" w:ascii="宋体" w:hAnsi="宋体"/>
                <w:szCs w:val="21"/>
              </w:rPr>
              <w:t>严格按规定完成果壳箱、移动垃圾箱、固定垃圾房第一遍垃圾分类收集、清运,并清运彻底。</w:t>
            </w:r>
          </w:p>
        </w:tc>
        <w:tc>
          <w:tcPr>
            <w:tcW w:w="4500" w:type="dxa"/>
            <w:tcBorders>
              <w:top w:val="single" w:color="auto" w:sz="4" w:space="0"/>
              <w:left w:val="single" w:color="auto" w:sz="4" w:space="0"/>
              <w:right w:val="single" w:color="auto" w:sz="4" w:space="0"/>
            </w:tcBorders>
            <w:noWrap/>
            <w:vAlign w:val="center"/>
          </w:tcPr>
          <w:p w14:paraId="53D6EA70">
            <w:pPr>
              <w:numPr>
                <w:ilvl w:val="0"/>
                <w:numId w:val="11"/>
              </w:numPr>
              <w:adjustRightInd w:val="0"/>
              <w:snapToGrid w:val="0"/>
              <w:rPr>
                <w:rFonts w:ascii="宋体" w:hAnsi="宋体"/>
                <w:szCs w:val="21"/>
              </w:rPr>
            </w:pPr>
            <w:r>
              <w:rPr>
                <w:rFonts w:hint="eastAsia" w:ascii="宋体" w:hAnsi="宋体"/>
                <w:szCs w:val="21"/>
              </w:rPr>
              <w:t>未在规定时间内完成垃圾收集、清运的，每处果壳箱、移动垃圾箱、固定垃圾房扣1分。每处未分类收集、清运扣1分，清运不彻底的扣0.5分。</w:t>
            </w:r>
          </w:p>
        </w:tc>
      </w:tr>
      <w:tr w14:paraId="6277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82" w:type="dxa"/>
            <w:vMerge w:val="continue"/>
            <w:tcBorders>
              <w:top w:val="single" w:color="auto" w:sz="4" w:space="0"/>
              <w:left w:val="single" w:color="auto" w:sz="4" w:space="0"/>
              <w:right w:val="single" w:color="auto" w:sz="4" w:space="0"/>
            </w:tcBorders>
            <w:noWrap/>
            <w:vAlign w:val="center"/>
          </w:tcPr>
          <w:p w14:paraId="1E3DD29A"/>
        </w:tc>
        <w:tc>
          <w:tcPr>
            <w:tcW w:w="795" w:type="dxa"/>
            <w:vMerge w:val="continue"/>
            <w:tcBorders>
              <w:top w:val="single" w:color="auto" w:sz="4" w:space="0"/>
              <w:left w:val="single" w:color="auto" w:sz="4" w:space="0"/>
              <w:right w:val="single" w:color="auto" w:sz="4" w:space="0"/>
            </w:tcBorders>
            <w:noWrap/>
            <w:vAlign w:val="center"/>
          </w:tcPr>
          <w:p w14:paraId="68FFF6A5"/>
        </w:tc>
        <w:tc>
          <w:tcPr>
            <w:tcW w:w="3523" w:type="dxa"/>
            <w:tcBorders>
              <w:top w:val="single" w:color="auto" w:sz="4" w:space="0"/>
              <w:left w:val="single" w:color="auto" w:sz="4" w:space="0"/>
              <w:right w:val="single" w:color="auto" w:sz="4" w:space="0"/>
            </w:tcBorders>
            <w:noWrap/>
            <w:vAlign w:val="center"/>
          </w:tcPr>
          <w:p w14:paraId="40EBFA48">
            <w:pPr>
              <w:numPr>
                <w:ilvl w:val="0"/>
                <w:numId w:val="10"/>
              </w:numPr>
              <w:adjustRightInd w:val="0"/>
              <w:snapToGrid w:val="0"/>
              <w:rPr>
                <w:rFonts w:ascii="宋体" w:hAnsi="宋体"/>
                <w:szCs w:val="21"/>
              </w:rPr>
            </w:pPr>
            <w:r>
              <w:rPr>
                <w:rFonts w:hint="eastAsia" w:ascii="宋体" w:hAnsi="宋体"/>
                <w:szCs w:val="21"/>
              </w:rPr>
              <w:t>垃圾收集清运车实行密闭运输，无垃圾抛洒、无污水滴漏、车厢外无吊挂。</w:t>
            </w:r>
          </w:p>
        </w:tc>
        <w:tc>
          <w:tcPr>
            <w:tcW w:w="4500" w:type="dxa"/>
            <w:tcBorders>
              <w:top w:val="single" w:color="auto" w:sz="4" w:space="0"/>
              <w:left w:val="single" w:color="auto" w:sz="4" w:space="0"/>
              <w:right w:val="single" w:color="auto" w:sz="4" w:space="0"/>
            </w:tcBorders>
            <w:noWrap/>
            <w:vAlign w:val="center"/>
          </w:tcPr>
          <w:p w14:paraId="0AE14C4D">
            <w:pPr>
              <w:numPr>
                <w:ilvl w:val="0"/>
                <w:numId w:val="11"/>
              </w:numPr>
              <w:adjustRightInd w:val="0"/>
              <w:snapToGrid w:val="0"/>
              <w:rPr>
                <w:rFonts w:ascii="宋体" w:hAnsi="宋体"/>
                <w:szCs w:val="21"/>
              </w:rPr>
            </w:pPr>
            <w:r>
              <w:rPr>
                <w:rFonts w:hint="eastAsia" w:ascii="宋体" w:hAnsi="宋体"/>
                <w:szCs w:val="21"/>
              </w:rPr>
              <w:t>垃圾收集清运车未实行密闭运输，每发现一次，扣0.5；发生抛洒滴漏污染路面、车厢外有吊挂的，每发生1次扣1分。</w:t>
            </w:r>
          </w:p>
        </w:tc>
      </w:tr>
      <w:tr w14:paraId="4774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82" w:type="dxa"/>
            <w:vMerge w:val="continue"/>
            <w:tcBorders>
              <w:top w:val="single" w:color="auto" w:sz="4" w:space="0"/>
              <w:left w:val="single" w:color="auto" w:sz="4" w:space="0"/>
              <w:right w:val="single" w:color="auto" w:sz="4" w:space="0"/>
            </w:tcBorders>
            <w:noWrap/>
            <w:vAlign w:val="center"/>
          </w:tcPr>
          <w:p w14:paraId="3C373912"/>
        </w:tc>
        <w:tc>
          <w:tcPr>
            <w:tcW w:w="795" w:type="dxa"/>
            <w:vMerge w:val="continue"/>
            <w:tcBorders>
              <w:top w:val="single" w:color="auto" w:sz="4" w:space="0"/>
              <w:left w:val="single" w:color="auto" w:sz="4" w:space="0"/>
              <w:right w:val="single" w:color="auto" w:sz="4" w:space="0"/>
            </w:tcBorders>
            <w:noWrap/>
            <w:vAlign w:val="center"/>
          </w:tcPr>
          <w:p w14:paraId="28DBD281"/>
        </w:tc>
        <w:tc>
          <w:tcPr>
            <w:tcW w:w="3523" w:type="dxa"/>
            <w:tcBorders>
              <w:top w:val="single" w:color="auto" w:sz="4" w:space="0"/>
              <w:left w:val="single" w:color="auto" w:sz="4" w:space="0"/>
              <w:right w:val="single" w:color="auto" w:sz="4" w:space="0"/>
            </w:tcBorders>
            <w:noWrap/>
            <w:vAlign w:val="center"/>
          </w:tcPr>
          <w:p w14:paraId="228928BB">
            <w:pPr>
              <w:numPr>
                <w:ilvl w:val="0"/>
                <w:numId w:val="10"/>
              </w:numPr>
              <w:adjustRightInd w:val="0"/>
              <w:snapToGrid w:val="0"/>
              <w:rPr>
                <w:rFonts w:ascii="宋体" w:hAnsi="宋体"/>
                <w:szCs w:val="21"/>
              </w:rPr>
            </w:pPr>
            <w:r>
              <w:rPr>
                <w:rFonts w:hint="eastAsia" w:ascii="宋体" w:hAnsi="宋体"/>
                <w:szCs w:val="21"/>
              </w:rPr>
              <w:t>果壳箱、垃圾桶、垃圾房垃圾，做到日产日清。移动垃圾箱内的垃圾不得落地，必须配备专门车辆清洁直运。</w:t>
            </w:r>
          </w:p>
        </w:tc>
        <w:tc>
          <w:tcPr>
            <w:tcW w:w="4500" w:type="dxa"/>
            <w:tcBorders>
              <w:top w:val="single" w:color="auto" w:sz="4" w:space="0"/>
              <w:left w:val="single" w:color="auto" w:sz="4" w:space="0"/>
              <w:right w:val="single" w:color="auto" w:sz="4" w:space="0"/>
            </w:tcBorders>
            <w:noWrap/>
            <w:vAlign w:val="center"/>
          </w:tcPr>
          <w:p w14:paraId="68B9E3A0">
            <w:pPr>
              <w:numPr>
                <w:ilvl w:val="0"/>
                <w:numId w:val="11"/>
              </w:numPr>
              <w:adjustRightInd w:val="0"/>
              <w:snapToGrid w:val="0"/>
              <w:rPr>
                <w:rFonts w:ascii="宋体" w:hAnsi="宋体"/>
                <w:szCs w:val="21"/>
              </w:rPr>
            </w:pPr>
            <w:r>
              <w:rPr>
                <w:rFonts w:hint="eastAsia" w:ascii="宋体" w:hAnsi="宋体"/>
                <w:szCs w:val="21"/>
              </w:rPr>
              <w:t>未做到垃圾日产日清，晚上保洁结束前垃圾容器内垃圾超过50%的，每处扣0.5分；移动垃圾箱内的垃圾落地后再清理从而造成二次污染的每处每次扣1分。</w:t>
            </w:r>
          </w:p>
        </w:tc>
      </w:tr>
      <w:tr w14:paraId="37DD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082" w:type="dxa"/>
            <w:vMerge w:val="continue"/>
            <w:tcBorders>
              <w:top w:val="single" w:color="auto" w:sz="4" w:space="0"/>
              <w:left w:val="single" w:color="auto" w:sz="4" w:space="0"/>
              <w:right w:val="single" w:color="auto" w:sz="4" w:space="0"/>
            </w:tcBorders>
            <w:noWrap/>
            <w:vAlign w:val="center"/>
          </w:tcPr>
          <w:p w14:paraId="0E17DA90"/>
        </w:tc>
        <w:tc>
          <w:tcPr>
            <w:tcW w:w="795" w:type="dxa"/>
            <w:vMerge w:val="continue"/>
            <w:tcBorders>
              <w:top w:val="single" w:color="auto" w:sz="4" w:space="0"/>
              <w:left w:val="single" w:color="auto" w:sz="4" w:space="0"/>
              <w:right w:val="single" w:color="auto" w:sz="4" w:space="0"/>
            </w:tcBorders>
            <w:noWrap/>
            <w:vAlign w:val="center"/>
          </w:tcPr>
          <w:p w14:paraId="49A5D12B"/>
        </w:tc>
        <w:tc>
          <w:tcPr>
            <w:tcW w:w="3523" w:type="dxa"/>
            <w:tcBorders>
              <w:top w:val="single" w:color="auto" w:sz="4" w:space="0"/>
              <w:left w:val="single" w:color="auto" w:sz="4" w:space="0"/>
              <w:right w:val="single" w:color="auto" w:sz="4" w:space="0"/>
            </w:tcBorders>
            <w:noWrap/>
            <w:vAlign w:val="center"/>
          </w:tcPr>
          <w:p w14:paraId="0EFF8964">
            <w:pPr>
              <w:numPr>
                <w:ilvl w:val="0"/>
                <w:numId w:val="10"/>
              </w:numPr>
              <w:adjustRightInd w:val="0"/>
              <w:snapToGrid w:val="0"/>
              <w:rPr>
                <w:rFonts w:ascii="宋体" w:hAnsi="宋体"/>
                <w:szCs w:val="21"/>
              </w:rPr>
            </w:pPr>
            <w:r>
              <w:rPr>
                <w:rFonts w:hint="eastAsia" w:ascii="宋体" w:hAnsi="宋体"/>
                <w:szCs w:val="21"/>
              </w:rPr>
              <w:t>果壳箱、移动垃圾箱及垃圾房无垃圾满溢现象，周围保持整洁干净，无房外暴露垃圾。</w:t>
            </w:r>
          </w:p>
        </w:tc>
        <w:tc>
          <w:tcPr>
            <w:tcW w:w="4500" w:type="dxa"/>
            <w:tcBorders>
              <w:top w:val="single" w:color="auto" w:sz="4" w:space="0"/>
              <w:left w:val="single" w:color="auto" w:sz="4" w:space="0"/>
              <w:right w:val="single" w:color="auto" w:sz="4" w:space="0"/>
            </w:tcBorders>
            <w:noWrap/>
            <w:vAlign w:val="center"/>
          </w:tcPr>
          <w:p w14:paraId="6CC0AEB9">
            <w:pPr>
              <w:numPr>
                <w:ilvl w:val="0"/>
                <w:numId w:val="11"/>
              </w:numPr>
              <w:adjustRightInd w:val="0"/>
              <w:snapToGrid w:val="0"/>
              <w:rPr>
                <w:rFonts w:ascii="宋体" w:hAnsi="宋体"/>
                <w:szCs w:val="21"/>
              </w:rPr>
            </w:pPr>
            <w:r>
              <w:rPr>
                <w:rFonts w:hint="eastAsia" w:ascii="宋体" w:hAnsi="宋体"/>
                <w:szCs w:val="21"/>
              </w:rPr>
              <w:t>果壳箱、移动垃圾箱、垃圾房道路清扫不及时，垃圾超出垃圾容器投放口平面的或满溢的每处扣0.5分，周围地面不洁有暴露垃圾、垃圾堆或污水的每处扣1分。</w:t>
            </w:r>
          </w:p>
        </w:tc>
      </w:tr>
      <w:tr w14:paraId="3FC3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082" w:type="dxa"/>
            <w:vMerge w:val="continue"/>
            <w:tcBorders>
              <w:top w:val="single" w:color="auto" w:sz="4" w:space="0"/>
              <w:left w:val="single" w:color="auto" w:sz="4" w:space="0"/>
              <w:right w:val="single" w:color="auto" w:sz="4" w:space="0"/>
            </w:tcBorders>
            <w:noWrap/>
            <w:vAlign w:val="center"/>
          </w:tcPr>
          <w:p w14:paraId="5CF75316"/>
        </w:tc>
        <w:tc>
          <w:tcPr>
            <w:tcW w:w="795" w:type="dxa"/>
            <w:vMerge w:val="continue"/>
            <w:tcBorders>
              <w:top w:val="single" w:color="auto" w:sz="4" w:space="0"/>
              <w:left w:val="single" w:color="auto" w:sz="4" w:space="0"/>
              <w:right w:val="single" w:color="auto" w:sz="4" w:space="0"/>
            </w:tcBorders>
            <w:noWrap/>
            <w:vAlign w:val="center"/>
          </w:tcPr>
          <w:p w14:paraId="4F13B379"/>
        </w:tc>
        <w:tc>
          <w:tcPr>
            <w:tcW w:w="3523" w:type="dxa"/>
            <w:tcBorders>
              <w:top w:val="single" w:color="auto" w:sz="4" w:space="0"/>
              <w:left w:val="single" w:color="auto" w:sz="4" w:space="0"/>
              <w:right w:val="single" w:color="auto" w:sz="4" w:space="0"/>
            </w:tcBorders>
            <w:noWrap/>
            <w:vAlign w:val="center"/>
          </w:tcPr>
          <w:p w14:paraId="085838FF">
            <w:pPr>
              <w:numPr>
                <w:ilvl w:val="0"/>
                <w:numId w:val="10"/>
              </w:numPr>
              <w:adjustRightInd w:val="0"/>
              <w:snapToGrid w:val="0"/>
              <w:rPr>
                <w:rFonts w:ascii="宋体" w:hAnsi="宋体"/>
                <w:szCs w:val="21"/>
              </w:rPr>
            </w:pPr>
            <w:r>
              <w:rPr>
                <w:rFonts w:hint="eastAsia" w:ascii="宋体" w:hAnsi="宋体"/>
                <w:szCs w:val="21"/>
              </w:rPr>
              <w:t>清扫、清运收集的垃圾不应随意倾倒，必须按规定统一运至垃圾中转站进行垃圾处理。在垃圾中转站倾倒垃圾必须服从管理员调度、指挥。</w:t>
            </w:r>
          </w:p>
        </w:tc>
        <w:tc>
          <w:tcPr>
            <w:tcW w:w="4500" w:type="dxa"/>
            <w:tcBorders>
              <w:top w:val="single" w:color="auto" w:sz="4" w:space="0"/>
              <w:left w:val="single" w:color="auto" w:sz="4" w:space="0"/>
              <w:right w:val="single" w:color="auto" w:sz="4" w:space="0"/>
            </w:tcBorders>
            <w:noWrap/>
            <w:vAlign w:val="center"/>
          </w:tcPr>
          <w:p w14:paraId="59B5690F">
            <w:pPr>
              <w:numPr>
                <w:ilvl w:val="0"/>
                <w:numId w:val="11"/>
              </w:numPr>
              <w:adjustRightInd w:val="0"/>
              <w:snapToGrid w:val="0"/>
              <w:rPr>
                <w:rFonts w:ascii="宋体" w:hAnsi="宋体"/>
                <w:szCs w:val="21"/>
              </w:rPr>
            </w:pPr>
            <w:r>
              <w:rPr>
                <w:rFonts w:hint="eastAsia" w:ascii="宋体" w:hAnsi="宋体"/>
                <w:szCs w:val="21"/>
              </w:rPr>
              <w:t>焚烧垃圾、树叶、杂物的每次扣1分；垃圾收集车内的垃圾未直接运往垃圾中转站倾倒，随意倾倒的每次扣2分；在垃圾中转站倾倒垃圾不服从中转站管理员调度、指挥的，每次扣1分。</w:t>
            </w:r>
          </w:p>
        </w:tc>
      </w:tr>
      <w:tr w14:paraId="79E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082" w:type="dxa"/>
            <w:vMerge w:val="restart"/>
            <w:tcBorders>
              <w:top w:val="single" w:color="auto" w:sz="4" w:space="0"/>
              <w:left w:val="single" w:color="auto" w:sz="4" w:space="0"/>
              <w:right w:val="single" w:color="auto" w:sz="4" w:space="0"/>
            </w:tcBorders>
            <w:noWrap/>
            <w:vAlign w:val="center"/>
          </w:tcPr>
          <w:p w14:paraId="5B1BAF08">
            <w:pPr>
              <w:adjustRightInd w:val="0"/>
              <w:snapToGrid w:val="0"/>
              <w:jc w:val="center"/>
              <w:rPr>
                <w:rFonts w:ascii="宋体" w:hAnsi="宋体"/>
                <w:szCs w:val="21"/>
              </w:rPr>
            </w:pPr>
            <w:r>
              <w:rPr>
                <w:rFonts w:hint="eastAsia" w:ascii="宋体" w:hAnsi="宋体"/>
                <w:szCs w:val="21"/>
              </w:rPr>
              <w:t>（四）</w:t>
            </w:r>
          </w:p>
          <w:p w14:paraId="02493C2B">
            <w:pPr>
              <w:adjustRightInd w:val="0"/>
              <w:snapToGrid w:val="0"/>
              <w:jc w:val="center"/>
              <w:rPr>
                <w:rFonts w:ascii="宋体" w:hAnsi="宋体"/>
                <w:szCs w:val="21"/>
              </w:rPr>
            </w:pPr>
            <w:r>
              <w:rPr>
                <w:rFonts w:hint="eastAsia" w:ascii="宋体" w:hAnsi="宋体"/>
                <w:szCs w:val="21"/>
              </w:rPr>
              <w:t>清扫</w:t>
            </w:r>
          </w:p>
          <w:p w14:paraId="1B02CED3">
            <w:pPr>
              <w:adjustRightInd w:val="0"/>
              <w:snapToGrid w:val="0"/>
              <w:jc w:val="center"/>
              <w:rPr>
                <w:rFonts w:ascii="宋体" w:hAnsi="宋体"/>
                <w:szCs w:val="21"/>
              </w:rPr>
            </w:pPr>
            <w:r>
              <w:rPr>
                <w:rFonts w:hint="eastAsia" w:ascii="宋体" w:hAnsi="宋体"/>
                <w:szCs w:val="21"/>
              </w:rPr>
              <w:t>管理</w:t>
            </w:r>
          </w:p>
          <w:p w14:paraId="27FF5DFF">
            <w:pPr>
              <w:adjustRightInd w:val="0"/>
              <w:snapToGrid w:val="0"/>
              <w:jc w:val="center"/>
              <w:rPr>
                <w:rFonts w:ascii="宋体" w:hAnsi="宋体"/>
                <w:szCs w:val="21"/>
              </w:rPr>
            </w:pPr>
            <w:r>
              <w:rPr>
                <w:rFonts w:hint="eastAsia" w:ascii="宋体" w:hAnsi="宋体"/>
                <w:szCs w:val="21"/>
              </w:rPr>
              <w:t>指标</w:t>
            </w:r>
          </w:p>
          <w:p w14:paraId="3E01E5D6">
            <w:pPr>
              <w:adjustRightInd w:val="0"/>
              <w:snapToGrid w:val="0"/>
              <w:jc w:val="center"/>
              <w:rPr>
                <w:rFonts w:ascii="宋体" w:hAnsi="宋体"/>
                <w:szCs w:val="21"/>
              </w:rPr>
            </w:pPr>
            <w:r>
              <w:rPr>
                <w:rFonts w:hint="eastAsia" w:ascii="宋体" w:hAnsi="宋体"/>
                <w:szCs w:val="21"/>
              </w:rPr>
              <w:t>落实</w:t>
            </w:r>
          </w:p>
          <w:p w14:paraId="6C8EF6A7">
            <w:pPr>
              <w:adjustRightInd w:val="0"/>
              <w:snapToGrid w:val="0"/>
              <w:jc w:val="center"/>
              <w:rPr>
                <w:rFonts w:ascii="宋体" w:hAnsi="宋体"/>
                <w:szCs w:val="21"/>
              </w:rPr>
            </w:pPr>
            <w:r>
              <w:rPr>
                <w:rFonts w:hint="eastAsia" w:ascii="宋体" w:hAnsi="宋体"/>
                <w:szCs w:val="21"/>
              </w:rPr>
              <w:t>情况</w:t>
            </w:r>
          </w:p>
        </w:tc>
        <w:tc>
          <w:tcPr>
            <w:tcW w:w="795" w:type="dxa"/>
            <w:vMerge w:val="restart"/>
            <w:tcBorders>
              <w:top w:val="single" w:color="auto" w:sz="4" w:space="0"/>
              <w:left w:val="single" w:color="auto" w:sz="4" w:space="0"/>
              <w:right w:val="single" w:color="auto" w:sz="4" w:space="0"/>
            </w:tcBorders>
            <w:noWrap/>
            <w:vAlign w:val="center"/>
          </w:tcPr>
          <w:p w14:paraId="34F170E6">
            <w:pPr>
              <w:adjustRightInd w:val="0"/>
              <w:snapToGrid w:val="0"/>
              <w:jc w:val="center"/>
              <w:rPr>
                <w:rFonts w:ascii="宋体" w:hAnsi="宋体"/>
                <w:szCs w:val="21"/>
              </w:rPr>
            </w:pPr>
            <w:r>
              <w:rPr>
                <w:rFonts w:hint="eastAsia" w:ascii="宋体" w:hAnsi="宋体"/>
                <w:szCs w:val="21"/>
              </w:rPr>
              <w:t>现</w:t>
            </w:r>
          </w:p>
          <w:p w14:paraId="7485650D">
            <w:pPr>
              <w:adjustRightInd w:val="0"/>
              <w:snapToGrid w:val="0"/>
              <w:jc w:val="center"/>
              <w:rPr>
                <w:rFonts w:ascii="宋体" w:hAnsi="宋体"/>
                <w:szCs w:val="21"/>
              </w:rPr>
            </w:pPr>
            <w:r>
              <w:rPr>
                <w:rFonts w:hint="eastAsia" w:ascii="宋体" w:hAnsi="宋体"/>
                <w:szCs w:val="21"/>
              </w:rPr>
              <w:t>场</w:t>
            </w:r>
          </w:p>
          <w:p w14:paraId="266CA175">
            <w:pPr>
              <w:adjustRightInd w:val="0"/>
              <w:snapToGrid w:val="0"/>
              <w:jc w:val="center"/>
              <w:rPr>
                <w:rFonts w:ascii="宋体" w:hAnsi="宋体"/>
                <w:szCs w:val="21"/>
              </w:rPr>
            </w:pPr>
            <w:r>
              <w:rPr>
                <w:rFonts w:hint="eastAsia" w:ascii="宋体" w:hAnsi="宋体"/>
                <w:szCs w:val="21"/>
              </w:rPr>
              <w:t>检</w:t>
            </w:r>
          </w:p>
          <w:p w14:paraId="7287C360">
            <w:pPr>
              <w:adjustRightInd w:val="0"/>
              <w:snapToGrid w:val="0"/>
              <w:jc w:val="center"/>
              <w:rPr>
                <w:rFonts w:ascii="宋体" w:hAnsi="宋体"/>
                <w:szCs w:val="21"/>
              </w:rPr>
            </w:pPr>
            <w:r>
              <w:rPr>
                <w:rFonts w:hint="eastAsia" w:ascii="宋体" w:hAnsi="宋体"/>
                <w:szCs w:val="21"/>
              </w:rPr>
              <w:t>查</w:t>
            </w:r>
          </w:p>
        </w:tc>
        <w:tc>
          <w:tcPr>
            <w:tcW w:w="3523" w:type="dxa"/>
            <w:tcBorders>
              <w:top w:val="single" w:color="auto" w:sz="4" w:space="0"/>
              <w:left w:val="single" w:color="auto" w:sz="4" w:space="0"/>
              <w:right w:val="single" w:color="auto" w:sz="4" w:space="0"/>
            </w:tcBorders>
            <w:noWrap/>
            <w:vAlign w:val="center"/>
          </w:tcPr>
          <w:p w14:paraId="425ACDB0">
            <w:pPr>
              <w:numPr>
                <w:ilvl w:val="0"/>
                <w:numId w:val="10"/>
              </w:numPr>
              <w:adjustRightInd w:val="0"/>
              <w:snapToGrid w:val="0"/>
              <w:rPr>
                <w:rFonts w:ascii="宋体" w:hAnsi="宋体"/>
                <w:szCs w:val="21"/>
              </w:rPr>
            </w:pPr>
            <w:r>
              <w:rPr>
                <w:rFonts w:hint="eastAsia" w:ascii="宋体" w:hAnsi="宋体"/>
                <w:szCs w:val="21"/>
              </w:rPr>
              <w:t>按规定时间内完成统扫，夏季每日上午7：30前完成普扫，其他月份每日上午7：00前完成普扫；第二遍统扫以16:30前普扫完毕；结束后做好巡回保洁工作。</w:t>
            </w:r>
          </w:p>
        </w:tc>
        <w:tc>
          <w:tcPr>
            <w:tcW w:w="4500" w:type="dxa"/>
            <w:tcBorders>
              <w:top w:val="single" w:color="auto" w:sz="4" w:space="0"/>
              <w:left w:val="single" w:color="auto" w:sz="4" w:space="0"/>
              <w:right w:val="single" w:color="auto" w:sz="4" w:space="0"/>
            </w:tcBorders>
            <w:noWrap/>
            <w:vAlign w:val="center"/>
          </w:tcPr>
          <w:p w14:paraId="019E09DF">
            <w:pPr>
              <w:numPr>
                <w:ilvl w:val="0"/>
                <w:numId w:val="11"/>
              </w:numPr>
              <w:adjustRightInd w:val="0"/>
              <w:snapToGrid w:val="0"/>
              <w:rPr>
                <w:rFonts w:ascii="宋体" w:hAnsi="宋体"/>
                <w:szCs w:val="21"/>
              </w:rPr>
            </w:pPr>
            <w:r>
              <w:rPr>
                <w:rFonts w:hint="eastAsia" w:ascii="宋体" w:hAnsi="宋体"/>
                <w:szCs w:val="21"/>
              </w:rPr>
              <w:t>未在规定时间内完成普扫的，每岗位扣1分；未普扫的每岗位扣3分；经督查仍未按要求进行补扫的，扣5分并给予警告。</w:t>
            </w:r>
          </w:p>
        </w:tc>
      </w:tr>
      <w:tr w14:paraId="778E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82" w:type="dxa"/>
            <w:vMerge w:val="continue"/>
            <w:tcBorders>
              <w:top w:val="single" w:color="auto" w:sz="4" w:space="0"/>
              <w:left w:val="single" w:color="auto" w:sz="4" w:space="0"/>
              <w:right w:val="single" w:color="auto" w:sz="4" w:space="0"/>
            </w:tcBorders>
            <w:noWrap/>
            <w:vAlign w:val="center"/>
          </w:tcPr>
          <w:p w14:paraId="012A5239"/>
        </w:tc>
        <w:tc>
          <w:tcPr>
            <w:tcW w:w="795" w:type="dxa"/>
            <w:vMerge w:val="continue"/>
            <w:tcBorders>
              <w:top w:val="single" w:color="auto" w:sz="4" w:space="0"/>
              <w:left w:val="single" w:color="auto" w:sz="4" w:space="0"/>
              <w:right w:val="single" w:color="auto" w:sz="4" w:space="0"/>
            </w:tcBorders>
            <w:noWrap/>
            <w:vAlign w:val="center"/>
          </w:tcPr>
          <w:p w14:paraId="6DB7D9E4"/>
        </w:tc>
        <w:tc>
          <w:tcPr>
            <w:tcW w:w="3523" w:type="dxa"/>
            <w:tcBorders>
              <w:top w:val="single" w:color="auto" w:sz="4" w:space="0"/>
              <w:left w:val="single" w:color="auto" w:sz="4" w:space="0"/>
              <w:right w:val="single" w:color="auto" w:sz="4" w:space="0"/>
            </w:tcBorders>
            <w:noWrap/>
            <w:vAlign w:val="center"/>
          </w:tcPr>
          <w:p w14:paraId="316ECC70">
            <w:pPr>
              <w:numPr>
                <w:ilvl w:val="0"/>
                <w:numId w:val="10"/>
              </w:numPr>
              <w:adjustRightInd w:val="0"/>
              <w:snapToGrid w:val="0"/>
              <w:rPr>
                <w:rFonts w:ascii="宋体" w:hAnsi="宋体"/>
                <w:szCs w:val="21"/>
              </w:rPr>
            </w:pPr>
            <w:r>
              <w:rPr>
                <w:rFonts w:hint="eastAsia" w:ascii="宋体" w:hAnsi="宋体"/>
                <w:szCs w:val="21"/>
              </w:rPr>
              <w:t>保洁作业时不得漏扫、甩扫，垃圾应归拢、归堆并清除彻底，垃圾不得扫入窨井、阴沟及道路两侧。</w:t>
            </w:r>
          </w:p>
        </w:tc>
        <w:tc>
          <w:tcPr>
            <w:tcW w:w="4500" w:type="dxa"/>
            <w:tcBorders>
              <w:top w:val="single" w:color="auto" w:sz="4" w:space="0"/>
              <w:left w:val="single" w:color="auto" w:sz="4" w:space="0"/>
              <w:right w:val="single" w:color="auto" w:sz="4" w:space="0"/>
            </w:tcBorders>
            <w:noWrap/>
            <w:vAlign w:val="center"/>
          </w:tcPr>
          <w:p w14:paraId="06B6DFB1">
            <w:pPr>
              <w:numPr>
                <w:ilvl w:val="0"/>
                <w:numId w:val="11"/>
              </w:numPr>
              <w:adjustRightInd w:val="0"/>
              <w:snapToGrid w:val="0"/>
              <w:rPr>
                <w:rFonts w:ascii="宋体" w:hAnsi="宋体"/>
                <w:szCs w:val="21"/>
              </w:rPr>
            </w:pPr>
            <w:r>
              <w:rPr>
                <w:rFonts w:hint="eastAsia" w:ascii="宋体" w:hAnsi="宋体"/>
                <w:szCs w:val="21"/>
              </w:rPr>
              <w:t>道路、人行道漏扫、甩扫的每岗位扣0.2分，垃圾归拢、归堆未清除的每岗位扣0.5分，清除不彻底的每处扣0.2分，垃圾扫入窨井、河道、道路两侧的每次扣0.5分。</w:t>
            </w:r>
          </w:p>
        </w:tc>
      </w:tr>
      <w:tr w14:paraId="7C66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82" w:type="dxa"/>
            <w:vMerge w:val="continue"/>
            <w:tcBorders>
              <w:top w:val="single" w:color="auto" w:sz="4" w:space="0"/>
              <w:left w:val="single" w:color="auto" w:sz="4" w:space="0"/>
              <w:right w:val="single" w:color="auto" w:sz="4" w:space="0"/>
            </w:tcBorders>
            <w:noWrap/>
            <w:vAlign w:val="center"/>
          </w:tcPr>
          <w:p w14:paraId="3BA43CD1"/>
        </w:tc>
        <w:tc>
          <w:tcPr>
            <w:tcW w:w="795" w:type="dxa"/>
            <w:vMerge w:val="continue"/>
            <w:tcBorders>
              <w:top w:val="single" w:color="auto" w:sz="4" w:space="0"/>
              <w:left w:val="single" w:color="auto" w:sz="4" w:space="0"/>
              <w:right w:val="single" w:color="auto" w:sz="4" w:space="0"/>
            </w:tcBorders>
            <w:noWrap/>
            <w:vAlign w:val="center"/>
          </w:tcPr>
          <w:p w14:paraId="2CA90749"/>
        </w:tc>
        <w:tc>
          <w:tcPr>
            <w:tcW w:w="3523" w:type="dxa"/>
            <w:tcBorders>
              <w:top w:val="single" w:color="auto" w:sz="4" w:space="0"/>
              <w:left w:val="single" w:color="auto" w:sz="4" w:space="0"/>
              <w:right w:val="single" w:color="auto" w:sz="4" w:space="0"/>
            </w:tcBorders>
            <w:noWrap/>
            <w:vAlign w:val="center"/>
          </w:tcPr>
          <w:p w14:paraId="0CB63DFD">
            <w:pPr>
              <w:numPr>
                <w:ilvl w:val="0"/>
                <w:numId w:val="10"/>
              </w:numPr>
              <w:adjustRightInd w:val="0"/>
              <w:snapToGrid w:val="0"/>
              <w:rPr>
                <w:rFonts w:ascii="宋体" w:hAnsi="宋体"/>
                <w:szCs w:val="21"/>
              </w:rPr>
            </w:pPr>
            <w:r>
              <w:rPr>
                <w:rFonts w:hint="eastAsia" w:ascii="宋体" w:hAnsi="宋体"/>
                <w:szCs w:val="21"/>
              </w:rPr>
              <w:t>清扫保洁人员将清扫收集的垃圾，运至垃圾中转站。</w:t>
            </w:r>
          </w:p>
        </w:tc>
        <w:tc>
          <w:tcPr>
            <w:tcW w:w="4500" w:type="dxa"/>
            <w:tcBorders>
              <w:top w:val="single" w:color="auto" w:sz="4" w:space="0"/>
              <w:left w:val="single" w:color="auto" w:sz="4" w:space="0"/>
              <w:right w:val="single" w:color="auto" w:sz="4" w:space="0"/>
            </w:tcBorders>
            <w:noWrap/>
            <w:vAlign w:val="center"/>
          </w:tcPr>
          <w:p w14:paraId="59968FE1">
            <w:pPr>
              <w:numPr>
                <w:ilvl w:val="0"/>
                <w:numId w:val="11"/>
              </w:numPr>
              <w:adjustRightInd w:val="0"/>
              <w:snapToGrid w:val="0"/>
              <w:rPr>
                <w:rFonts w:ascii="宋体" w:hAnsi="宋体"/>
                <w:szCs w:val="21"/>
              </w:rPr>
            </w:pPr>
            <w:r>
              <w:rPr>
                <w:rFonts w:hint="eastAsia" w:ascii="宋体" w:hAnsi="宋体"/>
                <w:szCs w:val="21"/>
              </w:rPr>
              <w:t>清扫保洁人员将清扫收集的垃圾倒入沿街果壳箱、移动垃圾桶、垃圾房内的，每发现一次扣0.5分。</w:t>
            </w:r>
          </w:p>
        </w:tc>
      </w:tr>
      <w:tr w14:paraId="1F3F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right w:val="single" w:color="auto" w:sz="4" w:space="0"/>
            </w:tcBorders>
            <w:noWrap/>
            <w:vAlign w:val="center"/>
          </w:tcPr>
          <w:p w14:paraId="14A230DB"/>
        </w:tc>
        <w:tc>
          <w:tcPr>
            <w:tcW w:w="795" w:type="dxa"/>
            <w:vMerge w:val="continue"/>
            <w:tcBorders>
              <w:top w:val="single" w:color="auto" w:sz="4" w:space="0"/>
              <w:left w:val="single" w:color="auto" w:sz="4" w:space="0"/>
              <w:right w:val="single" w:color="auto" w:sz="4" w:space="0"/>
            </w:tcBorders>
            <w:noWrap/>
            <w:vAlign w:val="center"/>
          </w:tcPr>
          <w:p w14:paraId="0CE4136A"/>
        </w:tc>
        <w:tc>
          <w:tcPr>
            <w:tcW w:w="3523" w:type="dxa"/>
            <w:tcBorders>
              <w:top w:val="single" w:color="auto" w:sz="4" w:space="0"/>
              <w:left w:val="single" w:color="auto" w:sz="4" w:space="0"/>
              <w:right w:val="single" w:color="auto" w:sz="4" w:space="0"/>
            </w:tcBorders>
            <w:noWrap/>
            <w:vAlign w:val="center"/>
          </w:tcPr>
          <w:p w14:paraId="22406747">
            <w:pPr>
              <w:numPr>
                <w:ilvl w:val="0"/>
                <w:numId w:val="10"/>
              </w:numPr>
              <w:adjustRightInd w:val="0"/>
              <w:snapToGrid w:val="0"/>
              <w:rPr>
                <w:rFonts w:ascii="宋体" w:hAnsi="宋体"/>
                <w:szCs w:val="21"/>
              </w:rPr>
            </w:pPr>
            <w:r>
              <w:rPr>
                <w:rFonts w:hint="eastAsia" w:ascii="宋体" w:hAnsi="宋体"/>
                <w:szCs w:val="21"/>
              </w:rPr>
              <w:t>做好路面及绿化带、绿地、空地的巡回保洁工作。做到路面无垃圾、无杂草、无积泥（沙石），晴天无积水。雨水井沟眼畅通干净，树穴清洁无垃圾、杂物，人行道板及各类井盖缝隙无垃圾、杂物。作业范围内无小广告、“牛皮癣”。</w:t>
            </w:r>
          </w:p>
        </w:tc>
        <w:tc>
          <w:tcPr>
            <w:tcW w:w="4500" w:type="dxa"/>
            <w:tcBorders>
              <w:top w:val="single" w:color="auto" w:sz="4" w:space="0"/>
              <w:left w:val="single" w:color="auto" w:sz="4" w:space="0"/>
              <w:right w:val="single" w:color="auto" w:sz="4" w:space="0"/>
            </w:tcBorders>
            <w:noWrap/>
            <w:vAlign w:val="center"/>
          </w:tcPr>
          <w:p w14:paraId="6D335D75">
            <w:pPr>
              <w:numPr>
                <w:ilvl w:val="0"/>
                <w:numId w:val="11"/>
              </w:numPr>
              <w:adjustRightInd w:val="0"/>
              <w:snapToGrid w:val="0"/>
              <w:rPr>
                <w:rFonts w:ascii="宋体" w:hAnsi="宋体"/>
                <w:szCs w:val="21"/>
              </w:rPr>
            </w:pPr>
            <w:r>
              <w:rPr>
                <w:rFonts w:hint="eastAsia" w:ascii="宋体" w:hAnsi="宋体"/>
                <w:szCs w:val="21"/>
              </w:rPr>
              <w:t>巡回保洁未到位，绿化带有零星垃圾的每处扣0.5分，可视范围内有多处零星垃圾（≥5处）的扣1分；道路、树穴、空地路面＜3㎡内有零星垃圾、杂物的每处扣0.2分，可视范围内有多处零星垃圾（≥5处）的每处扣0.5分，有成堆暴露垃圾的每处扣1分；无主建筑道路清扫不及时，＜0.5立方米的每处扣0.5分，≥0.5立方米的每处扣1分；杂草每100㎡≥10株扣0.2分；碎石每100㎡≥0.5㎡或多于10处的，扣0.5分；路面道路积泥（沙石）长度＜2米的每处扣0.2分，≥2米的每处扣0.5分，≥10米的每处扣1分；道路晴天积水＜3㎡的每处扣0.2分，≥3㎡的每处扣0.5分，冬季路面积水导致路面结冰的每处扣1分，导致有责交通事故的每次扣2分；人行道板间、人行道各类井盖间的缝隙有垃圾、杂物的每处扣0.2分；交通隔离栏（墩）下有积尘＜5米的每处扣0.5分，≥5米的每处扣1分。小广告、“牛皮癣”每发现一处扣0.2分。</w:t>
            </w:r>
          </w:p>
        </w:tc>
      </w:tr>
      <w:tr w14:paraId="486F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082" w:type="dxa"/>
            <w:vMerge w:val="continue"/>
            <w:tcBorders>
              <w:top w:val="single" w:color="auto" w:sz="4" w:space="0"/>
              <w:left w:val="single" w:color="auto" w:sz="4" w:space="0"/>
              <w:right w:val="single" w:color="auto" w:sz="4" w:space="0"/>
            </w:tcBorders>
            <w:noWrap/>
            <w:vAlign w:val="center"/>
          </w:tcPr>
          <w:p w14:paraId="5AFE3755"/>
        </w:tc>
        <w:tc>
          <w:tcPr>
            <w:tcW w:w="795" w:type="dxa"/>
            <w:vMerge w:val="continue"/>
            <w:tcBorders>
              <w:top w:val="single" w:color="auto" w:sz="4" w:space="0"/>
              <w:left w:val="single" w:color="auto" w:sz="4" w:space="0"/>
              <w:right w:val="single" w:color="auto" w:sz="4" w:space="0"/>
            </w:tcBorders>
            <w:noWrap/>
            <w:vAlign w:val="center"/>
          </w:tcPr>
          <w:p w14:paraId="335121B4"/>
        </w:tc>
        <w:tc>
          <w:tcPr>
            <w:tcW w:w="3523" w:type="dxa"/>
            <w:tcBorders>
              <w:top w:val="single" w:color="auto" w:sz="4" w:space="0"/>
              <w:left w:val="single" w:color="auto" w:sz="4" w:space="0"/>
              <w:right w:val="single" w:color="auto" w:sz="4" w:space="0"/>
            </w:tcBorders>
            <w:noWrap/>
            <w:vAlign w:val="center"/>
          </w:tcPr>
          <w:p w14:paraId="7BB743CC">
            <w:pPr>
              <w:numPr>
                <w:ilvl w:val="0"/>
                <w:numId w:val="10"/>
              </w:numPr>
              <w:adjustRightInd w:val="0"/>
              <w:snapToGrid w:val="0"/>
              <w:rPr>
                <w:rFonts w:ascii="宋体" w:hAnsi="宋体"/>
                <w:szCs w:val="21"/>
              </w:rPr>
            </w:pPr>
            <w:r>
              <w:rPr>
                <w:rFonts w:hint="eastAsia" w:ascii="宋体" w:hAnsi="宋体"/>
                <w:szCs w:val="21"/>
              </w:rPr>
              <w:t>建立健全马路市场（如赶集等）长效保洁制度，在马路市场营业时间保洁工作落实，保洁人员、保洁机具、垃圾收集容器到位，垃圾桶不满溢，路面干净整洁。</w:t>
            </w:r>
          </w:p>
        </w:tc>
        <w:tc>
          <w:tcPr>
            <w:tcW w:w="4500" w:type="dxa"/>
            <w:tcBorders>
              <w:top w:val="single" w:color="auto" w:sz="4" w:space="0"/>
              <w:left w:val="single" w:color="auto" w:sz="4" w:space="0"/>
              <w:right w:val="single" w:color="auto" w:sz="4" w:space="0"/>
            </w:tcBorders>
            <w:noWrap/>
            <w:vAlign w:val="center"/>
          </w:tcPr>
          <w:p w14:paraId="2D8C839C">
            <w:pPr>
              <w:numPr>
                <w:ilvl w:val="0"/>
                <w:numId w:val="11"/>
              </w:numPr>
              <w:adjustRightInd w:val="0"/>
              <w:snapToGrid w:val="0"/>
              <w:rPr>
                <w:rFonts w:ascii="宋体" w:hAnsi="宋体"/>
                <w:szCs w:val="21"/>
              </w:rPr>
            </w:pPr>
            <w:r>
              <w:rPr>
                <w:rFonts w:hint="eastAsia" w:ascii="宋体" w:hAnsi="宋体"/>
                <w:szCs w:val="21"/>
              </w:rPr>
              <w:t>马路市场保洁责任制不到位，环境卫生脏乱差的，每发生一次扣3-5分。</w:t>
            </w:r>
          </w:p>
        </w:tc>
      </w:tr>
      <w:tr w14:paraId="230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082" w:type="dxa"/>
            <w:vMerge w:val="restart"/>
            <w:tcBorders>
              <w:top w:val="single" w:color="auto" w:sz="4" w:space="0"/>
              <w:left w:val="single" w:color="auto" w:sz="4" w:space="0"/>
              <w:right w:val="single" w:color="auto" w:sz="4" w:space="0"/>
            </w:tcBorders>
            <w:noWrap/>
            <w:vAlign w:val="center"/>
          </w:tcPr>
          <w:p w14:paraId="5206A2DD">
            <w:pPr>
              <w:adjustRightInd w:val="0"/>
              <w:snapToGrid w:val="0"/>
              <w:jc w:val="center"/>
              <w:rPr>
                <w:rFonts w:ascii="宋体" w:hAnsi="宋体"/>
                <w:szCs w:val="21"/>
              </w:rPr>
            </w:pPr>
            <w:r>
              <w:rPr>
                <w:rFonts w:hint="eastAsia" w:ascii="宋体" w:hAnsi="宋体"/>
                <w:szCs w:val="21"/>
              </w:rPr>
              <w:t>（五）</w:t>
            </w:r>
          </w:p>
          <w:p w14:paraId="3D83902C">
            <w:pPr>
              <w:adjustRightInd w:val="0"/>
              <w:snapToGrid w:val="0"/>
              <w:jc w:val="center"/>
              <w:rPr>
                <w:rFonts w:ascii="宋体" w:hAnsi="宋体"/>
                <w:szCs w:val="21"/>
              </w:rPr>
            </w:pPr>
            <w:r>
              <w:rPr>
                <w:rFonts w:hint="eastAsia" w:ascii="宋体" w:hAnsi="宋体"/>
                <w:szCs w:val="21"/>
              </w:rPr>
              <w:t>机械</w:t>
            </w:r>
          </w:p>
          <w:p w14:paraId="21463330">
            <w:pPr>
              <w:adjustRightInd w:val="0"/>
              <w:snapToGrid w:val="0"/>
              <w:jc w:val="center"/>
              <w:rPr>
                <w:rFonts w:ascii="宋体" w:hAnsi="宋体"/>
                <w:szCs w:val="21"/>
              </w:rPr>
            </w:pPr>
            <w:r>
              <w:rPr>
                <w:rFonts w:hint="eastAsia" w:ascii="宋体" w:hAnsi="宋体"/>
                <w:szCs w:val="21"/>
              </w:rPr>
              <w:t>化作</w:t>
            </w:r>
          </w:p>
          <w:p w14:paraId="5369BCF3">
            <w:pPr>
              <w:adjustRightInd w:val="0"/>
              <w:snapToGrid w:val="0"/>
              <w:jc w:val="center"/>
              <w:rPr>
                <w:rFonts w:ascii="宋体" w:hAnsi="宋体"/>
                <w:szCs w:val="21"/>
              </w:rPr>
            </w:pPr>
            <w:r>
              <w:rPr>
                <w:rFonts w:hint="eastAsia" w:ascii="宋体" w:hAnsi="宋体"/>
                <w:szCs w:val="21"/>
              </w:rPr>
              <w:t>业管</w:t>
            </w:r>
          </w:p>
          <w:p w14:paraId="7F637FD4">
            <w:pPr>
              <w:adjustRightInd w:val="0"/>
              <w:snapToGrid w:val="0"/>
              <w:jc w:val="center"/>
              <w:rPr>
                <w:rFonts w:ascii="宋体" w:hAnsi="宋体"/>
                <w:szCs w:val="21"/>
              </w:rPr>
            </w:pPr>
            <w:r>
              <w:rPr>
                <w:rFonts w:hint="eastAsia" w:ascii="宋体" w:hAnsi="宋体"/>
                <w:szCs w:val="21"/>
              </w:rPr>
              <w:t>理指</w:t>
            </w:r>
          </w:p>
          <w:p w14:paraId="1B1DE4FD">
            <w:pPr>
              <w:adjustRightInd w:val="0"/>
              <w:snapToGrid w:val="0"/>
              <w:jc w:val="center"/>
              <w:rPr>
                <w:rFonts w:ascii="宋体" w:hAnsi="宋体"/>
                <w:szCs w:val="21"/>
              </w:rPr>
            </w:pPr>
            <w:r>
              <w:rPr>
                <w:rFonts w:hint="eastAsia" w:ascii="宋体" w:hAnsi="宋体"/>
                <w:szCs w:val="21"/>
              </w:rPr>
              <w:t>标落</w:t>
            </w:r>
          </w:p>
          <w:p w14:paraId="22BA03B9">
            <w:pPr>
              <w:adjustRightInd w:val="0"/>
              <w:snapToGrid w:val="0"/>
              <w:jc w:val="center"/>
              <w:rPr>
                <w:rFonts w:ascii="宋体" w:hAnsi="宋体"/>
                <w:szCs w:val="21"/>
              </w:rPr>
            </w:pPr>
            <w:r>
              <w:rPr>
                <w:rFonts w:hint="eastAsia" w:ascii="宋体" w:hAnsi="宋体"/>
                <w:szCs w:val="21"/>
              </w:rPr>
              <w:t>实情</w:t>
            </w:r>
          </w:p>
          <w:p w14:paraId="158BBC08">
            <w:pPr>
              <w:adjustRightInd w:val="0"/>
              <w:snapToGrid w:val="0"/>
              <w:jc w:val="center"/>
              <w:rPr>
                <w:rFonts w:ascii="宋体" w:hAnsi="宋体"/>
                <w:szCs w:val="21"/>
              </w:rPr>
            </w:pPr>
            <w:r>
              <w:rPr>
                <w:rFonts w:hint="eastAsia" w:ascii="宋体" w:hAnsi="宋体"/>
                <w:szCs w:val="21"/>
              </w:rPr>
              <w:t>况</w:t>
            </w:r>
          </w:p>
        </w:tc>
        <w:tc>
          <w:tcPr>
            <w:tcW w:w="795" w:type="dxa"/>
            <w:vMerge w:val="restart"/>
            <w:tcBorders>
              <w:top w:val="single" w:color="auto" w:sz="4" w:space="0"/>
              <w:left w:val="single" w:color="auto" w:sz="4" w:space="0"/>
              <w:right w:val="single" w:color="auto" w:sz="4" w:space="0"/>
            </w:tcBorders>
            <w:noWrap/>
            <w:vAlign w:val="center"/>
          </w:tcPr>
          <w:p w14:paraId="59F72DC8">
            <w:pPr>
              <w:adjustRightInd w:val="0"/>
              <w:snapToGrid w:val="0"/>
              <w:jc w:val="center"/>
              <w:rPr>
                <w:rFonts w:ascii="宋体" w:hAnsi="宋体"/>
                <w:szCs w:val="21"/>
              </w:rPr>
            </w:pPr>
            <w:r>
              <w:rPr>
                <w:rFonts w:hint="eastAsia" w:ascii="宋体" w:hAnsi="宋体"/>
                <w:szCs w:val="21"/>
              </w:rPr>
              <w:t>现</w:t>
            </w:r>
          </w:p>
          <w:p w14:paraId="767AC8D6">
            <w:pPr>
              <w:adjustRightInd w:val="0"/>
              <w:snapToGrid w:val="0"/>
              <w:jc w:val="center"/>
              <w:rPr>
                <w:rFonts w:ascii="宋体" w:hAnsi="宋体"/>
                <w:szCs w:val="21"/>
              </w:rPr>
            </w:pPr>
            <w:r>
              <w:rPr>
                <w:rFonts w:hint="eastAsia" w:ascii="宋体" w:hAnsi="宋体"/>
                <w:szCs w:val="21"/>
              </w:rPr>
              <w:t>场</w:t>
            </w:r>
          </w:p>
          <w:p w14:paraId="401D6254">
            <w:pPr>
              <w:adjustRightInd w:val="0"/>
              <w:snapToGrid w:val="0"/>
              <w:jc w:val="center"/>
              <w:rPr>
                <w:rFonts w:ascii="宋体" w:hAnsi="宋体"/>
                <w:szCs w:val="21"/>
              </w:rPr>
            </w:pPr>
            <w:r>
              <w:rPr>
                <w:rFonts w:hint="eastAsia" w:ascii="宋体" w:hAnsi="宋体"/>
                <w:szCs w:val="21"/>
              </w:rPr>
              <w:t>检</w:t>
            </w:r>
          </w:p>
          <w:p w14:paraId="4D0FCA02">
            <w:pPr>
              <w:adjustRightInd w:val="0"/>
              <w:snapToGrid w:val="0"/>
              <w:jc w:val="center"/>
              <w:rPr>
                <w:rFonts w:ascii="宋体" w:hAnsi="宋体"/>
                <w:szCs w:val="21"/>
              </w:rPr>
            </w:pPr>
            <w:r>
              <w:rPr>
                <w:rFonts w:hint="eastAsia" w:ascii="宋体" w:hAnsi="宋体"/>
                <w:szCs w:val="21"/>
              </w:rPr>
              <w:t>查</w:t>
            </w:r>
          </w:p>
        </w:tc>
        <w:tc>
          <w:tcPr>
            <w:tcW w:w="3523" w:type="dxa"/>
            <w:tcBorders>
              <w:top w:val="single" w:color="auto" w:sz="4" w:space="0"/>
              <w:left w:val="single" w:color="auto" w:sz="4" w:space="0"/>
              <w:right w:val="single" w:color="auto" w:sz="4" w:space="0"/>
            </w:tcBorders>
            <w:noWrap/>
            <w:vAlign w:val="center"/>
          </w:tcPr>
          <w:p w14:paraId="3A863117">
            <w:pPr>
              <w:numPr>
                <w:ilvl w:val="0"/>
                <w:numId w:val="10"/>
              </w:numPr>
              <w:adjustRightInd w:val="0"/>
              <w:snapToGrid w:val="0"/>
              <w:rPr>
                <w:rFonts w:ascii="宋体" w:hAnsi="宋体"/>
                <w:szCs w:val="21"/>
              </w:rPr>
            </w:pPr>
            <w:r>
              <w:rPr>
                <w:rFonts w:hint="eastAsia" w:ascii="宋体" w:hAnsi="宋体"/>
                <w:szCs w:val="21"/>
              </w:rPr>
              <w:t>道路机扫保洁作业做到不扬尘。在普扫前应做好道路洒水，保持车行道路面湿润，有效控制清扫时可能产生的扬尘；机扫质量达标；机扫车作业时车速≤10km/h。</w:t>
            </w:r>
          </w:p>
        </w:tc>
        <w:tc>
          <w:tcPr>
            <w:tcW w:w="4500" w:type="dxa"/>
            <w:tcBorders>
              <w:top w:val="single" w:color="auto" w:sz="4" w:space="0"/>
              <w:left w:val="single" w:color="auto" w:sz="4" w:space="0"/>
              <w:right w:val="single" w:color="auto" w:sz="4" w:space="0"/>
            </w:tcBorders>
            <w:noWrap/>
            <w:vAlign w:val="center"/>
          </w:tcPr>
          <w:p w14:paraId="4C0125A1">
            <w:pPr>
              <w:numPr>
                <w:ilvl w:val="0"/>
                <w:numId w:val="11"/>
              </w:numPr>
              <w:adjustRightInd w:val="0"/>
              <w:snapToGrid w:val="0"/>
              <w:rPr>
                <w:rFonts w:ascii="宋体" w:hAnsi="宋体"/>
                <w:szCs w:val="21"/>
              </w:rPr>
            </w:pPr>
            <w:r>
              <w:rPr>
                <w:rFonts w:hint="eastAsia" w:ascii="宋体" w:hAnsi="宋体"/>
                <w:szCs w:val="21"/>
              </w:rPr>
              <w:t>机扫保洁作业不规范导致路面扬尘的，每次扣1分；机扫路面应干净,清扫后垃圾未吸净而有成条或小堆的，每处扣1分；机扫车作业超过规定车速的，每发生1次扣0.5分，</w:t>
            </w:r>
          </w:p>
        </w:tc>
      </w:tr>
      <w:tr w14:paraId="0558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082" w:type="dxa"/>
            <w:vMerge w:val="continue"/>
            <w:tcBorders>
              <w:top w:val="single" w:color="auto" w:sz="4" w:space="0"/>
              <w:left w:val="single" w:color="auto" w:sz="4" w:space="0"/>
              <w:right w:val="single" w:color="auto" w:sz="4" w:space="0"/>
            </w:tcBorders>
            <w:noWrap/>
            <w:vAlign w:val="center"/>
          </w:tcPr>
          <w:p w14:paraId="654511F7"/>
        </w:tc>
        <w:tc>
          <w:tcPr>
            <w:tcW w:w="795" w:type="dxa"/>
            <w:vMerge w:val="continue"/>
            <w:tcBorders>
              <w:top w:val="single" w:color="auto" w:sz="4" w:space="0"/>
              <w:left w:val="single" w:color="auto" w:sz="4" w:space="0"/>
              <w:right w:val="single" w:color="auto" w:sz="4" w:space="0"/>
            </w:tcBorders>
            <w:noWrap/>
            <w:vAlign w:val="center"/>
          </w:tcPr>
          <w:p w14:paraId="79454B92"/>
        </w:tc>
        <w:tc>
          <w:tcPr>
            <w:tcW w:w="3523" w:type="dxa"/>
            <w:tcBorders>
              <w:top w:val="single" w:color="auto" w:sz="4" w:space="0"/>
              <w:left w:val="single" w:color="auto" w:sz="4" w:space="0"/>
              <w:right w:val="single" w:color="auto" w:sz="4" w:space="0"/>
            </w:tcBorders>
            <w:noWrap/>
            <w:vAlign w:val="center"/>
          </w:tcPr>
          <w:p w14:paraId="0695177B">
            <w:pPr>
              <w:numPr>
                <w:ilvl w:val="0"/>
                <w:numId w:val="10"/>
              </w:numPr>
              <w:adjustRightInd w:val="0"/>
              <w:snapToGrid w:val="0"/>
              <w:rPr>
                <w:rFonts w:ascii="宋体" w:hAnsi="宋体"/>
                <w:szCs w:val="21"/>
              </w:rPr>
            </w:pPr>
            <w:r>
              <w:rPr>
                <w:rFonts w:hint="eastAsia" w:ascii="宋体" w:hAnsi="宋体"/>
                <w:szCs w:val="21"/>
              </w:rPr>
              <w:t>洒水、机扫频次需达到规定的要求。道路每日首次普扫采取机械化为主、人工清扫为辅的清扫方式。洒水车、扫路车按计划出车，出车台账资料齐全。</w:t>
            </w:r>
          </w:p>
        </w:tc>
        <w:tc>
          <w:tcPr>
            <w:tcW w:w="4500" w:type="dxa"/>
            <w:tcBorders>
              <w:top w:val="single" w:color="auto" w:sz="4" w:space="0"/>
              <w:left w:val="single" w:color="auto" w:sz="4" w:space="0"/>
              <w:right w:val="single" w:color="auto" w:sz="4" w:space="0"/>
            </w:tcBorders>
            <w:noWrap/>
            <w:vAlign w:val="center"/>
          </w:tcPr>
          <w:p w14:paraId="55AE774F">
            <w:pPr>
              <w:numPr>
                <w:ilvl w:val="0"/>
                <w:numId w:val="11"/>
              </w:numPr>
              <w:adjustRightInd w:val="0"/>
              <w:snapToGrid w:val="0"/>
              <w:rPr>
                <w:rFonts w:ascii="宋体" w:hAnsi="宋体"/>
                <w:szCs w:val="21"/>
              </w:rPr>
            </w:pPr>
            <w:r>
              <w:rPr>
                <w:rFonts w:hint="eastAsia" w:ascii="宋体" w:hAnsi="宋体"/>
                <w:szCs w:val="21"/>
              </w:rPr>
              <w:t>道路洒水、机扫频次未达到规定要求的，每少1次扣1分，作业未完成整个频次或未覆盖全路段的，每发生1次扣1分；道路机扫空驶的，每发生1次扣1.5分。首次普扫未落实扫路车清扫的，每发生1次，扣0.5分。</w:t>
            </w:r>
          </w:p>
        </w:tc>
      </w:tr>
      <w:tr w14:paraId="7159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1082" w:type="dxa"/>
            <w:vMerge w:val="continue"/>
            <w:tcBorders>
              <w:top w:val="single" w:color="auto" w:sz="4" w:space="0"/>
              <w:left w:val="single" w:color="auto" w:sz="4" w:space="0"/>
              <w:right w:val="single" w:color="auto" w:sz="4" w:space="0"/>
            </w:tcBorders>
            <w:noWrap/>
            <w:vAlign w:val="center"/>
          </w:tcPr>
          <w:p w14:paraId="4387E1B1"/>
        </w:tc>
        <w:tc>
          <w:tcPr>
            <w:tcW w:w="795" w:type="dxa"/>
            <w:vMerge w:val="continue"/>
            <w:tcBorders>
              <w:top w:val="single" w:color="auto" w:sz="4" w:space="0"/>
              <w:left w:val="single" w:color="auto" w:sz="4" w:space="0"/>
              <w:right w:val="single" w:color="auto" w:sz="4" w:space="0"/>
            </w:tcBorders>
            <w:noWrap/>
            <w:vAlign w:val="center"/>
          </w:tcPr>
          <w:p w14:paraId="51D6F201"/>
        </w:tc>
        <w:tc>
          <w:tcPr>
            <w:tcW w:w="3523" w:type="dxa"/>
            <w:tcBorders>
              <w:top w:val="single" w:color="auto" w:sz="4" w:space="0"/>
              <w:left w:val="single" w:color="auto" w:sz="4" w:space="0"/>
              <w:right w:val="single" w:color="auto" w:sz="4" w:space="0"/>
            </w:tcBorders>
            <w:noWrap/>
            <w:vAlign w:val="center"/>
          </w:tcPr>
          <w:p w14:paraId="703C58D7">
            <w:pPr>
              <w:numPr>
                <w:ilvl w:val="0"/>
                <w:numId w:val="10"/>
              </w:numPr>
              <w:adjustRightInd w:val="0"/>
              <w:snapToGrid w:val="0"/>
              <w:rPr>
                <w:rFonts w:ascii="宋体" w:hAnsi="宋体"/>
                <w:szCs w:val="21"/>
              </w:rPr>
            </w:pPr>
            <w:r>
              <w:rPr>
                <w:rFonts w:hint="eastAsia" w:ascii="宋体" w:hAnsi="宋体"/>
                <w:szCs w:val="21"/>
              </w:rPr>
              <w:t>交通早晚高峰期间（上午7:15－8:45，晚上17:30－18:45）,禁止洒水（有特殊情况除外）；</w:t>
            </w:r>
          </w:p>
          <w:p w14:paraId="2BEC0FE4">
            <w:pPr>
              <w:adjustRightInd w:val="0"/>
              <w:snapToGrid w:val="0"/>
              <w:rPr>
                <w:rFonts w:ascii="宋体" w:hAnsi="宋体"/>
                <w:szCs w:val="21"/>
              </w:rPr>
            </w:pPr>
            <w:r>
              <w:rPr>
                <w:rFonts w:hint="eastAsia" w:ascii="宋体" w:hAnsi="宋体"/>
                <w:szCs w:val="21"/>
              </w:rPr>
              <w:t>洒水车应有提示音乐音量调节装置，警示灯完好，22：00-7：00期间洒水作业时不得播放提示音乐，应使用警示灯光。洒水车作业时车速≤25km/h，洒水车应洒水到边石，通过十字路口、人行横道、机动车道与非机动车道混行的路段时要控制好水幅，以防止将水洒到行人。气温低于2度时暂停洒水，冰冻天气禁止洒水。</w:t>
            </w:r>
          </w:p>
        </w:tc>
        <w:tc>
          <w:tcPr>
            <w:tcW w:w="4500" w:type="dxa"/>
            <w:tcBorders>
              <w:top w:val="single" w:color="auto" w:sz="4" w:space="0"/>
              <w:left w:val="single" w:color="auto" w:sz="4" w:space="0"/>
              <w:right w:val="single" w:color="auto" w:sz="4" w:space="0"/>
            </w:tcBorders>
            <w:noWrap/>
            <w:vAlign w:val="center"/>
          </w:tcPr>
          <w:p w14:paraId="5178F941">
            <w:pPr>
              <w:numPr>
                <w:ilvl w:val="0"/>
                <w:numId w:val="11"/>
              </w:numPr>
              <w:adjustRightInd w:val="0"/>
              <w:snapToGrid w:val="0"/>
              <w:rPr>
                <w:rFonts w:ascii="宋体" w:hAnsi="宋体"/>
                <w:szCs w:val="21"/>
              </w:rPr>
            </w:pPr>
            <w:r>
              <w:rPr>
                <w:rFonts w:hint="eastAsia" w:ascii="宋体" w:hAnsi="宋体"/>
                <w:szCs w:val="21"/>
              </w:rPr>
              <w:t>交通高峰时期安排洒水作业的，每发生1次，扣1分；</w:t>
            </w:r>
          </w:p>
          <w:p w14:paraId="3B83CDF4">
            <w:pPr>
              <w:adjustRightInd w:val="0"/>
              <w:snapToGrid w:val="0"/>
              <w:rPr>
                <w:rFonts w:ascii="宋体" w:hAnsi="宋体"/>
                <w:szCs w:val="21"/>
              </w:rPr>
            </w:pPr>
            <w:r>
              <w:rPr>
                <w:rFonts w:hint="eastAsia" w:ascii="宋体" w:hAnsi="宋体"/>
                <w:szCs w:val="21"/>
              </w:rPr>
              <w:t>洒水车未安装提示音乐音量调节装置或警示灯缺失、破损的，每车扣1分。在22:00-7:00期间洒水作业时仍播放大声提示音乐或未启用警示灯光的，每发生1次扣2分。洒水车作业超过规定车速的，每发生1次扣0.5分。车辆洒水不到边，每发现一次，扣0.5分；冬季洒水使路面结冰发生责任安全事故的，扣1分。</w:t>
            </w:r>
          </w:p>
        </w:tc>
      </w:tr>
      <w:tr w14:paraId="36E3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082" w:type="dxa"/>
            <w:vMerge w:val="continue"/>
            <w:tcBorders>
              <w:top w:val="single" w:color="auto" w:sz="4" w:space="0"/>
              <w:left w:val="single" w:color="auto" w:sz="4" w:space="0"/>
              <w:right w:val="single" w:color="auto" w:sz="4" w:space="0"/>
            </w:tcBorders>
            <w:noWrap/>
            <w:vAlign w:val="center"/>
          </w:tcPr>
          <w:p w14:paraId="383D2B29"/>
        </w:tc>
        <w:tc>
          <w:tcPr>
            <w:tcW w:w="795" w:type="dxa"/>
            <w:vMerge w:val="continue"/>
            <w:tcBorders>
              <w:top w:val="single" w:color="auto" w:sz="4" w:space="0"/>
              <w:left w:val="single" w:color="auto" w:sz="4" w:space="0"/>
              <w:right w:val="single" w:color="auto" w:sz="4" w:space="0"/>
            </w:tcBorders>
            <w:noWrap/>
            <w:vAlign w:val="center"/>
          </w:tcPr>
          <w:p w14:paraId="50A90D5A"/>
        </w:tc>
        <w:tc>
          <w:tcPr>
            <w:tcW w:w="3523" w:type="dxa"/>
            <w:tcBorders>
              <w:top w:val="single" w:color="auto" w:sz="4" w:space="0"/>
              <w:left w:val="single" w:color="auto" w:sz="4" w:space="0"/>
              <w:right w:val="single" w:color="auto" w:sz="4" w:space="0"/>
            </w:tcBorders>
            <w:noWrap/>
            <w:vAlign w:val="center"/>
          </w:tcPr>
          <w:p w14:paraId="5BA48533">
            <w:pPr>
              <w:numPr>
                <w:ilvl w:val="0"/>
                <w:numId w:val="10"/>
              </w:numPr>
              <w:adjustRightInd w:val="0"/>
              <w:snapToGrid w:val="0"/>
              <w:rPr>
                <w:rFonts w:ascii="宋体" w:hAnsi="宋体"/>
                <w:szCs w:val="21"/>
                <w:lang w:val="zh-CN"/>
              </w:rPr>
            </w:pPr>
            <w:r>
              <w:rPr>
                <w:rFonts w:hint="eastAsia" w:ascii="宋体" w:hAnsi="宋体"/>
                <w:szCs w:val="21"/>
              </w:rPr>
              <w:t>道路清洗工作落实，清洗作业规范，清洗频次需达到规定的要求，清洗后路面无油污、无污垢、无积水，见本色。一、</w:t>
            </w:r>
            <w:r>
              <w:rPr>
                <w:rFonts w:hint="eastAsia" w:ascii="宋体" w:hAnsi="宋体"/>
                <w:szCs w:val="21"/>
                <w:lang w:val="zh-CN"/>
              </w:rPr>
              <w:t>二类道路的人行道、车行道路面清洗每月清洗不少于一次；道路交通护栏、隔离墩每月清洗不少于一次，并保持随脏随洗。</w:t>
            </w:r>
          </w:p>
        </w:tc>
        <w:tc>
          <w:tcPr>
            <w:tcW w:w="4500" w:type="dxa"/>
            <w:tcBorders>
              <w:top w:val="single" w:color="auto" w:sz="4" w:space="0"/>
              <w:left w:val="single" w:color="auto" w:sz="4" w:space="0"/>
              <w:right w:val="single" w:color="auto" w:sz="4" w:space="0"/>
            </w:tcBorders>
            <w:noWrap/>
            <w:vAlign w:val="center"/>
          </w:tcPr>
          <w:p w14:paraId="0E4D00EB">
            <w:pPr>
              <w:numPr>
                <w:ilvl w:val="0"/>
                <w:numId w:val="11"/>
              </w:numPr>
              <w:adjustRightInd w:val="0"/>
              <w:snapToGrid w:val="0"/>
              <w:rPr>
                <w:rFonts w:ascii="宋体" w:hAnsi="宋体"/>
                <w:szCs w:val="21"/>
              </w:rPr>
            </w:pPr>
            <w:r>
              <w:rPr>
                <w:rFonts w:hint="eastAsia" w:ascii="宋体" w:hAnsi="宋体"/>
                <w:szCs w:val="21"/>
              </w:rPr>
              <w:t>道路及护栏清洗工作不落实，每发生一次扣3分扣分值作当月累加；道路及护栏清洗未覆盖全路段的，每发生1次，扣1分；清洗作业不规范，清洗质量不达标，清洗后路面有油污、污垢、积水的，每发生一处扣0.5分。清洗后护栏、隔离墩留有污垢的，≤10米的，每处扣0.2分；≥10米的，每处扣0.5分。</w:t>
            </w:r>
          </w:p>
        </w:tc>
      </w:tr>
      <w:tr w14:paraId="6600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82" w:type="dxa"/>
            <w:vMerge w:val="restart"/>
            <w:tcBorders>
              <w:top w:val="single" w:color="auto" w:sz="4" w:space="0"/>
              <w:left w:val="single" w:color="auto" w:sz="4" w:space="0"/>
              <w:right w:val="single" w:color="auto" w:sz="4" w:space="0"/>
            </w:tcBorders>
            <w:noWrap/>
            <w:vAlign w:val="center"/>
          </w:tcPr>
          <w:p w14:paraId="58F157AE">
            <w:pPr>
              <w:adjustRightInd w:val="0"/>
              <w:snapToGrid w:val="0"/>
              <w:jc w:val="center"/>
              <w:rPr>
                <w:rFonts w:ascii="宋体" w:hAnsi="宋体"/>
                <w:szCs w:val="21"/>
              </w:rPr>
            </w:pPr>
            <w:r>
              <w:rPr>
                <w:rFonts w:hint="eastAsia" w:ascii="宋体" w:hAnsi="宋体"/>
                <w:szCs w:val="21"/>
              </w:rPr>
              <w:t>（六）</w:t>
            </w:r>
          </w:p>
          <w:p w14:paraId="2072CAC6">
            <w:pPr>
              <w:adjustRightInd w:val="0"/>
              <w:snapToGrid w:val="0"/>
              <w:jc w:val="center"/>
              <w:rPr>
                <w:rFonts w:ascii="宋体" w:hAnsi="宋体"/>
                <w:szCs w:val="21"/>
              </w:rPr>
            </w:pPr>
            <w:r>
              <w:rPr>
                <w:rFonts w:hint="eastAsia" w:ascii="宋体" w:hAnsi="宋体"/>
                <w:szCs w:val="21"/>
              </w:rPr>
              <w:t>公厕</w:t>
            </w:r>
          </w:p>
          <w:p w14:paraId="3CE88067">
            <w:pPr>
              <w:adjustRightInd w:val="0"/>
              <w:snapToGrid w:val="0"/>
              <w:jc w:val="center"/>
              <w:rPr>
                <w:rFonts w:ascii="宋体" w:hAnsi="宋体"/>
                <w:szCs w:val="21"/>
              </w:rPr>
            </w:pPr>
            <w:r>
              <w:rPr>
                <w:rFonts w:hint="eastAsia" w:ascii="宋体" w:hAnsi="宋体"/>
                <w:szCs w:val="21"/>
              </w:rPr>
              <w:t>卫生</w:t>
            </w:r>
          </w:p>
          <w:p w14:paraId="15747F2E">
            <w:pPr>
              <w:adjustRightInd w:val="0"/>
              <w:snapToGrid w:val="0"/>
              <w:jc w:val="center"/>
              <w:rPr>
                <w:rFonts w:ascii="宋体" w:hAnsi="宋体"/>
                <w:szCs w:val="21"/>
              </w:rPr>
            </w:pPr>
            <w:r>
              <w:rPr>
                <w:rFonts w:hint="eastAsia" w:ascii="宋体" w:hAnsi="宋体"/>
                <w:szCs w:val="21"/>
              </w:rPr>
              <w:t>保洁</w:t>
            </w:r>
          </w:p>
        </w:tc>
        <w:tc>
          <w:tcPr>
            <w:tcW w:w="795" w:type="dxa"/>
            <w:vMerge w:val="restart"/>
            <w:tcBorders>
              <w:top w:val="single" w:color="auto" w:sz="4" w:space="0"/>
              <w:left w:val="single" w:color="auto" w:sz="4" w:space="0"/>
              <w:right w:val="single" w:color="auto" w:sz="4" w:space="0"/>
            </w:tcBorders>
            <w:noWrap/>
            <w:vAlign w:val="center"/>
          </w:tcPr>
          <w:p w14:paraId="44E4CFB8">
            <w:pPr>
              <w:adjustRightInd w:val="0"/>
              <w:snapToGrid w:val="0"/>
              <w:jc w:val="center"/>
              <w:rPr>
                <w:rFonts w:ascii="宋体" w:hAnsi="宋体"/>
                <w:szCs w:val="21"/>
              </w:rPr>
            </w:pPr>
            <w:r>
              <w:rPr>
                <w:rFonts w:hint="eastAsia" w:ascii="宋体" w:hAnsi="宋体"/>
                <w:szCs w:val="21"/>
              </w:rPr>
              <w:t>台账现场检查</w:t>
            </w:r>
          </w:p>
        </w:tc>
        <w:tc>
          <w:tcPr>
            <w:tcW w:w="3523" w:type="dxa"/>
            <w:tcBorders>
              <w:top w:val="single" w:color="auto" w:sz="4" w:space="0"/>
              <w:left w:val="single" w:color="auto" w:sz="4" w:space="0"/>
              <w:right w:val="single" w:color="auto" w:sz="4" w:space="0"/>
            </w:tcBorders>
            <w:noWrap/>
            <w:vAlign w:val="center"/>
          </w:tcPr>
          <w:p w14:paraId="00F676B3">
            <w:pPr>
              <w:numPr>
                <w:ilvl w:val="0"/>
                <w:numId w:val="10"/>
              </w:numPr>
              <w:adjustRightInd w:val="0"/>
              <w:snapToGrid w:val="0"/>
              <w:rPr>
                <w:rFonts w:ascii="宋体" w:hAnsi="宋体"/>
                <w:szCs w:val="21"/>
              </w:rPr>
            </w:pPr>
            <w:r>
              <w:rPr>
                <w:rFonts w:hint="eastAsia" w:ascii="宋体" w:hAnsi="宋体"/>
                <w:szCs w:val="21"/>
              </w:rPr>
              <w:t>公厕保洁做到“十洁”，“六无”。“十洁”即：顶棚墙壁洁、门窗沙洁、地面蹲台、沟槽便坑洁、尿池洁、隔断板门洁、镜面、洗手盆、墩布池洁、手干器、挂衣钩洁，标牌灯具洁和厕所外部环境洁。“六无”即：无乱写乱画、无蚊蝇、无臭味、无尿碱污物、无暴露保洁工具和便纸，厕内外地面无积尿、积水、结冰。</w:t>
            </w:r>
          </w:p>
        </w:tc>
        <w:tc>
          <w:tcPr>
            <w:tcW w:w="4500" w:type="dxa"/>
            <w:tcBorders>
              <w:top w:val="single" w:color="auto" w:sz="4" w:space="0"/>
              <w:left w:val="single" w:color="auto" w:sz="4" w:space="0"/>
              <w:right w:val="single" w:color="auto" w:sz="4" w:space="0"/>
            </w:tcBorders>
            <w:noWrap/>
            <w:vAlign w:val="center"/>
          </w:tcPr>
          <w:p w14:paraId="2502EDE4">
            <w:pPr>
              <w:numPr>
                <w:ilvl w:val="0"/>
                <w:numId w:val="11"/>
              </w:numPr>
              <w:adjustRightInd w:val="0"/>
              <w:snapToGrid w:val="0"/>
              <w:rPr>
                <w:rFonts w:ascii="宋体" w:hAnsi="宋体"/>
                <w:szCs w:val="21"/>
              </w:rPr>
            </w:pPr>
            <w:r>
              <w:rPr>
                <w:rFonts w:hint="eastAsia" w:ascii="宋体" w:hAnsi="宋体"/>
                <w:szCs w:val="21"/>
              </w:rPr>
              <w:t>窗台、隔断板门、门窗上有积尘、积垢的，每发现一处扣0.2分；地面有痰涕、纸屑、烟头、污泥、积水、墙壁、房顶有蛛网，每发现一处扣0.2分；便池、池斗有严重便迹、尿渍，蹲位、挡墙（板）脏、厕内乱堆放杂物等，每发现一处扣0.5分；有乱涂画、张贴，每发现一处扣0.5分。</w:t>
            </w:r>
          </w:p>
        </w:tc>
      </w:tr>
      <w:tr w14:paraId="645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082" w:type="dxa"/>
            <w:vMerge w:val="continue"/>
            <w:tcBorders>
              <w:top w:val="single" w:color="auto" w:sz="4" w:space="0"/>
              <w:left w:val="single" w:color="auto" w:sz="4" w:space="0"/>
              <w:right w:val="single" w:color="auto" w:sz="4" w:space="0"/>
            </w:tcBorders>
            <w:noWrap/>
            <w:vAlign w:val="center"/>
          </w:tcPr>
          <w:p w14:paraId="762CD985"/>
        </w:tc>
        <w:tc>
          <w:tcPr>
            <w:tcW w:w="795" w:type="dxa"/>
            <w:vMerge w:val="continue"/>
            <w:tcBorders>
              <w:top w:val="single" w:color="auto" w:sz="4" w:space="0"/>
              <w:left w:val="single" w:color="auto" w:sz="4" w:space="0"/>
              <w:right w:val="single" w:color="auto" w:sz="4" w:space="0"/>
            </w:tcBorders>
            <w:noWrap/>
            <w:vAlign w:val="center"/>
          </w:tcPr>
          <w:p w14:paraId="0E48C997"/>
        </w:tc>
        <w:tc>
          <w:tcPr>
            <w:tcW w:w="3523" w:type="dxa"/>
            <w:tcBorders>
              <w:top w:val="single" w:color="auto" w:sz="4" w:space="0"/>
              <w:left w:val="single" w:color="auto" w:sz="4" w:space="0"/>
              <w:right w:val="single" w:color="auto" w:sz="4" w:space="0"/>
            </w:tcBorders>
            <w:noWrap/>
            <w:vAlign w:val="center"/>
          </w:tcPr>
          <w:p w14:paraId="0ACDCA5D">
            <w:pPr>
              <w:numPr>
                <w:ilvl w:val="0"/>
                <w:numId w:val="10"/>
              </w:numPr>
              <w:adjustRightInd w:val="0"/>
              <w:snapToGrid w:val="0"/>
              <w:rPr>
                <w:rFonts w:ascii="宋体" w:hAnsi="宋体"/>
                <w:szCs w:val="21"/>
              </w:rPr>
            </w:pPr>
            <w:r>
              <w:rPr>
                <w:rFonts w:hint="eastAsia" w:ascii="宋体" w:hAnsi="宋体"/>
                <w:szCs w:val="21"/>
              </w:rPr>
              <w:t>保持公厕周围环境的卫生。</w:t>
            </w:r>
          </w:p>
        </w:tc>
        <w:tc>
          <w:tcPr>
            <w:tcW w:w="4500" w:type="dxa"/>
            <w:tcBorders>
              <w:top w:val="single" w:color="auto" w:sz="4" w:space="0"/>
              <w:left w:val="single" w:color="auto" w:sz="4" w:space="0"/>
              <w:right w:val="single" w:color="auto" w:sz="4" w:space="0"/>
            </w:tcBorders>
            <w:noWrap/>
            <w:vAlign w:val="center"/>
          </w:tcPr>
          <w:p w14:paraId="5A894C74">
            <w:pPr>
              <w:numPr>
                <w:ilvl w:val="0"/>
                <w:numId w:val="11"/>
              </w:numPr>
              <w:adjustRightInd w:val="0"/>
              <w:snapToGrid w:val="0"/>
              <w:rPr>
                <w:rFonts w:ascii="宋体" w:hAnsi="宋体"/>
                <w:szCs w:val="21"/>
              </w:rPr>
            </w:pPr>
            <w:r>
              <w:rPr>
                <w:rFonts w:hint="eastAsia" w:ascii="宋体" w:hAnsi="宋体"/>
                <w:szCs w:val="21"/>
              </w:rPr>
              <w:t>公厕周围绿化带或责任区内有纸屑、果皮烟蒂等垃圾的，每处扣 0.2分；＞0.5㎡的每处扣0.5分；有乱放杂物、乱搭建、晾晒的，每处扣0.5分。</w:t>
            </w:r>
          </w:p>
        </w:tc>
      </w:tr>
      <w:tr w14:paraId="601A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082" w:type="dxa"/>
            <w:vMerge w:val="continue"/>
            <w:tcBorders>
              <w:top w:val="single" w:color="auto" w:sz="4" w:space="0"/>
              <w:left w:val="single" w:color="auto" w:sz="4" w:space="0"/>
              <w:right w:val="single" w:color="auto" w:sz="4" w:space="0"/>
            </w:tcBorders>
            <w:noWrap/>
            <w:vAlign w:val="center"/>
          </w:tcPr>
          <w:p w14:paraId="3194D36D"/>
        </w:tc>
        <w:tc>
          <w:tcPr>
            <w:tcW w:w="795" w:type="dxa"/>
            <w:vMerge w:val="continue"/>
            <w:tcBorders>
              <w:top w:val="single" w:color="auto" w:sz="4" w:space="0"/>
              <w:left w:val="single" w:color="auto" w:sz="4" w:space="0"/>
              <w:right w:val="single" w:color="auto" w:sz="4" w:space="0"/>
            </w:tcBorders>
            <w:noWrap/>
            <w:vAlign w:val="center"/>
          </w:tcPr>
          <w:p w14:paraId="3507F0F2"/>
        </w:tc>
        <w:tc>
          <w:tcPr>
            <w:tcW w:w="3523" w:type="dxa"/>
            <w:tcBorders>
              <w:top w:val="single" w:color="auto" w:sz="4" w:space="0"/>
              <w:left w:val="single" w:color="auto" w:sz="4" w:space="0"/>
              <w:right w:val="single" w:color="auto" w:sz="4" w:space="0"/>
            </w:tcBorders>
            <w:noWrap/>
            <w:vAlign w:val="center"/>
          </w:tcPr>
          <w:p w14:paraId="31A1D98C">
            <w:pPr>
              <w:numPr>
                <w:ilvl w:val="0"/>
                <w:numId w:val="10"/>
              </w:numPr>
              <w:adjustRightInd w:val="0"/>
              <w:snapToGrid w:val="0"/>
              <w:rPr>
                <w:rFonts w:ascii="宋体" w:hAnsi="宋体"/>
                <w:szCs w:val="21"/>
              </w:rPr>
            </w:pPr>
            <w:r>
              <w:rPr>
                <w:rFonts w:hint="eastAsia" w:ascii="宋体" w:hAnsi="宋体"/>
                <w:szCs w:val="21"/>
              </w:rPr>
              <w:t>保持公厕垃圾容器的干净和整洁，并日产日清。</w:t>
            </w:r>
          </w:p>
        </w:tc>
        <w:tc>
          <w:tcPr>
            <w:tcW w:w="4500" w:type="dxa"/>
            <w:tcBorders>
              <w:top w:val="single" w:color="auto" w:sz="4" w:space="0"/>
              <w:left w:val="single" w:color="auto" w:sz="4" w:space="0"/>
              <w:right w:val="single" w:color="auto" w:sz="4" w:space="0"/>
            </w:tcBorders>
            <w:noWrap/>
            <w:vAlign w:val="center"/>
          </w:tcPr>
          <w:p w14:paraId="35C4EA95">
            <w:pPr>
              <w:numPr>
                <w:ilvl w:val="0"/>
                <w:numId w:val="11"/>
              </w:numPr>
              <w:adjustRightInd w:val="0"/>
              <w:snapToGrid w:val="0"/>
              <w:rPr>
                <w:rFonts w:ascii="宋体" w:hAnsi="宋体"/>
                <w:szCs w:val="21"/>
              </w:rPr>
            </w:pPr>
            <w:r>
              <w:rPr>
                <w:rFonts w:hint="eastAsia" w:ascii="宋体" w:hAnsi="宋体"/>
                <w:szCs w:val="21"/>
              </w:rPr>
              <w:t>公厕厕位无纸篓的，每一处扣0.2分；纸篓等垃圾容器没有套袋的，每发现一处扣0.1分；产生的垃圾未做到日产日清的，每发现一处扣0.2分；垃圾超出垃圾容器平面的，每发现一处扣0.2分。</w:t>
            </w:r>
          </w:p>
        </w:tc>
      </w:tr>
      <w:tr w14:paraId="0415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082" w:type="dxa"/>
            <w:vMerge w:val="continue"/>
            <w:tcBorders>
              <w:top w:val="single" w:color="auto" w:sz="4" w:space="0"/>
              <w:left w:val="single" w:color="auto" w:sz="4" w:space="0"/>
              <w:right w:val="single" w:color="auto" w:sz="4" w:space="0"/>
            </w:tcBorders>
            <w:noWrap/>
            <w:vAlign w:val="center"/>
          </w:tcPr>
          <w:p w14:paraId="509908AD"/>
        </w:tc>
        <w:tc>
          <w:tcPr>
            <w:tcW w:w="795" w:type="dxa"/>
            <w:vMerge w:val="continue"/>
            <w:tcBorders>
              <w:top w:val="single" w:color="auto" w:sz="4" w:space="0"/>
              <w:left w:val="single" w:color="auto" w:sz="4" w:space="0"/>
              <w:right w:val="single" w:color="auto" w:sz="4" w:space="0"/>
            </w:tcBorders>
            <w:noWrap/>
            <w:vAlign w:val="center"/>
          </w:tcPr>
          <w:p w14:paraId="2F4FDB13"/>
        </w:tc>
        <w:tc>
          <w:tcPr>
            <w:tcW w:w="3523" w:type="dxa"/>
            <w:tcBorders>
              <w:top w:val="single" w:color="auto" w:sz="4" w:space="0"/>
              <w:left w:val="single" w:color="auto" w:sz="4" w:space="0"/>
              <w:right w:val="single" w:color="auto" w:sz="4" w:space="0"/>
            </w:tcBorders>
            <w:noWrap/>
            <w:vAlign w:val="center"/>
          </w:tcPr>
          <w:p w14:paraId="714C6957">
            <w:pPr>
              <w:numPr>
                <w:ilvl w:val="0"/>
                <w:numId w:val="10"/>
              </w:numPr>
              <w:adjustRightInd w:val="0"/>
              <w:snapToGrid w:val="0"/>
              <w:rPr>
                <w:rFonts w:ascii="宋体" w:hAnsi="宋体"/>
                <w:szCs w:val="21"/>
              </w:rPr>
            </w:pPr>
            <w:r>
              <w:rPr>
                <w:rFonts w:hint="eastAsia" w:ascii="宋体" w:hAnsi="宋体"/>
                <w:szCs w:val="21"/>
              </w:rPr>
              <w:t>公厕有防蝇，防蚊和除臭设施或措施。定时喷洒除臭、除蚊蝇药剂。</w:t>
            </w:r>
          </w:p>
        </w:tc>
        <w:tc>
          <w:tcPr>
            <w:tcW w:w="4500" w:type="dxa"/>
            <w:tcBorders>
              <w:top w:val="single" w:color="auto" w:sz="4" w:space="0"/>
              <w:left w:val="single" w:color="auto" w:sz="4" w:space="0"/>
              <w:right w:val="single" w:color="auto" w:sz="4" w:space="0"/>
            </w:tcBorders>
            <w:noWrap/>
            <w:vAlign w:val="center"/>
          </w:tcPr>
          <w:p w14:paraId="579FBF78">
            <w:pPr>
              <w:numPr>
                <w:ilvl w:val="0"/>
                <w:numId w:val="11"/>
              </w:numPr>
              <w:adjustRightInd w:val="0"/>
              <w:snapToGrid w:val="0"/>
              <w:rPr>
                <w:rFonts w:ascii="宋体" w:hAnsi="宋体"/>
                <w:szCs w:val="21"/>
              </w:rPr>
            </w:pPr>
            <w:r>
              <w:rPr>
                <w:rFonts w:hint="eastAsia" w:ascii="宋体" w:hAnsi="宋体"/>
                <w:szCs w:val="21"/>
              </w:rPr>
              <w:t>每天不少于一次做好所有公厕病媒生物消杀、清洁除臭，发生重大的卫生事件期间消杀频次增加一次。每个公厕发现少一次消杀、除臭的扣0.5分；每发现一个苍蝇或活蛆的扣0.2分；有明显臭味扣0.5分。</w:t>
            </w:r>
          </w:p>
        </w:tc>
      </w:tr>
      <w:tr w14:paraId="3F42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82" w:type="dxa"/>
            <w:vMerge w:val="continue"/>
            <w:tcBorders>
              <w:top w:val="single" w:color="auto" w:sz="4" w:space="0"/>
              <w:left w:val="single" w:color="auto" w:sz="4" w:space="0"/>
              <w:right w:val="single" w:color="auto" w:sz="4" w:space="0"/>
            </w:tcBorders>
            <w:noWrap/>
            <w:vAlign w:val="center"/>
          </w:tcPr>
          <w:p w14:paraId="20403FF5"/>
        </w:tc>
        <w:tc>
          <w:tcPr>
            <w:tcW w:w="795" w:type="dxa"/>
            <w:vMerge w:val="continue"/>
            <w:tcBorders>
              <w:top w:val="single" w:color="auto" w:sz="4" w:space="0"/>
              <w:left w:val="single" w:color="auto" w:sz="4" w:space="0"/>
              <w:right w:val="single" w:color="auto" w:sz="4" w:space="0"/>
            </w:tcBorders>
            <w:noWrap/>
            <w:vAlign w:val="center"/>
          </w:tcPr>
          <w:p w14:paraId="541193CA"/>
        </w:tc>
        <w:tc>
          <w:tcPr>
            <w:tcW w:w="3523" w:type="dxa"/>
            <w:tcBorders>
              <w:top w:val="single" w:color="auto" w:sz="4" w:space="0"/>
              <w:left w:val="single" w:color="auto" w:sz="4" w:space="0"/>
              <w:right w:val="single" w:color="auto" w:sz="4" w:space="0"/>
            </w:tcBorders>
            <w:noWrap/>
            <w:vAlign w:val="center"/>
          </w:tcPr>
          <w:p w14:paraId="11D08DBD">
            <w:pPr>
              <w:numPr>
                <w:ilvl w:val="0"/>
                <w:numId w:val="10"/>
              </w:numPr>
              <w:adjustRightInd w:val="0"/>
              <w:snapToGrid w:val="0"/>
              <w:rPr>
                <w:rFonts w:ascii="宋体" w:hAnsi="宋体"/>
                <w:szCs w:val="21"/>
              </w:rPr>
            </w:pPr>
            <w:r>
              <w:rPr>
                <w:rFonts w:hint="eastAsia" w:ascii="宋体" w:hAnsi="宋体"/>
                <w:szCs w:val="21"/>
              </w:rPr>
              <w:t>实行全天开放保洁，作</w:t>
            </w:r>
            <w:r>
              <w:rPr>
                <w:rFonts w:hint="eastAsia" w:ascii="宋体" w:hAnsi="宋体"/>
                <w:szCs w:val="21"/>
                <w:lang w:val="zh-CN"/>
              </w:rPr>
              <w:t>业时须穿工作服，</w:t>
            </w:r>
            <w:r>
              <w:rPr>
                <w:rFonts w:hint="eastAsia" w:ascii="宋体" w:hAnsi="宋体"/>
                <w:szCs w:val="21"/>
              </w:rPr>
              <w:t>随脏随保洁。</w:t>
            </w:r>
          </w:p>
        </w:tc>
        <w:tc>
          <w:tcPr>
            <w:tcW w:w="4500" w:type="dxa"/>
            <w:tcBorders>
              <w:top w:val="single" w:color="auto" w:sz="4" w:space="0"/>
              <w:left w:val="single" w:color="auto" w:sz="4" w:space="0"/>
              <w:right w:val="single" w:color="auto" w:sz="4" w:space="0"/>
            </w:tcBorders>
            <w:noWrap/>
            <w:vAlign w:val="center"/>
          </w:tcPr>
          <w:p w14:paraId="5CE333D7">
            <w:pPr>
              <w:numPr>
                <w:ilvl w:val="0"/>
                <w:numId w:val="11"/>
              </w:numPr>
              <w:adjustRightInd w:val="0"/>
              <w:snapToGrid w:val="0"/>
              <w:rPr>
                <w:rFonts w:ascii="宋体" w:hAnsi="宋体"/>
                <w:szCs w:val="21"/>
              </w:rPr>
            </w:pPr>
            <w:r>
              <w:rPr>
                <w:rFonts w:hint="eastAsia" w:ascii="宋体" w:hAnsi="宋体"/>
                <w:szCs w:val="21"/>
              </w:rPr>
              <w:t>未按规定要求落实公厕保洁时间，每发现一次扣0.2分；公厕保洁员未准时上岗或工作期间擅自离岗，每发现一次扣0.5分。</w:t>
            </w:r>
          </w:p>
        </w:tc>
      </w:tr>
      <w:tr w14:paraId="64E5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082" w:type="dxa"/>
            <w:vMerge w:val="continue"/>
            <w:tcBorders>
              <w:top w:val="single" w:color="auto" w:sz="4" w:space="0"/>
              <w:left w:val="single" w:color="auto" w:sz="4" w:space="0"/>
              <w:right w:val="single" w:color="auto" w:sz="4" w:space="0"/>
            </w:tcBorders>
            <w:noWrap/>
            <w:vAlign w:val="center"/>
          </w:tcPr>
          <w:p w14:paraId="2D42DC09"/>
        </w:tc>
        <w:tc>
          <w:tcPr>
            <w:tcW w:w="795" w:type="dxa"/>
            <w:vMerge w:val="continue"/>
            <w:tcBorders>
              <w:top w:val="single" w:color="auto" w:sz="4" w:space="0"/>
              <w:left w:val="single" w:color="auto" w:sz="4" w:space="0"/>
              <w:right w:val="single" w:color="auto" w:sz="4" w:space="0"/>
            </w:tcBorders>
            <w:noWrap/>
            <w:vAlign w:val="center"/>
          </w:tcPr>
          <w:p w14:paraId="0ABDB0B6"/>
        </w:tc>
        <w:tc>
          <w:tcPr>
            <w:tcW w:w="3523" w:type="dxa"/>
            <w:tcBorders>
              <w:top w:val="single" w:color="auto" w:sz="4" w:space="0"/>
              <w:left w:val="single" w:color="auto" w:sz="4" w:space="0"/>
              <w:right w:val="single" w:color="auto" w:sz="4" w:space="0"/>
            </w:tcBorders>
            <w:noWrap/>
            <w:vAlign w:val="center"/>
          </w:tcPr>
          <w:p w14:paraId="5FD4741A">
            <w:pPr>
              <w:numPr>
                <w:ilvl w:val="0"/>
                <w:numId w:val="10"/>
              </w:numPr>
              <w:adjustRightInd w:val="0"/>
              <w:snapToGrid w:val="0"/>
              <w:rPr>
                <w:rFonts w:ascii="宋体" w:hAnsi="宋体"/>
                <w:szCs w:val="21"/>
              </w:rPr>
            </w:pPr>
            <w:r>
              <w:rPr>
                <w:rFonts w:hint="eastAsia" w:ascii="宋体" w:hAnsi="宋体"/>
                <w:szCs w:val="21"/>
              </w:rPr>
              <w:t>维持公厕内部工具的整洁，并做好除臭台账。</w:t>
            </w:r>
          </w:p>
        </w:tc>
        <w:tc>
          <w:tcPr>
            <w:tcW w:w="4500" w:type="dxa"/>
            <w:tcBorders>
              <w:top w:val="single" w:color="auto" w:sz="4" w:space="0"/>
              <w:left w:val="single" w:color="auto" w:sz="4" w:space="0"/>
              <w:right w:val="single" w:color="auto" w:sz="4" w:space="0"/>
            </w:tcBorders>
            <w:noWrap/>
            <w:vAlign w:val="center"/>
          </w:tcPr>
          <w:p w14:paraId="78BBE1E8">
            <w:pPr>
              <w:numPr>
                <w:ilvl w:val="0"/>
                <w:numId w:val="11"/>
              </w:numPr>
              <w:adjustRightInd w:val="0"/>
              <w:snapToGrid w:val="0"/>
              <w:rPr>
                <w:rFonts w:ascii="宋体" w:hAnsi="宋体"/>
                <w:szCs w:val="21"/>
              </w:rPr>
            </w:pPr>
            <w:r>
              <w:rPr>
                <w:rFonts w:hint="eastAsia" w:ascii="宋体" w:hAnsi="宋体"/>
                <w:szCs w:val="21"/>
              </w:rPr>
              <w:t>公厕内保洁工具未在指定位置摆放的，每发现一次扣0.2分；随时放置当日消杀、除臭台帐供现场检查，未到位的每发现一次扣0.5分；在公厕管理间、工具间、通道堆积杂物或货品的，每发现一次到扣0.2分；利用公厕管理间、通道经营、销售商品的扣0.5分；经督查，未在限时整改的扣1分。</w:t>
            </w:r>
          </w:p>
        </w:tc>
      </w:tr>
      <w:tr w14:paraId="052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082" w:type="dxa"/>
            <w:vMerge w:val="continue"/>
            <w:tcBorders>
              <w:top w:val="single" w:color="auto" w:sz="4" w:space="0"/>
              <w:left w:val="single" w:color="auto" w:sz="4" w:space="0"/>
              <w:right w:val="single" w:color="auto" w:sz="4" w:space="0"/>
            </w:tcBorders>
            <w:noWrap/>
            <w:vAlign w:val="center"/>
          </w:tcPr>
          <w:p w14:paraId="781C828A"/>
        </w:tc>
        <w:tc>
          <w:tcPr>
            <w:tcW w:w="795" w:type="dxa"/>
            <w:vMerge w:val="continue"/>
            <w:tcBorders>
              <w:top w:val="single" w:color="auto" w:sz="4" w:space="0"/>
              <w:left w:val="single" w:color="auto" w:sz="4" w:space="0"/>
              <w:right w:val="single" w:color="auto" w:sz="4" w:space="0"/>
            </w:tcBorders>
            <w:noWrap/>
            <w:vAlign w:val="center"/>
          </w:tcPr>
          <w:p w14:paraId="5537A3E7"/>
        </w:tc>
        <w:tc>
          <w:tcPr>
            <w:tcW w:w="3523" w:type="dxa"/>
            <w:tcBorders>
              <w:top w:val="single" w:color="auto" w:sz="4" w:space="0"/>
              <w:left w:val="single" w:color="auto" w:sz="4" w:space="0"/>
              <w:right w:val="single" w:color="auto" w:sz="4" w:space="0"/>
            </w:tcBorders>
            <w:noWrap/>
            <w:vAlign w:val="center"/>
          </w:tcPr>
          <w:p w14:paraId="01E00917">
            <w:pPr>
              <w:numPr>
                <w:ilvl w:val="0"/>
                <w:numId w:val="10"/>
              </w:numPr>
              <w:adjustRightInd w:val="0"/>
              <w:snapToGrid w:val="0"/>
              <w:rPr>
                <w:rFonts w:ascii="宋体" w:hAnsi="宋体"/>
                <w:szCs w:val="21"/>
              </w:rPr>
            </w:pPr>
            <w:r>
              <w:rPr>
                <w:rFonts w:hint="eastAsia" w:ascii="宋体" w:hAnsi="宋体"/>
                <w:szCs w:val="21"/>
              </w:rPr>
              <w:t>作</w:t>
            </w:r>
            <w:r>
              <w:rPr>
                <w:rFonts w:hint="eastAsia" w:ascii="宋体" w:hAnsi="宋体"/>
                <w:szCs w:val="21"/>
                <w:lang w:val="zh-CN"/>
              </w:rPr>
              <w:t>业时须穿工作服，</w:t>
            </w:r>
            <w:r>
              <w:rPr>
                <w:rFonts w:hint="eastAsia" w:ascii="宋体" w:hAnsi="宋体"/>
                <w:szCs w:val="21"/>
              </w:rPr>
              <w:t>随脏随保洁。</w:t>
            </w:r>
          </w:p>
        </w:tc>
        <w:tc>
          <w:tcPr>
            <w:tcW w:w="4500" w:type="dxa"/>
            <w:tcBorders>
              <w:top w:val="single" w:color="auto" w:sz="4" w:space="0"/>
              <w:left w:val="single" w:color="auto" w:sz="4" w:space="0"/>
              <w:right w:val="single" w:color="auto" w:sz="4" w:space="0"/>
            </w:tcBorders>
            <w:noWrap/>
            <w:vAlign w:val="center"/>
          </w:tcPr>
          <w:p w14:paraId="057ACB31">
            <w:pPr>
              <w:numPr>
                <w:ilvl w:val="0"/>
                <w:numId w:val="11"/>
              </w:numPr>
              <w:adjustRightInd w:val="0"/>
              <w:snapToGrid w:val="0"/>
              <w:rPr>
                <w:rFonts w:ascii="宋体" w:hAnsi="宋体"/>
                <w:szCs w:val="21"/>
              </w:rPr>
            </w:pPr>
            <w:r>
              <w:rPr>
                <w:rFonts w:hint="eastAsia" w:ascii="宋体" w:hAnsi="宋体"/>
                <w:szCs w:val="21"/>
              </w:rPr>
              <w:t>未穿工作服或佩带上岗证，每发现一次扣0.2分；工作人员未按规范保洁，每发现一次扣0.2分；工作人员强行卖纸巾的扣0.5分。</w:t>
            </w:r>
          </w:p>
        </w:tc>
      </w:tr>
      <w:tr w14:paraId="3279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82" w:type="dxa"/>
            <w:vMerge w:val="restart"/>
            <w:tcBorders>
              <w:top w:val="single" w:color="auto" w:sz="4" w:space="0"/>
              <w:left w:val="single" w:color="auto" w:sz="4" w:space="0"/>
              <w:right w:val="single" w:color="auto" w:sz="4" w:space="0"/>
            </w:tcBorders>
            <w:noWrap/>
            <w:vAlign w:val="center"/>
          </w:tcPr>
          <w:p w14:paraId="11CB50A2">
            <w:pPr>
              <w:adjustRightInd w:val="0"/>
              <w:snapToGrid w:val="0"/>
              <w:jc w:val="center"/>
              <w:rPr>
                <w:rFonts w:ascii="宋体" w:hAnsi="宋体"/>
                <w:szCs w:val="21"/>
              </w:rPr>
            </w:pPr>
            <w:r>
              <w:rPr>
                <w:rFonts w:hint="eastAsia" w:ascii="宋体" w:hAnsi="宋体"/>
                <w:szCs w:val="21"/>
              </w:rPr>
              <w:t>（七）</w:t>
            </w:r>
          </w:p>
          <w:p w14:paraId="392817CB">
            <w:pPr>
              <w:adjustRightInd w:val="0"/>
              <w:snapToGrid w:val="0"/>
              <w:jc w:val="center"/>
              <w:rPr>
                <w:rFonts w:ascii="宋体" w:hAnsi="宋体"/>
                <w:szCs w:val="21"/>
              </w:rPr>
            </w:pPr>
            <w:r>
              <w:rPr>
                <w:rFonts w:hint="eastAsia" w:ascii="宋体" w:hAnsi="宋体"/>
                <w:szCs w:val="21"/>
              </w:rPr>
              <w:t>中转</w:t>
            </w:r>
          </w:p>
          <w:p w14:paraId="5E48198F">
            <w:pPr>
              <w:adjustRightInd w:val="0"/>
              <w:snapToGrid w:val="0"/>
              <w:jc w:val="center"/>
              <w:rPr>
                <w:rFonts w:ascii="宋体" w:hAnsi="宋体"/>
                <w:szCs w:val="21"/>
              </w:rPr>
            </w:pPr>
            <w:r>
              <w:rPr>
                <w:rFonts w:hint="eastAsia" w:ascii="宋体" w:hAnsi="宋体"/>
                <w:szCs w:val="21"/>
              </w:rPr>
              <w:t>站卫</w:t>
            </w:r>
          </w:p>
          <w:p w14:paraId="32B0211D">
            <w:pPr>
              <w:adjustRightInd w:val="0"/>
              <w:snapToGrid w:val="0"/>
              <w:jc w:val="center"/>
              <w:rPr>
                <w:rFonts w:ascii="宋体" w:hAnsi="宋体"/>
                <w:szCs w:val="21"/>
              </w:rPr>
            </w:pPr>
            <w:r>
              <w:rPr>
                <w:rFonts w:hint="eastAsia" w:ascii="宋体" w:hAnsi="宋体"/>
                <w:szCs w:val="21"/>
              </w:rPr>
              <w:t>生保</w:t>
            </w:r>
          </w:p>
          <w:p w14:paraId="2C79EECF">
            <w:pPr>
              <w:adjustRightInd w:val="0"/>
              <w:snapToGrid w:val="0"/>
              <w:jc w:val="center"/>
              <w:rPr>
                <w:rFonts w:ascii="宋体" w:hAnsi="宋体"/>
                <w:szCs w:val="21"/>
              </w:rPr>
            </w:pPr>
            <w:r>
              <w:rPr>
                <w:rFonts w:hint="eastAsia" w:ascii="宋体" w:hAnsi="宋体"/>
                <w:szCs w:val="21"/>
              </w:rPr>
              <w:t>洁</w:t>
            </w:r>
          </w:p>
        </w:tc>
        <w:tc>
          <w:tcPr>
            <w:tcW w:w="795" w:type="dxa"/>
            <w:vMerge w:val="restart"/>
            <w:tcBorders>
              <w:top w:val="single" w:color="auto" w:sz="4" w:space="0"/>
              <w:left w:val="single" w:color="auto" w:sz="4" w:space="0"/>
              <w:right w:val="single" w:color="auto" w:sz="4" w:space="0"/>
            </w:tcBorders>
            <w:noWrap/>
            <w:vAlign w:val="center"/>
          </w:tcPr>
          <w:p w14:paraId="3D0A5967">
            <w:pPr>
              <w:adjustRightInd w:val="0"/>
              <w:snapToGrid w:val="0"/>
              <w:jc w:val="center"/>
              <w:rPr>
                <w:rFonts w:ascii="宋体" w:hAnsi="宋体"/>
                <w:szCs w:val="21"/>
              </w:rPr>
            </w:pPr>
            <w:r>
              <w:rPr>
                <w:rFonts w:hint="eastAsia" w:ascii="宋体" w:hAnsi="宋体"/>
                <w:szCs w:val="21"/>
              </w:rPr>
              <w:t>台账现场检查</w:t>
            </w:r>
          </w:p>
        </w:tc>
        <w:tc>
          <w:tcPr>
            <w:tcW w:w="3523" w:type="dxa"/>
            <w:tcBorders>
              <w:top w:val="single" w:color="auto" w:sz="4" w:space="0"/>
              <w:left w:val="single" w:color="auto" w:sz="4" w:space="0"/>
              <w:right w:val="single" w:color="auto" w:sz="4" w:space="0"/>
            </w:tcBorders>
            <w:noWrap/>
            <w:vAlign w:val="center"/>
          </w:tcPr>
          <w:p w14:paraId="11E59671">
            <w:pPr>
              <w:numPr>
                <w:ilvl w:val="0"/>
                <w:numId w:val="10"/>
              </w:numPr>
              <w:adjustRightInd w:val="0"/>
              <w:snapToGrid w:val="0"/>
              <w:rPr>
                <w:rFonts w:ascii="宋体" w:hAnsi="宋体"/>
                <w:szCs w:val="21"/>
              </w:rPr>
            </w:pPr>
            <w:r>
              <w:rPr>
                <w:rFonts w:hint="eastAsia" w:ascii="宋体" w:hAnsi="宋体"/>
                <w:szCs w:val="21"/>
                <w:lang w:val="zh-CN"/>
              </w:rPr>
              <w:t>垃圾压缩转运时日产日运不积存垃圾。</w:t>
            </w:r>
          </w:p>
        </w:tc>
        <w:tc>
          <w:tcPr>
            <w:tcW w:w="4500" w:type="dxa"/>
            <w:tcBorders>
              <w:top w:val="single" w:color="auto" w:sz="4" w:space="0"/>
              <w:left w:val="single" w:color="auto" w:sz="4" w:space="0"/>
              <w:right w:val="single" w:color="auto" w:sz="4" w:space="0"/>
            </w:tcBorders>
            <w:noWrap/>
            <w:vAlign w:val="center"/>
          </w:tcPr>
          <w:p w14:paraId="11C934F5">
            <w:pPr>
              <w:numPr>
                <w:ilvl w:val="0"/>
                <w:numId w:val="11"/>
              </w:numPr>
              <w:adjustRightInd w:val="0"/>
              <w:snapToGrid w:val="0"/>
              <w:rPr>
                <w:rFonts w:ascii="宋体" w:hAnsi="宋体"/>
                <w:szCs w:val="21"/>
              </w:rPr>
            </w:pPr>
            <w:r>
              <w:rPr>
                <w:rFonts w:hint="eastAsia" w:ascii="宋体" w:hAnsi="宋体"/>
                <w:szCs w:val="21"/>
              </w:rPr>
              <w:t>中转站﹙点﹚垃圾日产日清, 清运率达100%。如垃圾未按时清运，每发现1次，扣0.5分。</w:t>
            </w:r>
          </w:p>
        </w:tc>
      </w:tr>
      <w:tr w14:paraId="4E35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082" w:type="dxa"/>
            <w:vMerge w:val="continue"/>
            <w:tcBorders>
              <w:top w:val="single" w:color="auto" w:sz="4" w:space="0"/>
              <w:left w:val="single" w:color="auto" w:sz="4" w:space="0"/>
              <w:right w:val="single" w:color="auto" w:sz="4" w:space="0"/>
            </w:tcBorders>
            <w:noWrap/>
            <w:vAlign w:val="center"/>
          </w:tcPr>
          <w:p w14:paraId="05CA440A"/>
        </w:tc>
        <w:tc>
          <w:tcPr>
            <w:tcW w:w="795" w:type="dxa"/>
            <w:vMerge w:val="continue"/>
            <w:tcBorders>
              <w:top w:val="single" w:color="auto" w:sz="4" w:space="0"/>
              <w:left w:val="single" w:color="auto" w:sz="4" w:space="0"/>
              <w:right w:val="single" w:color="auto" w:sz="4" w:space="0"/>
            </w:tcBorders>
            <w:noWrap/>
            <w:vAlign w:val="center"/>
          </w:tcPr>
          <w:p w14:paraId="488E1FE9"/>
        </w:tc>
        <w:tc>
          <w:tcPr>
            <w:tcW w:w="3523" w:type="dxa"/>
            <w:tcBorders>
              <w:top w:val="single" w:color="auto" w:sz="4" w:space="0"/>
              <w:left w:val="single" w:color="auto" w:sz="4" w:space="0"/>
              <w:right w:val="single" w:color="auto" w:sz="4" w:space="0"/>
            </w:tcBorders>
            <w:noWrap/>
            <w:vAlign w:val="center"/>
          </w:tcPr>
          <w:p w14:paraId="0D834295">
            <w:pPr>
              <w:numPr>
                <w:ilvl w:val="0"/>
                <w:numId w:val="10"/>
              </w:numPr>
              <w:adjustRightInd w:val="0"/>
              <w:snapToGrid w:val="0"/>
              <w:rPr>
                <w:rFonts w:ascii="宋体" w:hAnsi="宋体"/>
                <w:szCs w:val="21"/>
              </w:rPr>
            </w:pPr>
            <w:r>
              <w:rPr>
                <w:rFonts w:hint="eastAsia" w:ascii="宋体" w:hAnsi="宋体"/>
                <w:szCs w:val="21"/>
              </w:rPr>
              <w:t>每日定时冲洗保洁，做到随脏随保、车走站净。</w:t>
            </w:r>
          </w:p>
        </w:tc>
        <w:tc>
          <w:tcPr>
            <w:tcW w:w="4500" w:type="dxa"/>
            <w:tcBorders>
              <w:top w:val="single" w:color="auto" w:sz="4" w:space="0"/>
              <w:left w:val="single" w:color="auto" w:sz="4" w:space="0"/>
              <w:right w:val="single" w:color="auto" w:sz="4" w:space="0"/>
            </w:tcBorders>
            <w:noWrap/>
            <w:vAlign w:val="center"/>
          </w:tcPr>
          <w:p w14:paraId="0EB3A652">
            <w:pPr>
              <w:numPr>
                <w:ilvl w:val="0"/>
                <w:numId w:val="11"/>
              </w:numPr>
              <w:adjustRightInd w:val="0"/>
              <w:snapToGrid w:val="0"/>
              <w:rPr>
                <w:rFonts w:ascii="宋体" w:hAnsi="宋体"/>
                <w:szCs w:val="21"/>
              </w:rPr>
            </w:pPr>
            <w:r>
              <w:rPr>
                <w:rFonts w:hint="eastAsia" w:ascii="宋体" w:hAnsi="宋体"/>
                <w:szCs w:val="21"/>
              </w:rPr>
              <w:t>中转站﹙点﹚垃圾进口处平台卫生干净,各道排污口畅通, 站内外整洁有序,每发现一处中转站有问题扣0.5分。</w:t>
            </w:r>
          </w:p>
        </w:tc>
      </w:tr>
      <w:tr w14:paraId="3979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082" w:type="dxa"/>
            <w:vMerge w:val="continue"/>
            <w:tcBorders>
              <w:top w:val="single" w:color="auto" w:sz="4" w:space="0"/>
              <w:left w:val="single" w:color="auto" w:sz="4" w:space="0"/>
              <w:right w:val="single" w:color="auto" w:sz="4" w:space="0"/>
            </w:tcBorders>
            <w:noWrap/>
            <w:vAlign w:val="center"/>
          </w:tcPr>
          <w:p w14:paraId="6CFE6011"/>
        </w:tc>
        <w:tc>
          <w:tcPr>
            <w:tcW w:w="795" w:type="dxa"/>
            <w:vMerge w:val="continue"/>
            <w:tcBorders>
              <w:top w:val="single" w:color="auto" w:sz="4" w:space="0"/>
              <w:left w:val="single" w:color="auto" w:sz="4" w:space="0"/>
              <w:right w:val="single" w:color="auto" w:sz="4" w:space="0"/>
            </w:tcBorders>
            <w:noWrap/>
            <w:vAlign w:val="center"/>
          </w:tcPr>
          <w:p w14:paraId="0E4B2EEB"/>
        </w:tc>
        <w:tc>
          <w:tcPr>
            <w:tcW w:w="3523" w:type="dxa"/>
            <w:tcBorders>
              <w:top w:val="single" w:color="auto" w:sz="4" w:space="0"/>
              <w:left w:val="single" w:color="auto" w:sz="4" w:space="0"/>
              <w:right w:val="single" w:color="auto" w:sz="4" w:space="0"/>
            </w:tcBorders>
            <w:noWrap/>
            <w:vAlign w:val="center"/>
          </w:tcPr>
          <w:p w14:paraId="7B0AFA6E">
            <w:pPr>
              <w:numPr>
                <w:ilvl w:val="0"/>
                <w:numId w:val="10"/>
              </w:numPr>
              <w:adjustRightInd w:val="0"/>
              <w:snapToGrid w:val="0"/>
              <w:rPr>
                <w:rFonts w:ascii="宋体" w:hAnsi="宋体"/>
                <w:szCs w:val="21"/>
              </w:rPr>
            </w:pPr>
            <w:r>
              <w:rPr>
                <w:rFonts w:hint="eastAsia" w:ascii="宋体" w:hAnsi="宋体"/>
                <w:szCs w:val="21"/>
              </w:rPr>
              <w:t>做好中转站周围的卫生保洁，不乱堆放杂物。</w:t>
            </w:r>
          </w:p>
        </w:tc>
        <w:tc>
          <w:tcPr>
            <w:tcW w:w="4500" w:type="dxa"/>
            <w:tcBorders>
              <w:top w:val="single" w:color="auto" w:sz="4" w:space="0"/>
              <w:left w:val="single" w:color="auto" w:sz="4" w:space="0"/>
              <w:right w:val="single" w:color="auto" w:sz="4" w:space="0"/>
            </w:tcBorders>
            <w:noWrap/>
            <w:vAlign w:val="center"/>
          </w:tcPr>
          <w:p w14:paraId="26A6139A">
            <w:pPr>
              <w:numPr>
                <w:ilvl w:val="0"/>
                <w:numId w:val="11"/>
              </w:numPr>
              <w:adjustRightInd w:val="0"/>
              <w:snapToGrid w:val="0"/>
              <w:rPr>
                <w:rFonts w:ascii="宋体" w:hAnsi="宋体"/>
                <w:szCs w:val="21"/>
              </w:rPr>
            </w:pPr>
            <w:r>
              <w:rPr>
                <w:rFonts w:hint="eastAsia" w:ascii="宋体" w:hAnsi="宋体"/>
                <w:szCs w:val="21"/>
              </w:rPr>
              <w:t>中转站﹙点﹚及周围绿化带或责任区内有纸屑、果皮烟蒂等垃圾的，每处扣 0.2分；＞0.5㎡的每处扣0.5分；有乱放杂物、乱搭建、晾晒的，每处扣0.5分。</w:t>
            </w:r>
          </w:p>
        </w:tc>
      </w:tr>
      <w:tr w14:paraId="3B1D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082" w:type="dxa"/>
            <w:vMerge w:val="continue"/>
            <w:tcBorders>
              <w:top w:val="single" w:color="auto" w:sz="4" w:space="0"/>
              <w:left w:val="single" w:color="auto" w:sz="4" w:space="0"/>
              <w:right w:val="single" w:color="auto" w:sz="4" w:space="0"/>
            </w:tcBorders>
            <w:noWrap/>
            <w:vAlign w:val="center"/>
          </w:tcPr>
          <w:p w14:paraId="31AA716A"/>
        </w:tc>
        <w:tc>
          <w:tcPr>
            <w:tcW w:w="795" w:type="dxa"/>
            <w:vMerge w:val="continue"/>
            <w:tcBorders>
              <w:top w:val="single" w:color="auto" w:sz="4" w:space="0"/>
              <w:left w:val="single" w:color="auto" w:sz="4" w:space="0"/>
              <w:right w:val="single" w:color="auto" w:sz="4" w:space="0"/>
            </w:tcBorders>
            <w:noWrap/>
            <w:vAlign w:val="center"/>
          </w:tcPr>
          <w:p w14:paraId="155D95FD"/>
        </w:tc>
        <w:tc>
          <w:tcPr>
            <w:tcW w:w="3523" w:type="dxa"/>
            <w:tcBorders>
              <w:top w:val="single" w:color="auto" w:sz="4" w:space="0"/>
              <w:left w:val="single" w:color="auto" w:sz="4" w:space="0"/>
              <w:right w:val="single" w:color="auto" w:sz="4" w:space="0"/>
            </w:tcBorders>
            <w:noWrap/>
            <w:vAlign w:val="center"/>
          </w:tcPr>
          <w:p w14:paraId="76D003BA">
            <w:pPr>
              <w:numPr>
                <w:ilvl w:val="0"/>
                <w:numId w:val="10"/>
              </w:numPr>
              <w:adjustRightInd w:val="0"/>
              <w:snapToGrid w:val="0"/>
              <w:rPr>
                <w:rFonts w:ascii="宋体" w:hAnsi="宋体"/>
                <w:szCs w:val="21"/>
              </w:rPr>
            </w:pPr>
            <w:r>
              <w:rPr>
                <w:rFonts w:hint="eastAsia" w:ascii="宋体" w:hAnsi="宋体"/>
                <w:szCs w:val="21"/>
              </w:rPr>
              <w:t>站内定期喷洒除臭剂、消毒剂，做到无臭味、无蚊蝇、无鼠害、无蜘蛛网等。</w:t>
            </w:r>
          </w:p>
        </w:tc>
        <w:tc>
          <w:tcPr>
            <w:tcW w:w="4500" w:type="dxa"/>
            <w:tcBorders>
              <w:top w:val="single" w:color="auto" w:sz="4" w:space="0"/>
              <w:left w:val="single" w:color="auto" w:sz="4" w:space="0"/>
              <w:right w:val="single" w:color="auto" w:sz="4" w:space="0"/>
            </w:tcBorders>
            <w:noWrap/>
            <w:vAlign w:val="center"/>
          </w:tcPr>
          <w:p w14:paraId="7BF3B614">
            <w:pPr>
              <w:numPr>
                <w:ilvl w:val="0"/>
                <w:numId w:val="11"/>
              </w:numPr>
              <w:adjustRightInd w:val="0"/>
              <w:snapToGrid w:val="0"/>
              <w:rPr>
                <w:rFonts w:ascii="宋体" w:hAnsi="宋体"/>
                <w:szCs w:val="21"/>
              </w:rPr>
            </w:pPr>
            <w:r>
              <w:rPr>
                <w:rFonts w:hint="eastAsia" w:ascii="宋体" w:hAnsi="宋体"/>
                <w:szCs w:val="21"/>
              </w:rPr>
              <w:t>按规定时间和标准及时做好灭鼠、灭蚊、灭蝇、灭蟑螂，消除臭气等工作。每天不少于两次做好所有中转站﹙点﹚病媒生物消杀、清洁除臭，发生重大的卫生事件期间消杀频次增加一次。每个中转站﹙点﹚发现少一次除“四害”工作、消杀、除臭的扣0.5分；每发现三个苍蝇或活蛆的扣0.2分；有明显臭味扣0.5分。</w:t>
            </w:r>
          </w:p>
        </w:tc>
      </w:tr>
      <w:tr w14:paraId="7FF8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1082" w:type="dxa"/>
            <w:vMerge w:val="continue"/>
            <w:tcBorders>
              <w:top w:val="single" w:color="auto" w:sz="4" w:space="0"/>
              <w:left w:val="single" w:color="auto" w:sz="4" w:space="0"/>
              <w:right w:val="single" w:color="auto" w:sz="4" w:space="0"/>
            </w:tcBorders>
            <w:noWrap/>
            <w:vAlign w:val="center"/>
          </w:tcPr>
          <w:p w14:paraId="1343A473"/>
        </w:tc>
        <w:tc>
          <w:tcPr>
            <w:tcW w:w="795" w:type="dxa"/>
            <w:vMerge w:val="continue"/>
            <w:tcBorders>
              <w:top w:val="single" w:color="auto" w:sz="4" w:space="0"/>
              <w:left w:val="single" w:color="auto" w:sz="4" w:space="0"/>
              <w:right w:val="single" w:color="auto" w:sz="4" w:space="0"/>
            </w:tcBorders>
            <w:noWrap/>
            <w:vAlign w:val="center"/>
          </w:tcPr>
          <w:p w14:paraId="0A018948"/>
        </w:tc>
        <w:tc>
          <w:tcPr>
            <w:tcW w:w="3523" w:type="dxa"/>
            <w:tcBorders>
              <w:top w:val="single" w:color="auto" w:sz="4" w:space="0"/>
              <w:left w:val="single" w:color="auto" w:sz="4" w:space="0"/>
              <w:right w:val="single" w:color="auto" w:sz="4" w:space="0"/>
            </w:tcBorders>
            <w:noWrap/>
            <w:vAlign w:val="center"/>
          </w:tcPr>
          <w:p w14:paraId="090DCCFE">
            <w:pPr>
              <w:numPr>
                <w:ilvl w:val="0"/>
                <w:numId w:val="10"/>
              </w:numPr>
              <w:adjustRightInd w:val="0"/>
              <w:snapToGrid w:val="0"/>
              <w:rPr>
                <w:rFonts w:ascii="宋体" w:hAnsi="宋体"/>
                <w:szCs w:val="21"/>
              </w:rPr>
            </w:pPr>
            <w:r>
              <w:rPr>
                <w:rFonts w:hint="eastAsia" w:ascii="宋体" w:hAnsi="宋体"/>
                <w:szCs w:val="21"/>
              </w:rPr>
              <w:t>工具台账要在指定位置摆放，站内不许乱堆放杂物。</w:t>
            </w:r>
          </w:p>
        </w:tc>
        <w:tc>
          <w:tcPr>
            <w:tcW w:w="4500" w:type="dxa"/>
            <w:tcBorders>
              <w:top w:val="single" w:color="auto" w:sz="4" w:space="0"/>
              <w:left w:val="single" w:color="auto" w:sz="4" w:space="0"/>
              <w:right w:val="single" w:color="auto" w:sz="4" w:space="0"/>
            </w:tcBorders>
            <w:noWrap/>
            <w:vAlign w:val="center"/>
          </w:tcPr>
          <w:p w14:paraId="1B4BB852">
            <w:pPr>
              <w:numPr>
                <w:ilvl w:val="0"/>
                <w:numId w:val="11"/>
              </w:numPr>
              <w:adjustRightInd w:val="0"/>
              <w:snapToGrid w:val="0"/>
              <w:rPr>
                <w:rFonts w:ascii="宋体" w:hAnsi="宋体"/>
                <w:szCs w:val="21"/>
              </w:rPr>
            </w:pPr>
            <w:r>
              <w:rPr>
                <w:rFonts w:hint="eastAsia" w:ascii="宋体" w:hAnsi="宋体"/>
                <w:szCs w:val="21"/>
              </w:rPr>
              <w:t>中转站﹙点﹚内保洁工具未在指定位置摆放的，每发现一次扣0.2分；随时放置当日消杀、除臭台帐供现场检查，未到位的每发现一次扣0.5分；在中转站﹙点﹚管理间、操作区域、通道堆积杂物或货品的，每发现一次到扣0.2分；经督查，未在限时整改的扣1分。</w:t>
            </w:r>
          </w:p>
        </w:tc>
      </w:tr>
      <w:tr w14:paraId="351D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82" w:type="dxa"/>
            <w:vMerge w:val="continue"/>
            <w:tcBorders>
              <w:top w:val="single" w:color="auto" w:sz="4" w:space="0"/>
              <w:left w:val="single" w:color="auto" w:sz="4" w:space="0"/>
              <w:right w:val="single" w:color="auto" w:sz="4" w:space="0"/>
            </w:tcBorders>
            <w:noWrap/>
            <w:vAlign w:val="center"/>
          </w:tcPr>
          <w:p w14:paraId="720CAD19"/>
        </w:tc>
        <w:tc>
          <w:tcPr>
            <w:tcW w:w="795" w:type="dxa"/>
            <w:vMerge w:val="continue"/>
            <w:tcBorders>
              <w:top w:val="single" w:color="auto" w:sz="4" w:space="0"/>
              <w:left w:val="single" w:color="auto" w:sz="4" w:space="0"/>
              <w:right w:val="single" w:color="auto" w:sz="4" w:space="0"/>
            </w:tcBorders>
            <w:noWrap/>
            <w:vAlign w:val="center"/>
          </w:tcPr>
          <w:p w14:paraId="20E50A20"/>
        </w:tc>
        <w:tc>
          <w:tcPr>
            <w:tcW w:w="3523" w:type="dxa"/>
            <w:tcBorders>
              <w:top w:val="single" w:color="auto" w:sz="4" w:space="0"/>
              <w:left w:val="single" w:color="auto" w:sz="4" w:space="0"/>
              <w:right w:val="single" w:color="auto" w:sz="4" w:space="0"/>
            </w:tcBorders>
            <w:noWrap/>
            <w:vAlign w:val="center"/>
          </w:tcPr>
          <w:p w14:paraId="42195B8B">
            <w:pPr>
              <w:numPr>
                <w:ilvl w:val="0"/>
                <w:numId w:val="10"/>
              </w:numPr>
              <w:adjustRightInd w:val="0"/>
              <w:snapToGrid w:val="0"/>
              <w:rPr>
                <w:rFonts w:ascii="宋体" w:hAnsi="宋体"/>
                <w:szCs w:val="21"/>
              </w:rPr>
            </w:pPr>
            <w:r>
              <w:rPr>
                <w:rFonts w:hint="eastAsia" w:ascii="宋体" w:hAnsi="宋体"/>
                <w:szCs w:val="21"/>
              </w:rPr>
              <w:t>建筑垃圾填埋以及覆土的。</w:t>
            </w:r>
          </w:p>
        </w:tc>
        <w:tc>
          <w:tcPr>
            <w:tcW w:w="4500" w:type="dxa"/>
            <w:tcBorders>
              <w:top w:val="single" w:color="auto" w:sz="4" w:space="0"/>
              <w:left w:val="single" w:color="auto" w:sz="4" w:space="0"/>
              <w:right w:val="single" w:color="auto" w:sz="4" w:space="0"/>
            </w:tcBorders>
            <w:noWrap/>
            <w:vAlign w:val="center"/>
          </w:tcPr>
          <w:p w14:paraId="0164802A">
            <w:pPr>
              <w:numPr>
                <w:ilvl w:val="0"/>
                <w:numId w:val="11"/>
              </w:numPr>
              <w:adjustRightInd w:val="0"/>
              <w:snapToGrid w:val="0"/>
              <w:rPr>
                <w:rFonts w:ascii="宋体" w:hAnsi="宋体"/>
                <w:szCs w:val="21"/>
              </w:rPr>
            </w:pPr>
            <w:r>
              <w:rPr>
                <w:rFonts w:hint="eastAsia" w:ascii="宋体" w:hAnsi="宋体"/>
                <w:szCs w:val="21"/>
              </w:rPr>
              <w:t>建筑垃圾填埋未及时覆土的扣1分；经督查，未在限时整改的加扣1分。</w:t>
            </w:r>
          </w:p>
        </w:tc>
      </w:tr>
      <w:tr w14:paraId="4090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82" w:type="dxa"/>
            <w:vMerge w:val="continue"/>
            <w:tcBorders>
              <w:top w:val="single" w:color="auto" w:sz="4" w:space="0"/>
              <w:left w:val="single" w:color="auto" w:sz="4" w:space="0"/>
              <w:right w:val="single" w:color="auto" w:sz="4" w:space="0"/>
            </w:tcBorders>
            <w:noWrap/>
            <w:vAlign w:val="center"/>
          </w:tcPr>
          <w:p w14:paraId="11534CB4"/>
        </w:tc>
        <w:tc>
          <w:tcPr>
            <w:tcW w:w="795" w:type="dxa"/>
            <w:vMerge w:val="continue"/>
            <w:tcBorders>
              <w:top w:val="single" w:color="auto" w:sz="4" w:space="0"/>
              <w:left w:val="single" w:color="auto" w:sz="4" w:space="0"/>
              <w:right w:val="single" w:color="auto" w:sz="4" w:space="0"/>
            </w:tcBorders>
            <w:noWrap/>
            <w:vAlign w:val="center"/>
          </w:tcPr>
          <w:p w14:paraId="7C24C434"/>
        </w:tc>
        <w:tc>
          <w:tcPr>
            <w:tcW w:w="3523" w:type="dxa"/>
            <w:tcBorders>
              <w:top w:val="single" w:color="auto" w:sz="4" w:space="0"/>
              <w:left w:val="single" w:color="auto" w:sz="4" w:space="0"/>
              <w:right w:val="single" w:color="auto" w:sz="4" w:space="0"/>
            </w:tcBorders>
            <w:noWrap/>
            <w:vAlign w:val="center"/>
          </w:tcPr>
          <w:p w14:paraId="26C61888">
            <w:pPr>
              <w:numPr>
                <w:ilvl w:val="0"/>
                <w:numId w:val="10"/>
              </w:numPr>
              <w:adjustRightInd w:val="0"/>
              <w:snapToGrid w:val="0"/>
              <w:rPr>
                <w:rFonts w:ascii="宋体" w:hAnsi="宋体"/>
                <w:szCs w:val="21"/>
              </w:rPr>
            </w:pPr>
            <w:r>
              <w:rPr>
                <w:rFonts w:hint="eastAsia" w:ascii="宋体" w:hAnsi="宋体"/>
                <w:szCs w:val="21"/>
              </w:rPr>
              <w:t>做好每日垃圾的统计。</w:t>
            </w:r>
          </w:p>
        </w:tc>
        <w:tc>
          <w:tcPr>
            <w:tcW w:w="4500" w:type="dxa"/>
            <w:tcBorders>
              <w:top w:val="single" w:color="auto" w:sz="4" w:space="0"/>
              <w:left w:val="single" w:color="auto" w:sz="4" w:space="0"/>
              <w:right w:val="single" w:color="auto" w:sz="4" w:space="0"/>
            </w:tcBorders>
            <w:noWrap/>
            <w:vAlign w:val="center"/>
          </w:tcPr>
          <w:p w14:paraId="3662C24C">
            <w:pPr>
              <w:numPr>
                <w:ilvl w:val="0"/>
                <w:numId w:val="11"/>
              </w:numPr>
              <w:adjustRightInd w:val="0"/>
              <w:snapToGrid w:val="0"/>
              <w:rPr>
                <w:rFonts w:ascii="宋体" w:hAnsi="宋体"/>
                <w:szCs w:val="21"/>
              </w:rPr>
            </w:pPr>
            <w:r>
              <w:rPr>
                <w:rFonts w:hint="eastAsia" w:ascii="宋体" w:hAnsi="宋体"/>
                <w:szCs w:val="21"/>
              </w:rPr>
              <w:t>中转站﹙点﹚要做好垃圾进出站量的统计。没有记录、记录不完整或记录不符实，每发现一次的扣0.5分；经督查，未在限时整改的扣1分。</w:t>
            </w:r>
          </w:p>
        </w:tc>
      </w:tr>
      <w:tr w14:paraId="40E4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2" w:type="dxa"/>
            <w:vMerge w:val="restart"/>
            <w:tcBorders>
              <w:top w:val="single" w:color="auto" w:sz="4" w:space="0"/>
              <w:left w:val="single" w:color="auto" w:sz="4" w:space="0"/>
              <w:right w:val="single" w:color="auto" w:sz="4" w:space="0"/>
            </w:tcBorders>
            <w:noWrap/>
            <w:vAlign w:val="center"/>
          </w:tcPr>
          <w:p w14:paraId="31F2ED5C">
            <w:pPr>
              <w:adjustRightInd w:val="0"/>
              <w:snapToGrid w:val="0"/>
              <w:jc w:val="center"/>
              <w:rPr>
                <w:rFonts w:ascii="宋体" w:hAnsi="宋体"/>
                <w:szCs w:val="21"/>
              </w:rPr>
            </w:pPr>
            <w:r>
              <w:rPr>
                <w:rFonts w:hint="eastAsia" w:ascii="宋体" w:hAnsi="宋体"/>
                <w:szCs w:val="21"/>
              </w:rPr>
              <w:t>（八）</w:t>
            </w:r>
          </w:p>
          <w:p w14:paraId="6637AB79">
            <w:pPr>
              <w:adjustRightInd w:val="0"/>
              <w:snapToGrid w:val="0"/>
              <w:jc w:val="center"/>
              <w:rPr>
                <w:rFonts w:ascii="宋体" w:hAnsi="宋体"/>
                <w:szCs w:val="21"/>
              </w:rPr>
            </w:pPr>
            <w:r>
              <w:rPr>
                <w:rFonts w:hint="eastAsia" w:ascii="宋体" w:hAnsi="宋体"/>
                <w:szCs w:val="21"/>
              </w:rPr>
              <w:t>河道</w:t>
            </w:r>
          </w:p>
          <w:p w14:paraId="5FB1873E">
            <w:pPr>
              <w:adjustRightInd w:val="0"/>
              <w:snapToGrid w:val="0"/>
              <w:jc w:val="center"/>
              <w:rPr>
                <w:rFonts w:ascii="宋体" w:hAnsi="宋体"/>
                <w:szCs w:val="21"/>
              </w:rPr>
            </w:pPr>
            <w:r>
              <w:rPr>
                <w:rFonts w:hint="eastAsia" w:ascii="宋体" w:hAnsi="宋体"/>
                <w:szCs w:val="21"/>
              </w:rPr>
              <w:t>保洁</w:t>
            </w:r>
          </w:p>
        </w:tc>
        <w:tc>
          <w:tcPr>
            <w:tcW w:w="795" w:type="dxa"/>
            <w:vMerge w:val="restart"/>
            <w:tcBorders>
              <w:top w:val="single" w:color="auto" w:sz="4" w:space="0"/>
              <w:left w:val="single" w:color="auto" w:sz="4" w:space="0"/>
              <w:right w:val="single" w:color="auto" w:sz="4" w:space="0"/>
            </w:tcBorders>
            <w:noWrap/>
            <w:vAlign w:val="center"/>
          </w:tcPr>
          <w:p w14:paraId="2E8261A7">
            <w:pPr>
              <w:adjustRightInd w:val="0"/>
              <w:snapToGrid w:val="0"/>
              <w:jc w:val="center"/>
              <w:rPr>
                <w:rFonts w:ascii="宋体" w:hAnsi="宋体"/>
                <w:szCs w:val="21"/>
              </w:rPr>
            </w:pPr>
            <w:r>
              <w:rPr>
                <w:rFonts w:hint="eastAsia" w:ascii="宋体" w:hAnsi="宋体"/>
                <w:szCs w:val="21"/>
              </w:rPr>
              <w:t>台账现场检查</w:t>
            </w:r>
          </w:p>
        </w:tc>
        <w:tc>
          <w:tcPr>
            <w:tcW w:w="3523" w:type="dxa"/>
            <w:tcBorders>
              <w:top w:val="single" w:color="auto" w:sz="4" w:space="0"/>
              <w:left w:val="single" w:color="auto" w:sz="4" w:space="0"/>
              <w:right w:val="single" w:color="auto" w:sz="4" w:space="0"/>
            </w:tcBorders>
            <w:noWrap/>
            <w:vAlign w:val="center"/>
          </w:tcPr>
          <w:p w14:paraId="72E762B9">
            <w:pPr>
              <w:numPr>
                <w:ilvl w:val="0"/>
                <w:numId w:val="10"/>
              </w:numPr>
              <w:adjustRightInd w:val="0"/>
              <w:snapToGrid w:val="0"/>
              <w:rPr>
                <w:rFonts w:ascii="宋体" w:hAnsi="宋体"/>
                <w:szCs w:val="21"/>
              </w:rPr>
            </w:pPr>
            <w:r>
              <w:rPr>
                <w:rFonts w:hint="eastAsia" w:ascii="宋体" w:hAnsi="宋体"/>
                <w:szCs w:val="21"/>
              </w:rPr>
              <w:t>河道通畅，河中无障碍物。</w:t>
            </w:r>
          </w:p>
        </w:tc>
        <w:tc>
          <w:tcPr>
            <w:tcW w:w="4500" w:type="dxa"/>
            <w:tcBorders>
              <w:top w:val="single" w:color="auto" w:sz="4" w:space="0"/>
              <w:left w:val="single" w:color="auto" w:sz="4" w:space="0"/>
              <w:right w:val="single" w:color="auto" w:sz="4" w:space="0"/>
            </w:tcBorders>
            <w:noWrap/>
            <w:vAlign w:val="center"/>
          </w:tcPr>
          <w:p w14:paraId="52786BC5">
            <w:pPr>
              <w:numPr>
                <w:ilvl w:val="0"/>
                <w:numId w:val="11"/>
              </w:numPr>
              <w:adjustRightInd w:val="0"/>
              <w:snapToGrid w:val="0"/>
              <w:rPr>
                <w:rFonts w:ascii="宋体" w:hAnsi="宋体"/>
                <w:szCs w:val="21"/>
              </w:rPr>
            </w:pPr>
            <w:r>
              <w:rPr>
                <w:rFonts w:hint="eastAsia" w:ascii="宋体" w:hAnsi="宋体"/>
                <w:szCs w:val="21"/>
              </w:rPr>
              <w:t>如发现一处扣2分，发现有明显障碍物每处扣4分。</w:t>
            </w:r>
          </w:p>
        </w:tc>
      </w:tr>
      <w:tr w14:paraId="2DF5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82" w:type="dxa"/>
            <w:vMerge w:val="continue"/>
            <w:tcBorders>
              <w:top w:val="single" w:color="auto" w:sz="4" w:space="0"/>
              <w:left w:val="single" w:color="auto" w:sz="4" w:space="0"/>
              <w:right w:val="single" w:color="auto" w:sz="4" w:space="0"/>
            </w:tcBorders>
            <w:noWrap/>
            <w:vAlign w:val="center"/>
          </w:tcPr>
          <w:p w14:paraId="50C04DC1"/>
        </w:tc>
        <w:tc>
          <w:tcPr>
            <w:tcW w:w="795" w:type="dxa"/>
            <w:vMerge w:val="continue"/>
            <w:tcBorders>
              <w:top w:val="single" w:color="auto" w:sz="4" w:space="0"/>
              <w:left w:val="single" w:color="auto" w:sz="4" w:space="0"/>
              <w:right w:val="single" w:color="auto" w:sz="4" w:space="0"/>
            </w:tcBorders>
            <w:noWrap/>
            <w:vAlign w:val="center"/>
          </w:tcPr>
          <w:p w14:paraId="79AD634E"/>
        </w:tc>
        <w:tc>
          <w:tcPr>
            <w:tcW w:w="3523" w:type="dxa"/>
            <w:tcBorders>
              <w:top w:val="single" w:color="auto" w:sz="4" w:space="0"/>
              <w:left w:val="single" w:color="auto" w:sz="4" w:space="0"/>
              <w:right w:val="single" w:color="auto" w:sz="4" w:space="0"/>
            </w:tcBorders>
            <w:noWrap/>
            <w:vAlign w:val="center"/>
          </w:tcPr>
          <w:p w14:paraId="0025397D">
            <w:pPr>
              <w:numPr>
                <w:ilvl w:val="0"/>
                <w:numId w:val="10"/>
              </w:numPr>
              <w:adjustRightInd w:val="0"/>
              <w:snapToGrid w:val="0"/>
              <w:rPr>
                <w:rFonts w:ascii="宋体" w:hAnsi="宋体"/>
                <w:szCs w:val="21"/>
              </w:rPr>
            </w:pPr>
            <w:r>
              <w:rPr>
                <w:rFonts w:hint="eastAsia" w:ascii="宋体" w:hAnsi="宋体"/>
                <w:szCs w:val="21"/>
              </w:rPr>
              <w:t>河面无影响水生态的水葫芦、水草、水浮萍、水浮莲等水生植物和漂浮废弃物。</w:t>
            </w:r>
          </w:p>
        </w:tc>
        <w:tc>
          <w:tcPr>
            <w:tcW w:w="4500" w:type="dxa"/>
            <w:tcBorders>
              <w:top w:val="single" w:color="auto" w:sz="4" w:space="0"/>
              <w:left w:val="single" w:color="auto" w:sz="4" w:space="0"/>
              <w:right w:val="single" w:color="auto" w:sz="4" w:space="0"/>
            </w:tcBorders>
            <w:noWrap/>
            <w:vAlign w:val="center"/>
          </w:tcPr>
          <w:p w14:paraId="7F2028BD">
            <w:pPr>
              <w:numPr>
                <w:ilvl w:val="0"/>
                <w:numId w:val="11"/>
              </w:numPr>
              <w:adjustRightInd w:val="0"/>
              <w:snapToGrid w:val="0"/>
              <w:rPr>
                <w:rFonts w:ascii="宋体" w:hAnsi="宋体"/>
                <w:szCs w:val="21"/>
              </w:rPr>
            </w:pPr>
            <w:r>
              <w:rPr>
                <w:rFonts w:hint="eastAsia" w:ascii="宋体" w:hAnsi="宋体"/>
                <w:szCs w:val="21"/>
              </w:rPr>
              <w:t>每发现一处扣1分，发现有死亡动物的，每处扣3分。</w:t>
            </w:r>
          </w:p>
        </w:tc>
      </w:tr>
      <w:tr w14:paraId="085F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82" w:type="dxa"/>
            <w:vMerge w:val="continue"/>
            <w:tcBorders>
              <w:top w:val="single" w:color="auto" w:sz="4" w:space="0"/>
              <w:left w:val="single" w:color="auto" w:sz="4" w:space="0"/>
              <w:right w:val="single" w:color="auto" w:sz="4" w:space="0"/>
            </w:tcBorders>
            <w:noWrap/>
            <w:vAlign w:val="center"/>
          </w:tcPr>
          <w:p w14:paraId="51461BEF"/>
        </w:tc>
        <w:tc>
          <w:tcPr>
            <w:tcW w:w="795" w:type="dxa"/>
            <w:vMerge w:val="continue"/>
            <w:tcBorders>
              <w:top w:val="single" w:color="auto" w:sz="4" w:space="0"/>
              <w:left w:val="single" w:color="auto" w:sz="4" w:space="0"/>
              <w:right w:val="single" w:color="auto" w:sz="4" w:space="0"/>
            </w:tcBorders>
            <w:noWrap/>
            <w:vAlign w:val="center"/>
          </w:tcPr>
          <w:p w14:paraId="50933BDD"/>
        </w:tc>
        <w:tc>
          <w:tcPr>
            <w:tcW w:w="3523" w:type="dxa"/>
            <w:tcBorders>
              <w:top w:val="single" w:color="auto" w:sz="4" w:space="0"/>
              <w:left w:val="single" w:color="auto" w:sz="4" w:space="0"/>
              <w:right w:val="single" w:color="auto" w:sz="4" w:space="0"/>
            </w:tcBorders>
            <w:noWrap/>
            <w:vAlign w:val="center"/>
          </w:tcPr>
          <w:p w14:paraId="4855B639">
            <w:pPr>
              <w:numPr>
                <w:ilvl w:val="0"/>
                <w:numId w:val="10"/>
              </w:numPr>
              <w:adjustRightInd w:val="0"/>
              <w:snapToGrid w:val="0"/>
              <w:rPr>
                <w:rFonts w:ascii="宋体" w:hAnsi="宋体"/>
                <w:szCs w:val="21"/>
              </w:rPr>
            </w:pPr>
            <w:r>
              <w:rPr>
                <w:rFonts w:hint="eastAsia" w:ascii="宋体" w:hAnsi="宋体"/>
                <w:szCs w:val="21"/>
              </w:rPr>
              <w:t>妥善处理打捞物，清理的各种垃圾和废弃物不乱倒，及时运往中转站，避免二次污染。</w:t>
            </w:r>
          </w:p>
        </w:tc>
        <w:tc>
          <w:tcPr>
            <w:tcW w:w="4500" w:type="dxa"/>
            <w:tcBorders>
              <w:top w:val="single" w:color="auto" w:sz="4" w:space="0"/>
              <w:left w:val="single" w:color="auto" w:sz="4" w:space="0"/>
              <w:right w:val="single" w:color="auto" w:sz="4" w:space="0"/>
            </w:tcBorders>
            <w:noWrap/>
            <w:vAlign w:val="center"/>
          </w:tcPr>
          <w:p w14:paraId="4A946CB7">
            <w:pPr>
              <w:numPr>
                <w:ilvl w:val="0"/>
                <w:numId w:val="11"/>
              </w:numPr>
              <w:adjustRightInd w:val="0"/>
              <w:snapToGrid w:val="0"/>
              <w:rPr>
                <w:rFonts w:ascii="宋体" w:hAnsi="宋体"/>
                <w:szCs w:val="21"/>
              </w:rPr>
            </w:pPr>
            <w:r>
              <w:rPr>
                <w:rFonts w:hint="eastAsia" w:ascii="宋体" w:hAnsi="宋体"/>
                <w:szCs w:val="21"/>
              </w:rPr>
              <w:t>如发现乱倒行为，每发现一例扣1分。</w:t>
            </w:r>
          </w:p>
        </w:tc>
      </w:tr>
      <w:tr w14:paraId="5488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1082" w:type="dxa"/>
            <w:vMerge w:val="restart"/>
            <w:tcBorders>
              <w:top w:val="single" w:color="auto" w:sz="4" w:space="0"/>
              <w:left w:val="single" w:color="auto" w:sz="4" w:space="0"/>
              <w:right w:val="single" w:color="auto" w:sz="4" w:space="0"/>
            </w:tcBorders>
            <w:noWrap/>
            <w:vAlign w:val="center"/>
          </w:tcPr>
          <w:p w14:paraId="50123D78">
            <w:pPr>
              <w:adjustRightInd w:val="0"/>
              <w:snapToGrid w:val="0"/>
              <w:jc w:val="center"/>
              <w:rPr>
                <w:rFonts w:ascii="宋体" w:hAnsi="宋体"/>
                <w:szCs w:val="21"/>
              </w:rPr>
            </w:pPr>
            <w:r>
              <w:rPr>
                <w:rFonts w:hint="eastAsia" w:ascii="宋体" w:hAnsi="宋体"/>
                <w:szCs w:val="21"/>
              </w:rPr>
              <w:t>（九）</w:t>
            </w:r>
          </w:p>
          <w:p w14:paraId="22459E0E">
            <w:pPr>
              <w:adjustRightInd w:val="0"/>
              <w:snapToGrid w:val="0"/>
              <w:jc w:val="center"/>
              <w:rPr>
                <w:rFonts w:ascii="宋体" w:hAnsi="宋体"/>
                <w:szCs w:val="21"/>
              </w:rPr>
            </w:pPr>
            <w:r>
              <w:rPr>
                <w:rFonts w:hint="eastAsia" w:ascii="宋体" w:hAnsi="宋体"/>
                <w:szCs w:val="21"/>
              </w:rPr>
              <w:t>安全</w:t>
            </w:r>
          </w:p>
          <w:p w14:paraId="27BFC81C">
            <w:pPr>
              <w:adjustRightInd w:val="0"/>
              <w:snapToGrid w:val="0"/>
              <w:jc w:val="center"/>
              <w:rPr>
                <w:rFonts w:ascii="宋体" w:hAnsi="宋体"/>
                <w:szCs w:val="21"/>
              </w:rPr>
            </w:pPr>
            <w:r>
              <w:rPr>
                <w:rFonts w:hint="eastAsia" w:ascii="宋体" w:hAnsi="宋体"/>
                <w:szCs w:val="21"/>
              </w:rPr>
              <w:t>生产</w:t>
            </w:r>
          </w:p>
          <w:p w14:paraId="75E66925">
            <w:pPr>
              <w:adjustRightInd w:val="0"/>
              <w:snapToGrid w:val="0"/>
              <w:jc w:val="center"/>
              <w:rPr>
                <w:rFonts w:ascii="宋体" w:hAnsi="宋体"/>
                <w:szCs w:val="21"/>
              </w:rPr>
            </w:pPr>
            <w:r>
              <w:rPr>
                <w:rFonts w:hint="eastAsia" w:ascii="宋体" w:hAnsi="宋体"/>
                <w:szCs w:val="21"/>
              </w:rPr>
              <w:t>管理</w:t>
            </w:r>
          </w:p>
          <w:p w14:paraId="3F41AFE8">
            <w:pPr>
              <w:adjustRightInd w:val="0"/>
              <w:snapToGrid w:val="0"/>
              <w:jc w:val="center"/>
              <w:rPr>
                <w:rFonts w:ascii="宋体" w:hAnsi="宋体"/>
                <w:szCs w:val="21"/>
              </w:rPr>
            </w:pPr>
            <w:r>
              <w:rPr>
                <w:rFonts w:hint="eastAsia" w:ascii="宋体" w:hAnsi="宋体"/>
                <w:szCs w:val="21"/>
              </w:rPr>
              <w:t>落实</w:t>
            </w:r>
          </w:p>
          <w:p w14:paraId="7F021EFD">
            <w:pPr>
              <w:adjustRightInd w:val="0"/>
              <w:snapToGrid w:val="0"/>
              <w:jc w:val="center"/>
              <w:rPr>
                <w:rFonts w:ascii="宋体" w:hAnsi="宋体"/>
                <w:szCs w:val="21"/>
              </w:rPr>
            </w:pPr>
            <w:r>
              <w:rPr>
                <w:rFonts w:hint="eastAsia" w:ascii="宋体" w:hAnsi="宋体"/>
                <w:szCs w:val="21"/>
              </w:rPr>
              <w:t>情况</w:t>
            </w:r>
          </w:p>
        </w:tc>
        <w:tc>
          <w:tcPr>
            <w:tcW w:w="795" w:type="dxa"/>
            <w:vMerge w:val="restart"/>
            <w:tcBorders>
              <w:top w:val="single" w:color="auto" w:sz="4" w:space="0"/>
              <w:left w:val="single" w:color="auto" w:sz="4" w:space="0"/>
              <w:right w:val="single" w:color="auto" w:sz="4" w:space="0"/>
            </w:tcBorders>
            <w:noWrap/>
            <w:vAlign w:val="center"/>
          </w:tcPr>
          <w:p w14:paraId="0EAAAF45">
            <w:pPr>
              <w:adjustRightInd w:val="0"/>
              <w:snapToGrid w:val="0"/>
              <w:jc w:val="center"/>
              <w:rPr>
                <w:rFonts w:ascii="宋体" w:hAnsi="宋体"/>
                <w:szCs w:val="21"/>
              </w:rPr>
            </w:pPr>
            <w:r>
              <w:rPr>
                <w:rFonts w:hint="eastAsia" w:ascii="宋体" w:hAnsi="宋体"/>
                <w:szCs w:val="21"/>
              </w:rPr>
              <w:t>台账现场检查</w:t>
            </w:r>
          </w:p>
        </w:tc>
        <w:tc>
          <w:tcPr>
            <w:tcW w:w="3523" w:type="dxa"/>
            <w:tcBorders>
              <w:top w:val="single" w:color="auto" w:sz="4" w:space="0"/>
              <w:left w:val="single" w:color="auto" w:sz="4" w:space="0"/>
              <w:right w:val="single" w:color="auto" w:sz="4" w:space="0"/>
            </w:tcBorders>
            <w:noWrap/>
            <w:vAlign w:val="center"/>
          </w:tcPr>
          <w:p w14:paraId="1D73045C">
            <w:pPr>
              <w:numPr>
                <w:ilvl w:val="0"/>
                <w:numId w:val="10"/>
              </w:numPr>
              <w:adjustRightInd w:val="0"/>
              <w:snapToGrid w:val="0"/>
              <w:rPr>
                <w:rFonts w:ascii="宋体" w:hAnsi="宋体"/>
                <w:szCs w:val="21"/>
              </w:rPr>
            </w:pPr>
            <w:r>
              <w:rPr>
                <w:rFonts w:hint="eastAsia" w:ascii="宋体" w:hAnsi="宋体"/>
                <w:szCs w:val="21"/>
              </w:rPr>
              <w:t>落实安全生产工作，保洁人员在道路清扫保洁作业时须穿反光安全环卫工作服，并佩证上岗。环卫作业专用车的车厢后栏板处设置规范的荧光交通警示标志，发生环卫工人伤亡的交通事故应立即上报，妥善处理后事。</w:t>
            </w:r>
          </w:p>
        </w:tc>
        <w:tc>
          <w:tcPr>
            <w:tcW w:w="4500" w:type="dxa"/>
            <w:tcBorders>
              <w:top w:val="single" w:color="auto" w:sz="4" w:space="0"/>
              <w:left w:val="single" w:color="auto" w:sz="4" w:space="0"/>
              <w:right w:val="single" w:color="auto" w:sz="4" w:space="0"/>
            </w:tcBorders>
            <w:noWrap/>
            <w:vAlign w:val="center"/>
          </w:tcPr>
          <w:p w14:paraId="2F675B8A">
            <w:pPr>
              <w:numPr>
                <w:ilvl w:val="0"/>
                <w:numId w:val="11"/>
              </w:numPr>
              <w:adjustRightInd w:val="0"/>
              <w:snapToGrid w:val="0"/>
              <w:rPr>
                <w:rFonts w:ascii="宋体" w:hAnsi="宋体"/>
                <w:szCs w:val="21"/>
              </w:rPr>
            </w:pPr>
            <w:r>
              <w:rPr>
                <w:rFonts w:hint="eastAsia" w:ascii="宋体" w:hAnsi="宋体"/>
                <w:szCs w:val="21"/>
              </w:rPr>
              <w:t>保洁人员作业时未穿反光安全环卫工作服的每人次扣0.5分，未佩证上岗的每人次扣0.1分。环卫作业专用车辆的前部、后部、两侧处未设置规范的荧光交通警示标志的每车每次扣1分。每发生一起安全责任事故的扣3分；有人员伤亡事故扣5分；未及时（2小时内）上报安全责任事故原因的扣3分，不妥善处理事故，造成影响的扣5分，以上扣分值作当月累计。发生重大安全责任事故终止合同并没收履约保证金。</w:t>
            </w:r>
          </w:p>
        </w:tc>
      </w:tr>
      <w:tr w14:paraId="324B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82" w:type="dxa"/>
            <w:vMerge w:val="continue"/>
            <w:tcBorders>
              <w:top w:val="single" w:color="auto" w:sz="4" w:space="0"/>
              <w:left w:val="single" w:color="auto" w:sz="4" w:space="0"/>
              <w:right w:val="single" w:color="auto" w:sz="4" w:space="0"/>
            </w:tcBorders>
            <w:noWrap/>
            <w:vAlign w:val="center"/>
          </w:tcPr>
          <w:p w14:paraId="1C3B7F83"/>
        </w:tc>
        <w:tc>
          <w:tcPr>
            <w:tcW w:w="795" w:type="dxa"/>
            <w:vMerge w:val="continue"/>
            <w:tcBorders>
              <w:top w:val="single" w:color="auto" w:sz="4" w:space="0"/>
              <w:left w:val="single" w:color="auto" w:sz="4" w:space="0"/>
              <w:right w:val="single" w:color="auto" w:sz="4" w:space="0"/>
            </w:tcBorders>
            <w:noWrap/>
            <w:vAlign w:val="center"/>
          </w:tcPr>
          <w:p w14:paraId="5FEFBD98"/>
        </w:tc>
        <w:tc>
          <w:tcPr>
            <w:tcW w:w="3523" w:type="dxa"/>
            <w:tcBorders>
              <w:top w:val="single" w:color="auto" w:sz="4" w:space="0"/>
              <w:left w:val="single" w:color="auto" w:sz="4" w:space="0"/>
              <w:right w:val="single" w:color="auto" w:sz="4" w:space="0"/>
            </w:tcBorders>
            <w:noWrap/>
            <w:vAlign w:val="center"/>
          </w:tcPr>
          <w:p w14:paraId="68649EA6">
            <w:pPr>
              <w:numPr>
                <w:ilvl w:val="0"/>
                <w:numId w:val="10"/>
              </w:numPr>
              <w:adjustRightInd w:val="0"/>
              <w:snapToGrid w:val="0"/>
              <w:rPr>
                <w:rFonts w:ascii="宋体" w:hAnsi="宋体"/>
                <w:szCs w:val="21"/>
              </w:rPr>
            </w:pPr>
            <w:r>
              <w:rPr>
                <w:rFonts w:hint="eastAsia" w:ascii="宋体" w:hAnsi="宋体"/>
                <w:szCs w:val="21"/>
              </w:rPr>
              <w:t>环卫作业单位安全生产工作落实，清除大片污染时，应做到有组织、有交通安全防护措施，并设置交通警示标志；做好防火灾、防台风、防暑降温等自然灾害的预案和预防。</w:t>
            </w:r>
          </w:p>
        </w:tc>
        <w:tc>
          <w:tcPr>
            <w:tcW w:w="4500" w:type="dxa"/>
            <w:tcBorders>
              <w:top w:val="single" w:color="auto" w:sz="4" w:space="0"/>
              <w:left w:val="single" w:color="auto" w:sz="4" w:space="0"/>
              <w:right w:val="single" w:color="auto" w:sz="4" w:space="0"/>
            </w:tcBorders>
            <w:noWrap/>
            <w:vAlign w:val="center"/>
          </w:tcPr>
          <w:p w14:paraId="4F9B996E">
            <w:pPr>
              <w:numPr>
                <w:ilvl w:val="0"/>
                <w:numId w:val="11"/>
              </w:numPr>
              <w:adjustRightInd w:val="0"/>
              <w:snapToGrid w:val="0"/>
              <w:rPr>
                <w:rFonts w:ascii="宋体" w:hAnsi="宋体"/>
                <w:szCs w:val="21"/>
              </w:rPr>
            </w:pPr>
            <w:r>
              <w:rPr>
                <w:rFonts w:hint="eastAsia" w:ascii="宋体" w:hAnsi="宋体"/>
                <w:szCs w:val="21"/>
              </w:rPr>
              <w:t>清除大片污染时，组织不周密或交通安全防护措施不落实的，每发现1次扣2分。未做好防火灾、防台风、防暑降温等自然灾害的预案和预防工作，每发生一次扣2分；发生人员伤亡的每发生一次扣5分，扣分值作当月累计。</w:t>
            </w:r>
          </w:p>
        </w:tc>
      </w:tr>
      <w:tr w14:paraId="110D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82" w:type="dxa"/>
            <w:vMerge w:val="restart"/>
            <w:tcBorders>
              <w:top w:val="single" w:color="auto" w:sz="4" w:space="0"/>
              <w:left w:val="single" w:color="auto" w:sz="4" w:space="0"/>
              <w:right w:val="single" w:color="auto" w:sz="4" w:space="0"/>
            </w:tcBorders>
            <w:noWrap/>
            <w:vAlign w:val="center"/>
          </w:tcPr>
          <w:p w14:paraId="6CF43107">
            <w:pPr>
              <w:adjustRightInd w:val="0"/>
              <w:snapToGrid w:val="0"/>
              <w:jc w:val="center"/>
              <w:rPr>
                <w:rFonts w:ascii="宋体" w:hAnsi="宋体"/>
                <w:szCs w:val="21"/>
              </w:rPr>
            </w:pPr>
            <w:r>
              <w:rPr>
                <w:rFonts w:hint="eastAsia" w:ascii="宋体" w:hAnsi="宋体"/>
                <w:szCs w:val="21"/>
              </w:rPr>
              <w:t>（十）</w:t>
            </w:r>
          </w:p>
          <w:p w14:paraId="47D0F76F">
            <w:pPr>
              <w:adjustRightInd w:val="0"/>
              <w:snapToGrid w:val="0"/>
              <w:jc w:val="center"/>
              <w:rPr>
                <w:rFonts w:ascii="宋体" w:hAnsi="宋体"/>
                <w:szCs w:val="21"/>
              </w:rPr>
            </w:pPr>
            <w:r>
              <w:rPr>
                <w:rFonts w:hint="eastAsia" w:ascii="宋体" w:hAnsi="宋体"/>
                <w:szCs w:val="21"/>
              </w:rPr>
              <w:t>监督</w:t>
            </w:r>
          </w:p>
          <w:p w14:paraId="0D478C05">
            <w:pPr>
              <w:adjustRightInd w:val="0"/>
              <w:snapToGrid w:val="0"/>
              <w:jc w:val="center"/>
              <w:rPr>
                <w:rFonts w:ascii="宋体" w:hAnsi="宋体"/>
                <w:szCs w:val="21"/>
              </w:rPr>
            </w:pPr>
            <w:r>
              <w:rPr>
                <w:rFonts w:hint="eastAsia" w:ascii="宋体" w:hAnsi="宋体"/>
                <w:szCs w:val="21"/>
              </w:rPr>
              <w:t>管理</w:t>
            </w:r>
          </w:p>
          <w:p w14:paraId="4CEDC48A">
            <w:pPr>
              <w:adjustRightInd w:val="0"/>
              <w:snapToGrid w:val="0"/>
              <w:jc w:val="center"/>
              <w:rPr>
                <w:rFonts w:ascii="宋体" w:hAnsi="宋体"/>
                <w:szCs w:val="21"/>
              </w:rPr>
            </w:pPr>
            <w:r>
              <w:rPr>
                <w:rFonts w:hint="eastAsia" w:ascii="宋体" w:hAnsi="宋体"/>
                <w:szCs w:val="21"/>
              </w:rPr>
              <w:t>落实</w:t>
            </w:r>
          </w:p>
          <w:p w14:paraId="0ED3E6F5">
            <w:pPr>
              <w:adjustRightInd w:val="0"/>
              <w:snapToGrid w:val="0"/>
              <w:jc w:val="center"/>
              <w:rPr>
                <w:rFonts w:ascii="宋体" w:hAnsi="宋体"/>
                <w:szCs w:val="21"/>
              </w:rPr>
            </w:pPr>
            <w:r>
              <w:rPr>
                <w:rFonts w:hint="eastAsia" w:ascii="宋体" w:hAnsi="宋体"/>
                <w:szCs w:val="21"/>
              </w:rPr>
              <w:t>情况</w:t>
            </w:r>
          </w:p>
        </w:tc>
        <w:tc>
          <w:tcPr>
            <w:tcW w:w="795" w:type="dxa"/>
            <w:vMerge w:val="restart"/>
            <w:tcBorders>
              <w:top w:val="single" w:color="auto" w:sz="4" w:space="0"/>
              <w:left w:val="single" w:color="auto" w:sz="4" w:space="0"/>
              <w:right w:val="single" w:color="auto" w:sz="4" w:space="0"/>
            </w:tcBorders>
            <w:noWrap/>
            <w:vAlign w:val="center"/>
          </w:tcPr>
          <w:p w14:paraId="5CBCC835">
            <w:pPr>
              <w:adjustRightInd w:val="0"/>
              <w:snapToGrid w:val="0"/>
              <w:jc w:val="center"/>
              <w:rPr>
                <w:rFonts w:ascii="宋体" w:hAnsi="宋体"/>
                <w:szCs w:val="21"/>
              </w:rPr>
            </w:pPr>
          </w:p>
        </w:tc>
        <w:tc>
          <w:tcPr>
            <w:tcW w:w="3523" w:type="dxa"/>
            <w:tcBorders>
              <w:top w:val="single" w:color="auto" w:sz="4" w:space="0"/>
              <w:left w:val="single" w:color="auto" w:sz="4" w:space="0"/>
              <w:right w:val="single" w:color="auto" w:sz="4" w:space="0"/>
            </w:tcBorders>
            <w:noWrap/>
            <w:vAlign w:val="center"/>
          </w:tcPr>
          <w:p w14:paraId="6EBCD09F">
            <w:pPr>
              <w:numPr>
                <w:ilvl w:val="0"/>
                <w:numId w:val="10"/>
              </w:numPr>
              <w:adjustRightInd w:val="0"/>
              <w:snapToGrid w:val="0"/>
              <w:rPr>
                <w:rFonts w:ascii="宋体" w:hAnsi="宋体"/>
                <w:szCs w:val="21"/>
              </w:rPr>
            </w:pPr>
            <w:r>
              <w:rPr>
                <w:rFonts w:hint="eastAsia" w:ascii="宋体" w:hAnsi="宋体"/>
                <w:szCs w:val="21"/>
              </w:rPr>
              <w:t>严格履行招标文件承诺及附加服务项目。</w:t>
            </w:r>
          </w:p>
        </w:tc>
        <w:tc>
          <w:tcPr>
            <w:tcW w:w="4500" w:type="dxa"/>
            <w:tcBorders>
              <w:top w:val="single" w:color="auto" w:sz="4" w:space="0"/>
              <w:left w:val="single" w:color="auto" w:sz="4" w:space="0"/>
              <w:right w:val="single" w:color="auto" w:sz="4" w:space="0"/>
            </w:tcBorders>
            <w:noWrap/>
            <w:vAlign w:val="center"/>
          </w:tcPr>
          <w:p w14:paraId="61B91F76">
            <w:pPr>
              <w:numPr>
                <w:ilvl w:val="0"/>
                <w:numId w:val="11"/>
              </w:numPr>
              <w:adjustRightInd w:val="0"/>
              <w:snapToGrid w:val="0"/>
              <w:rPr>
                <w:rFonts w:ascii="宋体" w:hAnsi="宋体"/>
                <w:szCs w:val="21"/>
              </w:rPr>
            </w:pPr>
            <w:r>
              <w:rPr>
                <w:rFonts w:hint="eastAsia" w:ascii="宋体" w:hAnsi="宋体"/>
                <w:szCs w:val="21"/>
              </w:rPr>
              <w:t>未履行招标文件承诺及附加服务项目的，每次扣3分，扣分值作当月累计。</w:t>
            </w:r>
          </w:p>
        </w:tc>
      </w:tr>
      <w:tr w14:paraId="0884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82" w:type="dxa"/>
            <w:vMerge w:val="continue"/>
            <w:tcBorders>
              <w:top w:val="single" w:color="auto" w:sz="4" w:space="0"/>
              <w:left w:val="single" w:color="auto" w:sz="4" w:space="0"/>
              <w:right w:val="single" w:color="auto" w:sz="4" w:space="0"/>
            </w:tcBorders>
            <w:noWrap/>
            <w:vAlign w:val="center"/>
          </w:tcPr>
          <w:p w14:paraId="42643251"/>
        </w:tc>
        <w:tc>
          <w:tcPr>
            <w:tcW w:w="795" w:type="dxa"/>
            <w:vMerge w:val="continue"/>
            <w:tcBorders>
              <w:top w:val="single" w:color="auto" w:sz="4" w:space="0"/>
              <w:left w:val="single" w:color="auto" w:sz="4" w:space="0"/>
              <w:right w:val="single" w:color="auto" w:sz="4" w:space="0"/>
            </w:tcBorders>
            <w:noWrap/>
            <w:vAlign w:val="center"/>
          </w:tcPr>
          <w:p w14:paraId="3212AEF6"/>
        </w:tc>
        <w:tc>
          <w:tcPr>
            <w:tcW w:w="3523" w:type="dxa"/>
            <w:tcBorders>
              <w:top w:val="single" w:color="auto" w:sz="4" w:space="0"/>
              <w:left w:val="single" w:color="auto" w:sz="4" w:space="0"/>
              <w:right w:val="single" w:color="auto" w:sz="4" w:space="0"/>
            </w:tcBorders>
            <w:noWrap/>
            <w:vAlign w:val="center"/>
          </w:tcPr>
          <w:p w14:paraId="4E2EF45B">
            <w:pPr>
              <w:numPr>
                <w:ilvl w:val="0"/>
                <w:numId w:val="10"/>
              </w:numPr>
              <w:adjustRightInd w:val="0"/>
              <w:snapToGrid w:val="0"/>
              <w:rPr>
                <w:rFonts w:ascii="宋体" w:hAnsi="宋体"/>
                <w:szCs w:val="21"/>
              </w:rPr>
            </w:pPr>
            <w:r>
              <w:rPr>
                <w:rFonts w:hint="eastAsia" w:ascii="宋体" w:hAnsi="宋体"/>
                <w:szCs w:val="21"/>
              </w:rPr>
              <w:t>无投诉（包括电话、信访等），有责投诉后处置及时。</w:t>
            </w:r>
          </w:p>
        </w:tc>
        <w:tc>
          <w:tcPr>
            <w:tcW w:w="4500" w:type="dxa"/>
            <w:tcBorders>
              <w:top w:val="single" w:color="auto" w:sz="4" w:space="0"/>
              <w:left w:val="single" w:color="auto" w:sz="4" w:space="0"/>
              <w:right w:val="single" w:color="auto" w:sz="4" w:space="0"/>
            </w:tcBorders>
            <w:noWrap/>
            <w:vAlign w:val="center"/>
          </w:tcPr>
          <w:p w14:paraId="0CF33300">
            <w:pPr>
              <w:numPr>
                <w:ilvl w:val="0"/>
                <w:numId w:val="11"/>
              </w:numPr>
              <w:adjustRightInd w:val="0"/>
              <w:snapToGrid w:val="0"/>
              <w:rPr>
                <w:rFonts w:ascii="宋体" w:hAnsi="宋体"/>
                <w:szCs w:val="21"/>
              </w:rPr>
            </w:pPr>
            <w:r>
              <w:rPr>
                <w:rFonts w:hint="eastAsia" w:ascii="宋体" w:hAnsi="宋体"/>
                <w:szCs w:val="21"/>
              </w:rPr>
              <w:t>出现一次有责投诉扣2分，不及时处理的扣3分，扣分值作当月累计。</w:t>
            </w:r>
          </w:p>
        </w:tc>
      </w:tr>
      <w:tr w14:paraId="3138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2" w:type="dxa"/>
            <w:vMerge w:val="continue"/>
            <w:tcBorders>
              <w:top w:val="single" w:color="auto" w:sz="4" w:space="0"/>
              <w:left w:val="single" w:color="auto" w:sz="4" w:space="0"/>
              <w:right w:val="single" w:color="auto" w:sz="4" w:space="0"/>
            </w:tcBorders>
            <w:noWrap/>
            <w:vAlign w:val="center"/>
          </w:tcPr>
          <w:p w14:paraId="1FFBBF5D"/>
        </w:tc>
        <w:tc>
          <w:tcPr>
            <w:tcW w:w="795" w:type="dxa"/>
            <w:vMerge w:val="continue"/>
            <w:tcBorders>
              <w:top w:val="single" w:color="auto" w:sz="4" w:space="0"/>
              <w:left w:val="single" w:color="auto" w:sz="4" w:space="0"/>
              <w:right w:val="single" w:color="auto" w:sz="4" w:space="0"/>
            </w:tcBorders>
            <w:noWrap/>
            <w:vAlign w:val="center"/>
          </w:tcPr>
          <w:p w14:paraId="602B9C63"/>
        </w:tc>
        <w:tc>
          <w:tcPr>
            <w:tcW w:w="3523" w:type="dxa"/>
            <w:tcBorders>
              <w:top w:val="single" w:color="auto" w:sz="4" w:space="0"/>
              <w:left w:val="single" w:color="auto" w:sz="4" w:space="0"/>
              <w:right w:val="single" w:color="auto" w:sz="4" w:space="0"/>
            </w:tcBorders>
            <w:noWrap/>
            <w:vAlign w:val="center"/>
          </w:tcPr>
          <w:p w14:paraId="7EC47019">
            <w:pPr>
              <w:numPr>
                <w:ilvl w:val="0"/>
                <w:numId w:val="10"/>
              </w:numPr>
              <w:adjustRightInd w:val="0"/>
              <w:snapToGrid w:val="0"/>
              <w:rPr>
                <w:rFonts w:ascii="宋体" w:hAnsi="宋体"/>
                <w:szCs w:val="21"/>
              </w:rPr>
            </w:pPr>
            <w:r>
              <w:rPr>
                <w:rFonts w:hint="eastAsia" w:ascii="宋体" w:hAnsi="宋体"/>
                <w:szCs w:val="21"/>
              </w:rPr>
              <w:t>无新闻媒体责任问题曝光。</w:t>
            </w:r>
          </w:p>
        </w:tc>
        <w:tc>
          <w:tcPr>
            <w:tcW w:w="4500" w:type="dxa"/>
            <w:tcBorders>
              <w:top w:val="single" w:color="auto" w:sz="4" w:space="0"/>
              <w:left w:val="single" w:color="auto" w:sz="4" w:space="0"/>
              <w:right w:val="single" w:color="auto" w:sz="4" w:space="0"/>
            </w:tcBorders>
            <w:noWrap/>
            <w:vAlign w:val="center"/>
          </w:tcPr>
          <w:p w14:paraId="2835311B">
            <w:pPr>
              <w:numPr>
                <w:ilvl w:val="0"/>
                <w:numId w:val="11"/>
              </w:numPr>
              <w:adjustRightInd w:val="0"/>
              <w:snapToGrid w:val="0"/>
              <w:rPr>
                <w:rFonts w:ascii="宋体" w:hAnsi="宋体"/>
                <w:szCs w:val="21"/>
              </w:rPr>
            </w:pPr>
            <w:r>
              <w:rPr>
                <w:rFonts w:hint="eastAsia" w:ascii="宋体" w:hAnsi="宋体"/>
                <w:szCs w:val="21"/>
              </w:rPr>
              <w:t>新闻媒体曝光查实有责的每次扣2分，不及时处理的扣5分，扣分值作当月累计。</w:t>
            </w:r>
          </w:p>
        </w:tc>
      </w:tr>
      <w:tr w14:paraId="3652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082" w:type="dxa"/>
            <w:vMerge w:val="continue"/>
            <w:tcBorders>
              <w:top w:val="single" w:color="auto" w:sz="4" w:space="0"/>
              <w:left w:val="single" w:color="auto" w:sz="4" w:space="0"/>
              <w:right w:val="single" w:color="auto" w:sz="4" w:space="0"/>
            </w:tcBorders>
            <w:noWrap/>
            <w:vAlign w:val="center"/>
          </w:tcPr>
          <w:p w14:paraId="3AD3C7B7"/>
        </w:tc>
        <w:tc>
          <w:tcPr>
            <w:tcW w:w="795" w:type="dxa"/>
            <w:vMerge w:val="continue"/>
            <w:tcBorders>
              <w:top w:val="single" w:color="auto" w:sz="4" w:space="0"/>
              <w:left w:val="single" w:color="auto" w:sz="4" w:space="0"/>
              <w:right w:val="single" w:color="auto" w:sz="4" w:space="0"/>
            </w:tcBorders>
            <w:noWrap/>
            <w:vAlign w:val="center"/>
          </w:tcPr>
          <w:p w14:paraId="6A9A7EB8"/>
        </w:tc>
        <w:tc>
          <w:tcPr>
            <w:tcW w:w="3523" w:type="dxa"/>
            <w:tcBorders>
              <w:top w:val="single" w:color="auto" w:sz="4" w:space="0"/>
              <w:left w:val="single" w:color="auto" w:sz="4" w:space="0"/>
              <w:right w:val="single" w:color="auto" w:sz="4" w:space="0"/>
            </w:tcBorders>
            <w:noWrap/>
            <w:vAlign w:val="center"/>
          </w:tcPr>
          <w:p w14:paraId="39C4E4E6">
            <w:pPr>
              <w:numPr>
                <w:ilvl w:val="0"/>
                <w:numId w:val="10"/>
              </w:numPr>
              <w:adjustRightInd w:val="0"/>
              <w:snapToGrid w:val="0"/>
              <w:rPr>
                <w:rFonts w:ascii="宋体" w:hAnsi="宋体"/>
                <w:szCs w:val="21"/>
              </w:rPr>
            </w:pPr>
            <w:r>
              <w:rPr>
                <w:rFonts w:hint="eastAsia" w:ascii="宋体" w:hAnsi="宋体"/>
                <w:szCs w:val="21"/>
              </w:rPr>
              <w:t>保洁公司应在法律法规和合同要求下规范管理，发生环卫工人群体性事件的，妥善解决，并及时上报至环卫处办公室。</w:t>
            </w:r>
          </w:p>
        </w:tc>
        <w:tc>
          <w:tcPr>
            <w:tcW w:w="4500" w:type="dxa"/>
            <w:tcBorders>
              <w:top w:val="single" w:color="auto" w:sz="4" w:space="0"/>
              <w:left w:val="single" w:color="auto" w:sz="4" w:space="0"/>
              <w:right w:val="single" w:color="auto" w:sz="4" w:space="0"/>
            </w:tcBorders>
            <w:noWrap/>
            <w:vAlign w:val="center"/>
          </w:tcPr>
          <w:p w14:paraId="29F98CD8">
            <w:pPr>
              <w:numPr>
                <w:ilvl w:val="0"/>
                <w:numId w:val="11"/>
              </w:numPr>
              <w:adjustRightInd w:val="0"/>
              <w:snapToGrid w:val="0"/>
              <w:rPr>
                <w:rFonts w:ascii="宋体" w:hAnsi="宋体"/>
                <w:szCs w:val="21"/>
              </w:rPr>
            </w:pPr>
            <w:r>
              <w:rPr>
                <w:rFonts w:hint="eastAsia" w:ascii="宋体" w:hAnsi="宋体"/>
                <w:szCs w:val="21"/>
              </w:rPr>
              <w:t>因管理不善、违反《劳动法》等法规，发生环卫工人群体性事件的，未及时上报的扣5分，扣分值作当月累计；造成恶劣影响的，终止合同并没收履约保证金。</w:t>
            </w:r>
          </w:p>
        </w:tc>
      </w:tr>
      <w:tr w14:paraId="15D2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082" w:type="dxa"/>
            <w:vMerge w:val="continue"/>
            <w:tcBorders>
              <w:top w:val="single" w:color="auto" w:sz="4" w:space="0"/>
              <w:left w:val="single" w:color="auto" w:sz="4" w:space="0"/>
              <w:right w:val="single" w:color="auto" w:sz="4" w:space="0"/>
            </w:tcBorders>
            <w:noWrap/>
            <w:vAlign w:val="center"/>
          </w:tcPr>
          <w:p w14:paraId="362C320C"/>
        </w:tc>
        <w:tc>
          <w:tcPr>
            <w:tcW w:w="795" w:type="dxa"/>
            <w:vMerge w:val="continue"/>
            <w:tcBorders>
              <w:top w:val="single" w:color="auto" w:sz="4" w:space="0"/>
              <w:left w:val="single" w:color="auto" w:sz="4" w:space="0"/>
              <w:right w:val="single" w:color="auto" w:sz="4" w:space="0"/>
            </w:tcBorders>
            <w:noWrap/>
            <w:vAlign w:val="center"/>
          </w:tcPr>
          <w:p w14:paraId="2D18CA25"/>
        </w:tc>
        <w:tc>
          <w:tcPr>
            <w:tcW w:w="3523" w:type="dxa"/>
            <w:tcBorders>
              <w:top w:val="single" w:color="auto" w:sz="4" w:space="0"/>
              <w:left w:val="single" w:color="auto" w:sz="4" w:space="0"/>
              <w:right w:val="single" w:color="auto" w:sz="4" w:space="0"/>
            </w:tcBorders>
            <w:noWrap/>
            <w:vAlign w:val="center"/>
          </w:tcPr>
          <w:p w14:paraId="1492E1BC">
            <w:pPr>
              <w:numPr>
                <w:ilvl w:val="0"/>
                <w:numId w:val="10"/>
              </w:numPr>
              <w:adjustRightInd w:val="0"/>
              <w:snapToGrid w:val="0"/>
              <w:rPr>
                <w:rFonts w:ascii="宋体" w:hAnsi="宋体"/>
                <w:szCs w:val="21"/>
              </w:rPr>
            </w:pPr>
            <w:r>
              <w:rPr>
                <w:rFonts w:hint="eastAsia" w:ascii="宋体" w:hAnsi="宋体"/>
                <w:szCs w:val="21"/>
              </w:rPr>
              <w:t>重大活动保障到位，检查不失责任分。突发事件应急处置及时妥当。</w:t>
            </w:r>
          </w:p>
        </w:tc>
        <w:tc>
          <w:tcPr>
            <w:tcW w:w="4500" w:type="dxa"/>
            <w:tcBorders>
              <w:top w:val="single" w:color="auto" w:sz="4" w:space="0"/>
              <w:left w:val="single" w:color="auto" w:sz="4" w:space="0"/>
              <w:right w:val="single" w:color="auto" w:sz="4" w:space="0"/>
            </w:tcBorders>
            <w:noWrap/>
            <w:vAlign w:val="center"/>
          </w:tcPr>
          <w:p w14:paraId="607A0BE9">
            <w:pPr>
              <w:numPr>
                <w:ilvl w:val="0"/>
                <w:numId w:val="11"/>
              </w:numPr>
              <w:adjustRightInd w:val="0"/>
              <w:snapToGrid w:val="0"/>
              <w:rPr>
                <w:rFonts w:ascii="宋体" w:hAnsi="宋体"/>
                <w:szCs w:val="21"/>
              </w:rPr>
            </w:pPr>
            <w:r>
              <w:rPr>
                <w:rFonts w:hint="eastAsia" w:ascii="宋体" w:hAnsi="宋体"/>
                <w:szCs w:val="21"/>
              </w:rPr>
              <w:t xml:space="preserve">遇有重大活动或突发应急事件时，不服从统一指挥，保障不力的，扣5分并给予警告； </w:t>
            </w:r>
          </w:p>
          <w:p w14:paraId="472A9FA8">
            <w:pPr>
              <w:adjustRightInd w:val="0"/>
              <w:snapToGrid w:val="0"/>
              <w:rPr>
                <w:rFonts w:ascii="宋体" w:hAnsi="宋体"/>
                <w:szCs w:val="21"/>
              </w:rPr>
            </w:pPr>
            <w:r>
              <w:rPr>
                <w:rFonts w:hint="eastAsia" w:ascii="宋体" w:hAnsi="宋体"/>
                <w:szCs w:val="21"/>
              </w:rPr>
              <w:t>在创国卫等重大创建活动迎检过程中，因保障不力、责任失分，造成检查未通过的，终止合同并没收履约保证金。</w:t>
            </w:r>
          </w:p>
        </w:tc>
      </w:tr>
      <w:tr w14:paraId="41D8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2" w:type="dxa"/>
            <w:vMerge w:val="continue"/>
            <w:tcBorders>
              <w:top w:val="single" w:color="auto" w:sz="4" w:space="0"/>
              <w:left w:val="single" w:color="auto" w:sz="4" w:space="0"/>
              <w:right w:val="single" w:color="auto" w:sz="4" w:space="0"/>
            </w:tcBorders>
            <w:noWrap/>
            <w:vAlign w:val="center"/>
          </w:tcPr>
          <w:p w14:paraId="52FE09FC"/>
        </w:tc>
        <w:tc>
          <w:tcPr>
            <w:tcW w:w="795" w:type="dxa"/>
            <w:vMerge w:val="continue"/>
            <w:tcBorders>
              <w:top w:val="single" w:color="auto" w:sz="4" w:space="0"/>
              <w:left w:val="single" w:color="auto" w:sz="4" w:space="0"/>
              <w:right w:val="single" w:color="auto" w:sz="4" w:space="0"/>
            </w:tcBorders>
            <w:noWrap/>
            <w:vAlign w:val="center"/>
          </w:tcPr>
          <w:p w14:paraId="4FA1C342"/>
        </w:tc>
        <w:tc>
          <w:tcPr>
            <w:tcW w:w="3523" w:type="dxa"/>
            <w:tcBorders>
              <w:top w:val="single" w:color="auto" w:sz="4" w:space="0"/>
              <w:left w:val="single" w:color="auto" w:sz="4" w:space="0"/>
              <w:right w:val="single" w:color="auto" w:sz="4" w:space="0"/>
            </w:tcBorders>
            <w:noWrap/>
            <w:vAlign w:val="center"/>
          </w:tcPr>
          <w:p w14:paraId="3E6D8B83">
            <w:pPr>
              <w:numPr>
                <w:ilvl w:val="0"/>
                <w:numId w:val="10"/>
              </w:numPr>
              <w:adjustRightInd w:val="0"/>
              <w:snapToGrid w:val="0"/>
              <w:rPr>
                <w:rFonts w:ascii="宋体" w:hAnsi="宋体"/>
                <w:szCs w:val="21"/>
              </w:rPr>
            </w:pPr>
            <w:r>
              <w:rPr>
                <w:rFonts w:hint="eastAsia" w:ascii="宋体" w:hAnsi="宋体"/>
                <w:szCs w:val="21"/>
              </w:rPr>
              <w:t>及时处理环卫处管理部门检查中要求整改、督办的问题。</w:t>
            </w:r>
          </w:p>
        </w:tc>
        <w:tc>
          <w:tcPr>
            <w:tcW w:w="4500" w:type="dxa"/>
            <w:tcBorders>
              <w:top w:val="single" w:color="auto" w:sz="4" w:space="0"/>
              <w:left w:val="single" w:color="auto" w:sz="4" w:space="0"/>
              <w:right w:val="single" w:color="auto" w:sz="4" w:space="0"/>
            </w:tcBorders>
            <w:noWrap/>
            <w:vAlign w:val="center"/>
          </w:tcPr>
          <w:p w14:paraId="24545F07">
            <w:pPr>
              <w:numPr>
                <w:ilvl w:val="0"/>
                <w:numId w:val="11"/>
              </w:numPr>
              <w:adjustRightInd w:val="0"/>
              <w:snapToGrid w:val="0"/>
              <w:rPr>
                <w:rFonts w:ascii="宋体" w:hAnsi="宋体"/>
                <w:szCs w:val="21"/>
              </w:rPr>
            </w:pPr>
            <w:r>
              <w:rPr>
                <w:rFonts w:hint="eastAsia" w:ascii="宋体" w:hAnsi="宋体"/>
                <w:szCs w:val="21"/>
              </w:rPr>
              <w:t>不及时处理的扣2分，督办后仍不处理的，扣5分（扣分值作当月累计）。</w:t>
            </w:r>
          </w:p>
        </w:tc>
      </w:tr>
      <w:tr w14:paraId="4760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082" w:type="dxa"/>
            <w:vMerge w:val="continue"/>
            <w:tcBorders>
              <w:top w:val="single" w:color="auto" w:sz="4" w:space="0"/>
              <w:left w:val="single" w:color="auto" w:sz="4" w:space="0"/>
              <w:right w:val="single" w:color="auto" w:sz="4" w:space="0"/>
            </w:tcBorders>
            <w:noWrap/>
            <w:vAlign w:val="center"/>
          </w:tcPr>
          <w:p w14:paraId="48A80153"/>
        </w:tc>
        <w:tc>
          <w:tcPr>
            <w:tcW w:w="795" w:type="dxa"/>
            <w:vMerge w:val="continue"/>
            <w:tcBorders>
              <w:top w:val="single" w:color="auto" w:sz="4" w:space="0"/>
              <w:left w:val="single" w:color="auto" w:sz="4" w:space="0"/>
              <w:right w:val="single" w:color="auto" w:sz="4" w:space="0"/>
            </w:tcBorders>
            <w:noWrap/>
            <w:vAlign w:val="center"/>
          </w:tcPr>
          <w:p w14:paraId="0A8BB939"/>
        </w:tc>
        <w:tc>
          <w:tcPr>
            <w:tcW w:w="3523" w:type="dxa"/>
            <w:tcBorders>
              <w:top w:val="single" w:color="auto" w:sz="4" w:space="0"/>
              <w:left w:val="single" w:color="auto" w:sz="4" w:space="0"/>
              <w:right w:val="single" w:color="auto" w:sz="4" w:space="0"/>
            </w:tcBorders>
            <w:noWrap/>
            <w:vAlign w:val="center"/>
          </w:tcPr>
          <w:p w14:paraId="7AA11D22">
            <w:pPr>
              <w:numPr>
                <w:ilvl w:val="0"/>
                <w:numId w:val="10"/>
              </w:numPr>
              <w:adjustRightInd w:val="0"/>
              <w:snapToGrid w:val="0"/>
              <w:rPr>
                <w:rFonts w:ascii="宋体" w:hAnsi="宋体"/>
                <w:szCs w:val="21"/>
              </w:rPr>
            </w:pPr>
            <w:r>
              <w:rPr>
                <w:rFonts w:hint="eastAsia" w:ascii="宋体" w:hAnsi="宋体"/>
                <w:szCs w:val="21"/>
              </w:rPr>
              <w:t>无条件接收新增保洁范围，并及时按保洁配置要求安排人员、机具。做好委托道路清扫服务单位的道路清扫工作。</w:t>
            </w:r>
          </w:p>
        </w:tc>
        <w:tc>
          <w:tcPr>
            <w:tcW w:w="4500" w:type="dxa"/>
            <w:tcBorders>
              <w:top w:val="single" w:color="auto" w:sz="4" w:space="0"/>
              <w:left w:val="single" w:color="auto" w:sz="4" w:space="0"/>
              <w:right w:val="single" w:color="auto" w:sz="4" w:space="0"/>
            </w:tcBorders>
            <w:noWrap/>
            <w:vAlign w:val="center"/>
          </w:tcPr>
          <w:p w14:paraId="57694727">
            <w:pPr>
              <w:numPr>
                <w:ilvl w:val="0"/>
                <w:numId w:val="11"/>
              </w:numPr>
              <w:adjustRightInd w:val="0"/>
              <w:snapToGrid w:val="0"/>
              <w:rPr>
                <w:rFonts w:ascii="宋体" w:hAnsi="宋体"/>
                <w:szCs w:val="21"/>
              </w:rPr>
            </w:pPr>
            <w:r>
              <w:rPr>
                <w:rFonts w:hint="eastAsia" w:ascii="宋体" w:hAnsi="宋体"/>
                <w:szCs w:val="21"/>
              </w:rPr>
              <w:t>新增保洁范围未按保洁配置要求安排人员的，每少一人扣1分；拒不接收新增保洁范围的，扣5分并给予警告。因工作不到位，造成委托道路清扫服务单位投诉的，每次扣1分；督办后仍不处理的，扣2分（扣分值作当月累计）；造成委托道路清扫服务单位终止协议的，扣3分（扣分值作当月累计），并按实际扣除损失经额。</w:t>
            </w:r>
          </w:p>
        </w:tc>
      </w:tr>
      <w:tr w14:paraId="2A15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82" w:type="dxa"/>
            <w:vMerge w:val="restart"/>
            <w:tcBorders>
              <w:top w:val="single" w:color="auto" w:sz="4" w:space="0"/>
              <w:left w:val="single" w:color="auto" w:sz="4" w:space="0"/>
              <w:right w:val="single" w:color="auto" w:sz="4" w:space="0"/>
            </w:tcBorders>
            <w:noWrap/>
            <w:vAlign w:val="center"/>
          </w:tcPr>
          <w:p w14:paraId="07C8D9AF">
            <w:pPr>
              <w:widowControl/>
              <w:shd w:val="clear" w:color="auto" w:fill="FFFFFF"/>
              <w:jc w:val="center"/>
              <w:rPr>
                <w:rFonts w:ascii="宋体" w:hAnsi="宋体"/>
                <w:szCs w:val="21"/>
              </w:rPr>
            </w:pPr>
            <w:r>
              <w:rPr>
                <w:rFonts w:hint="eastAsia" w:ascii="宋体" w:hAnsi="宋体" w:cs="宋体"/>
                <w:szCs w:val="21"/>
              </w:rPr>
              <w:t>（十一）其他</w:t>
            </w:r>
          </w:p>
        </w:tc>
        <w:tc>
          <w:tcPr>
            <w:tcW w:w="795" w:type="dxa"/>
            <w:vMerge w:val="restart"/>
            <w:tcBorders>
              <w:top w:val="single" w:color="auto" w:sz="4" w:space="0"/>
              <w:left w:val="single" w:color="auto" w:sz="4" w:space="0"/>
              <w:right w:val="single" w:color="auto" w:sz="4" w:space="0"/>
            </w:tcBorders>
            <w:noWrap/>
            <w:vAlign w:val="center"/>
          </w:tcPr>
          <w:p w14:paraId="4FC3911B">
            <w:pPr>
              <w:widowControl/>
              <w:shd w:val="clear" w:color="auto" w:fill="FFFFFF"/>
              <w:jc w:val="center"/>
              <w:rPr>
                <w:rFonts w:ascii="宋体" w:hAnsi="宋体"/>
                <w:szCs w:val="21"/>
              </w:rPr>
            </w:pPr>
            <w:r>
              <w:rPr>
                <w:rFonts w:hint="eastAsia" w:ascii="宋体" w:hAnsi="宋体"/>
                <w:szCs w:val="21"/>
              </w:rPr>
              <w:t>其他</w:t>
            </w:r>
          </w:p>
        </w:tc>
        <w:tc>
          <w:tcPr>
            <w:tcW w:w="3523" w:type="dxa"/>
            <w:tcBorders>
              <w:top w:val="single" w:color="auto" w:sz="4" w:space="0"/>
              <w:left w:val="single" w:color="auto" w:sz="4" w:space="0"/>
              <w:right w:val="single" w:color="auto" w:sz="4" w:space="0"/>
            </w:tcBorders>
            <w:noWrap/>
            <w:vAlign w:val="center"/>
          </w:tcPr>
          <w:p w14:paraId="1A1ABFB2">
            <w:pPr>
              <w:numPr>
                <w:ilvl w:val="0"/>
                <w:numId w:val="10"/>
              </w:numPr>
              <w:adjustRightInd w:val="0"/>
              <w:snapToGrid w:val="0"/>
              <w:rPr>
                <w:rFonts w:ascii="宋体" w:hAnsi="宋体"/>
                <w:szCs w:val="21"/>
              </w:rPr>
            </w:pPr>
            <w:r>
              <w:rPr>
                <w:rFonts w:hint="eastAsia" w:ascii="宋体" w:hAnsi="宋体"/>
                <w:szCs w:val="21"/>
              </w:rPr>
              <w:t>不得焚烧垃圾。</w:t>
            </w:r>
          </w:p>
        </w:tc>
        <w:tc>
          <w:tcPr>
            <w:tcW w:w="4500" w:type="dxa"/>
            <w:tcBorders>
              <w:top w:val="single" w:color="auto" w:sz="4" w:space="0"/>
              <w:left w:val="single" w:color="auto" w:sz="4" w:space="0"/>
              <w:right w:val="single" w:color="auto" w:sz="4" w:space="0"/>
            </w:tcBorders>
            <w:noWrap/>
            <w:vAlign w:val="center"/>
          </w:tcPr>
          <w:p w14:paraId="16618168">
            <w:pPr>
              <w:numPr>
                <w:ilvl w:val="0"/>
                <w:numId w:val="11"/>
              </w:numPr>
              <w:adjustRightInd w:val="0"/>
              <w:snapToGrid w:val="0"/>
              <w:rPr>
                <w:rFonts w:ascii="宋体" w:hAnsi="宋体"/>
                <w:szCs w:val="21"/>
              </w:rPr>
            </w:pPr>
            <w:r>
              <w:rPr>
                <w:rFonts w:hint="eastAsia" w:ascii="宋体" w:hAnsi="宋体"/>
                <w:szCs w:val="21"/>
              </w:rPr>
              <w:t>发现焚烧垃圾的扣5分/次。</w:t>
            </w:r>
          </w:p>
        </w:tc>
      </w:tr>
      <w:tr w14:paraId="2AF0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2" w:type="dxa"/>
            <w:vMerge w:val="continue"/>
            <w:tcBorders>
              <w:top w:val="single" w:color="auto" w:sz="4" w:space="0"/>
              <w:left w:val="single" w:color="auto" w:sz="4" w:space="0"/>
              <w:right w:val="single" w:color="auto" w:sz="4" w:space="0"/>
            </w:tcBorders>
            <w:noWrap/>
            <w:vAlign w:val="center"/>
          </w:tcPr>
          <w:p w14:paraId="0D190512"/>
        </w:tc>
        <w:tc>
          <w:tcPr>
            <w:tcW w:w="795" w:type="dxa"/>
            <w:vMerge w:val="continue"/>
            <w:tcBorders>
              <w:top w:val="single" w:color="auto" w:sz="4" w:space="0"/>
              <w:left w:val="single" w:color="auto" w:sz="4" w:space="0"/>
              <w:right w:val="single" w:color="auto" w:sz="4" w:space="0"/>
            </w:tcBorders>
            <w:noWrap/>
            <w:vAlign w:val="center"/>
          </w:tcPr>
          <w:p w14:paraId="0F9F7169"/>
        </w:tc>
        <w:tc>
          <w:tcPr>
            <w:tcW w:w="3523" w:type="dxa"/>
            <w:tcBorders>
              <w:top w:val="single" w:color="auto" w:sz="4" w:space="0"/>
              <w:left w:val="single" w:color="auto" w:sz="4" w:space="0"/>
              <w:right w:val="single" w:color="auto" w:sz="4" w:space="0"/>
            </w:tcBorders>
            <w:noWrap/>
            <w:vAlign w:val="center"/>
          </w:tcPr>
          <w:p w14:paraId="0E1A907F">
            <w:pPr>
              <w:numPr>
                <w:ilvl w:val="0"/>
                <w:numId w:val="10"/>
              </w:numPr>
              <w:adjustRightInd w:val="0"/>
              <w:snapToGrid w:val="0"/>
              <w:rPr>
                <w:rFonts w:ascii="宋体" w:hAnsi="宋体"/>
                <w:szCs w:val="21"/>
              </w:rPr>
            </w:pPr>
            <w:r>
              <w:rPr>
                <w:rFonts w:hint="eastAsia" w:ascii="宋体" w:hAnsi="宋体"/>
                <w:szCs w:val="21"/>
              </w:rPr>
              <w:t>不得擅自收费。</w:t>
            </w:r>
          </w:p>
        </w:tc>
        <w:tc>
          <w:tcPr>
            <w:tcW w:w="4500" w:type="dxa"/>
            <w:tcBorders>
              <w:top w:val="single" w:color="auto" w:sz="4" w:space="0"/>
              <w:left w:val="single" w:color="auto" w:sz="4" w:space="0"/>
              <w:right w:val="single" w:color="auto" w:sz="4" w:space="0"/>
            </w:tcBorders>
            <w:noWrap/>
            <w:vAlign w:val="center"/>
          </w:tcPr>
          <w:p w14:paraId="544E9F00">
            <w:pPr>
              <w:numPr>
                <w:ilvl w:val="0"/>
                <w:numId w:val="11"/>
              </w:numPr>
              <w:adjustRightInd w:val="0"/>
              <w:snapToGrid w:val="0"/>
              <w:rPr>
                <w:rFonts w:ascii="宋体" w:hAnsi="宋体"/>
                <w:szCs w:val="21"/>
              </w:rPr>
            </w:pPr>
            <w:r>
              <w:rPr>
                <w:rFonts w:hint="eastAsia" w:ascii="宋体" w:hAnsi="宋体"/>
                <w:szCs w:val="21"/>
              </w:rPr>
              <w:t>发现擅自收费扣5分/次。</w:t>
            </w:r>
          </w:p>
        </w:tc>
      </w:tr>
      <w:tr w14:paraId="3B70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1082" w:type="dxa"/>
            <w:vMerge w:val="continue"/>
            <w:tcBorders>
              <w:top w:val="single" w:color="auto" w:sz="4" w:space="0"/>
              <w:left w:val="single" w:color="auto" w:sz="4" w:space="0"/>
              <w:right w:val="single" w:color="auto" w:sz="4" w:space="0"/>
            </w:tcBorders>
            <w:noWrap/>
            <w:vAlign w:val="center"/>
          </w:tcPr>
          <w:p w14:paraId="5F35930C"/>
        </w:tc>
        <w:tc>
          <w:tcPr>
            <w:tcW w:w="795" w:type="dxa"/>
            <w:vMerge w:val="continue"/>
            <w:tcBorders>
              <w:top w:val="single" w:color="auto" w:sz="4" w:space="0"/>
              <w:left w:val="single" w:color="auto" w:sz="4" w:space="0"/>
              <w:right w:val="single" w:color="auto" w:sz="4" w:space="0"/>
            </w:tcBorders>
            <w:noWrap/>
            <w:vAlign w:val="center"/>
          </w:tcPr>
          <w:p w14:paraId="73D49C25"/>
        </w:tc>
        <w:tc>
          <w:tcPr>
            <w:tcW w:w="3523" w:type="dxa"/>
            <w:tcBorders>
              <w:top w:val="single" w:color="auto" w:sz="4" w:space="0"/>
              <w:left w:val="single" w:color="auto" w:sz="4" w:space="0"/>
              <w:right w:val="single" w:color="auto" w:sz="4" w:space="0"/>
            </w:tcBorders>
            <w:noWrap/>
            <w:vAlign w:val="center"/>
          </w:tcPr>
          <w:p w14:paraId="24C2FD7D">
            <w:pPr>
              <w:numPr>
                <w:ilvl w:val="0"/>
                <w:numId w:val="10"/>
              </w:numPr>
              <w:adjustRightInd w:val="0"/>
              <w:snapToGrid w:val="0"/>
              <w:rPr>
                <w:rFonts w:ascii="宋体" w:hAnsi="宋体"/>
                <w:szCs w:val="21"/>
              </w:rPr>
            </w:pPr>
            <w:r>
              <w:rPr>
                <w:rFonts w:hint="eastAsia" w:ascii="宋体" w:hAnsi="宋体"/>
                <w:szCs w:val="21"/>
              </w:rPr>
              <w:t>服从环卫处业务指导，自觉接受县级以上部门检查、督促和考核。</w:t>
            </w:r>
          </w:p>
        </w:tc>
        <w:tc>
          <w:tcPr>
            <w:tcW w:w="4500" w:type="dxa"/>
            <w:tcBorders>
              <w:top w:val="single" w:color="auto" w:sz="4" w:space="0"/>
              <w:left w:val="single" w:color="auto" w:sz="4" w:space="0"/>
              <w:right w:val="single" w:color="auto" w:sz="4" w:space="0"/>
            </w:tcBorders>
            <w:noWrap/>
            <w:vAlign w:val="center"/>
          </w:tcPr>
          <w:p w14:paraId="1024BAEF">
            <w:pPr>
              <w:numPr>
                <w:ilvl w:val="0"/>
                <w:numId w:val="11"/>
              </w:numPr>
              <w:adjustRightInd w:val="0"/>
              <w:snapToGrid w:val="0"/>
              <w:rPr>
                <w:rFonts w:ascii="宋体" w:hAnsi="宋体"/>
                <w:szCs w:val="21"/>
              </w:rPr>
            </w:pPr>
            <w:r>
              <w:rPr>
                <w:rFonts w:hint="eastAsia" w:ascii="宋体" w:hAnsi="宋体"/>
                <w:szCs w:val="21"/>
              </w:rPr>
              <w:t>按照省市县下达的垃圾分类年度任务、《泰顺县城镇生活垃圾分类工作实施方案的通知》（泰政办［2018]59号）文件和《浙江省生活垃圾管理条例》明确的职责落实责任。月度和季度督察被发现问题单次扣5分，整改不到位和整改未反馈的单次加扣5分。</w:t>
            </w:r>
          </w:p>
        </w:tc>
      </w:tr>
      <w:tr w14:paraId="6C6C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082" w:type="dxa"/>
            <w:vMerge w:val="continue"/>
            <w:tcBorders>
              <w:top w:val="single" w:color="auto" w:sz="4" w:space="0"/>
              <w:left w:val="single" w:color="auto" w:sz="4" w:space="0"/>
              <w:right w:val="single" w:color="auto" w:sz="4" w:space="0"/>
            </w:tcBorders>
            <w:noWrap/>
            <w:vAlign w:val="center"/>
          </w:tcPr>
          <w:p w14:paraId="5E809065"/>
        </w:tc>
        <w:tc>
          <w:tcPr>
            <w:tcW w:w="795" w:type="dxa"/>
            <w:vMerge w:val="continue"/>
            <w:tcBorders>
              <w:top w:val="single" w:color="auto" w:sz="4" w:space="0"/>
              <w:left w:val="single" w:color="auto" w:sz="4" w:space="0"/>
              <w:right w:val="single" w:color="auto" w:sz="4" w:space="0"/>
            </w:tcBorders>
            <w:noWrap/>
            <w:vAlign w:val="center"/>
          </w:tcPr>
          <w:p w14:paraId="223C1739"/>
        </w:tc>
        <w:tc>
          <w:tcPr>
            <w:tcW w:w="3523" w:type="dxa"/>
            <w:tcBorders>
              <w:top w:val="single" w:color="auto" w:sz="4" w:space="0"/>
              <w:left w:val="single" w:color="auto" w:sz="4" w:space="0"/>
              <w:right w:val="single" w:color="auto" w:sz="4" w:space="0"/>
            </w:tcBorders>
            <w:noWrap/>
            <w:vAlign w:val="center"/>
          </w:tcPr>
          <w:p w14:paraId="00B35433">
            <w:pPr>
              <w:numPr>
                <w:ilvl w:val="0"/>
                <w:numId w:val="10"/>
              </w:numPr>
              <w:adjustRightInd w:val="0"/>
              <w:snapToGrid w:val="0"/>
              <w:rPr>
                <w:rFonts w:ascii="宋体" w:hAnsi="宋体"/>
                <w:szCs w:val="21"/>
              </w:rPr>
            </w:pPr>
            <w:r>
              <w:rPr>
                <w:rFonts w:hint="eastAsia" w:ascii="宋体" w:hAnsi="宋体"/>
                <w:szCs w:val="21"/>
              </w:rPr>
              <w:t>实垃圾分类桶边劝导制度。</w:t>
            </w:r>
          </w:p>
        </w:tc>
        <w:tc>
          <w:tcPr>
            <w:tcW w:w="4500" w:type="dxa"/>
            <w:tcBorders>
              <w:top w:val="single" w:color="auto" w:sz="4" w:space="0"/>
              <w:left w:val="single" w:color="auto" w:sz="4" w:space="0"/>
              <w:right w:val="single" w:color="auto" w:sz="4" w:space="0"/>
            </w:tcBorders>
            <w:noWrap/>
            <w:vAlign w:val="center"/>
          </w:tcPr>
          <w:p w14:paraId="2BFA516F">
            <w:pPr>
              <w:numPr>
                <w:ilvl w:val="0"/>
                <w:numId w:val="11"/>
              </w:numPr>
              <w:adjustRightInd w:val="0"/>
              <w:snapToGrid w:val="0"/>
              <w:rPr>
                <w:rFonts w:ascii="宋体" w:hAnsi="宋体"/>
                <w:szCs w:val="21"/>
              </w:rPr>
            </w:pPr>
            <w:r>
              <w:rPr>
                <w:rFonts w:hint="eastAsia" w:ascii="宋体" w:hAnsi="宋体"/>
                <w:szCs w:val="21"/>
              </w:rPr>
              <w:t>未组建劝导队伍，开展“定时定点定岗”劝导，劝导覆盖片区不足80%,扣10分；覆盖不足50%,扣20分；覆盖不足30%,扣30分。</w:t>
            </w:r>
          </w:p>
        </w:tc>
      </w:tr>
      <w:tr w14:paraId="27EF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1082" w:type="dxa"/>
            <w:vMerge w:val="continue"/>
            <w:tcBorders>
              <w:top w:val="single" w:color="auto" w:sz="4" w:space="0"/>
              <w:left w:val="single" w:color="auto" w:sz="4" w:space="0"/>
              <w:right w:val="single" w:color="auto" w:sz="4" w:space="0"/>
            </w:tcBorders>
            <w:noWrap/>
            <w:vAlign w:val="center"/>
          </w:tcPr>
          <w:p w14:paraId="74C887F7"/>
        </w:tc>
        <w:tc>
          <w:tcPr>
            <w:tcW w:w="795" w:type="dxa"/>
            <w:vMerge w:val="continue"/>
            <w:tcBorders>
              <w:top w:val="single" w:color="auto" w:sz="4" w:space="0"/>
              <w:left w:val="single" w:color="auto" w:sz="4" w:space="0"/>
              <w:right w:val="single" w:color="auto" w:sz="4" w:space="0"/>
            </w:tcBorders>
            <w:noWrap/>
            <w:vAlign w:val="center"/>
          </w:tcPr>
          <w:p w14:paraId="7E46614F"/>
        </w:tc>
        <w:tc>
          <w:tcPr>
            <w:tcW w:w="3523" w:type="dxa"/>
            <w:tcBorders>
              <w:top w:val="single" w:color="auto" w:sz="4" w:space="0"/>
              <w:left w:val="single" w:color="auto" w:sz="4" w:space="0"/>
              <w:right w:val="single" w:color="auto" w:sz="4" w:space="0"/>
            </w:tcBorders>
            <w:noWrap/>
            <w:vAlign w:val="center"/>
          </w:tcPr>
          <w:p w14:paraId="019BED60">
            <w:pPr>
              <w:numPr>
                <w:ilvl w:val="0"/>
                <w:numId w:val="10"/>
              </w:numPr>
              <w:adjustRightInd w:val="0"/>
              <w:snapToGrid w:val="0"/>
              <w:rPr>
                <w:rFonts w:ascii="宋体" w:hAnsi="宋体"/>
                <w:szCs w:val="21"/>
              </w:rPr>
            </w:pPr>
            <w:r>
              <w:rPr>
                <w:rFonts w:hint="eastAsia" w:ascii="宋体" w:hAnsi="宋体"/>
                <w:szCs w:val="21"/>
              </w:rPr>
              <w:t>垃圾分类宣传报道。</w:t>
            </w:r>
          </w:p>
        </w:tc>
        <w:tc>
          <w:tcPr>
            <w:tcW w:w="4500" w:type="dxa"/>
            <w:tcBorders>
              <w:top w:val="single" w:color="auto" w:sz="4" w:space="0"/>
              <w:left w:val="single" w:color="auto" w:sz="4" w:space="0"/>
              <w:right w:val="single" w:color="auto" w:sz="4" w:space="0"/>
            </w:tcBorders>
            <w:noWrap/>
            <w:vAlign w:val="center"/>
          </w:tcPr>
          <w:p w14:paraId="43ED366B">
            <w:pPr>
              <w:numPr>
                <w:ilvl w:val="0"/>
                <w:numId w:val="11"/>
              </w:numPr>
              <w:adjustRightInd w:val="0"/>
              <w:snapToGrid w:val="0"/>
              <w:rPr>
                <w:rFonts w:ascii="宋体" w:hAnsi="宋体"/>
                <w:szCs w:val="21"/>
              </w:rPr>
            </w:pPr>
            <w:r>
              <w:rPr>
                <w:rFonts w:hint="eastAsia" w:ascii="宋体" w:hAnsi="宋体"/>
                <w:szCs w:val="21"/>
              </w:rPr>
              <w:t>每年保底垃圾分类宣传报道被县级媒体录用4篇以上，第5篇以上（含）被县级被媒体录用抵扣1分／条，每年最高抵扣10分，被市级媒体录用抵扣5分／条，被省级媒体录用抵扣6分／条，被国家级媒体录用抵扣8分／条，同一条信息按照录用最高等级计算，不重复抵扣，所有信息抵扣合计最高抵扣50分，未完成保底宣传次数的扣100分。</w:t>
            </w:r>
          </w:p>
        </w:tc>
      </w:tr>
      <w:tr w14:paraId="1DCB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82" w:type="dxa"/>
            <w:vMerge w:val="continue"/>
            <w:tcBorders>
              <w:top w:val="single" w:color="auto" w:sz="4" w:space="0"/>
              <w:left w:val="single" w:color="auto" w:sz="4" w:space="0"/>
              <w:right w:val="single" w:color="auto" w:sz="4" w:space="0"/>
            </w:tcBorders>
            <w:noWrap/>
            <w:vAlign w:val="center"/>
          </w:tcPr>
          <w:p w14:paraId="67B60F0C"/>
        </w:tc>
        <w:tc>
          <w:tcPr>
            <w:tcW w:w="795" w:type="dxa"/>
            <w:vMerge w:val="continue"/>
            <w:tcBorders>
              <w:top w:val="single" w:color="auto" w:sz="4" w:space="0"/>
              <w:left w:val="single" w:color="auto" w:sz="4" w:space="0"/>
              <w:right w:val="single" w:color="auto" w:sz="4" w:space="0"/>
            </w:tcBorders>
            <w:noWrap/>
            <w:vAlign w:val="center"/>
          </w:tcPr>
          <w:p w14:paraId="4318805F"/>
        </w:tc>
        <w:tc>
          <w:tcPr>
            <w:tcW w:w="3523" w:type="dxa"/>
            <w:tcBorders>
              <w:top w:val="single" w:color="auto" w:sz="4" w:space="0"/>
              <w:left w:val="single" w:color="auto" w:sz="4" w:space="0"/>
              <w:right w:val="single" w:color="auto" w:sz="4" w:space="0"/>
            </w:tcBorders>
            <w:noWrap/>
            <w:vAlign w:val="center"/>
          </w:tcPr>
          <w:p w14:paraId="2E170653">
            <w:pPr>
              <w:numPr>
                <w:ilvl w:val="0"/>
                <w:numId w:val="10"/>
              </w:numPr>
              <w:adjustRightInd w:val="0"/>
              <w:snapToGrid w:val="0"/>
              <w:rPr>
                <w:rFonts w:ascii="宋体" w:hAnsi="宋体"/>
                <w:szCs w:val="21"/>
              </w:rPr>
            </w:pPr>
            <w:r>
              <w:rPr>
                <w:rFonts w:hint="eastAsia" w:ascii="宋体" w:hAnsi="宋体"/>
                <w:szCs w:val="21"/>
              </w:rPr>
              <w:t>开展每月“八进”宣传。</w:t>
            </w:r>
          </w:p>
        </w:tc>
        <w:tc>
          <w:tcPr>
            <w:tcW w:w="4500" w:type="dxa"/>
            <w:tcBorders>
              <w:top w:val="single" w:color="auto" w:sz="4" w:space="0"/>
              <w:left w:val="single" w:color="auto" w:sz="4" w:space="0"/>
              <w:right w:val="single" w:color="auto" w:sz="4" w:space="0"/>
            </w:tcBorders>
            <w:noWrap/>
            <w:vAlign w:val="center"/>
          </w:tcPr>
          <w:p w14:paraId="65782EDF">
            <w:pPr>
              <w:numPr>
                <w:ilvl w:val="0"/>
                <w:numId w:val="11"/>
              </w:numPr>
              <w:adjustRightInd w:val="0"/>
              <w:snapToGrid w:val="0"/>
              <w:rPr>
                <w:rFonts w:ascii="宋体" w:hAnsi="宋体"/>
                <w:szCs w:val="21"/>
              </w:rPr>
            </w:pPr>
            <w:r>
              <w:rPr>
                <w:rFonts w:hint="eastAsia" w:ascii="宋体" w:hAnsi="宋体"/>
                <w:szCs w:val="21"/>
              </w:rPr>
              <w:t>每少进一个场所扣的1分，宣传结束后将照片报送至南浦溪镇环卫办，未及时报送的扣2分。</w:t>
            </w:r>
          </w:p>
        </w:tc>
      </w:tr>
      <w:tr w14:paraId="609F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82" w:type="dxa"/>
            <w:vMerge w:val="continue"/>
            <w:tcBorders>
              <w:top w:val="single" w:color="auto" w:sz="4" w:space="0"/>
              <w:left w:val="single" w:color="auto" w:sz="4" w:space="0"/>
              <w:right w:val="single" w:color="auto" w:sz="4" w:space="0"/>
            </w:tcBorders>
            <w:noWrap/>
            <w:vAlign w:val="center"/>
          </w:tcPr>
          <w:p w14:paraId="56587EF7"/>
        </w:tc>
        <w:tc>
          <w:tcPr>
            <w:tcW w:w="795" w:type="dxa"/>
            <w:vMerge w:val="continue"/>
            <w:tcBorders>
              <w:top w:val="single" w:color="auto" w:sz="4" w:space="0"/>
              <w:left w:val="single" w:color="auto" w:sz="4" w:space="0"/>
              <w:right w:val="single" w:color="auto" w:sz="4" w:space="0"/>
            </w:tcBorders>
            <w:noWrap/>
            <w:vAlign w:val="center"/>
          </w:tcPr>
          <w:p w14:paraId="288FB161"/>
        </w:tc>
        <w:tc>
          <w:tcPr>
            <w:tcW w:w="3523" w:type="dxa"/>
            <w:tcBorders>
              <w:top w:val="single" w:color="auto" w:sz="4" w:space="0"/>
              <w:left w:val="single" w:color="auto" w:sz="4" w:space="0"/>
              <w:right w:val="single" w:color="auto" w:sz="4" w:space="0"/>
            </w:tcBorders>
            <w:noWrap/>
            <w:vAlign w:val="center"/>
          </w:tcPr>
          <w:p w14:paraId="14E4F37F">
            <w:pPr>
              <w:numPr>
                <w:ilvl w:val="0"/>
                <w:numId w:val="10"/>
              </w:numPr>
              <w:adjustRightInd w:val="0"/>
              <w:snapToGrid w:val="0"/>
              <w:rPr>
                <w:rFonts w:ascii="宋体" w:hAnsi="宋体"/>
                <w:szCs w:val="21"/>
              </w:rPr>
            </w:pPr>
            <w:r>
              <w:rPr>
                <w:rFonts w:hint="eastAsia" w:ascii="宋体" w:hAnsi="宋体"/>
                <w:szCs w:val="21"/>
              </w:rPr>
              <w:t>上级部门督查。</w:t>
            </w:r>
          </w:p>
        </w:tc>
        <w:tc>
          <w:tcPr>
            <w:tcW w:w="4500" w:type="dxa"/>
            <w:tcBorders>
              <w:top w:val="single" w:color="auto" w:sz="4" w:space="0"/>
              <w:left w:val="single" w:color="auto" w:sz="4" w:space="0"/>
              <w:right w:val="single" w:color="auto" w:sz="4" w:space="0"/>
            </w:tcBorders>
            <w:noWrap/>
            <w:vAlign w:val="center"/>
          </w:tcPr>
          <w:p w14:paraId="6FE8D76E">
            <w:pPr>
              <w:numPr>
                <w:ilvl w:val="0"/>
                <w:numId w:val="11"/>
              </w:numPr>
              <w:adjustRightInd w:val="0"/>
              <w:snapToGrid w:val="0"/>
              <w:rPr>
                <w:rFonts w:ascii="宋体" w:hAnsi="宋体"/>
                <w:szCs w:val="21"/>
              </w:rPr>
            </w:pPr>
            <w:r>
              <w:rPr>
                <w:rFonts w:hint="eastAsia" w:ascii="宋体" w:cs="Arial"/>
                <w:sz w:val="22"/>
              </w:rPr>
              <w:t>被县级部门督查的，每张照片扣2分；被市级部门督查的，每张照片扣3分；被省级部门督查的，每张照片扣5分。</w:t>
            </w:r>
          </w:p>
        </w:tc>
      </w:tr>
      <w:tr w14:paraId="5B2D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900" w:type="dxa"/>
            <w:gridSpan w:val="4"/>
            <w:tcBorders>
              <w:top w:val="single" w:color="auto" w:sz="4" w:space="0"/>
              <w:left w:val="single" w:color="auto" w:sz="4" w:space="0"/>
              <w:right w:val="single" w:color="auto" w:sz="4" w:space="0"/>
            </w:tcBorders>
            <w:noWrap/>
            <w:vAlign w:val="center"/>
          </w:tcPr>
          <w:p w14:paraId="417C4112">
            <w:pPr>
              <w:adjustRightInd w:val="0"/>
              <w:snapToGrid w:val="0"/>
              <w:ind w:left="400"/>
              <w:rPr>
                <w:rFonts w:ascii="宋体" w:hAnsi="宋体" w:cs="宋体"/>
                <w:szCs w:val="21"/>
              </w:rPr>
            </w:pPr>
            <w:r>
              <w:rPr>
                <w:rFonts w:hint="eastAsia" w:ascii="宋体" w:cs="Arial"/>
                <w:sz w:val="22"/>
              </w:rPr>
              <w:t>注：①服务费用指</w:t>
            </w:r>
            <w:r>
              <w:rPr>
                <w:rFonts w:hint="eastAsia" w:ascii="宋体" w:cs="宋体"/>
                <w:sz w:val="22"/>
              </w:rPr>
              <w:t>保洁服务部分的费用，不包含</w:t>
            </w:r>
            <w:r>
              <w:rPr>
                <w:rFonts w:hint="eastAsia" w:ascii="宋体" w:hAnsi="宋体" w:cs="宋体"/>
                <w:szCs w:val="21"/>
              </w:rPr>
              <w:t>设备采购部分的费用。</w:t>
            </w:r>
          </w:p>
          <w:p w14:paraId="71D581C0">
            <w:pPr>
              <w:spacing w:line="400" w:lineRule="exact"/>
              <w:ind w:firstLine="440" w:firstLineChars="200"/>
            </w:pPr>
            <w:r>
              <w:rPr>
                <w:rFonts w:hint="eastAsia" w:ascii="宋体" w:cs="Arial"/>
                <w:sz w:val="22"/>
              </w:rPr>
              <w:t>②本项目的考核办法及细则的解释权归采购人所有；本考核办法为试行考核管理办法，详细考核管理细则将在合同签订前确定，如有必要，合同执行期间采购人有权根据实际运行情况对考核办法及细则进行合理的修改并通知中标人，中标人必须无条件服从。</w:t>
            </w:r>
          </w:p>
        </w:tc>
      </w:tr>
    </w:tbl>
    <w:p w14:paraId="7BD5E0F2">
      <w:r>
        <w:br w:type="page"/>
      </w:r>
    </w:p>
    <w:p w14:paraId="4B4BD82F">
      <w:pPr>
        <w:jc w:val="center"/>
        <w:rPr>
          <w:b/>
          <w:bCs/>
          <w:sz w:val="56"/>
          <w:szCs w:val="52"/>
        </w:rPr>
      </w:pPr>
      <w:r>
        <w:rPr>
          <w:rFonts w:hint="eastAsia"/>
          <w:b/>
          <w:bCs/>
          <w:sz w:val="56"/>
          <w:szCs w:val="52"/>
        </w:rPr>
        <w:t>投标书封条</w:t>
      </w:r>
    </w:p>
    <w:p w14:paraId="5DCE39A6">
      <w:pPr>
        <w:spacing w:line="360" w:lineRule="auto"/>
        <w:jc w:val="center"/>
        <w:rPr>
          <w:rFonts w:ascii="宋体" w:hAnsi="宋体"/>
          <w:b/>
          <w:bCs/>
          <w:spacing w:val="-30"/>
          <w:sz w:val="36"/>
        </w:rPr>
      </w:pPr>
      <w:r>
        <w:rPr>
          <w:rFonts w:hint="eastAsia" w:ascii="宋体" w:hAnsi="宋体"/>
        </w:rPr>
        <w:t>（注：投标人在密封标书时将下列封条沿线剪下，不够可复印）</w:t>
      </w:r>
    </w:p>
    <w:p w14:paraId="57228C71">
      <w:pPr>
        <w:rPr>
          <w:rFonts w:ascii="宋体" w:hAnsi="宋体"/>
        </w:rPr>
      </w:pPr>
    </w:p>
    <w:p w14:paraId="0D510C4A">
      <w:pPr>
        <w:rPr>
          <w:rFonts w:ascii="宋体" w:hAnsi="宋体"/>
        </w:rPr>
      </w:pPr>
    </w:p>
    <w:p w14:paraId="2A64176E">
      <w:pPr>
        <w:rPr>
          <w:rFonts w:ascii="宋体" w:hAnsi="宋体"/>
        </w:rPr>
      </w:pPr>
    </w:p>
    <w:p w14:paraId="2B702B82">
      <w:pPr>
        <w:rPr>
          <w:rFonts w:ascii="宋体" w:hAnsi="宋体"/>
        </w:rPr>
      </w:pPr>
    </w:p>
    <w:p w14:paraId="5E2EC168">
      <w:pPr>
        <w:rPr>
          <w:rFonts w:ascii="宋体" w:hAnsi="宋体"/>
        </w:rPr>
      </w:pPr>
    </w:p>
    <w:tbl>
      <w:tblPr>
        <w:tblStyle w:val="31"/>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46B504E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568" w:type="dxa"/>
          </w:tcPr>
          <w:p w14:paraId="402FF2F5">
            <w:pPr>
              <w:rPr>
                <w:rFonts w:ascii="宋体" w:hAnsi="宋体"/>
                <w:spacing w:val="-30"/>
              </w:rPr>
            </w:pPr>
          </w:p>
        </w:tc>
      </w:tr>
    </w:tbl>
    <w:p w14:paraId="6CADA021">
      <w:pPr>
        <w:spacing w:line="500" w:lineRule="exact"/>
        <w:jc w:val="center"/>
        <w:rPr>
          <w:rFonts w:ascii="宋体" w:hAnsi="宋体"/>
          <w:b/>
          <w:bCs/>
          <w:spacing w:val="-30"/>
          <w:sz w:val="44"/>
          <w:szCs w:val="44"/>
        </w:rPr>
      </w:pPr>
      <w:r>
        <w:rPr>
          <w:rFonts w:hint="eastAsia" w:ascii="宋体" w:hAnsi="宋体"/>
          <w:b/>
          <w:bCs/>
          <w:spacing w:val="-30"/>
          <w:sz w:val="44"/>
          <w:szCs w:val="44"/>
        </w:rPr>
        <w:t>泰顺县南浦溪镇环卫一体化和垃圾分类服务项目</w:t>
      </w:r>
    </w:p>
    <w:p w14:paraId="4A71DB84">
      <w:pPr>
        <w:spacing w:line="500" w:lineRule="exact"/>
        <w:jc w:val="center"/>
        <w:rPr>
          <w:rFonts w:ascii="宋体" w:hAnsi="宋体"/>
          <w:b/>
          <w:bCs/>
          <w:spacing w:val="-30"/>
          <w:sz w:val="44"/>
          <w:szCs w:val="44"/>
        </w:rPr>
      </w:pPr>
      <w:r>
        <w:rPr>
          <w:rFonts w:hint="eastAsia" w:ascii="宋体" w:hAnsi="宋体"/>
          <w:b/>
          <w:bCs/>
          <w:spacing w:val="-30"/>
          <w:sz w:val="44"/>
          <w:szCs w:val="44"/>
        </w:rPr>
        <w:t>（商务报价部分）投标文件密封袋封条</w:t>
      </w:r>
    </w:p>
    <w:p w14:paraId="36509A59">
      <w:pPr>
        <w:pStyle w:val="22"/>
        <w:rPr>
          <w:shd w:val="pct10" w:color="auto" w:fill="FFFFFF"/>
        </w:rPr>
      </w:pPr>
      <w:r>
        <w:rPr>
          <w:rFonts w:hint="eastAsia"/>
          <w:shd w:val="pct10" w:color="auto" w:fill="FFFFFF"/>
        </w:rPr>
        <w:t>加 盖 投 标 单 位 公章 及法定代表人或 其 法 定 代 表 人 委 托 代 理 人 签 字 或 盖 章</w:t>
      </w:r>
    </w:p>
    <w:tbl>
      <w:tblPr>
        <w:tblStyle w:val="31"/>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5E86786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568" w:type="dxa"/>
          </w:tcPr>
          <w:p w14:paraId="052E4EA2">
            <w:pPr>
              <w:jc w:val="center"/>
              <w:rPr>
                <w:rFonts w:ascii="宋体" w:hAnsi="宋体"/>
                <w:spacing w:val="-30"/>
              </w:rPr>
            </w:pPr>
          </w:p>
        </w:tc>
      </w:tr>
    </w:tbl>
    <w:p w14:paraId="1D38B409">
      <w:pPr>
        <w:adjustRightInd w:val="0"/>
        <w:snapToGrid w:val="0"/>
        <w:spacing w:before="100" w:after="50"/>
        <w:rPr>
          <w:rFonts w:ascii="宋体" w:hAnsi="宋体" w:cs="Arial"/>
          <w:b/>
          <w:sz w:val="22"/>
          <w:szCs w:val="22"/>
        </w:rPr>
      </w:pPr>
    </w:p>
    <w:p w14:paraId="5C768836">
      <w:pPr>
        <w:adjustRightInd w:val="0"/>
        <w:snapToGrid w:val="0"/>
        <w:spacing w:before="100" w:after="50"/>
        <w:rPr>
          <w:rFonts w:ascii="宋体" w:hAnsi="宋体" w:cs="Arial"/>
          <w:b/>
          <w:sz w:val="22"/>
          <w:szCs w:val="22"/>
        </w:rPr>
      </w:pPr>
    </w:p>
    <w:p w14:paraId="04FDC27C">
      <w:pPr>
        <w:pStyle w:val="30"/>
      </w:pPr>
    </w:p>
    <w:p w14:paraId="7D9C8A01">
      <w:pPr>
        <w:pStyle w:val="30"/>
      </w:pPr>
    </w:p>
    <w:p w14:paraId="7D9B8A46">
      <w:pPr>
        <w:adjustRightInd w:val="0"/>
        <w:snapToGrid w:val="0"/>
        <w:spacing w:before="100" w:after="50"/>
        <w:rPr>
          <w:rFonts w:ascii="宋体" w:hAnsi="宋体" w:cs="Arial"/>
          <w:b/>
          <w:sz w:val="22"/>
          <w:szCs w:val="22"/>
        </w:rPr>
      </w:pPr>
    </w:p>
    <w:tbl>
      <w:tblPr>
        <w:tblStyle w:val="31"/>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4162314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568" w:type="dxa"/>
          </w:tcPr>
          <w:p w14:paraId="7FBB29EA">
            <w:pPr>
              <w:rPr>
                <w:rFonts w:ascii="宋体" w:hAnsi="宋体"/>
                <w:spacing w:val="-30"/>
              </w:rPr>
            </w:pPr>
          </w:p>
        </w:tc>
      </w:tr>
    </w:tbl>
    <w:p w14:paraId="4D107BC9">
      <w:pPr>
        <w:spacing w:line="500" w:lineRule="exact"/>
        <w:jc w:val="center"/>
        <w:rPr>
          <w:rFonts w:ascii="宋体" w:hAnsi="宋体"/>
          <w:b/>
          <w:bCs/>
          <w:spacing w:val="-30"/>
          <w:sz w:val="44"/>
          <w:szCs w:val="44"/>
        </w:rPr>
      </w:pPr>
      <w:r>
        <w:rPr>
          <w:rFonts w:hint="eastAsia" w:ascii="宋体" w:hAnsi="宋体"/>
          <w:b/>
          <w:bCs/>
          <w:spacing w:val="-30"/>
          <w:sz w:val="44"/>
          <w:szCs w:val="44"/>
        </w:rPr>
        <w:t>泰顺县南浦溪镇环卫一体化和垃圾分类服务项目</w:t>
      </w:r>
    </w:p>
    <w:p w14:paraId="4FB0CE4B">
      <w:pPr>
        <w:spacing w:line="500" w:lineRule="exact"/>
        <w:jc w:val="center"/>
        <w:rPr>
          <w:rFonts w:ascii="宋体" w:hAnsi="宋体"/>
          <w:b/>
          <w:bCs/>
          <w:spacing w:val="-30"/>
          <w:sz w:val="44"/>
          <w:szCs w:val="44"/>
        </w:rPr>
      </w:pPr>
      <w:r>
        <w:rPr>
          <w:rFonts w:hint="eastAsia" w:ascii="宋体" w:hAnsi="宋体"/>
          <w:b/>
          <w:bCs/>
          <w:spacing w:val="-30"/>
          <w:sz w:val="44"/>
          <w:szCs w:val="44"/>
        </w:rPr>
        <w:t>（技术资信部分）投标文件密封袋封条</w:t>
      </w:r>
    </w:p>
    <w:p w14:paraId="00BC3D62">
      <w:pPr>
        <w:adjustRightInd w:val="0"/>
        <w:snapToGrid w:val="0"/>
        <w:spacing w:before="100" w:after="50"/>
        <w:rPr>
          <w:shd w:val="pct10" w:color="auto" w:fill="FFFFFF"/>
        </w:rPr>
      </w:pPr>
      <w:r>
        <w:rPr>
          <w:rFonts w:hint="eastAsia"/>
          <w:shd w:val="pct10" w:color="auto" w:fill="FFFFFF"/>
        </w:rPr>
        <w:t>加 盖 投 标 单 位 公章 及法定代表人或 其 法 定 代 表 人 委 托 代 理 人 签 字 或 盖 章</w:t>
      </w:r>
    </w:p>
    <w:tbl>
      <w:tblPr>
        <w:tblStyle w:val="31"/>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179D57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568" w:type="dxa"/>
          </w:tcPr>
          <w:p w14:paraId="620D3A4C">
            <w:pPr>
              <w:rPr>
                <w:rFonts w:ascii="宋体" w:hAnsi="宋体"/>
                <w:spacing w:val="-30"/>
              </w:rPr>
            </w:pPr>
          </w:p>
        </w:tc>
      </w:tr>
    </w:tbl>
    <w:p w14:paraId="14EB9540">
      <w:pPr>
        <w:adjustRightInd w:val="0"/>
        <w:snapToGrid w:val="0"/>
        <w:spacing w:before="100" w:after="50"/>
        <w:rPr>
          <w:rFonts w:ascii="宋体" w:hAnsi="宋体" w:cs="Arial"/>
          <w:b/>
          <w:sz w:val="22"/>
          <w:szCs w:val="22"/>
        </w:rPr>
      </w:pPr>
    </w:p>
    <w:p w14:paraId="49BD1939">
      <w:pPr>
        <w:adjustRightInd w:val="0"/>
        <w:snapToGrid w:val="0"/>
        <w:spacing w:before="100" w:after="50"/>
        <w:rPr>
          <w:rFonts w:ascii="宋体" w:hAnsi="宋体" w:cs="Arial"/>
          <w:b/>
          <w:sz w:val="22"/>
          <w:szCs w:val="22"/>
        </w:rPr>
      </w:pPr>
    </w:p>
    <w:p w14:paraId="6CE65921">
      <w:pPr>
        <w:pStyle w:val="3"/>
        <w:rPr>
          <w:rFonts w:ascii="宋体" w:hAnsi="宋体" w:cs="Arial"/>
          <w:b/>
          <w:sz w:val="22"/>
          <w:szCs w:val="22"/>
        </w:rPr>
      </w:pPr>
    </w:p>
    <w:p w14:paraId="20EFA7C4">
      <w:pPr>
        <w:pStyle w:val="2"/>
        <w:rPr>
          <w:rFonts w:ascii="宋体" w:hAnsi="宋体" w:cs="Arial"/>
          <w:b/>
          <w:sz w:val="22"/>
          <w:szCs w:val="22"/>
        </w:rPr>
      </w:pPr>
    </w:p>
    <w:p w14:paraId="32470166">
      <w:pPr>
        <w:pStyle w:val="4"/>
      </w:pPr>
    </w:p>
    <w:p w14:paraId="04B114A8">
      <w:pPr>
        <w:adjustRightInd w:val="0"/>
        <w:snapToGrid w:val="0"/>
        <w:spacing w:before="100" w:after="50"/>
        <w:rPr>
          <w:rFonts w:ascii="宋体" w:hAnsi="宋体" w:cs="Arial"/>
          <w:b/>
          <w:sz w:val="22"/>
          <w:szCs w:val="22"/>
        </w:rPr>
      </w:pPr>
    </w:p>
    <w:p w14:paraId="3B2F23B0">
      <w:pPr>
        <w:widowControl/>
        <w:adjustRightInd w:val="0"/>
        <w:snapToGrid w:val="0"/>
        <w:spacing w:before="100" w:after="50" w:line="360" w:lineRule="atLeast"/>
        <w:ind w:firstLine="480"/>
        <w:rPr>
          <w:rFonts w:ascii="宋体" w:hAnsi="宋体" w:cs="宋体"/>
          <w:kern w:val="0"/>
          <w:sz w:val="22"/>
          <w:szCs w:val="22"/>
        </w:rPr>
      </w:pPr>
    </w:p>
    <w:sectPr>
      <w:pgSz w:w="11906" w:h="16838"/>
      <w:pgMar w:top="760" w:right="1080" w:bottom="590" w:left="1080" w:header="510"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panose1 w:val="020B0502020202020204"/>
    <w:charset w:val="00"/>
    <w:family w:val="swiss"/>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2010600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4545">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576B">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50EA4B82">
                          <w:pPr>
                            <w:pStyle w:val="19"/>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pF6s0AAAAAMBAAAPAAAAAAAAAAEAIAAAACIAAABkcnMvZG93bnJldi54&#10;bWxQSwECFAAUAAAACACHTuJAVwlaewICAAD0AwAADgAAAAAAAAABACAAAAAfAQAAZHJzL2Uyb0Rv&#10;Yy54bWxQSwUGAAAAAAYABgBZAQAAkwUAAAAA&#10;">
              <v:fill on="f" focussize="0,0"/>
              <v:stroke on="f" joinstyle="round"/>
              <v:imagedata o:title=""/>
              <o:lock v:ext="edit" aspectratio="f"/>
              <v:textbox inset="0mm,0mm,0mm,0mm" style="mso-fit-shape-to-text:t;">
                <w:txbxContent>
                  <w:p w14:paraId="50EA4B82">
                    <w:pPr>
                      <w:pStyle w:val="19"/>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A9C5">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5984">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4" name="文本框 5"/>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round/>
                      </a:ln>
                    </wps:spPr>
                    <wps:txbx>
                      <w:txbxContent>
                        <w:p w14:paraId="0CD8B05B">
                          <w:pPr>
                            <w:pStyle w:val="19"/>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DbM40AAAAAIBAAAPAAAAAAAAAAEAIAAAACIAAABkcnMvZG93bnJldi54&#10;bWxQSwECFAAUAAAACACHTuJAiZOIowICAADzAwAADgAAAAAAAAABACAAAAAfAQAAZHJzL2Uyb0Rv&#10;Yy54bWxQSwUGAAAAAAYABgBZAQAAkwUAAAAA&#10;">
              <v:fill on="f" focussize="0,0"/>
              <v:stroke on="f" joinstyle="round"/>
              <v:imagedata o:title=""/>
              <o:lock v:ext="edit" aspectratio="f"/>
              <v:textbox inset="0mm,0mm,0mm,0mm" style="mso-fit-shape-to-text:t;">
                <w:txbxContent>
                  <w:p w14:paraId="0CD8B05B">
                    <w:pPr>
                      <w:pStyle w:val="19"/>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5268">
    <w:pPr>
      <w:pStyle w:val="1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7" name="文本框 8"/>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wps:spPr>
                    <wps:txbx>
                      <w:txbxContent>
                        <w:p w14:paraId="7BDF467A">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pi/PVAAAAAgEAAA8AAAAAAAAAAQAgAAAAIgAAAGRycy9kb3du&#10;cmV2LnhtbFBLAQIUABQAAAAIAIdO4kBd3auAAgIAAPMDAAAOAAAAAAAAAAEAIAAAACQBAABkcnMv&#10;ZTJvRG9jLnhtbFBLBQYAAAAABgAGAFkBAACYBQAAAAA=&#10;">
              <v:fill on="f" focussize="0,0"/>
              <v:stroke on="f" weight="0.5pt" joinstyle="round"/>
              <v:imagedata o:title=""/>
              <o:lock v:ext="edit" aspectratio="f"/>
              <v:textbox inset="0mm,0mm,0mm,0mm" style="mso-fit-shape-to-text:t;">
                <w:txbxContent>
                  <w:p w14:paraId="7BDF467A">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02F4">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0" name="文本框 2054"/>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44060415">
                          <w:pPr>
                            <w:pStyle w:val="1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205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pF6s0AAAAAMBAAAPAAAAAAAAAAEAIAAAACIAAABkcnMvZG93bnJl&#10;di54bWxQSwECFAAUAAAACACHTuJA9tEowAUCAAD4AwAADgAAAAAAAAABACAAAAAfAQAAZHJzL2Uy&#10;b0RvYy54bWxQSwUGAAAAAAYABgBZAQAAlgUAAAAA&#10;">
              <v:fill on="f" focussize="0,0"/>
              <v:stroke on="f" joinstyle="round"/>
              <v:imagedata o:title=""/>
              <o:lock v:ext="edit" aspectratio="f"/>
              <v:textbox inset="0mm,0mm,0mm,0mm" style="mso-fit-shape-to-text:t;">
                <w:txbxContent>
                  <w:p w14:paraId="44060415">
                    <w:pPr>
                      <w:pStyle w:val="1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1B0E">
    <w:pPr>
      <w:pStyle w:val="19"/>
      <w:rPr>
        <w:rFonts w:ascii="宋体"/>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2055"/>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309CF202">
                          <w:pPr>
                            <w:pStyle w:val="19"/>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205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aRerNAAAAADAQAADwAAAAAAAAABACAAAAAiAAAAZHJzL2Rvd25y&#10;ZXYueG1sUEsBAhQAFAAAAAgAh07iQKOFOVYGAgAA+AMAAA4AAAAAAAAAAQAgAAAAHwEAAGRycy9l&#10;Mm9Eb2MueG1sUEsFBgAAAAAGAAYAWQEAAJcFAAAAAA==&#10;">
              <v:fill on="f" focussize="0,0"/>
              <v:stroke on="f" joinstyle="round"/>
              <v:imagedata o:title=""/>
              <o:lock v:ext="edit" aspectratio="f"/>
              <v:textbox inset="0mm,0mm,0mm,0mm" style="mso-fit-shape-to-text:t;">
                <w:txbxContent>
                  <w:p w14:paraId="309CF202">
                    <w:pPr>
                      <w:pStyle w:val="19"/>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2B0C">
    <w:pPr>
      <w:tabs>
        <w:tab w:val="center" w:pos="4153"/>
        <w:tab w:val="right" w:pos="8306"/>
      </w:tabs>
      <w:snapToGrid w:val="0"/>
      <w:jc w:val="center"/>
      <w:rPr>
        <w:sz w:val="18"/>
        <w:szCs w:val="18"/>
      </w:rPr>
    </w:pPr>
    <w:r>
      <w:rPr>
        <w:sz w:val="18"/>
        <w:szCs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4"/>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46DCB4BE">
                          <w:pPr>
                            <w:tabs>
                              <w:tab w:val="center" w:pos="4153"/>
                              <w:tab w:val="right" w:pos="8306"/>
                            </w:tabs>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45</w:t>
                          </w:r>
                          <w:r>
                            <w:rPr>
                              <w:rFonts w:hint="eastAsia"/>
                              <w:sz w:val="18"/>
                              <w:szCs w:val="18"/>
                            </w:rP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oDuMcQMCAAD1AwAADgAAAAAAAAABACAAAAAkAQAAZHJz&#10;L2Uyb0RvYy54bWxQSwUGAAAAAAYABgBZAQAAmQUAAAAA&#10;">
              <v:fill on="f" focussize="0,0"/>
              <v:stroke on="f" weight="0.5pt" joinstyle="round"/>
              <v:imagedata o:title=""/>
              <o:lock v:ext="edit" aspectratio="f"/>
              <v:textbox inset="0mm,0mm,0mm,0mm" style="mso-fit-shape-to-text:t;">
                <w:txbxContent>
                  <w:p w14:paraId="46DCB4BE">
                    <w:pPr>
                      <w:tabs>
                        <w:tab w:val="center" w:pos="4153"/>
                        <w:tab w:val="right" w:pos="8306"/>
                      </w:tabs>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45</w:t>
                    </w:r>
                    <w:r>
                      <w:rPr>
                        <w:rFonts w:hint="eastAsia"/>
                        <w:sz w:val="18"/>
                        <w:szCs w:val="18"/>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DE75">
    <w:pPr>
      <w:tabs>
        <w:tab w:val="center" w:pos="4153"/>
        <w:tab w:val="right" w:pos="8306"/>
      </w:tabs>
      <w:snapToGrid w:val="0"/>
      <w:jc w:val="center"/>
      <w:rPr>
        <w:sz w:val="18"/>
        <w:szCs w:val="18"/>
      </w:rPr>
    </w:pPr>
    <w:r>
      <w:rPr>
        <w:sz w:val="18"/>
        <w:szCs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9" name="文本框 5"/>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3A9323ED">
                          <w:pPr>
                            <w:tabs>
                              <w:tab w:val="center" w:pos="4153"/>
                              <w:tab w:val="right" w:pos="8306"/>
                            </w:tabs>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55</w:t>
                          </w:r>
                          <w:r>
                            <w:rPr>
                              <w:rFonts w:hint="eastAsia"/>
                              <w:sz w:val="18"/>
                              <w:szCs w:val="18"/>
                            </w:rP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FJcnVAAAAAwEAAA8AAAAAAAAAAQAgAAAAIgAAAGRycy9kb3du&#10;cmV2LnhtbFBLAQIUABQAAAAIAIdO4kDbvUG9AgIAAPUDAAAOAAAAAAAAAAEAIAAAACQBAABkcnMv&#10;ZTJvRG9jLnhtbFBLBQYAAAAABgAGAFkBAACYBQAAAAA=&#10;">
              <v:fill on="f" focussize="0,0"/>
              <v:stroke on="f" weight="0.5pt" joinstyle="round"/>
              <v:imagedata o:title=""/>
              <o:lock v:ext="edit" aspectratio="f"/>
              <v:textbox inset="0mm,0mm,0mm,0mm" style="mso-fit-shape-to-text:t;">
                <w:txbxContent>
                  <w:p w14:paraId="3A9323ED">
                    <w:pPr>
                      <w:tabs>
                        <w:tab w:val="center" w:pos="4153"/>
                        <w:tab w:val="right" w:pos="8306"/>
                      </w:tabs>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55</w:t>
                    </w:r>
                    <w:r>
                      <w:rPr>
                        <w:rFonts w:hint="eastAsia"/>
                        <w:sz w:val="18"/>
                        <w:szCs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41B5">
    <w:pPr>
      <w:pStyle w:val="21"/>
      <w:pBdr>
        <w:bottom w:val="single" w:color="auto" w:sz="4" w:space="0"/>
      </w:pBdr>
    </w:pPr>
    <w:r>
      <w:rPr>
        <w:rFonts w:hint="eastAsia"/>
      </w:rPr>
      <w:t>泰顺县国企采购--招标文件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399C">
    <w:pPr>
      <w:pStyle w:val="21"/>
      <w:pBdr>
        <w:bottom w:val="single" w:color="auto" w:sz="4" w:space="0"/>
      </w:pBdr>
    </w:pPr>
    <w:r>
      <w:rPr>
        <w:rFonts w:hint="eastAsia"/>
      </w:rPr>
      <w:t>泰顺县国企采购--招标文件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2D81">
    <w:pPr>
      <w:pStyle w:val="21"/>
    </w:pPr>
  </w:p>
  <w:p w14:paraId="48C25FAD"/>
  <w:p w14:paraId="4A9848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D403">
    <w:pP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C1495"/>
    <w:multiLevelType w:val="multilevel"/>
    <w:tmpl w:val="C59C1495"/>
    <w:lvl w:ilvl="0" w:tentative="0">
      <w:start w:val="1"/>
      <w:numFmt w:val="decimal"/>
      <w:suff w:val="nothing"/>
      <w:lvlText w:val="%1．"/>
      <w:lvlJc w:val="left"/>
      <w:pPr>
        <w:ind w:left="20" w:firstLine="400"/>
      </w:pPr>
      <w:rPr>
        <w:rFonts w:hint="default"/>
      </w:rPr>
    </w:lvl>
    <w:lvl w:ilvl="1" w:tentative="0">
      <w:start w:val="1"/>
      <w:numFmt w:val="decimal"/>
      <w:lvlText w:val="(%2)"/>
      <w:lvlJc w:val="left"/>
      <w:pPr>
        <w:tabs>
          <w:tab w:val="left" w:pos="840"/>
        </w:tabs>
        <w:ind w:left="1260" w:hanging="420"/>
      </w:pPr>
      <w:rPr>
        <w:rFonts w:hint="default"/>
      </w:rPr>
    </w:lvl>
    <w:lvl w:ilvl="2" w:tentative="0">
      <w:start w:val="1"/>
      <w:numFmt w:val="decimalEnclosedCircleChinese"/>
      <w:lvlText w:val="%3"/>
      <w:lvlJc w:val="left"/>
      <w:pPr>
        <w:tabs>
          <w:tab w:val="left" w:pos="1260"/>
        </w:tabs>
        <w:ind w:left="1680" w:hanging="420"/>
      </w:pPr>
      <w:rPr>
        <w:rFonts w:hint="default"/>
      </w:rPr>
    </w:lvl>
    <w:lvl w:ilvl="3" w:tentative="0">
      <w:start w:val="1"/>
      <w:numFmt w:val="decimal"/>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Letter"/>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Roman"/>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
    <w:nsid w:val="E15B053D"/>
    <w:multiLevelType w:val="singleLevel"/>
    <w:tmpl w:val="E15B053D"/>
    <w:lvl w:ilvl="0" w:tentative="0">
      <w:start w:val="1"/>
      <w:numFmt w:val="decimal"/>
      <w:lvlText w:val="%1."/>
      <w:lvlJc w:val="left"/>
      <w:pPr>
        <w:ind w:left="425" w:hanging="425"/>
      </w:pPr>
      <w:rPr>
        <w:rFonts w:hint="default"/>
      </w:rPr>
    </w:lvl>
  </w:abstractNum>
  <w:abstractNum w:abstractNumId="2">
    <w:nsid w:val="ED3175F2"/>
    <w:multiLevelType w:val="singleLevel"/>
    <w:tmpl w:val="ED3175F2"/>
    <w:lvl w:ilvl="0" w:tentative="0">
      <w:start w:val="1"/>
      <w:numFmt w:val="decimal"/>
      <w:pStyle w:val="9"/>
      <w:lvlText w:val="%1."/>
      <w:lvlJc w:val="left"/>
      <w:pPr>
        <w:tabs>
          <w:tab w:val="left" w:pos="360"/>
        </w:tabs>
        <w:ind w:left="360" w:hanging="360"/>
      </w:pPr>
    </w:lvl>
  </w:abstractNum>
  <w:abstractNum w:abstractNumId="3">
    <w:nsid w:val="EEEC1E35"/>
    <w:multiLevelType w:val="singleLevel"/>
    <w:tmpl w:val="EEEC1E35"/>
    <w:lvl w:ilvl="0" w:tentative="0">
      <w:start w:val="1"/>
      <w:numFmt w:val="decimal"/>
      <w:suff w:val="nothing"/>
      <w:lvlText w:val="%1．"/>
      <w:lvlJc w:val="left"/>
      <w:pPr>
        <w:ind w:left="0" w:firstLine="400"/>
      </w:pPr>
      <w:rPr>
        <w:rFonts w:hint="default"/>
      </w:rPr>
    </w:lvl>
  </w:abstractNum>
  <w:abstractNum w:abstractNumId="4">
    <w:nsid w:val="00000016"/>
    <w:multiLevelType w:val="singleLevel"/>
    <w:tmpl w:val="00000016"/>
    <w:lvl w:ilvl="0" w:tentative="0">
      <w:start w:val="1"/>
      <w:numFmt w:val="decimal"/>
      <w:suff w:val="nothing"/>
      <w:lvlText w:val="（%1）"/>
      <w:lvlJc w:val="left"/>
      <w:pPr>
        <w:ind w:left="0" w:firstLine="0"/>
      </w:pPr>
    </w:lvl>
  </w:abstractNum>
  <w:abstractNum w:abstractNumId="5">
    <w:nsid w:val="4B611C85"/>
    <w:multiLevelType w:val="multilevel"/>
    <w:tmpl w:val="4B611C85"/>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1124169"/>
    <w:multiLevelType w:val="singleLevel"/>
    <w:tmpl w:val="51124169"/>
    <w:lvl w:ilvl="0" w:tentative="0">
      <w:start w:val="1"/>
      <w:numFmt w:val="decimal"/>
      <w:lvlText w:val="%1."/>
      <w:lvlJc w:val="left"/>
      <w:pPr>
        <w:tabs>
          <w:tab w:val="left" w:pos="312"/>
        </w:tabs>
        <w:ind w:left="70" w:hanging="70"/>
      </w:pPr>
    </w:lvl>
  </w:abstractNum>
  <w:abstractNum w:abstractNumId="7">
    <w:nsid w:val="54F403B5"/>
    <w:multiLevelType w:val="singleLevel"/>
    <w:tmpl w:val="54F403B5"/>
    <w:lvl w:ilvl="0" w:tentative="0">
      <w:start w:val="1"/>
      <w:numFmt w:val="chineseCounting"/>
      <w:suff w:val="nothing"/>
      <w:lvlText w:val="%1、"/>
      <w:lvlJc w:val="left"/>
      <w:pPr>
        <w:ind w:left="0" w:firstLine="0"/>
      </w:pPr>
    </w:lvl>
  </w:abstractNum>
  <w:abstractNum w:abstractNumId="8">
    <w:nsid w:val="557FD3DA"/>
    <w:multiLevelType w:val="singleLevel"/>
    <w:tmpl w:val="557FD3DA"/>
    <w:lvl w:ilvl="0" w:tentative="0">
      <w:start w:val="3"/>
      <w:numFmt w:val="chineseCounting"/>
      <w:suff w:val="nothing"/>
      <w:lvlText w:val="%1、"/>
      <w:lvlJc w:val="left"/>
      <w:pPr>
        <w:ind w:left="0" w:firstLine="0"/>
      </w:pPr>
    </w:lvl>
  </w:abstractNum>
  <w:abstractNum w:abstractNumId="9">
    <w:nsid w:val="6FAF5237"/>
    <w:multiLevelType w:val="multilevel"/>
    <w:tmpl w:val="6FAF5237"/>
    <w:lvl w:ilvl="0" w:tentative="0">
      <w:start w:val="1"/>
      <w:numFmt w:val="decimal"/>
      <w:pStyle w:val="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9"/>
  </w:num>
  <w:num w:numId="2">
    <w:abstractNumId w:val="2"/>
  </w:num>
  <w:num w:numId="3">
    <w:abstractNumId w:val="4"/>
  </w:num>
  <w:num w:numId="4">
    <w:abstractNumId w:val="1"/>
  </w:num>
  <w:num w:numId="5">
    <w:abstractNumId w:val="6"/>
  </w:num>
  <w:num w:numId="6">
    <w:abstractNumId w:val="5"/>
    <w:lvlOverride w:ilvl="0">
      <w:startOverride w:val="1"/>
      <w:lvl w:ilvl="0" w:tentative="1">
        <w:start w:val="1"/>
        <w:numFmt w:val="decimal"/>
        <w:lvlText w:val="%1."/>
        <w:lvlJc w:val="left"/>
        <w:pPr>
          <w:ind w:left="635" w:hanging="425"/>
        </w:pPr>
        <w:rPr>
          <w:rFonts w:hint="default" w:ascii="Times New Roman" w:hAnsi="Times New Roman"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7">
    <w:abstractNumId w:val="5"/>
    <w:lvlOverride w:ilvl="0">
      <w:startOverride w:val="1"/>
      <w:lvl w:ilvl="0" w:tentative="1">
        <w:start w:val="1"/>
        <w:numFmt w:val="decimal"/>
        <w:lvlText w:val="%1."/>
        <w:lvlJc w:val="left"/>
        <w:pPr>
          <w:ind w:left="635" w:hanging="425"/>
        </w:pPr>
        <w:rPr>
          <w:rFonts w:hint="default" w:ascii="Times New Roman" w:hAnsi="Times New Roman"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8">
    <w:abstractNumId w:val="7"/>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DcwOTU4MzlhNzIyZWI3ODYzM2ZhMWYyYjVlMTAzZGYifQ=="/>
  </w:docVars>
  <w:rsids>
    <w:rsidRoot w:val="00000000"/>
    <w:rsid w:val="026C22B5"/>
    <w:rsid w:val="105772C0"/>
    <w:rsid w:val="164D7B90"/>
    <w:rsid w:val="1CDB4576"/>
    <w:rsid w:val="319678C9"/>
    <w:rsid w:val="3E3548C0"/>
    <w:rsid w:val="57A73177"/>
    <w:rsid w:val="6DA65E18"/>
    <w:rsid w:val="7CCE5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autoRedefine/>
    <w:qFormat/>
    <w:uiPriority w:val="0"/>
    <w:pPr>
      <w:keepNext/>
      <w:pageBreakBefore/>
      <w:widowControl/>
      <w:numPr>
        <w:ilvl w:val="0"/>
        <w:numId w:val="1"/>
      </w:numPr>
      <w:spacing w:before="240" w:after="120"/>
      <w:jc w:val="left"/>
      <w:outlineLvl w:val="0"/>
    </w:pPr>
    <w:rPr>
      <w:b/>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keepLines/>
      <w:widowControl w:val="0"/>
      <w:spacing w:before="260" w:after="260" w:line="413" w:lineRule="auto"/>
      <w:outlineLvl w:val="2"/>
    </w:pPr>
    <w:rPr>
      <w:b/>
      <w:sz w:val="32"/>
    </w:rPr>
  </w:style>
  <w:style w:type="paragraph" w:styleId="8">
    <w:name w:val="heading 5"/>
    <w:basedOn w:val="1"/>
    <w:next w:val="1"/>
    <w:autoRedefine/>
    <w:qFormat/>
    <w:uiPriority w:val="0"/>
    <w:pPr>
      <w:keepNext/>
      <w:widowControl w:val="0"/>
      <w:autoSpaceDE w:val="0"/>
      <w:autoSpaceDN w:val="0"/>
      <w:adjustRightInd w:val="0"/>
      <w:snapToGrid w:val="0"/>
      <w:spacing w:before="280" w:after="290" w:line="377" w:lineRule="auto"/>
      <w:outlineLvl w:val="4"/>
    </w:pPr>
    <w:rPr>
      <w:rFonts w:ascii="宋体" w:cs="宋体"/>
      <w:b/>
      <w:color w:val="000000"/>
      <w:kern w:val="0"/>
      <w:sz w:val="28"/>
    </w:rPr>
  </w:style>
  <w:style w:type="character" w:default="1" w:styleId="32">
    <w:name w:val="Default Paragraph Font"/>
    <w:autoRedefine/>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spacing w:line="312" w:lineRule="auto"/>
      <w:ind w:firstLine="420"/>
    </w:pPr>
    <w:rPr>
      <w:szCs w:val="24"/>
    </w:rPr>
  </w:style>
  <w:style w:type="paragraph" w:styleId="3">
    <w:name w:val="Body Text"/>
    <w:basedOn w:val="1"/>
    <w:next w:val="2"/>
    <w:autoRedefine/>
    <w:qFormat/>
    <w:uiPriority w:val="0"/>
    <w:pPr>
      <w:spacing w:after="120"/>
    </w:pPr>
  </w:style>
  <w:style w:type="paragraph" w:styleId="4">
    <w:name w:val="toc 6"/>
    <w:basedOn w:val="1"/>
    <w:next w:val="1"/>
    <w:autoRedefine/>
    <w:qFormat/>
    <w:uiPriority w:val="0"/>
    <w:pPr>
      <w:ind w:left="1050"/>
      <w:jc w:val="left"/>
    </w:pPr>
    <w:rPr>
      <w:rFonts w:ascii="Century Gothic" w:hAnsi="Century Gothic"/>
      <w:sz w:val="18"/>
      <w:szCs w:val="18"/>
    </w:rPr>
  </w:style>
  <w:style w:type="paragraph" w:styleId="9">
    <w:name w:val="List Number"/>
    <w:basedOn w:val="1"/>
    <w:next w:val="10"/>
    <w:autoRedefine/>
    <w:qFormat/>
    <w:uiPriority w:val="0"/>
    <w:pPr>
      <w:numPr>
        <w:ilvl w:val="0"/>
        <w:numId w:val="2"/>
      </w:numPr>
    </w:pPr>
  </w:style>
  <w:style w:type="paragraph" w:styleId="10">
    <w:name w:val="Balloon Text"/>
    <w:basedOn w:val="1"/>
    <w:next w:val="11"/>
    <w:autoRedefine/>
    <w:qFormat/>
    <w:uiPriority w:val="0"/>
    <w:rPr>
      <w:sz w:val="18"/>
      <w:szCs w:val="18"/>
    </w:rPr>
  </w:style>
  <w:style w:type="paragraph" w:styleId="11">
    <w:name w:val="toc 8"/>
    <w:basedOn w:val="1"/>
    <w:next w:val="1"/>
    <w:autoRedefine/>
    <w:qFormat/>
    <w:uiPriority w:val="0"/>
    <w:pPr>
      <w:ind w:left="1400" w:leftChars="1400"/>
    </w:pPr>
    <w:rPr>
      <w:rFonts w:ascii="等线" w:hAnsi="等线" w:eastAsia="等线"/>
    </w:rPr>
  </w:style>
  <w:style w:type="paragraph" w:styleId="12">
    <w:name w:val="Normal Indent"/>
    <w:basedOn w:val="1"/>
    <w:next w:val="1"/>
    <w:autoRedefine/>
    <w:qFormat/>
    <w:uiPriority w:val="0"/>
    <w:pPr>
      <w:wordWrap w:val="0"/>
      <w:ind w:left="1096"/>
    </w:pPr>
  </w:style>
  <w:style w:type="paragraph" w:styleId="13">
    <w:name w:val="annotation text"/>
    <w:basedOn w:val="1"/>
    <w:next w:val="9"/>
    <w:autoRedefine/>
    <w:qFormat/>
    <w:uiPriority w:val="0"/>
    <w:pPr>
      <w:jc w:val="left"/>
    </w:pPr>
    <w:rPr>
      <w:rFonts w:ascii="Times New Roman" w:hAnsi="Times New Roman" w:eastAsia="宋体" w:cs="Times New Roman"/>
      <w:sz w:val="21"/>
      <w:szCs w:val="22"/>
      <w:lang w:val="en-US" w:eastAsia="zh-CN" w:bidi="ar-SA"/>
    </w:rPr>
  </w:style>
  <w:style w:type="paragraph" w:styleId="14">
    <w:name w:val="Body Text Indent"/>
    <w:basedOn w:val="1"/>
    <w:next w:val="9"/>
    <w:autoRedefine/>
    <w:qFormat/>
    <w:uiPriority w:val="0"/>
    <w:pPr>
      <w:spacing w:line="200" w:lineRule="exact"/>
      <w:ind w:firstLine="301"/>
    </w:pPr>
    <w:rPr>
      <w:rFonts w:ascii="宋体" w:hAnsi="Courier New"/>
      <w:spacing w:val="-4"/>
      <w:sz w:val="18"/>
    </w:rPr>
  </w:style>
  <w:style w:type="paragraph" w:styleId="15">
    <w:name w:val="Block Text"/>
    <w:basedOn w:val="1"/>
    <w:autoRedefine/>
    <w:qFormat/>
    <w:uiPriority w:val="0"/>
    <w:pPr>
      <w:spacing w:after="120" w:line="360" w:lineRule="auto"/>
      <w:ind w:left="700" w:leftChars="700" w:right="700" w:rightChars="700"/>
    </w:pPr>
    <w:rPr>
      <w:sz w:val="24"/>
      <w:szCs w:val="24"/>
    </w:rPr>
  </w:style>
  <w:style w:type="paragraph" w:styleId="16">
    <w:name w:val="Plain Text"/>
    <w:basedOn w:val="1"/>
    <w:autoRedefine/>
    <w:qFormat/>
    <w:uiPriority w:val="0"/>
    <w:pPr>
      <w:spacing w:before="50" w:beforeLines="50" w:after="50" w:afterLines="50" w:line="400" w:lineRule="exact"/>
    </w:pPr>
    <w:rPr>
      <w:rFonts w:ascii="宋体" w:hAnsi="Courier New"/>
      <w:sz w:val="24"/>
      <w:szCs w:val="24"/>
    </w:rPr>
  </w:style>
  <w:style w:type="paragraph" w:styleId="17">
    <w:name w:val="Date"/>
    <w:basedOn w:val="1"/>
    <w:next w:val="1"/>
    <w:autoRedefine/>
    <w:qFormat/>
    <w:uiPriority w:val="0"/>
    <w:pPr>
      <w:ind w:left="2500" w:leftChars="2500"/>
    </w:pPr>
    <w:rPr>
      <w:rFonts w:eastAsia="楷体_GB2312"/>
      <w:sz w:val="32"/>
    </w:rPr>
  </w:style>
  <w:style w:type="paragraph" w:styleId="18">
    <w:name w:val="Body Text Indent 2"/>
    <w:basedOn w:val="1"/>
    <w:autoRedefine/>
    <w:qFormat/>
    <w:uiPriority w:val="0"/>
    <w:pPr>
      <w:widowControl/>
      <w:spacing w:line="480" w:lineRule="atLeast"/>
      <w:ind w:firstLine="480"/>
    </w:pPr>
    <w:rPr>
      <w:rFonts w:ascii="宋体" w:hAnsi="Calibri" w:cs="宋体"/>
      <w:kern w:val="0"/>
      <w:sz w:val="24"/>
      <w:szCs w:val="24"/>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22">
    <w:name w:val="toc 1"/>
    <w:basedOn w:val="23"/>
    <w:next w:val="1"/>
    <w:autoRedefine/>
    <w:qFormat/>
    <w:uiPriority w:val="0"/>
    <w:rPr>
      <w:szCs w:val="24"/>
    </w:rPr>
  </w:style>
  <w:style w:type="paragraph" w:styleId="23">
    <w:name w:val="index 1"/>
    <w:basedOn w:val="1"/>
    <w:next w:val="1"/>
    <w:autoRedefine/>
    <w:qFormat/>
    <w:uiPriority w:val="0"/>
    <w:pPr>
      <w:spacing w:line="220" w:lineRule="exact"/>
      <w:jc w:val="center"/>
    </w:pPr>
    <w:rPr>
      <w:rFonts w:ascii="仿宋_GB2312" w:eastAsia="仿宋_GB2312"/>
      <w:szCs w:val="21"/>
    </w:rPr>
  </w:style>
  <w:style w:type="paragraph" w:styleId="24">
    <w:name w:val="toc 4"/>
    <w:basedOn w:val="1"/>
    <w:next w:val="1"/>
    <w:autoRedefine/>
    <w:qFormat/>
    <w:uiPriority w:val="0"/>
    <w:pPr>
      <w:ind w:left="600" w:leftChars="600"/>
    </w:pPr>
    <w:rPr>
      <w:rFonts w:ascii="Calibri" w:hAnsi="Calibri"/>
      <w:szCs w:val="22"/>
    </w:rPr>
  </w:style>
  <w:style w:type="paragraph" w:styleId="25">
    <w:name w:val="Body Text Indent 3"/>
    <w:basedOn w:val="1"/>
    <w:autoRedefine/>
    <w:qFormat/>
    <w:uiPriority w:val="0"/>
    <w:pPr>
      <w:snapToGrid w:val="0"/>
      <w:ind w:firstLine="200" w:firstLineChars="200"/>
      <w:jc w:val="left"/>
    </w:pPr>
    <w:rPr>
      <w:rFonts w:ascii="仿宋_GB2312" w:hAnsi="宋体" w:eastAsia="仿宋_GB2312"/>
      <w:color w:val="000000"/>
      <w:sz w:val="24"/>
      <w:szCs w:val="24"/>
    </w:rPr>
  </w:style>
  <w:style w:type="paragraph" w:styleId="26">
    <w:name w:val="toc 2"/>
    <w:basedOn w:val="1"/>
    <w:next w:val="1"/>
    <w:autoRedefine/>
    <w:qFormat/>
    <w:uiPriority w:val="0"/>
    <w:pPr>
      <w:ind w:left="200" w:leftChars="200"/>
    </w:pPr>
  </w:style>
  <w:style w:type="paragraph" w:styleId="27">
    <w:name w:val="Normal (Web)"/>
    <w:basedOn w:val="1"/>
    <w:autoRedefine/>
    <w:qFormat/>
    <w:uiPriority w:val="0"/>
    <w:pPr>
      <w:widowControl/>
      <w:jc w:val="left"/>
    </w:pPr>
    <w:rPr>
      <w:rFonts w:ascii="宋体" w:hAnsi="宋体" w:cs="宋体"/>
      <w:kern w:val="0"/>
      <w:sz w:val="22"/>
      <w:szCs w:val="22"/>
    </w:rPr>
  </w:style>
  <w:style w:type="paragraph" w:styleId="28">
    <w:name w:val="Title"/>
    <w:basedOn w:val="1"/>
    <w:next w:val="1"/>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9">
    <w:name w:val="annotation subject"/>
    <w:basedOn w:val="13"/>
    <w:next w:val="13"/>
    <w:autoRedefine/>
    <w:qFormat/>
    <w:uiPriority w:val="0"/>
    <w:rPr>
      <w:b/>
      <w:bCs/>
    </w:rPr>
  </w:style>
  <w:style w:type="paragraph" w:styleId="30">
    <w:name w:val="Body Text First Indent 2"/>
    <w:basedOn w:val="14"/>
    <w:next w:val="2"/>
    <w:autoRedefine/>
    <w:qFormat/>
    <w:uiPriority w:val="0"/>
    <w:pPr>
      <w:spacing w:after="120" w:line="240" w:lineRule="auto"/>
      <w:ind w:left="200" w:leftChars="200" w:firstLine="200" w:firstLineChars="200"/>
    </w:pPr>
    <w:rPr>
      <w:rFonts w:ascii="Times New Roman" w:hAnsi="Times New Roman"/>
      <w:spacing w:val="0"/>
      <w:sz w:val="21"/>
      <w:szCs w:val="24"/>
    </w:rPr>
  </w:style>
  <w:style w:type="character" w:styleId="33">
    <w:name w:val="Strong"/>
    <w:autoRedefine/>
    <w:qFormat/>
    <w:uiPriority w:val="0"/>
  </w:style>
  <w:style w:type="character" w:styleId="34">
    <w:name w:val="page number"/>
    <w:autoRedefine/>
    <w:qFormat/>
    <w:uiPriority w:val="0"/>
  </w:style>
  <w:style w:type="character" w:styleId="35">
    <w:name w:val="FollowedHyperlink"/>
    <w:autoRedefine/>
    <w:qFormat/>
    <w:uiPriority w:val="0"/>
    <w:rPr>
      <w:color w:val="4A4A4A"/>
      <w:u w:val="none"/>
    </w:rPr>
  </w:style>
  <w:style w:type="character" w:styleId="36">
    <w:name w:val="Emphasis"/>
    <w:autoRedefine/>
    <w:qFormat/>
    <w:uiPriority w:val="0"/>
  </w:style>
  <w:style w:type="character" w:styleId="37">
    <w:name w:val="HTML Definition"/>
    <w:autoRedefine/>
    <w:qFormat/>
    <w:uiPriority w:val="0"/>
  </w:style>
  <w:style w:type="character" w:styleId="38">
    <w:name w:val="HTML Typewriter"/>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autoRedefine/>
    <w:qFormat/>
    <w:uiPriority w:val="0"/>
  </w:style>
  <w:style w:type="character" w:styleId="41">
    <w:name w:val="Hyperlink"/>
    <w:autoRedefine/>
    <w:qFormat/>
    <w:uiPriority w:val="0"/>
    <w:rPr>
      <w:color w:val="136EC2"/>
      <w:u w:val="none"/>
    </w:rPr>
  </w:style>
  <w:style w:type="character" w:styleId="42">
    <w:name w:val="HTML Code"/>
    <w:autoRedefine/>
    <w:qFormat/>
    <w:uiPriority w:val="0"/>
    <w:rPr>
      <w:rFonts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autoRedefine/>
    <w:qFormat/>
    <w:uiPriority w:val="0"/>
  </w:style>
  <w:style w:type="character" w:styleId="45">
    <w:name w:val="HTML Keyboard"/>
    <w:autoRedefine/>
    <w:qFormat/>
    <w:uiPriority w:val="0"/>
    <w:rPr>
      <w:rFonts w:ascii="monospace" w:hAnsi="monospace" w:eastAsia="monospace" w:cs="monospace"/>
      <w:sz w:val="20"/>
    </w:rPr>
  </w:style>
  <w:style w:type="character" w:styleId="46">
    <w:name w:val="HTML Sample"/>
    <w:autoRedefine/>
    <w:qFormat/>
    <w:uiPriority w:val="0"/>
    <w:rPr>
      <w:rFonts w:ascii="monospace" w:hAnsi="monospace" w:eastAsia="monospace" w:cs="monospace"/>
    </w:rPr>
  </w:style>
  <w:style w:type="paragraph" w:customStyle="1" w:styleId="47">
    <w:name w:val="表格文字"/>
    <w:basedOn w:val="16"/>
    <w:next w:val="3"/>
    <w:autoRedefine/>
    <w:qFormat/>
    <w:uiPriority w:val="0"/>
    <w:pPr>
      <w:jc w:val="left"/>
    </w:pPr>
    <w:rPr>
      <w:kern w:val="21"/>
      <w:szCs w:val="21"/>
    </w:rPr>
  </w:style>
  <w:style w:type="paragraph" w:customStyle="1" w:styleId="48">
    <w:name w:val="Body Text Indent1"/>
    <w:basedOn w:val="1"/>
    <w:autoRedefine/>
    <w:qFormat/>
    <w:uiPriority w:val="0"/>
    <w:pPr>
      <w:spacing w:line="200" w:lineRule="exact"/>
      <w:ind w:firstLine="301"/>
    </w:pPr>
    <w:rPr>
      <w:rFonts w:ascii="宋体" w:hAnsi="Courier New"/>
      <w:spacing w:val="-4"/>
      <w:sz w:val="18"/>
    </w:rPr>
  </w:style>
  <w:style w:type="paragraph" w:customStyle="1" w:styleId="49">
    <w:name w:val="Body Text First Indent 21"/>
    <w:basedOn w:val="48"/>
    <w:autoRedefine/>
    <w:qFormat/>
    <w:uiPriority w:val="0"/>
    <w:pPr>
      <w:spacing w:after="120" w:line="240" w:lineRule="auto"/>
      <w:ind w:left="200" w:leftChars="200" w:firstLine="200" w:firstLineChars="200"/>
    </w:pPr>
    <w:rPr>
      <w:sz w:val="21"/>
    </w:rPr>
  </w:style>
  <w:style w:type="paragraph" w:customStyle="1" w:styleId="50">
    <w:name w:val="style4"/>
    <w:basedOn w:val="1"/>
    <w:next w:val="51"/>
    <w:autoRedefine/>
    <w:qFormat/>
    <w:uiPriority w:val="0"/>
    <w:pPr>
      <w:widowControl/>
      <w:spacing w:before="280" w:after="280"/>
    </w:pPr>
    <w:rPr>
      <w:rFonts w:ascii="宋体"/>
      <w:sz w:val="18"/>
    </w:rPr>
  </w:style>
  <w:style w:type="paragraph" w:customStyle="1" w:styleId="5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52">
    <w:name w:val="font01"/>
    <w:autoRedefine/>
    <w:qFormat/>
    <w:uiPriority w:val="0"/>
    <w:rPr>
      <w:rFonts w:ascii="宋体" w:hAnsi="宋体" w:eastAsia="宋体" w:cs="宋体"/>
      <w:color w:val="FF0000"/>
      <w:sz w:val="24"/>
      <w:szCs w:val="24"/>
      <w:u w:val="none"/>
    </w:rPr>
  </w:style>
  <w:style w:type="character" w:customStyle="1" w:styleId="53">
    <w:name w:val="font51"/>
    <w:autoRedefine/>
    <w:qFormat/>
    <w:uiPriority w:val="0"/>
    <w:rPr>
      <w:rFonts w:ascii="Symbol" w:hAnsi="Symbol" w:cs="Symbol"/>
      <w:color w:val="000000"/>
      <w:sz w:val="20"/>
      <w:szCs w:val="20"/>
      <w:u w:val="none"/>
    </w:rPr>
  </w:style>
  <w:style w:type="character" w:customStyle="1" w:styleId="54">
    <w:name w:val="font21"/>
    <w:autoRedefine/>
    <w:qFormat/>
    <w:uiPriority w:val="0"/>
    <w:rPr>
      <w:rFonts w:ascii="宋体" w:hAnsi="宋体" w:eastAsia="宋体" w:cs="宋体"/>
      <w:color w:val="FF0000"/>
      <w:sz w:val="24"/>
      <w:szCs w:val="24"/>
      <w:u w:val="none"/>
    </w:rPr>
  </w:style>
  <w:style w:type="character" w:customStyle="1" w:styleId="55">
    <w:name w:val="font11"/>
    <w:autoRedefine/>
    <w:qFormat/>
    <w:uiPriority w:val="0"/>
    <w:rPr>
      <w:rFonts w:ascii="宋体" w:hAnsi="宋体" w:eastAsia="宋体" w:cs="宋体"/>
      <w:color w:val="000000"/>
      <w:sz w:val="24"/>
      <w:szCs w:val="24"/>
      <w:u w:val="none"/>
    </w:rPr>
  </w:style>
  <w:style w:type="character" w:customStyle="1" w:styleId="56">
    <w:name w:val="btn-task-gray"/>
    <w:autoRedefine/>
    <w:qFormat/>
    <w:uiPriority w:val="0"/>
    <w:rPr>
      <w:color w:val="FFFFFF"/>
      <w:u w:val="none"/>
      <w:shd w:val="clear" w:color="auto" w:fill="CCCCCC"/>
    </w:rPr>
  </w:style>
  <w:style w:type="character" w:customStyle="1" w:styleId="57">
    <w:name w:val="btn-task-gray1"/>
    <w:autoRedefine/>
    <w:qFormat/>
    <w:uiPriority w:val="0"/>
  </w:style>
  <w:style w:type="character" w:customStyle="1" w:styleId="58">
    <w:name w:val="s1"/>
    <w:autoRedefine/>
    <w:qFormat/>
    <w:uiPriority w:val="0"/>
    <w:rPr>
      <w:color w:val="DDDDDD"/>
      <w:sz w:val="14"/>
      <w:szCs w:val="14"/>
    </w:rPr>
  </w:style>
  <w:style w:type="character" w:customStyle="1" w:styleId="59">
    <w:name w:val="NormalCharacter"/>
    <w:autoRedefine/>
    <w:qFormat/>
    <w:uiPriority w:val="0"/>
  </w:style>
  <w:style w:type="character" w:customStyle="1" w:styleId="60">
    <w:name w:val="btn-auto-1"/>
    <w:autoRedefine/>
    <w:qFormat/>
    <w:uiPriority w:val="0"/>
  </w:style>
  <w:style w:type="character" w:customStyle="1" w:styleId="61">
    <w:name w:val="font71"/>
    <w:autoRedefine/>
    <w:qFormat/>
    <w:uiPriority w:val="0"/>
    <w:rPr>
      <w:rFonts w:ascii="宋体" w:hAnsi="宋体" w:eastAsia="宋体" w:cs="宋体"/>
      <w:color w:val="FF0000"/>
      <w:sz w:val="24"/>
      <w:szCs w:val="24"/>
      <w:u w:val="none"/>
    </w:rPr>
  </w:style>
  <w:style w:type="character" w:customStyle="1" w:styleId="62">
    <w:name w:val="font31"/>
    <w:autoRedefine/>
    <w:qFormat/>
    <w:uiPriority w:val="0"/>
    <w:rPr>
      <w:rFonts w:ascii="宋体" w:hAnsi="宋体" w:eastAsia="宋体" w:cs="宋体"/>
      <w:color w:val="000000"/>
      <w:sz w:val="20"/>
      <w:szCs w:val="20"/>
      <w:u w:val="none"/>
    </w:rPr>
  </w:style>
  <w:style w:type="character" w:customStyle="1" w:styleId="63">
    <w:name w:val="font41"/>
    <w:autoRedefine/>
    <w:qFormat/>
    <w:uiPriority w:val="0"/>
    <w:rPr>
      <w:rFonts w:ascii="宋体" w:hAnsi="宋体" w:eastAsia="宋体" w:cs="宋体"/>
      <w:color w:val="000000"/>
      <w:sz w:val="20"/>
      <w:szCs w:val="20"/>
      <w:u w:val="none"/>
    </w:rPr>
  </w:style>
  <w:style w:type="paragraph" w:customStyle="1" w:styleId="64">
    <w:name w:val="国普正文"/>
    <w:autoRedefine/>
    <w:qFormat/>
    <w:uiPriority w:val="0"/>
    <w:pPr>
      <w:widowControl w:val="0"/>
      <w:spacing w:line="360" w:lineRule="auto"/>
      <w:ind w:firstLine="200" w:firstLineChars="200"/>
      <w:jc w:val="both"/>
    </w:pPr>
    <w:rPr>
      <w:rFonts w:ascii="仿宋_GB2312" w:hAnsi="Times New Roman" w:eastAsia="仿宋_GB2312" w:cs="Times New Roman"/>
      <w:kern w:val="2"/>
      <w:sz w:val="30"/>
      <w:szCs w:val="30"/>
      <w:lang w:val="en-US" w:eastAsia="zh-CN" w:bidi="ar-SA"/>
    </w:rPr>
  </w:style>
  <w:style w:type="paragraph" w:customStyle="1" w:styleId="65">
    <w:name w:val="正文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66">
    <w:name w:val="纯文本1"/>
    <w:basedOn w:val="65"/>
    <w:autoRedefine/>
    <w:qFormat/>
    <w:uiPriority w:val="0"/>
    <w:pPr>
      <w:widowControl/>
      <w:jc w:val="left"/>
    </w:pPr>
    <w:rPr>
      <w:rFonts w:ascii="宋体" w:hAnsi="Courier New" w:cs="宋体"/>
    </w:rPr>
  </w:style>
  <w:style w:type="paragraph" w:customStyle="1" w:styleId="67">
    <w:name w:val="_Style 3"/>
    <w:basedOn w:val="1"/>
    <w:next w:val="1"/>
    <w:autoRedefine/>
    <w:qFormat/>
    <w:uiPriority w:val="0"/>
    <w:pPr>
      <w:pBdr>
        <w:bottom w:val="single" w:color="auto" w:sz="6" w:space="1"/>
      </w:pBdr>
      <w:jc w:val="center"/>
    </w:pPr>
    <w:rPr>
      <w:rFonts w:ascii="Arial" w:hAnsi="Arial"/>
      <w:vanish/>
      <w:sz w:val="16"/>
    </w:rPr>
  </w:style>
  <w:style w:type="paragraph" w:customStyle="1" w:styleId="68">
    <w:name w:val="UserStyle_78"/>
    <w:basedOn w:val="1"/>
    <w:autoRedefine/>
    <w:qFormat/>
    <w:uiPriority w:val="0"/>
    <w:pPr>
      <w:ind w:firstLine="200" w:firstLineChars="200"/>
    </w:pPr>
    <w:rPr>
      <w:rFonts w:ascii="Calibri" w:hAnsi="Calibri" w:eastAsia="仿宋_GB2312"/>
      <w:b/>
      <w:color w:val="000000"/>
      <w:kern w:val="0"/>
    </w:rPr>
  </w:style>
  <w:style w:type="paragraph" w:customStyle="1" w:styleId="69">
    <w:name w:val="章正文"/>
    <w:basedOn w:val="1"/>
    <w:autoRedefine/>
    <w:qFormat/>
    <w:uiPriority w:val="0"/>
    <w:pPr>
      <w:spacing w:before="50" w:beforeLines="50" w:after="120" w:line="300" w:lineRule="auto"/>
      <w:ind w:firstLine="480"/>
    </w:pPr>
    <w:rPr>
      <w:rFonts w:ascii="Helvetica" w:hAnsi="Helvetica"/>
      <w:kern w:val="0"/>
      <w:sz w:val="24"/>
    </w:rPr>
  </w:style>
  <w:style w:type="paragraph" w:customStyle="1" w:styleId="70">
    <w:name w:val="List Paragraph1"/>
    <w:basedOn w:val="1"/>
    <w:autoRedefine/>
    <w:qFormat/>
    <w:uiPriority w:val="0"/>
    <w:pPr>
      <w:ind w:firstLine="200" w:firstLineChars="200"/>
    </w:pPr>
    <w:rPr>
      <w:rFonts w:ascii="等线" w:hAnsi="等线" w:eastAsia="等线"/>
      <w:szCs w:val="21"/>
    </w:rPr>
  </w:style>
  <w:style w:type="paragraph" w:customStyle="1" w:styleId="71">
    <w:name w:val="reader-word-layer"/>
    <w:basedOn w:val="1"/>
    <w:autoRedefine/>
    <w:qFormat/>
    <w:uiPriority w:val="0"/>
    <w:pPr>
      <w:widowControl/>
      <w:spacing w:before="100" w:beforeAutospacing="1" w:after="100" w:afterAutospacing="1"/>
    </w:pPr>
    <w:rPr>
      <w:rFonts w:hAnsi="宋体" w:cs="宋体"/>
      <w:sz w:val="24"/>
      <w:szCs w:val="24"/>
    </w:rPr>
  </w:style>
  <w:style w:type="paragraph" w:customStyle="1" w:styleId="72">
    <w:name w:val="表格内容"/>
    <w:basedOn w:val="1"/>
    <w:autoRedefine/>
    <w:qFormat/>
    <w:uiPriority w:val="0"/>
    <w:pPr>
      <w:jc w:val="center"/>
    </w:pPr>
    <w:rPr>
      <w:sz w:val="24"/>
    </w:rPr>
  </w:style>
  <w:style w:type="paragraph" w:customStyle="1" w:styleId="73">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74">
    <w:name w:val="BodyTextIndent"/>
    <w:basedOn w:val="1"/>
    <w:next w:val="75"/>
    <w:autoRedefine/>
    <w:qFormat/>
    <w:uiPriority w:val="0"/>
    <w:pPr>
      <w:spacing w:line="200" w:lineRule="exact"/>
      <w:ind w:firstLine="301"/>
      <w:textAlignment w:val="baseline"/>
    </w:pPr>
    <w:rPr>
      <w:rFonts w:ascii="宋体" w:hAnsi="Courier New"/>
      <w:spacing w:val="-4"/>
      <w:sz w:val="18"/>
    </w:rPr>
  </w:style>
  <w:style w:type="paragraph" w:customStyle="1" w:styleId="75">
    <w:name w:val="NormalIndent"/>
    <w:basedOn w:val="1"/>
    <w:next w:val="74"/>
    <w:autoRedefine/>
    <w:qFormat/>
    <w:uiPriority w:val="0"/>
    <w:pPr>
      <w:ind w:firstLine="420"/>
      <w:textAlignment w:val="baseline"/>
    </w:pPr>
  </w:style>
  <w:style w:type="paragraph" w:customStyle="1" w:styleId="76">
    <w:name w:val="BodyText"/>
    <w:basedOn w:val="1"/>
    <w:autoRedefine/>
    <w:qFormat/>
    <w:uiPriority w:val="0"/>
    <w:pPr>
      <w:spacing w:after="120"/>
    </w:pPr>
  </w:style>
  <w:style w:type="paragraph" w:customStyle="1" w:styleId="77">
    <w:name w:val="[Normal]"/>
    <w:autoRedefine/>
    <w:qFormat/>
    <w:uiPriority w:val="0"/>
    <w:rPr>
      <w:rFonts w:ascii="宋体" w:hAnsi="宋体" w:eastAsia="宋体" w:cs="Times New Roman"/>
      <w:sz w:val="24"/>
      <w:szCs w:val="22"/>
      <w:lang w:val="zh-CN" w:eastAsia="zh-CN" w:bidi="ar-SA"/>
    </w:rPr>
  </w:style>
  <w:style w:type="paragraph" w:customStyle="1" w:styleId="78">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79">
    <w:name w:val="正文2"/>
    <w:basedOn w:val="1"/>
    <w:autoRedefine/>
    <w:qFormat/>
    <w:uiPriority w:val="0"/>
    <w:pPr>
      <w:snapToGrid w:val="0"/>
      <w:spacing w:before="60" w:line="460" w:lineRule="exact"/>
      <w:jc w:val="center"/>
    </w:pPr>
    <w:rPr>
      <w:sz w:val="24"/>
    </w:rPr>
  </w:style>
  <w:style w:type="paragraph" w:customStyle="1" w:styleId="80">
    <w:name w:val="Plain Text1"/>
    <w:basedOn w:val="1"/>
    <w:autoRedefine/>
    <w:qFormat/>
    <w:uiPriority w:val="0"/>
    <w:rPr>
      <w:rFonts w:ascii="宋体" w:hAnsi="Courier New"/>
    </w:rPr>
  </w:style>
  <w:style w:type="paragraph" w:customStyle="1" w:styleId="81">
    <w:name w:val="段"/>
    <w:basedOn w:val="1"/>
    <w:autoRedefine/>
    <w:qFormat/>
    <w:uiPriority w:val="0"/>
    <w:pPr>
      <w:widowControl/>
      <w:autoSpaceDE w:val="0"/>
      <w:autoSpaceDN w:val="0"/>
      <w:ind w:firstLine="200" w:firstLineChars="200"/>
    </w:pPr>
    <w:rPr>
      <w:rFonts w:ascii="宋体" w:hAnsi="Calibri"/>
      <w:kern w:val="0"/>
      <w:szCs w:val="21"/>
    </w:rPr>
  </w:style>
  <w:style w:type="paragraph" w:customStyle="1" w:styleId="82">
    <w:name w:val="Normal_0_2"/>
    <w:autoRedefine/>
    <w:qFormat/>
    <w:uiPriority w:val="0"/>
    <w:rPr>
      <w:rFonts w:ascii="Times New Roman" w:hAnsi="Times New Roman" w:eastAsia="Times New Roman" w:cs="Times New Roman"/>
      <w:sz w:val="24"/>
      <w:szCs w:val="24"/>
      <w:lang w:val="zh-CN" w:eastAsia="zh-CN" w:bidi="ar-SA"/>
    </w:rPr>
  </w:style>
  <w:style w:type="paragraph" w:customStyle="1" w:styleId="83">
    <w:name w:val="BodyText1I2"/>
    <w:basedOn w:val="74"/>
    <w:autoRedefine/>
    <w:qFormat/>
    <w:uiPriority w:val="0"/>
    <w:pPr>
      <w:ind w:firstLine="200" w:firstLineChars="200"/>
    </w:pPr>
  </w:style>
  <w:style w:type="paragraph" w:styleId="84">
    <w:name w:val="List Paragraph"/>
    <w:basedOn w:val="1"/>
    <w:autoRedefine/>
    <w:qFormat/>
    <w:uiPriority w:val="0"/>
    <w:pPr>
      <w:ind w:firstLine="200" w:firstLineChars="200"/>
    </w:pPr>
  </w:style>
  <w:style w:type="paragraph" w:customStyle="1" w:styleId="85">
    <w:name w:val="Table Paragraph"/>
    <w:basedOn w:val="1"/>
    <w:autoRedefine/>
    <w:qFormat/>
    <w:uiPriority w:val="0"/>
    <w:rPr>
      <w:rFonts w:ascii="宋体" w:hAnsi="宋体" w:cs="宋体"/>
      <w:szCs w:val="22"/>
      <w:lang w:val="zh-CN" w:bidi="zh-CN"/>
    </w:rPr>
  </w:style>
  <w:style w:type="character" w:customStyle="1" w:styleId="86">
    <w:name w:val="font61"/>
    <w:basedOn w:val="32"/>
    <w:autoRedefine/>
    <w:qFormat/>
    <w:uiPriority w:val="0"/>
    <w:rPr>
      <w:rFonts w:ascii="宋体" w:hAnsi="宋体" w:eastAsia="宋体" w:cs="宋体"/>
      <w:color w:val="000000"/>
      <w:sz w:val="20"/>
      <w:szCs w:val="20"/>
      <w:u w:val="none"/>
      <w:vertAlign w:val="superscript"/>
    </w:rPr>
  </w:style>
  <w:style w:type="paragraph" w:styleId="87">
    <w:name w:val="No Spacing"/>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F30D7-F7CA-4221-8507-FD1356500DD4}">
  <ds:schemaRefs/>
</ds:datastoreItem>
</file>

<file path=docProps/app.xml><?xml version="1.0" encoding="utf-8"?>
<Properties xmlns="http://schemas.openxmlformats.org/officeDocument/2006/extended-properties" xmlns:vt="http://schemas.openxmlformats.org/officeDocument/2006/docPropsVTypes">
  <Template>Normal.eit</Template>
  <Pages>61</Pages>
  <Words>41445</Words>
  <Characters>43139</Characters>
  <Lines>0</Lines>
  <Paragraphs>938</Paragraphs>
  <TotalTime>117</TotalTime>
  <ScaleCrop>false</ScaleCrop>
  <LinksUpToDate>false</LinksUpToDate>
  <CharactersWithSpaces>44690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2024-05-14T07:27:00Z</dcterms:created>
  <dc:creator>Administrator</dc:creator>
  <cp:lastModifiedBy>Frizzle</cp:lastModifiedBy>
  <cp:lastPrinted>2025-05-07T01:32:00Z</cp:lastPrinted>
  <dcterms:modified xsi:type="dcterms:W3CDTF">2025-05-20T06:20:37Z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CE332F7C4C594700B898F567AA88284D_13</vt:lpwstr>
  </property>
  <property fmtid="{D5CDD505-2E9C-101B-9397-08002B2CF9AE}" pid="4" name="KSOTemplateDocerSaveRecord">
    <vt:lpwstr>eyJoZGlkIjoiMDcwOTU4MzlhNzIyZWI3ODYzM2ZhMWYyYjVlMTAzZGYiLCJ1c2VySWQiOiIyNzQ0NzUwMTMifQ==</vt:lpwstr>
  </property>
</Properties>
</file>