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04BB0D4">
      <w:pPr>
        <w:jc w:val="center"/>
        <w:rPr>
          <w:rFonts w:hint="eastAsia" w:ascii="宋体" w:hAnsi="宋体"/>
          <w:b/>
          <w:bCs/>
          <w:spacing w:val="100"/>
          <w:sz w:val="56"/>
          <w:szCs w:val="56"/>
        </w:rPr>
      </w:pPr>
    </w:p>
    <w:p w14:paraId="7CD6A442">
      <w:pPr>
        <w:jc w:val="center"/>
        <w:rPr>
          <w:rFonts w:ascii="宋体"/>
          <w:b/>
          <w:bCs/>
          <w:spacing w:val="100"/>
          <w:sz w:val="72"/>
          <w:szCs w:val="72"/>
        </w:rPr>
      </w:pPr>
      <w:r>
        <w:rPr>
          <w:rFonts w:hint="eastAsia" w:ascii="宋体" w:hAnsi="宋体"/>
          <w:b/>
          <w:bCs/>
          <w:sz w:val="72"/>
          <w:szCs w:val="72"/>
        </w:rPr>
        <w:t>泰顺县国企采购</w:t>
      </w:r>
    </w:p>
    <w:p w14:paraId="59B59AAE">
      <w:pPr>
        <w:jc w:val="center"/>
        <w:rPr>
          <w:rFonts w:hint="eastAsia" w:ascii="新宋体" w:hAnsi="新宋体" w:eastAsia="新宋体"/>
          <w:b/>
          <w:bCs/>
          <w:spacing w:val="140"/>
          <w:sz w:val="72"/>
          <w:szCs w:val="72"/>
        </w:rPr>
      </w:pPr>
    </w:p>
    <w:p w14:paraId="504C092E">
      <w:pPr>
        <w:jc w:val="center"/>
        <w:rPr>
          <w:rFonts w:hint="eastAsia" w:ascii="新宋体" w:hAnsi="新宋体" w:eastAsia="新宋体"/>
          <w:b/>
          <w:bCs/>
          <w:spacing w:val="140"/>
          <w:sz w:val="72"/>
          <w:szCs w:val="72"/>
        </w:rPr>
      </w:pPr>
    </w:p>
    <w:p w14:paraId="19D4D257">
      <w:pPr>
        <w:jc w:val="center"/>
        <w:rPr>
          <w:rFonts w:hint="eastAsia" w:ascii="宋体" w:hAnsi="宋体"/>
          <w:b/>
          <w:bCs/>
          <w:sz w:val="72"/>
          <w:szCs w:val="72"/>
        </w:rPr>
      </w:pPr>
      <w:r>
        <w:rPr>
          <w:rFonts w:hint="eastAsia" w:ascii="宋体" w:hAnsi="宋体"/>
          <w:b/>
          <w:bCs/>
          <w:sz w:val="72"/>
          <w:szCs w:val="72"/>
        </w:rPr>
        <w:t>竞争性磋商文件</w:t>
      </w:r>
    </w:p>
    <w:p w14:paraId="0AF23705">
      <w:pPr>
        <w:jc w:val="center"/>
        <w:rPr>
          <w:rFonts w:ascii="宋体"/>
          <w:b/>
          <w:sz w:val="48"/>
          <w:szCs w:val="48"/>
        </w:rPr>
      </w:pPr>
      <w:r>
        <w:rPr>
          <w:rFonts w:hint="eastAsia" w:ascii="宋体"/>
          <w:b/>
          <w:sz w:val="48"/>
          <w:szCs w:val="48"/>
        </w:rPr>
        <w:t>（线上电子招投标）</w:t>
      </w:r>
    </w:p>
    <w:p w14:paraId="207E1642">
      <w:pPr>
        <w:jc w:val="center"/>
        <w:rPr>
          <w:rFonts w:ascii="宋体"/>
          <w:b/>
          <w:sz w:val="72"/>
          <w:szCs w:val="72"/>
        </w:rPr>
      </w:pPr>
    </w:p>
    <w:p w14:paraId="6702F8A8">
      <w:pPr>
        <w:pStyle w:val="24"/>
      </w:pPr>
    </w:p>
    <w:tbl>
      <w:tblPr>
        <w:tblStyle w:val="25"/>
        <w:tblW w:w="86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756"/>
        <w:gridCol w:w="5863"/>
      </w:tblGrid>
      <w:tr w14:paraId="4649C3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756" w:type="dxa"/>
            <w:vAlign w:val="center"/>
          </w:tcPr>
          <w:p w14:paraId="1BE2E80A">
            <w:pPr>
              <w:rPr>
                <w:rFonts w:ascii="宋体"/>
                <w:b/>
                <w:sz w:val="30"/>
                <w:szCs w:val="30"/>
              </w:rPr>
            </w:pPr>
            <w:r>
              <w:rPr>
                <w:rFonts w:hint="eastAsia" w:ascii="宋体" w:hAnsi="宋体"/>
                <w:b/>
                <w:sz w:val="30"/>
                <w:szCs w:val="30"/>
              </w:rPr>
              <w:t>采购编号</w:t>
            </w:r>
          </w:p>
        </w:tc>
        <w:tc>
          <w:tcPr>
            <w:tcW w:w="5863" w:type="dxa"/>
            <w:vAlign w:val="center"/>
          </w:tcPr>
          <w:p w14:paraId="4F704DA2">
            <w:pPr>
              <w:rPr>
                <w:rFonts w:hint="eastAsia" w:ascii="宋体" w:eastAsia="宋体"/>
                <w:b/>
                <w:sz w:val="30"/>
                <w:szCs w:val="30"/>
                <w:lang w:eastAsia="zh-CN"/>
              </w:rPr>
            </w:pPr>
            <w:r>
              <w:rPr>
                <w:rFonts w:hint="eastAsia" w:ascii="宋体"/>
                <w:b/>
                <w:sz w:val="30"/>
                <w:szCs w:val="30"/>
                <w:lang w:eastAsia="zh-CN"/>
              </w:rPr>
              <w:t>TSCG202509006</w:t>
            </w:r>
          </w:p>
        </w:tc>
      </w:tr>
      <w:tr w14:paraId="3E4955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1" w:hRule="atLeast"/>
          <w:jc w:val="center"/>
        </w:trPr>
        <w:tc>
          <w:tcPr>
            <w:tcW w:w="2756" w:type="dxa"/>
            <w:tcBorders>
              <w:top w:val="single" w:color="auto" w:sz="4" w:space="0"/>
              <w:left w:val="single" w:color="auto" w:sz="4" w:space="0"/>
              <w:right w:val="single" w:color="auto" w:sz="4" w:space="0"/>
            </w:tcBorders>
            <w:vAlign w:val="center"/>
          </w:tcPr>
          <w:p w14:paraId="584BF584">
            <w:pPr>
              <w:rPr>
                <w:rFonts w:ascii="宋体"/>
                <w:b/>
                <w:sz w:val="30"/>
                <w:szCs w:val="30"/>
              </w:rPr>
            </w:pPr>
            <w:r>
              <w:rPr>
                <w:rFonts w:hint="eastAsia" w:ascii="宋体" w:hAnsi="宋体"/>
                <w:b/>
                <w:sz w:val="30"/>
                <w:szCs w:val="30"/>
              </w:rPr>
              <w:t>项目名称</w:t>
            </w:r>
          </w:p>
        </w:tc>
        <w:tc>
          <w:tcPr>
            <w:tcW w:w="5863" w:type="dxa"/>
            <w:tcBorders>
              <w:top w:val="single" w:color="auto" w:sz="4" w:space="0"/>
              <w:left w:val="single" w:color="auto" w:sz="4" w:space="0"/>
              <w:right w:val="single" w:color="auto" w:sz="4" w:space="0"/>
            </w:tcBorders>
            <w:vAlign w:val="center"/>
          </w:tcPr>
          <w:p w14:paraId="5B83B370">
            <w:pPr>
              <w:rPr>
                <w:rFonts w:hint="eastAsia" w:ascii="宋体" w:eastAsia="宋体"/>
                <w:b/>
                <w:sz w:val="30"/>
                <w:szCs w:val="30"/>
                <w:lang w:eastAsia="zh-CN"/>
              </w:rPr>
            </w:pPr>
            <w:r>
              <w:rPr>
                <w:rFonts w:hint="eastAsia" w:ascii="宋体" w:hAnsi="宋体"/>
                <w:b/>
                <w:sz w:val="30"/>
                <w:szCs w:val="30"/>
                <w:lang w:eastAsia="zh-CN"/>
              </w:rPr>
              <w:t>时尚体育旅游基础设施提升工程(叶岸山特大桥工程）供配电照明系统(二次)</w:t>
            </w:r>
          </w:p>
        </w:tc>
      </w:tr>
      <w:tr w14:paraId="4D09AB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756" w:type="dxa"/>
            <w:tcBorders>
              <w:top w:val="single" w:color="auto" w:sz="4" w:space="0"/>
              <w:left w:val="single" w:color="auto" w:sz="4" w:space="0"/>
              <w:right w:val="single" w:color="auto" w:sz="4" w:space="0"/>
            </w:tcBorders>
            <w:vAlign w:val="center"/>
          </w:tcPr>
          <w:p w14:paraId="17BC0E60">
            <w:pPr>
              <w:rPr>
                <w:rFonts w:ascii="宋体"/>
                <w:b/>
                <w:sz w:val="30"/>
                <w:szCs w:val="30"/>
              </w:rPr>
            </w:pPr>
            <w:r>
              <w:rPr>
                <w:rFonts w:hint="eastAsia" w:ascii="宋体" w:hAnsi="宋体"/>
                <w:b/>
                <w:sz w:val="30"/>
                <w:szCs w:val="30"/>
              </w:rPr>
              <w:t>采购方式</w:t>
            </w:r>
          </w:p>
        </w:tc>
        <w:tc>
          <w:tcPr>
            <w:tcW w:w="5863" w:type="dxa"/>
            <w:tcBorders>
              <w:top w:val="single" w:color="auto" w:sz="4" w:space="0"/>
              <w:left w:val="single" w:color="auto" w:sz="4" w:space="0"/>
              <w:right w:val="single" w:color="auto" w:sz="4" w:space="0"/>
            </w:tcBorders>
            <w:vAlign w:val="center"/>
          </w:tcPr>
          <w:p w14:paraId="74EB5203">
            <w:pPr>
              <w:rPr>
                <w:rFonts w:ascii="宋体"/>
                <w:b/>
                <w:sz w:val="30"/>
                <w:szCs w:val="30"/>
              </w:rPr>
            </w:pPr>
            <w:r>
              <w:rPr>
                <w:rFonts w:hint="eastAsia" w:ascii="宋体" w:hAnsi="宋体"/>
                <w:b/>
                <w:sz w:val="30"/>
                <w:szCs w:val="30"/>
              </w:rPr>
              <w:t>竞争性磋商</w:t>
            </w:r>
          </w:p>
        </w:tc>
      </w:tr>
      <w:tr w14:paraId="4339AF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756" w:type="dxa"/>
            <w:tcBorders>
              <w:top w:val="single" w:color="auto" w:sz="4" w:space="0"/>
              <w:left w:val="single" w:color="auto" w:sz="4" w:space="0"/>
              <w:right w:val="single" w:color="auto" w:sz="4" w:space="0"/>
            </w:tcBorders>
            <w:vAlign w:val="center"/>
          </w:tcPr>
          <w:p w14:paraId="31ADAF83">
            <w:pPr>
              <w:rPr>
                <w:rFonts w:ascii="宋体"/>
                <w:b/>
                <w:sz w:val="30"/>
                <w:szCs w:val="30"/>
              </w:rPr>
            </w:pPr>
            <w:r>
              <w:rPr>
                <w:rFonts w:hint="eastAsia" w:ascii="宋体" w:hAnsi="宋体"/>
                <w:b/>
                <w:sz w:val="30"/>
                <w:szCs w:val="30"/>
              </w:rPr>
              <w:t>采购单位</w:t>
            </w:r>
          </w:p>
        </w:tc>
        <w:tc>
          <w:tcPr>
            <w:tcW w:w="5863" w:type="dxa"/>
            <w:tcBorders>
              <w:top w:val="single" w:color="auto" w:sz="4" w:space="0"/>
              <w:left w:val="single" w:color="auto" w:sz="4" w:space="0"/>
              <w:right w:val="single" w:color="auto" w:sz="4" w:space="0"/>
            </w:tcBorders>
            <w:vAlign w:val="center"/>
          </w:tcPr>
          <w:p w14:paraId="228A6AFC">
            <w:pPr>
              <w:snapToGrid w:val="0"/>
              <w:rPr>
                <w:rFonts w:hint="eastAsia" w:ascii="宋体" w:eastAsia="宋体"/>
                <w:b/>
                <w:sz w:val="30"/>
                <w:szCs w:val="30"/>
                <w:lang w:eastAsia="zh-CN"/>
              </w:rPr>
            </w:pPr>
            <w:r>
              <w:rPr>
                <w:rFonts w:hint="eastAsia" w:ascii="宋体" w:hAnsi="宋体"/>
                <w:b/>
                <w:sz w:val="30"/>
                <w:szCs w:val="30"/>
                <w:lang w:eastAsia="zh-CN"/>
              </w:rPr>
              <w:t>泰顺县文旅集团有限公司</w:t>
            </w:r>
          </w:p>
        </w:tc>
      </w:tr>
      <w:tr w14:paraId="7DED6C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756" w:type="dxa"/>
            <w:tcBorders>
              <w:top w:val="single" w:color="auto" w:sz="4" w:space="0"/>
              <w:left w:val="single" w:color="auto" w:sz="4" w:space="0"/>
              <w:right w:val="single" w:color="auto" w:sz="4" w:space="0"/>
            </w:tcBorders>
            <w:vAlign w:val="center"/>
          </w:tcPr>
          <w:p w14:paraId="14110BA8">
            <w:pPr>
              <w:rPr>
                <w:rFonts w:ascii="宋体"/>
                <w:b/>
                <w:sz w:val="30"/>
                <w:szCs w:val="30"/>
              </w:rPr>
            </w:pPr>
            <w:r>
              <w:rPr>
                <w:rFonts w:hint="eastAsia" w:ascii="宋体" w:hAnsi="宋体"/>
                <w:b/>
                <w:sz w:val="30"/>
                <w:szCs w:val="30"/>
              </w:rPr>
              <w:t>采购代理机构</w:t>
            </w:r>
          </w:p>
        </w:tc>
        <w:tc>
          <w:tcPr>
            <w:tcW w:w="5863" w:type="dxa"/>
            <w:tcBorders>
              <w:top w:val="single" w:color="auto" w:sz="4" w:space="0"/>
              <w:left w:val="single" w:color="auto" w:sz="4" w:space="0"/>
              <w:right w:val="single" w:color="auto" w:sz="4" w:space="0"/>
            </w:tcBorders>
            <w:vAlign w:val="center"/>
          </w:tcPr>
          <w:p w14:paraId="1784B1E3">
            <w:pPr>
              <w:rPr>
                <w:rFonts w:hint="eastAsia" w:ascii="宋体" w:eastAsia="宋体"/>
                <w:b/>
                <w:sz w:val="30"/>
                <w:szCs w:val="30"/>
                <w:lang w:eastAsia="zh-CN"/>
              </w:rPr>
            </w:pPr>
            <w:r>
              <w:rPr>
                <w:rFonts w:hint="eastAsia" w:ascii="宋体" w:hAnsi="宋体"/>
                <w:b/>
                <w:sz w:val="30"/>
                <w:szCs w:val="30"/>
                <w:lang w:eastAsia="zh-CN"/>
              </w:rPr>
              <w:t>浙江源筑工程咨询有限公司</w:t>
            </w:r>
          </w:p>
        </w:tc>
      </w:tr>
    </w:tbl>
    <w:p w14:paraId="5F974759">
      <w:pPr>
        <w:snapToGrid w:val="0"/>
        <w:spacing w:line="500" w:lineRule="atLeast"/>
        <w:ind w:left="1220" w:leftChars="581" w:firstLine="744" w:firstLineChars="247"/>
        <w:rPr>
          <w:rFonts w:ascii="宋体"/>
          <w:b/>
          <w:sz w:val="30"/>
          <w:szCs w:val="30"/>
        </w:rPr>
      </w:pPr>
    </w:p>
    <w:p w14:paraId="73FF1A27">
      <w:pPr>
        <w:jc w:val="center"/>
        <w:rPr>
          <w:rFonts w:ascii="宋体"/>
          <w:b/>
          <w:sz w:val="30"/>
          <w:szCs w:val="30"/>
        </w:rPr>
      </w:pPr>
    </w:p>
    <w:p w14:paraId="4AE9FBF4">
      <w:pPr>
        <w:jc w:val="center"/>
        <w:rPr>
          <w:rFonts w:hint="eastAsia" w:ascii="宋体" w:hAnsi="宋体"/>
          <w:b/>
          <w:sz w:val="30"/>
          <w:szCs w:val="30"/>
        </w:rPr>
      </w:pPr>
    </w:p>
    <w:p w14:paraId="1E490BB5">
      <w:pPr>
        <w:jc w:val="center"/>
        <w:rPr>
          <w:rFonts w:hint="eastAsia" w:ascii="宋体" w:hAnsi="宋体"/>
          <w:b/>
          <w:sz w:val="30"/>
          <w:szCs w:val="30"/>
        </w:rPr>
      </w:pPr>
    </w:p>
    <w:p w14:paraId="003235E8">
      <w:pPr>
        <w:jc w:val="center"/>
        <w:rPr>
          <w:rFonts w:ascii="宋体"/>
          <w:sz w:val="22"/>
          <w:szCs w:val="28"/>
        </w:rPr>
      </w:pPr>
      <w:r>
        <w:rPr>
          <w:rFonts w:hint="eastAsia" w:ascii="宋体" w:hAnsi="宋体"/>
          <w:b/>
          <w:sz w:val="32"/>
          <w:szCs w:val="32"/>
        </w:rPr>
        <w:t>二○二五年</w:t>
      </w:r>
      <w:r>
        <w:rPr>
          <w:rFonts w:hint="eastAsia" w:ascii="宋体" w:hAnsi="宋体"/>
          <w:b/>
          <w:sz w:val="32"/>
          <w:szCs w:val="32"/>
          <w:lang w:val="en-US" w:eastAsia="zh-CN"/>
        </w:rPr>
        <w:t>九</w:t>
      </w:r>
      <w:r>
        <w:rPr>
          <w:rFonts w:hint="eastAsia" w:ascii="宋体" w:hAnsi="宋体"/>
          <w:b/>
          <w:sz w:val="32"/>
          <w:szCs w:val="32"/>
        </w:rPr>
        <w:t>月</w:t>
      </w:r>
    </w:p>
    <w:p w14:paraId="1B4E2E09">
      <w:pPr>
        <w:autoSpaceDE w:val="0"/>
        <w:autoSpaceDN w:val="0"/>
        <w:spacing w:line="480" w:lineRule="exact"/>
        <w:jc w:val="center"/>
        <w:textAlignment w:val="bottom"/>
        <w:rPr>
          <w:sz w:val="22"/>
          <w:szCs w:val="28"/>
        </w:rPr>
        <w:sectPr>
          <w:footerReference r:id="rId5" w:type="first"/>
          <w:footerReference r:id="rId4" w:type="default"/>
          <w:pgSz w:w="11911" w:h="16838"/>
          <w:pgMar w:top="1417" w:right="1701" w:bottom="1417" w:left="1701" w:header="720" w:footer="720" w:gutter="0"/>
          <w:pgNumType w:start="1"/>
          <w:cols w:space="720" w:num="1"/>
          <w:docGrid w:linePitch="312" w:charSpace="0"/>
        </w:sectPr>
      </w:pPr>
    </w:p>
    <w:p w14:paraId="3048FBC5">
      <w:pPr>
        <w:autoSpaceDE w:val="0"/>
        <w:autoSpaceDN w:val="0"/>
        <w:spacing w:line="480" w:lineRule="exact"/>
        <w:jc w:val="center"/>
        <w:textAlignment w:val="bottom"/>
        <w:rPr>
          <w:rFonts w:hint="eastAsia" w:ascii="楷体" w:hAnsi="楷体" w:eastAsia="楷体"/>
          <w:b/>
          <w:sz w:val="44"/>
          <w:szCs w:val="44"/>
        </w:rPr>
      </w:pPr>
    </w:p>
    <w:p w14:paraId="39ABC5EE">
      <w:pPr>
        <w:autoSpaceDE w:val="0"/>
        <w:autoSpaceDN w:val="0"/>
        <w:spacing w:line="480" w:lineRule="exact"/>
        <w:jc w:val="center"/>
        <w:textAlignment w:val="bottom"/>
        <w:rPr>
          <w:rFonts w:hint="eastAsia" w:ascii="楷体" w:hAnsi="楷体" w:eastAsia="楷体"/>
          <w:b/>
          <w:sz w:val="44"/>
          <w:szCs w:val="44"/>
        </w:rPr>
      </w:pPr>
      <w:r>
        <w:rPr>
          <w:rFonts w:hint="eastAsia" w:ascii="楷体" w:hAnsi="楷体" w:eastAsia="楷体"/>
          <w:b/>
          <w:sz w:val="44"/>
          <w:szCs w:val="44"/>
        </w:rPr>
        <w:t>竞争性磋商文件目录</w:t>
      </w:r>
    </w:p>
    <w:p w14:paraId="58DB5F29">
      <w:pPr>
        <w:autoSpaceDE w:val="0"/>
        <w:autoSpaceDN w:val="0"/>
        <w:adjustRightInd w:val="0"/>
        <w:spacing w:line="580" w:lineRule="atLeast"/>
        <w:ind w:left="1050" w:leftChars="500" w:firstLine="420" w:firstLineChars="150"/>
        <w:textAlignment w:val="baseline"/>
        <w:rPr>
          <w:rFonts w:ascii="宋体"/>
          <w:sz w:val="28"/>
          <w:szCs w:val="28"/>
        </w:rPr>
      </w:pPr>
    </w:p>
    <w:p w14:paraId="31D3E185">
      <w:pPr>
        <w:autoSpaceDE w:val="0"/>
        <w:autoSpaceDN w:val="0"/>
        <w:adjustRightInd w:val="0"/>
        <w:spacing w:line="580" w:lineRule="atLeast"/>
        <w:textAlignment w:val="baseline"/>
        <w:rPr>
          <w:rFonts w:ascii="宋体"/>
          <w:sz w:val="28"/>
          <w:szCs w:val="28"/>
        </w:rPr>
      </w:pPr>
      <w:r>
        <w:rPr>
          <w:rFonts w:hint="eastAsia" w:ascii="宋体"/>
          <w:sz w:val="28"/>
          <w:szCs w:val="28"/>
        </w:rPr>
        <w:t>竞争性磋商公告（非政府采购）</w:t>
      </w:r>
    </w:p>
    <w:p w14:paraId="1F2E197B">
      <w:pPr>
        <w:autoSpaceDE w:val="0"/>
        <w:autoSpaceDN w:val="0"/>
        <w:adjustRightInd w:val="0"/>
        <w:spacing w:line="580" w:lineRule="atLeast"/>
        <w:textAlignment w:val="baseline"/>
        <w:rPr>
          <w:rFonts w:ascii="宋体"/>
          <w:sz w:val="28"/>
          <w:szCs w:val="28"/>
        </w:rPr>
      </w:pPr>
      <w:r>
        <w:rPr>
          <w:rFonts w:hint="eastAsia" w:ascii="宋体"/>
          <w:sz w:val="28"/>
          <w:szCs w:val="28"/>
          <w:lang w:val="zh-CN"/>
        </w:rPr>
        <w:t>第一部分</w:t>
      </w:r>
      <w:r>
        <w:rPr>
          <w:rFonts w:hint="eastAsia" w:ascii="宋体"/>
          <w:sz w:val="28"/>
          <w:szCs w:val="28"/>
        </w:rPr>
        <w:t xml:space="preserve">  磋商邀请函（供应商须知前附表）</w:t>
      </w:r>
    </w:p>
    <w:p w14:paraId="2FAB4A34">
      <w:pPr>
        <w:autoSpaceDE w:val="0"/>
        <w:autoSpaceDN w:val="0"/>
        <w:adjustRightInd w:val="0"/>
        <w:spacing w:line="580" w:lineRule="atLeast"/>
        <w:textAlignment w:val="baseline"/>
        <w:rPr>
          <w:rFonts w:ascii="宋体"/>
          <w:sz w:val="28"/>
          <w:szCs w:val="28"/>
          <w:lang w:val="zh-CN"/>
        </w:rPr>
      </w:pPr>
      <w:r>
        <w:rPr>
          <w:rFonts w:hint="eastAsia" w:ascii="宋体"/>
          <w:sz w:val="28"/>
          <w:szCs w:val="28"/>
          <w:lang w:val="zh-CN"/>
        </w:rPr>
        <w:t>第</w:t>
      </w:r>
      <w:r>
        <w:rPr>
          <w:rFonts w:hint="eastAsia" w:ascii="宋体"/>
          <w:sz w:val="28"/>
          <w:szCs w:val="28"/>
        </w:rPr>
        <w:t>二</w:t>
      </w:r>
      <w:r>
        <w:rPr>
          <w:rFonts w:hint="eastAsia" w:ascii="宋体"/>
          <w:sz w:val="28"/>
          <w:szCs w:val="28"/>
          <w:lang w:val="zh-CN"/>
        </w:rPr>
        <w:t>部分供应商须知</w:t>
      </w:r>
    </w:p>
    <w:p w14:paraId="0B189EBC">
      <w:pPr>
        <w:autoSpaceDE w:val="0"/>
        <w:autoSpaceDN w:val="0"/>
        <w:adjustRightInd w:val="0"/>
        <w:spacing w:line="580" w:lineRule="atLeast"/>
        <w:ind w:left="1050" w:leftChars="500"/>
        <w:textAlignment w:val="baseline"/>
        <w:rPr>
          <w:rFonts w:ascii="宋体"/>
          <w:sz w:val="28"/>
          <w:szCs w:val="28"/>
          <w:lang w:val="zh-CN"/>
        </w:rPr>
      </w:pPr>
      <w:r>
        <w:rPr>
          <w:rFonts w:hint="eastAsia" w:ascii="宋体"/>
          <w:sz w:val="28"/>
          <w:szCs w:val="28"/>
          <w:lang w:val="zh-CN"/>
        </w:rPr>
        <w:t>一、说明</w:t>
      </w:r>
    </w:p>
    <w:p w14:paraId="604C5197">
      <w:pPr>
        <w:autoSpaceDE w:val="0"/>
        <w:autoSpaceDN w:val="0"/>
        <w:adjustRightInd w:val="0"/>
        <w:spacing w:line="580" w:lineRule="atLeast"/>
        <w:ind w:left="1050" w:leftChars="500"/>
        <w:textAlignment w:val="baseline"/>
        <w:rPr>
          <w:rFonts w:ascii="宋体"/>
          <w:sz w:val="28"/>
          <w:szCs w:val="28"/>
          <w:lang w:val="zh-CN"/>
        </w:rPr>
      </w:pPr>
      <w:r>
        <w:rPr>
          <w:rFonts w:hint="eastAsia" w:ascii="宋体"/>
          <w:sz w:val="28"/>
          <w:szCs w:val="28"/>
          <w:lang w:val="zh-CN"/>
        </w:rPr>
        <w:t>二、竞争性磋商文件</w:t>
      </w:r>
    </w:p>
    <w:p w14:paraId="2B7AC8C3">
      <w:pPr>
        <w:autoSpaceDE w:val="0"/>
        <w:autoSpaceDN w:val="0"/>
        <w:adjustRightInd w:val="0"/>
        <w:spacing w:line="580" w:lineRule="atLeast"/>
        <w:ind w:left="1050" w:leftChars="500"/>
        <w:textAlignment w:val="baseline"/>
        <w:rPr>
          <w:rFonts w:ascii="宋体"/>
          <w:sz w:val="28"/>
          <w:szCs w:val="28"/>
          <w:lang w:val="zh-CN"/>
        </w:rPr>
      </w:pPr>
      <w:r>
        <w:rPr>
          <w:rFonts w:hint="eastAsia" w:ascii="宋体"/>
          <w:sz w:val="28"/>
          <w:szCs w:val="28"/>
          <w:lang w:val="zh-CN"/>
        </w:rPr>
        <w:t>三、磋商（响应）文件</w:t>
      </w:r>
    </w:p>
    <w:p w14:paraId="53594968">
      <w:pPr>
        <w:autoSpaceDE w:val="0"/>
        <w:autoSpaceDN w:val="0"/>
        <w:adjustRightInd w:val="0"/>
        <w:spacing w:line="580" w:lineRule="atLeast"/>
        <w:ind w:left="1050" w:leftChars="500"/>
        <w:textAlignment w:val="baseline"/>
        <w:rPr>
          <w:rFonts w:ascii="宋体"/>
          <w:sz w:val="28"/>
          <w:szCs w:val="28"/>
        </w:rPr>
      </w:pPr>
      <w:r>
        <w:rPr>
          <w:rFonts w:hint="eastAsia" w:ascii="宋体"/>
          <w:sz w:val="28"/>
          <w:szCs w:val="28"/>
          <w:lang w:val="zh-CN"/>
        </w:rPr>
        <w:t>四、磋商（响应）</w:t>
      </w:r>
      <w:r>
        <w:rPr>
          <w:rFonts w:hint="eastAsia" w:ascii="宋体"/>
          <w:sz w:val="28"/>
          <w:szCs w:val="28"/>
        </w:rPr>
        <w:t>文件的递交</w:t>
      </w:r>
    </w:p>
    <w:p w14:paraId="6D5FE4AC">
      <w:pPr>
        <w:autoSpaceDE w:val="0"/>
        <w:autoSpaceDN w:val="0"/>
        <w:adjustRightInd w:val="0"/>
        <w:spacing w:line="580" w:lineRule="atLeast"/>
        <w:ind w:left="1050" w:leftChars="500"/>
        <w:textAlignment w:val="baseline"/>
        <w:rPr>
          <w:rFonts w:ascii="宋体"/>
          <w:sz w:val="28"/>
          <w:szCs w:val="28"/>
          <w:lang w:val="zh-CN"/>
        </w:rPr>
      </w:pPr>
      <w:r>
        <w:rPr>
          <w:rFonts w:hint="eastAsia" w:ascii="宋体"/>
          <w:sz w:val="28"/>
          <w:szCs w:val="28"/>
          <w:lang w:val="zh-CN"/>
        </w:rPr>
        <w:t>五、</w:t>
      </w:r>
      <w:r>
        <w:rPr>
          <w:rFonts w:hint="eastAsia" w:ascii="宋体"/>
          <w:sz w:val="28"/>
          <w:szCs w:val="28"/>
        </w:rPr>
        <w:t>磋商</w:t>
      </w:r>
    </w:p>
    <w:p w14:paraId="32BA7F9A">
      <w:pPr>
        <w:autoSpaceDE w:val="0"/>
        <w:autoSpaceDN w:val="0"/>
        <w:adjustRightInd w:val="0"/>
        <w:spacing w:line="580" w:lineRule="atLeast"/>
        <w:ind w:left="1050" w:leftChars="500"/>
        <w:textAlignment w:val="baseline"/>
        <w:rPr>
          <w:rFonts w:ascii="宋体"/>
          <w:sz w:val="28"/>
          <w:szCs w:val="28"/>
          <w:lang w:val="zh-CN"/>
        </w:rPr>
      </w:pPr>
      <w:r>
        <w:rPr>
          <w:rFonts w:hint="eastAsia" w:ascii="宋体"/>
          <w:sz w:val="28"/>
          <w:szCs w:val="28"/>
          <w:lang w:val="zh-CN"/>
        </w:rPr>
        <w:t>六、</w:t>
      </w:r>
      <w:r>
        <w:rPr>
          <w:rFonts w:hint="eastAsia" w:ascii="宋体"/>
          <w:sz w:val="28"/>
          <w:szCs w:val="28"/>
        </w:rPr>
        <w:t>定标及</w:t>
      </w:r>
      <w:r>
        <w:rPr>
          <w:rFonts w:hint="eastAsia" w:ascii="宋体"/>
          <w:sz w:val="28"/>
          <w:szCs w:val="28"/>
          <w:lang w:val="zh-CN"/>
        </w:rPr>
        <w:t>授予合同</w:t>
      </w:r>
    </w:p>
    <w:p w14:paraId="0FAF886E">
      <w:pPr>
        <w:autoSpaceDE w:val="0"/>
        <w:autoSpaceDN w:val="0"/>
        <w:adjustRightInd w:val="0"/>
        <w:spacing w:line="580" w:lineRule="atLeast"/>
        <w:ind w:left="1050" w:leftChars="500"/>
        <w:textAlignment w:val="baseline"/>
      </w:pPr>
      <w:r>
        <w:rPr>
          <w:rFonts w:hint="eastAsia" w:ascii="宋体"/>
          <w:sz w:val="28"/>
          <w:szCs w:val="28"/>
        </w:rPr>
        <w:t>七</w:t>
      </w:r>
      <w:r>
        <w:rPr>
          <w:rFonts w:hint="eastAsia" w:ascii="宋体"/>
          <w:sz w:val="28"/>
          <w:szCs w:val="28"/>
          <w:lang w:val="zh-CN"/>
        </w:rPr>
        <w:t>、</w:t>
      </w:r>
      <w:r>
        <w:rPr>
          <w:rFonts w:hint="eastAsia" w:ascii="宋体"/>
          <w:sz w:val="28"/>
          <w:szCs w:val="28"/>
        </w:rPr>
        <w:t>投诉质疑</w:t>
      </w:r>
    </w:p>
    <w:p w14:paraId="2A49FDD1">
      <w:pPr>
        <w:autoSpaceDE w:val="0"/>
        <w:autoSpaceDN w:val="0"/>
        <w:adjustRightInd w:val="0"/>
        <w:spacing w:line="580" w:lineRule="atLeast"/>
        <w:textAlignment w:val="baseline"/>
        <w:rPr>
          <w:rFonts w:ascii="宋体"/>
          <w:sz w:val="28"/>
          <w:szCs w:val="28"/>
          <w:lang w:val="zh-CN"/>
        </w:rPr>
      </w:pPr>
      <w:r>
        <w:rPr>
          <w:rFonts w:hint="eastAsia" w:ascii="宋体"/>
          <w:sz w:val="28"/>
          <w:szCs w:val="28"/>
          <w:lang w:val="zh-CN"/>
        </w:rPr>
        <w:t>第</w:t>
      </w:r>
      <w:r>
        <w:rPr>
          <w:rFonts w:hint="eastAsia" w:ascii="宋体"/>
          <w:sz w:val="28"/>
          <w:szCs w:val="28"/>
        </w:rPr>
        <w:t>三</w:t>
      </w:r>
      <w:r>
        <w:rPr>
          <w:rFonts w:hint="eastAsia" w:ascii="宋体"/>
          <w:sz w:val="28"/>
          <w:szCs w:val="28"/>
          <w:lang w:val="zh-CN"/>
        </w:rPr>
        <w:t>部分</w:t>
      </w:r>
      <w:r>
        <w:rPr>
          <w:rFonts w:hint="eastAsia" w:ascii="宋体"/>
          <w:sz w:val="28"/>
          <w:szCs w:val="28"/>
        </w:rPr>
        <w:t xml:space="preserve">  磋商</w:t>
      </w:r>
      <w:r>
        <w:rPr>
          <w:rFonts w:hint="eastAsia" w:ascii="宋体"/>
          <w:sz w:val="28"/>
          <w:szCs w:val="28"/>
          <w:lang w:val="zh-CN"/>
        </w:rPr>
        <w:t>内容及要求</w:t>
      </w:r>
    </w:p>
    <w:p w14:paraId="21888555">
      <w:pPr>
        <w:autoSpaceDE w:val="0"/>
        <w:autoSpaceDN w:val="0"/>
        <w:adjustRightInd w:val="0"/>
        <w:spacing w:line="580" w:lineRule="atLeast"/>
        <w:textAlignment w:val="baseline"/>
        <w:rPr>
          <w:rFonts w:ascii="宋体"/>
          <w:sz w:val="28"/>
          <w:szCs w:val="28"/>
          <w:lang w:val="zh-CN"/>
        </w:rPr>
      </w:pPr>
      <w:r>
        <w:rPr>
          <w:rFonts w:hint="eastAsia" w:ascii="宋体"/>
          <w:sz w:val="28"/>
          <w:szCs w:val="28"/>
          <w:lang w:val="zh-CN"/>
        </w:rPr>
        <w:t>第</w:t>
      </w:r>
      <w:r>
        <w:rPr>
          <w:rFonts w:hint="eastAsia" w:ascii="宋体"/>
          <w:sz w:val="28"/>
          <w:szCs w:val="28"/>
        </w:rPr>
        <w:t>四</w:t>
      </w:r>
      <w:r>
        <w:rPr>
          <w:rFonts w:hint="eastAsia" w:ascii="宋体"/>
          <w:sz w:val="28"/>
          <w:szCs w:val="28"/>
          <w:lang w:val="zh-CN"/>
        </w:rPr>
        <w:t>部分合同格式</w:t>
      </w:r>
    </w:p>
    <w:p w14:paraId="0F2E4C9C">
      <w:pPr>
        <w:autoSpaceDE w:val="0"/>
        <w:autoSpaceDN w:val="0"/>
        <w:adjustRightInd w:val="0"/>
        <w:spacing w:line="580" w:lineRule="atLeast"/>
        <w:textAlignment w:val="baseline"/>
        <w:rPr>
          <w:rFonts w:ascii="宋体"/>
          <w:sz w:val="28"/>
          <w:szCs w:val="28"/>
          <w:lang w:val="zh-CN"/>
        </w:rPr>
      </w:pPr>
      <w:r>
        <w:rPr>
          <w:rFonts w:hint="eastAsia" w:ascii="宋体"/>
          <w:sz w:val="28"/>
          <w:szCs w:val="28"/>
          <w:lang w:val="zh-CN"/>
        </w:rPr>
        <w:t>第</w:t>
      </w:r>
      <w:r>
        <w:rPr>
          <w:rFonts w:hint="eastAsia" w:ascii="宋体"/>
          <w:sz w:val="28"/>
          <w:szCs w:val="28"/>
        </w:rPr>
        <w:t>五</w:t>
      </w:r>
      <w:r>
        <w:rPr>
          <w:rFonts w:hint="eastAsia" w:ascii="宋体"/>
          <w:sz w:val="28"/>
          <w:szCs w:val="28"/>
          <w:lang w:val="zh-CN"/>
        </w:rPr>
        <w:t>部分磋商（响应）文件格式</w:t>
      </w:r>
    </w:p>
    <w:p w14:paraId="31308D77">
      <w:pPr>
        <w:autoSpaceDE w:val="0"/>
        <w:autoSpaceDN w:val="0"/>
        <w:adjustRightInd w:val="0"/>
        <w:spacing w:line="580" w:lineRule="atLeast"/>
        <w:textAlignment w:val="baseline"/>
        <w:rPr>
          <w:rFonts w:ascii="宋体"/>
          <w:sz w:val="28"/>
          <w:szCs w:val="28"/>
          <w:lang w:val="zh-CN"/>
        </w:rPr>
      </w:pPr>
      <w:r>
        <w:rPr>
          <w:rFonts w:hint="eastAsia" w:ascii="宋体"/>
          <w:sz w:val="28"/>
          <w:szCs w:val="28"/>
          <w:lang w:val="zh-CN"/>
        </w:rPr>
        <w:t>第</w:t>
      </w:r>
      <w:r>
        <w:rPr>
          <w:rFonts w:hint="eastAsia" w:ascii="宋体"/>
          <w:sz w:val="28"/>
          <w:szCs w:val="28"/>
        </w:rPr>
        <w:t>六</w:t>
      </w:r>
      <w:r>
        <w:rPr>
          <w:rFonts w:hint="eastAsia" w:ascii="宋体"/>
          <w:sz w:val="28"/>
          <w:szCs w:val="28"/>
          <w:lang w:val="zh-CN"/>
        </w:rPr>
        <w:t>部分评标办法</w:t>
      </w:r>
    </w:p>
    <w:p w14:paraId="1D1BAF6A">
      <w:pPr>
        <w:pStyle w:val="10"/>
        <w:rPr>
          <w:rFonts w:ascii="宋体"/>
          <w:sz w:val="28"/>
          <w:szCs w:val="28"/>
          <w:lang w:val="zh-CN"/>
        </w:rPr>
      </w:pPr>
    </w:p>
    <w:p w14:paraId="7117C08D">
      <w:pPr>
        <w:snapToGrid w:val="0"/>
        <w:spacing w:line="440" w:lineRule="exact"/>
        <w:ind w:firstLine="442" w:firstLineChars="200"/>
        <w:rPr>
          <w:rFonts w:hint="eastAsia" w:ascii="楷体" w:hAnsi="楷体" w:eastAsia="楷体"/>
          <w:b/>
          <w:bCs/>
          <w:sz w:val="22"/>
          <w:szCs w:val="22"/>
        </w:rPr>
      </w:pPr>
      <w:r>
        <w:rPr>
          <w:rFonts w:hint="eastAsia" w:ascii="宋体" w:hAnsi="宋体" w:cs="新宋体"/>
          <w:b/>
          <w:bCs/>
          <w:sz w:val="22"/>
          <w:szCs w:val="22"/>
          <w:u w:val="single"/>
        </w:rPr>
        <w:t>注：竞争性磋商文件中标“▲”号的为招标的实质性要求和条件，着重提醒各供应商必须响应。各供应商必须认真阅读和理解竞争性磋商文件中的每一个条款及要求，因误读竞争性磋商文件而造成的后果，采购人概不负责。</w:t>
      </w:r>
    </w:p>
    <w:p w14:paraId="6086C52F">
      <w:pPr>
        <w:pStyle w:val="10"/>
        <w:rPr>
          <w:rFonts w:ascii="宋体"/>
          <w:sz w:val="28"/>
          <w:szCs w:val="28"/>
          <w:lang w:val="zh-CN"/>
        </w:rPr>
      </w:pPr>
    </w:p>
    <w:p w14:paraId="2B49E53C">
      <w:pPr>
        <w:spacing w:line="400" w:lineRule="exact"/>
        <w:ind w:firstLine="602" w:firstLineChars="200"/>
        <w:jc w:val="center"/>
        <w:rPr>
          <w:rFonts w:hint="eastAsia" w:ascii="宋体" w:hAnsi="宋体"/>
          <w:b/>
          <w:bCs/>
          <w:sz w:val="30"/>
          <w:szCs w:val="30"/>
        </w:rPr>
      </w:pPr>
    </w:p>
    <w:p w14:paraId="7BAA9398">
      <w:pPr>
        <w:spacing w:line="400" w:lineRule="exact"/>
        <w:ind w:firstLine="602" w:firstLineChars="200"/>
        <w:jc w:val="center"/>
        <w:rPr>
          <w:rFonts w:hint="eastAsia" w:ascii="宋体" w:hAnsi="宋体"/>
          <w:b/>
          <w:bCs/>
          <w:sz w:val="30"/>
          <w:szCs w:val="30"/>
        </w:rPr>
      </w:pPr>
    </w:p>
    <w:p w14:paraId="2DF47269">
      <w:pPr>
        <w:rPr>
          <w:rFonts w:hint="eastAsia" w:ascii="宋体" w:hAnsi="宋体" w:cs="宋体"/>
          <w:b/>
          <w:bCs/>
          <w:sz w:val="28"/>
          <w:szCs w:val="28"/>
        </w:rPr>
      </w:pPr>
      <w:bookmarkStart w:id="0" w:name="OLE_LINK1"/>
      <w:r>
        <w:rPr>
          <w:rFonts w:hint="eastAsia" w:ascii="宋体" w:hAnsi="宋体" w:cs="宋体"/>
          <w:b/>
          <w:bCs/>
          <w:sz w:val="28"/>
          <w:szCs w:val="28"/>
        </w:rPr>
        <w:br w:type="page"/>
      </w:r>
    </w:p>
    <w:p w14:paraId="095DE37F">
      <w:pPr>
        <w:spacing w:after="240" w:afterLines="100"/>
        <w:jc w:val="center"/>
        <w:rPr>
          <w:rFonts w:hint="eastAsia" w:ascii="宋体" w:hAnsi="宋体" w:cs="宋体"/>
          <w:b/>
          <w:bCs/>
          <w:sz w:val="28"/>
          <w:szCs w:val="28"/>
        </w:rPr>
      </w:pPr>
      <w:bookmarkStart w:id="1" w:name="OLE_LINK4"/>
      <w:r>
        <w:rPr>
          <w:rFonts w:hint="eastAsia" w:ascii="宋体" w:hAnsi="宋体" w:cs="宋体"/>
          <w:b/>
          <w:bCs/>
          <w:sz w:val="28"/>
          <w:szCs w:val="28"/>
        </w:rPr>
        <w:t>关于</w:t>
      </w:r>
      <w:r>
        <w:rPr>
          <w:rFonts w:hint="eastAsia" w:ascii="宋体" w:hAnsi="宋体" w:cs="宋体"/>
          <w:b/>
          <w:bCs/>
          <w:sz w:val="28"/>
          <w:szCs w:val="28"/>
          <w:lang w:eastAsia="zh-CN"/>
        </w:rPr>
        <w:t>时尚体育旅游基础设施提升工程(叶岸山特大桥工程）供配电照明系统(二次)</w:t>
      </w:r>
      <w:r>
        <w:rPr>
          <w:rFonts w:hint="eastAsia" w:ascii="宋体" w:hAnsi="宋体" w:cs="宋体"/>
          <w:b/>
          <w:bCs/>
          <w:sz w:val="28"/>
          <w:szCs w:val="28"/>
        </w:rPr>
        <w:t>的</w:t>
      </w:r>
      <w:bookmarkStart w:id="2" w:name="OLE_LINK3"/>
      <w:r>
        <w:rPr>
          <w:rFonts w:hint="eastAsia" w:ascii="宋体" w:hAnsi="宋体" w:cs="宋体"/>
          <w:b/>
          <w:bCs/>
          <w:sz w:val="28"/>
          <w:szCs w:val="28"/>
        </w:rPr>
        <w:t>竞争性磋商公告</w:t>
      </w:r>
    </w:p>
    <w:p w14:paraId="03649510">
      <w:pPr>
        <w:pStyle w:val="11"/>
        <w:bidi w:val="0"/>
        <w:rPr>
          <w:rFonts w:hint="eastAsia"/>
        </w:rPr>
      </w:pPr>
      <w:bookmarkStart w:id="3" w:name="OLE_LINK2"/>
    </w:p>
    <w:tbl>
      <w:tblPr>
        <w:tblStyle w:val="25"/>
        <w:tblW w:w="0" w:type="auto"/>
        <w:tblInd w:w="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39"/>
      </w:tblGrid>
      <w:tr w14:paraId="4DF438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39" w:type="dxa"/>
          </w:tcPr>
          <w:p w14:paraId="37955C41">
            <w:pPr>
              <w:pStyle w:val="21"/>
              <w:widowControl/>
              <w:wordWrap w:val="0"/>
              <w:spacing w:beforeAutospacing="0" w:afterAutospacing="0" w:line="440" w:lineRule="exact"/>
              <w:ind w:firstLine="440" w:firstLineChars="200"/>
              <w:rPr>
                <w:rFonts w:ascii="微软雅黑" w:hAnsi="微软雅黑" w:eastAsia="微软雅黑" w:cs="微软雅黑"/>
                <w:i w:val="0"/>
                <w:iCs w:val="0"/>
                <w:caps w:val="0"/>
                <w:smallCaps w:val="0"/>
                <w:color w:val="000000"/>
                <w:spacing w:val="0"/>
                <w:sz w:val="22"/>
                <w:szCs w:val="22"/>
              </w:rPr>
            </w:pPr>
            <w:r>
              <w:rPr>
                <w:rFonts w:ascii="微软雅黑" w:hAnsi="微软雅黑" w:eastAsia="微软雅黑" w:cs="微软雅黑"/>
                <w:i w:val="0"/>
                <w:iCs w:val="0"/>
                <w:caps w:val="0"/>
                <w:smallCaps w:val="0"/>
                <w:color w:val="000000"/>
                <w:spacing w:val="0"/>
                <w:sz w:val="22"/>
                <w:szCs w:val="22"/>
              </w:rPr>
              <w:t>项目概况</w:t>
            </w:r>
          </w:p>
          <w:p w14:paraId="328A6324">
            <w:pPr>
              <w:pStyle w:val="21"/>
              <w:widowControl/>
              <w:wordWrap w:val="0"/>
              <w:spacing w:beforeAutospacing="0" w:afterAutospacing="0" w:line="440" w:lineRule="exact"/>
              <w:ind w:firstLine="440" w:firstLineChars="200"/>
              <w:rPr>
                <w:rFonts w:hint="eastAsia" w:ascii="宋体" w:hAnsi="宋体" w:cs="宋体"/>
                <w:b/>
                <w:kern w:val="2"/>
                <w:sz w:val="22"/>
                <w:vertAlign w:val="baseline"/>
              </w:rPr>
            </w:pPr>
            <w:r>
              <w:rPr>
                <w:rStyle w:val="32"/>
                <w:rFonts w:hint="eastAsia" w:ascii="微软雅黑" w:hAnsi="微软雅黑" w:eastAsia="微软雅黑" w:cs="微软雅黑"/>
                <w:i w:val="0"/>
                <w:iCs w:val="0"/>
                <w:caps w:val="0"/>
                <w:smallCaps w:val="0"/>
                <w:color w:val="000000"/>
                <w:spacing w:val="0"/>
                <w:sz w:val="22"/>
                <w:szCs w:val="22"/>
                <w:lang w:eastAsia="zh-CN"/>
              </w:rPr>
              <w:t>时尚体育旅游基础设施提升工程(叶岸山特大桥工程）供配电照明系统(二次)</w:t>
            </w:r>
            <w:r>
              <w:rPr>
                <w:rFonts w:hint="eastAsia" w:ascii="微软雅黑" w:hAnsi="微软雅黑" w:eastAsia="微软雅黑" w:cs="微软雅黑"/>
                <w:i w:val="0"/>
                <w:iCs w:val="0"/>
                <w:caps w:val="0"/>
                <w:smallCaps w:val="0"/>
                <w:color w:val="000000"/>
                <w:spacing w:val="0"/>
                <w:sz w:val="22"/>
                <w:szCs w:val="22"/>
              </w:rPr>
              <w:t>采购项目的潜在供应商应在</w:t>
            </w:r>
            <w:r>
              <w:rPr>
                <w:rStyle w:val="32"/>
                <w:rFonts w:hint="eastAsia" w:ascii="微软雅黑" w:hAnsi="微软雅黑" w:eastAsia="微软雅黑" w:cs="微软雅黑"/>
                <w:i w:val="0"/>
                <w:iCs w:val="0"/>
                <w:caps w:val="0"/>
                <w:smallCaps w:val="0"/>
                <w:color w:val="000000"/>
                <w:spacing w:val="0"/>
                <w:sz w:val="22"/>
                <w:szCs w:val="22"/>
              </w:rPr>
              <w:t>乐采云平台(www.lecaiyun.com)线上</w:t>
            </w:r>
            <w:r>
              <w:rPr>
                <w:rFonts w:hint="eastAsia" w:ascii="微软雅黑" w:hAnsi="微软雅黑" w:eastAsia="微软雅黑" w:cs="微软雅黑"/>
                <w:i w:val="0"/>
                <w:iCs w:val="0"/>
                <w:caps w:val="0"/>
                <w:smallCaps w:val="0"/>
                <w:color w:val="000000"/>
                <w:spacing w:val="0"/>
                <w:sz w:val="22"/>
                <w:szCs w:val="22"/>
              </w:rPr>
              <w:t>获取采购文件，并于</w:t>
            </w:r>
            <w:r>
              <w:rPr>
                <w:rStyle w:val="32"/>
                <w:rFonts w:hint="eastAsia" w:ascii="微软雅黑" w:hAnsi="微软雅黑" w:eastAsia="微软雅黑" w:cs="微软雅黑"/>
                <w:i w:val="0"/>
                <w:iCs w:val="0"/>
                <w:caps w:val="0"/>
                <w:smallCaps w:val="0"/>
                <w:color w:val="000000"/>
                <w:spacing w:val="0"/>
                <w:sz w:val="22"/>
                <w:szCs w:val="22"/>
              </w:rPr>
              <w:t>2025年</w:t>
            </w:r>
            <w:r>
              <w:rPr>
                <w:rStyle w:val="32"/>
                <w:rFonts w:hint="eastAsia" w:ascii="微软雅黑" w:hAnsi="微软雅黑" w:eastAsia="微软雅黑" w:cs="微软雅黑"/>
                <w:i w:val="0"/>
                <w:iCs w:val="0"/>
                <w:caps w:val="0"/>
                <w:smallCaps w:val="0"/>
                <w:color w:val="000000"/>
                <w:spacing w:val="0"/>
                <w:sz w:val="22"/>
                <w:szCs w:val="22"/>
                <w:lang w:val="en-US" w:eastAsia="zh-CN"/>
              </w:rPr>
              <w:t>9月22</w:t>
            </w:r>
            <w:r>
              <w:rPr>
                <w:rStyle w:val="32"/>
                <w:rFonts w:hint="eastAsia" w:ascii="微软雅黑" w:hAnsi="微软雅黑" w:eastAsia="微软雅黑" w:cs="微软雅黑"/>
                <w:i w:val="0"/>
                <w:iCs w:val="0"/>
                <w:caps w:val="0"/>
                <w:smallCaps w:val="0"/>
                <w:color w:val="000000"/>
                <w:spacing w:val="0"/>
                <w:sz w:val="22"/>
                <w:szCs w:val="22"/>
              </w:rPr>
              <w:t>日 15:00</w:t>
            </w:r>
            <w:r>
              <w:rPr>
                <w:rFonts w:hint="eastAsia" w:ascii="微软雅黑" w:hAnsi="微软雅黑" w:eastAsia="微软雅黑" w:cs="微软雅黑"/>
                <w:i w:val="0"/>
                <w:iCs w:val="0"/>
                <w:caps w:val="0"/>
                <w:smallCaps w:val="0"/>
                <w:color w:val="000000"/>
                <w:spacing w:val="0"/>
                <w:sz w:val="22"/>
                <w:szCs w:val="22"/>
              </w:rPr>
              <w:t>（北京时间）前提交响应文件。</w:t>
            </w:r>
          </w:p>
        </w:tc>
      </w:tr>
    </w:tbl>
    <w:p w14:paraId="259077E8">
      <w:pPr>
        <w:pStyle w:val="21"/>
        <w:widowControl/>
        <w:wordWrap w:val="0"/>
        <w:spacing w:beforeAutospacing="0" w:afterAutospacing="0" w:line="440" w:lineRule="exact"/>
        <w:ind w:firstLine="442"/>
        <w:rPr>
          <w:rFonts w:hint="eastAsia" w:ascii="宋体" w:hAnsi="宋体" w:cs="宋体"/>
          <w:b/>
          <w:kern w:val="2"/>
          <w:sz w:val="22"/>
        </w:rPr>
      </w:pPr>
    </w:p>
    <w:p w14:paraId="49D8C99D">
      <w:pPr>
        <w:pStyle w:val="21"/>
        <w:widowControl/>
        <w:wordWrap w:val="0"/>
        <w:spacing w:beforeAutospacing="0" w:afterAutospacing="0" w:line="440" w:lineRule="exact"/>
        <w:ind w:firstLine="442"/>
        <w:rPr>
          <w:rFonts w:hint="eastAsia" w:ascii="宋体" w:hAnsi="宋体" w:cs="宋体"/>
          <w:b/>
          <w:kern w:val="2"/>
          <w:sz w:val="22"/>
        </w:rPr>
      </w:pPr>
      <w:r>
        <w:rPr>
          <w:rFonts w:hint="eastAsia" w:ascii="宋体" w:hAnsi="宋体" w:cs="宋体"/>
          <w:b/>
          <w:kern w:val="2"/>
          <w:sz w:val="22"/>
        </w:rPr>
        <w:t>一、项目基本情况</w:t>
      </w:r>
    </w:p>
    <w:p w14:paraId="5A5EE78A">
      <w:pPr>
        <w:pStyle w:val="21"/>
        <w:widowControl/>
        <w:wordWrap w:val="0"/>
        <w:spacing w:beforeAutospacing="0" w:afterAutospacing="0" w:line="440" w:lineRule="exact"/>
        <w:ind w:firstLine="440" w:firstLineChars="200"/>
        <w:rPr>
          <w:rFonts w:hint="eastAsia" w:ascii="宋体" w:hAnsi="宋体" w:eastAsia="宋体" w:cs="宋体"/>
          <w:bCs/>
          <w:kern w:val="2"/>
          <w:sz w:val="22"/>
          <w:lang w:eastAsia="zh-CN"/>
        </w:rPr>
      </w:pPr>
      <w:r>
        <w:rPr>
          <w:rFonts w:hint="eastAsia" w:ascii="宋体" w:hAnsi="宋体" w:cs="宋体"/>
          <w:bCs/>
          <w:kern w:val="2"/>
          <w:sz w:val="22"/>
        </w:rPr>
        <w:t>项目编号：</w:t>
      </w:r>
      <w:r>
        <w:rPr>
          <w:rFonts w:hint="eastAsia" w:ascii="宋体" w:hAnsi="宋体" w:cs="宋体"/>
          <w:bCs/>
          <w:kern w:val="2"/>
          <w:sz w:val="22"/>
          <w:lang w:eastAsia="zh-CN"/>
        </w:rPr>
        <w:t>TSCG202509006</w:t>
      </w:r>
    </w:p>
    <w:p w14:paraId="2257C427">
      <w:pPr>
        <w:pStyle w:val="21"/>
        <w:widowControl/>
        <w:wordWrap w:val="0"/>
        <w:spacing w:beforeAutospacing="0" w:afterAutospacing="0" w:line="440" w:lineRule="exact"/>
        <w:ind w:firstLine="440" w:firstLineChars="200"/>
        <w:rPr>
          <w:rFonts w:hint="eastAsia" w:ascii="宋体" w:hAnsi="宋体" w:eastAsia="宋体" w:cs="宋体"/>
          <w:bCs/>
          <w:kern w:val="2"/>
          <w:sz w:val="22"/>
          <w:lang w:eastAsia="zh-CN"/>
        </w:rPr>
      </w:pPr>
      <w:r>
        <w:rPr>
          <w:rFonts w:hint="eastAsia" w:ascii="宋体" w:hAnsi="宋体" w:cs="宋体"/>
          <w:bCs/>
          <w:kern w:val="2"/>
          <w:sz w:val="22"/>
        </w:rPr>
        <w:t>项目名称：</w:t>
      </w:r>
      <w:r>
        <w:rPr>
          <w:rFonts w:hint="eastAsia" w:ascii="宋体" w:hAnsi="宋体" w:cs="宋体"/>
          <w:bCs/>
          <w:kern w:val="2"/>
          <w:sz w:val="22"/>
          <w:lang w:eastAsia="zh-CN"/>
        </w:rPr>
        <w:t>时尚体育旅游基础设施提升工程(叶岸山特大桥工程）供配电照明系统(二次)</w:t>
      </w:r>
    </w:p>
    <w:p w14:paraId="4CC9F3EB">
      <w:pPr>
        <w:pStyle w:val="21"/>
        <w:widowControl/>
        <w:wordWrap w:val="0"/>
        <w:spacing w:beforeAutospacing="0" w:afterAutospacing="0" w:line="440" w:lineRule="exact"/>
        <w:ind w:firstLine="440" w:firstLineChars="200"/>
        <w:rPr>
          <w:rFonts w:hint="eastAsia" w:ascii="宋体" w:hAnsi="宋体" w:cs="宋体"/>
          <w:bCs/>
          <w:kern w:val="2"/>
          <w:sz w:val="22"/>
        </w:rPr>
      </w:pPr>
      <w:r>
        <w:rPr>
          <w:rFonts w:hint="eastAsia" w:ascii="宋体" w:hAnsi="宋体" w:cs="宋体"/>
          <w:bCs/>
          <w:kern w:val="2"/>
          <w:sz w:val="22"/>
        </w:rPr>
        <w:t>采购方式：竞争性磋商 </w:t>
      </w:r>
    </w:p>
    <w:p w14:paraId="5F423BE2">
      <w:pPr>
        <w:pStyle w:val="21"/>
        <w:widowControl/>
        <w:wordWrap w:val="0"/>
        <w:spacing w:beforeAutospacing="0" w:afterAutospacing="0" w:line="440" w:lineRule="exact"/>
        <w:ind w:firstLine="440" w:firstLineChars="200"/>
        <w:rPr>
          <w:rFonts w:hint="eastAsia" w:ascii="宋体" w:hAnsi="宋体" w:eastAsia="宋体" w:cs="宋体"/>
          <w:bCs/>
          <w:kern w:val="2"/>
          <w:sz w:val="22"/>
          <w:lang w:eastAsia="zh-CN"/>
        </w:rPr>
      </w:pPr>
      <w:r>
        <w:rPr>
          <w:rFonts w:hint="eastAsia" w:ascii="宋体" w:hAnsi="宋体" w:cs="宋体"/>
          <w:bCs/>
          <w:kern w:val="2"/>
          <w:sz w:val="22"/>
        </w:rPr>
        <w:t>预算金额（元）：</w:t>
      </w:r>
      <w:r>
        <w:rPr>
          <w:rFonts w:hint="eastAsia" w:ascii="宋体" w:hAnsi="宋体" w:cs="宋体"/>
          <w:bCs/>
          <w:kern w:val="2"/>
          <w:sz w:val="22"/>
          <w:u w:val="single"/>
          <w:lang w:eastAsia="zh-CN"/>
        </w:rPr>
        <w:t>502199</w:t>
      </w:r>
    </w:p>
    <w:p w14:paraId="465DA65E">
      <w:pPr>
        <w:pStyle w:val="21"/>
        <w:widowControl/>
        <w:wordWrap w:val="0"/>
        <w:spacing w:beforeAutospacing="0" w:afterAutospacing="0" w:line="440" w:lineRule="exact"/>
        <w:ind w:firstLine="440" w:firstLineChars="200"/>
        <w:rPr>
          <w:rFonts w:hint="eastAsia" w:ascii="宋体" w:hAnsi="宋体" w:eastAsia="宋体" w:cs="宋体"/>
          <w:bCs/>
          <w:kern w:val="2"/>
          <w:sz w:val="22"/>
          <w:lang w:eastAsia="zh-CN"/>
        </w:rPr>
      </w:pPr>
      <w:r>
        <w:rPr>
          <w:rFonts w:hint="eastAsia" w:ascii="宋体" w:hAnsi="宋体" w:cs="宋体"/>
          <w:bCs/>
          <w:kern w:val="2"/>
          <w:sz w:val="22"/>
        </w:rPr>
        <w:t>最高限价（元）：</w:t>
      </w:r>
      <w:r>
        <w:rPr>
          <w:rFonts w:hint="eastAsia" w:ascii="宋体" w:hAnsi="宋体" w:cs="宋体"/>
          <w:bCs/>
          <w:kern w:val="2"/>
          <w:sz w:val="22"/>
          <w:u w:val="single"/>
          <w:lang w:eastAsia="zh-CN"/>
        </w:rPr>
        <w:t>502199</w:t>
      </w:r>
    </w:p>
    <w:p w14:paraId="571472C3">
      <w:pPr>
        <w:pStyle w:val="21"/>
        <w:widowControl/>
        <w:wordWrap w:val="0"/>
        <w:spacing w:beforeAutospacing="0" w:afterAutospacing="0" w:line="440" w:lineRule="exact"/>
        <w:ind w:firstLine="440" w:firstLineChars="200"/>
        <w:rPr>
          <w:rFonts w:hint="eastAsia" w:ascii="宋体" w:hAnsi="宋体" w:cs="宋体"/>
          <w:bCs/>
          <w:kern w:val="2"/>
          <w:sz w:val="22"/>
        </w:rPr>
      </w:pPr>
      <w:r>
        <w:rPr>
          <w:rFonts w:hint="eastAsia" w:ascii="宋体" w:hAnsi="宋体" w:cs="宋体"/>
          <w:bCs/>
          <w:kern w:val="2"/>
          <w:sz w:val="22"/>
        </w:rPr>
        <w:t>采购需求：</w:t>
      </w:r>
    </w:p>
    <w:p w14:paraId="1A7EB835">
      <w:pPr>
        <w:pStyle w:val="21"/>
        <w:widowControl/>
        <w:wordWrap w:val="0"/>
        <w:spacing w:beforeAutospacing="0" w:afterAutospacing="0" w:line="440" w:lineRule="exact"/>
        <w:ind w:firstLine="440" w:firstLineChars="200"/>
        <w:rPr>
          <w:rFonts w:hint="eastAsia" w:ascii="宋体" w:hAnsi="宋体" w:cs="宋体"/>
          <w:bCs/>
          <w:kern w:val="2"/>
          <w:sz w:val="22"/>
        </w:rPr>
      </w:pPr>
      <w:r>
        <w:rPr>
          <w:rFonts w:hint="eastAsia" w:ascii="宋体" w:hAnsi="宋体" w:cs="宋体"/>
          <w:bCs/>
          <w:kern w:val="2"/>
          <w:sz w:val="22"/>
        </w:rPr>
        <w:t>数量：1</w:t>
      </w:r>
    </w:p>
    <w:p w14:paraId="3BECC10D">
      <w:pPr>
        <w:pStyle w:val="21"/>
        <w:widowControl/>
        <w:wordWrap w:val="0"/>
        <w:spacing w:beforeAutospacing="0" w:afterAutospacing="0" w:line="440" w:lineRule="exact"/>
        <w:ind w:firstLine="440" w:firstLineChars="200"/>
        <w:rPr>
          <w:rFonts w:hint="eastAsia" w:ascii="宋体" w:hAnsi="宋体" w:eastAsia="宋体" w:cs="宋体"/>
          <w:bCs/>
          <w:kern w:val="2"/>
          <w:sz w:val="22"/>
          <w:lang w:eastAsia="zh-CN"/>
        </w:rPr>
      </w:pPr>
      <w:r>
        <w:rPr>
          <w:rFonts w:hint="eastAsia" w:ascii="宋体" w:hAnsi="宋体" w:cs="宋体"/>
          <w:bCs/>
          <w:kern w:val="2"/>
          <w:sz w:val="22"/>
        </w:rPr>
        <w:t>预算金额（元）：</w:t>
      </w:r>
      <w:r>
        <w:rPr>
          <w:rFonts w:hint="eastAsia" w:ascii="宋体" w:hAnsi="宋体" w:cs="宋体"/>
          <w:bCs/>
          <w:kern w:val="2"/>
          <w:sz w:val="22"/>
          <w:u w:val="single"/>
          <w:lang w:eastAsia="zh-CN"/>
        </w:rPr>
        <w:t>502199</w:t>
      </w:r>
    </w:p>
    <w:p w14:paraId="04D4A17D">
      <w:pPr>
        <w:pStyle w:val="21"/>
        <w:widowControl/>
        <w:wordWrap w:val="0"/>
        <w:spacing w:beforeAutospacing="0" w:afterAutospacing="0" w:line="440" w:lineRule="exact"/>
        <w:ind w:firstLine="440" w:firstLineChars="200"/>
        <w:rPr>
          <w:rFonts w:hint="eastAsia" w:ascii="宋体" w:hAnsi="宋体" w:cs="宋体"/>
          <w:bCs/>
          <w:kern w:val="2"/>
          <w:sz w:val="22"/>
        </w:rPr>
      </w:pPr>
      <w:r>
        <w:rPr>
          <w:rFonts w:hint="eastAsia" w:ascii="宋体" w:hAnsi="宋体" w:cs="宋体"/>
          <w:bCs/>
          <w:kern w:val="2"/>
          <w:sz w:val="22"/>
        </w:rPr>
        <w:t>单位：项 </w:t>
      </w:r>
    </w:p>
    <w:p w14:paraId="53FC7FA1">
      <w:pPr>
        <w:pStyle w:val="21"/>
        <w:widowControl/>
        <w:wordWrap w:val="0"/>
        <w:spacing w:beforeAutospacing="0" w:afterAutospacing="0" w:line="440" w:lineRule="exact"/>
        <w:ind w:firstLine="440" w:firstLineChars="200"/>
        <w:rPr>
          <w:rFonts w:hint="eastAsia" w:ascii="宋体" w:hAnsi="宋体" w:cs="宋体"/>
          <w:bCs/>
          <w:kern w:val="2"/>
          <w:sz w:val="22"/>
        </w:rPr>
      </w:pPr>
      <w:r>
        <w:rPr>
          <w:rFonts w:hint="eastAsia" w:ascii="宋体" w:hAnsi="宋体" w:cs="宋体"/>
          <w:bCs/>
          <w:kern w:val="2"/>
          <w:sz w:val="22"/>
        </w:rPr>
        <w:t>简要规格描述：</w:t>
      </w:r>
      <w:r>
        <w:rPr>
          <w:rFonts w:hint="eastAsia" w:ascii="宋体" w:hAnsi="宋体" w:cs="宋体"/>
          <w:bCs/>
          <w:kern w:val="2"/>
          <w:sz w:val="22"/>
          <w:lang w:eastAsia="zh-CN"/>
        </w:rPr>
        <w:t>时尚体育旅游基础设施提升工程(叶岸山特大桥工程）供配电照明系统</w:t>
      </w:r>
      <w:r>
        <w:rPr>
          <w:rFonts w:hint="eastAsia" w:ascii="宋体" w:hAnsi="宋体" w:cs="宋体"/>
          <w:bCs/>
          <w:kern w:val="2"/>
          <w:sz w:val="22"/>
        </w:rPr>
        <w:t>。</w:t>
      </w:r>
    </w:p>
    <w:p w14:paraId="00E79F06">
      <w:pPr>
        <w:pStyle w:val="21"/>
        <w:widowControl/>
        <w:wordWrap w:val="0"/>
        <w:spacing w:beforeAutospacing="0" w:afterAutospacing="0" w:line="440" w:lineRule="exact"/>
        <w:ind w:firstLine="440" w:firstLineChars="200"/>
        <w:rPr>
          <w:rFonts w:hint="eastAsia" w:ascii="宋体" w:hAnsi="宋体" w:cs="宋体"/>
          <w:bCs/>
          <w:kern w:val="2"/>
          <w:sz w:val="22"/>
        </w:rPr>
      </w:pPr>
      <w:r>
        <w:rPr>
          <w:rFonts w:hint="eastAsia" w:ascii="宋体" w:hAnsi="宋体" w:cs="宋体"/>
          <w:bCs/>
          <w:kern w:val="2"/>
          <w:sz w:val="22"/>
        </w:rPr>
        <w:t>备注： </w:t>
      </w:r>
    </w:p>
    <w:p w14:paraId="23AC28A7">
      <w:pPr>
        <w:pStyle w:val="21"/>
        <w:widowControl/>
        <w:wordWrap w:val="0"/>
        <w:spacing w:beforeAutospacing="0" w:afterAutospacing="0" w:line="440" w:lineRule="exact"/>
        <w:ind w:firstLine="440" w:firstLineChars="200"/>
        <w:rPr>
          <w:rFonts w:hint="eastAsia" w:ascii="宋体" w:hAnsi="宋体" w:cs="宋体"/>
          <w:bCs/>
          <w:kern w:val="2"/>
          <w:sz w:val="22"/>
        </w:rPr>
      </w:pPr>
      <w:r>
        <w:rPr>
          <w:rFonts w:hint="eastAsia" w:ascii="宋体" w:hAnsi="宋体" w:cs="宋体"/>
          <w:bCs/>
          <w:kern w:val="2"/>
          <w:sz w:val="22"/>
        </w:rPr>
        <w:t>合同履约期限：标项 1，详见招标文件。 </w:t>
      </w:r>
    </w:p>
    <w:p w14:paraId="3E605F11">
      <w:pPr>
        <w:pStyle w:val="38"/>
        <w:adjustRightInd w:val="0"/>
        <w:snapToGrid w:val="0"/>
        <w:spacing w:line="440" w:lineRule="exact"/>
        <w:ind w:firstLine="440" w:firstLineChars="200"/>
        <w:rPr>
          <w:rFonts w:hint="eastAsia" w:hAnsi="宋体" w:cs="宋体"/>
          <w:bCs/>
          <w:kern w:val="2"/>
          <w:sz w:val="22"/>
        </w:rPr>
      </w:pPr>
      <w:r>
        <w:rPr>
          <w:rFonts w:hint="eastAsia" w:hAnsi="宋体" w:cs="宋体"/>
          <w:bCs/>
          <w:kern w:val="2"/>
          <w:sz w:val="22"/>
        </w:rPr>
        <w:t>本项目（</w:t>
      </w:r>
      <w:r>
        <w:rPr>
          <w:rFonts w:hint="eastAsia" w:hAnsi="宋体" w:cs="宋体"/>
          <w:bCs/>
          <w:kern w:val="2"/>
          <w:sz w:val="22"/>
          <w:lang w:val="en-US" w:eastAsia="zh-CN"/>
        </w:rPr>
        <w:t>否</w:t>
      </w:r>
      <w:r>
        <w:rPr>
          <w:rFonts w:hint="eastAsia" w:hAnsi="宋体" w:cs="宋体"/>
          <w:bCs/>
          <w:kern w:val="2"/>
          <w:sz w:val="22"/>
        </w:rPr>
        <w:t>）接受联合体投标。</w:t>
      </w:r>
    </w:p>
    <w:p w14:paraId="4A81AB25">
      <w:pPr>
        <w:pStyle w:val="21"/>
        <w:widowControl/>
        <w:wordWrap w:val="0"/>
        <w:spacing w:beforeAutospacing="0" w:afterAutospacing="0" w:line="440" w:lineRule="exact"/>
        <w:ind w:firstLine="442"/>
        <w:jc w:val="both"/>
        <w:rPr>
          <w:rFonts w:hint="eastAsia" w:ascii="宋体" w:hAnsi="宋体" w:cs="宋体"/>
          <w:b/>
          <w:kern w:val="2"/>
          <w:sz w:val="22"/>
        </w:rPr>
      </w:pPr>
      <w:r>
        <w:rPr>
          <w:rFonts w:hint="eastAsia" w:ascii="宋体" w:hAnsi="宋体" w:cs="宋体"/>
          <w:b/>
          <w:kern w:val="2"/>
          <w:sz w:val="22"/>
        </w:rPr>
        <w:t>二、申请人的资格要求：</w:t>
      </w:r>
    </w:p>
    <w:p w14:paraId="0ABABDCB">
      <w:pPr>
        <w:spacing w:line="440" w:lineRule="exact"/>
        <w:ind w:firstLine="440" w:firstLineChars="200"/>
        <w:rPr>
          <w:rFonts w:hint="eastAsia" w:ascii="宋体" w:hAnsi="宋体" w:cs="宋体"/>
          <w:sz w:val="22"/>
        </w:rPr>
      </w:pPr>
      <w:r>
        <w:rPr>
          <w:rFonts w:hint="eastAsia" w:ascii="宋体" w:hAnsi="宋体" w:cs="宋体"/>
          <w:sz w:val="22"/>
        </w:rPr>
        <w:t>1.一般资格条件：（1）具有独立承担民事责任的能力，具有良好的商业信誉和健全的财务会计制度，具有履行合同所必需的设备和专业技术能力，有依法缴纳税收和社会保障资金的良好记录，参加采购活动前三年内，在经营活动中没有重大违法记录，法律、行政法规规定的其他条件。（2）供应商未被列入失信被执行人名单、重大税收违法案件当事人名单、国企采购严重违法失信行为记录名单，信用信息以信用中国网站（www.creditchina.gov.cn）、中国政府采购网（www.ccgp.gov.cn）公布为准。</w:t>
      </w:r>
    </w:p>
    <w:p w14:paraId="460BC37D">
      <w:pPr>
        <w:pStyle w:val="9"/>
        <w:spacing w:line="440" w:lineRule="exact"/>
        <w:ind w:firstLine="440" w:firstLineChars="200"/>
        <w:rPr>
          <w:rFonts w:hint="eastAsia" w:ascii="宋体" w:hAnsi="宋体" w:cs="宋体"/>
          <w:sz w:val="22"/>
        </w:rPr>
      </w:pPr>
      <w:r>
        <w:rPr>
          <w:rFonts w:hint="eastAsia" w:ascii="宋体" w:hAnsi="宋体" w:cs="宋体"/>
          <w:sz w:val="22"/>
        </w:rPr>
        <w:t>2.特殊资格条件：本项目专门面向中小企业。</w:t>
      </w:r>
    </w:p>
    <w:p w14:paraId="56712C53">
      <w:pPr>
        <w:pStyle w:val="9"/>
        <w:spacing w:line="440" w:lineRule="exact"/>
        <w:ind w:firstLine="440" w:firstLineChars="200"/>
        <w:rPr>
          <w:rFonts w:hint="eastAsia" w:ascii="宋体" w:hAnsi="宋体" w:cs="宋体"/>
          <w:bCs/>
          <w:sz w:val="22"/>
        </w:rPr>
      </w:pPr>
      <w:r>
        <w:rPr>
          <w:rFonts w:hint="eastAsia" w:ascii="宋体" w:hAnsi="宋体" w:cs="宋体"/>
          <w:sz w:val="22"/>
        </w:rPr>
        <w:t>3.本项目的特定资格要求：（1）须具备独立法人资格，公路交通工程（公路机电工程）专业承包贰级及以上资质。</w:t>
      </w:r>
    </w:p>
    <w:p w14:paraId="2D05E90C">
      <w:pPr>
        <w:pStyle w:val="21"/>
        <w:widowControl/>
        <w:wordWrap w:val="0"/>
        <w:spacing w:beforeAutospacing="0" w:afterAutospacing="0" w:line="440" w:lineRule="exact"/>
        <w:ind w:firstLine="442"/>
        <w:jc w:val="both"/>
        <w:rPr>
          <w:rFonts w:hint="eastAsia" w:ascii="宋体" w:hAnsi="宋体" w:cs="宋体"/>
          <w:b/>
          <w:kern w:val="2"/>
          <w:sz w:val="22"/>
        </w:rPr>
      </w:pPr>
      <w:r>
        <w:rPr>
          <w:rFonts w:hint="eastAsia" w:ascii="宋体" w:hAnsi="宋体" w:cs="宋体"/>
          <w:b/>
          <w:kern w:val="2"/>
          <w:sz w:val="22"/>
        </w:rPr>
        <w:t>三、获取</w:t>
      </w:r>
      <w:r>
        <w:rPr>
          <w:rFonts w:hint="eastAsia" w:ascii="宋体" w:hAnsi="宋体" w:cs="宋体"/>
          <w:b/>
          <w:kern w:val="2"/>
          <w:sz w:val="22"/>
          <w:lang w:val="en-US" w:eastAsia="zh-CN"/>
        </w:rPr>
        <w:t>采购</w:t>
      </w:r>
      <w:r>
        <w:rPr>
          <w:rFonts w:hint="eastAsia" w:ascii="宋体" w:hAnsi="宋体" w:cs="宋体"/>
          <w:b/>
          <w:kern w:val="2"/>
          <w:sz w:val="22"/>
        </w:rPr>
        <w:t>文件</w:t>
      </w:r>
    </w:p>
    <w:p w14:paraId="3AAAB700">
      <w:pPr>
        <w:pStyle w:val="21"/>
        <w:widowControl/>
        <w:wordWrap w:val="0"/>
        <w:spacing w:beforeAutospacing="0" w:afterAutospacing="0" w:line="440" w:lineRule="exact"/>
        <w:ind w:firstLine="440" w:firstLineChars="200"/>
        <w:rPr>
          <w:rFonts w:hint="eastAsia" w:ascii="宋体" w:hAnsi="宋体" w:cs="宋体"/>
          <w:bCs/>
          <w:kern w:val="2"/>
          <w:sz w:val="22"/>
        </w:rPr>
      </w:pPr>
      <w:r>
        <w:rPr>
          <w:rFonts w:hint="eastAsia" w:ascii="宋体" w:hAnsi="宋体" w:cs="宋体"/>
          <w:bCs/>
          <w:kern w:val="2"/>
          <w:sz w:val="22"/>
        </w:rPr>
        <w:t>时间：2025年</w:t>
      </w:r>
      <w:r>
        <w:rPr>
          <w:rFonts w:hint="eastAsia" w:ascii="宋体" w:hAnsi="宋体" w:cs="宋体"/>
          <w:bCs/>
          <w:kern w:val="2"/>
          <w:sz w:val="22"/>
          <w:lang w:val="en-US" w:eastAsia="zh-CN"/>
        </w:rPr>
        <w:t>9</w:t>
      </w:r>
      <w:r>
        <w:rPr>
          <w:rFonts w:hint="eastAsia" w:ascii="宋体" w:hAnsi="宋体" w:cs="宋体"/>
          <w:bCs/>
          <w:kern w:val="2"/>
          <w:sz w:val="22"/>
        </w:rPr>
        <w:t>月</w:t>
      </w:r>
      <w:r>
        <w:rPr>
          <w:rFonts w:hint="eastAsia" w:ascii="宋体" w:hAnsi="宋体" w:cs="宋体"/>
          <w:bCs/>
          <w:kern w:val="2"/>
          <w:sz w:val="22"/>
          <w:lang w:val="en-US" w:eastAsia="zh-CN"/>
        </w:rPr>
        <w:t>9</w:t>
      </w:r>
      <w:r>
        <w:rPr>
          <w:rFonts w:hint="eastAsia" w:ascii="宋体" w:hAnsi="宋体" w:cs="宋体"/>
          <w:bCs/>
          <w:kern w:val="2"/>
          <w:sz w:val="22"/>
        </w:rPr>
        <w:t>日至2025年</w:t>
      </w:r>
      <w:r>
        <w:rPr>
          <w:rFonts w:hint="eastAsia" w:ascii="宋体" w:hAnsi="宋体" w:cs="宋体"/>
          <w:bCs/>
          <w:kern w:val="2"/>
          <w:sz w:val="22"/>
          <w:lang w:val="en-US" w:eastAsia="zh-CN"/>
        </w:rPr>
        <w:t>9月22</w:t>
      </w:r>
      <w:r>
        <w:rPr>
          <w:rFonts w:hint="eastAsia" w:ascii="宋体" w:hAnsi="宋体" w:cs="宋体"/>
          <w:bCs/>
          <w:kern w:val="2"/>
          <w:sz w:val="22"/>
        </w:rPr>
        <w:t>日，每天上午00:00至12:00，下午12:00至23:59（北京时间，线上获取法定节假日均可，线下获取文件法定节假日除外）</w:t>
      </w:r>
    </w:p>
    <w:p w14:paraId="3B457318">
      <w:pPr>
        <w:pStyle w:val="21"/>
        <w:widowControl/>
        <w:wordWrap w:val="0"/>
        <w:spacing w:beforeAutospacing="0" w:afterAutospacing="0" w:line="440" w:lineRule="exact"/>
        <w:ind w:firstLine="440" w:firstLineChars="200"/>
        <w:rPr>
          <w:rFonts w:hint="eastAsia" w:ascii="宋体" w:hAnsi="宋体" w:cs="宋体"/>
          <w:bCs/>
          <w:kern w:val="2"/>
          <w:sz w:val="22"/>
        </w:rPr>
      </w:pPr>
      <w:r>
        <w:rPr>
          <w:rFonts w:hint="eastAsia" w:ascii="宋体" w:hAnsi="宋体" w:cs="宋体"/>
          <w:bCs/>
          <w:kern w:val="2"/>
          <w:sz w:val="22"/>
        </w:rPr>
        <w:t>地点（网址）：采购文件在乐采云（https://www.lecaiyun.com/）下载。</w:t>
      </w:r>
    </w:p>
    <w:p w14:paraId="210ED047">
      <w:pPr>
        <w:pStyle w:val="21"/>
        <w:widowControl/>
        <w:wordWrap w:val="0"/>
        <w:spacing w:beforeAutospacing="0" w:afterAutospacing="0" w:line="440" w:lineRule="exact"/>
        <w:ind w:firstLine="440" w:firstLineChars="200"/>
        <w:rPr>
          <w:rFonts w:hint="eastAsia" w:ascii="宋体" w:hAnsi="宋体" w:cs="宋体"/>
          <w:bCs/>
          <w:kern w:val="2"/>
          <w:sz w:val="22"/>
        </w:rPr>
      </w:pPr>
      <w:r>
        <w:rPr>
          <w:rFonts w:hint="eastAsia" w:ascii="宋体" w:hAnsi="宋体" w:cs="宋体"/>
          <w:bCs/>
          <w:kern w:val="2"/>
          <w:sz w:val="22"/>
        </w:rPr>
        <w:t>方式：供应商登录乐采云（https://www.lecaiyun.com/）在线申请获取采购文件。</w:t>
      </w:r>
    </w:p>
    <w:p w14:paraId="22024FDC">
      <w:pPr>
        <w:pStyle w:val="21"/>
        <w:widowControl/>
        <w:wordWrap w:val="0"/>
        <w:spacing w:beforeAutospacing="0" w:afterAutospacing="0" w:line="440" w:lineRule="exact"/>
        <w:ind w:firstLine="442"/>
        <w:jc w:val="both"/>
        <w:rPr>
          <w:rFonts w:hint="eastAsia" w:ascii="宋体" w:hAnsi="宋体" w:cs="宋体"/>
          <w:b/>
          <w:kern w:val="2"/>
          <w:sz w:val="22"/>
        </w:rPr>
      </w:pPr>
      <w:r>
        <w:rPr>
          <w:rFonts w:hint="eastAsia" w:ascii="宋体" w:hAnsi="宋体" w:cs="宋体"/>
          <w:b/>
          <w:kern w:val="2"/>
          <w:sz w:val="22"/>
        </w:rPr>
        <w:t>四、响应文件提交</w:t>
      </w:r>
    </w:p>
    <w:p w14:paraId="1B71EC94">
      <w:pPr>
        <w:pStyle w:val="21"/>
        <w:widowControl/>
        <w:wordWrap w:val="0"/>
        <w:spacing w:beforeAutospacing="0" w:afterAutospacing="0" w:line="440" w:lineRule="exact"/>
        <w:ind w:firstLine="440" w:firstLineChars="200"/>
        <w:rPr>
          <w:rFonts w:hint="eastAsia" w:ascii="宋体" w:hAnsi="宋体" w:cs="宋体"/>
          <w:bCs/>
          <w:kern w:val="2"/>
          <w:sz w:val="22"/>
        </w:rPr>
      </w:pPr>
      <w:r>
        <w:rPr>
          <w:rFonts w:hint="eastAsia" w:ascii="宋体" w:hAnsi="宋体" w:cs="宋体"/>
          <w:bCs/>
          <w:kern w:val="2"/>
          <w:sz w:val="22"/>
        </w:rPr>
        <w:t>1.截止时间：</w:t>
      </w:r>
      <w:r>
        <w:rPr>
          <w:rFonts w:hint="eastAsia" w:ascii="宋体" w:hAnsi="宋体" w:cs="宋体"/>
          <w:bCs/>
          <w:kern w:val="2"/>
          <w:sz w:val="22"/>
          <w:u w:val="single"/>
        </w:rPr>
        <w:t>2025年</w:t>
      </w:r>
      <w:r>
        <w:rPr>
          <w:rFonts w:hint="eastAsia" w:ascii="宋体" w:hAnsi="宋体" w:cs="宋体"/>
          <w:bCs/>
          <w:kern w:val="2"/>
          <w:sz w:val="22"/>
          <w:u w:val="single"/>
          <w:lang w:val="en-US" w:eastAsia="zh-CN"/>
        </w:rPr>
        <w:t>9月22</w:t>
      </w:r>
      <w:r>
        <w:rPr>
          <w:rFonts w:hint="eastAsia" w:ascii="宋体" w:hAnsi="宋体" w:cs="宋体"/>
          <w:bCs/>
          <w:kern w:val="2"/>
          <w:sz w:val="22"/>
          <w:u w:val="single"/>
        </w:rPr>
        <w:t>日下午1</w:t>
      </w:r>
      <w:r>
        <w:rPr>
          <w:rFonts w:ascii="宋体" w:hAnsi="宋体" w:cs="宋体"/>
          <w:bCs/>
          <w:kern w:val="2"/>
          <w:sz w:val="22"/>
          <w:u w:val="single"/>
        </w:rPr>
        <w:t>5</w:t>
      </w:r>
      <w:r>
        <w:rPr>
          <w:rFonts w:hint="eastAsia" w:ascii="宋体" w:hAnsi="宋体" w:cs="宋体"/>
          <w:bCs/>
          <w:kern w:val="2"/>
          <w:sz w:val="22"/>
          <w:u w:val="single"/>
        </w:rPr>
        <w:t>:00 时</w:t>
      </w:r>
      <w:r>
        <w:rPr>
          <w:rFonts w:hint="eastAsia" w:ascii="宋体" w:hAnsi="宋体" w:cs="宋体"/>
          <w:bCs/>
          <w:kern w:val="2"/>
          <w:sz w:val="22"/>
        </w:rPr>
        <w:t>（北京时间）。</w:t>
      </w:r>
    </w:p>
    <w:p w14:paraId="4E7DE6EA">
      <w:pPr>
        <w:pStyle w:val="21"/>
        <w:widowControl/>
        <w:wordWrap w:val="0"/>
        <w:spacing w:beforeAutospacing="0" w:afterAutospacing="0" w:line="440" w:lineRule="exact"/>
        <w:ind w:firstLine="440" w:firstLineChars="200"/>
        <w:rPr>
          <w:rFonts w:hint="eastAsia" w:ascii="宋体" w:hAnsi="宋体" w:cs="宋体"/>
          <w:bCs/>
          <w:kern w:val="2"/>
          <w:sz w:val="22"/>
        </w:rPr>
      </w:pPr>
      <w:r>
        <w:rPr>
          <w:rFonts w:hint="eastAsia" w:ascii="宋体" w:hAnsi="宋体" w:cs="宋体"/>
          <w:bCs/>
          <w:kern w:val="2"/>
          <w:sz w:val="22"/>
        </w:rPr>
        <w:t>2.响应文件提交地点：通过“乐采云平台（www.lecaiyun.com）”，实行在线投标响应（电子投标）。</w:t>
      </w:r>
    </w:p>
    <w:p w14:paraId="6792179D">
      <w:pPr>
        <w:pStyle w:val="21"/>
        <w:widowControl/>
        <w:wordWrap w:val="0"/>
        <w:spacing w:beforeAutospacing="0" w:afterAutospacing="0" w:line="440" w:lineRule="exact"/>
        <w:ind w:firstLine="442"/>
        <w:jc w:val="both"/>
        <w:rPr>
          <w:rFonts w:hint="eastAsia" w:ascii="宋体" w:hAnsi="宋体" w:cs="宋体"/>
          <w:b/>
          <w:kern w:val="2"/>
          <w:sz w:val="22"/>
        </w:rPr>
      </w:pPr>
      <w:r>
        <w:rPr>
          <w:rFonts w:hint="eastAsia" w:ascii="宋体" w:hAnsi="宋体" w:cs="宋体"/>
          <w:b/>
          <w:kern w:val="2"/>
          <w:sz w:val="22"/>
        </w:rPr>
        <w:t>五、响应文件开启</w:t>
      </w:r>
    </w:p>
    <w:p w14:paraId="71444B58">
      <w:pPr>
        <w:pStyle w:val="21"/>
        <w:widowControl/>
        <w:wordWrap w:val="0"/>
        <w:spacing w:beforeAutospacing="0" w:afterAutospacing="0" w:line="440" w:lineRule="exact"/>
        <w:rPr>
          <w:rFonts w:hint="eastAsia" w:ascii="宋体" w:hAnsi="宋体" w:cs="宋体"/>
          <w:bCs/>
          <w:kern w:val="2"/>
          <w:sz w:val="22"/>
        </w:rPr>
      </w:pPr>
      <w:r>
        <w:rPr>
          <w:rFonts w:hint="eastAsia" w:ascii="宋体" w:hAnsi="宋体" w:cs="宋体"/>
          <w:bCs/>
          <w:kern w:val="2"/>
          <w:sz w:val="22"/>
        </w:rPr>
        <w:t>  开启时间：</w:t>
      </w:r>
      <w:r>
        <w:rPr>
          <w:rFonts w:hint="eastAsia" w:ascii="宋体" w:hAnsi="宋体" w:cs="宋体"/>
          <w:bCs/>
          <w:kern w:val="2"/>
          <w:sz w:val="22"/>
          <w:u w:val="single"/>
        </w:rPr>
        <w:t>2025年</w:t>
      </w:r>
      <w:r>
        <w:rPr>
          <w:rFonts w:hint="eastAsia" w:ascii="宋体" w:hAnsi="宋体" w:cs="宋体"/>
          <w:bCs/>
          <w:kern w:val="2"/>
          <w:sz w:val="22"/>
          <w:u w:val="single"/>
          <w:lang w:val="en-US" w:eastAsia="zh-CN"/>
        </w:rPr>
        <w:t>9月22</w:t>
      </w:r>
      <w:r>
        <w:rPr>
          <w:rFonts w:hint="eastAsia" w:ascii="宋体" w:hAnsi="宋体" w:cs="宋体"/>
          <w:bCs/>
          <w:kern w:val="2"/>
          <w:sz w:val="22"/>
          <w:u w:val="single"/>
        </w:rPr>
        <w:t>日下午1</w:t>
      </w:r>
      <w:r>
        <w:rPr>
          <w:rFonts w:ascii="宋体" w:hAnsi="宋体" w:cs="宋体"/>
          <w:bCs/>
          <w:kern w:val="2"/>
          <w:sz w:val="22"/>
          <w:u w:val="single"/>
        </w:rPr>
        <w:t>5</w:t>
      </w:r>
      <w:r>
        <w:rPr>
          <w:rFonts w:hint="eastAsia" w:ascii="宋体" w:hAnsi="宋体" w:cs="宋体"/>
          <w:bCs/>
          <w:kern w:val="2"/>
          <w:sz w:val="22"/>
          <w:u w:val="single"/>
        </w:rPr>
        <w:t>:00 时</w:t>
      </w:r>
      <w:r>
        <w:rPr>
          <w:rFonts w:hint="eastAsia" w:ascii="宋体" w:hAnsi="宋体" w:cs="宋体"/>
          <w:bCs/>
          <w:kern w:val="2"/>
          <w:sz w:val="22"/>
        </w:rPr>
        <w:t>（北京时间）</w:t>
      </w:r>
    </w:p>
    <w:p w14:paraId="09AA14DA">
      <w:pPr>
        <w:pStyle w:val="21"/>
        <w:widowControl/>
        <w:wordWrap w:val="0"/>
        <w:spacing w:beforeAutospacing="0" w:afterAutospacing="0" w:line="440" w:lineRule="exact"/>
        <w:rPr>
          <w:rFonts w:hint="eastAsia" w:ascii="宋体" w:hAnsi="宋体" w:cs="宋体"/>
          <w:bCs/>
          <w:kern w:val="2"/>
          <w:sz w:val="22"/>
        </w:rPr>
      </w:pPr>
      <w:r>
        <w:rPr>
          <w:rFonts w:hint="eastAsia" w:ascii="宋体" w:hAnsi="宋体" w:cs="宋体"/>
          <w:bCs/>
          <w:kern w:val="2"/>
          <w:sz w:val="22"/>
        </w:rPr>
        <w:t>  地点（网址）：乐采云（www.lecaiyun.com）线上开标。</w:t>
      </w:r>
    </w:p>
    <w:p w14:paraId="65D01ECE">
      <w:pPr>
        <w:pStyle w:val="21"/>
        <w:widowControl/>
        <w:wordWrap w:val="0"/>
        <w:spacing w:beforeAutospacing="0" w:afterAutospacing="0" w:line="440" w:lineRule="exact"/>
        <w:ind w:firstLine="442"/>
        <w:jc w:val="both"/>
        <w:rPr>
          <w:rFonts w:hint="eastAsia" w:ascii="宋体" w:hAnsi="宋体" w:cs="宋体"/>
          <w:b/>
          <w:kern w:val="2"/>
          <w:sz w:val="22"/>
        </w:rPr>
      </w:pPr>
      <w:r>
        <w:rPr>
          <w:rFonts w:hint="eastAsia" w:ascii="宋体" w:hAnsi="宋体" w:cs="宋体"/>
          <w:b/>
          <w:kern w:val="2"/>
          <w:sz w:val="22"/>
        </w:rPr>
        <w:t>六、公告期限</w:t>
      </w:r>
    </w:p>
    <w:p w14:paraId="320828CF">
      <w:pPr>
        <w:pStyle w:val="21"/>
        <w:widowControl/>
        <w:wordWrap w:val="0"/>
        <w:spacing w:beforeAutospacing="0" w:afterAutospacing="0" w:line="440" w:lineRule="exact"/>
        <w:rPr>
          <w:rFonts w:hint="eastAsia" w:ascii="宋体" w:hAnsi="宋体" w:cs="宋体"/>
          <w:bCs/>
          <w:kern w:val="2"/>
          <w:sz w:val="22"/>
        </w:rPr>
      </w:pPr>
      <w:r>
        <w:rPr>
          <w:rFonts w:hint="eastAsia" w:ascii="宋体" w:hAnsi="宋体" w:cs="宋体"/>
          <w:bCs/>
          <w:kern w:val="2"/>
          <w:sz w:val="22"/>
        </w:rPr>
        <w:t>  自本公告发布之日起3个工作日。</w:t>
      </w:r>
    </w:p>
    <w:p w14:paraId="6BE9B50B">
      <w:pPr>
        <w:pStyle w:val="21"/>
        <w:widowControl/>
        <w:wordWrap w:val="0"/>
        <w:spacing w:beforeAutospacing="0" w:afterAutospacing="0" w:line="440" w:lineRule="exact"/>
        <w:ind w:firstLine="442"/>
        <w:jc w:val="both"/>
        <w:rPr>
          <w:rFonts w:hint="eastAsia" w:ascii="宋体" w:hAnsi="宋体" w:cs="宋体"/>
          <w:b/>
          <w:kern w:val="2"/>
          <w:sz w:val="22"/>
        </w:rPr>
      </w:pPr>
      <w:r>
        <w:rPr>
          <w:rFonts w:hint="eastAsia" w:ascii="宋体" w:hAnsi="宋体" w:cs="宋体"/>
          <w:b/>
          <w:kern w:val="2"/>
          <w:sz w:val="22"/>
        </w:rPr>
        <w:t>七、其他补充事宜 </w:t>
      </w:r>
    </w:p>
    <w:p w14:paraId="10277B95">
      <w:pPr>
        <w:pStyle w:val="21"/>
        <w:widowControl/>
        <w:wordWrap w:val="0"/>
        <w:spacing w:beforeAutospacing="0" w:afterAutospacing="0" w:line="440" w:lineRule="exact"/>
        <w:ind w:firstLine="440" w:firstLineChars="200"/>
        <w:rPr>
          <w:rFonts w:hint="eastAsia" w:ascii="宋体" w:hAnsi="宋体" w:cs="宋体"/>
          <w:bCs/>
          <w:kern w:val="2"/>
          <w:sz w:val="22"/>
        </w:rPr>
      </w:pPr>
      <w:r>
        <w:rPr>
          <w:rFonts w:hint="eastAsia" w:ascii="宋体" w:hAnsi="宋体" w:cs="宋体"/>
          <w:bCs/>
          <w:kern w:val="2"/>
          <w:sz w:val="22"/>
        </w:rPr>
        <w:t>1.供应商认为竞争性磋商文件使自己的权益受到损害的，可以自收到竞争性磋商文件之日（发售截止日之后收到竞争性磋商文件的，以发售截止日为准）或者竞争性磋商文件公告期限届满之日（即为采购公告发布后的第6个工作日）起7个工作日内，以书面形式向采购人和采购代理机构提出质疑。</w:t>
      </w:r>
    </w:p>
    <w:p w14:paraId="3C68BAFA">
      <w:pPr>
        <w:pStyle w:val="21"/>
        <w:widowControl/>
        <w:wordWrap w:val="0"/>
        <w:spacing w:beforeAutospacing="0" w:afterAutospacing="0" w:line="440" w:lineRule="exact"/>
        <w:ind w:firstLine="440" w:firstLineChars="200"/>
        <w:rPr>
          <w:rFonts w:hint="eastAsia" w:ascii="宋体" w:hAnsi="宋体" w:cs="宋体"/>
          <w:bCs/>
          <w:kern w:val="2"/>
          <w:sz w:val="22"/>
        </w:rPr>
      </w:pPr>
      <w:r>
        <w:rPr>
          <w:rFonts w:hint="eastAsia" w:ascii="宋体" w:hAnsi="宋体" w:cs="宋体"/>
          <w:bCs/>
          <w:kern w:val="2"/>
          <w:sz w:val="22"/>
        </w:rPr>
        <w:t>2.采购公告附件的磋商文件仅供阅览使用，未按照本公告规定的方式获取磋商文件的潜在供应商提起的质疑，采购人及采购组织机构将不予受理、答复。</w:t>
      </w:r>
    </w:p>
    <w:p w14:paraId="59489BC0">
      <w:pPr>
        <w:pStyle w:val="21"/>
        <w:widowControl/>
        <w:wordWrap w:val="0"/>
        <w:spacing w:beforeAutospacing="0" w:afterAutospacing="0" w:line="440" w:lineRule="exact"/>
        <w:ind w:firstLine="440" w:firstLineChars="200"/>
        <w:rPr>
          <w:rFonts w:hint="eastAsia" w:ascii="宋体" w:hAnsi="宋体" w:cs="宋体"/>
          <w:bCs/>
          <w:kern w:val="2"/>
          <w:sz w:val="22"/>
        </w:rPr>
      </w:pPr>
      <w:r>
        <w:rPr>
          <w:rFonts w:hint="eastAsia" w:ascii="宋体" w:hAnsi="宋体" w:cs="宋体"/>
          <w:bCs/>
          <w:kern w:val="2"/>
          <w:sz w:val="22"/>
        </w:rPr>
        <w:t>3.供应商如对磋商文件有疑问应按磋商文件规定的询疑截止时间前提出，逾期提出的，采购组织机构可以不予受理、答复。</w:t>
      </w:r>
    </w:p>
    <w:p w14:paraId="54D2B979">
      <w:pPr>
        <w:pStyle w:val="21"/>
        <w:widowControl/>
        <w:wordWrap w:val="0"/>
        <w:spacing w:beforeAutospacing="0" w:afterAutospacing="0" w:line="440" w:lineRule="exact"/>
        <w:ind w:firstLine="440" w:firstLineChars="200"/>
        <w:rPr>
          <w:rFonts w:hint="eastAsia" w:ascii="宋体" w:hAnsi="宋体" w:cs="宋体"/>
          <w:bCs/>
          <w:kern w:val="2"/>
          <w:sz w:val="22"/>
        </w:rPr>
      </w:pPr>
      <w:r>
        <w:rPr>
          <w:rFonts w:hint="eastAsia" w:ascii="宋体" w:hAnsi="宋体" w:cs="宋体"/>
          <w:bCs/>
          <w:kern w:val="2"/>
          <w:sz w:val="22"/>
        </w:rPr>
        <w:t>4.书面质疑受理地点：温州市鹿城区市府路大自然写字楼3B座，联系人：</w:t>
      </w:r>
      <w:r>
        <w:rPr>
          <w:rFonts w:hint="eastAsia" w:ascii="宋体" w:hAnsi="宋体" w:cs="宋体"/>
          <w:bCs/>
          <w:kern w:val="2"/>
          <w:sz w:val="22"/>
          <w:lang w:val="en-US" w:eastAsia="zh-CN"/>
        </w:rPr>
        <w:t>周</w:t>
      </w:r>
      <w:r>
        <w:rPr>
          <w:rFonts w:hint="eastAsia" w:ascii="宋体" w:hAnsi="宋体" w:cs="宋体"/>
          <w:bCs/>
          <w:kern w:val="2"/>
          <w:sz w:val="22"/>
        </w:rPr>
        <w:t>先生，联系电话：</w:t>
      </w:r>
      <w:r>
        <w:rPr>
          <w:rFonts w:hint="eastAsia" w:ascii="宋体" w:hAnsi="宋体" w:eastAsia="宋体" w:cs="宋体"/>
          <w:sz w:val="22"/>
          <w:lang w:eastAsia="zh-CN"/>
        </w:rPr>
        <w:t>15267128041</w:t>
      </w:r>
      <w:r>
        <w:rPr>
          <w:rFonts w:hint="eastAsia" w:ascii="宋体" w:hAnsi="宋体" w:cs="宋体"/>
          <w:bCs/>
          <w:kern w:val="2"/>
          <w:sz w:val="22"/>
        </w:rPr>
        <w:t>。</w:t>
      </w:r>
    </w:p>
    <w:p w14:paraId="37886A23">
      <w:pPr>
        <w:pStyle w:val="21"/>
        <w:widowControl/>
        <w:wordWrap w:val="0"/>
        <w:spacing w:beforeAutospacing="0" w:afterAutospacing="0" w:line="440" w:lineRule="exact"/>
        <w:ind w:firstLine="440" w:firstLineChars="200"/>
        <w:rPr>
          <w:rFonts w:hint="eastAsia" w:ascii="宋体" w:hAnsi="宋体" w:cs="宋体"/>
          <w:bCs/>
          <w:kern w:val="2"/>
          <w:sz w:val="22"/>
        </w:rPr>
      </w:pPr>
      <w:r>
        <w:rPr>
          <w:rFonts w:hint="eastAsia" w:ascii="宋体" w:hAnsi="宋体" w:cs="宋体"/>
          <w:bCs/>
          <w:kern w:val="2"/>
          <w:sz w:val="22"/>
        </w:rPr>
        <w:t>5.供应商在使用系统进行投标的过程中遇到涉及平台使用的任何问题，可致电乐采云平台技术支持热线咨询，联系方式：95763。</w:t>
      </w:r>
    </w:p>
    <w:p w14:paraId="6FBD3D28">
      <w:pPr>
        <w:pStyle w:val="21"/>
        <w:widowControl/>
        <w:wordWrap w:val="0"/>
        <w:spacing w:beforeAutospacing="0" w:afterAutospacing="0" w:line="440" w:lineRule="exact"/>
        <w:ind w:firstLine="442"/>
        <w:jc w:val="both"/>
        <w:rPr>
          <w:rFonts w:hint="eastAsia" w:hAnsi="宋体"/>
          <w:sz w:val="22"/>
          <w:szCs w:val="22"/>
        </w:rPr>
      </w:pPr>
      <w:r>
        <w:rPr>
          <w:rFonts w:hint="eastAsia"/>
          <w:b/>
          <w:sz w:val="22"/>
          <w:szCs w:val="22"/>
        </w:rPr>
        <w:t>八、凡对本次采购提出询问、质疑、投诉，请按以下方式联系</w:t>
      </w:r>
    </w:p>
    <w:bookmarkEnd w:id="1"/>
    <w:p w14:paraId="382F6519">
      <w:pPr>
        <w:widowControl/>
        <w:snapToGrid w:val="0"/>
        <w:spacing w:line="440" w:lineRule="exact"/>
        <w:ind w:left="437" w:leftChars="208" w:right="62"/>
        <w:jc w:val="left"/>
        <w:rPr>
          <w:rFonts w:hint="eastAsia" w:ascii="宋体" w:hAnsi="宋体" w:eastAsia="宋体" w:cs="宋体"/>
          <w:sz w:val="22"/>
        </w:rPr>
      </w:pPr>
      <w:r>
        <w:rPr>
          <w:rFonts w:hint="eastAsia" w:ascii="宋体" w:hAnsi="宋体" w:eastAsia="宋体" w:cs="宋体"/>
          <w:sz w:val="22"/>
        </w:rPr>
        <w:t>1.采购人信息</w:t>
      </w:r>
    </w:p>
    <w:p w14:paraId="0C2D529B">
      <w:pPr>
        <w:widowControl/>
        <w:snapToGrid w:val="0"/>
        <w:spacing w:line="440" w:lineRule="exact"/>
        <w:ind w:left="437" w:leftChars="208" w:right="62"/>
        <w:jc w:val="left"/>
        <w:rPr>
          <w:rFonts w:hint="eastAsia" w:ascii="宋体" w:hAnsi="宋体" w:eastAsia="宋体" w:cs="宋体"/>
          <w:sz w:val="22"/>
          <w:lang w:eastAsia="zh-CN"/>
        </w:rPr>
      </w:pPr>
      <w:r>
        <w:rPr>
          <w:rFonts w:hint="eastAsia" w:ascii="宋体" w:hAnsi="宋体" w:eastAsia="宋体" w:cs="宋体"/>
          <w:sz w:val="22"/>
        </w:rPr>
        <w:t>名称：</w:t>
      </w:r>
      <w:r>
        <w:rPr>
          <w:rFonts w:hint="eastAsia" w:ascii="宋体" w:hAnsi="宋体" w:cs="宋体"/>
          <w:sz w:val="22"/>
          <w:lang w:eastAsia="zh-CN"/>
        </w:rPr>
        <w:t>泰顺县文旅集团有限公司</w:t>
      </w:r>
    </w:p>
    <w:p w14:paraId="6D7FD156">
      <w:pPr>
        <w:widowControl/>
        <w:snapToGrid w:val="0"/>
        <w:spacing w:line="440" w:lineRule="exact"/>
        <w:ind w:left="437" w:leftChars="208" w:right="62"/>
        <w:jc w:val="left"/>
        <w:rPr>
          <w:rFonts w:hint="eastAsia" w:ascii="宋体" w:hAnsi="宋体" w:eastAsia="宋体" w:cs="宋体"/>
          <w:sz w:val="22"/>
        </w:rPr>
      </w:pPr>
      <w:r>
        <w:rPr>
          <w:rFonts w:hint="eastAsia" w:ascii="宋体" w:hAnsi="宋体" w:eastAsia="宋体" w:cs="宋体"/>
          <w:sz w:val="22"/>
        </w:rPr>
        <w:t>地址：浙江省温州市泰顺县泰顺县科技文化中心(先锋影院5楼)</w:t>
      </w:r>
    </w:p>
    <w:p w14:paraId="15C254C3">
      <w:pPr>
        <w:widowControl/>
        <w:snapToGrid w:val="0"/>
        <w:spacing w:line="440" w:lineRule="exact"/>
        <w:ind w:left="437" w:leftChars="208" w:right="62"/>
        <w:jc w:val="left"/>
        <w:rPr>
          <w:rFonts w:hint="eastAsia" w:ascii="宋体" w:hAnsi="宋体" w:eastAsia="宋体" w:cs="宋体"/>
          <w:sz w:val="22"/>
        </w:rPr>
      </w:pPr>
      <w:r>
        <w:rPr>
          <w:rFonts w:hint="eastAsia" w:ascii="宋体" w:hAnsi="宋体" w:eastAsia="宋体" w:cs="宋体"/>
          <w:sz w:val="22"/>
        </w:rPr>
        <w:t>项目联系人（询问）：</w:t>
      </w:r>
      <w:r>
        <w:rPr>
          <w:rFonts w:hint="eastAsia" w:ascii="宋体" w:hAnsi="宋体" w:cs="宋体"/>
          <w:sz w:val="22"/>
          <w:lang w:val="en-US" w:eastAsia="zh-CN"/>
        </w:rPr>
        <w:t>季</w:t>
      </w:r>
      <w:r>
        <w:rPr>
          <w:rFonts w:hint="eastAsia" w:ascii="宋体" w:hAnsi="宋体" w:eastAsia="宋体" w:cs="宋体"/>
          <w:sz w:val="22"/>
        </w:rPr>
        <w:t>先生</w:t>
      </w:r>
    </w:p>
    <w:p w14:paraId="2A4251A6">
      <w:pPr>
        <w:widowControl/>
        <w:snapToGrid w:val="0"/>
        <w:spacing w:line="440" w:lineRule="exact"/>
        <w:ind w:left="437" w:leftChars="208" w:right="62"/>
        <w:jc w:val="left"/>
        <w:rPr>
          <w:rFonts w:hint="eastAsia" w:ascii="宋体" w:hAnsi="宋体" w:eastAsia="宋体" w:cs="宋体"/>
          <w:sz w:val="22"/>
        </w:rPr>
      </w:pPr>
      <w:r>
        <w:rPr>
          <w:rFonts w:hint="eastAsia" w:ascii="宋体" w:hAnsi="宋体" w:eastAsia="宋体" w:cs="宋体"/>
          <w:sz w:val="22"/>
        </w:rPr>
        <w:t xml:space="preserve">项目联系方式（询问）：15658639611   </w:t>
      </w:r>
    </w:p>
    <w:p w14:paraId="01ECD951">
      <w:pPr>
        <w:widowControl/>
        <w:snapToGrid w:val="0"/>
        <w:spacing w:line="440" w:lineRule="exact"/>
        <w:ind w:left="437" w:leftChars="208" w:right="62"/>
        <w:jc w:val="left"/>
        <w:rPr>
          <w:rFonts w:hint="eastAsia" w:ascii="宋体" w:hAnsi="宋体" w:eastAsia="宋体" w:cs="宋体"/>
          <w:sz w:val="22"/>
        </w:rPr>
      </w:pPr>
      <w:r>
        <w:rPr>
          <w:rFonts w:hint="eastAsia" w:ascii="宋体" w:hAnsi="宋体" w:eastAsia="宋体" w:cs="宋体"/>
          <w:sz w:val="22"/>
        </w:rPr>
        <w:t>质疑联系人：</w:t>
      </w:r>
      <w:r>
        <w:rPr>
          <w:rFonts w:hint="eastAsia" w:ascii="宋体" w:hAnsi="宋体" w:cs="宋体"/>
          <w:sz w:val="22"/>
          <w:lang w:val="en-US" w:eastAsia="zh-CN"/>
        </w:rPr>
        <w:t>王</w:t>
      </w:r>
      <w:r>
        <w:rPr>
          <w:rFonts w:hint="eastAsia" w:ascii="宋体" w:hAnsi="宋体" w:eastAsia="宋体" w:cs="宋体"/>
          <w:sz w:val="22"/>
        </w:rPr>
        <w:t>先生</w:t>
      </w:r>
    </w:p>
    <w:p w14:paraId="1F402B89">
      <w:pPr>
        <w:widowControl/>
        <w:snapToGrid w:val="0"/>
        <w:spacing w:line="440" w:lineRule="exact"/>
        <w:ind w:left="437" w:leftChars="208" w:right="62"/>
        <w:jc w:val="left"/>
        <w:rPr>
          <w:rFonts w:ascii="宋体" w:hAnsi="宋体" w:eastAsia="宋体" w:cs="宋体"/>
          <w:sz w:val="22"/>
          <w:lang w:val="en-US" w:eastAsia="zh-CN"/>
        </w:rPr>
      </w:pPr>
      <w:r>
        <w:rPr>
          <w:rFonts w:hint="eastAsia" w:ascii="宋体" w:hAnsi="宋体" w:eastAsia="宋体" w:cs="宋体"/>
          <w:sz w:val="22"/>
        </w:rPr>
        <w:t>质疑联系方式：</w:t>
      </w:r>
      <w:r>
        <w:rPr>
          <w:rFonts w:hint="eastAsia" w:ascii="宋体" w:hAnsi="宋体" w:cs="宋体"/>
          <w:sz w:val="22"/>
          <w:lang w:val="en-US" w:eastAsia="zh-CN"/>
        </w:rPr>
        <w:t>13600676348</w:t>
      </w:r>
    </w:p>
    <w:p w14:paraId="1784C9A5">
      <w:pPr>
        <w:snapToGrid w:val="0"/>
        <w:spacing w:line="240" w:lineRule="auto"/>
        <w:ind w:firstLine="480"/>
        <w:rPr>
          <w:rFonts w:hint="eastAsia" w:ascii="宋体" w:hAnsi="宋体" w:eastAsia="宋体" w:cs="宋体"/>
          <w:sz w:val="22"/>
        </w:rPr>
      </w:pPr>
    </w:p>
    <w:p w14:paraId="0EF42CF6">
      <w:pPr>
        <w:snapToGrid w:val="0"/>
        <w:spacing w:line="440" w:lineRule="exact"/>
        <w:ind w:firstLine="480"/>
        <w:rPr>
          <w:rFonts w:hint="eastAsia" w:ascii="宋体" w:hAnsi="宋体" w:eastAsia="宋体" w:cs="宋体"/>
          <w:sz w:val="22"/>
        </w:rPr>
      </w:pPr>
      <w:r>
        <w:rPr>
          <w:rFonts w:hint="eastAsia" w:ascii="宋体" w:hAnsi="宋体" w:eastAsia="宋体" w:cs="宋体"/>
          <w:sz w:val="22"/>
        </w:rPr>
        <w:t>2.采购代理机构信息</w:t>
      </w:r>
    </w:p>
    <w:p w14:paraId="541004EE">
      <w:pPr>
        <w:widowControl/>
        <w:snapToGrid w:val="0"/>
        <w:spacing w:line="440" w:lineRule="exact"/>
        <w:ind w:left="437" w:leftChars="208" w:right="62"/>
        <w:jc w:val="left"/>
        <w:rPr>
          <w:rFonts w:hint="eastAsia" w:ascii="宋体" w:hAnsi="宋体" w:eastAsia="宋体" w:cs="宋体"/>
          <w:sz w:val="22"/>
          <w:lang w:eastAsia="zh-CN"/>
        </w:rPr>
      </w:pPr>
      <w:r>
        <w:rPr>
          <w:rFonts w:hint="eastAsia" w:ascii="宋体" w:hAnsi="宋体" w:eastAsia="宋体" w:cs="宋体"/>
          <w:sz w:val="22"/>
        </w:rPr>
        <w:t>名称：</w:t>
      </w:r>
      <w:r>
        <w:rPr>
          <w:rFonts w:hint="eastAsia" w:ascii="宋体" w:hAnsi="宋体" w:eastAsia="宋体" w:cs="宋体"/>
          <w:sz w:val="22"/>
          <w:lang w:eastAsia="zh-CN"/>
        </w:rPr>
        <w:t>浙江源筑工程咨询有限公司</w:t>
      </w:r>
    </w:p>
    <w:p w14:paraId="263B0481">
      <w:pPr>
        <w:widowControl/>
        <w:snapToGrid w:val="0"/>
        <w:spacing w:line="440" w:lineRule="exact"/>
        <w:ind w:left="437" w:leftChars="208" w:right="62"/>
        <w:jc w:val="left"/>
        <w:rPr>
          <w:rFonts w:hint="eastAsia" w:ascii="宋体" w:hAnsi="宋体" w:eastAsia="宋体" w:cs="宋体"/>
          <w:sz w:val="22"/>
          <w:lang w:eastAsia="zh-CN"/>
        </w:rPr>
      </w:pPr>
      <w:r>
        <w:rPr>
          <w:rFonts w:hint="eastAsia" w:ascii="宋体" w:hAnsi="宋体" w:eastAsia="宋体" w:cs="宋体"/>
          <w:sz w:val="22"/>
        </w:rPr>
        <w:t>地址：</w:t>
      </w:r>
      <w:r>
        <w:rPr>
          <w:rFonts w:hint="eastAsia" w:ascii="宋体" w:hAnsi="宋体" w:eastAsia="宋体" w:cs="宋体"/>
          <w:sz w:val="22"/>
          <w:lang w:eastAsia="zh-CN"/>
        </w:rPr>
        <w:t>温州市鹿城区市府路大自然写字楼3B座</w:t>
      </w:r>
    </w:p>
    <w:p w14:paraId="6AA18053">
      <w:pPr>
        <w:snapToGrid w:val="0"/>
        <w:spacing w:line="440" w:lineRule="exact"/>
        <w:ind w:firstLine="440" w:firstLineChars="200"/>
        <w:rPr>
          <w:rFonts w:hint="eastAsia" w:ascii="宋体" w:hAnsi="宋体" w:eastAsia="宋体" w:cs="宋体"/>
          <w:sz w:val="22"/>
          <w:lang w:val="en-US" w:eastAsia="zh-CN"/>
        </w:rPr>
      </w:pPr>
      <w:r>
        <w:rPr>
          <w:rFonts w:hint="eastAsia" w:ascii="宋体" w:hAnsi="宋体" w:eastAsia="宋体" w:cs="宋体"/>
          <w:sz w:val="22"/>
        </w:rPr>
        <w:t>项目经办人（询问）：</w:t>
      </w:r>
      <w:r>
        <w:rPr>
          <w:rFonts w:hint="eastAsia" w:ascii="宋体" w:hAnsi="宋体" w:eastAsia="宋体" w:cs="宋体"/>
          <w:sz w:val="22"/>
          <w:lang w:val="en-US" w:eastAsia="zh-CN"/>
        </w:rPr>
        <w:t>周游</w:t>
      </w:r>
    </w:p>
    <w:p w14:paraId="0B64F8D7">
      <w:pPr>
        <w:snapToGrid w:val="0"/>
        <w:spacing w:line="440" w:lineRule="exact"/>
        <w:ind w:firstLine="440" w:firstLineChars="200"/>
        <w:rPr>
          <w:rFonts w:hint="eastAsia" w:ascii="宋体" w:hAnsi="宋体" w:eastAsia="宋体" w:cs="宋体"/>
          <w:sz w:val="22"/>
          <w:lang w:eastAsia="zh-CN"/>
        </w:rPr>
      </w:pPr>
      <w:r>
        <w:rPr>
          <w:rFonts w:hint="eastAsia" w:ascii="宋体" w:hAnsi="宋体" w:eastAsia="宋体" w:cs="宋体"/>
          <w:sz w:val="22"/>
        </w:rPr>
        <w:t>项目联系方式（询问）：</w:t>
      </w:r>
      <w:r>
        <w:rPr>
          <w:rFonts w:hint="eastAsia" w:ascii="宋体" w:hAnsi="宋体" w:eastAsia="宋体" w:cs="宋体"/>
          <w:sz w:val="22"/>
          <w:lang w:eastAsia="zh-CN"/>
        </w:rPr>
        <w:t>15267128041</w:t>
      </w:r>
    </w:p>
    <w:p w14:paraId="748ADC40">
      <w:pPr>
        <w:snapToGrid w:val="0"/>
        <w:spacing w:line="440" w:lineRule="exact"/>
        <w:ind w:firstLine="440" w:firstLineChars="200"/>
        <w:rPr>
          <w:rFonts w:hint="eastAsia" w:ascii="宋体" w:hAnsi="宋体" w:eastAsia="宋体" w:cs="宋体"/>
          <w:sz w:val="22"/>
          <w:lang w:val="en-US" w:eastAsia="zh-CN"/>
        </w:rPr>
      </w:pPr>
      <w:r>
        <w:rPr>
          <w:rFonts w:hint="eastAsia" w:ascii="宋体" w:hAnsi="宋体" w:eastAsia="宋体" w:cs="宋体"/>
          <w:sz w:val="22"/>
        </w:rPr>
        <w:t>质疑联系人：</w:t>
      </w:r>
      <w:r>
        <w:rPr>
          <w:rFonts w:hint="eastAsia" w:ascii="宋体" w:hAnsi="宋体" w:eastAsia="宋体" w:cs="宋体"/>
          <w:sz w:val="22"/>
          <w:lang w:val="en-US" w:eastAsia="zh-CN"/>
        </w:rPr>
        <w:t>潘文轩</w:t>
      </w:r>
    </w:p>
    <w:p w14:paraId="31F98E37">
      <w:pPr>
        <w:widowControl/>
        <w:snapToGrid w:val="0"/>
        <w:spacing w:line="440" w:lineRule="exact"/>
        <w:ind w:left="437" w:leftChars="208" w:right="62"/>
        <w:jc w:val="left"/>
        <w:rPr>
          <w:rFonts w:hint="eastAsia" w:ascii="宋体" w:hAnsi="宋体" w:eastAsia="宋体" w:cs="宋体"/>
          <w:sz w:val="22"/>
          <w:lang w:val="en-US" w:eastAsia="zh-CN"/>
        </w:rPr>
      </w:pPr>
      <w:r>
        <w:rPr>
          <w:rFonts w:hint="eastAsia" w:ascii="宋体" w:hAnsi="宋体" w:eastAsia="宋体" w:cs="宋体"/>
          <w:sz w:val="22"/>
        </w:rPr>
        <w:t>质疑联系方式：</w:t>
      </w:r>
      <w:r>
        <w:rPr>
          <w:rFonts w:hint="eastAsia" w:ascii="宋体" w:hAnsi="宋体" w:eastAsia="宋体" w:cs="宋体"/>
          <w:sz w:val="22"/>
          <w:lang w:val="en-US" w:eastAsia="zh-CN"/>
        </w:rPr>
        <w:t>13705872689</w:t>
      </w:r>
    </w:p>
    <w:p w14:paraId="2246C21B">
      <w:pPr>
        <w:widowControl/>
        <w:snapToGrid w:val="0"/>
        <w:spacing w:line="440" w:lineRule="exact"/>
        <w:ind w:left="437" w:leftChars="208" w:right="62"/>
        <w:jc w:val="left"/>
        <w:rPr>
          <w:rFonts w:hint="eastAsia" w:ascii="宋体" w:hAnsi="宋体" w:cs="宋体"/>
          <w:sz w:val="22"/>
        </w:rPr>
      </w:pPr>
    </w:p>
    <w:p w14:paraId="15C6AD14">
      <w:pPr>
        <w:pStyle w:val="11"/>
        <w:spacing w:line="440" w:lineRule="exact"/>
        <w:ind w:firstLine="0"/>
      </w:pPr>
    </w:p>
    <w:bookmarkEnd w:id="0"/>
    <w:bookmarkEnd w:id="2"/>
    <w:bookmarkEnd w:id="3"/>
    <w:p w14:paraId="111C1E20">
      <w:pPr>
        <w:pStyle w:val="11"/>
      </w:pPr>
    </w:p>
    <w:p w14:paraId="06363EEC">
      <w:pPr>
        <w:widowControl/>
        <w:snapToGrid w:val="0"/>
        <w:spacing w:line="320" w:lineRule="exact"/>
        <w:ind w:left="437" w:leftChars="208" w:right="62"/>
        <w:jc w:val="left"/>
        <w:rPr>
          <w:rFonts w:hint="eastAsia" w:ascii="宋体" w:hAnsi="宋体" w:cs="宋体"/>
          <w:sz w:val="22"/>
        </w:rPr>
        <w:sectPr>
          <w:footerReference r:id="rId6" w:type="default"/>
          <w:pgSz w:w="11911" w:h="16838"/>
          <w:pgMar w:top="1417" w:right="1701" w:bottom="1417" w:left="1701" w:header="720" w:footer="850" w:gutter="0"/>
          <w:pgNumType w:start="1"/>
          <w:cols w:space="720" w:num="1"/>
          <w:docGrid w:linePitch="312" w:charSpace="0"/>
        </w:sectPr>
      </w:pPr>
    </w:p>
    <w:p w14:paraId="592525C4">
      <w:pPr>
        <w:tabs>
          <w:tab w:val="left" w:pos="1080"/>
        </w:tabs>
        <w:autoSpaceDE w:val="0"/>
        <w:autoSpaceDN w:val="0"/>
        <w:adjustRightInd w:val="0"/>
        <w:spacing w:line="500" w:lineRule="atLeast"/>
        <w:jc w:val="center"/>
        <w:textAlignment w:val="baseline"/>
        <w:outlineLvl w:val="0"/>
        <w:rPr>
          <w:rFonts w:ascii="宋体"/>
          <w:b/>
          <w:bCs/>
          <w:sz w:val="32"/>
          <w:szCs w:val="32"/>
          <w:lang w:val="zh-CN"/>
        </w:rPr>
      </w:pPr>
      <w:bookmarkStart w:id="4" w:name="_Toc483388386"/>
      <w:r>
        <w:rPr>
          <w:rFonts w:hint="eastAsia" w:ascii="宋体"/>
          <w:b/>
          <w:bCs/>
          <w:sz w:val="32"/>
          <w:szCs w:val="32"/>
        </w:rPr>
        <w:t>第</w:t>
      </w:r>
      <w:r>
        <w:rPr>
          <w:rFonts w:hint="eastAsia" w:ascii="宋体"/>
          <w:b/>
          <w:bCs/>
          <w:sz w:val="32"/>
          <w:szCs w:val="32"/>
          <w:lang w:val="zh-CN"/>
        </w:rPr>
        <w:t>一部分磋商邀请函（</w:t>
      </w:r>
      <w:r>
        <w:rPr>
          <w:rFonts w:hint="eastAsia" w:ascii="宋体"/>
          <w:b/>
          <w:bCs/>
          <w:sz w:val="32"/>
          <w:szCs w:val="32"/>
        </w:rPr>
        <w:t>供应商</w:t>
      </w:r>
      <w:r>
        <w:rPr>
          <w:rFonts w:hint="eastAsia" w:ascii="宋体"/>
          <w:b/>
          <w:bCs/>
          <w:sz w:val="32"/>
          <w:szCs w:val="32"/>
          <w:lang w:val="zh-CN"/>
        </w:rPr>
        <w:t>须知前附表）</w:t>
      </w:r>
      <w:bookmarkEnd w:id="4"/>
    </w:p>
    <w:tbl>
      <w:tblPr>
        <w:tblStyle w:val="25"/>
        <w:tblW w:w="9274"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57" w:type="dxa"/>
          <w:left w:w="108" w:type="dxa"/>
          <w:bottom w:w="57" w:type="dxa"/>
          <w:right w:w="108" w:type="dxa"/>
        </w:tblCellMar>
      </w:tblPr>
      <w:tblGrid>
        <w:gridCol w:w="738"/>
        <w:gridCol w:w="1916"/>
        <w:gridCol w:w="6620"/>
      </w:tblGrid>
      <w:tr w14:paraId="3E03B5E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90" w:hRule="atLeast"/>
          <w:tblHeader/>
          <w:jc w:val="center"/>
        </w:trPr>
        <w:tc>
          <w:tcPr>
            <w:tcW w:w="738" w:type="dxa"/>
            <w:vAlign w:val="center"/>
          </w:tcPr>
          <w:p w14:paraId="01AEFDAB">
            <w:pPr>
              <w:jc w:val="center"/>
              <w:rPr>
                <w:rFonts w:hint="eastAsia" w:ascii="宋体" w:hAnsi="宋体" w:cs="宋体"/>
                <w:b/>
                <w:sz w:val="22"/>
                <w:szCs w:val="22"/>
              </w:rPr>
            </w:pPr>
            <w:r>
              <w:rPr>
                <w:rFonts w:hint="eastAsia" w:ascii="宋体" w:hAnsi="宋体" w:cs="宋体"/>
                <w:b/>
                <w:sz w:val="22"/>
                <w:szCs w:val="22"/>
              </w:rPr>
              <w:t>项号</w:t>
            </w:r>
          </w:p>
        </w:tc>
        <w:tc>
          <w:tcPr>
            <w:tcW w:w="1916" w:type="dxa"/>
            <w:vAlign w:val="center"/>
          </w:tcPr>
          <w:p w14:paraId="34EDB9F6">
            <w:pPr>
              <w:jc w:val="center"/>
              <w:rPr>
                <w:rFonts w:hint="eastAsia" w:ascii="宋体" w:hAnsi="宋体" w:cs="宋体"/>
                <w:b/>
                <w:sz w:val="22"/>
                <w:szCs w:val="22"/>
              </w:rPr>
            </w:pPr>
            <w:r>
              <w:rPr>
                <w:rFonts w:hint="eastAsia" w:ascii="宋体" w:hAnsi="宋体" w:cs="宋体"/>
                <w:b/>
                <w:sz w:val="22"/>
                <w:szCs w:val="22"/>
              </w:rPr>
              <w:t>内容</w:t>
            </w:r>
          </w:p>
        </w:tc>
        <w:tc>
          <w:tcPr>
            <w:tcW w:w="6620" w:type="dxa"/>
            <w:vAlign w:val="center"/>
          </w:tcPr>
          <w:p w14:paraId="001A7688">
            <w:pPr>
              <w:jc w:val="center"/>
              <w:rPr>
                <w:rFonts w:hint="eastAsia" w:ascii="宋体" w:hAnsi="宋体" w:cs="宋体"/>
                <w:b/>
                <w:sz w:val="22"/>
                <w:szCs w:val="22"/>
              </w:rPr>
            </w:pPr>
            <w:r>
              <w:rPr>
                <w:rFonts w:hint="eastAsia" w:ascii="宋体" w:hAnsi="宋体" w:cs="宋体"/>
                <w:b/>
                <w:sz w:val="22"/>
                <w:szCs w:val="22"/>
              </w:rPr>
              <w:t>说明与要求</w:t>
            </w:r>
          </w:p>
        </w:tc>
      </w:tr>
      <w:tr w14:paraId="72431F5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90" w:hRule="atLeast"/>
          <w:jc w:val="center"/>
        </w:trPr>
        <w:tc>
          <w:tcPr>
            <w:tcW w:w="738" w:type="dxa"/>
            <w:tcBorders>
              <w:top w:val="single" w:color="auto" w:sz="4" w:space="0"/>
              <w:left w:val="single" w:color="auto" w:sz="12" w:space="0"/>
              <w:right w:val="single" w:color="auto" w:sz="4" w:space="0"/>
            </w:tcBorders>
            <w:vAlign w:val="center"/>
          </w:tcPr>
          <w:p w14:paraId="1E08FD98">
            <w:pPr>
              <w:jc w:val="center"/>
              <w:rPr>
                <w:rFonts w:hint="eastAsia" w:ascii="宋体" w:hAnsi="宋体" w:cs="宋体"/>
                <w:sz w:val="22"/>
                <w:szCs w:val="22"/>
              </w:rPr>
            </w:pPr>
            <w:r>
              <w:rPr>
                <w:rFonts w:hint="eastAsia" w:ascii="宋体" w:hAnsi="宋体" w:cs="宋体"/>
                <w:sz w:val="22"/>
                <w:szCs w:val="22"/>
              </w:rPr>
              <w:t>1</w:t>
            </w:r>
          </w:p>
        </w:tc>
        <w:tc>
          <w:tcPr>
            <w:tcW w:w="1916" w:type="dxa"/>
            <w:tcBorders>
              <w:top w:val="single" w:color="auto" w:sz="4" w:space="0"/>
              <w:left w:val="single" w:color="auto" w:sz="4" w:space="0"/>
              <w:right w:val="single" w:color="auto" w:sz="4" w:space="0"/>
            </w:tcBorders>
            <w:vAlign w:val="center"/>
          </w:tcPr>
          <w:p w14:paraId="76539AA2">
            <w:pPr>
              <w:jc w:val="center"/>
              <w:rPr>
                <w:rFonts w:hint="eastAsia" w:ascii="宋体" w:hAnsi="宋体" w:cs="宋体"/>
                <w:sz w:val="22"/>
                <w:szCs w:val="22"/>
              </w:rPr>
            </w:pPr>
            <w:r>
              <w:rPr>
                <w:rFonts w:hint="eastAsia" w:ascii="宋体" w:hAnsi="宋体" w:cs="宋体"/>
                <w:sz w:val="22"/>
                <w:szCs w:val="22"/>
              </w:rPr>
              <w:t>项目名称</w:t>
            </w:r>
          </w:p>
        </w:tc>
        <w:tc>
          <w:tcPr>
            <w:tcW w:w="6620" w:type="dxa"/>
            <w:tcBorders>
              <w:top w:val="single" w:color="auto" w:sz="4" w:space="0"/>
              <w:left w:val="single" w:color="auto" w:sz="4" w:space="0"/>
              <w:right w:val="single" w:color="auto" w:sz="12" w:space="0"/>
            </w:tcBorders>
            <w:vAlign w:val="center"/>
          </w:tcPr>
          <w:p w14:paraId="041B7B63">
            <w:pPr>
              <w:rPr>
                <w:rFonts w:hint="eastAsia" w:ascii="宋体" w:hAnsi="宋体" w:eastAsia="宋体" w:cs="宋体"/>
                <w:sz w:val="22"/>
                <w:szCs w:val="22"/>
                <w:lang w:eastAsia="zh-CN"/>
              </w:rPr>
            </w:pPr>
            <w:r>
              <w:rPr>
                <w:rFonts w:hint="eastAsia" w:ascii="宋体" w:hAnsi="宋体" w:cs="宋体"/>
                <w:bCs/>
                <w:kern w:val="0"/>
                <w:sz w:val="22"/>
                <w:szCs w:val="22"/>
                <w:lang w:eastAsia="zh-CN"/>
              </w:rPr>
              <w:t>时尚体育旅游基础设施提升工程(叶岸山特大桥工程）供配电照明系统(二次)</w:t>
            </w:r>
          </w:p>
        </w:tc>
      </w:tr>
      <w:tr w14:paraId="3D5AFDB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209" w:hRule="atLeast"/>
          <w:jc w:val="center"/>
        </w:trPr>
        <w:tc>
          <w:tcPr>
            <w:tcW w:w="738" w:type="dxa"/>
            <w:tcBorders>
              <w:top w:val="single" w:color="auto" w:sz="4" w:space="0"/>
              <w:left w:val="single" w:color="auto" w:sz="12" w:space="0"/>
              <w:right w:val="single" w:color="auto" w:sz="4" w:space="0"/>
            </w:tcBorders>
            <w:vAlign w:val="center"/>
          </w:tcPr>
          <w:p w14:paraId="65C35F38">
            <w:pPr>
              <w:jc w:val="center"/>
              <w:rPr>
                <w:rFonts w:hint="eastAsia" w:ascii="宋体" w:hAnsi="宋体" w:cs="宋体"/>
                <w:sz w:val="22"/>
                <w:szCs w:val="22"/>
              </w:rPr>
            </w:pPr>
            <w:r>
              <w:rPr>
                <w:rFonts w:hint="eastAsia" w:ascii="宋体" w:hAnsi="宋体" w:cs="宋体"/>
                <w:sz w:val="22"/>
                <w:szCs w:val="22"/>
              </w:rPr>
              <w:t>2</w:t>
            </w:r>
          </w:p>
        </w:tc>
        <w:tc>
          <w:tcPr>
            <w:tcW w:w="1916" w:type="dxa"/>
            <w:tcBorders>
              <w:top w:val="single" w:color="auto" w:sz="4" w:space="0"/>
              <w:left w:val="single" w:color="auto" w:sz="4" w:space="0"/>
              <w:right w:val="single" w:color="auto" w:sz="4" w:space="0"/>
            </w:tcBorders>
            <w:vAlign w:val="center"/>
          </w:tcPr>
          <w:p w14:paraId="643109DC">
            <w:pPr>
              <w:jc w:val="center"/>
              <w:rPr>
                <w:rFonts w:hint="eastAsia" w:ascii="宋体" w:hAnsi="宋体" w:cs="宋体"/>
                <w:sz w:val="22"/>
                <w:szCs w:val="22"/>
              </w:rPr>
            </w:pPr>
            <w:r>
              <w:rPr>
                <w:rFonts w:hint="eastAsia" w:ascii="宋体" w:hAnsi="宋体" w:cs="宋体"/>
                <w:sz w:val="22"/>
                <w:szCs w:val="22"/>
              </w:rPr>
              <w:t>项目编号</w:t>
            </w:r>
          </w:p>
        </w:tc>
        <w:tc>
          <w:tcPr>
            <w:tcW w:w="6620" w:type="dxa"/>
            <w:tcBorders>
              <w:top w:val="single" w:color="auto" w:sz="4" w:space="0"/>
              <w:left w:val="single" w:color="auto" w:sz="4" w:space="0"/>
              <w:right w:val="single" w:color="auto" w:sz="12" w:space="0"/>
            </w:tcBorders>
            <w:vAlign w:val="center"/>
          </w:tcPr>
          <w:p w14:paraId="46693BF3">
            <w:pPr>
              <w:rPr>
                <w:rFonts w:hint="eastAsia" w:ascii="宋体" w:hAnsi="宋体" w:eastAsia="宋体" w:cs="宋体"/>
                <w:bCs/>
                <w:kern w:val="0"/>
                <w:sz w:val="22"/>
                <w:szCs w:val="22"/>
                <w:lang w:eastAsia="zh-CN"/>
              </w:rPr>
            </w:pPr>
            <w:bookmarkStart w:id="1129" w:name="_GoBack"/>
            <w:bookmarkEnd w:id="1129"/>
            <w:r>
              <w:rPr>
                <w:rFonts w:hint="eastAsia" w:ascii="宋体" w:hAnsi="宋体" w:cs="宋体"/>
                <w:sz w:val="22"/>
                <w:szCs w:val="22"/>
                <w:lang w:eastAsia="zh-CN"/>
              </w:rPr>
              <w:t>TSCG202509006</w:t>
            </w:r>
          </w:p>
        </w:tc>
      </w:tr>
      <w:tr w14:paraId="7700A1D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526" w:hRule="atLeast"/>
          <w:jc w:val="center"/>
        </w:trPr>
        <w:tc>
          <w:tcPr>
            <w:tcW w:w="738" w:type="dxa"/>
            <w:tcBorders>
              <w:top w:val="single" w:color="auto" w:sz="4" w:space="0"/>
              <w:left w:val="single" w:color="auto" w:sz="12" w:space="0"/>
              <w:right w:val="single" w:color="auto" w:sz="4" w:space="0"/>
            </w:tcBorders>
            <w:vAlign w:val="center"/>
          </w:tcPr>
          <w:p w14:paraId="3EAB9DEA">
            <w:pPr>
              <w:jc w:val="center"/>
              <w:rPr>
                <w:rFonts w:hint="eastAsia" w:ascii="宋体" w:hAnsi="宋体" w:cs="宋体"/>
                <w:sz w:val="22"/>
                <w:szCs w:val="22"/>
              </w:rPr>
            </w:pPr>
            <w:r>
              <w:rPr>
                <w:rFonts w:hint="eastAsia" w:ascii="宋体" w:hAnsi="宋体" w:cs="宋体"/>
                <w:sz w:val="22"/>
                <w:szCs w:val="22"/>
              </w:rPr>
              <w:t>3</w:t>
            </w:r>
          </w:p>
        </w:tc>
        <w:tc>
          <w:tcPr>
            <w:tcW w:w="1916" w:type="dxa"/>
            <w:tcBorders>
              <w:top w:val="single" w:color="auto" w:sz="4" w:space="0"/>
              <w:left w:val="single" w:color="auto" w:sz="4" w:space="0"/>
              <w:right w:val="single" w:color="auto" w:sz="4" w:space="0"/>
            </w:tcBorders>
            <w:vAlign w:val="center"/>
          </w:tcPr>
          <w:p w14:paraId="4FE3D0B5">
            <w:pPr>
              <w:jc w:val="center"/>
              <w:rPr>
                <w:rFonts w:hint="eastAsia" w:ascii="宋体" w:hAnsi="宋体" w:cs="宋体"/>
                <w:sz w:val="22"/>
                <w:szCs w:val="22"/>
              </w:rPr>
            </w:pPr>
            <w:r>
              <w:rPr>
                <w:rFonts w:hint="eastAsia" w:ascii="宋体" w:hAnsi="宋体" w:cs="宋体"/>
                <w:sz w:val="22"/>
                <w:szCs w:val="22"/>
              </w:rPr>
              <w:t>采购预算</w:t>
            </w:r>
          </w:p>
          <w:p w14:paraId="716CDC15">
            <w:pPr>
              <w:jc w:val="center"/>
              <w:rPr>
                <w:rFonts w:hint="eastAsia" w:ascii="宋体" w:hAnsi="宋体" w:cs="宋体"/>
                <w:sz w:val="22"/>
                <w:szCs w:val="22"/>
              </w:rPr>
            </w:pPr>
            <w:r>
              <w:rPr>
                <w:rFonts w:hint="eastAsia" w:ascii="宋体" w:hAnsi="宋体" w:cs="宋体"/>
                <w:sz w:val="22"/>
                <w:szCs w:val="22"/>
              </w:rPr>
              <w:t>（最高限价）</w:t>
            </w:r>
          </w:p>
        </w:tc>
        <w:tc>
          <w:tcPr>
            <w:tcW w:w="6620" w:type="dxa"/>
            <w:tcBorders>
              <w:top w:val="single" w:color="auto" w:sz="4" w:space="0"/>
              <w:left w:val="single" w:color="auto" w:sz="4" w:space="0"/>
              <w:right w:val="single" w:color="auto" w:sz="12" w:space="0"/>
            </w:tcBorders>
            <w:vAlign w:val="center"/>
          </w:tcPr>
          <w:p w14:paraId="624FF023">
            <w:pPr>
              <w:rPr>
                <w:rFonts w:hint="eastAsia" w:ascii="宋体" w:hAnsi="宋体" w:cs="宋体"/>
                <w:sz w:val="22"/>
                <w:szCs w:val="22"/>
              </w:rPr>
            </w:pPr>
            <w:r>
              <w:rPr>
                <w:rFonts w:hint="eastAsia" w:ascii="宋体" w:hAnsi="宋体" w:cs="宋体"/>
                <w:bCs/>
                <w:kern w:val="0"/>
                <w:sz w:val="22"/>
                <w:szCs w:val="22"/>
                <w:lang w:eastAsia="zh-CN"/>
              </w:rPr>
              <w:t>502199</w:t>
            </w:r>
            <w:r>
              <w:rPr>
                <w:rFonts w:hint="eastAsia" w:ascii="宋体" w:hAnsi="宋体" w:cs="宋体"/>
                <w:bCs/>
                <w:kern w:val="0"/>
                <w:sz w:val="22"/>
                <w:szCs w:val="22"/>
              </w:rPr>
              <w:t>元</w:t>
            </w:r>
          </w:p>
        </w:tc>
      </w:tr>
      <w:tr w14:paraId="0AD8D06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249" w:hRule="atLeast"/>
          <w:jc w:val="center"/>
        </w:trPr>
        <w:tc>
          <w:tcPr>
            <w:tcW w:w="738" w:type="dxa"/>
            <w:tcBorders>
              <w:top w:val="single" w:color="auto" w:sz="4" w:space="0"/>
              <w:left w:val="single" w:color="auto" w:sz="12" w:space="0"/>
              <w:right w:val="single" w:color="auto" w:sz="4" w:space="0"/>
            </w:tcBorders>
            <w:vAlign w:val="center"/>
          </w:tcPr>
          <w:p w14:paraId="00EFC644">
            <w:pPr>
              <w:jc w:val="center"/>
              <w:rPr>
                <w:rFonts w:hint="eastAsia" w:ascii="宋体" w:hAnsi="宋体" w:cs="宋体"/>
                <w:sz w:val="22"/>
                <w:szCs w:val="22"/>
              </w:rPr>
            </w:pPr>
            <w:r>
              <w:rPr>
                <w:rFonts w:hint="eastAsia" w:ascii="宋体" w:hAnsi="宋体" w:cs="宋体"/>
                <w:sz w:val="22"/>
                <w:szCs w:val="22"/>
              </w:rPr>
              <w:t>4</w:t>
            </w:r>
          </w:p>
        </w:tc>
        <w:tc>
          <w:tcPr>
            <w:tcW w:w="1916" w:type="dxa"/>
            <w:tcBorders>
              <w:top w:val="single" w:color="auto" w:sz="4" w:space="0"/>
              <w:left w:val="single" w:color="auto" w:sz="4" w:space="0"/>
              <w:right w:val="single" w:color="auto" w:sz="4" w:space="0"/>
            </w:tcBorders>
            <w:vAlign w:val="center"/>
          </w:tcPr>
          <w:p w14:paraId="6A0319BF">
            <w:pPr>
              <w:adjustRightInd w:val="0"/>
              <w:jc w:val="center"/>
              <w:rPr>
                <w:rFonts w:hint="eastAsia" w:ascii="宋体" w:hAnsi="宋体" w:cs="宋体"/>
                <w:sz w:val="22"/>
                <w:szCs w:val="22"/>
              </w:rPr>
            </w:pPr>
            <w:r>
              <w:rPr>
                <w:rFonts w:hint="eastAsia" w:ascii="宋体" w:hAnsi="宋体" w:cs="宋体"/>
                <w:sz w:val="22"/>
                <w:szCs w:val="22"/>
              </w:rPr>
              <w:t>采购人</w:t>
            </w:r>
          </w:p>
        </w:tc>
        <w:tc>
          <w:tcPr>
            <w:tcW w:w="6620" w:type="dxa"/>
            <w:tcBorders>
              <w:top w:val="single" w:color="auto" w:sz="4" w:space="0"/>
              <w:left w:val="single" w:color="auto" w:sz="4" w:space="0"/>
              <w:right w:val="single" w:color="auto" w:sz="12" w:space="0"/>
            </w:tcBorders>
            <w:vAlign w:val="center"/>
          </w:tcPr>
          <w:p w14:paraId="68C6A60D">
            <w:pPr>
              <w:rPr>
                <w:rFonts w:hint="eastAsia" w:ascii="宋体" w:hAnsi="宋体" w:eastAsia="宋体"/>
                <w:kern w:val="0"/>
                <w:sz w:val="22"/>
                <w:szCs w:val="22"/>
                <w:lang w:eastAsia="zh-CN"/>
              </w:rPr>
            </w:pPr>
            <w:r>
              <w:rPr>
                <w:rFonts w:hint="eastAsia" w:ascii="宋体" w:hAnsi="宋体"/>
                <w:kern w:val="0"/>
                <w:sz w:val="22"/>
                <w:szCs w:val="22"/>
              </w:rPr>
              <w:t>采购人名称：</w:t>
            </w:r>
            <w:r>
              <w:rPr>
                <w:rFonts w:hint="eastAsia" w:ascii="宋体" w:hAnsi="宋体"/>
                <w:kern w:val="0"/>
                <w:sz w:val="22"/>
                <w:szCs w:val="22"/>
                <w:lang w:eastAsia="zh-CN"/>
              </w:rPr>
              <w:t>泰顺县文旅集团有限公司</w:t>
            </w:r>
          </w:p>
          <w:p w14:paraId="23AF9BA1">
            <w:pPr>
              <w:rPr>
                <w:rFonts w:ascii="宋体" w:hAnsi="宋体" w:eastAsia="宋体"/>
                <w:kern w:val="0"/>
                <w:sz w:val="22"/>
                <w:szCs w:val="22"/>
                <w:lang w:val="en-US" w:eastAsia="zh-CN"/>
              </w:rPr>
            </w:pPr>
            <w:r>
              <w:rPr>
                <w:rFonts w:hint="eastAsia" w:ascii="宋体" w:hAnsi="宋体"/>
                <w:kern w:val="0"/>
                <w:sz w:val="22"/>
                <w:szCs w:val="22"/>
              </w:rPr>
              <w:t>联系人：</w:t>
            </w:r>
            <w:r>
              <w:rPr>
                <w:rFonts w:hint="eastAsia" w:ascii="宋体" w:hAnsi="宋体"/>
                <w:kern w:val="0"/>
                <w:sz w:val="22"/>
                <w:szCs w:val="22"/>
                <w:lang w:val="en-US" w:eastAsia="zh-CN"/>
              </w:rPr>
              <w:t>季先生</w:t>
            </w:r>
          </w:p>
          <w:p w14:paraId="786CC207">
            <w:pPr>
              <w:rPr>
                <w:rFonts w:hint="eastAsia" w:ascii="宋体" w:hAnsi="宋体"/>
                <w:kern w:val="0"/>
                <w:sz w:val="22"/>
                <w:szCs w:val="22"/>
              </w:rPr>
            </w:pPr>
            <w:r>
              <w:rPr>
                <w:rFonts w:hint="eastAsia" w:ascii="宋体" w:hAnsi="宋体"/>
                <w:kern w:val="0"/>
                <w:sz w:val="22"/>
                <w:szCs w:val="22"/>
              </w:rPr>
              <w:t>联系电话：15658639611</w:t>
            </w:r>
          </w:p>
          <w:p w14:paraId="77CAD3CD">
            <w:pPr>
              <w:rPr>
                <w:rFonts w:hint="eastAsia" w:ascii="宋体" w:hAnsi="宋体" w:cs="宋体"/>
                <w:sz w:val="22"/>
                <w:szCs w:val="22"/>
              </w:rPr>
            </w:pPr>
            <w:r>
              <w:rPr>
                <w:rFonts w:hint="eastAsia" w:ascii="宋体" w:hAnsi="宋体"/>
                <w:kern w:val="0"/>
                <w:sz w:val="22"/>
                <w:szCs w:val="22"/>
              </w:rPr>
              <w:t>联系地址：浙江省温州市泰顺县泰顺县科技文化中心(先锋影院5楼)</w:t>
            </w:r>
          </w:p>
        </w:tc>
      </w:tr>
      <w:tr w14:paraId="39528E6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239" w:hRule="atLeast"/>
          <w:jc w:val="center"/>
        </w:trPr>
        <w:tc>
          <w:tcPr>
            <w:tcW w:w="738" w:type="dxa"/>
            <w:tcBorders>
              <w:top w:val="single" w:color="auto" w:sz="4" w:space="0"/>
              <w:left w:val="single" w:color="auto" w:sz="12" w:space="0"/>
              <w:right w:val="single" w:color="auto" w:sz="4" w:space="0"/>
            </w:tcBorders>
            <w:vAlign w:val="center"/>
          </w:tcPr>
          <w:p w14:paraId="115828C0">
            <w:pPr>
              <w:jc w:val="center"/>
              <w:rPr>
                <w:rFonts w:hint="eastAsia" w:ascii="宋体" w:hAnsi="宋体" w:cs="宋体"/>
                <w:sz w:val="22"/>
                <w:szCs w:val="22"/>
              </w:rPr>
            </w:pPr>
            <w:r>
              <w:rPr>
                <w:rFonts w:hint="eastAsia" w:ascii="宋体" w:hAnsi="宋体" w:cs="宋体"/>
                <w:sz w:val="22"/>
                <w:szCs w:val="22"/>
              </w:rPr>
              <w:t>5</w:t>
            </w:r>
          </w:p>
        </w:tc>
        <w:tc>
          <w:tcPr>
            <w:tcW w:w="1916" w:type="dxa"/>
            <w:tcBorders>
              <w:top w:val="single" w:color="auto" w:sz="4" w:space="0"/>
              <w:left w:val="single" w:color="auto" w:sz="4" w:space="0"/>
              <w:right w:val="single" w:color="auto" w:sz="4" w:space="0"/>
            </w:tcBorders>
            <w:vAlign w:val="center"/>
          </w:tcPr>
          <w:p w14:paraId="265092F6">
            <w:pPr>
              <w:adjustRightInd w:val="0"/>
              <w:jc w:val="center"/>
              <w:rPr>
                <w:rFonts w:hint="eastAsia" w:ascii="宋体" w:hAnsi="宋体" w:cs="宋体"/>
                <w:sz w:val="22"/>
                <w:szCs w:val="22"/>
              </w:rPr>
            </w:pPr>
            <w:r>
              <w:rPr>
                <w:rFonts w:hint="eastAsia" w:ascii="宋体" w:hAnsi="宋体" w:cs="宋体"/>
                <w:sz w:val="22"/>
                <w:szCs w:val="22"/>
              </w:rPr>
              <w:t>采购代理机构</w:t>
            </w:r>
          </w:p>
        </w:tc>
        <w:tc>
          <w:tcPr>
            <w:tcW w:w="6620" w:type="dxa"/>
            <w:tcBorders>
              <w:top w:val="single" w:color="auto" w:sz="4" w:space="0"/>
              <w:left w:val="single" w:color="auto" w:sz="4" w:space="0"/>
              <w:right w:val="single" w:color="auto" w:sz="12" w:space="0"/>
            </w:tcBorders>
            <w:vAlign w:val="center"/>
          </w:tcPr>
          <w:p w14:paraId="20DCCAF3">
            <w:pPr>
              <w:rPr>
                <w:rFonts w:hint="eastAsia" w:ascii="宋体" w:hAnsi="宋体" w:eastAsia="宋体"/>
                <w:kern w:val="0"/>
                <w:sz w:val="22"/>
                <w:szCs w:val="22"/>
                <w:lang w:eastAsia="zh-CN"/>
              </w:rPr>
            </w:pPr>
            <w:r>
              <w:rPr>
                <w:rFonts w:hint="eastAsia" w:ascii="宋体" w:hAnsi="宋体" w:eastAsia="宋体"/>
                <w:kern w:val="0"/>
                <w:sz w:val="22"/>
                <w:szCs w:val="22"/>
              </w:rPr>
              <w:t>招标代理机构：</w:t>
            </w:r>
            <w:r>
              <w:rPr>
                <w:rFonts w:hint="eastAsia" w:ascii="宋体" w:hAnsi="宋体" w:eastAsia="宋体"/>
                <w:kern w:val="0"/>
                <w:sz w:val="22"/>
                <w:szCs w:val="22"/>
                <w:lang w:eastAsia="zh-CN"/>
              </w:rPr>
              <w:t>浙江源筑工程咨询有限公司</w:t>
            </w:r>
          </w:p>
          <w:p w14:paraId="4AD1C455">
            <w:pPr>
              <w:rPr>
                <w:rFonts w:hint="eastAsia" w:ascii="宋体" w:hAnsi="宋体" w:eastAsia="宋体"/>
                <w:kern w:val="0"/>
                <w:sz w:val="22"/>
                <w:szCs w:val="22"/>
                <w:lang w:eastAsia="zh-CN"/>
              </w:rPr>
            </w:pPr>
            <w:r>
              <w:rPr>
                <w:rFonts w:hint="eastAsia" w:ascii="宋体" w:hAnsi="宋体" w:eastAsia="宋体"/>
                <w:kern w:val="0"/>
                <w:sz w:val="22"/>
                <w:szCs w:val="22"/>
              </w:rPr>
              <w:t>项目经办人：</w:t>
            </w:r>
            <w:r>
              <w:rPr>
                <w:rFonts w:hint="eastAsia" w:ascii="宋体" w:hAnsi="宋体" w:eastAsia="宋体"/>
                <w:kern w:val="0"/>
                <w:sz w:val="22"/>
                <w:szCs w:val="22"/>
                <w:lang w:eastAsia="zh-CN"/>
              </w:rPr>
              <w:t>周先生</w:t>
            </w:r>
          </w:p>
          <w:p w14:paraId="0D52521D">
            <w:pPr>
              <w:rPr>
                <w:rFonts w:hint="eastAsia" w:ascii="宋体" w:hAnsi="宋体" w:eastAsia="宋体"/>
                <w:kern w:val="0"/>
                <w:sz w:val="22"/>
                <w:szCs w:val="22"/>
                <w:lang w:eastAsia="zh-CN"/>
              </w:rPr>
            </w:pPr>
            <w:r>
              <w:rPr>
                <w:rFonts w:hint="eastAsia" w:ascii="宋体" w:hAnsi="宋体" w:eastAsia="宋体"/>
                <w:kern w:val="0"/>
                <w:sz w:val="22"/>
                <w:szCs w:val="22"/>
              </w:rPr>
              <w:t>联系电话：</w:t>
            </w:r>
            <w:r>
              <w:rPr>
                <w:rFonts w:hint="eastAsia" w:ascii="宋体" w:hAnsi="宋体" w:eastAsia="宋体"/>
                <w:kern w:val="0"/>
                <w:sz w:val="22"/>
                <w:szCs w:val="22"/>
                <w:lang w:eastAsia="zh-CN"/>
              </w:rPr>
              <w:t>15267128041</w:t>
            </w:r>
          </w:p>
          <w:p w14:paraId="6E8355F0">
            <w:pPr>
              <w:rPr>
                <w:rFonts w:hint="eastAsia" w:ascii="宋体" w:hAnsi="宋体" w:cs="宋体"/>
                <w:bCs/>
                <w:kern w:val="0"/>
                <w:sz w:val="22"/>
                <w:szCs w:val="22"/>
              </w:rPr>
            </w:pPr>
            <w:r>
              <w:rPr>
                <w:rFonts w:hint="eastAsia" w:ascii="宋体" w:hAnsi="宋体" w:eastAsia="宋体"/>
                <w:kern w:val="0"/>
                <w:sz w:val="22"/>
                <w:szCs w:val="22"/>
              </w:rPr>
              <w:t>联系地址：</w:t>
            </w:r>
            <w:r>
              <w:rPr>
                <w:rFonts w:hint="eastAsia" w:ascii="宋体" w:hAnsi="宋体" w:eastAsia="宋体"/>
                <w:kern w:val="0"/>
                <w:sz w:val="22"/>
                <w:szCs w:val="22"/>
                <w:lang w:eastAsia="zh-CN"/>
              </w:rPr>
              <w:t>温州市鹿城区市府路大自然写字楼3B座</w:t>
            </w:r>
          </w:p>
        </w:tc>
      </w:tr>
      <w:tr w14:paraId="1F2BC46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116" w:hRule="atLeast"/>
          <w:jc w:val="center"/>
        </w:trPr>
        <w:tc>
          <w:tcPr>
            <w:tcW w:w="738" w:type="dxa"/>
            <w:tcBorders>
              <w:top w:val="single" w:color="auto" w:sz="4" w:space="0"/>
              <w:left w:val="single" w:color="auto" w:sz="12" w:space="0"/>
              <w:right w:val="single" w:color="auto" w:sz="4" w:space="0"/>
            </w:tcBorders>
            <w:vAlign w:val="center"/>
          </w:tcPr>
          <w:p w14:paraId="5FE75351">
            <w:pPr>
              <w:jc w:val="center"/>
              <w:rPr>
                <w:rFonts w:hint="eastAsia" w:ascii="宋体" w:hAnsi="宋体" w:cs="宋体"/>
                <w:sz w:val="22"/>
                <w:szCs w:val="22"/>
              </w:rPr>
            </w:pPr>
            <w:r>
              <w:rPr>
                <w:rFonts w:hint="eastAsia" w:ascii="宋体" w:hAnsi="宋体" w:cs="宋体"/>
                <w:sz w:val="22"/>
                <w:szCs w:val="22"/>
              </w:rPr>
              <w:t>6</w:t>
            </w:r>
          </w:p>
        </w:tc>
        <w:tc>
          <w:tcPr>
            <w:tcW w:w="1916" w:type="dxa"/>
            <w:tcBorders>
              <w:top w:val="single" w:color="auto" w:sz="4" w:space="0"/>
              <w:left w:val="single" w:color="auto" w:sz="4" w:space="0"/>
              <w:right w:val="single" w:color="auto" w:sz="4" w:space="0"/>
            </w:tcBorders>
            <w:vAlign w:val="center"/>
          </w:tcPr>
          <w:p w14:paraId="52266984">
            <w:pPr>
              <w:jc w:val="center"/>
              <w:rPr>
                <w:rFonts w:hint="eastAsia" w:ascii="宋体" w:hAnsi="宋体" w:cs="宋体"/>
                <w:spacing w:val="-2"/>
                <w:sz w:val="22"/>
                <w:szCs w:val="22"/>
              </w:rPr>
            </w:pPr>
            <w:r>
              <w:rPr>
                <w:rFonts w:hint="eastAsia" w:ascii="宋体" w:hAnsi="宋体" w:cs="宋体"/>
                <w:spacing w:val="-2"/>
                <w:sz w:val="22"/>
                <w:szCs w:val="22"/>
              </w:rPr>
              <w:t>招标内容</w:t>
            </w:r>
          </w:p>
        </w:tc>
        <w:tc>
          <w:tcPr>
            <w:tcW w:w="6620" w:type="dxa"/>
            <w:tcBorders>
              <w:top w:val="single" w:color="auto" w:sz="4" w:space="0"/>
              <w:left w:val="single" w:color="auto" w:sz="4" w:space="0"/>
              <w:right w:val="single" w:color="auto" w:sz="12" w:space="0"/>
            </w:tcBorders>
            <w:vAlign w:val="center"/>
          </w:tcPr>
          <w:p w14:paraId="445873F9">
            <w:pPr>
              <w:jc w:val="left"/>
              <w:rPr>
                <w:rFonts w:hint="eastAsia" w:ascii="宋体" w:hAnsi="宋体" w:cs="宋体"/>
                <w:spacing w:val="-2"/>
                <w:sz w:val="22"/>
                <w:szCs w:val="22"/>
              </w:rPr>
            </w:pPr>
            <w:r>
              <w:rPr>
                <w:rFonts w:hint="eastAsia" w:ascii="宋体" w:hAnsi="宋体" w:cs="新宋体"/>
                <w:kern w:val="0"/>
                <w:sz w:val="22"/>
                <w:szCs w:val="22"/>
              </w:rPr>
              <w:t>时尚体育旅游基础设施提升工程(叶岸山特大桥工程）供配电照明系统</w:t>
            </w:r>
          </w:p>
        </w:tc>
      </w:tr>
      <w:tr w14:paraId="581B657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129" w:hRule="atLeast"/>
          <w:jc w:val="center"/>
        </w:trPr>
        <w:tc>
          <w:tcPr>
            <w:tcW w:w="738" w:type="dxa"/>
            <w:tcBorders>
              <w:top w:val="single" w:color="auto" w:sz="4" w:space="0"/>
              <w:left w:val="single" w:color="auto" w:sz="12" w:space="0"/>
              <w:right w:val="single" w:color="auto" w:sz="4" w:space="0"/>
            </w:tcBorders>
            <w:vAlign w:val="center"/>
          </w:tcPr>
          <w:p w14:paraId="07692AAC">
            <w:pPr>
              <w:jc w:val="center"/>
              <w:rPr>
                <w:rFonts w:hint="eastAsia" w:ascii="宋体" w:hAnsi="宋体" w:cs="宋体"/>
                <w:sz w:val="22"/>
                <w:szCs w:val="22"/>
              </w:rPr>
            </w:pPr>
            <w:r>
              <w:rPr>
                <w:rFonts w:hint="eastAsia" w:ascii="宋体" w:hAnsi="宋体" w:cs="宋体"/>
                <w:sz w:val="22"/>
                <w:szCs w:val="22"/>
              </w:rPr>
              <w:t>7</w:t>
            </w:r>
          </w:p>
        </w:tc>
        <w:tc>
          <w:tcPr>
            <w:tcW w:w="1916" w:type="dxa"/>
            <w:tcBorders>
              <w:top w:val="single" w:color="auto" w:sz="4" w:space="0"/>
              <w:left w:val="single" w:color="auto" w:sz="4" w:space="0"/>
              <w:right w:val="single" w:color="auto" w:sz="4" w:space="0"/>
            </w:tcBorders>
            <w:vAlign w:val="center"/>
          </w:tcPr>
          <w:p w14:paraId="2B609FE6">
            <w:pPr>
              <w:jc w:val="center"/>
              <w:rPr>
                <w:rFonts w:hint="eastAsia" w:ascii="宋体" w:hAnsi="宋体" w:cs="宋体"/>
                <w:sz w:val="22"/>
                <w:szCs w:val="22"/>
              </w:rPr>
            </w:pPr>
            <w:r>
              <w:rPr>
                <w:rFonts w:hint="eastAsia" w:ascii="宋体" w:hAnsi="宋体" w:cs="宋体"/>
                <w:sz w:val="22"/>
                <w:szCs w:val="22"/>
              </w:rPr>
              <w:t>投标供应商</w:t>
            </w:r>
          </w:p>
          <w:p w14:paraId="69B22776">
            <w:pPr>
              <w:jc w:val="center"/>
              <w:rPr>
                <w:rFonts w:hint="eastAsia" w:ascii="宋体" w:hAnsi="宋体" w:cs="宋体"/>
                <w:sz w:val="22"/>
                <w:szCs w:val="22"/>
              </w:rPr>
            </w:pPr>
            <w:r>
              <w:rPr>
                <w:rFonts w:hint="eastAsia" w:ascii="宋体" w:hAnsi="宋体" w:cs="宋体"/>
                <w:sz w:val="22"/>
                <w:szCs w:val="22"/>
              </w:rPr>
              <w:t>资格要求</w:t>
            </w:r>
          </w:p>
        </w:tc>
        <w:tc>
          <w:tcPr>
            <w:tcW w:w="6620" w:type="dxa"/>
            <w:tcBorders>
              <w:top w:val="single" w:color="auto" w:sz="4" w:space="0"/>
              <w:left w:val="single" w:color="auto" w:sz="4" w:space="0"/>
              <w:right w:val="single" w:color="auto" w:sz="12" w:space="0"/>
            </w:tcBorders>
            <w:vAlign w:val="center"/>
          </w:tcPr>
          <w:p w14:paraId="0DF14BEC">
            <w:pPr>
              <w:widowControl/>
              <w:jc w:val="left"/>
              <w:rPr>
                <w:rFonts w:hint="eastAsia" w:ascii="宋体" w:hAnsi="宋体" w:cs="新宋体"/>
                <w:kern w:val="0"/>
                <w:sz w:val="22"/>
                <w:szCs w:val="22"/>
              </w:rPr>
            </w:pPr>
            <w:r>
              <w:rPr>
                <w:rFonts w:hint="eastAsia" w:ascii="宋体" w:hAnsi="宋体" w:cs="新宋体"/>
                <w:kern w:val="0"/>
                <w:sz w:val="22"/>
                <w:szCs w:val="22"/>
              </w:rPr>
              <w:t>1.一般资格条件：（1）具有独立承担民事责任的能力，具有良好的商业信誉和健全的财务会计制度，具有履行合同所必需的设备和专业技术能力，有依法缴纳税收和社会保障资金的良好记录，参加采购活动前三年内，在经营活动中没有重大违法记录，法律、行政法规规定的其他条件。（2）供应商未被列入失信被执行人名单、重大税收违法案件当事人名单、国企采购严重违法失信行为记录名单，信用信息以信用中国网站（www.creditchina.gov.cn）、中国政府采购网（www.ccgp.gov.cn）公布为准。</w:t>
            </w:r>
          </w:p>
          <w:p w14:paraId="536897A4">
            <w:pPr>
              <w:widowControl/>
              <w:jc w:val="left"/>
              <w:rPr>
                <w:rFonts w:hint="eastAsia" w:ascii="宋体" w:hAnsi="宋体" w:cs="新宋体"/>
                <w:kern w:val="0"/>
                <w:sz w:val="22"/>
                <w:szCs w:val="22"/>
              </w:rPr>
            </w:pPr>
            <w:r>
              <w:rPr>
                <w:rFonts w:hint="eastAsia" w:ascii="宋体" w:hAnsi="宋体" w:cs="新宋体"/>
                <w:kern w:val="0"/>
                <w:sz w:val="22"/>
                <w:szCs w:val="22"/>
              </w:rPr>
              <w:t>2.特殊资格条件：本项目专门面向中小企业。</w:t>
            </w:r>
          </w:p>
          <w:p w14:paraId="1CDB01FB">
            <w:pPr>
              <w:pStyle w:val="122"/>
              <w:widowControl w:val="0"/>
              <w:tabs>
                <w:tab w:val="left" w:pos="426"/>
              </w:tabs>
              <w:ind w:firstLine="0" w:firstLineChars="0"/>
              <w:jc w:val="both"/>
              <w:rPr>
                <w:rFonts w:hint="eastAsia" w:ascii="宋体" w:hAnsi="宋体" w:cs="宋体"/>
                <w:sz w:val="22"/>
                <w:szCs w:val="22"/>
              </w:rPr>
            </w:pPr>
            <w:r>
              <w:rPr>
                <w:rFonts w:hint="eastAsia" w:ascii="宋体" w:hAnsi="宋体" w:cs="新宋体"/>
                <w:sz w:val="22"/>
                <w:szCs w:val="22"/>
              </w:rPr>
              <w:t>3.本项目的特定资格要求：（1）须具备独立法人资格，公路交通工程（公路机电工程）专业承包贰级及以上资质。</w:t>
            </w:r>
          </w:p>
        </w:tc>
      </w:tr>
      <w:tr w14:paraId="5182D39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459" w:hRule="atLeast"/>
          <w:jc w:val="center"/>
        </w:trPr>
        <w:tc>
          <w:tcPr>
            <w:tcW w:w="738" w:type="dxa"/>
            <w:tcBorders>
              <w:top w:val="single" w:color="auto" w:sz="4" w:space="0"/>
              <w:left w:val="single" w:color="auto" w:sz="12" w:space="0"/>
              <w:right w:val="single" w:color="auto" w:sz="4" w:space="0"/>
            </w:tcBorders>
            <w:vAlign w:val="center"/>
          </w:tcPr>
          <w:p w14:paraId="24F0416A">
            <w:pPr>
              <w:jc w:val="center"/>
              <w:rPr>
                <w:rFonts w:hint="eastAsia" w:ascii="宋体" w:hAnsi="宋体" w:cs="宋体"/>
                <w:sz w:val="22"/>
                <w:szCs w:val="22"/>
              </w:rPr>
            </w:pPr>
            <w:r>
              <w:rPr>
                <w:rFonts w:hint="eastAsia" w:ascii="宋体" w:hAnsi="宋体" w:cs="宋体"/>
                <w:sz w:val="22"/>
                <w:szCs w:val="22"/>
              </w:rPr>
              <w:t>8</w:t>
            </w:r>
          </w:p>
        </w:tc>
        <w:tc>
          <w:tcPr>
            <w:tcW w:w="1916" w:type="dxa"/>
            <w:tcBorders>
              <w:top w:val="single" w:color="auto" w:sz="4" w:space="0"/>
              <w:left w:val="single" w:color="auto" w:sz="4" w:space="0"/>
              <w:right w:val="single" w:color="auto" w:sz="4" w:space="0"/>
            </w:tcBorders>
            <w:vAlign w:val="center"/>
          </w:tcPr>
          <w:p w14:paraId="1B1F8152">
            <w:pPr>
              <w:adjustRightInd w:val="0"/>
              <w:jc w:val="center"/>
              <w:rPr>
                <w:rFonts w:hint="eastAsia" w:ascii="宋体" w:hAnsi="宋体" w:cs="宋体"/>
                <w:sz w:val="22"/>
                <w:szCs w:val="22"/>
              </w:rPr>
            </w:pPr>
            <w:r>
              <w:rPr>
                <w:rFonts w:hint="eastAsia" w:ascii="宋体" w:hAnsi="宋体" w:cs="宋体"/>
                <w:sz w:val="22"/>
                <w:szCs w:val="22"/>
              </w:rPr>
              <w:t>是否接受联合体投标</w:t>
            </w:r>
          </w:p>
        </w:tc>
        <w:tc>
          <w:tcPr>
            <w:tcW w:w="6620" w:type="dxa"/>
            <w:tcBorders>
              <w:top w:val="single" w:color="auto" w:sz="4" w:space="0"/>
              <w:left w:val="single" w:color="auto" w:sz="4" w:space="0"/>
              <w:right w:val="single" w:color="auto" w:sz="12" w:space="0"/>
            </w:tcBorders>
            <w:vAlign w:val="center"/>
          </w:tcPr>
          <w:p w14:paraId="4DD93BB2">
            <w:pPr>
              <w:adjustRightInd w:val="0"/>
              <w:rPr>
                <w:rFonts w:hint="eastAsia" w:ascii="宋体" w:hAnsi="宋体" w:cs="宋体"/>
                <w:bCs/>
                <w:kern w:val="0"/>
                <w:sz w:val="22"/>
                <w:szCs w:val="22"/>
              </w:rPr>
            </w:pPr>
            <w:r>
              <w:rPr>
                <w:rFonts w:hint="eastAsia" w:ascii="宋体" w:hAnsi="宋体" w:cs="宋体"/>
                <w:bCs/>
                <w:kern w:val="0"/>
                <w:sz w:val="22"/>
                <w:szCs w:val="22"/>
              </w:rPr>
              <w:t xml:space="preserve">☑ </w:t>
            </w:r>
            <w:r>
              <w:rPr>
                <w:rFonts w:hint="eastAsia" w:ascii="宋体" w:hAnsi="宋体" w:cs="宋体"/>
                <w:sz w:val="22"/>
                <w:szCs w:val="22"/>
              </w:rPr>
              <w:t>不接受</w:t>
            </w:r>
          </w:p>
        </w:tc>
      </w:tr>
      <w:tr w14:paraId="2C968F9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90" w:hRule="atLeast"/>
          <w:jc w:val="center"/>
        </w:trPr>
        <w:tc>
          <w:tcPr>
            <w:tcW w:w="738" w:type="dxa"/>
            <w:tcBorders>
              <w:top w:val="single" w:color="auto" w:sz="4" w:space="0"/>
              <w:left w:val="single" w:color="auto" w:sz="12" w:space="0"/>
              <w:right w:val="single" w:color="auto" w:sz="4" w:space="0"/>
            </w:tcBorders>
            <w:vAlign w:val="center"/>
          </w:tcPr>
          <w:p w14:paraId="4FE85626">
            <w:pPr>
              <w:jc w:val="center"/>
              <w:rPr>
                <w:rFonts w:hint="eastAsia" w:ascii="宋体" w:hAnsi="宋体" w:cs="宋体"/>
                <w:sz w:val="22"/>
                <w:szCs w:val="22"/>
              </w:rPr>
            </w:pPr>
            <w:r>
              <w:rPr>
                <w:rFonts w:hint="eastAsia" w:ascii="宋体" w:hAnsi="宋体" w:cs="宋体"/>
                <w:sz w:val="22"/>
                <w:szCs w:val="22"/>
              </w:rPr>
              <w:t>9</w:t>
            </w:r>
          </w:p>
        </w:tc>
        <w:tc>
          <w:tcPr>
            <w:tcW w:w="1916" w:type="dxa"/>
            <w:tcBorders>
              <w:top w:val="single" w:color="auto" w:sz="4" w:space="0"/>
              <w:left w:val="single" w:color="auto" w:sz="4" w:space="0"/>
              <w:right w:val="single" w:color="auto" w:sz="4" w:space="0"/>
            </w:tcBorders>
            <w:vAlign w:val="center"/>
          </w:tcPr>
          <w:p w14:paraId="74FD2717">
            <w:pPr>
              <w:adjustRightInd w:val="0"/>
              <w:jc w:val="center"/>
              <w:rPr>
                <w:rFonts w:hint="eastAsia" w:ascii="宋体" w:hAnsi="宋体" w:cs="宋体"/>
                <w:sz w:val="22"/>
                <w:szCs w:val="22"/>
              </w:rPr>
            </w:pPr>
            <w:r>
              <w:rPr>
                <w:rFonts w:hint="eastAsia" w:ascii="宋体" w:hAnsi="宋体" w:cs="宋体"/>
                <w:sz w:val="22"/>
                <w:szCs w:val="22"/>
              </w:rPr>
              <w:t>是否分包</w:t>
            </w:r>
          </w:p>
        </w:tc>
        <w:tc>
          <w:tcPr>
            <w:tcW w:w="6620" w:type="dxa"/>
            <w:tcBorders>
              <w:top w:val="single" w:color="auto" w:sz="4" w:space="0"/>
              <w:left w:val="single" w:color="auto" w:sz="4" w:space="0"/>
              <w:right w:val="single" w:color="auto" w:sz="12" w:space="0"/>
            </w:tcBorders>
            <w:vAlign w:val="center"/>
          </w:tcPr>
          <w:p w14:paraId="5DE513BC">
            <w:pPr>
              <w:widowControl/>
              <w:rPr>
                <w:rFonts w:hint="eastAsia" w:ascii="宋体" w:hAnsi="宋体" w:cs="宋体"/>
                <w:bCs/>
                <w:kern w:val="0"/>
                <w:sz w:val="22"/>
                <w:szCs w:val="22"/>
              </w:rPr>
            </w:pPr>
            <w:r>
              <w:rPr>
                <w:rFonts w:hint="eastAsia" w:ascii="宋体" w:hAnsi="宋体" w:cs="宋体"/>
                <w:bCs/>
                <w:kern w:val="0"/>
                <w:sz w:val="22"/>
                <w:szCs w:val="22"/>
              </w:rPr>
              <w:t xml:space="preserve">☑ </w:t>
            </w:r>
            <w:r>
              <w:rPr>
                <w:rFonts w:hint="eastAsia" w:ascii="宋体" w:hAnsi="宋体" w:cs="宋体"/>
                <w:sz w:val="22"/>
                <w:szCs w:val="22"/>
              </w:rPr>
              <w:t>不接受</w:t>
            </w:r>
          </w:p>
        </w:tc>
      </w:tr>
      <w:tr w14:paraId="6229B7C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115" w:hRule="atLeast"/>
          <w:jc w:val="center"/>
        </w:trPr>
        <w:tc>
          <w:tcPr>
            <w:tcW w:w="738" w:type="dxa"/>
            <w:tcBorders>
              <w:top w:val="single" w:color="auto" w:sz="4" w:space="0"/>
              <w:left w:val="single" w:color="auto" w:sz="12" w:space="0"/>
              <w:right w:val="single" w:color="auto" w:sz="4" w:space="0"/>
            </w:tcBorders>
            <w:vAlign w:val="center"/>
          </w:tcPr>
          <w:p w14:paraId="16CD8324">
            <w:pPr>
              <w:jc w:val="center"/>
              <w:rPr>
                <w:rFonts w:hint="eastAsia" w:ascii="宋体" w:hAnsi="宋体" w:cs="宋体"/>
                <w:sz w:val="22"/>
                <w:szCs w:val="22"/>
              </w:rPr>
            </w:pPr>
            <w:r>
              <w:rPr>
                <w:rFonts w:hint="eastAsia" w:ascii="宋体" w:hAnsi="宋体" w:cs="宋体"/>
                <w:sz w:val="22"/>
                <w:szCs w:val="22"/>
              </w:rPr>
              <w:t>10</w:t>
            </w:r>
          </w:p>
        </w:tc>
        <w:tc>
          <w:tcPr>
            <w:tcW w:w="1916" w:type="dxa"/>
            <w:tcBorders>
              <w:top w:val="single" w:color="auto" w:sz="4" w:space="0"/>
              <w:left w:val="single" w:color="auto" w:sz="4" w:space="0"/>
              <w:right w:val="single" w:color="auto" w:sz="4" w:space="0"/>
            </w:tcBorders>
            <w:vAlign w:val="center"/>
          </w:tcPr>
          <w:p w14:paraId="778BE5C7">
            <w:pPr>
              <w:adjustRightInd w:val="0"/>
              <w:jc w:val="center"/>
              <w:rPr>
                <w:rFonts w:hint="eastAsia" w:ascii="宋体" w:hAnsi="宋体" w:cs="宋体"/>
                <w:sz w:val="22"/>
                <w:szCs w:val="22"/>
              </w:rPr>
            </w:pPr>
            <w:r>
              <w:rPr>
                <w:rFonts w:hint="eastAsia" w:ascii="宋体" w:hAnsi="宋体" w:cs="宋体"/>
                <w:sz w:val="22"/>
                <w:szCs w:val="22"/>
              </w:rPr>
              <w:t>踏勘现场</w:t>
            </w:r>
          </w:p>
        </w:tc>
        <w:tc>
          <w:tcPr>
            <w:tcW w:w="6620" w:type="dxa"/>
            <w:tcBorders>
              <w:top w:val="single" w:color="auto" w:sz="4" w:space="0"/>
              <w:left w:val="single" w:color="auto" w:sz="4" w:space="0"/>
              <w:right w:val="single" w:color="auto" w:sz="12" w:space="0"/>
            </w:tcBorders>
            <w:vAlign w:val="center"/>
          </w:tcPr>
          <w:p w14:paraId="56450F7A">
            <w:pPr>
              <w:adjustRightInd w:val="0"/>
              <w:rPr>
                <w:rFonts w:hint="eastAsia" w:ascii="宋体" w:hAnsi="宋体" w:cs="宋体"/>
                <w:bCs/>
                <w:kern w:val="0"/>
                <w:sz w:val="22"/>
                <w:szCs w:val="22"/>
              </w:rPr>
            </w:pPr>
            <w:r>
              <w:rPr>
                <w:rFonts w:hint="eastAsia" w:ascii="宋体" w:hAnsi="宋体" w:cs="宋体"/>
                <w:bCs/>
                <w:kern w:val="0"/>
                <w:sz w:val="22"/>
                <w:szCs w:val="22"/>
              </w:rPr>
              <w:t>☑ 自行组织</w:t>
            </w:r>
          </w:p>
        </w:tc>
      </w:tr>
      <w:tr w14:paraId="02F329E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90" w:hRule="atLeast"/>
          <w:jc w:val="center"/>
        </w:trPr>
        <w:tc>
          <w:tcPr>
            <w:tcW w:w="738" w:type="dxa"/>
            <w:tcBorders>
              <w:top w:val="single" w:color="auto" w:sz="4" w:space="0"/>
              <w:left w:val="single" w:color="auto" w:sz="12" w:space="0"/>
              <w:right w:val="single" w:color="auto" w:sz="4" w:space="0"/>
            </w:tcBorders>
            <w:vAlign w:val="center"/>
          </w:tcPr>
          <w:p w14:paraId="27DD06F5">
            <w:pPr>
              <w:jc w:val="center"/>
              <w:rPr>
                <w:rFonts w:hint="eastAsia" w:ascii="宋体" w:hAnsi="宋体" w:cs="宋体"/>
                <w:sz w:val="22"/>
                <w:szCs w:val="22"/>
              </w:rPr>
            </w:pPr>
            <w:r>
              <w:rPr>
                <w:rFonts w:hint="eastAsia" w:ascii="宋体" w:hAnsi="宋体" w:cs="宋体"/>
                <w:sz w:val="22"/>
                <w:szCs w:val="22"/>
              </w:rPr>
              <w:t>11</w:t>
            </w:r>
          </w:p>
        </w:tc>
        <w:tc>
          <w:tcPr>
            <w:tcW w:w="1916" w:type="dxa"/>
            <w:tcBorders>
              <w:top w:val="single" w:color="auto" w:sz="4" w:space="0"/>
              <w:left w:val="single" w:color="auto" w:sz="4" w:space="0"/>
              <w:right w:val="single" w:color="auto" w:sz="4" w:space="0"/>
            </w:tcBorders>
            <w:vAlign w:val="center"/>
          </w:tcPr>
          <w:p w14:paraId="7C8FE84A">
            <w:pPr>
              <w:adjustRightInd w:val="0"/>
              <w:jc w:val="center"/>
              <w:rPr>
                <w:rFonts w:hint="eastAsia" w:ascii="宋体" w:hAnsi="宋体" w:cs="宋体"/>
                <w:sz w:val="22"/>
                <w:szCs w:val="22"/>
              </w:rPr>
            </w:pPr>
            <w:r>
              <w:rPr>
                <w:rFonts w:hint="eastAsia" w:ascii="宋体" w:hAnsi="宋体" w:cs="宋体"/>
                <w:sz w:val="22"/>
                <w:szCs w:val="22"/>
              </w:rPr>
              <w:t>是否允许递交备选投标方案</w:t>
            </w:r>
          </w:p>
        </w:tc>
        <w:tc>
          <w:tcPr>
            <w:tcW w:w="6620" w:type="dxa"/>
            <w:tcBorders>
              <w:top w:val="single" w:color="auto" w:sz="4" w:space="0"/>
              <w:left w:val="single" w:color="auto" w:sz="4" w:space="0"/>
              <w:right w:val="single" w:color="auto" w:sz="12" w:space="0"/>
            </w:tcBorders>
            <w:vAlign w:val="center"/>
          </w:tcPr>
          <w:p w14:paraId="7191D123">
            <w:pPr>
              <w:adjustRightInd w:val="0"/>
              <w:rPr>
                <w:rFonts w:hint="eastAsia" w:ascii="宋体" w:hAnsi="宋体" w:cs="宋体"/>
                <w:bCs/>
                <w:kern w:val="0"/>
                <w:sz w:val="22"/>
                <w:szCs w:val="22"/>
              </w:rPr>
            </w:pPr>
            <w:r>
              <w:rPr>
                <w:rFonts w:hint="eastAsia" w:ascii="宋体" w:hAnsi="宋体" w:cs="宋体"/>
                <w:bCs/>
                <w:kern w:val="0"/>
                <w:sz w:val="22"/>
                <w:szCs w:val="22"/>
              </w:rPr>
              <w:t>☑ 不允许</w:t>
            </w:r>
          </w:p>
        </w:tc>
      </w:tr>
      <w:tr w14:paraId="0B2BD70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281" w:hRule="atLeast"/>
          <w:jc w:val="center"/>
        </w:trPr>
        <w:tc>
          <w:tcPr>
            <w:tcW w:w="738" w:type="dxa"/>
            <w:tcBorders>
              <w:top w:val="single" w:color="auto" w:sz="4" w:space="0"/>
              <w:left w:val="single" w:color="auto" w:sz="12" w:space="0"/>
              <w:right w:val="single" w:color="auto" w:sz="4" w:space="0"/>
            </w:tcBorders>
            <w:vAlign w:val="center"/>
          </w:tcPr>
          <w:p w14:paraId="335381AA">
            <w:pPr>
              <w:jc w:val="center"/>
              <w:rPr>
                <w:rFonts w:hint="eastAsia" w:ascii="宋体" w:hAnsi="宋体" w:cs="宋体"/>
                <w:sz w:val="22"/>
                <w:szCs w:val="22"/>
              </w:rPr>
            </w:pPr>
            <w:r>
              <w:rPr>
                <w:rFonts w:hint="eastAsia" w:ascii="宋体" w:hAnsi="宋体" w:cs="宋体"/>
                <w:sz w:val="22"/>
                <w:szCs w:val="22"/>
              </w:rPr>
              <w:t>12</w:t>
            </w:r>
          </w:p>
        </w:tc>
        <w:tc>
          <w:tcPr>
            <w:tcW w:w="1916" w:type="dxa"/>
            <w:tcBorders>
              <w:top w:val="single" w:color="auto" w:sz="4" w:space="0"/>
              <w:left w:val="single" w:color="auto" w:sz="4" w:space="0"/>
              <w:right w:val="single" w:color="auto" w:sz="4" w:space="0"/>
            </w:tcBorders>
            <w:vAlign w:val="center"/>
          </w:tcPr>
          <w:p w14:paraId="703160CA">
            <w:pPr>
              <w:adjustRightInd w:val="0"/>
              <w:jc w:val="center"/>
              <w:rPr>
                <w:rFonts w:hint="eastAsia" w:ascii="宋体" w:hAnsi="宋体" w:cs="宋体"/>
                <w:sz w:val="22"/>
                <w:szCs w:val="22"/>
              </w:rPr>
            </w:pPr>
            <w:r>
              <w:rPr>
                <w:rFonts w:hint="eastAsia" w:ascii="宋体" w:hAnsi="宋体" w:cs="宋体"/>
                <w:sz w:val="22"/>
                <w:szCs w:val="22"/>
              </w:rPr>
              <w:t>投标货币</w:t>
            </w:r>
          </w:p>
        </w:tc>
        <w:tc>
          <w:tcPr>
            <w:tcW w:w="6620" w:type="dxa"/>
            <w:tcBorders>
              <w:top w:val="single" w:color="auto" w:sz="4" w:space="0"/>
              <w:left w:val="single" w:color="auto" w:sz="4" w:space="0"/>
              <w:right w:val="single" w:color="auto" w:sz="12" w:space="0"/>
            </w:tcBorders>
            <w:vAlign w:val="center"/>
          </w:tcPr>
          <w:p w14:paraId="61E2CBDF">
            <w:pPr>
              <w:adjustRightInd w:val="0"/>
              <w:rPr>
                <w:rFonts w:hint="eastAsia" w:ascii="宋体" w:hAnsi="宋体" w:cs="宋体"/>
                <w:bCs/>
                <w:kern w:val="0"/>
                <w:sz w:val="22"/>
                <w:szCs w:val="22"/>
              </w:rPr>
            </w:pPr>
            <w:r>
              <w:rPr>
                <w:rFonts w:hint="eastAsia" w:ascii="宋体" w:hAnsi="宋体" w:cs="宋体"/>
                <w:bCs/>
                <w:kern w:val="0"/>
                <w:sz w:val="22"/>
                <w:szCs w:val="22"/>
              </w:rPr>
              <w:t>人民币</w:t>
            </w:r>
          </w:p>
        </w:tc>
      </w:tr>
      <w:tr w14:paraId="7473E79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90" w:hRule="atLeast"/>
          <w:jc w:val="center"/>
        </w:trPr>
        <w:tc>
          <w:tcPr>
            <w:tcW w:w="738" w:type="dxa"/>
            <w:tcBorders>
              <w:top w:val="single" w:color="auto" w:sz="4" w:space="0"/>
              <w:left w:val="single" w:color="auto" w:sz="12" w:space="0"/>
              <w:right w:val="single" w:color="auto" w:sz="4" w:space="0"/>
            </w:tcBorders>
            <w:vAlign w:val="center"/>
          </w:tcPr>
          <w:p w14:paraId="7170B671">
            <w:pPr>
              <w:jc w:val="center"/>
              <w:rPr>
                <w:rFonts w:hint="eastAsia" w:ascii="宋体" w:hAnsi="宋体" w:cs="宋体"/>
                <w:sz w:val="22"/>
                <w:szCs w:val="22"/>
              </w:rPr>
            </w:pPr>
            <w:r>
              <w:rPr>
                <w:rFonts w:hint="eastAsia" w:ascii="宋体" w:hAnsi="宋体" w:cs="宋体"/>
                <w:sz w:val="22"/>
                <w:szCs w:val="22"/>
              </w:rPr>
              <w:t>13</w:t>
            </w:r>
          </w:p>
        </w:tc>
        <w:tc>
          <w:tcPr>
            <w:tcW w:w="1916" w:type="dxa"/>
            <w:tcBorders>
              <w:top w:val="single" w:color="auto" w:sz="4" w:space="0"/>
              <w:left w:val="single" w:color="auto" w:sz="4" w:space="0"/>
              <w:right w:val="single" w:color="auto" w:sz="4" w:space="0"/>
            </w:tcBorders>
            <w:vAlign w:val="center"/>
          </w:tcPr>
          <w:p w14:paraId="60CC4FD5">
            <w:pPr>
              <w:adjustRightInd w:val="0"/>
              <w:jc w:val="center"/>
              <w:rPr>
                <w:rFonts w:hint="eastAsia" w:ascii="宋体" w:hAnsi="宋体" w:cs="宋体"/>
                <w:sz w:val="22"/>
                <w:szCs w:val="22"/>
              </w:rPr>
            </w:pPr>
            <w:r>
              <w:rPr>
                <w:rFonts w:hint="eastAsia" w:ascii="宋体" w:hAnsi="宋体" w:cs="宋体"/>
                <w:sz w:val="22"/>
                <w:szCs w:val="22"/>
              </w:rPr>
              <w:t>投标语言</w:t>
            </w:r>
          </w:p>
        </w:tc>
        <w:tc>
          <w:tcPr>
            <w:tcW w:w="6620" w:type="dxa"/>
            <w:tcBorders>
              <w:top w:val="single" w:color="auto" w:sz="4" w:space="0"/>
              <w:left w:val="single" w:color="auto" w:sz="4" w:space="0"/>
              <w:right w:val="single" w:color="auto" w:sz="12" w:space="0"/>
            </w:tcBorders>
            <w:vAlign w:val="center"/>
          </w:tcPr>
          <w:p w14:paraId="4E226FC5">
            <w:pPr>
              <w:adjustRightInd w:val="0"/>
              <w:rPr>
                <w:rFonts w:hint="eastAsia" w:ascii="宋体" w:hAnsi="宋体" w:cs="宋体"/>
                <w:bCs/>
                <w:kern w:val="0"/>
                <w:sz w:val="22"/>
                <w:szCs w:val="22"/>
              </w:rPr>
            </w:pPr>
            <w:r>
              <w:rPr>
                <w:rFonts w:hint="eastAsia" w:ascii="宋体" w:hAnsi="宋体" w:cs="宋体"/>
                <w:bCs/>
                <w:kern w:val="0"/>
                <w:sz w:val="22"/>
                <w:szCs w:val="22"/>
              </w:rPr>
              <w:t>中文</w:t>
            </w:r>
          </w:p>
        </w:tc>
      </w:tr>
      <w:tr w14:paraId="5F3B339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829" w:hRule="atLeast"/>
          <w:jc w:val="center"/>
        </w:trPr>
        <w:tc>
          <w:tcPr>
            <w:tcW w:w="738" w:type="dxa"/>
            <w:tcBorders>
              <w:top w:val="single" w:color="auto" w:sz="4" w:space="0"/>
              <w:left w:val="single" w:color="auto" w:sz="12" w:space="0"/>
              <w:right w:val="single" w:color="auto" w:sz="4" w:space="0"/>
            </w:tcBorders>
            <w:vAlign w:val="center"/>
          </w:tcPr>
          <w:p w14:paraId="1A6EE4C3">
            <w:pPr>
              <w:widowControl/>
              <w:jc w:val="center"/>
              <w:rPr>
                <w:rFonts w:hint="eastAsia" w:ascii="宋体" w:hAnsi="宋体" w:cs="宋体"/>
                <w:sz w:val="22"/>
                <w:szCs w:val="22"/>
              </w:rPr>
            </w:pPr>
            <w:r>
              <w:rPr>
                <w:rFonts w:hint="eastAsia" w:ascii="宋体" w:hAnsi="宋体" w:cs="宋体"/>
                <w:sz w:val="22"/>
                <w:szCs w:val="22"/>
              </w:rPr>
              <w:t>14</w:t>
            </w:r>
          </w:p>
        </w:tc>
        <w:tc>
          <w:tcPr>
            <w:tcW w:w="1916" w:type="dxa"/>
            <w:tcBorders>
              <w:top w:val="single" w:color="auto" w:sz="4" w:space="0"/>
              <w:left w:val="single" w:color="auto" w:sz="4" w:space="0"/>
              <w:right w:val="single" w:color="auto" w:sz="4" w:space="0"/>
            </w:tcBorders>
            <w:vAlign w:val="center"/>
          </w:tcPr>
          <w:p w14:paraId="4478D683">
            <w:pPr>
              <w:jc w:val="center"/>
              <w:rPr>
                <w:rFonts w:hint="eastAsia" w:ascii="宋体" w:hAnsi="宋体" w:cs="宋体"/>
                <w:sz w:val="22"/>
                <w:szCs w:val="22"/>
              </w:rPr>
            </w:pPr>
            <w:r>
              <w:rPr>
                <w:rFonts w:hint="eastAsia" w:ascii="宋体" w:hAnsi="宋体" w:cs="宋体"/>
                <w:sz w:val="22"/>
                <w:szCs w:val="22"/>
              </w:rPr>
              <w:t>投标文件份数</w:t>
            </w:r>
          </w:p>
        </w:tc>
        <w:tc>
          <w:tcPr>
            <w:tcW w:w="6620" w:type="dxa"/>
            <w:tcBorders>
              <w:top w:val="single" w:color="auto" w:sz="4" w:space="0"/>
              <w:left w:val="single" w:color="auto" w:sz="4" w:space="0"/>
              <w:right w:val="single" w:color="auto" w:sz="12" w:space="0"/>
            </w:tcBorders>
            <w:vAlign w:val="center"/>
          </w:tcPr>
          <w:p w14:paraId="622E0766">
            <w:pPr>
              <w:rPr>
                <w:rFonts w:hint="eastAsia" w:ascii="宋体" w:hAnsi="宋体" w:cs="宋体"/>
                <w:sz w:val="22"/>
                <w:szCs w:val="22"/>
              </w:rPr>
            </w:pPr>
            <w:r>
              <w:rPr>
                <w:rFonts w:hint="eastAsia" w:ascii="宋体" w:hAnsi="宋体" w:cs="宋体"/>
                <w:sz w:val="22"/>
                <w:szCs w:val="22"/>
              </w:rPr>
              <w:t>“电子加密磋商响应文件”：在线上传递交，一份。</w:t>
            </w:r>
          </w:p>
          <w:p w14:paraId="593D99B1">
            <w:pPr>
              <w:rPr>
                <w:rFonts w:hint="eastAsia" w:ascii="宋体" w:hAnsi="宋体" w:cs="宋体"/>
                <w:spacing w:val="-2"/>
                <w:sz w:val="22"/>
                <w:szCs w:val="22"/>
              </w:rPr>
            </w:pPr>
            <w:r>
              <w:rPr>
                <w:rFonts w:hint="eastAsia" w:ascii="宋体" w:hAnsi="宋体" w:cs="宋体"/>
                <w:b/>
                <w:bCs/>
                <w:spacing w:val="-2"/>
                <w:sz w:val="22"/>
                <w:szCs w:val="22"/>
              </w:rPr>
              <w:t>中标供应商在领取中标通知书时提供全套纸质磋商（响应）文件三份，电子版（u盘）二份。</w:t>
            </w:r>
          </w:p>
        </w:tc>
      </w:tr>
      <w:tr w14:paraId="1E58EA3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280" w:hRule="atLeast"/>
          <w:jc w:val="center"/>
        </w:trPr>
        <w:tc>
          <w:tcPr>
            <w:tcW w:w="738" w:type="dxa"/>
            <w:tcBorders>
              <w:top w:val="single" w:color="auto" w:sz="4" w:space="0"/>
              <w:left w:val="single" w:color="auto" w:sz="12" w:space="0"/>
              <w:right w:val="single" w:color="auto" w:sz="4" w:space="0"/>
            </w:tcBorders>
            <w:vAlign w:val="center"/>
          </w:tcPr>
          <w:p w14:paraId="545A028E">
            <w:pPr>
              <w:jc w:val="center"/>
              <w:rPr>
                <w:rFonts w:hint="eastAsia" w:ascii="宋体" w:hAnsi="宋体" w:cs="宋体"/>
                <w:sz w:val="22"/>
                <w:szCs w:val="22"/>
              </w:rPr>
            </w:pPr>
            <w:r>
              <w:rPr>
                <w:rFonts w:hint="eastAsia" w:ascii="宋体" w:hAnsi="宋体" w:cs="宋体"/>
                <w:sz w:val="22"/>
                <w:szCs w:val="22"/>
              </w:rPr>
              <w:t>15</w:t>
            </w:r>
          </w:p>
        </w:tc>
        <w:tc>
          <w:tcPr>
            <w:tcW w:w="1916" w:type="dxa"/>
            <w:tcBorders>
              <w:top w:val="single" w:color="auto" w:sz="4" w:space="0"/>
              <w:left w:val="single" w:color="auto" w:sz="4" w:space="0"/>
              <w:right w:val="single" w:color="auto" w:sz="4" w:space="0"/>
            </w:tcBorders>
            <w:vAlign w:val="center"/>
          </w:tcPr>
          <w:p w14:paraId="2177A40E">
            <w:pPr>
              <w:widowControl/>
              <w:jc w:val="center"/>
              <w:rPr>
                <w:rFonts w:hint="eastAsia" w:ascii="宋体" w:hAnsi="宋体" w:cs="宋体"/>
                <w:sz w:val="22"/>
                <w:szCs w:val="22"/>
              </w:rPr>
            </w:pPr>
            <w:r>
              <w:rPr>
                <w:rFonts w:hint="eastAsia" w:ascii="宋体" w:hAnsi="宋体" w:cs="宋体"/>
                <w:b/>
                <w:sz w:val="22"/>
                <w:szCs w:val="22"/>
              </w:rPr>
              <w:t>采购代理机构指定邮箱</w:t>
            </w:r>
          </w:p>
        </w:tc>
        <w:tc>
          <w:tcPr>
            <w:tcW w:w="6620" w:type="dxa"/>
            <w:tcBorders>
              <w:top w:val="single" w:color="auto" w:sz="4" w:space="0"/>
              <w:left w:val="single" w:color="auto" w:sz="4" w:space="0"/>
              <w:right w:val="single" w:color="auto" w:sz="12" w:space="0"/>
            </w:tcBorders>
            <w:vAlign w:val="center"/>
          </w:tcPr>
          <w:p w14:paraId="5BCA38AD">
            <w:pPr>
              <w:widowControl/>
              <w:rPr>
                <w:rFonts w:hint="eastAsia" w:ascii="宋体" w:hAnsi="宋体" w:cs="宋体"/>
                <w:sz w:val="22"/>
                <w:szCs w:val="22"/>
              </w:rPr>
            </w:pPr>
            <w:r>
              <w:rPr>
                <w:rFonts w:hint="eastAsia" w:ascii="宋体" w:hAnsi="宋体" w:cs="宋体"/>
                <w:b/>
                <w:bCs/>
                <w:sz w:val="22"/>
                <w:szCs w:val="22"/>
              </w:rPr>
              <w:t>562118000@qq.com，本磋商文件凡涉及采购代理机构指定邮箱的，均指该邮箱。</w:t>
            </w:r>
          </w:p>
        </w:tc>
      </w:tr>
      <w:tr w14:paraId="6749ADF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169" w:hRule="atLeast"/>
          <w:jc w:val="center"/>
        </w:trPr>
        <w:tc>
          <w:tcPr>
            <w:tcW w:w="738" w:type="dxa"/>
            <w:tcBorders>
              <w:top w:val="single" w:color="auto" w:sz="4" w:space="0"/>
              <w:left w:val="single" w:color="auto" w:sz="12" w:space="0"/>
              <w:right w:val="single" w:color="auto" w:sz="4" w:space="0"/>
            </w:tcBorders>
            <w:vAlign w:val="center"/>
          </w:tcPr>
          <w:p w14:paraId="5E9FF74A">
            <w:pPr>
              <w:jc w:val="center"/>
              <w:rPr>
                <w:rFonts w:hint="eastAsia" w:ascii="宋体" w:hAnsi="宋体" w:cs="宋体"/>
                <w:sz w:val="22"/>
                <w:szCs w:val="22"/>
              </w:rPr>
            </w:pPr>
            <w:r>
              <w:rPr>
                <w:rFonts w:hint="eastAsia" w:ascii="宋体" w:hAnsi="宋体" w:cs="宋体"/>
                <w:sz w:val="22"/>
                <w:szCs w:val="22"/>
              </w:rPr>
              <w:t>16</w:t>
            </w:r>
          </w:p>
        </w:tc>
        <w:tc>
          <w:tcPr>
            <w:tcW w:w="1916" w:type="dxa"/>
            <w:tcBorders>
              <w:top w:val="single" w:color="auto" w:sz="4" w:space="0"/>
              <w:left w:val="single" w:color="auto" w:sz="4" w:space="0"/>
              <w:right w:val="single" w:color="auto" w:sz="4" w:space="0"/>
            </w:tcBorders>
            <w:vAlign w:val="center"/>
          </w:tcPr>
          <w:p w14:paraId="2CFE3A0B">
            <w:pPr>
              <w:jc w:val="center"/>
              <w:rPr>
                <w:rFonts w:hint="eastAsia" w:ascii="宋体" w:hAnsi="宋体" w:cs="宋体"/>
                <w:sz w:val="22"/>
                <w:szCs w:val="22"/>
              </w:rPr>
            </w:pPr>
            <w:r>
              <w:rPr>
                <w:rFonts w:hint="eastAsia" w:ascii="宋体" w:hAnsi="宋体" w:cs="宋体"/>
                <w:sz w:val="22"/>
                <w:szCs w:val="22"/>
              </w:rPr>
              <w:t>投标有效期</w:t>
            </w:r>
          </w:p>
        </w:tc>
        <w:tc>
          <w:tcPr>
            <w:tcW w:w="6620" w:type="dxa"/>
            <w:tcBorders>
              <w:top w:val="single" w:color="auto" w:sz="4" w:space="0"/>
              <w:left w:val="single" w:color="auto" w:sz="4" w:space="0"/>
              <w:right w:val="single" w:color="auto" w:sz="12" w:space="0"/>
            </w:tcBorders>
            <w:vAlign w:val="center"/>
          </w:tcPr>
          <w:p w14:paraId="57BCE603">
            <w:pPr>
              <w:rPr>
                <w:rFonts w:hint="eastAsia" w:ascii="宋体" w:hAnsi="宋体" w:cs="宋体"/>
                <w:bCs/>
                <w:kern w:val="0"/>
                <w:sz w:val="22"/>
                <w:szCs w:val="22"/>
              </w:rPr>
            </w:pPr>
            <w:r>
              <w:rPr>
                <w:rFonts w:hint="eastAsia" w:ascii="宋体" w:hAnsi="宋体" w:cs="宋体"/>
                <w:bCs/>
                <w:kern w:val="0"/>
                <w:sz w:val="22"/>
                <w:szCs w:val="22"/>
              </w:rPr>
              <w:t>90日历天</w:t>
            </w:r>
          </w:p>
        </w:tc>
      </w:tr>
      <w:tr w14:paraId="70D7B9E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1016" w:hRule="atLeast"/>
          <w:jc w:val="center"/>
        </w:trPr>
        <w:tc>
          <w:tcPr>
            <w:tcW w:w="738" w:type="dxa"/>
            <w:tcBorders>
              <w:top w:val="single" w:color="auto" w:sz="4" w:space="0"/>
              <w:left w:val="single" w:color="auto" w:sz="12" w:space="0"/>
              <w:right w:val="single" w:color="auto" w:sz="4" w:space="0"/>
            </w:tcBorders>
            <w:vAlign w:val="center"/>
          </w:tcPr>
          <w:p w14:paraId="5C6CDFA4">
            <w:pPr>
              <w:jc w:val="center"/>
              <w:rPr>
                <w:rFonts w:hint="eastAsia" w:ascii="宋体" w:hAnsi="宋体" w:cs="宋体"/>
                <w:sz w:val="22"/>
                <w:szCs w:val="22"/>
              </w:rPr>
            </w:pPr>
            <w:r>
              <w:rPr>
                <w:rFonts w:hint="eastAsia" w:ascii="宋体" w:hAnsi="宋体" w:cs="宋体"/>
                <w:sz w:val="22"/>
                <w:szCs w:val="22"/>
              </w:rPr>
              <w:t>17</w:t>
            </w:r>
          </w:p>
        </w:tc>
        <w:tc>
          <w:tcPr>
            <w:tcW w:w="1916" w:type="dxa"/>
            <w:tcBorders>
              <w:top w:val="single" w:color="auto" w:sz="4" w:space="0"/>
              <w:left w:val="single" w:color="auto" w:sz="4" w:space="0"/>
              <w:right w:val="single" w:color="auto" w:sz="4" w:space="0"/>
            </w:tcBorders>
            <w:vAlign w:val="center"/>
          </w:tcPr>
          <w:p w14:paraId="2A69B1B8">
            <w:pPr>
              <w:jc w:val="center"/>
              <w:rPr>
                <w:rFonts w:hint="eastAsia" w:ascii="宋体" w:hAnsi="宋体" w:cs="宋体"/>
                <w:sz w:val="22"/>
                <w:szCs w:val="22"/>
              </w:rPr>
            </w:pPr>
            <w:r>
              <w:rPr>
                <w:rFonts w:hint="eastAsia" w:ascii="宋体" w:hAnsi="宋体" w:cs="宋体"/>
                <w:sz w:val="22"/>
                <w:szCs w:val="22"/>
              </w:rPr>
              <w:t>签字或盖章要求</w:t>
            </w:r>
          </w:p>
        </w:tc>
        <w:tc>
          <w:tcPr>
            <w:tcW w:w="6620" w:type="dxa"/>
            <w:tcBorders>
              <w:top w:val="single" w:color="auto" w:sz="4" w:space="0"/>
              <w:left w:val="single" w:color="auto" w:sz="4" w:space="0"/>
              <w:right w:val="single" w:color="auto" w:sz="12" w:space="0"/>
            </w:tcBorders>
            <w:vAlign w:val="center"/>
          </w:tcPr>
          <w:p w14:paraId="4F762EFB">
            <w:pPr>
              <w:rPr>
                <w:rFonts w:hint="eastAsia" w:ascii="宋体" w:hAnsi="宋体" w:cs="宋体"/>
                <w:bCs/>
                <w:kern w:val="0"/>
                <w:sz w:val="22"/>
                <w:szCs w:val="22"/>
              </w:rPr>
            </w:pPr>
            <w:r>
              <w:rPr>
                <w:rFonts w:hint="eastAsia" w:ascii="宋体" w:hAnsi="宋体" w:cs="宋体"/>
                <w:sz w:val="22"/>
                <w:szCs w:val="22"/>
              </w:rPr>
              <w:t>电子磋商（响应）文件中所须加盖公章的地方可采用CA电子签章或供应商公章，所涉及法定代表人（或其授权代表）的签字（或盖章）的地方均由法定代表人（或其授权代表）本人签字（或盖章）。</w:t>
            </w:r>
          </w:p>
        </w:tc>
      </w:tr>
      <w:tr w14:paraId="19CDC5F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439" w:hRule="atLeast"/>
          <w:jc w:val="center"/>
        </w:trPr>
        <w:tc>
          <w:tcPr>
            <w:tcW w:w="738" w:type="dxa"/>
            <w:tcBorders>
              <w:top w:val="single" w:color="auto" w:sz="4" w:space="0"/>
              <w:left w:val="single" w:color="auto" w:sz="12" w:space="0"/>
              <w:right w:val="single" w:color="auto" w:sz="4" w:space="0"/>
            </w:tcBorders>
            <w:vAlign w:val="center"/>
          </w:tcPr>
          <w:p w14:paraId="0FE8107C">
            <w:pPr>
              <w:jc w:val="center"/>
              <w:rPr>
                <w:rFonts w:hint="eastAsia" w:ascii="宋体" w:hAnsi="宋体" w:cs="宋体"/>
                <w:sz w:val="22"/>
                <w:szCs w:val="22"/>
              </w:rPr>
            </w:pPr>
            <w:r>
              <w:rPr>
                <w:rFonts w:hint="eastAsia" w:ascii="宋体" w:hAnsi="宋体" w:cs="宋体"/>
                <w:sz w:val="22"/>
                <w:szCs w:val="22"/>
              </w:rPr>
              <w:t>18</w:t>
            </w:r>
          </w:p>
        </w:tc>
        <w:tc>
          <w:tcPr>
            <w:tcW w:w="1916" w:type="dxa"/>
            <w:tcBorders>
              <w:top w:val="single" w:color="auto" w:sz="4" w:space="0"/>
              <w:left w:val="single" w:color="auto" w:sz="4" w:space="0"/>
              <w:right w:val="single" w:color="auto" w:sz="4" w:space="0"/>
            </w:tcBorders>
            <w:vAlign w:val="center"/>
          </w:tcPr>
          <w:p w14:paraId="5D4B8097">
            <w:pPr>
              <w:jc w:val="center"/>
              <w:rPr>
                <w:rFonts w:hint="eastAsia" w:ascii="宋体" w:hAnsi="宋体" w:cs="宋体"/>
                <w:sz w:val="22"/>
                <w:szCs w:val="22"/>
              </w:rPr>
            </w:pPr>
            <w:r>
              <w:rPr>
                <w:rFonts w:hint="eastAsia" w:ascii="宋体" w:hAnsi="宋体" w:cs="宋体"/>
                <w:sz w:val="22"/>
                <w:szCs w:val="22"/>
              </w:rPr>
              <w:t>投标样品</w:t>
            </w:r>
          </w:p>
        </w:tc>
        <w:tc>
          <w:tcPr>
            <w:tcW w:w="6620" w:type="dxa"/>
            <w:tcBorders>
              <w:top w:val="single" w:color="auto" w:sz="4" w:space="0"/>
              <w:left w:val="single" w:color="auto" w:sz="4" w:space="0"/>
              <w:right w:val="single" w:color="auto" w:sz="12" w:space="0"/>
            </w:tcBorders>
            <w:vAlign w:val="center"/>
          </w:tcPr>
          <w:p w14:paraId="4D4C5306">
            <w:pPr>
              <w:rPr>
                <w:rFonts w:hint="eastAsia" w:ascii="宋体" w:hAnsi="宋体" w:cs="宋体"/>
                <w:sz w:val="22"/>
                <w:szCs w:val="22"/>
              </w:rPr>
            </w:pPr>
            <w:r>
              <w:rPr>
                <w:rFonts w:hint="eastAsia" w:ascii="宋体" w:hAnsi="宋体" w:cs="宋体"/>
                <w:sz w:val="22"/>
                <w:szCs w:val="22"/>
              </w:rPr>
              <w:t xml:space="preserve">☑ </w:t>
            </w:r>
            <w:r>
              <w:rPr>
                <w:rFonts w:hint="eastAsia" w:ascii="宋体" w:hAnsi="宋体" w:cs="宋体"/>
                <w:bCs/>
                <w:kern w:val="0"/>
                <w:sz w:val="22"/>
                <w:szCs w:val="22"/>
              </w:rPr>
              <w:t>不需要</w:t>
            </w:r>
          </w:p>
        </w:tc>
      </w:tr>
      <w:tr w14:paraId="3547FB2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90" w:hRule="atLeast"/>
          <w:jc w:val="center"/>
        </w:trPr>
        <w:tc>
          <w:tcPr>
            <w:tcW w:w="738" w:type="dxa"/>
            <w:tcBorders>
              <w:top w:val="single" w:color="auto" w:sz="4" w:space="0"/>
              <w:left w:val="single" w:color="auto" w:sz="12" w:space="0"/>
              <w:right w:val="single" w:color="auto" w:sz="4" w:space="0"/>
            </w:tcBorders>
            <w:vAlign w:val="center"/>
          </w:tcPr>
          <w:p w14:paraId="4933D858">
            <w:pPr>
              <w:jc w:val="center"/>
              <w:rPr>
                <w:rFonts w:hint="eastAsia" w:ascii="宋体" w:hAnsi="宋体" w:cs="宋体"/>
                <w:sz w:val="22"/>
                <w:szCs w:val="22"/>
              </w:rPr>
            </w:pPr>
            <w:r>
              <w:rPr>
                <w:rFonts w:hint="eastAsia" w:ascii="宋体" w:hAnsi="宋体" w:cs="宋体"/>
                <w:sz w:val="22"/>
                <w:szCs w:val="22"/>
              </w:rPr>
              <w:t>19</w:t>
            </w:r>
          </w:p>
        </w:tc>
        <w:tc>
          <w:tcPr>
            <w:tcW w:w="1916" w:type="dxa"/>
            <w:tcBorders>
              <w:top w:val="single" w:color="auto" w:sz="4" w:space="0"/>
              <w:left w:val="single" w:color="auto" w:sz="4" w:space="0"/>
              <w:right w:val="single" w:color="auto" w:sz="4" w:space="0"/>
            </w:tcBorders>
            <w:vAlign w:val="center"/>
          </w:tcPr>
          <w:p w14:paraId="76D8A8FB">
            <w:pPr>
              <w:jc w:val="center"/>
              <w:rPr>
                <w:rFonts w:hint="eastAsia" w:ascii="宋体" w:hAnsi="宋体" w:cs="宋体"/>
                <w:sz w:val="22"/>
                <w:szCs w:val="22"/>
              </w:rPr>
            </w:pPr>
            <w:r>
              <w:rPr>
                <w:rFonts w:hint="eastAsia" w:ascii="宋体" w:hAnsi="宋体" w:cs="宋体"/>
                <w:sz w:val="22"/>
                <w:szCs w:val="22"/>
              </w:rPr>
              <w:t>投标保证金</w:t>
            </w:r>
          </w:p>
        </w:tc>
        <w:tc>
          <w:tcPr>
            <w:tcW w:w="6620" w:type="dxa"/>
            <w:tcBorders>
              <w:top w:val="single" w:color="auto" w:sz="4" w:space="0"/>
              <w:left w:val="single" w:color="auto" w:sz="4" w:space="0"/>
              <w:right w:val="single" w:color="auto" w:sz="12" w:space="0"/>
            </w:tcBorders>
            <w:vAlign w:val="center"/>
          </w:tcPr>
          <w:p w14:paraId="6EC0F2CD">
            <w:pPr>
              <w:rPr>
                <w:rFonts w:hint="eastAsia" w:ascii="宋体" w:hAnsi="宋体" w:cs="宋体"/>
                <w:sz w:val="22"/>
                <w:szCs w:val="22"/>
              </w:rPr>
            </w:pPr>
            <w:r>
              <w:rPr>
                <w:rFonts w:hint="eastAsia" w:ascii="宋体" w:hAnsi="宋体" w:cs="宋体"/>
                <w:sz w:val="22"/>
                <w:szCs w:val="22"/>
              </w:rPr>
              <w:t>☑不需要</w:t>
            </w:r>
          </w:p>
        </w:tc>
      </w:tr>
      <w:tr w14:paraId="7AA1129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219" w:hRule="atLeast"/>
          <w:jc w:val="center"/>
        </w:trPr>
        <w:tc>
          <w:tcPr>
            <w:tcW w:w="738" w:type="dxa"/>
            <w:tcBorders>
              <w:top w:val="single" w:color="auto" w:sz="4" w:space="0"/>
              <w:left w:val="single" w:color="auto" w:sz="12" w:space="0"/>
              <w:right w:val="single" w:color="auto" w:sz="4" w:space="0"/>
            </w:tcBorders>
            <w:vAlign w:val="center"/>
          </w:tcPr>
          <w:p w14:paraId="64DE11A5">
            <w:pPr>
              <w:jc w:val="center"/>
              <w:rPr>
                <w:rFonts w:hint="eastAsia" w:ascii="宋体" w:hAnsi="宋体" w:cs="宋体"/>
                <w:sz w:val="22"/>
                <w:szCs w:val="22"/>
              </w:rPr>
            </w:pPr>
            <w:r>
              <w:rPr>
                <w:rFonts w:hint="eastAsia" w:ascii="宋体" w:hAnsi="宋体" w:cs="宋体"/>
                <w:sz w:val="22"/>
                <w:szCs w:val="22"/>
              </w:rPr>
              <w:t>20</w:t>
            </w:r>
          </w:p>
        </w:tc>
        <w:tc>
          <w:tcPr>
            <w:tcW w:w="1916" w:type="dxa"/>
            <w:tcBorders>
              <w:top w:val="single" w:color="auto" w:sz="4" w:space="0"/>
              <w:left w:val="single" w:color="auto" w:sz="4" w:space="0"/>
              <w:right w:val="single" w:color="auto" w:sz="4" w:space="0"/>
            </w:tcBorders>
            <w:vAlign w:val="center"/>
          </w:tcPr>
          <w:p w14:paraId="5382E946">
            <w:pPr>
              <w:adjustRightInd w:val="0"/>
              <w:jc w:val="center"/>
              <w:rPr>
                <w:rFonts w:hint="eastAsia" w:ascii="宋体" w:hAnsi="宋体" w:cs="宋体"/>
                <w:sz w:val="22"/>
                <w:szCs w:val="22"/>
              </w:rPr>
            </w:pPr>
            <w:r>
              <w:rPr>
                <w:rFonts w:hint="eastAsia" w:ascii="宋体" w:hAnsi="宋体" w:cs="宋体"/>
                <w:sz w:val="22"/>
                <w:szCs w:val="22"/>
              </w:rPr>
              <w:t>履约担保</w:t>
            </w:r>
          </w:p>
        </w:tc>
        <w:tc>
          <w:tcPr>
            <w:tcW w:w="6620" w:type="dxa"/>
            <w:tcBorders>
              <w:top w:val="single" w:color="auto" w:sz="4" w:space="0"/>
              <w:left w:val="single" w:color="auto" w:sz="4" w:space="0"/>
              <w:right w:val="single" w:color="auto" w:sz="12" w:space="0"/>
            </w:tcBorders>
            <w:vAlign w:val="center"/>
          </w:tcPr>
          <w:p w14:paraId="0A99653A">
            <w:pPr>
              <w:widowControl/>
              <w:rPr>
                <w:rFonts w:hint="eastAsia" w:ascii="宋体" w:hAnsi="宋体" w:cs="宋体"/>
                <w:sz w:val="22"/>
                <w:szCs w:val="22"/>
              </w:rPr>
            </w:pPr>
            <w:r>
              <w:rPr>
                <w:rFonts w:hint="eastAsia" w:ascii="宋体" w:hAnsi="宋体" w:cs="宋体"/>
                <w:sz w:val="22"/>
                <w:szCs w:val="22"/>
              </w:rPr>
              <w:t xml:space="preserve">☑需要 </w:t>
            </w:r>
            <w:r>
              <w:rPr>
                <w:rFonts w:hint="eastAsia" w:ascii="宋体" w:hAnsi="宋体" w:cs="宋体"/>
                <w:b/>
                <w:bCs/>
                <w:sz w:val="22"/>
                <w:szCs w:val="22"/>
                <w:u w:val="single"/>
              </w:rPr>
              <w:t>在签订合同前，中标供应商应向采购人缴纳合同金额1%的履约担保。</w:t>
            </w:r>
          </w:p>
        </w:tc>
      </w:tr>
      <w:tr w14:paraId="1F64A62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90" w:hRule="atLeast"/>
          <w:jc w:val="center"/>
        </w:trPr>
        <w:tc>
          <w:tcPr>
            <w:tcW w:w="738" w:type="dxa"/>
            <w:tcBorders>
              <w:top w:val="single" w:color="auto" w:sz="4" w:space="0"/>
              <w:left w:val="single" w:color="auto" w:sz="12" w:space="0"/>
              <w:right w:val="single" w:color="auto" w:sz="4" w:space="0"/>
            </w:tcBorders>
            <w:vAlign w:val="center"/>
          </w:tcPr>
          <w:p w14:paraId="620C856D">
            <w:pPr>
              <w:jc w:val="center"/>
              <w:rPr>
                <w:rFonts w:hint="eastAsia" w:ascii="宋体" w:hAnsi="宋体" w:cs="宋体"/>
                <w:sz w:val="22"/>
                <w:szCs w:val="22"/>
              </w:rPr>
            </w:pPr>
            <w:r>
              <w:rPr>
                <w:rFonts w:hint="eastAsia" w:ascii="宋体" w:hAnsi="宋体" w:cs="宋体"/>
                <w:sz w:val="22"/>
                <w:szCs w:val="22"/>
              </w:rPr>
              <w:t>21</w:t>
            </w:r>
          </w:p>
        </w:tc>
        <w:tc>
          <w:tcPr>
            <w:tcW w:w="1916" w:type="dxa"/>
            <w:tcBorders>
              <w:top w:val="single" w:color="auto" w:sz="4" w:space="0"/>
              <w:left w:val="single" w:color="auto" w:sz="4" w:space="0"/>
              <w:right w:val="single" w:color="auto" w:sz="4" w:space="0"/>
            </w:tcBorders>
            <w:vAlign w:val="center"/>
          </w:tcPr>
          <w:p w14:paraId="3FB6191A">
            <w:pPr>
              <w:jc w:val="center"/>
              <w:rPr>
                <w:rFonts w:hint="eastAsia" w:ascii="宋体" w:hAnsi="宋体" w:cs="宋体"/>
                <w:sz w:val="22"/>
                <w:szCs w:val="22"/>
              </w:rPr>
            </w:pPr>
            <w:r>
              <w:rPr>
                <w:rFonts w:hint="eastAsia" w:ascii="宋体" w:hAnsi="宋体" w:cs="宋体"/>
                <w:sz w:val="22"/>
                <w:szCs w:val="22"/>
              </w:rPr>
              <w:t>竞争性磋商文件获取时间、地址、售价</w:t>
            </w:r>
          </w:p>
        </w:tc>
        <w:tc>
          <w:tcPr>
            <w:tcW w:w="6620" w:type="dxa"/>
            <w:tcBorders>
              <w:top w:val="single" w:color="auto" w:sz="4" w:space="0"/>
              <w:left w:val="single" w:color="auto" w:sz="4" w:space="0"/>
              <w:right w:val="single" w:color="auto" w:sz="12" w:space="0"/>
            </w:tcBorders>
            <w:vAlign w:val="center"/>
          </w:tcPr>
          <w:p w14:paraId="6CACA856">
            <w:pPr>
              <w:rPr>
                <w:rFonts w:hint="eastAsia" w:ascii="宋体" w:hAnsi="宋体" w:cs="宋体"/>
                <w:sz w:val="22"/>
                <w:szCs w:val="22"/>
              </w:rPr>
            </w:pPr>
            <w:r>
              <w:rPr>
                <w:rFonts w:hint="eastAsia" w:ascii="宋体" w:hAnsi="宋体" w:cs="宋体"/>
                <w:sz w:val="22"/>
                <w:szCs w:val="22"/>
              </w:rPr>
              <w:t>1.获取时间：至投标截止时间止；</w:t>
            </w:r>
          </w:p>
          <w:p w14:paraId="09A31847">
            <w:pPr>
              <w:rPr>
                <w:rFonts w:hint="eastAsia" w:ascii="宋体" w:hAnsi="宋体" w:cs="宋体"/>
                <w:sz w:val="22"/>
                <w:szCs w:val="22"/>
              </w:rPr>
            </w:pPr>
            <w:r>
              <w:rPr>
                <w:rFonts w:hint="eastAsia" w:ascii="宋体" w:hAnsi="宋体" w:cs="宋体"/>
                <w:sz w:val="22"/>
                <w:szCs w:val="22"/>
              </w:rPr>
              <w:t>2.获取地址：乐采云（www.lecaiyun.com）；</w:t>
            </w:r>
          </w:p>
          <w:p w14:paraId="13D71321">
            <w:pPr>
              <w:rPr>
                <w:rFonts w:hint="eastAsia" w:ascii="宋体" w:hAnsi="宋体" w:cs="宋体"/>
                <w:sz w:val="22"/>
                <w:szCs w:val="22"/>
              </w:rPr>
            </w:pPr>
            <w:r>
              <w:rPr>
                <w:rFonts w:hint="eastAsia" w:ascii="宋体" w:hAnsi="宋体" w:cs="宋体"/>
                <w:sz w:val="22"/>
                <w:szCs w:val="22"/>
              </w:rPr>
              <w:t>3.本项目采购文件实行“乐采云平台”在线获取，不提供纸质采购文件。</w:t>
            </w:r>
          </w:p>
          <w:p w14:paraId="07498C1F">
            <w:pPr>
              <w:rPr>
                <w:rFonts w:hint="eastAsia" w:ascii="宋体" w:hAnsi="宋体" w:cs="宋体"/>
                <w:bCs/>
                <w:kern w:val="0"/>
                <w:sz w:val="22"/>
                <w:szCs w:val="22"/>
              </w:rPr>
            </w:pPr>
            <w:r>
              <w:rPr>
                <w:rFonts w:hint="eastAsia" w:ascii="宋体" w:hAnsi="宋体" w:cs="宋体"/>
                <w:sz w:val="22"/>
                <w:szCs w:val="22"/>
              </w:rPr>
              <w:t>注：竞争性磋商公告附件里的磋商文件仅供阅览使用。</w:t>
            </w:r>
          </w:p>
        </w:tc>
      </w:tr>
      <w:tr w14:paraId="432455E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25" w:hRule="atLeast"/>
          <w:jc w:val="center"/>
        </w:trPr>
        <w:tc>
          <w:tcPr>
            <w:tcW w:w="738" w:type="dxa"/>
            <w:tcBorders>
              <w:top w:val="single" w:color="auto" w:sz="4" w:space="0"/>
              <w:left w:val="single" w:color="auto" w:sz="12" w:space="0"/>
              <w:right w:val="single" w:color="auto" w:sz="4" w:space="0"/>
            </w:tcBorders>
            <w:vAlign w:val="center"/>
          </w:tcPr>
          <w:p w14:paraId="5AD118A1">
            <w:pPr>
              <w:jc w:val="center"/>
              <w:rPr>
                <w:rFonts w:hint="eastAsia" w:ascii="宋体" w:hAnsi="宋体" w:cs="宋体"/>
                <w:sz w:val="22"/>
                <w:szCs w:val="22"/>
              </w:rPr>
            </w:pPr>
            <w:r>
              <w:rPr>
                <w:rFonts w:hint="eastAsia" w:ascii="宋体" w:hAnsi="宋体" w:cs="宋体"/>
                <w:sz w:val="22"/>
                <w:szCs w:val="22"/>
              </w:rPr>
              <w:t>22</w:t>
            </w:r>
          </w:p>
        </w:tc>
        <w:tc>
          <w:tcPr>
            <w:tcW w:w="1916" w:type="dxa"/>
            <w:tcBorders>
              <w:top w:val="single" w:color="auto" w:sz="4" w:space="0"/>
              <w:left w:val="single" w:color="auto" w:sz="4" w:space="0"/>
              <w:right w:val="single" w:color="auto" w:sz="4" w:space="0"/>
            </w:tcBorders>
            <w:vAlign w:val="center"/>
          </w:tcPr>
          <w:p w14:paraId="6CCCA567">
            <w:pPr>
              <w:jc w:val="center"/>
              <w:rPr>
                <w:rFonts w:hint="eastAsia" w:ascii="宋体" w:hAnsi="宋体" w:cs="宋体"/>
                <w:sz w:val="22"/>
                <w:szCs w:val="22"/>
              </w:rPr>
            </w:pPr>
            <w:r>
              <w:rPr>
                <w:rFonts w:hint="eastAsia" w:ascii="宋体" w:hAnsi="宋体" w:cs="宋体"/>
                <w:sz w:val="22"/>
                <w:szCs w:val="22"/>
              </w:rPr>
              <w:t>投标截止时间</w:t>
            </w:r>
          </w:p>
        </w:tc>
        <w:tc>
          <w:tcPr>
            <w:tcW w:w="6620" w:type="dxa"/>
            <w:tcBorders>
              <w:top w:val="single" w:color="auto" w:sz="4" w:space="0"/>
              <w:left w:val="single" w:color="auto" w:sz="4" w:space="0"/>
              <w:right w:val="single" w:color="auto" w:sz="12" w:space="0"/>
            </w:tcBorders>
            <w:vAlign w:val="center"/>
          </w:tcPr>
          <w:p w14:paraId="295882F7">
            <w:pPr>
              <w:rPr>
                <w:rFonts w:hint="eastAsia" w:ascii="宋体" w:hAnsi="宋体" w:cs="宋体"/>
                <w:sz w:val="22"/>
                <w:szCs w:val="22"/>
              </w:rPr>
            </w:pPr>
            <w:r>
              <w:rPr>
                <w:rFonts w:hint="eastAsia" w:ascii="宋体" w:hAnsi="宋体" w:cs="宋体"/>
                <w:kern w:val="0"/>
                <w:sz w:val="22"/>
                <w:szCs w:val="22"/>
              </w:rPr>
              <w:t>见</w:t>
            </w:r>
            <w:r>
              <w:rPr>
                <w:rFonts w:hint="eastAsia" w:ascii="宋体" w:hAnsi="宋体" w:cs="宋体"/>
                <w:sz w:val="22"/>
                <w:szCs w:val="22"/>
              </w:rPr>
              <w:t>竞争性磋商</w:t>
            </w:r>
            <w:r>
              <w:rPr>
                <w:rFonts w:hint="eastAsia" w:ascii="宋体" w:hAnsi="宋体" w:cs="宋体"/>
                <w:kern w:val="0"/>
                <w:sz w:val="22"/>
                <w:szCs w:val="22"/>
              </w:rPr>
              <w:t>公告</w:t>
            </w:r>
          </w:p>
        </w:tc>
      </w:tr>
      <w:tr w14:paraId="767E1B3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574" w:hRule="atLeast"/>
          <w:jc w:val="center"/>
        </w:trPr>
        <w:tc>
          <w:tcPr>
            <w:tcW w:w="738" w:type="dxa"/>
            <w:tcBorders>
              <w:top w:val="single" w:color="auto" w:sz="4" w:space="0"/>
              <w:left w:val="single" w:color="auto" w:sz="12" w:space="0"/>
              <w:right w:val="single" w:color="auto" w:sz="4" w:space="0"/>
            </w:tcBorders>
            <w:vAlign w:val="center"/>
          </w:tcPr>
          <w:p w14:paraId="6840BEAC">
            <w:pPr>
              <w:jc w:val="center"/>
              <w:rPr>
                <w:rFonts w:hint="eastAsia" w:ascii="宋体" w:hAnsi="宋体" w:cs="宋体"/>
                <w:sz w:val="22"/>
                <w:szCs w:val="22"/>
              </w:rPr>
            </w:pPr>
            <w:r>
              <w:rPr>
                <w:rFonts w:hint="eastAsia" w:ascii="宋体" w:hAnsi="宋体" w:cs="宋体"/>
                <w:sz w:val="22"/>
                <w:szCs w:val="22"/>
              </w:rPr>
              <w:t>23</w:t>
            </w:r>
          </w:p>
        </w:tc>
        <w:tc>
          <w:tcPr>
            <w:tcW w:w="1916" w:type="dxa"/>
            <w:tcBorders>
              <w:top w:val="single" w:color="auto" w:sz="4" w:space="0"/>
              <w:left w:val="single" w:color="auto" w:sz="4" w:space="0"/>
              <w:right w:val="single" w:color="auto" w:sz="4" w:space="0"/>
            </w:tcBorders>
            <w:vAlign w:val="center"/>
          </w:tcPr>
          <w:p w14:paraId="4F0D43E3">
            <w:pPr>
              <w:jc w:val="center"/>
              <w:rPr>
                <w:rFonts w:hint="eastAsia" w:ascii="宋体" w:hAnsi="宋体" w:cs="宋体"/>
                <w:sz w:val="22"/>
                <w:szCs w:val="22"/>
              </w:rPr>
            </w:pPr>
            <w:r>
              <w:rPr>
                <w:rFonts w:hint="eastAsia" w:ascii="宋体" w:hAnsi="宋体" w:cs="宋体"/>
                <w:sz w:val="22"/>
                <w:szCs w:val="22"/>
              </w:rPr>
              <w:t>投标文件的形式及递交</w:t>
            </w:r>
          </w:p>
        </w:tc>
        <w:tc>
          <w:tcPr>
            <w:tcW w:w="6620" w:type="dxa"/>
            <w:tcBorders>
              <w:top w:val="single" w:color="auto" w:sz="4" w:space="0"/>
              <w:left w:val="single" w:color="auto" w:sz="4" w:space="0"/>
              <w:right w:val="single" w:color="auto" w:sz="12" w:space="0"/>
            </w:tcBorders>
            <w:vAlign w:val="center"/>
          </w:tcPr>
          <w:p w14:paraId="158696B2">
            <w:pPr>
              <w:wordWrap w:val="0"/>
              <w:rPr>
                <w:rFonts w:hint="eastAsia" w:ascii="宋体" w:hAnsi="宋体" w:cs="宋体"/>
                <w:sz w:val="22"/>
                <w:szCs w:val="22"/>
              </w:rPr>
            </w:pPr>
            <w:r>
              <w:rPr>
                <w:rFonts w:hint="eastAsia" w:ascii="宋体" w:hAnsi="宋体" w:cs="宋体"/>
                <w:sz w:val="22"/>
                <w:szCs w:val="22"/>
              </w:rPr>
              <w:t>本项目实行远程电子投标。</w:t>
            </w:r>
          </w:p>
          <w:p w14:paraId="54DCD43A">
            <w:pPr>
              <w:wordWrap w:val="0"/>
              <w:rPr>
                <w:rFonts w:hint="eastAsia" w:ascii="宋体" w:hAnsi="宋体" w:cs="宋体"/>
                <w:sz w:val="22"/>
                <w:szCs w:val="22"/>
              </w:rPr>
            </w:pPr>
            <w:r>
              <w:rPr>
                <w:rFonts w:hint="eastAsia" w:ascii="宋体" w:hAnsi="宋体" w:cs="宋体"/>
                <w:sz w:val="22"/>
                <w:szCs w:val="22"/>
              </w:rPr>
              <w:t>供应商通过“乐采云电子投标客户端”完成投标文件编制（乐采云电子投标客户端下载网址：</w:t>
            </w:r>
            <w:r>
              <w:rPr>
                <w:rFonts w:hint="eastAsia" w:ascii="仿宋" w:hAnsi="仿宋" w:eastAsia="仿宋" w:cs="仿宋"/>
                <w:kern w:val="0"/>
                <w:sz w:val="22"/>
                <w:szCs w:val="22"/>
              </w:rPr>
              <w:t>https://b.zhengcaiyun.cn/luban/detail?parentId=550045&amp;articleId=eb2M1qs8WcWfZwedAHj7qQ==&amp;utm=luban.luban-PC-39075.1024-pc-wsg-secondLevelPage-front.1.91e08ee0cbca11ef84bf71e0cc18c6a6</w:t>
            </w:r>
            <w:r>
              <w:rPr>
                <w:rFonts w:hint="eastAsia" w:ascii="宋体" w:hAnsi="宋体" w:cs="宋体"/>
                <w:sz w:val="22"/>
                <w:szCs w:val="22"/>
              </w:rPr>
              <w:t>），采用CA数字证书进行电子签章和加密并生成的“电子加密投标文件”上传递交至“政府采购云平台”。</w:t>
            </w:r>
          </w:p>
          <w:p w14:paraId="4BE8F5E0">
            <w:pPr>
              <w:wordWrap w:val="0"/>
              <w:rPr>
                <w:rFonts w:hint="eastAsia" w:ascii="宋体" w:hAnsi="宋体" w:cs="宋体"/>
                <w:sz w:val="22"/>
                <w:szCs w:val="22"/>
              </w:rPr>
            </w:pPr>
            <w:r>
              <w:rPr>
                <w:rFonts w:hint="eastAsia" w:ascii="宋体" w:hAnsi="宋体" w:cs="宋体"/>
                <w:sz w:val="22"/>
                <w:szCs w:val="22"/>
              </w:rPr>
              <w:t>1.电子加密投标文件：指数据电文形式的后缀名.jmbs文件。供应商在投标文件递交截止时间之前将生成的电子加密投标文件递交至乐采云平台，供应商未按要求递交的电子加密投标文件，乐采云平台将予以拒收。</w:t>
            </w:r>
          </w:p>
          <w:p w14:paraId="4167BA17">
            <w:pPr>
              <w:wordWrap w:val="0"/>
              <w:rPr>
                <w:rFonts w:hint="eastAsia" w:ascii="宋体" w:hAnsi="宋体" w:cs="宋体"/>
                <w:sz w:val="22"/>
                <w:szCs w:val="22"/>
              </w:rPr>
            </w:pPr>
            <w:r>
              <w:rPr>
                <w:rFonts w:hint="eastAsia" w:ascii="宋体" w:hAnsi="宋体" w:cs="宋体"/>
                <w:sz w:val="22"/>
                <w:szCs w:val="22"/>
              </w:rPr>
              <w:t>“电子加密投标文件”的上传、递交：</w:t>
            </w:r>
          </w:p>
          <w:p w14:paraId="3FC5D772">
            <w:pPr>
              <w:wordWrap w:val="0"/>
              <w:rPr>
                <w:rFonts w:hint="eastAsia" w:ascii="宋体" w:hAnsi="宋体" w:cs="宋体"/>
                <w:sz w:val="22"/>
                <w:szCs w:val="22"/>
              </w:rPr>
            </w:pPr>
            <w:r>
              <w:rPr>
                <w:rFonts w:hint="eastAsia" w:ascii="宋体" w:hAnsi="宋体" w:cs="宋体"/>
                <w:sz w:val="22"/>
                <w:szCs w:val="22"/>
              </w:rPr>
              <w:t>a.投标供应商应在响应文件递交截止时间前将“电子加密投标文件”成功上传递交至“乐采云平台”，否则投标无效。</w:t>
            </w:r>
          </w:p>
          <w:p w14:paraId="70A7C6C0">
            <w:pPr>
              <w:wordWrap w:val="0"/>
              <w:rPr>
                <w:rFonts w:hint="eastAsia" w:ascii="宋体" w:hAnsi="宋体" w:cs="宋体"/>
                <w:sz w:val="22"/>
                <w:szCs w:val="22"/>
              </w:rPr>
            </w:pPr>
            <w:r>
              <w:rPr>
                <w:rFonts w:hint="eastAsia" w:ascii="宋体" w:hAnsi="宋体" w:cs="宋体"/>
                <w:sz w:val="22"/>
                <w:szCs w:val="22"/>
              </w:rPr>
              <w:t>b.“电子加密投标文件”成功上传递交后，供应商可自行打印电子投标文件接收回执。</w:t>
            </w:r>
          </w:p>
        </w:tc>
      </w:tr>
      <w:tr w14:paraId="30B735C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1327" w:hRule="atLeast"/>
          <w:jc w:val="center"/>
        </w:trPr>
        <w:tc>
          <w:tcPr>
            <w:tcW w:w="738" w:type="dxa"/>
            <w:tcBorders>
              <w:top w:val="single" w:color="auto" w:sz="4" w:space="0"/>
              <w:left w:val="single" w:color="auto" w:sz="12" w:space="0"/>
              <w:right w:val="single" w:color="auto" w:sz="4" w:space="0"/>
            </w:tcBorders>
            <w:vAlign w:val="center"/>
          </w:tcPr>
          <w:p w14:paraId="6890DB32">
            <w:pPr>
              <w:jc w:val="center"/>
              <w:rPr>
                <w:rFonts w:hint="eastAsia" w:ascii="宋体" w:hAnsi="宋体" w:cs="宋体"/>
                <w:sz w:val="22"/>
                <w:szCs w:val="22"/>
              </w:rPr>
            </w:pPr>
            <w:r>
              <w:rPr>
                <w:rFonts w:hint="eastAsia" w:ascii="宋体" w:hAnsi="宋体" w:cs="宋体"/>
                <w:sz w:val="22"/>
                <w:szCs w:val="22"/>
              </w:rPr>
              <w:t>24</w:t>
            </w:r>
          </w:p>
        </w:tc>
        <w:tc>
          <w:tcPr>
            <w:tcW w:w="1916" w:type="dxa"/>
            <w:tcBorders>
              <w:top w:val="single" w:color="auto" w:sz="4" w:space="0"/>
              <w:left w:val="single" w:color="auto" w:sz="4" w:space="0"/>
              <w:right w:val="single" w:color="auto" w:sz="4" w:space="0"/>
            </w:tcBorders>
            <w:vAlign w:val="center"/>
          </w:tcPr>
          <w:p w14:paraId="2A6B9C77">
            <w:pPr>
              <w:jc w:val="center"/>
              <w:rPr>
                <w:rFonts w:hint="eastAsia" w:ascii="宋体" w:hAnsi="宋体" w:cs="宋体"/>
                <w:sz w:val="22"/>
                <w:szCs w:val="22"/>
              </w:rPr>
            </w:pPr>
            <w:r>
              <w:rPr>
                <w:rFonts w:hint="eastAsia" w:ascii="宋体" w:hAnsi="宋体" w:cs="宋体"/>
                <w:sz w:val="22"/>
                <w:szCs w:val="22"/>
              </w:rPr>
              <w:t>电子加密投标文件的解密和异常情况处理</w:t>
            </w:r>
          </w:p>
        </w:tc>
        <w:tc>
          <w:tcPr>
            <w:tcW w:w="6620" w:type="dxa"/>
            <w:tcBorders>
              <w:top w:val="single" w:color="auto" w:sz="4" w:space="0"/>
              <w:left w:val="single" w:color="auto" w:sz="4" w:space="0"/>
              <w:right w:val="single" w:color="auto" w:sz="12" w:space="0"/>
            </w:tcBorders>
            <w:vAlign w:val="center"/>
          </w:tcPr>
          <w:p w14:paraId="0A103C69">
            <w:pPr>
              <w:widowControl/>
              <w:numPr>
                <w:ilvl w:val="0"/>
                <w:numId w:val="2"/>
              </w:numPr>
              <w:rPr>
                <w:rFonts w:hint="eastAsia" w:ascii="宋体" w:hAnsi="宋体" w:cs="宋体"/>
                <w:sz w:val="22"/>
                <w:szCs w:val="22"/>
              </w:rPr>
            </w:pPr>
            <w:r>
              <w:rPr>
                <w:rFonts w:hint="eastAsia" w:ascii="宋体" w:hAnsi="宋体" w:cs="宋体"/>
                <w:sz w:val="22"/>
                <w:szCs w:val="22"/>
              </w:rPr>
              <w:t>开标后，采购代理机构将向各供应商发出“电子加密投标文件”的解密通知，各供应商代表应当在接到解密通知后</w:t>
            </w:r>
            <w:r>
              <w:rPr>
                <w:rFonts w:hint="eastAsia" w:ascii="宋体" w:hAnsi="宋体" w:cs="宋体"/>
                <w:b/>
                <w:bCs/>
                <w:sz w:val="22"/>
                <w:szCs w:val="22"/>
                <w:u w:val="single"/>
              </w:rPr>
              <w:t>30分钟内</w:t>
            </w:r>
            <w:r>
              <w:rPr>
                <w:rFonts w:hint="eastAsia" w:ascii="宋体" w:hAnsi="宋体" w:cs="宋体"/>
                <w:sz w:val="22"/>
                <w:szCs w:val="22"/>
              </w:rPr>
              <w:t>自行完成“电子加密投标文件”的在线解密。</w:t>
            </w:r>
          </w:p>
          <w:p w14:paraId="5F455FEA">
            <w:pPr>
              <w:rPr>
                <w:rFonts w:hint="eastAsia" w:ascii="宋体" w:hAnsi="宋体" w:cs="宋体"/>
                <w:sz w:val="22"/>
                <w:szCs w:val="22"/>
              </w:rPr>
            </w:pPr>
            <w:r>
              <w:rPr>
                <w:rFonts w:hint="eastAsia" w:ascii="宋体" w:hAnsi="宋体" w:cs="宋体"/>
                <w:sz w:val="22"/>
                <w:szCs w:val="22"/>
              </w:rPr>
              <w:t>2、通过“乐采云平台” 成功上传递交的“电子加密投标文件”无法按时解密的，其投标文件按拒收处理。</w:t>
            </w:r>
          </w:p>
        </w:tc>
      </w:tr>
      <w:tr w14:paraId="13CAC80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634" w:hRule="atLeast"/>
          <w:jc w:val="center"/>
        </w:trPr>
        <w:tc>
          <w:tcPr>
            <w:tcW w:w="738" w:type="dxa"/>
            <w:tcBorders>
              <w:top w:val="single" w:color="auto" w:sz="4" w:space="0"/>
              <w:left w:val="single" w:color="auto" w:sz="12" w:space="0"/>
              <w:right w:val="single" w:color="auto" w:sz="4" w:space="0"/>
            </w:tcBorders>
            <w:vAlign w:val="center"/>
          </w:tcPr>
          <w:p w14:paraId="7930E697">
            <w:pPr>
              <w:jc w:val="center"/>
              <w:rPr>
                <w:rFonts w:hint="eastAsia" w:ascii="宋体" w:hAnsi="宋体" w:cs="宋体"/>
                <w:sz w:val="22"/>
                <w:szCs w:val="22"/>
              </w:rPr>
            </w:pPr>
            <w:r>
              <w:rPr>
                <w:rFonts w:hint="eastAsia" w:ascii="宋体" w:hAnsi="宋体" w:cs="宋体"/>
                <w:sz w:val="22"/>
                <w:szCs w:val="22"/>
              </w:rPr>
              <w:t>25</w:t>
            </w:r>
          </w:p>
        </w:tc>
        <w:tc>
          <w:tcPr>
            <w:tcW w:w="1916" w:type="dxa"/>
            <w:tcBorders>
              <w:top w:val="single" w:color="auto" w:sz="4" w:space="0"/>
              <w:left w:val="single" w:color="auto" w:sz="4" w:space="0"/>
              <w:right w:val="single" w:color="auto" w:sz="4" w:space="0"/>
            </w:tcBorders>
            <w:vAlign w:val="center"/>
          </w:tcPr>
          <w:p w14:paraId="7DF9D729">
            <w:pPr>
              <w:jc w:val="center"/>
              <w:rPr>
                <w:rFonts w:hint="eastAsia" w:ascii="宋体" w:hAnsi="宋体" w:cs="宋体"/>
                <w:sz w:val="22"/>
                <w:szCs w:val="22"/>
              </w:rPr>
            </w:pPr>
            <w:r>
              <w:rPr>
                <w:rFonts w:hint="eastAsia" w:ascii="宋体" w:hAnsi="宋体" w:cs="宋体"/>
                <w:sz w:val="22"/>
                <w:szCs w:val="22"/>
              </w:rPr>
              <w:t>开标时间、</w:t>
            </w:r>
          </w:p>
          <w:p w14:paraId="7B002A87">
            <w:pPr>
              <w:jc w:val="center"/>
              <w:rPr>
                <w:rFonts w:hint="eastAsia" w:ascii="宋体" w:hAnsi="宋体" w:cs="宋体"/>
                <w:sz w:val="22"/>
                <w:szCs w:val="22"/>
              </w:rPr>
            </w:pPr>
            <w:r>
              <w:rPr>
                <w:rFonts w:hint="eastAsia" w:ascii="宋体" w:hAnsi="宋体" w:cs="宋体"/>
                <w:sz w:val="22"/>
                <w:szCs w:val="22"/>
              </w:rPr>
              <w:t>地点、形式</w:t>
            </w:r>
          </w:p>
        </w:tc>
        <w:tc>
          <w:tcPr>
            <w:tcW w:w="6620" w:type="dxa"/>
            <w:tcBorders>
              <w:top w:val="single" w:color="auto" w:sz="4" w:space="0"/>
              <w:left w:val="single" w:color="auto" w:sz="4" w:space="0"/>
              <w:right w:val="single" w:color="auto" w:sz="12" w:space="0"/>
            </w:tcBorders>
            <w:vAlign w:val="center"/>
          </w:tcPr>
          <w:p w14:paraId="0010CE8A">
            <w:pPr>
              <w:widowControl/>
              <w:rPr>
                <w:rFonts w:hint="eastAsia" w:ascii="宋体" w:hAnsi="宋体" w:cs="宋体"/>
                <w:sz w:val="22"/>
                <w:szCs w:val="22"/>
              </w:rPr>
            </w:pPr>
            <w:r>
              <w:rPr>
                <w:rFonts w:hint="eastAsia" w:ascii="宋体" w:hAnsi="宋体" w:cs="宋体"/>
                <w:sz w:val="22"/>
                <w:szCs w:val="22"/>
              </w:rPr>
              <w:t>开标时间：见竞争性磋商公告</w:t>
            </w:r>
          </w:p>
          <w:p w14:paraId="72094027">
            <w:pPr>
              <w:widowControl/>
              <w:rPr>
                <w:rFonts w:hint="eastAsia" w:ascii="宋体" w:hAnsi="宋体" w:cs="宋体"/>
                <w:sz w:val="22"/>
                <w:szCs w:val="22"/>
              </w:rPr>
            </w:pPr>
            <w:r>
              <w:rPr>
                <w:rFonts w:hint="eastAsia" w:ascii="宋体" w:hAnsi="宋体" w:cs="宋体"/>
                <w:sz w:val="22"/>
                <w:szCs w:val="22"/>
              </w:rPr>
              <w:t>开标地点：乐采云（www.lecaiyun.com）</w:t>
            </w:r>
          </w:p>
          <w:p w14:paraId="4AF9EE78">
            <w:pPr>
              <w:widowControl/>
              <w:rPr>
                <w:rFonts w:hint="eastAsia" w:ascii="宋体" w:hAnsi="宋体" w:cs="宋体"/>
                <w:sz w:val="22"/>
                <w:szCs w:val="22"/>
              </w:rPr>
            </w:pPr>
            <w:r>
              <w:rPr>
                <w:rFonts w:hint="eastAsia" w:ascii="宋体" w:hAnsi="宋体" w:cs="宋体"/>
                <w:sz w:val="22"/>
                <w:szCs w:val="22"/>
              </w:rPr>
              <w:t>采购代理机构将按照竞争性磋商文件规定的开标时间通过“乐采云平台”组织开标、开启磋商（响应）文件，所有供应商均应当准时在线参加。</w:t>
            </w:r>
          </w:p>
        </w:tc>
      </w:tr>
      <w:tr w14:paraId="32874DC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90" w:hRule="atLeast"/>
          <w:jc w:val="center"/>
        </w:trPr>
        <w:tc>
          <w:tcPr>
            <w:tcW w:w="738" w:type="dxa"/>
            <w:tcBorders>
              <w:top w:val="single" w:color="auto" w:sz="4" w:space="0"/>
              <w:left w:val="single" w:color="auto" w:sz="12" w:space="0"/>
              <w:right w:val="single" w:color="auto" w:sz="4" w:space="0"/>
            </w:tcBorders>
            <w:vAlign w:val="center"/>
          </w:tcPr>
          <w:p w14:paraId="561B4BFA">
            <w:pPr>
              <w:jc w:val="center"/>
              <w:rPr>
                <w:rFonts w:hint="eastAsia" w:ascii="宋体" w:hAnsi="宋体" w:cs="宋体"/>
                <w:sz w:val="22"/>
                <w:szCs w:val="22"/>
              </w:rPr>
            </w:pPr>
            <w:r>
              <w:rPr>
                <w:rFonts w:hint="eastAsia" w:ascii="宋体" w:hAnsi="宋体" w:cs="宋体"/>
                <w:sz w:val="22"/>
                <w:szCs w:val="22"/>
              </w:rPr>
              <w:t>26</w:t>
            </w:r>
          </w:p>
        </w:tc>
        <w:tc>
          <w:tcPr>
            <w:tcW w:w="1916" w:type="dxa"/>
            <w:tcBorders>
              <w:top w:val="single" w:color="auto" w:sz="4" w:space="0"/>
              <w:left w:val="single" w:color="auto" w:sz="4" w:space="0"/>
              <w:right w:val="single" w:color="auto" w:sz="4" w:space="0"/>
            </w:tcBorders>
            <w:vAlign w:val="center"/>
          </w:tcPr>
          <w:p w14:paraId="69DE3C80">
            <w:pPr>
              <w:jc w:val="center"/>
              <w:rPr>
                <w:rFonts w:hint="eastAsia" w:ascii="宋体" w:hAnsi="宋体" w:cs="宋体"/>
                <w:sz w:val="22"/>
                <w:szCs w:val="22"/>
              </w:rPr>
            </w:pPr>
            <w:r>
              <w:rPr>
                <w:rFonts w:hint="eastAsia" w:ascii="宋体" w:hAnsi="宋体" w:cs="宋体"/>
                <w:sz w:val="22"/>
                <w:szCs w:val="22"/>
              </w:rPr>
              <w:t>开标及评审程序</w:t>
            </w:r>
          </w:p>
        </w:tc>
        <w:tc>
          <w:tcPr>
            <w:tcW w:w="6620" w:type="dxa"/>
            <w:tcBorders>
              <w:top w:val="single" w:color="auto" w:sz="4" w:space="0"/>
              <w:left w:val="single" w:color="auto" w:sz="4" w:space="0"/>
              <w:right w:val="single" w:color="auto" w:sz="12" w:space="0"/>
            </w:tcBorders>
            <w:vAlign w:val="center"/>
          </w:tcPr>
          <w:p w14:paraId="39330AD5">
            <w:pPr>
              <w:widowControl/>
              <w:numPr>
                <w:ilvl w:val="0"/>
                <w:numId w:val="3"/>
              </w:numPr>
              <w:ind w:left="0" w:firstLine="0"/>
              <w:jc w:val="left"/>
              <w:rPr>
                <w:rFonts w:hint="eastAsia" w:ascii="宋体" w:hAnsi="宋体" w:cs="宋体"/>
                <w:sz w:val="22"/>
                <w:szCs w:val="22"/>
              </w:rPr>
            </w:pPr>
            <w:r>
              <w:rPr>
                <w:rFonts w:hint="eastAsia" w:ascii="宋体" w:hAnsi="宋体" w:cs="宋体"/>
                <w:sz w:val="22"/>
                <w:szCs w:val="22"/>
              </w:rPr>
              <w:t>开标程序</w:t>
            </w:r>
          </w:p>
          <w:p w14:paraId="78C9F1A3">
            <w:pPr>
              <w:tabs>
                <w:tab w:val="left" w:pos="-6"/>
              </w:tabs>
              <w:ind w:left="220" w:hanging="221" w:hangingChars="100"/>
              <w:rPr>
                <w:rFonts w:hint="eastAsia" w:ascii="宋体" w:hAnsi="宋体" w:cs="宋体"/>
                <w:b/>
                <w:sz w:val="22"/>
                <w:szCs w:val="22"/>
              </w:rPr>
            </w:pPr>
            <w:r>
              <w:rPr>
                <w:rFonts w:hint="eastAsia" w:ascii="宋体" w:hAnsi="宋体" w:cs="宋体"/>
                <w:b/>
                <w:sz w:val="22"/>
                <w:szCs w:val="22"/>
              </w:rPr>
              <w:t>（1）开标后，采购代理机构将向各投标供应商发出“电子加密投标文件”的解密通知，各投标供应商代表应当在接到解密通知后30分钟内自行完成“电子加密投标文件”的在线解密。</w:t>
            </w:r>
          </w:p>
          <w:p w14:paraId="68AB17CB">
            <w:pPr>
              <w:rPr>
                <w:rFonts w:hint="eastAsia" w:ascii="宋体" w:hAnsi="宋体" w:cs="宋体"/>
                <w:b/>
                <w:sz w:val="22"/>
                <w:szCs w:val="22"/>
              </w:rPr>
            </w:pPr>
            <w:r>
              <w:rPr>
                <w:rFonts w:hint="eastAsia" w:ascii="宋体" w:hAnsi="宋体" w:cs="宋体"/>
                <w:b/>
                <w:sz w:val="22"/>
                <w:szCs w:val="22"/>
              </w:rPr>
              <w:t>（2）</w:t>
            </w:r>
            <w:r>
              <w:rPr>
                <w:rFonts w:hint="eastAsia" w:ascii="宋体" w:hAnsi="宋体" w:cs="宋体"/>
                <w:sz w:val="22"/>
                <w:szCs w:val="22"/>
              </w:rPr>
              <w:t>采购人或采购代理机构先进行资格性审查；</w:t>
            </w:r>
          </w:p>
          <w:p w14:paraId="0CEB7B4B">
            <w:pPr>
              <w:rPr>
                <w:rFonts w:hint="eastAsia" w:ascii="宋体" w:hAnsi="宋体" w:cs="宋体"/>
                <w:sz w:val="22"/>
                <w:szCs w:val="22"/>
              </w:rPr>
            </w:pPr>
            <w:r>
              <w:rPr>
                <w:rFonts w:hint="eastAsia" w:ascii="宋体" w:hAnsi="宋体" w:cs="宋体"/>
                <w:sz w:val="22"/>
                <w:szCs w:val="22"/>
              </w:rPr>
              <w:t>（3）评标委员会对资格性审查合格的投标供应商进行符合性审查；</w:t>
            </w:r>
          </w:p>
          <w:p w14:paraId="6CD23F8F">
            <w:pPr>
              <w:rPr>
                <w:rFonts w:hint="eastAsia" w:ascii="宋体" w:hAnsi="宋体" w:cs="宋体"/>
                <w:sz w:val="22"/>
                <w:szCs w:val="22"/>
              </w:rPr>
            </w:pPr>
            <w:r>
              <w:rPr>
                <w:rFonts w:hint="eastAsia" w:ascii="宋体" w:hAnsi="宋体" w:cs="宋体"/>
                <w:sz w:val="22"/>
                <w:szCs w:val="22"/>
              </w:rPr>
              <w:t>（4）评标委员会对投标供应商进行技术商务评审；</w:t>
            </w:r>
          </w:p>
          <w:p w14:paraId="5B8B4A95">
            <w:pPr>
              <w:rPr>
                <w:rFonts w:hint="eastAsia" w:ascii="宋体" w:hAnsi="宋体" w:cs="宋体"/>
                <w:sz w:val="22"/>
                <w:szCs w:val="22"/>
              </w:rPr>
            </w:pPr>
            <w:r>
              <w:rPr>
                <w:rFonts w:hint="eastAsia" w:ascii="宋体" w:hAnsi="宋体" w:cs="宋体"/>
                <w:sz w:val="22"/>
                <w:szCs w:val="22"/>
              </w:rPr>
              <w:t>（5）开启报价文件，并进行报价评审。</w:t>
            </w:r>
          </w:p>
          <w:p w14:paraId="7D7D6AFB">
            <w:pPr>
              <w:rPr>
                <w:rFonts w:hint="eastAsia" w:ascii="宋体" w:hAnsi="宋体" w:cs="宋体"/>
                <w:sz w:val="22"/>
                <w:szCs w:val="22"/>
              </w:rPr>
            </w:pPr>
            <w:r>
              <w:rPr>
                <w:rFonts w:hint="eastAsia" w:ascii="宋体" w:hAnsi="宋体" w:cs="宋体"/>
                <w:sz w:val="22"/>
                <w:szCs w:val="22"/>
              </w:rPr>
              <w:t>（6）评标委员会根据综合评分情况，按照综合得分由高到低顺序确定一个预选中标供应商。</w:t>
            </w:r>
          </w:p>
          <w:p w14:paraId="3513D7BA">
            <w:pPr>
              <w:ind w:left="-4" w:leftChars="-2" w:firstLine="440" w:firstLineChars="200"/>
              <w:rPr>
                <w:rFonts w:hint="eastAsia" w:ascii="宋体" w:hAnsi="宋体" w:cs="宋体"/>
                <w:bCs/>
                <w:kern w:val="0"/>
                <w:sz w:val="22"/>
                <w:szCs w:val="22"/>
              </w:rPr>
            </w:pPr>
            <w:r>
              <w:rPr>
                <w:rFonts w:hint="eastAsia" w:ascii="宋体" w:hAnsi="宋体" w:cs="宋体"/>
                <w:sz w:val="22"/>
                <w:szCs w:val="22"/>
              </w:rPr>
              <w:t>如遇“乐采云平台”电子化开标或评审程序调整的，按调整后程序执行。</w:t>
            </w:r>
          </w:p>
        </w:tc>
      </w:tr>
      <w:tr w14:paraId="61C60C2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90" w:hRule="atLeast"/>
          <w:jc w:val="center"/>
        </w:trPr>
        <w:tc>
          <w:tcPr>
            <w:tcW w:w="738" w:type="dxa"/>
            <w:tcBorders>
              <w:top w:val="single" w:color="auto" w:sz="4" w:space="0"/>
              <w:left w:val="single" w:color="auto" w:sz="12" w:space="0"/>
              <w:right w:val="single" w:color="auto" w:sz="4" w:space="0"/>
            </w:tcBorders>
            <w:vAlign w:val="center"/>
          </w:tcPr>
          <w:p w14:paraId="08130501">
            <w:pPr>
              <w:jc w:val="center"/>
              <w:rPr>
                <w:rFonts w:hint="eastAsia" w:ascii="宋体" w:hAnsi="宋体" w:cs="宋体"/>
                <w:sz w:val="22"/>
                <w:szCs w:val="22"/>
              </w:rPr>
            </w:pPr>
            <w:r>
              <w:rPr>
                <w:rFonts w:hint="eastAsia" w:ascii="宋体" w:hAnsi="宋体" w:cs="宋体"/>
                <w:sz w:val="22"/>
                <w:szCs w:val="22"/>
              </w:rPr>
              <w:t>27</w:t>
            </w:r>
          </w:p>
        </w:tc>
        <w:tc>
          <w:tcPr>
            <w:tcW w:w="1916" w:type="dxa"/>
            <w:tcBorders>
              <w:top w:val="single" w:color="auto" w:sz="4" w:space="0"/>
              <w:left w:val="single" w:color="auto" w:sz="4" w:space="0"/>
              <w:right w:val="single" w:color="auto" w:sz="4" w:space="0"/>
            </w:tcBorders>
            <w:vAlign w:val="center"/>
          </w:tcPr>
          <w:p w14:paraId="23243DA3">
            <w:pPr>
              <w:jc w:val="center"/>
              <w:rPr>
                <w:rFonts w:hint="eastAsia" w:ascii="宋体" w:hAnsi="宋体" w:cs="宋体"/>
                <w:sz w:val="22"/>
                <w:szCs w:val="22"/>
              </w:rPr>
            </w:pPr>
            <w:r>
              <w:rPr>
                <w:rFonts w:hint="eastAsia" w:ascii="宋体" w:hAnsi="宋体" w:cs="宋体"/>
                <w:sz w:val="22"/>
                <w:szCs w:val="22"/>
              </w:rPr>
              <w:t>评标委员会的组建</w:t>
            </w:r>
          </w:p>
        </w:tc>
        <w:tc>
          <w:tcPr>
            <w:tcW w:w="6620" w:type="dxa"/>
            <w:tcBorders>
              <w:top w:val="single" w:color="auto" w:sz="4" w:space="0"/>
              <w:left w:val="single" w:color="auto" w:sz="4" w:space="0"/>
              <w:right w:val="single" w:color="auto" w:sz="12" w:space="0"/>
            </w:tcBorders>
            <w:vAlign w:val="center"/>
          </w:tcPr>
          <w:p w14:paraId="074BCEF9">
            <w:pPr>
              <w:rPr>
                <w:rFonts w:hint="eastAsia" w:ascii="宋体" w:hAnsi="宋体" w:cs="宋体"/>
                <w:bCs/>
                <w:kern w:val="0"/>
                <w:sz w:val="22"/>
                <w:szCs w:val="22"/>
              </w:rPr>
            </w:pPr>
            <w:r>
              <w:rPr>
                <w:rFonts w:hint="eastAsia" w:ascii="宋体" w:hAnsi="宋体" w:cs="宋体"/>
                <w:bCs/>
                <w:kern w:val="0"/>
                <w:sz w:val="22"/>
                <w:szCs w:val="22"/>
              </w:rPr>
              <w:t>评标委员会构成：由有关技术、经济等方面的专家组成，成员为3人及以上单数，其中技术、经济类专家不得少于总人数的2/3；评标专家确定方式：</w:t>
            </w:r>
            <w:r>
              <w:rPr>
                <w:rFonts w:hint="eastAsia" w:ascii="宋体" w:hAnsi="宋体" w:cs="宋体"/>
                <w:sz w:val="22"/>
                <w:szCs w:val="22"/>
              </w:rPr>
              <w:t>按相关规定从专家库中抽取。</w:t>
            </w:r>
          </w:p>
        </w:tc>
      </w:tr>
      <w:tr w14:paraId="55DB718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90" w:hRule="atLeast"/>
          <w:jc w:val="center"/>
        </w:trPr>
        <w:tc>
          <w:tcPr>
            <w:tcW w:w="738" w:type="dxa"/>
            <w:tcBorders>
              <w:top w:val="single" w:color="auto" w:sz="4" w:space="0"/>
              <w:left w:val="single" w:color="auto" w:sz="12" w:space="0"/>
              <w:right w:val="single" w:color="auto" w:sz="4" w:space="0"/>
            </w:tcBorders>
            <w:shd w:val="clear" w:color="auto" w:fill="auto"/>
            <w:vAlign w:val="center"/>
          </w:tcPr>
          <w:p w14:paraId="6794D4DA">
            <w:pPr>
              <w:widowControl/>
              <w:tabs>
                <w:tab w:val="left" w:pos="420"/>
              </w:tabs>
              <w:jc w:val="center"/>
              <w:rPr>
                <w:rFonts w:ascii="宋体" w:cs="Arial"/>
                <w:szCs w:val="21"/>
              </w:rPr>
            </w:pPr>
            <w:r>
              <w:rPr>
                <w:rFonts w:hint="eastAsia" w:ascii="宋体" w:cs="Arial"/>
                <w:szCs w:val="21"/>
              </w:rPr>
              <w:t>28</w:t>
            </w:r>
          </w:p>
        </w:tc>
        <w:tc>
          <w:tcPr>
            <w:tcW w:w="1916" w:type="dxa"/>
            <w:tcBorders>
              <w:top w:val="single" w:color="auto" w:sz="4" w:space="0"/>
              <w:left w:val="single" w:color="auto" w:sz="4" w:space="0"/>
              <w:right w:val="single" w:color="auto" w:sz="4" w:space="0"/>
            </w:tcBorders>
            <w:shd w:val="clear" w:color="auto" w:fill="auto"/>
            <w:vAlign w:val="center"/>
          </w:tcPr>
          <w:p w14:paraId="1DC98BFF">
            <w:pPr>
              <w:adjustRightInd w:val="0"/>
              <w:jc w:val="center"/>
              <w:rPr>
                <w:rFonts w:ascii="宋体"/>
                <w:szCs w:val="21"/>
              </w:rPr>
            </w:pPr>
            <w:r>
              <w:rPr>
                <w:rFonts w:hint="eastAsia" w:ascii="宋体"/>
                <w:szCs w:val="21"/>
              </w:rPr>
              <w:t>政府采购</w:t>
            </w:r>
          </w:p>
          <w:p w14:paraId="6B660B27">
            <w:pPr>
              <w:adjustRightInd w:val="0"/>
              <w:jc w:val="center"/>
              <w:rPr>
                <w:rFonts w:ascii="宋体"/>
                <w:szCs w:val="21"/>
              </w:rPr>
            </w:pPr>
            <w:r>
              <w:rPr>
                <w:rFonts w:hint="eastAsia" w:ascii="宋体"/>
                <w:szCs w:val="21"/>
              </w:rPr>
              <w:t>扶持政策</w:t>
            </w:r>
          </w:p>
        </w:tc>
        <w:tc>
          <w:tcPr>
            <w:tcW w:w="6620" w:type="dxa"/>
            <w:tcBorders>
              <w:top w:val="single" w:color="auto" w:sz="4" w:space="0"/>
              <w:left w:val="single" w:color="auto" w:sz="4" w:space="0"/>
              <w:right w:val="single" w:color="auto" w:sz="12" w:space="0"/>
            </w:tcBorders>
            <w:shd w:val="clear" w:color="auto" w:fill="auto"/>
            <w:vAlign w:val="center"/>
          </w:tcPr>
          <w:p w14:paraId="4E6344B9">
            <w:pPr>
              <w:rPr>
                <w:rFonts w:hint="eastAsia" w:ascii="宋体" w:hAnsi="宋体" w:eastAsia="宋体" w:cs="宋体"/>
                <w:b/>
                <w:bCs/>
                <w:szCs w:val="21"/>
              </w:rPr>
            </w:pPr>
            <w:r>
              <w:rPr>
                <w:rFonts w:hint="eastAsia" w:ascii="宋体" w:hAnsi="宋体" w:eastAsia="宋体" w:cs="宋体"/>
                <w:b/>
                <w:bCs/>
                <w:szCs w:val="21"/>
              </w:rPr>
              <w:t>1、</w:t>
            </w:r>
            <w:r>
              <w:rPr>
                <w:rFonts w:hint="eastAsia" w:ascii="宋体" w:hAnsi="宋体" w:eastAsia="宋体" w:cs="宋体"/>
                <w:b/>
                <w:bCs/>
                <w:szCs w:val="21"/>
                <w:lang w:val="en-US" w:eastAsia="zh-CN"/>
              </w:rPr>
              <w:t>本项目专门面向中小企业，</w:t>
            </w:r>
            <w:r>
              <w:rPr>
                <w:rFonts w:hint="eastAsia" w:ascii="宋体" w:hAnsi="宋体" w:eastAsia="宋体" w:cs="宋体"/>
                <w:b/>
                <w:bCs/>
                <w:szCs w:val="21"/>
              </w:rPr>
              <w:t>专门面向中小企业采购的项目或者标项，不再执行价格评审优惠的扶持政策。</w:t>
            </w:r>
          </w:p>
          <w:p w14:paraId="7CCF1E95">
            <w:pPr>
              <w:rPr>
                <w:rFonts w:ascii="宋体"/>
                <w:szCs w:val="21"/>
              </w:rPr>
            </w:pPr>
            <w:r>
              <w:rPr>
                <w:rFonts w:hint="eastAsia" w:ascii="宋体" w:hAnsi="宋体" w:eastAsia="宋体" w:cs="宋体"/>
                <w:b/>
                <w:bCs/>
                <w:szCs w:val="21"/>
              </w:rPr>
              <w:t>2、对节能、环保产品优先采购。</w:t>
            </w:r>
          </w:p>
        </w:tc>
      </w:tr>
      <w:tr w14:paraId="2965401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154" w:hRule="atLeast"/>
          <w:jc w:val="center"/>
        </w:trPr>
        <w:tc>
          <w:tcPr>
            <w:tcW w:w="738" w:type="dxa"/>
            <w:tcBorders>
              <w:top w:val="single" w:color="auto" w:sz="4" w:space="0"/>
              <w:left w:val="single" w:color="auto" w:sz="12" w:space="0"/>
              <w:right w:val="single" w:color="auto" w:sz="4" w:space="0"/>
            </w:tcBorders>
            <w:vAlign w:val="center"/>
          </w:tcPr>
          <w:p w14:paraId="5A83107E">
            <w:pPr>
              <w:jc w:val="center"/>
              <w:rPr>
                <w:rFonts w:hint="eastAsia" w:ascii="宋体" w:hAnsi="宋体" w:cs="宋体"/>
                <w:sz w:val="22"/>
                <w:szCs w:val="22"/>
              </w:rPr>
            </w:pPr>
            <w:r>
              <w:rPr>
                <w:rFonts w:hint="eastAsia" w:ascii="宋体" w:hAnsi="宋体" w:cs="宋体"/>
                <w:sz w:val="22"/>
                <w:szCs w:val="22"/>
              </w:rPr>
              <w:t>29</w:t>
            </w:r>
          </w:p>
        </w:tc>
        <w:tc>
          <w:tcPr>
            <w:tcW w:w="1916" w:type="dxa"/>
            <w:tcBorders>
              <w:top w:val="single" w:color="auto" w:sz="4" w:space="0"/>
              <w:left w:val="single" w:color="auto" w:sz="4" w:space="0"/>
              <w:right w:val="single" w:color="auto" w:sz="4" w:space="0"/>
            </w:tcBorders>
            <w:vAlign w:val="center"/>
          </w:tcPr>
          <w:p w14:paraId="3C46F070">
            <w:pPr>
              <w:jc w:val="center"/>
              <w:rPr>
                <w:rFonts w:hint="eastAsia" w:ascii="宋体" w:hAnsi="宋体" w:cs="宋体"/>
                <w:sz w:val="22"/>
                <w:szCs w:val="22"/>
              </w:rPr>
            </w:pPr>
            <w:r>
              <w:rPr>
                <w:rFonts w:hint="eastAsia" w:ascii="宋体" w:hAnsi="宋体" w:cs="宋体"/>
                <w:sz w:val="22"/>
                <w:szCs w:val="22"/>
              </w:rPr>
              <w:t>合同管理</w:t>
            </w:r>
          </w:p>
        </w:tc>
        <w:tc>
          <w:tcPr>
            <w:tcW w:w="6620" w:type="dxa"/>
            <w:tcBorders>
              <w:top w:val="single" w:color="auto" w:sz="4" w:space="0"/>
              <w:left w:val="single" w:color="auto" w:sz="4" w:space="0"/>
              <w:right w:val="single" w:color="auto" w:sz="12" w:space="0"/>
            </w:tcBorders>
            <w:vAlign w:val="center"/>
          </w:tcPr>
          <w:p w14:paraId="30A348A5">
            <w:pPr>
              <w:rPr>
                <w:rFonts w:hint="eastAsia" w:ascii="宋体" w:hAnsi="宋体" w:cs="宋体"/>
                <w:bCs/>
                <w:kern w:val="0"/>
                <w:sz w:val="22"/>
                <w:szCs w:val="22"/>
              </w:rPr>
            </w:pPr>
            <w:r>
              <w:rPr>
                <w:rFonts w:hint="eastAsia" w:ascii="宋体" w:hAnsi="宋体" w:cs="宋体"/>
                <w:sz w:val="22"/>
                <w:szCs w:val="22"/>
              </w:rPr>
              <w:t>中标供应商与采购人签订合同后，两个工作日内将合同原件交给</w:t>
            </w:r>
            <w:r>
              <w:rPr>
                <w:rFonts w:hint="eastAsia" w:ascii="宋体" w:hAnsi="宋体" w:cs="宋体"/>
                <w:sz w:val="22"/>
                <w:szCs w:val="22"/>
                <w:lang w:eastAsia="zh-CN"/>
              </w:rPr>
              <w:t>浙江源筑工程咨询有限公司</w:t>
            </w:r>
            <w:r>
              <w:rPr>
                <w:rFonts w:hint="eastAsia" w:ascii="宋体" w:hAnsi="宋体" w:cs="宋体"/>
                <w:sz w:val="22"/>
                <w:szCs w:val="22"/>
              </w:rPr>
              <w:t>备案。</w:t>
            </w:r>
          </w:p>
        </w:tc>
      </w:tr>
      <w:tr w14:paraId="4D35B2B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90" w:hRule="atLeast"/>
          <w:jc w:val="center"/>
        </w:trPr>
        <w:tc>
          <w:tcPr>
            <w:tcW w:w="738" w:type="dxa"/>
            <w:tcBorders>
              <w:top w:val="single" w:color="auto" w:sz="4" w:space="0"/>
              <w:left w:val="single" w:color="auto" w:sz="12" w:space="0"/>
              <w:right w:val="single" w:color="auto" w:sz="4" w:space="0"/>
            </w:tcBorders>
            <w:vAlign w:val="center"/>
          </w:tcPr>
          <w:p w14:paraId="060ABC87">
            <w:pPr>
              <w:jc w:val="center"/>
              <w:rPr>
                <w:rFonts w:hint="eastAsia" w:ascii="宋体" w:hAnsi="宋体" w:cs="宋体"/>
                <w:sz w:val="22"/>
                <w:szCs w:val="22"/>
              </w:rPr>
            </w:pPr>
            <w:r>
              <w:rPr>
                <w:rFonts w:hint="eastAsia" w:ascii="宋体" w:hAnsi="宋体" w:cs="宋体"/>
                <w:sz w:val="22"/>
                <w:szCs w:val="22"/>
              </w:rPr>
              <w:t>30</w:t>
            </w:r>
          </w:p>
        </w:tc>
        <w:tc>
          <w:tcPr>
            <w:tcW w:w="1916" w:type="dxa"/>
            <w:tcBorders>
              <w:top w:val="single" w:color="auto" w:sz="4" w:space="0"/>
              <w:left w:val="single" w:color="auto" w:sz="4" w:space="0"/>
              <w:right w:val="single" w:color="auto" w:sz="4" w:space="0"/>
            </w:tcBorders>
            <w:vAlign w:val="center"/>
          </w:tcPr>
          <w:p w14:paraId="45F8B823">
            <w:pPr>
              <w:jc w:val="center"/>
              <w:rPr>
                <w:rFonts w:hint="eastAsia" w:ascii="宋体" w:hAnsi="宋体" w:cs="宋体"/>
                <w:sz w:val="22"/>
                <w:szCs w:val="22"/>
              </w:rPr>
            </w:pPr>
            <w:r>
              <w:rPr>
                <w:rFonts w:hint="eastAsia" w:ascii="宋体" w:hAnsi="宋体" w:cs="宋体"/>
                <w:sz w:val="22"/>
                <w:szCs w:val="22"/>
              </w:rPr>
              <w:t>解释权</w:t>
            </w:r>
          </w:p>
        </w:tc>
        <w:tc>
          <w:tcPr>
            <w:tcW w:w="6620" w:type="dxa"/>
            <w:tcBorders>
              <w:top w:val="single" w:color="auto" w:sz="4" w:space="0"/>
              <w:left w:val="single" w:color="auto" w:sz="4" w:space="0"/>
              <w:right w:val="single" w:color="auto" w:sz="12" w:space="0"/>
            </w:tcBorders>
            <w:vAlign w:val="center"/>
          </w:tcPr>
          <w:p w14:paraId="2EAA8B49">
            <w:pPr>
              <w:rPr>
                <w:rFonts w:hint="eastAsia" w:ascii="宋体" w:hAnsi="宋体" w:cs="宋体"/>
                <w:sz w:val="22"/>
                <w:szCs w:val="22"/>
              </w:rPr>
            </w:pPr>
            <w:r>
              <w:rPr>
                <w:rFonts w:hint="eastAsia" w:ascii="宋体" w:hAnsi="宋体" w:cs="宋体"/>
                <w:sz w:val="22"/>
                <w:szCs w:val="22"/>
              </w:rPr>
              <w:t>构成本磋商文件的各个组成文件应互为解释，互为说明；如有不明确或不一致，构成合同文件组成内容的，以合同文件约定内容为准，且以专用合同条款约定的合同文件优先顺序解释；仅适用于采购阶段的约定，按采购公告、供应商须知、评标办法、磋商响应文件格式的先后顺序解释；同一文件中就同一事项的约定不一致的，以逻辑顺序在后者为准；同一文件不同版本之间有不一致的，以形成时间在后者为准。按本款前述约定仍不能形成结论的，由采购人负责解释。</w:t>
            </w:r>
          </w:p>
        </w:tc>
      </w:tr>
      <w:tr w14:paraId="45EC061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90" w:hRule="atLeast"/>
          <w:jc w:val="center"/>
        </w:trPr>
        <w:tc>
          <w:tcPr>
            <w:tcW w:w="738" w:type="dxa"/>
            <w:tcBorders>
              <w:top w:val="single" w:color="auto" w:sz="4" w:space="0"/>
              <w:left w:val="single" w:color="auto" w:sz="12" w:space="0"/>
              <w:right w:val="single" w:color="auto" w:sz="4" w:space="0"/>
            </w:tcBorders>
            <w:vAlign w:val="center"/>
          </w:tcPr>
          <w:p w14:paraId="7AC1CE65">
            <w:pPr>
              <w:jc w:val="center"/>
              <w:rPr>
                <w:rFonts w:hint="eastAsia" w:ascii="宋体" w:hAnsi="宋体" w:cs="宋体"/>
                <w:sz w:val="22"/>
                <w:szCs w:val="22"/>
              </w:rPr>
            </w:pPr>
            <w:r>
              <w:rPr>
                <w:rFonts w:hint="eastAsia" w:ascii="宋体" w:hAnsi="宋体" w:cs="宋体"/>
                <w:sz w:val="22"/>
                <w:szCs w:val="22"/>
              </w:rPr>
              <w:t>31</w:t>
            </w:r>
          </w:p>
        </w:tc>
        <w:tc>
          <w:tcPr>
            <w:tcW w:w="1916" w:type="dxa"/>
            <w:tcBorders>
              <w:top w:val="single" w:color="auto" w:sz="4" w:space="0"/>
              <w:left w:val="single" w:color="auto" w:sz="4" w:space="0"/>
              <w:right w:val="single" w:color="auto" w:sz="4" w:space="0"/>
            </w:tcBorders>
            <w:vAlign w:val="center"/>
          </w:tcPr>
          <w:p w14:paraId="10F12047">
            <w:pPr>
              <w:jc w:val="center"/>
              <w:rPr>
                <w:rFonts w:hint="eastAsia" w:ascii="宋体" w:hAnsi="宋体" w:cs="宋体"/>
                <w:sz w:val="22"/>
                <w:szCs w:val="22"/>
              </w:rPr>
            </w:pPr>
            <w:r>
              <w:rPr>
                <w:rFonts w:hint="eastAsia" w:ascii="宋体" w:hAnsi="宋体" w:cs="宋体"/>
                <w:sz w:val="22"/>
                <w:szCs w:val="22"/>
              </w:rPr>
              <w:t>温馨提醒</w:t>
            </w:r>
          </w:p>
        </w:tc>
        <w:tc>
          <w:tcPr>
            <w:tcW w:w="6620" w:type="dxa"/>
            <w:tcBorders>
              <w:top w:val="single" w:color="auto" w:sz="4" w:space="0"/>
              <w:left w:val="single" w:color="auto" w:sz="4" w:space="0"/>
              <w:right w:val="single" w:color="auto" w:sz="12" w:space="0"/>
            </w:tcBorders>
            <w:vAlign w:val="center"/>
          </w:tcPr>
          <w:p w14:paraId="7934A612">
            <w:pPr>
              <w:rPr>
                <w:rFonts w:hint="eastAsia" w:ascii="宋体" w:hAnsi="宋体" w:cs="宋体"/>
                <w:b/>
                <w:kern w:val="0"/>
                <w:sz w:val="22"/>
                <w:szCs w:val="22"/>
              </w:rPr>
            </w:pPr>
            <w:r>
              <w:rPr>
                <w:rFonts w:hint="eastAsia" w:ascii="宋体" w:hAnsi="宋体" w:cs="宋体"/>
                <w:b/>
                <w:kern w:val="0"/>
                <w:sz w:val="22"/>
                <w:szCs w:val="22"/>
              </w:rPr>
              <w:t>1．请务必确保投标文件制作客户端为最新版本，旧版本可能导致投标文件解密失败。</w:t>
            </w:r>
          </w:p>
          <w:p w14:paraId="50821E48">
            <w:pPr>
              <w:rPr>
                <w:rFonts w:hint="eastAsia" w:ascii="宋体" w:hAnsi="宋体" w:cs="宋体"/>
                <w:b/>
                <w:kern w:val="0"/>
                <w:sz w:val="22"/>
                <w:szCs w:val="22"/>
              </w:rPr>
            </w:pPr>
            <w:r>
              <w:rPr>
                <w:rFonts w:hint="eastAsia" w:ascii="宋体" w:hAnsi="宋体" w:cs="宋体"/>
                <w:b/>
                <w:kern w:val="0"/>
                <w:sz w:val="22"/>
                <w:szCs w:val="22"/>
              </w:rPr>
              <w:t>2．请务必确保投标文件制作时所用的CA锁与投标文件解密时的CA锁为同一把，否则可能导致投标文件解密失败。</w:t>
            </w:r>
          </w:p>
          <w:p w14:paraId="722823F6">
            <w:pPr>
              <w:rPr>
                <w:rFonts w:hint="eastAsia" w:ascii="宋体" w:hAnsi="宋体" w:cs="宋体"/>
                <w:b/>
                <w:kern w:val="0"/>
                <w:sz w:val="22"/>
                <w:szCs w:val="22"/>
              </w:rPr>
            </w:pPr>
            <w:r>
              <w:rPr>
                <w:rFonts w:hint="eastAsia" w:ascii="宋体" w:hAnsi="宋体" w:cs="宋体"/>
                <w:b/>
                <w:kern w:val="0"/>
                <w:sz w:val="22"/>
                <w:szCs w:val="22"/>
              </w:rPr>
              <w:t>3．在投标文件解密前，请务必检验CA锁与所用电脑的兼容性，部分电脑因CA驱动未正常安装、USB接口兼容性差等原因可能造成投标文件解密失败。</w:t>
            </w:r>
          </w:p>
          <w:p w14:paraId="08372C29">
            <w:pPr>
              <w:rPr>
                <w:rFonts w:ascii="宋体" w:hAnsi="宋体" w:cs="宋体"/>
                <w:b/>
                <w:kern w:val="0"/>
                <w:sz w:val="22"/>
                <w:szCs w:val="22"/>
              </w:rPr>
            </w:pPr>
            <w:r>
              <w:rPr>
                <w:rFonts w:hint="eastAsia" w:ascii="宋体" w:hAnsi="宋体" w:cs="宋体"/>
                <w:b/>
                <w:kern w:val="0"/>
                <w:sz w:val="22"/>
                <w:szCs w:val="22"/>
              </w:rPr>
              <w:t>4．供应商未按采购文件规定及提醒操作的，引起的一切后果由供应商自行负责。</w:t>
            </w:r>
          </w:p>
          <w:p w14:paraId="144F14DC">
            <w:pPr>
              <w:pStyle w:val="2"/>
              <w:jc w:val="both"/>
              <w:rPr>
                <w:rFonts w:hint="default" w:eastAsia="宋体"/>
                <w:lang w:val="en-US" w:eastAsia="zh-CN"/>
              </w:rPr>
            </w:pPr>
            <w:r>
              <w:rPr>
                <w:rFonts w:hint="eastAsia"/>
                <w:lang w:val="en-US" w:eastAsia="zh-CN"/>
              </w:rPr>
              <w:t>5.</w:t>
            </w:r>
            <w:r>
              <w:rPr>
                <w:rFonts w:hint="eastAsia"/>
              </w:rPr>
              <w:t>本次采购活动采用乐采云平台，使用乐采云平台所产生的平台服务费用由中标方承担，服务费金额为中标金额的千分之一，不足800元按800元计。</w:t>
            </w:r>
          </w:p>
        </w:tc>
      </w:tr>
    </w:tbl>
    <w:p w14:paraId="4DC534B0">
      <w:pPr>
        <w:autoSpaceDE w:val="0"/>
        <w:autoSpaceDN w:val="0"/>
        <w:adjustRightInd w:val="0"/>
        <w:snapToGrid w:val="0"/>
        <w:spacing w:line="400" w:lineRule="atLeast"/>
        <w:jc w:val="center"/>
        <w:textAlignment w:val="bottom"/>
        <w:rPr>
          <w:rFonts w:ascii="宋体"/>
          <w:b/>
          <w:sz w:val="32"/>
          <w:szCs w:val="32"/>
        </w:rPr>
        <w:sectPr>
          <w:pgSz w:w="11911" w:h="16838"/>
          <w:pgMar w:top="1417" w:right="1701" w:bottom="1417" w:left="1701" w:header="720" w:footer="720" w:gutter="0"/>
          <w:cols w:space="720" w:num="1"/>
          <w:docGrid w:linePitch="312" w:charSpace="0"/>
        </w:sectPr>
      </w:pPr>
    </w:p>
    <w:p w14:paraId="55D3D4F9">
      <w:pPr>
        <w:adjustRightInd w:val="0"/>
        <w:snapToGrid w:val="0"/>
        <w:spacing w:line="454" w:lineRule="atLeast"/>
        <w:jc w:val="center"/>
        <w:outlineLvl w:val="0"/>
        <w:rPr>
          <w:rFonts w:ascii="宋体"/>
          <w:b/>
          <w:sz w:val="32"/>
          <w:szCs w:val="32"/>
        </w:rPr>
      </w:pPr>
      <w:r>
        <w:rPr>
          <w:rFonts w:hint="eastAsia" w:ascii="宋体" w:hAnsi="宋体"/>
          <w:b/>
          <w:sz w:val="32"/>
          <w:szCs w:val="32"/>
        </w:rPr>
        <w:t>第二部分  供应商须知</w:t>
      </w:r>
    </w:p>
    <w:p w14:paraId="6FE90C3A">
      <w:pPr>
        <w:spacing w:before="120" w:beforeLines="50" w:after="120" w:afterLines="50" w:line="400" w:lineRule="atLeast"/>
        <w:outlineLvl w:val="1"/>
        <w:rPr>
          <w:rFonts w:ascii="宋体"/>
          <w:b/>
          <w:bCs/>
          <w:sz w:val="24"/>
          <w:lang w:val="zh-CN"/>
        </w:rPr>
      </w:pPr>
      <w:r>
        <w:rPr>
          <w:rFonts w:hint="eastAsia" w:ascii="宋体" w:hAnsi="宋体"/>
          <w:b/>
          <w:bCs/>
          <w:sz w:val="24"/>
          <w:lang w:val="zh-CN"/>
        </w:rPr>
        <w:t>一、说明</w:t>
      </w:r>
    </w:p>
    <w:p w14:paraId="03F932A6">
      <w:pPr>
        <w:widowControl/>
        <w:snapToGrid w:val="0"/>
        <w:spacing w:line="400" w:lineRule="atLeast"/>
        <w:ind w:firstLine="440" w:firstLineChars="200"/>
        <w:rPr>
          <w:rFonts w:ascii="宋体"/>
          <w:sz w:val="22"/>
          <w:szCs w:val="22"/>
        </w:rPr>
      </w:pPr>
      <w:r>
        <w:rPr>
          <w:rFonts w:hint="eastAsia" w:ascii="宋体"/>
          <w:sz w:val="22"/>
          <w:szCs w:val="22"/>
        </w:rPr>
        <w:t>1.本次采购工作是按照《中华人民共和国政府采购法》、《政府采购货物和服务招标投标管理办法》、《政府采购竞争性磋商采购方式管理暂行办法》、财政部关于政府采购竞争性磋商采购方式管理暂行办法有关问题的补充通知（财库〔2015〕124号）及相关法律规章组织和实施。</w:t>
      </w:r>
    </w:p>
    <w:p w14:paraId="7F1A1F8F">
      <w:pPr>
        <w:widowControl/>
        <w:snapToGrid w:val="0"/>
        <w:spacing w:line="400" w:lineRule="atLeast"/>
        <w:ind w:firstLine="440" w:firstLineChars="200"/>
        <w:rPr>
          <w:rFonts w:ascii="宋体"/>
          <w:sz w:val="22"/>
          <w:szCs w:val="22"/>
        </w:rPr>
      </w:pPr>
      <w:r>
        <w:rPr>
          <w:rFonts w:hint="eastAsia" w:ascii="宋体"/>
          <w:sz w:val="22"/>
          <w:szCs w:val="22"/>
        </w:rPr>
        <w:t>2.供应商必须对所投标项全部内容进行报价，只对部分内容进行报价的供应商将按无效投标处理。</w:t>
      </w:r>
    </w:p>
    <w:p w14:paraId="67DAC437">
      <w:pPr>
        <w:widowControl/>
        <w:snapToGrid w:val="0"/>
        <w:spacing w:line="400" w:lineRule="atLeast"/>
        <w:ind w:firstLine="440" w:firstLineChars="200"/>
        <w:rPr>
          <w:rFonts w:ascii="宋体"/>
          <w:sz w:val="22"/>
          <w:szCs w:val="22"/>
        </w:rPr>
      </w:pPr>
      <w:r>
        <w:rPr>
          <w:rFonts w:hint="eastAsia" w:ascii="宋体"/>
          <w:sz w:val="22"/>
          <w:szCs w:val="22"/>
        </w:rPr>
        <w:t>3.无论投标过程中的作法和结果如何，供应商自行承担投标活动中所发生的全部费用；采购人有权选择供应商的供货和服务范围。</w:t>
      </w:r>
    </w:p>
    <w:p w14:paraId="4D46CC79">
      <w:pPr>
        <w:widowControl/>
        <w:snapToGrid w:val="0"/>
        <w:spacing w:line="400" w:lineRule="atLeast"/>
        <w:ind w:firstLine="440" w:firstLineChars="200"/>
        <w:rPr>
          <w:rFonts w:ascii="宋体"/>
          <w:sz w:val="22"/>
          <w:szCs w:val="22"/>
        </w:rPr>
      </w:pPr>
      <w:r>
        <w:rPr>
          <w:rFonts w:hint="eastAsia" w:ascii="宋体"/>
          <w:sz w:val="22"/>
          <w:szCs w:val="22"/>
        </w:rPr>
        <w:t>4.安全生产</w:t>
      </w:r>
    </w:p>
    <w:p w14:paraId="487C2E8F">
      <w:pPr>
        <w:widowControl/>
        <w:snapToGrid w:val="0"/>
        <w:spacing w:line="400" w:lineRule="atLeast"/>
        <w:ind w:firstLine="440" w:firstLineChars="200"/>
        <w:rPr>
          <w:rFonts w:ascii="宋体"/>
          <w:sz w:val="22"/>
          <w:szCs w:val="22"/>
        </w:rPr>
      </w:pPr>
      <w:r>
        <w:rPr>
          <w:rFonts w:hint="eastAsia" w:ascii="宋体"/>
          <w:sz w:val="22"/>
          <w:szCs w:val="22"/>
        </w:rPr>
        <w:t>在招标及合同执行过程中，供应商应承担由于其行为所造成的人身伤害、财产损失或损坏的责任，无论何种原因所造成，采购人均不负责。</w:t>
      </w:r>
    </w:p>
    <w:p w14:paraId="494885F2">
      <w:pPr>
        <w:widowControl/>
        <w:snapToGrid w:val="0"/>
        <w:spacing w:line="400" w:lineRule="atLeast"/>
        <w:ind w:firstLine="440" w:firstLineChars="200"/>
        <w:rPr>
          <w:rFonts w:ascii="宋体"/>
          <w:sz w:val="22"/>
          <w:szCs w:val="22"/>
        </w:rPr>
      </w:pPr>
      <w:r>
        <w:rPr>
          <w:rFonts w:hint="eastAsia" w:ascii="宋体"/>
          <w:sz w:val="22"/>
          <w:szCs w:val="22"/>
        </w:rPr>
        <w:t>5.知识产权</w:t>
      </w:r>
    </w:p>
    <w:p w14:paraId="6398EE64">
      <w:pPr>
        <w:widowControl/>
        <w:snapToGrid w:val="0"/>
        <w:spacing w:line="400" w:lineRule="atLeast"/>
        <w:ind w:firstLine="440" w:firstLineChars="200"/>
        <w:rPr>
          <w:rFonts w:ascii="宋体"/>
          <w:sz w:val="22"/>
          <w:szCs w:val="22"/>
        </w:rPr>
      </w:pPr>
      <w:r>
        <w:rPr>
          <w:rFonts w:hint="eastAsia" w:ascii="宋体"/>
          <w:sz w:val="22"/>
          <w:szCs w:val="22"/>
        </w:rPr>
        <w:t>5.1供应商应保证，采购人在中华人民共和国使用货物和服务的任何一部分时，免受第三方提出侵犯其专利权、商标权或其它知识产权的起诉。</w:t>
      </w:r>
    </w:p>
    <w:p w14:paraId="6E1E9CE9">
      <w:pPr>
        <w:widowControl/>
        <w:snapToGrid w:val="0"/>
        <w:spacing w:line="400" w:lineRule="atLeast"/>
        <w:ind w:firstLine="440" w:firstLineChars="200"/>
        <w:rPr>
          <w:rFonts w:ascii="宋体"/>
          <w:sz w:val="22"/>
          <w:szCs w:val="22"/>
        </w:rPr>
      </w:pPr>
      <w:r>
        <w:rPr>
          <w:rFonts w:hint="eastAsia" w:ascii="宋体"/>
          <w:sz w:val="22"/>
          <w:szCs w:val="22"/>
        </w:rPr>
        <w:t>5.2投标人应对采购人在使用该产品时所涉及到的专利权负责，不损害采购人的利益。</w:t>
      </w:r>
    </w:p>
    <w:p w14:paraId="4EE4B699">
      <w:pPr>
        <w:widowControl/>
        <w:snapToGrid w:val="0"/>
        <w:spacing w:line="400" w:lineRule="atLeast"/>
        <w:ind w:firstLine="440" w:firstLineChars="200"/>
        <w:rPr>
          <w:rFonts w:ascii="宋体"/>
          <w:sz w:val="22"/>
          <w:szCs w:val="22"/>
        </w:rPr>
      </w:pPr>
      <w:r>
        <w:rPr>
          <w:rFonts w:hint="eastAsia" w:ascii="宋体"/>
          <w:sz w:val="22"/>
          <w:szCs w:val="22"/>
        </w:rPr>
        <w:t>5.3报价应包括所有应支付的对专利权和版权、设计或其他知识产权而需要向其他方支付的版税。</w:t>
      </w:r>
    </w:p>
    <w:p w14:paraId="4295AEB5">
      <w:pPr>
        <w:widowControl/>
        <w:snapToGrid w:val="0"/>
        <w:spacing w:line="400" w:lineRule="atLeast"/>
        <w:ind w:firstLine="440" w:firstLineChars="200"/>
        <w:rPr>
          <w:rFonts w:ascii="宋体"/>
          <w:sz w:val="22"/>
          <w:szCs w:val="22"/>
        </w:rPr>
      </w:pPr>
      <w:r>
        <w:rPr>
          <w:rFonts w:hint="eastAsia" w:ascii="宋体"/>
          <w:sz w:val="22"/>
          <w:szCs w:val="22"/>
        </w:rPr>
        <w:t>5.4投标人提供得货物中如使用其他公司的相关专利，应在标书中出示相关授权，如未出示但使用了其他公司的专利，导致供应商中标(成交）而引起相关诉讼，由投标人承担。</w:t>
      </w:r>
    </w:p>
    <w:p w14:paraId="47961A4B">
      <w:pPr>
        <w:widowControl/>
        <w:snapToGrid w:val="0"/>
        <w:spacing w:line="400" w:lineRule="atLeast"/>
        <w:ind w:firstLine="440" w:firstLineChars="200"/>
        <w:rPr>
          <w:rFonts w:ascii="宋体"/>
          <w:sz w:val="22"/>
          <w:szCs w:val="22"/>
        </w:rPr>
      </w:pPr>
      <w:r>
        <w:rPr>
          <w:rFonts w:hint="eastAsia" w:ascii="宋体"/>
          <w:sz w:val="22"/>
          <w:szCs w:val="22"/>
        </w:rPr>
        <w:t>6.单位负责人为同一人或者存在直接控股、管理关系的不同供应商，不得参加同一合同项下的国企采购活动。如在评标过程中发现供应商间存在上述关系，评审小组可以对存在上述关系的供应商做无效投标处理。</w:t>
      </w:r>
    </w:p>
    <w:p w14:paraId="4D0EF289">
      <w:pPr>
        <w:widowControl/>
        <w:snapToGrid w:val="0"/>
        <w:spacing w:line="400" w:lineRule="atLeast"/>
        <w:ind w:firstLine="440" w:firstLineChars="200"/>
        <w:rPr>
          <w:rFonts w:ascii="宋体"/>
          <w:sz w:val="22"/>
          <w:szCs w:val="22"/>
        </w:rPr>
      </w:pPr>
      <w:r>
        <w:rPr>
          <w:rFonts w:hint="eastAsia" w:ascii="宋体"/>
          <w:sz w:val="22"/>
          <w:szCs w:val="22"/>
        </w:rPr>
        <w:t>7.为采购项目提供整体设计、规范编制或者项目管理、监理、检测等服务的供应商，不得再参加该采购项目的其他采购活动。</w:t>
      </w:r>
    </w:p>
    <w:p w14:paraId="5E51E53A">
      <w:pPr>
        <w:widowControl/>
        <w:snapToGrid w:val="0"/>
        <w:spacing w:line="400" w:lineRule="atLeast"/>
        <w:ind w:firstLine="440" w:firstLineChars="200"/>
        <w:rPr>
          <w:rFonts w:ascii="宋体"/>
          <w:sz w:val="22"/>
          <w:szCs w:val="22"/>
          <w:u w:val="single"/>
        </w:rPr>
      </w:pPr>
      <w:r>
        <w:rPr>
          <w:rFonts w:hint="eastAsia" w:ascii="宋体"/>
          <w:sz w:val="22"/>
          <w:szCs w:val="22"/>
        </w:rPr>
        <w:t>8.▲本项目采用竞争性磋商采购方式进行采购，在磋商过程中，竞争性磋商小组可以根据竞争性磋商文件和磋商情况实质性变动采购需求中的技术、服务要求以及合同草案条款，但不得变动竞争性磋商文件中的其他内容。已提交磋商（响应）文件的供应商，在提交最终报价之前，可以根据磋商情况退出磋商。</w:t>
      </w:r>
    </w:p>
    <w:p w14:paraId="4554527B">
      <w:pPr>
        <w:spacing w:before="120" w:beforeLines="50" w:after="120" w:afterLines="50" w:line="400" w:lineRule="atLeast"/>
        <w:outlineLvl w:val="1"/>
        <w:rPr>
          <w:rFonts w:hint="eastAsia" w:ascii="宋体" w:hAnsi="宋体"/>
          <w:b/>
          <w:bCs/>
          <w:sz w:val="24"/>
          <w:lang w:val="zh-CN"/>
        </w:rPr>
      </w:pPr>
      <w:r>
        <w:rPr>
          <w:rFonts w:hint="eastAsia" w:ascii="宋体" w:hAnsi="宋体"/>
          <w:b/>
          <w:bCs/>
          <w:sz w:val="24"/>
          <w:lang w:val="zh-CN"/>
        </w:rPr>
        <w:t>二、竞争性磋商文件</w:t>
      </w:r>
    </w:p>
    <w:p w14:paraId="307C133D">
      <w:pPr>
        <w:spacing w:line="400" w:lineRule="atLeast"/>
        <w:ind w:firstLine="440" w:firstLineChars="200"/>
        <w:rPr>
          <w:rFonts w:ascii="宋体" w:hAnsi="Times New Roman" w:cs="宋体"/>
          <w:sz w:val="22"/>
          <w:szCs w:val="22"/>
        </w:rPr>
      </w:pPr>
      <w:bookmarkStart w:id="5" w:name="_Toc24610_WPSOffice_Level3"/>
      <w:r>
        <w:rPr>
          <w:rFonts w:hint="eastAsia" w:ascii="宋体" w:hAnsi="宋体" w:cs="??_GB2312"/>
          <w:sz w:val="22"/>
          <w:szCs w:val="22"/>
          <w:lang w:val="zh-CN"/>
        </w:rPr>
        <w:t>1.竞争性磋商文件</w:t>
      </w:r>
      <w:bookmarkEnd w:id="5"/>
    </w:p>
    <w:p w14:paraId="4AF08B30">
      <w:pPr>
        <w:adjustRightInd w:val="0"/>
        <w:spacing w:line="400" w:lineRule="atLeast"/>
        <w:ind w:firstLine="442" w:firstLineChars="200"/>
        <w:rPr>
          <w:rFonts w:ascii="宋体" w:hAnsi="Times New Roman" w:cs="??_GB2312"/>
          <w:b/>
          <w:sz w:val="22"/>
          <w:szCs w:val="22"/>
          <w:u w:val="single"/>
          <w:lang w:val="zh-CN"/>
        </w:rPr>
      </w:pPr>
      <w:r>
        <w:rPr>
          <w:rFonts w:hint="eastAsia" w:ascii="宋体" w:hAnsi="宋体" w:cs="??_GB2312"/>
          <w:b/>
          <w:sz w:val="22"/>
          <w:szCs w:val="22"/>
          <w:u w:val="single"/>
          <w:lang w:val="zh-CN"/>
        </w:rPr>
        <w:t>供应商</w:t>
      </w:r>
      <w:r>
        <w:rPr>
          <w:rFonts w:hint="eastAsia" w:ascii="宋体" w:hAnsi="宋体" w:cs="宋体"/>
          <w:b/>
          <w:sz w:val="22"/>
          <w:szCs w:val="22"/>
          <w:u w:val="single"/>
        </w:rPr>
        <w:t>一旦获取了本项目竞争性磋商文件，在质疑期内未提出质疑，并参加投标，即被认为接受了本竞争性磋商文件中所有条款和规定</w:t>
      </w:r>
      <w:r>
        <w:rPr>
          <w:rFonts w:hint="eastAsia" w:ascii="宋体" w:hAnsi="宋体" w:cs="宋体"/>
          <w:b/>
          <w:sz w:val="22"/>
          <w:szCs w:val="22"/>
        </w:rPr>
        <w:t>。</w:t>
      </w:r>
    </w:p>
    <w:p w14:paraId="11DB3FDF">
      <w:pPr>
        <w:spacing w:line="400" w:lineRule="atLeast"/>
        <w:ind w:firstLine="440" w:firstLineChars="200"/>
        <w:rPr>
          <w:rFonts w:ascii="宋体" w:hAnsi="Times New Roman" w:cs="??_GB2312"/>
          <w:sz w:val="22"/>
          <w:szCs w:val="22"/>
          <w:lang w:val="zh-CN"/>
        </w:rPr>
      </w:pPr>
      <w:bookmarkStart w:id="6" w:name="_Toc9317_WPSOffice_Level3"/>
      <w:r>
        <w:rPr>
          <w:rFonts w:hint="eastAsia" w:ascii="宋体" w:hAnsi="宋体" w:cs="??_GB2312"/>
          <w:sz w:val="22"/>
          <w:szCs w:val="22"/>
          <w:lang w:val="zh-CN"/>
        </w:rPr>
        <w:t>2.竞争性磋商文件的澄清</w:t>
      </w:r>
      <w:bookmarkEnd w:id="6"/>
    </w:p>
    <w:p w14:paraId="31FC2DB1">
      <w:pPr>
        <w:adjustRightInd w:val="0"/>
        <w:spacing w:line="400" w:lineRule="atLeast"/>
        <w:ind w:firstLine="440" w:firstLineChars="200"/>
        <w:rPr>
          <w:rFonts w:ascii="宋体" w:hAnsi="Times New Roman" w:cs="??_GB2312"/>
          <w:sz w:val="22"/>
          <w:szCs w:val="22"/>
          <w:lang w:val="zh-CN"/>
        </w:rPr>
      </w:pPr>
      <w:r>
        <w:rPr>
          <w:rFonts w:hint="eastAsia" w:ascii="宋体" w:hAnsi="宋体" w:cs="??_GB2312"/>
          <w:sz w:val="22"/>
          <w:szCs w:val="22"/>
          <w:lang w:val="zh-CN"/>
        </w:rPr>
        <w:t>供应商对竞争性磋商文件如有疑点要求澄清或质疑，或认为有必要与用户进行技术交流，须在磋商通知(邀请)函规定的质疑时间前用书面形式（包括信函、传真，下同）通知采购机构，采购机构将用书面形式予以答复。如有必要，可将不说明来源的答复发给各有关供应商。</w:t>
      </w:r>
    </w:p>
    <w:p w14:paraId="69373CEF">
      <w:pPr>
        <w:adjustRightInd w:val="0"/>
        <w:spacing w:line="400" w:lineRule="atLeast"/>
        <w:ind w:firstLine="440" w:firstLineChars="200"/>
        <w:rPr>
          <w:rFonts w:ascii="宋体" w:hAnsi="Times New Roman" w:cs="??_GB2312"/>
          <w:sz w:val="22"/>
          <w:szCs w:val="22"/>
          <w:lang w:val="zh-CN"/>
        </w:rPr>
      </w:pPr>
      <w:bookmarkStart w:id="7" w:name="_Toc6226_WPSOffice_Level3"/>
      <w:r>
        <w:rPr>
          <w:rFonts w:hint="eastAsia" w:ascii="宋体" w:hAnsi="宋体" w:cs="??_GB2312"/>
          <w:sz w:val="22"/>
          <w:szCs w:val="22"/>
          <w:lang w:val="zh-CN"/>
        </w:rPr>
        <w:t>3.竞争性磋商文件的修改</w:t>
      </w:r>
      <w:bookmarkEnd w:id="7"/>
    </w:p>
    <w:p w14:paraId="6F751596">
      <w:pPr>
        <w:autoSpaceDE w:val="0"/>
        <w:autoSpaceDN w:val="0"/>
        <w:adjustRightInd w:val="0"/>
        <w:snapToGrid w:val="0"/>
        <w:spacing w:line="400" w:lineRule="atLeast"/>
        <w:ind w:firstLine="431" w:firstLineChars="196"/>
        <w:textAlignment w:val="bottom"/>
        <w:rPr>
          <w:rFonts w:hint="eastAsia" w:ascii="宋体" w:hAnsi="宋体" w:cs="??_GB2312"/>
          <w:sz w:val="22"/>
          <w:szCs w:val="22"/>
          <w:lang w:val="zh-CN"/>
        </w:rPr>
      </w:pPr>
      <w:r>
        <w:rPr>
          <w:rFonts w:hint="eastAsia" w:ascii="宋体" w:hAnsi="宋体" w:cs="??_GB2312"/>
          <w:sz w:val="22"/>
          <w:szCs w:val="22"/>
        </w:rPr>
        <w:t>3</w:t>
      </w:r>
      <w:r>
        <w:rPr>
          <w:rFonts w:hint="eastAsia" w:ascii="宋体" w:hAnsi="宋体" w:cs="??_GB2312"/>
          <w:sz w:val="22"/>
          <w:szCs w:val="22"/>
          <w:lang w:val="zh-CN"/>
        </w:rPr>
        <w:t>.1 在投标截止期5天前，采购人无论是出于何种原因，均可对竞争性磋商文件用补充文件的方式进行澄清和修改，并发布澄清和修改公告。该澄清和修改的内容为竞争性磋商文件的组成部分。采购人可以视采购具体情况在竞争性磋商文件要求提交截止时间3天前，做出延长递交磋商（响应）文件截止时间和开标时间的决定，并将变更时间书面通知所有竞争性磋商文件收受人，并发布变更公告。</w:t>
      </w:r>
    </w:p>
    <w:p w14:paraId="7D5C923B">
      <w:pPr>
        <w:autoSpaceDE w:val="0"/>
        <w:autoSpaceDN w:val="0"/>
        <w:adjustRightInd w:val="0"/>
        <w:snapToGrid w:val="0"/>
        <w:spacing w:line="400" w:lineRule="atLeast"/>
        <w:ind w:firstLine="431" w:firstLineChars="196"/>
        <w:textAlignment w:val="bottom"/>
        <w:rPr>
          <w:rFonts w:ascii="宋体"/>
          <w:sz w:val="22"/>
          <w:szCs w:val="22"/>
        </w:rPr>
      </w:pPr>
      <w:r>
        <w:rPr>
          <w:rFonts w:hint="eastAsia" w:ascii="宋体" w:hAnsi="宋体" w:cs="??_GB2312"/>
          <w:sz w:val="22"/>
          <w:szCs w:val="22"/>
        </w:rPr>
        <w:t>3</w:t>
      </w:r>
      <w:r>
        <w:rPr>
          <w:rFonts w:hint="eastAsia" w:ascii="宋体" w:hAnsi="宋体" w:cs="??_GB2312"/>
          <w:sz w:val="22"/>
          <w:szCs w:val="22"/>
          <w:lang w:val="zh-CN"/>
        </w:rPr>
        <w:t>.2竞争性磋商文件如有补充更正均见“</w:t>
      </w:r>
      <w:r>
        <w:rPr>
          <w:rFonts w:hint="eastAsia" w:ascii="宋体" w:hAnsi="宋体" w:cs="??_GB2312"/>
          <w:sz w:val="22"/>
          <w:szCs w:val="22"/>
        </w:rPr>
        <w:t>乐采云</w:t>
      </w:r>
      <w:r>
        <w:rPr>
          <w:rFonts w:hint="eastAsia" w:ascii="宋体" w:hAnsi="宋体" w:cs="??_GB2312"/>
          <w:sz w:val="22"/>
          <w:szCs w:val="22"/>
          <w:lang w:val="zh-CN"/>
        </w:rPr>
        <w:t>”（https://www.lecaiyun.com/）。供应商须在开标前一日自行查看是否有补充更正文件，并按补充更正文件要求磋商（响应），否则责任自负。</w:t>
      </w:r>
    </w:p>
    <w:p w14:paraId="379F7949">
      <w:pPr>
        <w:spacing w:before="120" w:beforeLines="50" w:after="120" w:afterLines="50" w:line="400" w:lineRule="atLeast"/>
        <w:outlineLvl w:val="1"/>
        <w:rPr>
          <w:rFonts w:hint="eastAsia" w:ascii="宋体" w:hAnsi="宋体"/>
          <w:b/>
          <w:bCs/>
          <w:sz w:val="24"/>
          <w:lang w:val="zh-CN"/>
        </w:rPr>
      </w:pPr>
      <w:bookmarkStart w:id="8" w:name="_Toc132122416"/>
      <w:bookmarkStart w:id="9" w:name="_Toc132124594"/>
      <w:bookmarkStart w:id="10" w:name="_Toc132125574"/>
      <w:bookmarkStart w:id="11" w:name="_Toc132123547"/>
      <w:bookmarkStart w:id="12" w:name="_Toc132655776"/>
      <w:bookmarkStart w:id="13" w:name="_Toc132123634"/>
      <w:bookmarkStart w:id="14" w:name="_Toc132125151"/>
      <w:bookmarkStart w:id="15" w:name="_Toc132123838"/>
      <w:bookmarkStart w:id="16" w:name="_Toc132123439"/>
      <w:bookmarkStart w:id="17" w:name="_Toc132126154"/>
      <w:bookmarkStart w:id="18" w:name="_Toc132125983"/>
      <w:bookmarkStart w:id="19" w:name="_Toc132125095"/>
      <w:bookmarkStart w:id="20" w:name="_Toc132122119"/>
      <w:bookmarkStart w:id="21" w:name="_Toc132125037"/>
      <w:bookmarkStart w:id="22" w:name="_Toc132123881"/>
      <w:r>
        <w:rPr>
          <w:rFonts w:hint="eastAsia" w:ascii="宋体" w:hAnsi="宋体"/>
          <w:b/>
          <w:bCs/>
          <w:sz w:val="24"/>
          <w:lang w:val="zh-CN"/>
        </w:rPr>
        <w:t>三、磋商（响应）文件</w:t>
      </w:r>
    </w:p>
    <w:p w14:paraId="65DE1AD1">
      <w:pPr>
        <w:autoSpaceDE w:val="0"/>
        <w:autoSpaceDN w:val="0"/>
        <w:adjustRightInd w:val="0"/>
        <w:snapToGrid w:val="0"/>
        <w:spacing w:line="400" w:lineRule="atLeast"/>
        <w:ind w:firstLine="440" w:firstLineChars="200"/>
        <w:rPr>
          <w:rFonts w:ascii="宋体"/>
          <w:sz w:val="22"/>
          <w:szCs w:val="22"/>
        </w:rPr>
      </w:pPr>
      <w:r>
        <w:rPr>
          <w:rFonts w:hint="eastAsia" w:ascii="宋体"/>
          <w:sz w:val="22"/>
          <w:szCs w:val="22"/>
        </w:rPr>
        <w:t>1.磋商（响应）文件</w:t>
      </w:r>
    </w:p>
    <w:p w14:paraId="0D611D35">
      <w:pPr>
        <w:autoSpaceDE w:val="0"/>
        <w:autoSpaceDN w:val="0"/>
        <w:adjustRightInd w:val="0"/>
        <w:snapToGrid w:val="0"/>
        <w:spacing w:line="400" w:lineRule="atLeast"/>
        <w:ind w:firstLine="440" w:firstLineChars="200"/>
        <w:rPr>
          <w:rFonts w:ascii="宋体"/>
          <w:sz w:val="22"/>
          <w:szCs w:val="22"/>
        </w:rPr>
      </w:pPr>
      <w:r>
        <w:rPr>
          <w:rFonts w:hint="eastAsia" w:ascii="宋体"/>
          <w:sz w:val="22"/>
          <w:szCs w:val="22"/>
        </w:rPr>
        <w:t>1.1 供应商应仔细阅读竞争性磋商文件中的所有内容，按照竞争性磋商文件要求，详细编制磋商（响应）文件。并对竞争性磋商文件的要求做出实质上响应。实质上响应的报价应该是与竞争性磋商文件要求没有重大偏离的磋商（响应）文件。未实质上响应的磋商（响应）文件将被拒绝，但允许供应商在基本满足采购要求的前提下出现的微小差异。</w:t>
      </w:r>
    </w:p>
    <w:p w14:paraId="5F88A8C8">
      <w:pPr>
        <w:autoSpaceDE w:val="0"/>
        <w:autoSpaceDN w:val="0"/>
        <w:adjustRightInd w:val="0"/>
        <w:snapToGrid w:val="0"/>
        <w:spacing w:line="400" w:lineRule="atLeast"/>
        <w:ind w:firstLine="440" w:firstLineChars="200"/>
        <w:rPr>
          <w:rFonts w:ascii="宋体"/>
          <w:sz w:val="22"/>
          <w:szCs w:val="22"/>
        </w:rPr>
      </w:pPr>
      <w:r>
        <w:rPr>
          <w:rFonts w:hint="eastAsia" w:ascii="宋体"/>
          <w:sz w:val="22"/>
          <w:szCs w:val="22"/>
        </w:rPr>
        <w:t>1.2 供应商必须按竞争性磋商文件的要求提供相关技术参数、资料，包括采用的计量单位，并保证磋商（响应）文件的正确性和真实性。磋商（响应）文件全部内容应保持一致，否则可能导致不利于其投标的评定甚至被拒绝。技术和商务如有偏离均应填写偏离表。</w:t>
      </w:r>
    </w:p>
    <w:p w14:paraId="569205EE">
      <w:pPr>
        <w:autoSpaceDE w:val="0"/>
        <w:autoSpaceDN w:val="0"/>
        <w:adjustRightInd w:val="0"/>
        <w:snapToGrid w:val="0"/>
        <w:spacing w:line="400" w:lineRule="atLeast"/>
        <w:ind w:firstLine="440" w:firstLineChars="200"/>
        <w:rPr>
          <w:rFonts w:ascii="宋体"/>
          <w:sz w:val="22"/>
          <w:szCs w:val="22"/>
        </w:rPr>
      </w:pPr>
      <w:r>
        <w:rPr>
          <w:rFonts w:hint="eastAsia" w:ascii="宋体"/>
          <w:sz w:val="22"/>
          <w:szCs w:val="22"/>
        </w:rPr>
        <w:t>1.3 供应商应仔细阅读竞争性磋商文件中的所有内容，按照竞争性磋商文件要求，详细编制磋商（响应）文件，所有文件资料必须是针对本次投标。不按竞争性磋商文件的要求提供的磋商（响应）文件可能导致被拒绝。</w:t>
      </w:r>
    </w:p>
    <w:p w14:paraId="61AE571F">
      <w:pPr>
        <w:autoSpaceDE w:val="0"/>
        <w:autoSpaceDN w:val="0"/>
        <w:adjustRightInd w:val="0"/>
        <w:snapToGrid w:val="0"/>
        <w:spacing w:line="400" w:lineRule="atLeast"/>
        <w:ind w:firstLine="440" w:firstLineChars="200"/>
        <w:rPr>
          <w:rFonts w:ascii="宋体"/>
          <w:sz w:val="22"/>
          <w:lang w:val="zh-CN"/>
        </w:rPr>
      </w:pPr>
      <w:r>
        <w:rPr>
          <w:rFonts w:hint="eastAsia" w:ascii="宋体"/>
          <w:sz w:val="22"/>
          <w:szCs w:val="22"/>
        </w:rPr>
        <w:t>2.磋商（响应）文件的组成</w:t>
      </w:r>
    </w:p>
    <w:p w14:paraId="4A3918F6">
      <w:pPr>
        <w:autoSpaceDE w:val="0"/>
        <w:autoSpaceDN w:val="0"/>
        <w:adjustRightInd w:val="0"/>
        <w:spacing w:line="400" w:lineRule="atLeast"/>
        <w:ind w:firstLine="442" w:firstLineChars="200"/>
        <w:rPr>
          <w:rFonts w:ascii="宋体" w:cs="仿宋_GB2312"/>
          <w:sz w:val="22"/>
          <w:szCs w:val="22"/>
          <w:u w:val="single"/>
          <w:lang w:val="zh-CN"/>
        </w:rPr>
      </w:pPr>
      <w:r>
        <w:rPr>
          <w:rFonts w:hint="eastAsia" w:ascii="宋体" w:cs="仿宋_GB2312"/>
          <w:b/>
          <w:bCs/>
          <w:sz w:val="22"/>
          <w:szCs w:val="22"/>
          <w:u w:val="single"/>
          <w:lang w:val="zh-CN"/>
        </w:rPr>
        <w:t>磋商（响应）文件由资格文件、报价文件、商务技术文件三部分组成</w:t>
      </w:r>
      <w:r>
        <w:rPr>
          <w:rFonts w:hint="eastAsia" w:ascii="宋体" w:cs="仿宋_GB2312"/>
          <w:b/>
          <w:bCs/>
          <w:sz w:val="22"/>
          <w:szCs w:val="22"/>
          <w:lang w:val="zh-CN"/>
        </w:rPr>
        <w:t>。</w:t>
      </w:r>
    </w:p>
    <w:p w14:paraId="44535FC7">
      <w:pPr>
        <w:autoSpaceDE w:val="0"/>
        <w:autoSpaceDN w:val="0"/>
        <w:adjustRightInd w:val="0"/>
        <w:spacing w:line="400" w:lineRule="atLeast"/>
        <w:ind w:firstLine="440" w:firstLineChars="200"/>
        <w:rPr>
          <w:rFonts w:ascii="宋体" w:cs="仿宋_GB2312"/>
          <w:sz w:val="22"/>
          <w:szCs w:val="22"/>
          <w:lang w:val="zh-CN"/>
        </w:rPr>
      </w:pPr>
      <w:r>
        <w:rPr>
          <w:rFonts w:hint="eastAsia" w:ascii="宋体" w:cs="仿宋_GB2312"/>
          <w:sz w:val="22"/>
          <w:szCs w:val="22"/>
          <w:lang w:val="zh-CN"/>
        </w:rPr>
        <w:t>2.1资格文件部分组成</w:t>
      </w:r>
    </w:p>
    <w:tbl>
      <w:tblPr>
        <w:tblStyle w:val="25"/>
        <w:tblW w:w="8510" w:type="dxa"/>
        <w:tblInd w:w="108"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773"/>
        <w:gridCol w:w="7737"/>
      </w:tblGrid>
      <w:tr w14:paraId="694ED43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8" w:hRule="atLeast"/>
        </w:trPr>
        <w:tc>
          <w:tcPr>
            <w:tcW w:w="773" w:type="dxa"/>
            <w:vAlign w:val="center"/>
          </w:tcPr>
          <w:p w14:paraId="2992DD02">
            <w:pPr>
              <w:autoSpaceDE w:val="0"/>
              <w:autoSpaceDN w:val="0"/>
              <w:adjustRightInd w:val="0"/>
              <w:snapToGrid w:val="0"/>
              <w:jc w:val="center"/>
              <w:rPr>
                <w:rFonts w:ascii="宋体"/>
                <w:sz w:val="18"/>
                <w:szCs w:val="18"/>
                <w:lang w:val="zh-CN"/>
              </w:rPr>
            </w:pPr>
            <w:r>
              <w:rPr>
                <w:rFonts w:hint="eastAsia" w:ascii="宋体"/>
                <w:sz w:val="18"/>
                <w:szCs w:val="18"/>
                <w:lang w:val="zh-CN"/>
              </w:rPr>
              <w:t>序号</w:t>
            </w:r>
          </w:p>
        </w:tc>
        <w:tc>
          <w:tcPr>
            <w:tcW w:w="7737" w:type="dxa"/>
            <w:vAlign w:val="center"/>
          </w:tcPr>
          <w:p w14:paraId="755D788B">
            <w:pPr>
              <w:autoSpaceDE w:val="0"/>
              <w:autoSpaceDN w:val="0"/>
              <w:adjustRightInd w:val="0"/>
              <w:snapToGrid w:val="0"/>
              <w:jc w:val="center"/>
              <w:rPr>
                <w:rFonts w:ascii="宋体"/>
                <w:sz w:val="18"/>
                <w:szCs w:val="18"/>
                <w:lang w:val="zh-CN"/>
              </w:rPr>
            </w:pPr>
            <w:r>
              <w:rPr>
                <w:rFonts w:hint="eastAsia" w:ascii="宋体"/>
                <w:sz w:val="18"/>
                <w:szCs w:val="18"/>
                <w:lang w:val="zh-CN"/>
              </w:rPr>
              <w:t>内容（以下</w:t>
            </w:r>
            <w:r>
              <w:rPr>
                <w:rFonts w:hint="eastAsia" w:ascii="宋体"/>
                <w:sz w:val="18"/>
                <w:szCs w:val="18"/>
              </w:rPr>
              <w:t>1</w:t>
            </w:r>
            <w:r>
              <w:rPr>
                <w:rFonts w:hint="eastAsia" w:ascii="宋体"/>
                <w:sz w:val="18"/>
                <w:szCs w:val="18"/>
                <w:lang w:val="zh-CN"/>
              </w:rPr>
              <w:t>-</w:t>
            </w:r>
            <w:r>
              <w:rPr>
                <w:rFonts w:hint="eastAsia" w:ascii="宋体"/>
                <w:sz w:val="18"/>
                <w:szCs w:val="18"/>
              </w:rPr>
              <w:t>8</w:t>
            </w:r>
            <w:r>
              <w:rPr>
                <w:rFonts w:hint="eastAsia" w:ascii="宋体"/>
                <w:sz w:val="18"/>
                <w:szCs w:val="18"/>
                <w:lang w:val="zh-CN"/>
              </w:rPr>
              <w:t>项内容投标供应商必须提供，否则不能通过资格审查的，责任自负。）</w:t>
            </w:r>
          </w:p>
        </w:tc>
      </w:tr>
      <w:tr w14:paraId="6BACAD0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73" w:type="dxa"/>
            <w:tcBorders>
              <w:top w:val="single" w:color="auto" w:sz="4" w:space="0"/>
              <w:left w:val="single" w:color="auto" w:sz="12" w:space="0"/>
              <w:right w:val="single" w:color="auto" w:sz="4" w:space="0"/>
            </w:tcBorders>
            <w:vAlign w:val="center"/>
          </w:tcPr>
          <w:p w14:paraId="0D4466A4">
            <w:pPr>
              <w:autoSpaceDE w:val="0"/>
              <w:autoSpaceDN w:val="0"/>
              <w:adjustRightInd w:val="0"/>
              <w:snapToGrid w:val="0"/>
              <w:jc w:val="center"/>
              <w:rPr>
                <w:rFonts w:ascii="宋体"/>
                <w:sz w:val="18"/>
                <w:szCs w:val="18"/>
                <w:lang w:val="zh-CN"/>
              </w:rPr>
            </w:pPr>
            <w:r>
              <w:rPr>
                <w:rFonts w:hint="eastAsia" w:ascii="宋体"/>
                <w:sz w:val="18"/>
                <w:szCs w:val="18"/>
                <w:lang w:val="zh-CN"/>
              </w:rPr>
              <w:t>1</w:t>
            </w:r>
          </w:p>
        </w:tc>
        <w:tc>
          <w:tcPr>
            <w:tcW w:w="7737" w:type="dxa"/>
            <w:tcBorders>
              <w:top w:val="single" w:color="auto" w:sz="4" w:space="0"/>
              <w:left w:val="single" w:color="auto" w:sz="4" w:space="0"/>
              <w:right w:val="single" w:color="auto" w:sz="12" w:space="0"/>
            </w:tcBorders>
            <w:vAlign w:val="center"/>
          </w:tcPr>
          <w:p w14:paraId="63742E7E">
            <w:pPr>
              <w:tabs>
                <w:tab w:val="left" w:pos="4140"/>
              </w:tabs>
              <w:adjustRightInd w:val="0"/>
              <w:snapToGrid w:val="0"/>
              <w:jc w:val="left"/>
              <w:rPr>
                <w:rFonts w:ascii="宋体"/>
                <w:sz w:val="18"/>
                <w:szCs w:val="18"/>
                <w:lang w:val="zh-CN"/>
              </w:rPr>
            </w:pPr>
            <w:r>
              <w:rPr>
                <w:rFonts w:hint="eastAsia" w:ascii="宋体"/>
                <w:sz w:val="18"/>
                <w:szCs w:val="18"/>
              </w:rPr>
              <w:t>投标供应商的营业执照（或事业法人登记证书或其它工商等登记证明材料）、税务登记证（如为多证合一仅需提供营业执照（或事业法人登记证书或其它工商等登记证明材料），扫描件）</w:t>
            </w:r>
          </w:p>
        </w:tc>
      </w:tr>
      <w:tr w14:paraId="01B8429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773" w:type="dxa"/>
            <w:tcBorders>
              <w:top w:val="single" w:color="auto" w:sz="4" w:space="0"/>
              <w:left w:val="single" w:color="auto" w:sz="12" w:space="0"/>
              <w:right w:val="single" w:color="auto" w:sz="4" w:space="0"/>
            </w:tcBorders>
            <w:vAlign w:val="center"/>
          </w:tcPr>
          <w:p w14:paraId="5AA8B48F">
            <w:pPr>
              <w:autoSpaceDE w:val="0"/>
              <w:autoSpaceDN w:val="0"/>
              <w:adjustRightInd w:val="0"/>
              <w:snapToGrid w:val="0"/>
              <w:jc w:val="center"/>
              <w:rPr>
                <w:rFonts w:ascii="宋体"/>
                <w:sz w:val="18"/>
                <w:szCs w:val="18"/>
              </w:rPr>
            </w:pPr>
            <w:r>
              <w:rPr>
                <w:rFonts w:hint="eastAsia" w:ascii="宋体"/>
                <w:sz w:val="18"/>
                <w:szCs w:val="18"/>
              </w:rPr>
              <w:t>2</w:t>
            </w:r>
          </w:p>
        </w:tc>
        <w:tc>
          <w:tcPr>
            <w:tcW w:w="7737" w:type="dxa"/>
            <w:tcBorders>
              <w:top w:val="single" w:color="auto" w:sz="4" w:space="0"/>
              <w:left w:val="single" w:color="auto" w:sz="4" w:space="0"/>
              <w:right w:val="single" w:color="auto" w:sz="12" w:space="0"/>
            </w:tcBorders>
            <w:vAlign w:val="center"/>
          </w:tcPr>
          <w:p w14:paraId="6E362F98">
            <w:pPr>
              <w:autoSpaceDE w:val="0"/>
              <w:autoSpaceDN w:val="0"/>
              <w:adjustRightInd w:val="0"/>
              <w:snapToGrid w:val="0"/>
              <w:jc w:val="left"/>
              <w:rPr>
                <w:rFonts w:ascii="宋体"/>
                <w:sz w:val="18"/>
                <w:szCs w:val="18"/>
              </w:rPr>
            </w:pPr>
            <w:r>
              <w:rPr>
                <w:rFonts w:hint="eastAsia" w:ascii="宋体"/>
                <w:sz w:val="18"/>
                <w:szCs w:val="18"/>
              </w:rPr>
              <w:t>具有履行合同所必需的设备和专业技术能力的承诺函（附件一）</w:t>
            </w:r>
          </w:p>
        </w:tc>
      </w:tr>
      <w:tr w14:paraId="58D4FBF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773" w:type="dxa"/>
            <w:tcBorders>
              <w:top w:val="single" w:color="auto" w:sz="4" w:space="0"/>
              <w:left w:val="single" w:color="auto" w:sz="12" w:space="0"/>
              <w:right w:val="single" w:color="auto" w:sz="4" w:space="0"/>
            </w:tcBorders>
            <w:vAlign w:val="center"/>
          </w:tcPr>
          <w:p w14:paraId="7A8B2F45">
            <w:pPr>
              <w:autoSpaceDE w:val="0"/>
              <w:autoSpaceDN w:val="0"/>
              <w:adjustRightInd w:val="0"/>
              <w:snapToGrid w:val="0"/>
              <w:jc w:val="center"/>
              <w:rPr>
                <w:rFonts w:ascii="宋体"/>
                <w:sz w:val="18"/>
                <w:szCs w:val="18"/>
              </w:rPr>
            </w:pPr>
            <w:r>
              <w:rPr>
                <w:rFonts w:hint="eastAsia" w:ascii="宋体"/>
                <w:sz w:val="18"/>
                <w:szCs w:val="18"/>
              </w:rPr>
              <w:t>3</w:t>
            </w:r>
          </w:p>
        </w:tc>
        <w:tc>
          <w:tcPr>
            <w:tcW w:w="7737" w:type="dxa"/>
            <w:tcBorders>
              <w:top w:val="single" w:color="auto" w:sz="4" w:space="0"/>
              <w:left w:val="single" w:color="auto" w:sz="4" w:space="0"/>
              <w:right w:val="single" w:color="auto" w:sz="12" w:space="0"/>
            </w:tcBorders>
            <w:vAlign w:val="center"/>
          </w:tcPr>
          <w:p w14:paraId="7CAF662E">
            <w:pPr>
              <w:autoSpaceDE w:val="0"/>
              <w:autoSpaceDN w:val="0"/>
              <w:adjustRightInd w:val="0"/>
              <w:snapToGrid w:val="0"/>
              <w:jc w:val="left"/>
              <w:rPr>
                <w:rFonts w:ascii="宋体"/>
                <w:sz w:val="18"/>
                <w:szCs w:val="18"/>
              </w:rPr>
            </w:pPr>
            <w:r>
              <w:rPr>
                <w:rFonts w:hint="eastAsia" w:ascii="宋体"/>
                <w:sz w:val="18"/>
                <w:szCs w:val="18"/>
              </w:rPr>
              <w:t>依法缴纳税收和社会保障资金的承诺函（附件二）</w:t>
            </w:r>
          </w:p>
        </w:tc>
      </w:tr>
      <w:tr w14:paraId="166C9ED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773" w:type="dxa"/>
            <w:tcBorders>
              <w:top w:val="single" w:color="auto" w:sz="4" w:space="0"/>
              <w:left w:val="single" w:color="auto" w:sz="12" w:space="0"/>
              <w:right w:val="single" w:color="auto" w:sz="4" w:space="0"/>
            </w:tcBorders>
            <w:vAlign w:val="center"/>
          </w:tcPr>
          <w:p w14:paraId="67A96C6C">
            <w:pPr>
              <w:autoSpaceDE w:val="0"/>
              <w:autoSpaceDN w:val="0"/>
              <w:adjustRightInd w:val="0"/>
              <w:snapToGrid w:val="0"/>
              <w:jc w:val="center"/>
              <w:rPr>
                <w:rFonts w:ascii="宋体"/>
                <w:sz w:val="18"/>
                <w:szCs w:val="18"/>
              </w:rPr>
            </w:pPr>
            <w:r>
              <w:rPr>
                <w:rFonts w:hint="eastAsia" w:ascii="宋体"/>
                <w:sz w:val="18"/>
                <w:szCs w:val="18"/>
              </w:rPr>
              <w:t>4</w:t>
            </w:r>
          </w:p>
        </w:tc>
        <w:tc>
          <w:tcPr>
            <w:tcW w:w="7737" w:type="dxa"/>
            <w:tcBorders>
              <w:top w:val="single" w:color="auto" w:sz="4" w:space="0"/>
              <w:left w:val="single" w:color="auto" w:sz="4" w:space="0"/>
              <w:right w:val="single" w:color="auto" w:sz="12" w:space="0"/>
            </w:tcBorders>
            <w:vAlign w:val="center"/>
          </w:tcPr>
          <w:p w14:paraId="7B92B3F7">
            <w:pPr>
              <w:autoSpaceDE w:val="0"/>
              <w:autoSpaceDN w:val="0"/>
              <w:adjustRightInd w:val="0"/>
              <w:snapToGrid w:val="0"/>
              <w:jc w:val="left"/>
              <w:rPr>
                <w:rFonts w:ascii="宋体"/>
                <w:sz w:val="18"/>
                <w:szCs w:val="18"/>
              </w:rPr>
            </w:pPr>
            <w:r>
              <w:rPr>
                <w:rFonts w:hint="eastAsia" w:ascii="宋体"/>
                <w:sz w:val="18"/>
                <w:szCs w:val="18"/>
              </w:rPr>
              <w:t>参加国企采购活动前3年内在经营活动中没有重大违法记录的声明函（附件三）</w:t>
            </w:r>
          </w:p>
        </w:tc>
      </w:tr>
      <w:tr w14:paraId="1892D9D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73" w:type="dxa"/>
            <w:tcBorders>
              <w:top w:val="single" w:color="auto" w:sz="4" w:space="0"/>
              <w:left w:val="single" w:color="auto" w:sz="12" w:space="0"/>
              <w:right w:val="single" w:color="auto" w:sz="4" w:space="0"/>
            </w:tcBorders>
            <w:vAlign w:val="center"/>
          </w:tcPr>
          <w:p w14:paraId="64C361B4">
            <w:pPr>
              <w:autoSpaceDE w:val="0"/>
              <w:autoSpaceDN w:val="0"/>
              <w:adjustRightInd w:val="0"/>
              <w:snapToGrid w:val="0"/>
              <w:jc w:val="center"/>
              <w:rPr>
                <w:rFonts w:ascii="宋体"/>
                <w:sz w:val="18"/>
                <w:szCs w:val="18"/>
                <w:lang w:val="zh-CN"/>
              </w:rPr>
            </w:pPr>
            <w:r>
              <w:rPr>
                <w:rFonts w:hint="eastAsia" w:ascii="宋体"/>
                <w:sz w:val="18"/>
                <w:szCs w:val="18"/>
              </w:rPr>
              <w:t>5</w:t>
            </w:r>
          </w:p>
        </w:tc>
        <w:tc>
          <w:tcPr>
            <w:tcW w:w="7737" w:type="dxa"/>
            <w:tcBorders>
              <w:top w:val="single" w:color="auto" w:sz="4" w:space="0"/>
              <w:left w:val="single" w:color="auto" w:sz="4" w:space="0"/>
              <w:right w:val="single" w:color="auto" w:sz="12" w:space="0"/>
            </w:tcBorders>
            <w:vAlign w:val="center"/>
          </w:tcPr>
          <w:p w14:paraId="0819F2C7">
            <w:pPr>
              <w:adjustRightInd w:val="0"/>
              <w:jc w:val="left"/>
              <w:rPr>
                <w:rFonts w:ascii="宋体"/>
                <w:sz w:val="18"/>
                <w:szCs w:val="18"/>
              </w:rPr>
            </w:pPr>
            <w:r>
              <w:rPr>
                <w:rFonts w:hint="eastAsia" w:ascii="宋体"/>
                <w:sz w:val="18"/>
                <w:szCs w:val="18"/>
              </w:rPr>
              <w:t>投标供应商特定资格条件证明：须具备独立法人资格，公路交通工程（公路机电工程）专业承包贰级及以上资质。</w:t>
            </w:r>
          </w:p>
        </w:tc>
      </w:tr>
      <w:tr w14:paraId="6C6E82C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73" w:type="dxa"/>
            <w:tcBorders>
              <w:top w:val="single" w:color="auto" w:sz="4" w:space="0"/>
              <w:left w:val="single" w:color="auto" w:sz="12" w:space="0"/>
              <w:right w:val="single" w:color="auto" w:sz="4" w:space="0"/>
            </w:tcBorders>
            <w:vAlign w:val="center"/>
          </w:tcPr>
          <w:p w14:paraId="0AAD6DDF">
            <w:pPr>
              <w:autoSpaceDE w:val="0"/>
              <w:autoSpaceDN w:val="0"/>
              <w:adjustRightInd w:val="0"/>
              <w:snapToGrid w:val="0"/>
              <w:jc w:val="center"/>
              <w:rPr>
                <w:rFonts w:ascii="宋体"/>
                <w:sz w:val="18"/>
                <w:szCs w:val="18"/>
              </w:rPr>
            </w:pPr>
            <w:r>
              <w:rPr>
                <w:rFonts w:hint="eastAsia" w:ascii="宋体"/>
                <w:sz w:val="18"/>
                <w:szCs w:val="18"/>
              </w:rPr>
              <w:t>6</w:t>
            </w:r>
          </w:p>
        </w:tc>
        <w:tc>
          <w:tcPr>
            <w:tcW w:w="7737" w:type="dxa"/>
            <w:tcBorders>
              <w:top w:val="single" w:color="auto" w:sz="4" w:space="0"/>
              <w:left w:val="single" w:color="auto" w:sz="4" w:space="0"/>
              <w:right w:val="single" w:color="auto" w:sz="12" w:space="0"/>
            </w:tcBorders>
            <w:vAlign w:val="center"/>
          </w:tcPr>
          <w:p w14:paraId="0B9F549D">
            <w:pPr>
              <w:tabs>
                <w:tab w:val="left" w:pos="4140"/>
              </w:tabs>
              <w:adjustRightInd w:val="0"/>
              <w:snapToGrid w:val="0"/>
              <w:jc w:val="left"/>
              <w:rPr>
                <w:rFonts w:ascii="宋体"/>
                <w:sz w:val="18"/>
                <w:szCs w:val="18"/>
              </w:rPr>
            </w:pPr>
            <w:r>
              <w:rPr>
                <w:rFonts w:hint="eastAsia" w:ascii="宋体"/>
                <w:sz w:val="18"/>
                <w:szCs w:val="18"/>
              </w:rPr>
              <w:t>投标供应商“信用中国”(www.creditchina.gov.cn）；“中国政府采购网”（www.ccgp.gov.cn）信用记录查询网页截图（采购公告发布之日至响应文件递交截止时间前）</w:t>
            </w:r>
          </w:p>
        </w:tc>
      </w:tr>
      <w:tr w14:paraId="67C1667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773" w:type="dxa"/>
            <w:tcBorders>
              <w:top w:val="single" w:color="auto" w:sz="4" w:space="0"/>
              <w:left w:val="single" w:color="auto" w:sz="12" w:space="0"/>
              <w:right w:val="single" w:color="auto" w:sz="4" w:space="0"/>
            </w:tcBorders>
            <w:vAlign w:val="center"/>
          </w:tcPr>
          <w:p w14:paraId="5B527C07">
            <w:pPr>
              <w:autoSpaceDE w:val="0"/>
              <w:autoSpaceDN w:val="0"/>
              <w:adjustRightInd w:val="0"/>
              <w:snapToGrid w:val="0"/>
              <w:jc w:val="center"/>
              <w:rPr>
                <w:rFonts w:ascii="宋体"/>
                <w:sz w:val="18"/>
                <w:szCs w:val="18"/>
              </w:rPr>
            </w:pPr>
            <w:r>
              <w:rPr>
                <w:rFonts w:hint="eastAsia" w:ascii="宋体"/>
                <w:sz w:val="18"/>
                <w:szCs w:val="18"/>
              </w:rPr>
              <w:t>7</w:t>
            </w:r>
          </w:p>
        </w:tc>
        <w:tc>
          <w:tcPr>
            <w:tcW w:w="7737" w:type="dxa"/>
            <w:tcBorders>
              <w:top w:val="single" w:color="auto" w:sz="4" w:space="0"/>
              <w:left w:val="single" w:color="auto" w:sz="4" w:space="0"/>
              <w:right w:val="single" w:color="auto" w:sz="12" w:space="0"/>
            </w:tcBorders>
            <w:vAlign w:val="center"/>
          </w:tcPr>
          <w:p w14:paraId="3E888C18">
            <w:pPr>
              <w:autoSpaceDE w:val="0"/>
              <w:autoSpaceDN w:val="0"/>
              <w:adjustRightInd w:val="0"/>
              <w:snapToGrid w:val="0"/>
              <w:jc w:val="left"/>
              <w:rPr>
                <w:rFonts w:ascii="宋体"/>
                <w:sz w:val="18"/>
                <w:szCs w:val="18"/>
              </w:rPr>
            </w:pPr>
            <w:r>
              <w:rPr>
                <w:rFonts w:hint="eastAsia" w:ascii="宋体"/>
                <w:sz w:val="18"/>
                <w:szCs w:val="18"/>
              </w:rPr>
              <w:t>供应商参与国企采购活动投标资格声明函（附件四）</w:t>
            </w:r>
          </w:p>
        </w:tc>
      </w:tr>
      <w:tr w14:paraId="00BCD66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773" w:type="dxa"/>
            <w:tcBorders>
              <w:top w:val="single" w:color="auto" w:sz="4" w:space="0"/>
              <w:left w:val="single" w:color="auto" w:sz="12" w:space="0"/>
              <w:right w:val="single" w:color="auto" w:sz="4" w:space="0"/>
            </w:tcBorders>
            <w:vAlign w:val="center"/>
          </w:tcPr>
          <w:p w14:paraId="7F77E6E3">
            <w:pPr>
              <w:autoSpaceDE w:val="0"/>
              <w:autoSpaceDN w:val="0"/>
              <w:adjustRightInd w:val="0"/>
              <w:snapToGrid w:val="0"/>
              <w:jc w:val="center"/>
              <w:rPr>
                <w:rFonts w:ascii="宋体"/>
                <w:sz w:val="18"/>
                <w:szCs w:val="18"/>
              </w:rPr>
            </w:pPr>
            <w:r>
              <w:rPr>
                <w:rFonts w:hint="eastAsia" w:ascii="宋体"/>
                <w:sz w:val="18"/>
                <w:szCs w:val="18"/>
              </w:rPr>
              <w:t>8</w:t>
            </w:r>
          </w:p>
        </w:tc>
        <w:tc>
          <w:tcPr>
            <w:tcW w:w="7737" w:type="dxa"/>
            <w:tcBorders>
              <w:top w:val="single" w:color="auto" w:sz="4" w:space="0"/>
              <w:left w:val="single" w:color="auto" w:sz="4" w:space="0"/>
              <w:right w:val="single" w:color="auto" w:sz="12" w:space="0"/>
            </w:tcBorders>
            <w:vAlign w:val="center"/>
          </w:tcPr>
          <w:p w14:paraId="3FF38855">
            <w:pPr>
              <w:tabs>
                <w:tab w:val="left" w:pos="4140"/>
              </w:tabs>
              <w:adjustRightInd w:val="0"/>
              <w:snapToGrid w:val="0"/>
              <w:jc w:val="left"/>
              <w:rPr>
                <w:rFonts w:ascii="宋体"/>
                <w:sz w:val="18"/>
                <w:szCs w:val="18"/>
              </w:rPr>
            </w:pPr>
            <w:r>
              <w:rPr>
                <w:rFonts w:hint="eastAsia" w:ascii="宋体"/>
                <w:sz w:val="18"/>
                <w:szCs w:val="18"/>
              </w:rPr>
              <w:t>与参加本次项目同一合同项下国企采购活动的其他供应商不存在单位负责人为同一人或者直接控股、管理关系的承诺函（附件五）</w:t>
            </w:r>
          </w:p>
        </w:tc>
      </w:tr>
      <w:tr w14:paraId="17A58F4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773" w:type="dxa"/>
            <w:tcBorders>
              <w:top w:val="single" w:color="auto" w:sz="4" w:space="0"/>
              <w:left w:val="single" w:color="auto" w:sz="12" w:space="0"/>
              <w:right w:val="single" w:color="auto" w:sz="4" w:space="0"/>
            </w:tcBorders>
            <w:vAlign w:val="center"/>
          </w:tcPr>
          <w:p w14:paraId="4F908ED4">
            <w:pPr>
              <w:autoSpaceDE w:val="0"/>
              <w:autoSpaceDN w:val="0"/>
              <w:adjustRightInd w:val="0"/>
              <w:snapToGrid w:val="0"/>
              <w:jc w:val="center"/>
              <w:rPr>
                <w:rFonts w:ascii="宋体"/>
                <w:sz w:val="18"/>
                <w:szCs w:val="18"/>
              </w:rPr>
            </w:pPr>
          </w:p>
        </w:tc>
        <w:tc>
          <w:tcPr>
            <w:tcW w:w="7737" w:type="dxa"/>
            <w:tcBorders>
              <w:top w:val="single" w:color="auto" w:sz="4" w:space="0"/>
              <w:left w:val="single" w:color="auto" w:sz="4" w:space="0"/>
              <w:right w:val="single" w:color="auto" w:sz="12" w:space="0"/>
            </w:tcBorders>
            <w:vAlign w:val="center"/>
          </w:tcPr>
          <w:p w14:paraId="1C312F6F">
            <w:pPr>
              <w:tabs>
                <w:tab w:val="left" w:pos="4140"/>
              </w:tabs>
              <w:adjustRightInd w:val="0"/>
              <w:snapToGrid w:val="0"/>
              <w:jc w:val="left"/>
              <w:rPr>
                <w:rFonts w:ascii="宋体"/>
                <w:sz w:val="18"/>
                <w:szCs w:val="18"/>
              </w:rPr>
            </w:pPr>
          </w:p>
        </w:tc>
      </w:tr>
    </w:tbl>
    <w:p w14:paraId="76A5A265">
      <w:pPr>
        <w:autoSpaceDE w:val="0"/>
        <w:autoSpaceDN w:val="0"/>
        <w:adjustRightInd w:val="0"/>
        <w:spacing w:line="400" w:lineRule="atLeast"/>
        <w:ind w:firstLine="440" w:firstLineChars="200"/>
        <w:rPr>
          <w:rFonts w:ascii="宋体" w:cs="仿宋_GB2312"/>
          <w:sz w:val="22"/>
          <w:szCs w:val="22"/>
          <w:lang w:val="zh-CN"/>
        </w:rPr>
      </w:pPr>
      <w:r>
        <w:rPr>
          <w:rFonts w:hint="eastAsia" w:ascii="宋体" w:cs="仿宋_GB2312"/>
          <w:sz w:val="22"/>
          <w:szCs w:val="22"/>
          <w:lang w:val="zh-CN"/>
        </w:rPr>
        <w:t>2.2报价文件部分组成</w:t>
      </w:r>
    </w:p>
    <w:tbl>
      <w:tblPr>
        <w:tblStyle w:val="25"/>
        <w:tblW w:w="8520" w:type="dxa"/>
        <w:tblInd w:w="108"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784"/>
        <w:gridCol w:w="7736"/>
      </w:tblGrid>
      <w:tr w14:paraId="337A50B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784" w:type="dxa"/>
            <w:vAlign w:val="center"/>
          </w:tcPr>
          <w:p w14:paraId="3CD66F3F">
            <w:pPr>
              <w:autoSpaceDE w:val="0"/>
              <w:autoSpaceDN w:val="0"/>
              <w:adjustRightInd w:val="0"/>
              <w:snapToGrid w:val="0"/>
              <w:jc w:val="center"/>
              <w:rPr>
                <w:rFonts w:ascii="宋体"/>
                <w:sz w:val="18"/>
                <w:szCs w:val="18"/>
                <w:lang w:val="zh-CN"/>
              </w:rPr>
            </w:pPr>
            <w:r>
              <w:rPr>
                <w:rFonts w:hint="eastAsia" w:ascii="宋体"/>
                <w:sz w:val="18"/>
                <w:szCs w:val="18"/>
                <w:lang w:val="zh-CN"/>
              </w:rPr>
              <w:t>序号</w:t>
            </w:r>
          </w:p>
        </w:tc>
        <w:tc>
          <w:tcPr>
            <w:tcW w:w="7736" w:type="dxa"/>
            <w:vAlign w:val="center"/>
          </w:tcPr>
          <w:p w14:paraId="18ACB3AE">
            <w:pPr>
              <w:autoSpaceDE w:val="0"/>
              <w:autoSpaceDN w:val="0"/>
              <w:adjustRightInd w:val="0"/>
              <w:snapToGrid w:val="0"/>
              <w:jc w:val="center"/>
              <w:rPr>
                <w:rFonts w:ascii="宋体" w:cs="Courier New"/>
                <w:sz w:val="18"/>
                <w:szCs w:val="18"/>
                <w:lang w:val="zh-CN"/>
              </w:rPr>
            </w:pPr>
            <w:r>
              <w:rPr>
                <w:rFonts w:hint="eastAsia" w:ascii="宋体"/>
                <w:sz w:val="18"/>
                <w:szCs w:val="18"/>
                <w:lang w:val="zh-CN"/>
              </w:rPr>
              <w:t>内容（▲序号</w:t>
            </w:r>
            <w:r>
              <w:rPr>
                <w:rFonts w:hint="eastAsia" w:ascii="宋体"/>
                <w:sz w:val="18"/>
                <w:szCs w:val="18"/>
              </w:rPr>
              <w:t>1</w:t>
            </w:r>
            <w:r>
              <w:rPr>
                <w:rFonts w:hint="eastAsia" w:ascii="宋体"/>
                <w:sz w:val="18"/>
                <w:szCs w:val="18"/>
                <w:lang w:val="zh-CN"/>
              </w:rPr>
              <w:t>-</w:t>
            </w:r>
            <w:r>
              <w:rPr>
                <w:rFonts w:hint="eastAsia" w:ascii="宋体"/>
                <w:sz w:val="18"/>
                <w:szCs w:val="18"/>
                <w:lang w:val="en-US" w:eastAsia="zh-CN"/>
              </w:rPr>
              <w:t>2、4</w:t>
            </w:r>
            <w:r>
              <w:rPr>
                <w:rFonts w:hint="eastAsia" w:ascii="宋体"/>
                <w:sz w:val="18"/>
                <w:szCs w:val="18"/>
                <w:lang w:val="zh-CN"/>
              </w:rPr>
              <w:t>项投标供应商必须提供，否则不能通过符合性审查的，责任自负。）</w:t>
            </w:r>
          </w:p>
        </w:tc>
      </w:tr>
      <w:tr w14:paraId="0188367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784" w:type="dxa"/>
            <w:tcBorders>
              <w:top w:val="single" w:color="auto" w:sz="4" w:space="0"/>
              <w:left w:val="single" w:color="auto" w:sz="12" w:space="0"/>
              <w:right w:val="single" w:color="auto" w:sz="4" w:space="0"/>
            </w:tcBorders>
            <w:vAlign w:val="center"/>
          </w:tcPr>
          <w:p w14:paraId="05A74CF3">
            <w:pPr>
              <w:tabs>
                <w:tab w:val="left" w:pos="4140"/>
              </w:tabs>
              <w:adjustRightInd w:val="0"/>
              <w:snapToGrid w:val="0"/>
              <w:jc w:val="center"/>
              <w:rPr>
                <w:rFonts w:ascii="宋体"/>
                <w:sz w:val="18"/>
                <w:szCs w:val="18"/>
                <w:lang w:val="zh-CN"/>
              </w:rPr>
            </w:pPr>
            <w:r>
              <w:rPr>
                <w:rFonts w:hint="eastAsia" w:ascii="宋体"/>
                <w:sz w:val="18"/>
                <w:szCs w:val="18"/>
              </w:rPr>
              <w:t>1</w:t>
            </w:r>
          </w:p>
        </w:tc>
        <w:tc>
          <w:tcPr>
            <w:tcW w:w="7736" w:type="dxa"/>
            <w:tcBorders>
              <w:top w:val="single" w:color="auto" w:sz="4" w:space="0"/>
              <w:left w:val="single" w:color="auto" w:sz="4" w:space="0"/>
              <w:right w:val="single" w:color="auto" w:sz="12" w:space="0"/>
            </w:tcBorders>
            <w:vAlign w:val="center"/>
          </w:tcPr>
          <w:p w14:paraId="075A41FC">
            <w:pPr>
              <w:tabs>
                <w:tab w:val="left" w:pos="4140"/>
              </w:tabs>
              <w:adjustRightInd w:val="0"/>
              <w:snapToGrid w:val="0"/>
              <w:jc w:val="left"/>
              <w:rPr>
                <w:rFonts w:ascii="宋体"/>
                <w:sz w:val="18"/>
                <w:szCs w:val="18"/>
              </w:rPr>
            </w:pPr>
            <w:r>
              <w:rPr>
                <w:rFonts w:hint="eastAsia" w:ascii="宋体"/>
                <w:sz w:val="18"/>
                <w:szCs w:val="18"/>
              </w:rPr>
              <w:t>开标（报价）一览表（附件七）</w:t>
            </w:r>
          </w:p>
        </w:tc>
      </w:tr>
      <w:tr w14:paraId="40A76B2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784" w:type="dxa"/>
            <w:tcBorders>
              <w:top w:val="single" w:color="auto" w:sz="4" w:space="0"/>
              <w:left w:val="single" w:color="auto" w:sz="12" w:space="0"/>
              <w:right w:val="single" w:color="auto" w:sz="4" w:space="0"/>
            </w:tcBorders>
            <w:vAlign w:val="center"/>
          </w:tcPr>
          <w:p w14:paraId="7797BD7D">
            <w:pPr>
              <w:tabs>
                <w:tab w:val="left" w:pos="4140"/>
              </w:tabs>
              <w:adjustRightInd w:val="0"/>
              <w:snapToGrid w:val="0"/>
              <w:jc w:val="center"/>
              <w:rPr>
                <w:rFonts w:ascii="宋体"/>
                <w:sz w:val="18"/>
                <w:szCs w:val="18"/>
              </w:rPr>
            </w:pPr>
            <w:r>
              <w:rPr>
                <w:rFonts w:hint="eastAsia" w:ascii="宋体"/>
                <w:sz w:val="18"/>
                <w:szCs w:val="18"/>
              </w:rPr>
              <w:t>2</w:t>
            </w:r>
          </w:p>
        </w:tc>
        <w:tc>
          <w:tcPr>
            <w:tcW w:w="7736" w:type="dxa"/>
            <w:tcBorders>
              <w:top w:val="single" w:color="auto" w:sz="4" w:space="0"/>
              <w:left w:val="single" w:color="auto" w:sz="4" w:space="0"/>
              <w:right w:val="single" w:color="auto" w:sz="12" w:space="0"/>
            </w:tcBorders>
            <w:vAlign w:val="center"/>
          </w:tcPr>
          <w:p w14:paraId="3ED3666C">
            <w:pPr>
              <w:tabs>
                <w:tab w:val="left" w:pos="4140"/>
              </w:tabs>
              <w:adjustRightInd w:val="0"/>
              <w:snapToGrid w:val="0"/>
              <w:jc w:val="left"/>
              <w:rPr>
                <w:rFonts w:ascii="宋体"/>
                <w:sz w:val="18"/>
                <w:szCs w:val="18"/>
              </w:rPr>
            </w:pPr>
            <w:r>
              <w:rPr>
                <w:rFonts w:hint="eastAsia" w:ascii="宋体"/>
                <w:sz w:val="18"/>
                <w:szCs w:val="18"/>
              </w:rPr>
              <w:t>已标价工程量清单（附件八）</w:t>
            </w:r>
          </w:p>
        </w:tc>
      </w:tr>
      <w:tr w14:paraId="69DAF00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784" w:type="dxa"/>
            <w:tcBorders>
              <w:top w:val="single" w:color="auto" w:sz="4" w:space="0"/>
              <w:left w:val="single" w:color="auto" w:sz="12" w:space="0"/>
              <w:right w:val="single" w:color="auto" w:sz="4" w:space="0"/>
            </w:tcBorders>
            <w:vAlign w:val="center"/>
          </w:tcPr>
          <w:p w14:paraId="05016F38">
            <w:pPr>
              <w:tabs>
                <w:tab w:val="left" w:pos="4140"/>
              </w:tabs>
              <w:adjustRightInd w:val="0"/>
              <w:snapToGrid w:val="0"/>
              <w:jc w:val="center"/>
              <w:rPr>
                <w:rFonts w:ascii="宋体"/>
                <w:sz w:val="18"/>
                <w:szCs w:val="18"/>
              </w:rPr>
            </w:pPr>
            <w:bookmarkStart w:id="23" w:name="_Toc132122410"/>
            <w:bookmarkStart w:id="24" w:name="_Toc132122113"/>
            <w:r>
              <w:rPr>
                <w:rFonts w:hint="eastAsia" w:ascii="宋体"/>
                <w:sz w:val="18"/>
                <w:szCs w:val="18"/>
              </w:rPr>
              <w:t>3</w:t>
            </w:r>
          </w:p>
        </w:tc>
        <w:tc>
          <w:tcPr>
            <w:tcW w:w="7736" w:type="dxa"/>
            <w:tcBorders>
              <w:top w:val="single" w:color="auto" w:sz="4" w:space="0"/>
              <w:left w:val="single" w:color="auto" w:sz="4" w:space="0"/>
              <w:right w:val="single" w:color="auto" w:sz="12" w:space="0"/>
            </w:tcBorders>
            <w:vAlign w:val="center"/>
          </w:tcPr>
          <w:p w14:paraId="0DE41FFA">
            <w:pPr>
              <w:tabs>
                <w:tab w:val="left" w:pos="4140"/>
              </w:tabs>
              <w:adjustRightInd w:val="0"/>
              <w:snapToGrid w:val="0"/>
              <w:jc w:val="left"/>
              <w:rPr>
                <w:rFonts w:ascii="宋体"/>
                <w:sz w:val="18"/>
                <w:szCs w:val="18"/>
              </w:rPr>
            </w:pPr>
            <w:r>
              <w:rPr>
                <w:rFonts w:hint="eastAsia" w:ascii="宋体"/>
                <w:sz w:val="18"/>
                <w:szCs w:val="18"/>
              </w:rPr>
              <w:t>二次报价表（附件九）</w:t>
            </w:r>
          </w:p>
        </w:tc>
      </w:tr>
      <w:tr w14:paraId="596D2CE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784" w:type="dxa"/>
            <w:tcBorders>
              <w:top w:val="single" w:color="auto" w:sz="4" w:space="0"/>
              <w:left w:val="single" w:color="auto" w:sz="12" w:space="0"/>
              <w:right w:val="single" w:color="auto" w:sz="4" w:space="0"/>
            </w:tcBorders>
            <w:vAlign w:val="center"/>
          </w:tcPr>
          <w:p w14:paraId="1E8861BD">
            <w:pPr>
              <w:tabs>
                <w:tab w:val="left" w:pos="4140"/>
              </w:tabs>
              <w:adjustRightInd w:val="0"/>
              <w:snapToGrid w:val="0"/>
              <w:jc w:val="center"/>
              <w:rPr>
                <w:rFonts w:ascii="宋体"/>
                <w:sz w:val="18"/>
                <w:szCs w:val="18"/>
              </w:rPr>
            </w:pPr>
            <w:r>
              <w:rPr>
                <w:rFonts w:hint="eastAsia" w:ascii="宋体"/>
                <w:sz w:val="18"/>
                <w:szCs w:val="18"/>
              </w:rPr>
              <w:t>4</w:t>
            </w:r>
          </w:p>
        </w:tc>
        <w:tc>
          <w:tcPr>
            <w:tcW w:w="7736" w:type="dxa"/>
            <w:tcBorders>
              <w:top w:val="single" w:color="auto" w:sz="4" w:space="0"/>
              <w:left w:val="single" w:color="auto" w:sz="4" w:space="0"/>
              <w:right w:val="single" w:color="auto" w:sz="12" w:space="0"/>
            </w:tcBorders>
            <w:vAlign w:val="center"/>
          </w:tcPr>
          <w:p w14:paraId="3F42C8C0">
            <w:pPr>
              <w:tabs>
                <w:tab w:val="left" w:pos="4140"/>
              </w:tabs>
              <w:adjustRightInd w:val="0"/>
              <w:snapToGrid w:val="0"/>
              <w:jc w:val="left"/>
              <w:rPr>
                <w:rFonts w:ascii="宋体"/>
                <w:sz w:val="18"/>
                <w:szCs w:val="18"/>
              </w:rPr>
            </w:pPr>
            <w:r>
              <w:rPr>
                <w:rFonts w:hint="eastAsia" w:ascii="宋体"/>
                <w:sz w:val="18"/>
                <w:szCs w:val="18"/>
              </w:rPr>
              <w:t>符合中小企业要求应按要求提供以下证明材料：</w:t>
            </w:r>
          </w:p>
          <w:p w14:paraId="5147B6E5">
            <w:pPr>
              <w:tabs>
                <w:tab w:val="left" w:pos="4140"/>
              </w:tabs>
              <w:adjustRightInd w:val="0"/>
              <w:snapToGrid w:val="0"/>
              <w:jc w:val="left"/>
              <w:rPr>
                <w:rFonts w:ascii="宋体"/>
                <w:sz w:val="18"/>
                <w:szCs w:val="18"/>
              </w:rPr>
            </w:pPr>
            <w:r>
              <w:rPr>
                <w:rFonts w:hint="eastAsia" w:ascii="宋体"/>
                <w:sz w:val="18"/>
                <w:szCs w:val="18"/>
              </w:rPr>
              <w:t>（1）中小企业声明函</w:t>
            </w:r>
          </w:p>
          <w:p w14:paraId="2BE0A145">
            <w:pPr>
              <w:tabs>
                <w:tab w:val="left" w:pos="4140"/>
              </w:tabs>
              <w:adjustRightInd w:val="0"/>
              <w:snapToGrid w:val="0"/>
              <w:jc w:val="left"/>
              <w:rPr>
                <w:rFonts w:ascii="宋体"/>
                <w:sz w:val="18"/>
                <w:szCs w:val="18"/>
              </w:rPr>
            </w:pPr>
            <w:r>
              <w:rPr>
                <w:rFonts w:hint="eastAsia" w:ascii="宋体"/>
                <w:sz w:val="18"/>
                <w:szCs w:val="18"/>
              </w:rPr>
              <w:t>（2）残疾人福利性单位声明函（如为残疾人单位的请根据附件内容提供）</w:t>
            </w:r>
          </w:p>
          <w:p w14:paraId="53C0C87A">
            <w:pPr>
              <w:tabs>
                <w:tab w:val="left" w:pos="4140"/>
              </w:tabs>
              <w:adjustRightInd w:val="0"/>
              <w:snapToGrid w:val="0"/>
              <w:jc w:val="left"/>
              <w:rPr>
                <w:rFonts w:ascii="宋体"/>
                <w:sz w:val="18"/>
                <w:szCs w:val="18"/>
              </w:rPr>
            </w:pPr>
            <w:r>
              <w:rPr>
                <w:rFonts w:hint="eastAsia" w:ascii="宋体"/>
                <w:sz w:val="18"/>
                <w:szCs w:val="18"/>
              </w:rPr>
              <w:t>（3）监狱企业提供的相关证明材料（如为监狱企业的请根据附件内容提供）</w:t>
            </w:r>
          </w:p>
        </w:tc>
      </w:tr>
    </w:tbl>
    <w:p w14:paraId="60D3C083">
      <w:pPr>
        <w:autoSpaceDE w:val="0"/>
        <w:autoSpaceDN w:val="0"/>
        <w:adjustRightInd w:val="0"/>
        <w:spacing w:line="400" w:lineRule="atLeast"/>
        <w:ind w:firstLine="440" w:firstLineChars="200"/>
        <w:rPr>
          <w:rFonts w:ascii="宋体" w:cs="仿宋_GB2312"/>
          <w:sz w:val="22"/>
          <w:szCs w:val="22"/>
          <w:lang w:val="zh-CN"/>
        </w:rPr>
      </w:pPr>
      <w:r>
        <w:rPr>
          <w:rFonts w:hint="eastAsia" w:ascii="宋体" w:cs="仿宋_GB2312"/>
          <w:sz w:val="22"/>
          <w:szCs w:val="22"/>
          <w:lang w:val="zh-CN"/>
        </w:rPr>
        <w:t>2.3商务技术文件部分组成</w:t>
      </w:r>
    </w:p>
    <w:tbl>
      <w:tblPr>
        <w:tblStyle w:val="25"/>
        <w:tblW w:w="0" w:type="auto"/>
        <w:tblInd w:w="108"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773"/>
        <w:gridCol w:w="7747"/>
      </w:tblGrid>
      <w:tr w14:paraId="5C57147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283" w:hRule="atLeast"/>
        </w:trPr>
        <w:tc>
          <w:tcPr>
            <w:tcW w:w="773" w:type="dxa"/>
            <w:vAlign w:val="center"/>
          </w:tcPr>
          <w:p w14:paraId="6855C1BA">
            <w:pPr>
              <w:autoSpaceDE w:val="0"/>
              <w:autoSpaceDN w:val="0"/>
              <w:adjustRightInd w:val="0"/>
              <w:snapToGrid w:val="0"/>
              <w:jc w:val="center"/>
              <w:rPr>
                <w:rFonts w:ascii="宋体"/>
                <w:sz w:val="18"/>
                <w:szCs w:val="18"/>
                <w:lang w:val="zh-CN"/>
              </w:rPr>
            </w:pPr>
            <w:r>
              <w:rPr>
                <w:rFonts w:hint="eastAsia" w:ascii="宋体"/>
                <w:sz w:val="18"/>
                <w:szCs w:val="18"/>
                <w:lang w:val="zh-CN"/>
              </w:rPr>
              <w:t>序号</w:t>
            </w:r>
          </w:p>
        </w:tc>
        <w:tc>
          <w:tcPr>
            <w:tcW w:w="7747" w:type="dxa"/>
            <w:vAlign w:val="center"/>
          </w:tcPr>
          <w:p w14:paraId="4362017B">
            <w:pPr>
              <w:autoSpaceDE w:val="0"/>
              <w:autoSpaceDN w:val="0"/>
              <w:adjustRightInd w:val="0"/>
              <w:snapToGrid w:val="0"/>
              <w:jc w:val="center"/>
              <w:rPr>
                <w:rFonts w:ascii="宋体"/>
                <w:sz w:val="18"/>
                <w:szCs w:val="18"/>
                <w:lang w:val="zh-CN"/>
              </w:rPr>
            </w:pPr>
            <w:r>
              <w:rPr>
                <w:rFonts w:hint="eastAsia" w:ascii="宋体"/>
                <w:sz w:val="18"/>
                <w:szCs w:val="18"/>
                <w:lang w:val="zh-CN"/>
              </w:rPr>
              <w:t>内容</w:t>
            </w:r>
          </w:p>
        </w:tc>
      </w:tr>
      <w:tr w14:paraId="590DF30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773" w:type="dxa"/>
            <w:tcBorders>
              <w:top w:val="single" w:color="auto" w:sz="4" w:space="0"/>
              <w:left w:val="single" w:color="auto" w:sz="12" w:space="0"/>
              <w:right w:val="single" w:color="auto" w:sz="4" w:space="0"/>
            </w:tcBorders>
            <w:vAlign w:val="center"/>
          </w:tcPr>
          <w:p w14:paraId="50B72C11">
            <w:pPr>
              <w:autoSpaceDE w:val="0"/>
              <w:autoSpaceDN w:val="0"/>
              <w:adjustRightInd w:val="0"/>
              <w:snapToGrid w:val="0"/>
              <w:jc w:val="center"/>
              <w:rPr>
                <w:rFonts w:ascii="宋体"/>
                <w:sz w:val="18"/>
                <w:szCs w:val="18"/>
              </w:rPr>
            </w:pPr>
            <w:r>
              <w:rPr>
                <w:rFonts w:hint="eastAsia" w:ascii="宋体"/>
                <w:sz w:val="18"/>
                <w:szCs w:val="18"/>
              </w:rPr>
              <w:t>1</w:t>
            </w:r>
          </w:p>
        </w:tc>
        <w:tc>
          <w:tcPr>
            <w:tcW w:w="7747" w:type="dxa"/>
            <w:tcBorders>
              <w:top w:val="single" w:color="auto" w:sz="4" w:space="0"/>
              <w:left w:val="single" w:color="auto" w:sz="4" w:space="0"/>
              <w:right w:val="single" w:color="auto" w:sz="12" w:space="0"/>
            </w:tcBorders>
            <w:vAlign w:val="center"/>
          </w:tcPr>
          <w:p w14:paraId="2AB4770A">
            <w:pPr>
              <w:autoSpaceDE w:val="0"/>
              <w:autoSpaceDN w:val="0"/>
              <w:adjustRightInd w:val="0"/>
              <w:snapToGrid w:val="0"/>
              <w:jc w:val="left"/>
              <w:rPr>
                <w:rFonts w:ascii="宋体"/>
                <w:sz w:val="18"/>
                <w:szCs w:val="18"/>
                <w:lang w:val="zh-CN"/>
              </w:rPr>
            </w:pPr>
            <w:r>
              <w:rPr>
                <w:rFonts w:hint="eastAsia" w:ascii="宋体"/>
                <w:sz w:val="18"/>
                <w:szCs w:val="18"/>
              </w:rPr>
              <w:t>磋商（响应）函（附件十）</w:t>
            </w:r>
          </w:p>
        </w:tc>
      </w:tr>
      <w:tr w14:paraId="060A79D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773" w:type="dxa"/>
            <w:tcBorders>
              <w:top w:val="single" w:color="auto" w:sz="4" w:space="0"/>
              <w:left w:val="single" w:color="auto" w:sz="12" w:space="0"/>
              <w:right w:val="single" w:color="auto" w:sz="4" w:space="0"/>
            </w:tcBorders>
            <w:vAlign w:val="center"/>
          </w:tcPr>
          <w:p w14:paraId="2EB3E0FB">
            <w:pPr>
              <w:autoSpaceDE w:val="0"/>
              <w:autoSpaceDN w:val="0"/>
              <w:adjustRightInd w:val="0"/>
              <w:snapToGrid w:val="0"/>
              <w:jc w:val="center"/>
              <w:rPr>
                <w:rFonts w:ascii="宋体"/>
                <w:sz w:val="18"/>
                <w:szCs w:val="18"/>
              </w:rPr>
            </w:pPr>
            <w:r>
              <w:rPr>
                <w:rFonts w:hint="eastAsia" w:ascii="宋体"/>
                <w:sz w:val="18"/>
                <w:szCs w:val="18"/>
              </w:rPr>
              <w:t>2</w:t>
            </w:r>
          </w:p>
        </w:tc>
        <w:tc>
          <w:tcPr>
            <w:tcW w:w="7747" w:type="dxa"/>
            <w:tcBorders>
              <w:top w:val="single" w:color="auto" w:sz="4" w:space="0"/>
              <w:left w:val="single" w:color="auto" w:sz="4" w:space="0"/>
              <w:right w:val="single" w:color="auto" w:sz="12" w:space="0"/>
            </w:tcBorders>
            <w:vAlign w:val="center"/>
          </w:tcPr>
          <w:p w14:paraId="1164212C">
            <w:pPr>
              <w:autoSpaceDE w:val="0"/>
              <w:autoSpaceDN w:val="0"/>
              <w:adjustRightInd w:val="0"/>
              <w:snapToGrid w:val="0"/>
              <w:jc w:val="left"/>
              <w:rPr>
                <w:rFonts w:ascii="宋体"/>
                <w:sz w:val="18"/>
                <w:szCs w:val="18"/>
              </w:rPr>
            </w:pPr>
            <w:r>
              <w:rPr>
                <w:rFonts w:hint="eastAsia" w:ascii="宋体"/>
                <w:sz w:val="18"/>
                <w:szCs w:val="18"/>
              </w:rPr>
              <w:t>供应商法定代表人授权书（附件十一）</w:t>
            </w:r>
          </w:p>
        </w:tc>
      </w:tr>
      <w:tr w14:paraId="6C78875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773" w:type="dxa"/>
            <w:tcBorders>
              <w:top w:val="single" w:color="auto" w:sz="4" w:space="0"/>
              <w:left w:val="single" w:color="auto" w:sz="12" w:space="0"/>
              <w:right w:val="single" w:color="auto" w:sz="4" w:space="0"/>
            </w:tcBorders>
            <w:vAlign w:val="center"/>
          </w:tcPr>
          <w:p w14:paraId="630B2584">
            <w:pPr>
              <w:autoSpaceDE w:val="0"/>
              <w:autoSpaceDN w:val="0"/>
              <w:adjustRightInd w:val="0"/>
              <w:snapToGrid w:val="0"/>
              <w:jc w:val="center"/>
              <w:rPr>
                <w:rFonts w:ascii="宋体"/>
                <w:sz w:val="18"/>
                <w:szCs w:val="18"/>
              </w:rPr>
            </w:pPr>
            <w:r>
              <w:rPr>
                <w:rFonts w:hint="eastAsia" w:ascii="宋体"/>
                <w:sz w:val="18"/>
                <w:szCs w:val="18"/>
              </w:rPr>
              <w:t>3</w:t>
            </w:r>
          </w:p>
        </w:tc>
        <w:tc>
          <w:tcPr>
            <w:tcW w:w="7747" w:type="dxa"/>
            <w:tcBorders>
              <w:top w:val="single" w:color="auto" w:sz="4" w:space="0"/>
              <w:left w:val="single" w:color="auto" w:sz="4" w:space="0"/>
              <w:right w:val="single" w:color="auto" w:sz="12" w:space="0"/>
            </w:tcBorders>
            <w:vAlign w:val="center"/>
          </w:tcPr>
          <w:p w14:paraId="40106124">
            <w:pPr>
              <w:autoSpaceDE w:val="0"/>
              <w:autoSpaceDN w:val="0"/>
              <w:adjustRightInd w:val="0"/>
              <w:snapToGrid w:val="0"/>
              <w:jc w:val="left"/>
              <w:rPr>
                <w:rFonts w:ascii="宋体"/>
                <w:sz w:val="18"/>
                <w:szCs w:val="18"/>
              </w:rPr>
            </w:pPr>
            <w:r>
              <w:rPr>
                <w:rFonts w:hint="eastAsia" w:ascii="宋体"/>
                <w:sz w:val="18"/>
                <w:szCs w:val="18"/>
              </w:rPr>
              <w:t>法定代表人诚信投标承诺书（附件十二）</w:t>
            </w:r>
          </w:p>
        </w:tc>
      </w:tr>
      <w:tr w14:paraId="2FC7498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773" w:type="dxa"/>
            <w:tcBorders>
              <w:top w:val="single" w:color="auto" w:sz="4" w:space="0"/>
              <w:left w:val="single" w:color="auto" w:sz="12" w:space="0"/>
              <w:right w:val="single" w:color="auto" w:sz="4" w:space="0"/>
            </w:tcBorders>
            <w:vAlign w:val="center"/>
          </w:tcPr>
          <w:p w14:paraId="737F529E">
            <w:pPr>
              <w:autoSpaceDE w:val="0"/>
              <w:autoSpaceDN w:val="0"/>
              <w:adjustRightInd w:val="0"/>
              <w:snapToGrid w:val="0"/>
              <w:jc w:val="center"/>
              <w:rPr>
                <w:rFonts w:ascii="宋体"/>
                <w:sz w:val="18"/>
                <w:szCs w:val="18"/>
              </w:rPr>
            </w:pPr>
            <w:r>
              <w:rPr>
                <w:rFonts w:hint="eastAsia" w:ascii="宋体"/>
                <w:sz w:val="18"/>
                <w:szCs w:val="18"/>
              </w:rPr>
              <w:t>4</w:t>
            </w:r>
          </w:p>
        </w:tc>
        <w:tc>
          <w:tcPr>
            <w:tcW w:w="7747" w:type="dxa"/>
            <w:tcBorders>
              <w:top w:val="single" w:color="auto" w:sz="4" w:space="0"/>
              <w:left w:val="single" w:color="auto" w:sz="4" w:space="0"/>
              <w:right w:val="single" w:color="auto" w:sz="12" w:space="0"/>
            </w:tcBorders>
            <w:vAlign w:val="center"/>
          </w:tcPr>
          <w:p w14:paraId="6E3C0DF9">
            <w:pPr>
              <w:tabs>
                <w:tab w:val="left" w:pos="4140"/>
              </w:tabs>
              <w:adjustRightInd w:val="0"/>
              <w:snapToGrid w:val="0"/>
              <w:jc w:val="left"/>
              <w:rPr>
                <w:rFonts w:ascii="宋体" w:cs="Arial"/>
                <w:sz w:val="18"/>
                <w:szCs w:val="18"/>
              </w:rPr>
            </w:pPr>
            <w:r>
              <w:rPr>
                <w:rFonts w:hint="eastAsia" w:ascii="宋体" w:cs="Arial"/>
                <w:sz w:val="18"/>
                <w:szCs w:val="18"/>
              </w:rPr>
              <w:t>偏离表（附件十三）</w:t>
            </w:r>
          </w:p>
        </w:tc>
      </w:tr>
      <w:tr w14:paraId="2786F39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773" w:type="dxa"/>
            <w:tcBorders>
              <w:top w:val="single" w:color="auto" w:sz="4" w:space="0"/>
              <w:left w:val="single" w:color="auto" w:sz="12" w:space="0"/>
              <w:right w:val="single" w:color="auto" w:sz="4" w:space="0"/>
            </w:tcBorders>
            <w:shd w:val="clear" w:color="auto" w:fill="auto"/>
            <w:vAlign w:val="center"/>
          </w:tcPr>
          <w:p w14:paraId="65063E4A">
            <w:pPr>
              <w:autoSpaceDE w:val="0"/>
              <w:autoSpaceDN w:val="0"/>
              <w:adjustRightInd w:val="0"/>
              <w:snapToGrid w:val="0"/>
              <w:jc w:val="center"/>
              <w:rPr>
                <w:rFonts w:ascii="宋体"/>
                <w:sz w:val="18"/>
                <w:szCs w:val="18"/>
              </w:rPr>
            </w:pPr>
            <w:r>
              <w:rPr>
                <w:rFonts w:hint="eastAsia" w:ascii="宋体"/>
                <w:sz w:val="18"/>
                <w:szCs w:val="18"/>
              </w:rPr>
              <w:t>5</w:t>
            </w:r>
          </w:p>
        </w:tc>
        <w:tc>
          <w:tcPr>
            <w:tcW w:w="7747" w:type="dxa"/>
            <w:tcBorders>
              <w:top w:val="single" w:color="auto" w:sz="4" w:space="0"/>
              <w:left w:val="single" w:color="auto" w:sz="4" w:space="0"/>
              <w:right w:val="single" w:color="auto" w:sz="12" w:space="0"/>
            </w:tcBorders>
            <w:vAlign w:val="center"/>
          </w:tcPr>
          <w:p w14:paraId="4CF08A5B">
            <w:pPr>
              <w:tabs>
                <w:tab w:val="left" w:pos="4140"/>
              </w:tabs>
              <w:adjustRightInd w:val="0"/>
              <w:snapToGrid w:val="0"/>
              <w:jc w:val="left"/>
              <w:rPr>
                <w:rFonts w:ascii="宋体" w:cs="Arial"/>
                <w:sz w:val="18"/>
                <w:szCs w:val="18"/>
              </w:rPr>
            </w:pPr>
            <w:r>
              <w:rPr>
                <w:rFonts w:hint="eastAsia" w:ascii="宋体" w:cs="Arial"/>
                <w:sz w:val="18"/>
                <w:szCs w:val="18"/>
              </w:rPr>
              <w:t>项目实施负责人（附件十四）</w:t>
            </w:r>
          </w:p>
        </w:tc>
      </w:tr>
      <w:tr w14:paraId="331D730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773" w:type="dxa"/>
            <w:tcBorders>
              <w:top w:val="single" w:color="auto" w:sz="4" w:space="0"/>
              <w:left w:val="single" w:color="auto" w:sz="12" w:space="0"/>
              <w:right w:val="single" w:color="auto" w:sz="4" w:space="0"/>
            </w:tcBorders>
            <w:shd w:val="clear" w:color="auto" w:fill="auto"/>
            <w:vAlign w:val="center"/>
          </w:tcPr>
          <w:p w14:paraId="1BC367C2">
            <w:pPr>
              <w:autoSpaceDE w:val="0"/>
              <w:autoSpaceDN w:val="0"/>
              <w:adjustRightInd w:val="0"/>
              <w:snapToGrid w:val="0"/>
              <w:jc w:val="center"/>
              <w:rPr>
                <w:rFonts w:ascii="宋体"/>
                <w:sz w:val="18"/>
                <w:szCs w:val="18"/>
              </w:rPr>
            </w:pPr>
            <w:r>
              <w:rPr>
                <w:rFonts w:hint="eastAsia" w:ascii="宋体"/>
                <w:sz w:val="18"/>
                <w:szCs w:val="18"/>
              </w:rPr>
              <w:t>6</w:t>
            </w:r>
          </w:p>
        </w:tc>
        <w:tc>
          <w:tcPr>
            <w:tcW w:w="7747" w:type="dxa"/>
            <w:tcBorders>
              <w:top w:val="single" w:color="auto" w:sz="4" w:space="0"/>
              <w:left w:val="single" w:color="auto" w:sz="4" w:space="0"/>
              <w:right w:val="single" w:color="auto" w:sz="12" w:space="0"/>
            </w:tcBorders>
            <w:vAlign w:val="center"/>
          </w:tcPr>
          <w:p w14:paraId="1902A542">
            <w:pPr>
              <w:tabs>
                <w:tab w:val="left" w:pos="4140"/>
              </w:tabs>
              <w:adjustRightInd w:val="0"/>
              <w:snapToGrid w:val="0"/>
              <w:jc w:val="left"/>
              <w:rPr>
                <w:rFonts w:ascii="宋体" w:cs="Arial"/>
                <w:sz w:val="18"/>
                <w:szCs w:val="18"/>
              </w:rPr>
            </w:pPr>
            <w:r>
              <w:rPr>
                <w:rFonts w:hint="eastAsia" w:ascii="宋体" w:cs="Arial"/>
                <w:sz w:val="18"/>
                <w:szCs w:val="18"/>
              </w:rPr>
              <w:t>拟投入项目主要工作人员一览表（附件十五）</w:t>
            </w:r>
          </w:p>
        </w:tc>
      </w:tr>
      <w:tr w14:paraId="19D0F2E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773" w:type="dxa"/>
            <w:tcBorders>
              <w:top w:val="single" w:color="auto" w:sz="4" w:space="0"/>
              <w:left w:val="single" w:color="auto" w:sz="12" w:space="0"/>
              <w:right w:val="single" w:color="auto" w:sz="4" w:space="0"/>
            </w:tcBorders>
            <w:shd w:val="clear" w:color="auto" w:fill="auto"/>
            <w:vAlign w:val="center"/>
          </w:tcPr>
          <w:p w14:paraId="497D1802">
            <w:pPr>
              <w:autoSpaceDE w:val="0"/>
              <w:autoSpaceDN w:val="0"/>
              <w:adjustRightInd w:val="0"/>
              <w:snapToGrid w:val="0"/>
              <w:jc w:val="center"/>
              <w:rPr>
                <w:rFonts w:ascii="宋体"/>
                <w:sz w:val="18"/>
                <w:szCs w:val="18"/>
              </w:rPr>
            </w:pPr>
            <w:r>
              <w:rPr>
                <w:rFonts w:hint="eastAsia" w:ascii="宋体"/>
                <w:sz w:val="18"/>
                <w:szCs w:val="18"/>
              </w:rPr>
              <w:t>7</w:t>
            </w:r>
          </w:p>
        </w:tc>
        <w:tc>
          <w:tcPr>
            <w:tcW w:w="7747" w:type="dxa"/>
            <w:tcBorders>
              <w:top w:val="single" w:color="auto" w:sz="4" w:space="0"/>
              <w:left w:val="single" w:color="auto" w:sz="4" w:space="0"/>
              <w:right w:val="single" w:color="auto" w:sz="12" w:space="0"/>
            </w:tcBorders>
            <w:vAlign w:val="center"/>
          </w:tcPr>
          <w:p w14:paraId="5B18D243">
            <w:pPr>
              <w:tabs>
                <w:tab w:val="left" w:pos="4140"/>
              </w:tabs>
              <w:adjustRightInd w:val="0"/>
              <w:snapToGrid w:val="0"/>
              <w:jc w:val="left"/>
              <w:rPr>
                <w:rFonts w:ascii="宋体" w:cs="Arial"/>
                <w:sz w:val="18"/>
                <w:szCs w:val="18"/>
              </w:rPr>
            </w:pPr>
            <w:r>
              <w:rPr>
                <w:rFonts w:hint="eastAsia" w:ascii="宋体" w:cs="Arial"/>
                <w:sz w:val="18"/>
                <w:szCs w:val="18"/>
              </w:rPr>
              <w:t>同类项目的业绩（附件十六）</w:t>
            </w:r>
          </w:p>
        </w:tc>
      </w:tr>
      <w:tr w14:paraId="321B446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773" w:type="dxa"/>
            <w:tcBorders>
              <w:top w:val="single" w:color="auto" w:sz="4" w:space="0"/>
              <w:left w:val="single" w:color="auto" w:sz="12" w:space="0"/>
              <w:right w:val="single" w:color="auto" w:sz="4" w:space="0"/>
            </w:tcBorders>
            <w:shd w:val="clear" w:color="auto" w:fill="auto"/>
            <w:vAlign w:val="center"/>
          </w:tcPr>
          <w:p w14:paraId="284A28BC">
            <w:pPr>
              <w:autoSpaceDE w:val="0"/>
              <w:autoSpaceDN w:val="0"/>
              <w:adjustRightInd w:val="0"/>
              <w:snapToGrid w:val="0"/>
              <w:jc w:val="center"/>
              <w:rPr>
                <w:rFonts w:ascii="宋体"/>
                <w:sz w:val="18"/>
                <w:szCs w:val="18"/>
              </w:rPr>
            </w:pPr>
            <w:r>
              <w:rPr>
                <w:rFonts w:hint="eastAsia" w:ascii="宋体"/>
                <w:sz w:val="18"/>
                <w:szCs w:val="18"/>
              </w:rPr>
              <w:t>8</w:t>
            </w:r>
          </w:p>
        </w:tc>
        <w:tc>
          <w:tcPr>
            <w:tcW w:w="7747" w:type="dxa"/>
            <w:tcBorders>
              <w:top w:val="single" w:color="auto" w:sz="4" w:space="0"/>
              <w:left w:val="single" w:color="auto" w:sz="4" w:space="0"/>
              <w:right w:val="single" w:color="auto" w:sz="12" w:space="0"/>
            </w:tcBorders>
            <w:vAlign w:val="center"/>
          </w:tcPr>
          <w:p w14:paraId="748C2637">
            <w:pPr>
              <w:tabs>
                <w:tab w:val="left" w:pos="4140"/>
              </w:tabs>
              <w:adjustRightInd w:val="0"/>
              <w:snapToGrid w:val="0"/>
              <w:jc w:val="left"/>
              <w:rPr>
                <w:rFonts w:ascii="宋体" w:cs="Arial"/>
                <w:sz w:val="18"/>
                <w:szCs w:val="18"/>
              </w:rPr>
            </w:pPr>
            <w:r>
              <w:rPr>
                <w:rFonts w:hint="eastAsia" w:ascii="宋体" w:cs="Arial"/>
                <w:sz w:val="18"/>
                <w:szCs w:val="18"/>
              </w:rPr>
              <w:t>项目方案（根据评分细则逐条列出）</w:t>
            </w:r>
          </w:p>
        </w:tc>
      </w:tr>
      <w:tr w14:paraId="2D9E5FE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773" w:type="dxa"/>
            <w:tcBorders>
              <w:top w:val="single" w:color="auto" w:sz="4" w:space="0"/>
              <w:left w:val="single" w:color="auto" w:sz="12" w:space="0"/>
              <w:right w:val="single" w:color="auto" w:sz="4" w:space="0"/>
            </w:tcBorders>
            <w:shd w:val="clear" w:color="auto" w:fill="auto"/>
            <w:vAlign w:val="center"/>
          </w:tcPr>
          <w:p w14:paraId="14629F5F">
            <w:pPr>
              <w:autoSpaceDE w:val="0"/>
              <w:autoSpaceDN w:val="0"/>
              <w:adjustRightInd w:val="0"/>
              <w:snapToGrid w:val="0"/>
              <w:jc w:val="center"/>
              <w:rPr>
                <w:rFonts w:ascii="宋体"/>
                <w:sz w:val="18"/>
                <w:szCs w:val="18"/>
              </w:rPr>
            </w:pPr>
            <w:r>
              <w:rPr>
                <w:rFonts w:hint="eastAsia" w:ascii="宋体"/>
                <w:sz w:val="18"/>
                <w:szCs w:val="18"/>
              </w:rPr>
              <w:t>9</w:t>
            </w:r>
          </w:p>
        </w:tc>
        <w:tc>
          <w:tcPr>
            <w:tcW w:w="7747" w:type="dxa"/>
            <w:tcBorders>
              <w:top w:val="single" w:color="auto" w:sz="4" w:space="0"/>
              <w:left w:val="single" w:color="auto" w:sz="4" w:space="0"/>
              <w:right w:val="single" w:color="auto" w:sz="12" w:space="0"/>
            </w:tcBorders>
            <w:vAlign w:val="center"/>
          </w:tcPr>
          <w:p w14:paraId="6F6A2FA3">
            <w:pPr>
              <w:tabs>
                <w:tab w:val="left" w:pos="4140"/>
              </w:tabs>
              <w:adjustRightInd w:val="0"/>
              <w:snapToGrid w:val="0"/>
              <w:jc w:val="left"/>
              <w:rPr>
                <w:rFonts w:ascii="宋体" w:cs="Arial"/>
                <w:sz w:val="18"/>
                <w:szCs w:val="18"/>
              </w:rPr>
            </w:pPr>
            <w:r>
              <w:rPr>
                <w:rFonts w:hint="eastAsia" w:ascii="宋体" w:cs="Arial"/>
                <w:sz w:val="18"/>
                <w:szCs w:val="18"/>
              </w:rPr>
              <w:t>根据招标文件中的采购内容与技术要求、评标细则，需要提供的其它文件和资料。</w:t>
            </w:r>
          </w:p>
        </w:tc>
      </w:tr>
      <w:bookmarkEnd w:id="23"/>
      <w:bookmarkEnd w:id="24"/>
    </w:tbl>
    <w:p w14:paraId="1C1CA3B3">
      <w:pPr>
        <w:autoSpaceDE w:val="0"/>
        <w:autoSpaceDN w:val="0"/>
        <w:adjustRightInd w:val="0"/>
        <w:snapToGrid w:val="0"/>
        <w:spacing w:line="380" w:lineRule="exact"/>
        <w:ind w:firstLine="440" w:firstLineChars="200"/>
        <w:textAlignment w:val="bottom"/>
        <w:rPr>
          <w:rFonts w:ascii="宋体"/>
          <w:sz w:val="22"/>
        </w:rPr>
      </w:pPr>
      <w:r>
        <w:rPr>
          <w:rFonts w:hint="eastAsia" w:ascii="宋体"/>
          <w:sz w:val="22"/>
        </w:rPr>
        <w:t>3、磋商（响应）文件编制</w:t>
      </w:r>
    </w:p>
    <w:p w14:paraId="0F382C41">
      <w:pPr>
        <w:autoSpaceDE w:val="0"/>
        <w:autoSpaceDN w:val="0"/>
        <w:adjustRightInd w:val="0"/>
        <w:snapToGrid w:val="0"/>
        <w:spacing w:line="380" w:lineRule="exact"/>
        <w:ind w:firstLine="440" w:firstLineChars="200"/>
        <w:textAlignment w:val="bottom"/>
        <w:rPr>
          <w:rFonts w:ascii="宋体"/>
          <w:sz w:val="22"/>
        </w:rPr>
      </w:pPr>
      <w:r>
        <w:rPr>
          <w:rFonts w:hint="eastAsia" w:ascii="宋体"/>
          <w:sz w:val="22"/>
        </w:rPr>
        <w:t>3.1 本项目通过“乐云平台（https://www.lecaiyun.com/）”实行在线投标响应（电子投标）。供应商应通过“乐采云电子投标客户端”，并按照本磋商文件和“乐采云平台”的要求编制并加密磋商响应文件。</w:t>
      </w:r>
    </w:p>
    <w:p w14:paraId="5D2DA9E3">
      <w:pPr>
        <w:autoSpaceDE w:val="0"/>
        <w:autoSpaceDN w:val="0"/>
        <w:adjustRightInd w:val="0"/>
        <w:snapToGrid w:val="0"/>
        <w:spacing w:line="380" w:lineRule="exact"/>
        <w:ind w:firstLine="440" w:firstLineChars="200"/>
        <w:textAlignment w:val="bottom"/>
        <w:rPr>
          <w:rFonts w:ascii="宋体"/>
          <w:sz w:val="22"/>
        </w:rPr>
      </w:pPr>
      <w:r>
        <w:rPr>
          <w:rFonts w:hint="eastAsia" w:ascii="宋体"/>
          <w:sz w:val="22"/>
        </w:rPr>
        <w:t>3.2 投标供应商应当按照本章节“磋商（响应）文件组成”规定的内容及顺序在“乐采云电子投标客户端”编制磋商响应文件。</w:t>
      </w:r>
    </w:p>
    <w:p w14:paraId="227BA6BB">
      <w:pPr>
        <w:autoSpaceDE w:val="0"/>
        <w:autoSpaceDN w:val="0"/>
        <w:adjustRightInd w:val="0"/>
        <w:snapToGrid w:val="0"/>
        <w:spacing w:line="380" w:lineRule="exact"/>
        <w:ind w:firstLine="440" w:firstLineChars="200"/>
        <w:textAlignment w:val="bottom"/>
        <w:rPr>
          <w:rFonts w:ascii="宋体"/>
          <w:sz w:val="22"/>
        </w:rPr>
      </w:pPr>
      <w:r>
        <w:rPr>
          <w:rFonts w:hint="eastAsia" w:ascii="宋体"/>
          <w:sz w:val="22"/>
        </w:rPr>
        <w:t>3.3 本文件《第五部分 磋商响应文件格式》中有提供格式的，投标供应商参照格式进行编制（格式中要求提供相关证明材料的还需后附相关证明材料），并在指定位置根据要求进行签章，否则视为未提供；本文件《第五部分 磋商响应文件格式》未提供格式的，请各投标单位自行拟定格式。</w:t>
      </w:r>
    </w:p>
    <w:p w14:paraId="0C2B3267">
      <w:pPr>
        <w:autoSpaceDE w:val="0"/>
        <w:autoSpaceDN w:val="0"/>
        <w:adjustRightInd w:val="0"/>
        <w:snapToGrid w:val="0"/>
        <w:spacing w:line="380" w:lineRule="exact"/>
        <w:ind w:firstLine="440" w:firstLineChars="200"/>
        <w:textAlignment w:val="bottom"/>
        <w:rPr>
          <w:rFonts w:ascii="宋体"/>
          <w:sz w:val="22"/>
        </w:rPr>
      </w:pPr>
      <w:r>
        <w:rPr>
          <w:rFonts w:hint="eastAsia" w:ascii="宋体"/>
          <w:sz w:val="22"/>
        </w:rPr>
        <w:t>3.4《磋商响应文件》内容不完整、编排混乱导致《磋商响应文件》被误读、漏读或者查找不到相关内容的，相关责任由投标供应商自负。</w:t>
      </w:r>
    </w:p>
    <w:p w14:paraId="7EFEC10F">
      <w:pPr>
        <w:autoSpaceDE w:val="0"/>
        <w:autoSpaceDN w:val="0"/>
        <w:adjustRightInd w:val="0"/>
        <w:snapToGrid w:val="0"/>
        <w:spacing w:line="380" w:lineRule="exact"/>
        <w:ind w:firstLine="440" w:firstLineChars="200"/>
        <w:textAlignment w:val="bottom"/>
        <w:rPr>
          <w:rFonts w:ascii="宋体"/>
          <w:sz w:val="22"/>
        </w:rPr>
      </w:pPr>
      <w:r>
        <w:rPr>
          <w:rFonts w:hint="eastAsia" w:ascii="宋体"/>
          <w:sz w:val="22"/>
        </w:rPr>
        <w:t>3.5《磋商响应文件》因字迹潦草或表达不清所引起的后果由投标供应商负责。</w:t>
      </w:r>
    </w:p>
    <w:p w14:paraId="2C1C24E2">
      <w:pPr>
        <w:autoSpaceDE w:val="0"/>
        <w:autoSpaceDN w:val="0"/>
        <w:adjustRightInd w:val="0"/>
        <w:snapToGrid w:val="0"/>
        <w:spacing w:line="380" w:lineRule="exact"/>
        <w:ind w:firstLine="440" w:firstLineChars="200"/>
        <w:textAlignment w:val="bottom"/>
        <w:rPr>
          <w:rFonts w:ascii="宋体"/>
          <w:sz w:val="22"/>
        </w:rPr>
      </w:pPr>
      <w:r>
        <w:rPr>
          <w:rFonts w:hint="eastAsia" w:ascii="宋体"/>
          <w:sz w:val="22"/>
        </w:rPr>
        <w:t>3.6 投标供应商没有按照本章节“磋商响应文件组成”要求提供全部资料，或者没有仔细阅读磋商文件，或者没有对磋商文件在各方面的要求作出实质性响应，由此造成的一切后果由投标供应商自行承担。</w:t>
      </w:r>
    </w:p>
    <w:p w14:paraId="16FF0DE6">
      <w:pPr>
        <w:autoSpaceDE w:val="0"/>
        <w:autoSpaceDN w:val="0"/>
        <w:adjustRightInd w:val="0"/>
        <w:snapToGrid w:val="0"/>
        <w:spacing w:line="380" w:lineRule="exact"/>
        <w:ind w:firstLine="431" w:firstLineChars="196"/>
        <w:textAlignment w:val="bottom"/>
        <w:rPr>
          <w:rFonts w:ascii="宋体"/>
          <w:sz w:val="22"/>
          <w:szCs w:val="22"/>
        </w:rPr>
      </w:pPr>
      <w:bookmarkStart w:id="25" w:name="_Toc132122115"/>
      <w:bookmarkStart w:id="26" w:name="_Toc132122412"/>
      <w:bookmarkStart w:id="27" w:name="_Toc132122116"/>
      <w:bookmarkStart w:id="28" w:name="_Toc132122413"/>
      <w:r>
        <w:rPr>
          <w:rFonts w:ascii="宋体"/>
          <w:sz w:val="22"/>
          <w:szCs w:val="22"/>
        </w:rPr>
        <w:t>4.</w:t>
      </w:r>
      <w:r>
        <w:rPr>
          <w:rFonts w:hint="eastAsia" w:ascii="宋体"/>
          <w:sz w:val="22"/>
          <w:szCs w:val="22"/>
        </w:rPr>
        <w:t>投标报价</w:t>
      </w:r>
      <w:bookmarkEnd w:id="25"/>
      <w:bookmarkEnd w:id="26"/>
    </w:p>
    <w:bookmarkEnd w:id="27"/>
    <w:bookmarkEnd w:id="28"/>
    <w:p w14:paraId="39103498">
      <w:pPr>
        <w:pStyle w:val="39"/>
        <w:adjustRightInd w:val="0"/>
        <w:snapToGrid w:val="0"/>
        <w:spacing w:line="380" w:lineRule="exact"/>
        <w:ind w:firstLine="440" w:firstLineChars="200"/>
        <w:rPr>
          <w:rFonts w:cs="Arial"/>
          <w:sz w:val="22"/>
          <w:szCs w:val="22"/>
        </w:rPr>
      </w:pPr>
      <w:r>
        <w:rPr>
          <w:rFonts w:hint="eastAsia" w:cs="Arial"/>
          <w:sz w:val="22"/>
          <w:szCs w:val="22"/>
        </w:rPr>
        <w:t>4.1本项目投标报价是指成交供应商在正确地完全履行合同义务及完成竞争性磋商文件中所载明的所有货物及服务而产生的全部费用，实行固定费用总包干，供应商应根据上述因素自行考虑含入总报价。</w:t>
      </w:r>
    </w:p>
    <w:p w14:paraId="66A7FBF7">
      <w:pPr>
        <w:pStyle w:val="39"/>
        <w:adjustRightInd w:val="0"/>
        <w:snapToGrid w:val="0"/>
        <w:spacing w:line="380" w:lineRule="exact"/>
        <w:ind w:firstLine="440" w:firstLineChars="200"/>
        <w:rPr>
          <w:rFonts w:cs="Arial"/>
          <w:sz w:val="22"/>
          <w:szCs w:val="22"/>
        </w:rPr>
      </w:pPr>
      <w:r>
        <w:rPr>
          <w:rFonts w:hint="eastAsia" w:cs="Arial"/>
          <w:sz w:val="22"/>
          <w:szCs w:val="22"/>
        </w:rPr>
        <w:t>4.2 供应商须认真阅读、充分理解竞争性磋商文件，如有疑问可在询疑截止时间前送达（或传真）采购代理机构，采购代理机构将会统一解答。任何因对本项目竞争性磋商文件理解不清、产生歧义等由此产生的费用，视作以含在投标总价中。</w:t>
      </w:r>
    </w:p>
    <w:p w14:paraId="7A95E7D0">
      <w:pPr>
        <w:pStyle w:val="39"/>
        <w:adjustRightInd w:val="0"/>
        <w:snapToGrid w:val="0"/>
        <w:spacing w:line="380" w:lineRule="exact"/>
        <w:ind w:firstLine="440" w:firstLineChars="200"/>
        <w:rPr>
          <w:rFonts w:cs="Arial"/>
          <w:sz w:val="22"/>
          <w:szCs w:val="22"/>
        </w:rPr>
      </w:pPr>
      <w:r>
        <w:rPr>
          <w:rFonts w:hint="eastAsia" w:cs="Arial"/>
          <w:sz w:val="22"/>
          <w:szCs w:val="22"/>
        </w:rPr>
        <w:t>4.3 供应商必须按磋商（响应）文件格式中的开标一览表（统一格式）、分项报价表（统一格式）的内容填写单价、合价及其他事项，并由供应商代表签署。</w:t>
      </w:r>
    </w:p>
    <w:p w14:paraId="3972576F">
      <w:pPr>
        <w:pStyle w:val="39"/>
        <w:adjustRightInd w:val="0"/>
        <w:snapToGrid w:val="0"/>
        <w:spacing w:line="380" w:lineRule="exact"/>
        <w:ind w:firstLine="440" w:firstLineChars="200"/>
        <w:rPr>
          <w:rFonts w:cs="Arial"/>
          <w:sz w:val="22"/>
          <w:szCs w:val="22"/>
        </w:rPr>
      </w:pPr>
      <w:r>
        <w:rPr>
          <w:rFonts w:hint="eastAsia" w:cs="Arial"/>
          <w:sz w:val="22"/>
          <w:szCs w:val="22"/>
        </w:rPr>
        <w:t>4.4 所有投标报价均以人民币报价。</w:t>
      </w:r>
    </w:p>
    <w:p w14:paraId="68F3868A">
      <w:pPr>
        <w:pStyle w:val="39"/>
        <w:adjustRightInd w:val="0"/>
        <w:snapToGrid w:val="0"/>
        <w:spacing w:line="380" w:lineRule="exact"/>
        <w:ind w:firstLine="440" w:firstLineChars="200"/>
        <w:rPr>
          <w:rFonts w:cs="Arial"/>
          <w:sz w:val="22"/>
          <w:szCs w:val="22"/>
        </w:rPr>
      </w:pPr>
      <w:r>
        <w:rPr>
          <w:rFonts w:hint="eastAsia" w:cs="Arial"/>
          <w:sz w:val="22"/>
          <w:szCs w:val="22"/>
        </w:rPr>
        <w:t>4.5 采购人不接受任何选择报价，对每一项货物/服务只允许一个报价。</w:t>
      </w:r>
    </w:p>
    <w:p w14:paraId="3C1DDE79">
      <w:pPr>
        <w:pStyle w:val="39"/>
        <w:adjustRightInd w:val="0"/>
        <w:snapToGrid w:val="0"/>
        <w:spacing w:line="380" w:lineRule="exact"/>
        <w:ind w:firstLine="440" w:firstLineChars="200"/>
        <w:rPr>
          <w:rFonts w:cs="Arial"/>
          <w:sz w:val="22"/>
          <w:szCs w:val="22"/>
        </w:rPr>
      </w:pPr>
      <w:r>
        <w:rPr>
          <w:rFonts w:hint="eastAsia" w:cs="Arial"/>
          <w:sz w:val="22"/>
          <w:szCs w:val="22"/>
        </w:rPr>
        <w:t>4.6 供应商所报的投标总价在合同执行过程中是固定不变的，不得以任何理由予以变更。任何包含价格调整的要求，将被认为是非实质性响应投标而予以否决。</w:t>
      </w:r>
    </w:p>
    <w:p w14:paraId="29BBFD0D">
      <w:pPr>
        <w:pStyle w:val="39"/>
        <w:adjustRightInd w:val="0"/>
        <w:snapToGrid w:val="0"/>
        <w:spacing w:line="380" w:lineRule="exact"/>
        <w:ind w:firstLine="440" w:firstLineChars="200"/>
        <w:rPr>
          <w:rFonts w:cs="Arial"/>
          <w:sz w:val="22"/>
          <w:szCs w:val="22"/>
        </w:rPr>
      </w:pPr>
      <w:r>
        <w:rPr>
          <w:rFonts w:hint="eastAsia" w:cs="Arial"/>
          <w:sz w:val="22"/>
          <w:szCs w:val="22"/>
        </w:rPr>
        <w:t>4.7 报价是成交的一个重要因素，但最低报价不是成交的唯一依据。</w:t>
      </w:r>
    </w:p>
    <w:p w14:paraId="6E3310BB">
      <w:pPr>
        <w:pStyle w:val="39"/>
        <w:adjustRightInd w:val="0"/>
        <w:snapToGrid w:val="0"/>
        <w:spacing w:line="380" w:lineRule="exact"/>
        <w:ind w:firstLine="440" w:firstLineChars="200"/>
        <w:rPr>
          <w:rFonts w:cs="Arial"/>
          <w:sz w:val="22"/>
          <w:szCs w:val="22"/>
        </w:rPr>
      </w:pPr>
      <w:r>
        <w:rPr>
          <w:rFonts w:hint="eastAsia" w:cs="Arial"/>
          <w:sz w:val="22"/>
          <w:szCs w:val="22"/>
        </w:rPr>
        <w:t>5.▲如发生下列情况之一，将上报监管部门追究其相关责任：</w:t>
      </w:r>
    </w:p>
    <w:p w14:paraId="0538BDBE">
      <w:pPr>
        <w:pStyle w:val="39"/>
        <w:adjustRightInd w:val="0"/>
        <w:snapToGrid w:val="0"/>
        <w:spacing w:line="380" w:lineRule="exact"/>
        <w:ind w:firstLine="440" w:firstLineChars="200"/>
        <w:rPr>
          <w:rFonts w:cs="Arial"/>
          <w:sz w:val="22"/>
          <w:szCs w:val="22"/>
        </w:rPr>
      </w:pPr>
      <w:r>
        <w:rPr>
          <w:rFonts w:hint="eastAsia" w:cs="Arial"/>
          <w:sz w:val="22"/>
          <w:szCs w:val="22"/>
        </w:rPr>
        <w:t>①　供应商在竞争性磋商文件规定的磋商（响应）文件有效期内撤回投标；</w:t>
      </w:r>
    </w:p>
    <w:p w14:paraId="172A0C99">
      <w:pPr>
        <w:pStyle w:val="39"/>
        <w:adjustRightInd w:val="0"/>
        <w:snapToGrid w:val="0"/>
        <w:spacing w:line="380" w:lineRule="exact"/>
        <w:ind w:firstLine="440" w:firstLineChars="200"/>
        <w:rPr>
          <w:rFonts w:cs="Arial"/>
          <w:sz w:val="22"/>
          <w:szCs w:val="22"/>
        </w:rPr>
      </w:pPr>
      <w:r>
        <w:rPr>
          <w:rFonts w:hint="eastAsia" w:cs="Arial"/>
          <w:sz w:val="22"/>
          <w:szCs w:val="22"/>
        </w:rPr>
        <w:t>②　成交供应商未按成交通知书中规定的时间与采购人签订合同；</w:t>
      </w:r>
    </w:p>
    <w:p w14:paraId="7422C3B9">
      <w:pPr>
        <w:pStyle w:val="39"/>
        <w:adjustRightInd w:val="0"/>
        <w:snapToGrid w:val="0"/>
        <w:spacing w:line="380" w:lineRule="exact"/>
        <w:ind w:firstLine="440" w:firstLineChars="200"/>
        <w:rPr>
          <w:rFonts w:cs="Arial"/>
          <w:sz w:val="22"/>
          <w:szCs w:val="22"/>
        </w:rPr>
      </w:pPr>
      <w:r>
        <w:rPr>
          <w:rFonts w:hint="eastAsia" w:cs="Arial"/>
          <w:sz w:val="22"/>
          <w:szCs w:val="22"/>
        </w:rPr>
        <w:t>③　供应商在竞争性磋商文件中提供虚假技术指标及参数，或在开标时提供虚假承诺，经磋商小组确认属实的；</w:t>
      </w:r>
    </w:p>
    <w:p w14:paraId="6F7C9B1F">
      <w:pPr>
        <w:pStyle w:val="39"/>
        <w:adjustRightInd w:val="0"/>
        <w:snapToGrid w:val="0"/>
        <w:spacing w:line="380" w:lineRule="exact"/>
        <w:ind w:firstLine="440" w:firstLineChars="200"/>
        <w:rPr>
          <w:rFonts w:cs="Arial"/>
          <w:sz w:val="22"/>
          <w:szCs w:val="22"/>
        </w:rPr>
      </w:pPr>
      <w:r>
        <w:rPr>
          <w:rFonts w:hint="eastAsia" w:cs="Arial"/>
          <w:sz w:val="22"/>
          <w:szCs w:val="22"/>
        </w:rPr>
        <w:t>④　经采购监督管理部门审查认定供应商有违反《中华人民共和国政府采购法》等有关法律法规的行为。</w:t>
      </w:r>
    </w:p>
    <w:p w14:paraId="5D9F728C">
      <w:pPr>
        <w:pStyle w:val="39"/>
        <w:adjustRightInd w:val="0"/>
        <w:snapToGrid w:val="0"/>
        <w:spacing w:line="380" w:lineRule="exact"/>
        <w:ind w:firstLine="440" w:firstLineChars="200"/>
        <w:rPr>
          <w:rFonts w:cs="Arial"/>
          <w:sz w:val="22"/>
          <w:szCs w:val="22"/>
        </w:rPr>
      </w:pPr>
      <w:r>
        <w:rPr>
          <w:rFonts w:hint="eastAsia" w:cs="Arial"/>
          <w:sz w:val="22"/>
          <w:szCs w:val="22"/>
        </w:rPr>
        <w:t>6.磋商（响应）文件有效期</w:t>
      </w:r>
    </w:p>
    <w:p w14:paraId="6C9AB5C2">
      <w:pPr>
        <w:pStyle w:val="39"/>
        <w:adjustRightInd w:val="0"/>
        <w:snapToGrid w:val="0"/>
        <w:spacing w:line="380" w:lineRule="exact"/>
        <w:ind w:firstLine="440" w:firstLineChars="200"/>
        <w:rPr>
          <w:rFonts w:cs="Arial"/>
          <w:sz w:val="22"/>
          <w:szCs w:val="22"/>
        </w:rPr>
      </w:pPr>
      <w:r>
        <w:rPr>
          <w:rFonts w:hint="eastAsia" w:cs="Arial"/>
          <w:sz w:val="22"/>
          <w:szCs w:val="22"/>
        </w:rPr>
        <w:t>6.1 ▲自开标之日起90天内投标应保持有效。磋商（响应）文件有效期短于这个规定期限的投标将视为非响应性投标而予以拒绝。</w:t>
      </w:r>
    </w:p>
    <w:p w14:paraId="5D91CE7E">
      <w:pPr>
        <w:pStyle w:val="39"/>
        <w:adjustRightInd w:val="0"/>
        <w:snapToGrid w:val="0"/>
        <w:spacing w:line="380" w:lineRule="exact"/>
        <w:ind w:firstLine="440" w:firstLineChars="200"/>
        <w:rPr>
          <w:rFonts w:cs="Arial"/>
          <w:sz w:val="22"/>
          <w:szCs w:val="22"/>
        </w:rPr>
      </w:pPr>
      <w:r>
        <w:rPr>
          <w:rFonts w:hint="eastAsia" w:cs="Arial"/>
          <w:sz w:val="22"/>
          <w:szCs w:val="22"/>
        </w:rPr>
        <w:t>6.2 特殊情况下，在原磋商（响应）文件有效期截止前，采购人可与供应商协商延长磋商（响应）文件有效期，这种要求和答复均以书面形式进行。供应商可拒绝接受延期要求。同意延长磋商（响应）文件有效期的供应商不得修改磋商（响应）文件。</w:t>
      </w:r>
    </w:p>
    <w:p w14:paraId="72D070DA">
      <w:pPr>
        <w:pStyle w:val="39"/>
        <w:adjustRightInd w:val="0"/>
        <w:snapToGrid w:val="0"/>
        <w:spacing w:line="380" w:lineRule="exact"/>
        <w:ind w:firstLine="440" w:firstLineChars="200"/>
        <w:rPr>
          <w:rFonts w:cs="Arial"/>
          <w:sz w:val="22"/>
          <w:szCs w:val="22"/>
        </w:rPr>
      </w:pPr>
      <w:r>
        <w:rPr>
          <w:rFonts w:hint="eastAsia" w:cs="Arial"/>
          <w:sz w:val="22"/>
          <w:szCs w:val="22"/>
        </w:rPr>
        <w:t>7. 磋商（响应）文件的签署和规定</w:t>
      </w:r>
    </w:p>
    <w:p w14:paraId="00039325">
      <w:pPr>
        <w:pStyle w:val="39"/>
        <w:adjustRightInd w:val="0"/>
        <w:snapToGrid w:val="0"/>
        <w:spacing w:line="380" w:lineRule="exact"/>
        <w:ind w:firstLine="440" w:firstLineChars="200"/>
        <w:rPr>
          <w:rFonts w:cs="Arial"/>
          <w:sz w:val="22"/>
          <w:szCs w:val="22"/>
        </w:rPr>
      </w:pPr>
      <w:r>
        <w:rPr>
          <w:rFonts w:hint="eastAsia" w:cs="Arial"/>
          <w:sz w:val="22"/>
          <w:szCs w:val="22"/>
        </w:rPr>
        <w:t>7.1《磋商响应文件》的签章：见《第一部分 磋商邀请函（供应商须知前附表）》；</w:t>
      </w:r>
    </w:p>
    <w:p w14:paraId="01F0BE05">
      <w:pPr>
        <w:pStyle w:val="39"/>
        <w:adjustRightInd w:val="0"/>
        <w:snapToGrid w:val="0"/>
        <w:spacing w:line="380" w:lineRule="exact"/>
        <w:ind w:firstLine="440" w:firstLineChars="200"/>
        <w:rPr>
          <w:rFonts w:cs="Arial"/>
          <w:sz w:val="22"/>
          <w:szCs w:val="22"/>
        </w:rPr>
      </w:pPr>
      <w:r>
        <w:rPr>
          <w:rFonts w:hint="eastAsia" w:cs="Arial"/>
          <w:sz w:val="22"/>
          <w:szCs w:val="22"/>
        </w:rPr>
        <w:t>7.2《磋商响应文件》：根据磋商文件要求在磋商响应文件相应位置由投标供应商法定代表人或授权代表签字（或盖章），需要加盖投标供应商公章的采用CA电子签章。</w:t>
      </w:r>
    </w:p>
    <w:p w14:paraId="7DA909B9">
      <w:pPr>
        <w:spacing w:before="120" w:beforeLines="50" w:after="120" w:afterLines="50" w:line="400" w:lineRule="atLeast"/>
        <w:outlineLvl w:val="1"/>
        <w:rPr>
          <w:rFonts w:hint="eastAsia" w:ascii="宋体" w:hAnsi="宋体"/>
          <w:b/>
          <w:bCs/>
          <w:sz w:val="24"/>
          <w:lang w:val="zh-CN"/>
        </w:rPr>
      </w:pPr>
      <w:r>
        <w:rPr>
          <w:rFonts w:hint="eastAsia" w:ascii="宋体" w:hAnsi="宋体"/>
          <w:b/>
          <w:bCs/>
          <w:sz w:val="24"/>
          <w:lang w:val="zh-CN"/>
        </w:rPr>
        <w:t>四、</w:t>
      </w:r>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r>
        <w:rPr>
          <w:rFonts w:hint="eastAsia" w:ascii="宋体" w:hAnsi="宋体"/>
          <w:b/>
          <w:bCs/>
          <w:sz w:val="24"/>
          <w:lang w:val="zh-CN"/>
        </w:rPr>
        <w:t>磋商（响应）文件的递交</w:t>
      </w:r>
    </w:p>
    <w:p w14:paraId="4BCDCC16">
      <w:pPr>
        <w:pStyle w:val="39"/>
        <w:adjustRightInd w:val="0"/>
        <w:snapToGrid w:val="0"/>
        <w:spacing w:line="380" w:lineRule="exact"/>
        <w:ind w:firstLine="431" w:firstLineChars="196"/>
        <w:rPr>
          <w:rFonts w:hint="eastAsia" w:hAnsi="宋体"/>
          <w:sz w:val="22"/>
          <w:szCs w:val="22"/>
        </w:rPr>
      </w:pPr>
      <w:r>
        <w:rPr>
          <w:rFonts w:hint="eastAsia" w:hAnsi="宋体"/>
          <w:sz w:val="22"/>
          <w:szCs w:val="22"/>
        </w:rPr>
        <w:t>1.磋商（响应）文件的递交</w:t>
      </w:r>
    </w:p>
    <w:p w14:paraId="0C6DEEF9">
      <w:pPr>
        <w:pStyle w:val="39"/>
        <w:adjustRightInd w:val="0"/>
        <w:snapToGrid w:val="0"/>
        <w:spacing w:line="380" w:lineRule="exact"/>
        <w:ind w:firstLine="431" w:firstLineChars="196"/>
        <w:rPr>
          <w:rFonts w:hint="eastAsia" w:hAnsi="宋体"/>
          <w:sz w:val="22"/>
          <w:szCs w:val="22"/>
        </w:rPr>
      </w:pPr>
      <w:r>
        <w:rPr>
          <w:rFonts w:hint="eastAsia" w:hAnsi="宋体"/>
          <w:sz w:val="22"/>
          <w:szCs w:val="22"/>
        </w:rPr>
        <w:t>1.1供应商在</w:t>
      </w:r>
      <w:r>
        <w:rPr>
          <w:rFonts w:hint="eastAsia" w:hAnsi="宋体" w:cs="宋体"/>
          <w:b/>
          <w:sz w:val="22"/>
        </w:rPr>
        <w:t>响应文件开启</w:t>
      </w:r>
      <w:r>
        <w:rPr>
          <w:rFonts w:hint="eastAsia" w:hAnsi="宋体"/>
          <w:sz w:val="22"/>
          <w:szCs w:val="22"/>
        </w:rPr>
        <w:t>之前将生成的电子加密投标文件上传至乐采云平台，供应商未按要求提交的电子加密</w:t>
      </w:r>
      <w:r>
        <w:rPr>
          <w:rFonts w:hint="eastAsia" w:hAnsi="宋体" w:cs="宋体"/>
          <w:b/>
          <w:sz w:val="22"/>
        </w:rPr>
        <w:t>响应文件</w:t>
      </w:r>
      <w:r>
        <w:rPr>
          <w:rFonts w:hint="eastAsia" w:hAnsi="宋体"/>
          <w:sz w:val="22"/>
          <w:szCs w:val="22"/>
        </w:rPr>
        <w:t>，乐采云平台将予以拒收。</w:t>
      </w:r>
    </w:p>
    <w:p w14:paraId="5D543873">
      <w:pPr>
        <w:pStyle w:val="39"/>
        <w:adjustRightInd w:val="0"/>
        <w:snapToGrid w:val="0"/>
        <w:spacing w:line="380" w:lineRule="exact"/>
        <w:ind w:firstLine="431" w:firstLineChars="196"/>
        <w:rPr>
          <w:rFonts w:hint="eastAsia" w:hAnsi="宋体"/>
          <w:sz w:val="22"/>
          <w:szCs w:val="22"/>
        </w:rPr>
      </w:pPr>
      <w:r>
        <w:rPr>
          <w:rFonts w:hint="eastAsia" w:hAnsi="宋体"/>
          <w:sz w:val="22"/>
          <w:szCs w:val="22"/>
        </w:rPr>
        <w:t>1.2</w:t>
      </w:r>
      <w:r>
        <w:rPr>
          <w:rFonts w:hint="eastAsia" w:hAnsi="宋体" w:cs="宋体"/>
          <w:b/>
          <w:sz w:val="22"/>
        </w:rPr>
        <w:t>响应文件开启</w:t>
      </w:r>
      <w:r>
        <w:rPr>
          <w:rFonts w:hint="eastAsia" w:hAnsi="宋体"/>
          <w:sz w:val="22"/>
          <w:szCs w:val="22"/>
        </w:rPr>
        <w:t>时间后，投标供应商不得撤回、修改投标文件。</w:t>
      </w:r>
    </w:p>
    <w:p w14:paraId="11F73D65">
      <w:pPr>
        <w:pStyle w:val="39"/>
        <w:adjustRightInd w:val="0"/>
        <w:snapToGrid w:val="0"/>
        <w:spacing w:line="380" w:lineRule="exact"/>
        <w:ind w:firstLine="431" w:firstLineChars="196"/>
        <w:rPr>
          <w:rFonts w:hint="eastAsia" w:hAnsi="宋体"/>
          <w:sz w:val="22"/>
          <w:szCs w:val="22"/>
        </w:rPr>
      </w:pPr>
      <w:r>
        <w:rPr>
          <w:rFonts w:hint="eastAsia" w:hAnsi="宋体"/>
          <w:sz w:val="22"/>
          <w:szCs w:val="22"/>
        </w:rPr>
        <w:t>2.</w:t>
      </w:r>
      <w:r>
        <w:rPr>
          <w:rFonts w:hint="eastAsia" w:hAnsi="宋体" w:cs="宋体"/>
          <w:b/>
          <w:sz w:val="22"/>
        </w:rPr>
        <w:t>响应文件</w:t>
      </w:r>
      <w:r>
        <w:rPr>
          <w:rFonts w:hint="eastAsia" w:hAnsi="宋体"/>
          <w:sz w:val="22"/>
          <w:szCs w:val="22"/>
        </w:rPr>
        <w:t>的补充、修改与撤回</w:t>
      </w:r>
    </w:p>
    <w:p w14:paraId="1FF9BF38">
      <w:pPr>
        <w:pStyle w:val="39"/>
        <w:adjustRightInd w:val="0"/>
        <w:snapToGrid w:val="0"/>
        <w:spacing w:line="380" w:lineRule="exact"/>
        <w:ind w:firstLine="431" w:firstLineChars="196"/>
        <w:rPr>
          <w:rFonts w:hint="eastAsia" w:hAnsi="宋体"/>
          <w:sz w:val="22"/>
          <w:szCs w:val="22"/>
        </w:rPr>
      </w:pPr>
      <w:r>
        <w:rPr>
          <w:rFonts w:hint="eastAsia" w:hAnsi="宋体"/>
          <w:sz w:val="22"/>
          <w:szCs w:val="22"/>
        </w:rPr>
        <w:t>2.1供应商在</w:t>
      </w:r>
      <w:r>
        <w:rPr>
          <w:rFonts w:hint="eastAsia" w:hAnsi="宋体" w:cs="宋体"/>
          <w:b/>
          <w:sz w:val="22"/>
        </w:rPr>
        <w:t>响应文件开启</w:t>
      </w:r>
      <w:r>
        <w:rPr>
          <w:rFonts w:hint="eastAsia" w:hAnsi="宋体"/>
          <w:sz w:val="22"/>
          <w:szCs w:val="22"/>
        </w:rPr>
        <w:t>时间前可以补充、修改或者撤回电子加密</w:t>
      </w:r>
      <w:r>
        <w:rPr>
          <w:rFonts w:hint="eastAsia" w:hAnsi="宋体" w:cs="宋体"/>
          <w:b/>
          <w:sz w:val="22"/>
        </w:rPr>
        <w:t>响应文件</w:t>
      </w:r>
      <w:r>
        <w:rPr>
          <w:rFonts w:hint="eastAsia" w:hAnsi="宋体"/>
          <w:sz w:val="22"/>
          <w:szCs w:val="22"/>
        </w:rPr>
        <w:t>。补充或者修改电子加密</w:t>
      </w:r>
      <w:r>
        <w:rPr>
          <w:rFonts w:hint="eastAsia" w:hAnsi="宋体" w:cs="宋体"/>
          <w:b/>
          <w:sz w:val="22"/>
        </w:rPr>
        <w:t>响应文件</w:t>
      </w:r>
      <w:r>
        <w:rPr>
          <w:rFonts w:hint="eastAsia" w:hAnsi="宋体"/>
          <w:sz w:val="22"/>
          <w:szCs w:val="22"/>
        </w:rPr>
        <w:t>的，应当先行撤回原</w:t>
      </w:r>
      <w:r>
        <w:rPr>
          <w:rFonts w:hint="eastAsia" w:hAnsi="宋体" w:cs="宋体"/>
          <w:b/>
          <w:sz w:val="22"/>
        </w:rPr>
        <w:t>响应文件</w:t>
      </w:r>
      <w:r>
        <w:rPr>
          <w:rFonts w:hint="eastAsia" w:hAnsi="宋体"/>
          <w:sz w:val="22"/>
          <w:szCs w:val="22"/>
        </w:rPr>
        <w:t>，补充、修改后重新传输递交。投标截止时间前未完成传输的，视为撤回</w:t>
      </w:r>
      <w:r>
        <w:rPr>
          <w:rFonts w:hint="eastAsia" w:hAnsi="宋体" w:cs="宋体"/>
          <w:b/>
          <w:sz w:val="22"/>
        </w:rPr>
        <w:t>响应文件</w:t>
      </w:r>
      <w:r>
        <w:rPr>
          <w:rFonts w:hint="eastAsia" w:hAnsi="宋体"/>
          <w:sz w:val="22"/>
          <w:szCs w:val="22"/>
        </w:rPr>
        <w:t>。</w:t>
      </w:r>
      <w:r>
        <w:rPr>
          <w:rFonts w:hint="eastAsia" w:hAnsi="宋体" w:cs="宋体"/>
          <w:b/>
          <w:sz w:val="22"/>
        </w:rPr>
        <w:t>响应文件开启</w:t>
      </w:r>
      <w:r>
        <w:rPr>
          <w:rFonts w:hint="eastAsia" w:hAnsi="宋体"/>
          <w:sz w:val="22"/>
          <w:szCs w:val="22"/>
        </w:rPr>
        <w:t>时间后递交的投标文件，将被乐采云平台拒收。</w:t>
      </w:r>
    </w:p>
    <w:p w14:paraId="1F66B478">
      <w:pPr>
        <w:pStyle w:val="39"/>
        <w:adjustRightInd w:val="0"/>
        <w:snapToGrid w:val="0"/>
        <w:spacing w:line="380" w:lineRule="exact"/>
        <w:ind w:firstLine="431" w:firstLineChars="196"/>
        <w:rPr>
          <w:rFonts w:hint="eastAsia" w:hAnsi="宋体"/>
          <w:sz w:val="22"/>
          <w:szCs w:val="22"/>
        </w:rPr>
      </w:pPr>
      <w:r>
        <w:rPr>
          <w:rFonts w:hint="eastAsia" w:hAnsi="宋体"/>
          <w:sz w:val="22"/>
          <w:szCs w:val="22"/>
        </w:rPr>
        <w:t>3.</w:t>
      </w:r>
      <w:r>
        <w:rPr>
          <w:rFonts w:hint="eastAsia" w:hAnsi="宋体" w:cs="宋体"/>
          <w:b/>
          <w:sz w:val="22"/>
        </w:rPr>
        <w:t>响应文件开启</w:t>
      </w:r>
      <w:r>
        <w:rPr>
          <w:rFonts w:hint="eastAsia" w:hAnsi="宋体"/>
          <w:sz w:val="22"/>
          <w:szCs w:val="22"/>
        </w:rPr>
        <w:t>时间</w:t>
      </w:r>
    </w:p>
    <w:p w14:paraId="555CB68E">
      <w:pPr>
        <w:pStyle w:val="39"/>
        <w:adjustRightInd w:val="0"/>
        <w:snapToGrid w:val="0"/>
        <w:spacing w:line="380" w:lineRule="exact"/>
        <w:ind w:firstLine="431" w:firstLineChars="196"/>
        <w:rPr>
          <w:rFonts w:hint="eastAsia" w:hAnsi="宋体"/>
          <w:sz w:val="22"/>
          <w:szCs w:val="22"/>
        </w:rPr>
      </w:pPr>
      <w:r>
        <w:rPr>
          <w:rFonts w:hint="eastAsia" w:hAnsi="宋体"/>
          <w:sz w:val="22"/>
          <w:szCs w:val="22"/>
        </w:rPr>
        <w:t>3.1本次磋商的</w:t>
      </w:r>
      <w:r>
        <w:rPr>
          <w:rFonts w:hint="eastAsia" w:hAnsi="宋体" w:cs="宋体"/>
          <w:b/>
          <w:sz w:val="22"/>
        </w:rPr>
        <w:t>响应文件开启</w:t>
      </w:r>
      <w:r>
        <w:rPr>
          <w:rFonts w:hint="eastAsia" w:hAnsi="宋体"/>
          <w:sz w:val="22"/>
          <w:szCs w:val="22"/>
        </w:rPr>
        <w:t>时间及</w:t>
      </w:r>
      <w:r>
        <w:rPr>
          <w:rFonts w:hint="eastAsia" w:hAnsi="宋体" w:cs="宋体"/>
          <w:b/>
          <w:sz w:val="22"/>
        </w:rPr>
        <w:t>响应文件开启</w:t>
      </w:r>
      <w:r>
        <w:rPr>
          <w:rFonts w:hint="eastAsia" w:hAnsi="宋体"/>
          <w:sz w:val="22"/>
          <w:szCs w:val="22"/>
        </w:rPr>
        <w:t>提交截止时间：见本竞争性磋商文件“竞争性磋商公告”。采购代理机构收到</w:t>
      </w:r>
      <w:r>
        <w:rPr>
          <w:rFonts w:hint="eastAsia" w:hAnsi="宋体" w:cs="宋体"/>
          <w:b/>
          <w:sz w:val="22"/>
        </w:rPr>
        <w:t>响应文件</w:t>
      </w:r>
      <w:r>
        <w:rPr>
          <w:rFonts w:hint="eastAsia" w:hAnsi="宋体"/>
          <w:sz w:val="22"/>
          <w:szCs w:val="22"/>
        </w:rPr>
        <w:t>的时间不得迟于规定的截止时间。</w:t>
      </w:r>
    </w:p>
    <w:p w14:paraId="0CEEEB93">
      <w:pPr>
        <w:pStyle w:val="39"/>
        <w:adjustRightInd w:val="0"/>
        <w:snapToGrid w:val="0"/>
        <w:spacing w:line="380" w:lineRule="exact"/>
        <w:ind w:firstLine="431" w:firstLineChars="196"/>
        <w:rPr>
          <w:rFonts w:hint="eastAsia" w:hAnsi="宋体"/>
          <w:sz w:val="22"/>
          <w:szCs w:val="22"/>
        </w:rPr>
      </w:pPr>
      <w:r>
        <w:rPr>
          <w:rFonts w:hint="eastAsia" w:hAnsi="宋体"/>
          <w:sz w:val="22"/>
          <w:szCs w:val="22"/>
        </w:rPr>
        <w:t>在推迟了</w:t>
      </w:r>
      <w:r>
        <w:rPr>
          <w:rFonts w:hint="eastAsia" w:hAnsi="宋体" w:cs="宋体"/>
          <w:b/>
          <w:sz w:val="22"/>
        </w:rPr>
        <w:t>响应文件提交</w:t>
      </w:r>
      <w:r>
        <w:rPr>
          <w:rFonts w:hint="eastAsia" w:hAnsi="宋体"/>
          <w:sz w:val="22"/>
          <w:szCs w:val="22"/>
        </w:rPr>
        <w:t>截止时间的情况下，招标机构和投标供应商受</w:t>
      </w:r>
      <w:r>
        <w:rPr>
          <w:rFonts w:hint="eastAsia" w:hAnsi="宋体" w:cs="宋体"/>
          <w:b/>
          <w:sz w:val="22"/>
        </w:rPr>
        <w:t>响应文件提交</w:t>
      </w:r>
      <w:r>
        <w:rPr>
          <w:rFonts w:hint="eastAsia" w:hAnsi="宋体"/>
          <w:sz w:val="22"/>
          <w:szCs w:val="22"/>
        </w:rPr>
        <w:t>截止时间制约的所有权利和义务均应延长至新的截止时间。</w:t>
      </w:r>
    </w:p>
    <w:p w14:paraId="17331F14">
      <w:pPr>
        <w:spacing w:before="120" w:beforeLines="50" w:after="120" w:afterLines="50" w:line="400" w:lineRule="atLeast"/>
        <w:outlineLvl w:val="1"/>
        <w:rPr>
          <w:rFonts w:hint="eastAsia" w:ascii="宋体" w:hAnsi="宋体"/>
          <w:b/>
          <w:bCs/>
          <w:sz w:val="24"/>
          <w:lang w:val="zh-CN"/>
        </w:rPr>
      </w:pPr>
      <w:r>
        <w:rPr>
          <w:rFonts w:hint="eastAsia" w:ascii="宋体" w:hAnsi="宋体"/>
          <w:b/>
          <w:bCs/>
          <w:sz w:val="24"/>
          <w:lang w:val="zh-CN"/>
        </w:rPr>
        <w:t>五、磋商</w:t>
      </w:r>
    </w:p>
    <w:p w14:paraId="1F8551F8">
      <w:pPr>
        <w:pStyle w:val="39"/>
        <w:adjustRightInd w:val="0"/>
        <w:snapToGrid w:val="0"/>
        <w:spacing w:line="380" w:lineRule="exact"/>
        <w:ind w:firstLine="433" w:firstLineChars="197"/>
        <w:rPr>
          <w:rFonts w:hint="eastAsia" w:hAnsi="宋体"/>
          <w:sz w:val="22"/>
          <w:szCs w:val="22"/>
        </w:rPr>
      </w:pPr>
      <w:r>
        <w:rPr>
          <w:rFonts w:hint="eastAsia" w:hAnsi="宋体"/>
          <w:sz w:val="22"/>
          <w:szCs w:val="22"/>
        </w:rPr>
        <w:t>1.磋商小组</w:t>
      </w:r>
    </w:p>
    <w:p w14:paraId="5935A772">
      <w:pPr>
        <w:pStyle w:val="39"/>
        <w:adjustRightInd w:val="0"/>
        <w:snapToGrid w:val="0"/>
        <w:spacing w:line="380" w:lineRule="exact"/>
        <w:ind w:firstLine="433" w:firstLineChars="197"/>
        <w:rPr>
          <w:rFonts w:hint="eastAsia" w:hAnsi="宋体"/>
          <w:sz w:val="22"/>
          <w:szCs w:val="22"/>
        </w:rPr>
      </w:pPr>
      <w:r>
        <w:rPr>
          <w:rFonts w:hint="eastAsia" w:hAnsi="宋体"/>
          <w:sz w:val="22"/>
          <w:szCs w:val="22"/>
        </w:rPr>
        <w:t>1.1 代理机构依法组建磋商小组，磋商小组的成员在磋商过程中必须严格遵守相关法律、法规的规定。不得泄露评审情况和评审中获悉的商业秘密。</w:t>
      </w:r>
    </w:p>
    <w:p w14:paraId="4862DACB">
      <w:pPr>
        <w:pStyle w:val="39"/>
        <w:adjustRightInd w:val="0"/>
        <w:snapToGrid w:val="0"/>
        <w:spacing w:line="380" w:lineRule="exact"/>
        <w:ind w:firstLine="433" w:firstLineChars="197"/>
        <w:rPr>
          <w:rFonts w:hint="eastAsia" w:hAnsi="宋体"/>
          <w:sz w:val="22"/>
          <w:szCs w:val="22"/>
        </w:rPr>
      </w:pPr>
      <w:r>
        <w:rPr>
          <w:rFonts w:hint="eastAsia" w:hAnsi="宋体"/>
          <w:sz w:val="22"/>
          <w:szCs w:val="22"/>
        </w:rPr>
        <w:t>1.2 磋商小组成员由采购人代表和有关技术、经济等方面的专家组成，人数为3人及以上。</w:t>
      </w:r>
    </w:p>
    <w:p w14:paraId="39EDD7EA">
      <w:pPr>
        <w:pStyle w:val="39"/>
        <w:adjustRightInd w:val="0"/>
        <w:snapToGrid w:val="0"/>
        <w:spacing w:line="380" w:lineRule="exact"/>
        <w:ind w:firstLine="433" w:firstLineChars="197"/>
        <w:rPr>
          <w:rFonts w:hint="eastAsia" w:hAnsi="宋体"/>
          <w:sz w:val="22"/>
          <w:szCs w:val="22"/>
        </w:rPr>
      </w:pPr>
      <w:r>
        <w:rPr>
          <w:rFonts w:hint="eastAsia" w:hAnsi="宋体"/>
          <w:sz w:val="22"/>
          <w:szCs w:val="22"/>
        </w:rPr>
        <w:t>2.磋商评审过程的保密性</w:t>
      </w:r>
    </w:p>
    <w:p w14:paraId="030B9496">
      <w:pPr>
        <w:pStyle w:val="39"/>
        <w:adjustRightInd w:val="0"/>
        <w:snapToGrid w:val="0"/>
        <w:spacing w:line="380" w:lineRule="exact"/>
        <w:ind w:firstLine="433" w:firstLineChars="197"/>
        <w:rPr>
          <w:rFonts w:hint="eastAsia" w:hAnsi="宋体"/>
          <w:sz w:val="22"/>
          <w:szCs w:val="22"/>
        </w:rPr>
      </w:pPr>
      <w:r>
        <w:rPr>
          <w:rFonts w:hint="eastAsia" w:hAnsi="宋体"/>
          <w:sz w:val="22"/>
          <w:szCs w:val="22"/>
        </w:rPr>
        <w:t>开标后直至向成交供应商授予合同时止，凡与磋商评审有关的资料均不得向供应商及与磋商评审无关人员透露。如果供应商在磋商评审过程中试图向采购人和采购代理机构施加影响，其磋商（响应）文件将被否决。</w:t>
      </w:r>
    </w:p>
    <w:p w14:paraId="1912D1B1">
      <w:pPr>
        <w:pStyle w:val="39"/>
        <w:adjustRightInd w:val="0"/>
        <w:snapToGrid w:val="0"/>
        <w:spacing w:line="380" w:lineRule="exact"/>
        <w:ind w:firstLine="433" w:firstLineChars="197"/>
        <w:rPr>
          <w:rFonts w:hint="eastAsia" w:hAnsi="宋体"/>
          <w:sz w:val="22"/>
          <w:szCs w:val="22"/>
        </w:rPr>
      </w:pPr>
      <w:r>
        <w:rPr>
          <w:rFonts w:hint="eastAsia" w:hAnsi="宋体"/>
          <w:sz w:val="22"/>
          <w:szCs w:val="22"/>
        </w:rPr>
        <w:t>3.磋商和评审</w:t>
      </w:r>
    </w:p>
    <w:p w14:paraId="6CCAA49C">
      <w:pPr>
        <w:pStyle w:val="39"/>
        <w:adjustRightInd w:val="0"/>
        <w:snapToGrid w:val="0"/>
        <w:spacing w:line="380" w:lineRule="exact"/>
        <w:ind w:firstLine="433" w:firstLineChars="197"/>
        <w:rPr>
          <w:rFonts w:hint="eastAsia" w:hAnsi="宋体"/>
          <w:sz w:val="22"/>
          <w:szCs w:val="22"/>
        </w:rPr>
      </w:pPr>
      <w:r>
        <w:rPr>
          <w:rFonts w:hint="eastAsia" w:hAnsi="宋体"/>
          <w:sz w:val="22"/>
          <w:szCs w:val="22"/>
        </w:rPr>
        <w:t>3.1 采购代理机构按磋商文件规定的时间、地点通过“乐采云平台”组织开标、开启磋商响应文件，所有供应商均应当准时在线参加。磋商供应商不足3家的，不得开标。开标后，采购代理机构将在“乐采云平台”向各投标供应商发出“电子加密投标文件”的解密通知，各投标供应商代表应当在接到解密通知后30分钟内自行完成“电子加密投标文件”的在线解密。投标供应商因未在线参加开标而导致磋商响应文件无法按时解密等一切后果由供应商自己承担。</w:t>
      </w:r>
    </w:p>
    <w:p w14:paraId="0D754C2F">
      <w:pPr>
        <w:pStyle w:val="39"/>
        <w:adjustRightInd w:val="0"/>
        <w:snapToGrid w:val="0"/>
        <w:spacing w:line="380" w:lineRule="exact"/>
        <w:ind w:firstLine="433" w:firstLineChars="197"/>
        <w:rPr>
          <w:rFonts w:hint="eastAsia" w:hAnsi="宋体"/>
          <w:sz w:val="22"/>
          <w:szCs w:val="22"/>
        </w:rPr>
      </w:pPr>
      <w:r>
        <w:rPr>
          <w:rFonts w:hint="eastAsia" w:hAnsi="宋体"/>
          <w:sz w:val="22"/>
          <w:szCs w:val="22"/>
        </w:rPr>
        <w:t>3.2 磋商小组根据磋商文件的规定，对磋商（响应）文件的有效性、完整性和对磋商文件的响应程度进行审查，以确定其是否对磋商文件作出了实质性响应。实质上没有响应磋商文件要求的磋商（响应）文件将被否决。</w:t>
      </w:r>
    </w:p>
    <w:p w14:paraId="19662C8A">
      <w:pPr>
        <w:pStyle w:val="39"/>
        <w:adjustRightInd w:val="0"/>
        <w:snapToGrid w:val="0"/>
        <w:spacing w:line="380" w:lineRule="exact"/>
        <w:ind w:firstLine="433" w:firstLineChars="197"/>
        <w:rPr>
          <w:rFonts w:hint="eastAsia" w:hAnsi="宋体"/>
          <w:sz w:val="22"/>
          <w:szCs w:val="22"/>
        </w:rPr>
      </w:pPr>
      <w:r>
        <w:rPr>
          <w:rFonts w:hint="eastAsia" w:hAnsi="宋体"/>
          <w:sz w:val="22"/>
          <w:szCs w:val="22"/>
        </w:rPr>
        <w:t>3.3 磋商小组对磋商（响应）文件的资格性和符合性进行检查时，可以要求供应商对磋商（响应）文件中含义不明确、同类问题表述不一致或者有明显文字和计算错误的内容进行澄清、说明或补正。需要供应商对其投标文件作出澄清、说明、补正的，代理机构将统一由“乐采云平台”发出通知，各供应商在30分钟内通过“乐采云平台”作出澄清、说明、补正，并不得超出投标文件的范围或者改变磋商（响应）文件的实质性内容。。</w:t>
      </w:r>
    </w:p>
    <w:p w14:paraId="41B38A89">
      <w:pPr>
        <w:pStyle w:val="39"/>
        <w:adjustRightInd w:val="0"/>
        <w:snapToGrid w:val="0"/>
        <w:spacing w:line="380" w:lineRule="exact"/>
        <w:ind w:firstLine="433" w:firstLineChars="197"/>
        <w:rPr>
          <w:rFonts w:hint="eastAsia" w:hAnsi="宋体"/>
          <w:sz w:val="22"/>
          <w:szCs w:val="22"/>
        </w:rPr>
      </w:pPr>
      <w:r>
        <w:rPr>
          <w:rFonts w:hint="eastAsia" w:hAnsi="宋体"/>
          <w:sz w:val="22"/>
          <w:szCs w:val="22"/>
        </w:rPr>
        <w:t>3.4 ▲经澄清后，若偏差仍存在，且不可接受，磋商供应商则被认为是“没有实质性响应竞争性磋商文件要求”，其磋商不进入下一步评审。</w:t>
      </w:r>
    </w:p>
    <w:p w14:paraId="741F7BA0">
      <w:pPr>
        <w:pStyle w:val="39"/>
        <w:adjustRightInd w:val="0"/>
        <w:snapToGrid w:val="0"/>
        <w:spacing w:line="380" w:lineRule="exact"/>
        <w:ind w:firstLine="433" w:firstLineChars="197"/>
        <w:rPr>
          <w:rFonts w:hint="eastAsia" w:hAnsi="宋体"/>
          <w:sz w:val="22"/>
          <w:szCs w:val="22"/>
        </w:rPr>
      </w:pPr>
      <w:r>
        <w:rPr>
          <w:rFonts w:hint="eastAsia" w:hAnsi="宋体"/>
          <w:sz w:val="22"/>
          <w:szCs w:val="22"/>
        </w:rPr>
        <w:t>3.5 磋商小组所有成员将遵循“公开、公平、公正”的原则，采用相同的程序和标准，所有成员按顺序与单一供应商分别进行单独封闭式磋商。磋商内容包括服务价格、服务质量水平和保障措施、服务期限、服务方案、履约能力、项目实施计划、付款方式等方面进行磋商和综合分析考评，以确定是否满足采购要求。在磋商过程中，磋商的任何一方都不得透露与磋商有关的其他供应商的技术资料、价格和其他信息。磋商供应商在磋商过程中所作出的各种承诺都必须用书面形式，并由磋商供应商代表签字。磋商轮次最多不超过3轮。</w:t>
      </w:r>
    </w:p>
    <w:p w14:paraId="3E144F2D">
      <w:pPr>
        <w:pStyle w:val="39"/>
        <w:adjustRightInd w:val="0"/>
        <w:snapToGrid w:val="0"/>
        <w:spacing w:line="380" w:lineRule="exact"/>
        <w:ind w:firstLine="433" w:firstLineChars="197"/>
        <w:rPr>
          <w:rFonts w:hint="eastAsia" w:hAnsi="宋体"/>
          <w:sz w:val="22"/>
          <w:szCs w:val="22"/>
        </w:rPr>
      </w:pPr>
      <w:r>
        <w:rPr>
          <w:rFonts w:hint="eastAsia" w:hAnsi="宋体"/>
          <w:sz w:val="22"/>
          <w:szCs w:val="22"/>
        </w:rPr>
        <w:t>3.6 在磋商过程中，磋商小组可以根据磋商文件和磋商情况实质性变动采购需求中的技术、服务要求以及合同草案条款，但不得变动磋商文件中的其他内容。实质性变动的内容，须经采购人代表确认。对磋商文件作出的实质性变动是磋商文件的有效组成部分，磋商小组应当及时以书面形式同时通知所有参加磋商的供应商。供应商应当按照磋商文件的变动情况和磋商小组的要求重新提交响应文件，并由其供应商代表签字或者加盖公章。由授权代表签字的，应当附法定代表人授权书。供应商为自然人的，应当由本人签字并附身份证明。</w:t>
      </w:r>
    </w:p>
    <w:p w14:paraId="4367A010">
      <w:pPr>
        <w:pStyle w:val="39"/>
        <w:adjustRightInd w:val="0"/>
        <w:snapToGrid w:val="0"/>
        <w:spacing w:line="380" w:lineRule="exact"/>
        <w:ind w:firstLine="433" w:firstLineChars="197"/>
        <w:rPr>
          <w:rFonts w:hint="eastAsia" w:hAnsi="宋体"/>
          <w:sz w:val="22"/>
          <w:szCs w:val="22"/>
        </w:rPr>
      </w:pPr>
      <w:r>
        <w:rPr>
          <w:rFonts w:hint="eastAsia" w:hAnsi="宋体"/>
          <w:sz w:val="22"/>
          <w:szCs w:val="22"/>
        </w:rPr>
        <w:t>3.7 在磋商过程中，磋商供应商不得向磋商小组成员询问磋商情况，不得进行旨在影响磋商结果的活动，否则将取消其磋商资格。</w:t>
      </w:r>
    </w:p>
    <w:p w14:paraId="3E7622BD">
      <w:pPr>
        <w:pStyle w:val="39"/>
        <w:adjustRightInd w:val="0"/>
        <w:snapToGrid w:val="0"/>
        <w:spacing w:line="380" w:lineRule="exact"/>
        <w:ind w:firstLine="433" w:firstLineChars="197"/>
        <w:rPr>
          <w:rFonts w:hint="eastAsia" w:hAnsi="宋体"/>
          <w:sz w:val="22"/>
          <w:szCs w:val="22"/>
        </w:rPr>
      </w:pPr>
      <w:r>
        <w:rPr>
          <w:rFonts w:hint="eastAsia" w:hAnsi="宋体"/>
          <w:sz w:val="22"/>
          <w:szCs w:val="22"/>
        </w:rPr>
        <w:t>3.8 在磋商过程中，磋商小组成员不得与磋商供应商私下交换意见，在竞争性磋商结束后，凡与磋商情况有接触的人不得将磋商情况扩散出磋商小组成员外。</w:t>
      </w:r>
    </w:p>
    <w:p w14:paraId="2E6C78FD">
      <w:pPr>
        <w:pStyle w:val="39"/>
        <w:adjustRightInd w:val="0"/>
        <w:snapToGrid w:val="0"/>
        <w:spacing w:line="380" w:lineRule="exact"/>
        <w:ind w:firstLine="433" w:firstLineChars="197"/>
        <w:rPr>
          <w:rFonts w:hint="eastAsia" w:hAnsi="宋体"/>
          <w:sz w:val="22"/>
          <w:szCs w:val="22"/>
        </w:rPr>
      </w:pPr>
      <w:r>
        <w:rPr>
          <w:rFonts w:hint="eastAsia" w:hAnsi="宋体"/>
          <w:sz w:val="22"/>
          <w:szCs w:val="22"/>
        </w:rPr>
        <w:t>3.9 磋商结束后，磋商小组将要求磋商供应商在规定的时间内，以密封书面形式统一进行最后报价，最后报价不得高于一次报价（磋商小组另有决议的除外）。</w:t>
      </w:r>
    </w:p>
    <w:p w14:paraId="3F93A2CB">
      <w:pPr>
        <w:pStyle w:val="39"/>
        <w:adjustRightInd w:val="0"/>
        <w:snapToGrid w:val="0"/>
        <w:spacing w:line="380" w:lineRule="exact"/>
        <w:ind w:firstLine="433" w:firstLineChars="197"/>
        <w:rPr>
          <w:rFonts w:hint="eastAsia" w:hAnsi="宋体"/>
          <w:sz w:val="22"/>
          <w:szCs w:val="22"/>
        </w:rPr>
      </w:pPr>
      <w:r>
        <w:rPr>
          <w:rFonts w:hint="eastAsia" w:hAnsi="宋体"/>
          <w:sz w:val="22"/>
          <w:szCs w:val="22"/>
        </w:rPr>
        <w:t>3.10▲磋商小组认为供应商的报价明显低于其他通过符合性审查供应商的报价，有可能影响产品质量或者不能诚信履约的，将要求其在合理时间内做出澄清并提供书面说明，必要时提交相关证明材料；供应商不能证明其报价合理性的，磋商小组应当将其作为无效投标处理。</w:t>
      </w:r>
    </w:p>
    <w:p w14:paraId="28D88986">
      <w:pPr>
        <w:pStyle w:val="39"/>
        <w:adjustRightInd w:val="0"/>
        <w:snapToGrid w:val="0"/>
        <w:spacing w:line="380" w:lineRule="exact"/>
        <w:ind w:firstLine="433" w:firstLineChars="197"/>
        <w:rPr>
          <w:rFonts w:hint="eastAsia" w:hAnsi="宋体"/>
          <w:sz w:val="22"/>
          <w:szCs w:val="22"/>
        </w:rPr>
      </w:pPr>
      <w:r>
        <w:rPr>
          <w:rFonts w:hint="eastAsia" w:hAnsi="宋体"/>
          <w:sz w:val="22"/>
          <w:szCs w:val="22"/>
        </w:rPr>
        <w:t>4.宣布最终报价</w:t>
      </w:r>
    </w:p>
    <w:p w14:paraId="5FC90011">
      <w:pPr>
        <w:pStyle w:val="39"/>
        <w:adjustRightInd w:val="0"/>
        <w:snapToGrid w:val="0"/>
        <w:spacing w:line="380" w:lineRule="exact"/>
        <w:ind w:firstLine="433" w:firstLineChars="197"/>
        <w:rPr>
          <w:rFonts w:hint="eastAsia" w:hAnsi="宋体"/>
          <w:sz w:val="22"/>
          <w:szCs w:val="22"/>
        </w:rPr>
      </w:pPr>
      <w:r>
        <w:rPr>
          <w:rFonts w:hint="eastAsia" w:hAnsi="宋体"/>
          <w:sz w:val="22"/>
          <w:szCs w:val="22"/>
        </w:rPr>
        <w:t>宣布最终报价时邀请所有磋商供应商代表参加，参加的代表应准时出席并签名报到以证明其出席。磋商供应商代表未参加磋商会的，事后不得对磋商结果提出异议。磋商供应商代表应对最终报价的内容及记录结果当场进行校核和签字确认，如有异议应当场提出，否则视为默许同意。</w:t>
      </w:r>
    </w:p>
    <w:p w14:paraId="00E4D0AE">
      <w:pPr>
        <w:pStyle w:val="39"/>
        <w:adjustRightInd w:val="0"/>
        <w:snapToGrid w:val="0"/>
        <w:spacing w:line="380" w:lineRule="exact"/>
        <w:ind w:firstLine="433" w:firstLineChars="197"/>
        <w:rPr>
          <w:rFonts w:hint="eastAsia" w:hAnsi="宋体"/>
          <w:sz w:val="22"/>
          <w:szCs w:val="22"/>
        </w:rPr>
      </w:pPr>
      <w:r>
        <w:rPr>
          <w:rFonts w:hint="eastAsia" w:hAnsi="宋体"/>
          <w:sz w:val="22"/>
          <w:szCs w:val="22"/>
        </w:rPr>
        <w:t>5.▲ 在磋商（响应）文件的评审过程中，有下列情况之一的，经磋商小组认定后按无效标处理：</w:t>
      </w:r>
    </w:p>
    <w:p w14:paraId="739B8E50">
      <w:pPr>
        <w:pStyle w:val="39"/>
        <w:adjustRightInd w:val="0"/>
        <w:snapToGrid w:val="0"/>
        <w:spacing w:line="380" w:lineRule="exact"/>
        <w:ind w:firstLine="433" w:firstLineChars="197"/>
        <w:rPr>
          <w:rFonts w:hint="eastAsia" w:hAnsi="宋体"/>
          <w:sz w:val="22"/>
          <w:szCs w:val="22"/>
        </w:rPr>
      </w:pPr>
      <w:r>
        <w:rPr>
          <w:rFonts w:hint="eastAsia" w:hAnsi="宋体"/>
          <w:sz w:val="22"/>
          <w:szCs w:val="22"/>
        </w:rPr>
        <w:t>（1） 电子加密投标文件解密失败的；</w:t>
      </w:r>
    </w:p>
    <w:p w14:paraId="7AECB3CB">
      <w:pPr>
        <w:pStyle w:val="39"/>
        <w:adjustRightInd w:val="0"/>
        <w:snapToGrid w:val="0"/>
        <w:spacing w:line="380" w:lineRule="exact"/>
        <w:ind w:firstLine="433" w:firstLineChars="197"/>
        <w:rPr>
          <w:rFonts w:hint="eastAsia" w:hAnsi="宋体"/>
          <w:sz w:val="22"/>
          <w:szCs w:val="22"/>
        </w:rPr>
      </w:pPr>
      <w:r>
        <w:rPr>
          <w:rFonts w:hint="eastAsia" w:hAnsi="宋体"/>
          <w:sz w:val="22"/>
          <w:szCs w:val="22"/>
        </w:rPr>
        <w:t>（2） 投标报价不是唯一的；</w:t>
      </w:r>
    </w:p>
    <w:p w14:paraId="53B5DF59">
      <w:pPr>
        <w:pStyle w:val="39"/>
        <w:adjustRightInd w:val="0"/>
        <w:snapToGrid w:val="0"/>
        <w:spacing w:line="380" w:lineRule="exact"/>
        <w:ind w:firstLine="433" w:firstLineChars="197"/>
        <w:rPr>
          <w:rFonts w:hint="eastAsia" w:hAnsi="宋体"/>
          <w:sz w:val="22"/>
          <w:szCs w:val="22"/>
        </w:rPr>
      </w:pPr>
      <w:r>
        <w:rPr>
          <w:rFonts w:hint="eastAsia" w:hAnsi="宋体"/>
          <w:sz w:val="22"/>
          <w:szCs w:val="22"/>
        </w:rPr>
        <w:t>（3） 投标报价超过任一综合单价限价的；</w:t>
      </w:r>
    </w:p>
    <w:p w14:paraId="625ED9C4">
      <w:pPr>
        <w:pStyle w:val="39"/>
        <w:adjustRightInd w:val="0"/>
        <w:snapToGrid w:val="0"/>
        <w:spacing w:line="380" w:lineRule="exact"/>
        <w:ind w:firstLine="433" w:firstLineChars="197"/>
        <w:rPr>
          <w:rFonts w:hint="eastAsia" w:hAnsi="宋体"/>
          <w:sz w:val="22"/>
          <w:szCs w:val="22"/>
        </w:rPr>
      </w:pPr>
      <w:r>
        <w:rPr>
          <w:rFonts w:hint="eastAsia" w:hAnsi="宋体"/>
          <w:sz w:val="22"/>
          <w:szCs w:val="22"/>
        </w:rPr>
        <w:t>（4） 投标有效期不足的；</w:t>
      </w:r>
    </w:p>
    <w:p w14:paraId="65BAC5F4">
      <w:pPr>
        <w:pStyle w:val="39"/>
        <w:adjustRightInd w:val="0"/>
        <w:snapToGrid w:val="0"/>
        <w:spacing w:line="380" w:lineRule="exact"/>
        <w:ind w:firstLine="433" w:firstLineChars="197"/>
        <w:rPr>
          <w:rFonts w:hint="eastAsia" w:hAnsi="宋体"/>
          <w:sz w:val="22"/>
          <w:szCs w:val="22"/>
        </w:rPr>
      </w:pPr>
      <w:r>
        <w:rPr>
          <w:rFonts w:hint="eastAsia" w:hAnsi="宋体"/>
          <w:sz w:val="22"/>
          <w:szCs w:val="22"/>
        </w:rPr>
        <w:t>（5） 单价与总价不相符，又不接受评标委员会修正的投标总价或投标明显不合理而投标供应商不能合理说明的；</w:t>
      </w:r>
    </w:p>
    <w:p w14:paraId="1AD869AB">
      <w:pPr>
        <w:pStyle w:val="39"/>
        <w:adjustRightInd w:val="0"/>
        <w:snapToGrid w:val="0"/>
        <w:spacing w:line="380" w:lineRule="exact"/>
        <w:ind w:firstLine="433" w:firstLineChars="197"/>
        <w:rPr>
          <w:rFonts w:hint="eastAsia" w:hAnsi="宋体"/>
          <w:sz w:val="22"/>
          <w:szCs w:val="22"/>
        </w:rPr>
      </w:pPr>
      <w:r>
        <w:rPr>
          <w:rFonts w:hint="eastAsia" w:hAnsi="宋体"/>
          <w:sz w:val="22"/>
          <w:szCs w:val="22"/>
        </w:rPr>
        <w:t>（6） 存在串标、抬标或弄虚作假情况的；</w:t>
      </w:r>
    </w:p>
    <w:p w14:paraId="567D3C9A">
      <w:pPr>
        <w:pStyle w:val="39"/>
        <w:adjustRightInd w:val="0"/>
        <w:snapToGrid w:val="0"/>
        <w:spacing w:line="380" w:lineRule="exact"/>
        <w:ind w:firstLine="433" w:firstLineChars="197"/>
        <w:rPr>
          <w:rFonts w:hint="eastAsia" w:hAnsi="宋体"/>
          <w:sz w:val="22"/>
          <w:szCs w:val="22"/>
        </w:rPr>
      </w:pPr>
      <w:r>
        <w:rPr>
          <w:rFonts w:hint="eastAsia" w:hAnsi="宋体"/>
          <w:sz w:val="22"/>
          <w:szCs w:val="22"/>
        </w:rPr>
        <w:t>（7）不具备招标文件中规定资格要求的；</w:t>
      </w:r>
    </w:p>
    <w:p w14:paraId="2DA350EE">
      <w:pPr>
        <w:pStyle w:val="39"/>
        <w:adjustRightInd w:val="0"/>
        <w:snapToGrid w:val="0"/>
        <w:spacing w:line="380" w:lineRule="exact"/>
        <w:ind w:firstLine="433" w:firstLineChars="197"/>
        <w:rPr>
          <w:rFonts w:hint="eastAsia" w:hAnsi="宋体"/>
          <w:sz w:val="22"/>
          <w:szCs w:val="22"/>
        </w:rPr>
      </w:pPr>
      <w:r>
        <w:rPr>
          <w:rFonts w:hint="eastAsia" w:hAnsi="宋体"/>
          <w:sz w:val="22"/>
          <w:szCs w:val="22"/>
        </w:rPr>
        <w:t>（8）投标文件含有采购人不能接受的附加条件的；</w:t>
      </w:r>
    </w:p>
    <w:p w14:paraId="04EC6133">
      <w:pPr>
        <w:pStyle w:val="39"/>
        <w:adjustRightInd w:val="0"/>
        <w:snapToGrid w:val="0"/>
        <w:spacing w:line="380" w:lineRule="exact"/>
        <w:ind w:firstLine="433" w:firstLineChars="197"/>
        <w:rPr>
          <w:rFonts w:hint="eastAsia" w:hAnsi="宋体"/>
          <w:sz w:val="22"/>
          <w:szCs w:val="22"/>
        </w:rPr>
      </w:pPr>
      <w:r>
        <w:rPr>
          <w:rFonts w:hint="eastAsia" w:hAnsi="宋体"/>
          <w:sz w:val="22"/>
          <w:szCs w:val="22"/>
        </w:rPr>
        <w:t>（9）评标委员会认为投标文件未实质性响应招标文件的要求的；</w:t>
      </w:r>
    </w:p>
    <w:p w14:paraId="17544EA8">
      <w:pPr>
        <w:pStyle w:val="39"/>
        <w:adjustRightInd w:val="0"/>
        <w:snapToGrid w:val="0"/>
        <w:spacing w:line="380" w:lineRule="exact"/>
        <w:ind w:firstLine="433" w:firstLineChars="197"/>
        <w:rPr>
          <w:rFonts w:hint="eastAsia" w:hAnsi="宋体"/>
          <w:sz w:val="22"/>
          <w:szCs w:val="22"/>
        </w:rPr>
      </w:pPr>
      <w:r>
        <w:rPr>
          <w:rFonts w:hint="eastAsia" w:hAnsi="宋体"/>
          <w:sz w:val="22"/>
          <w:szCs w:val="22"/>
        </w:rPr>
        <w:t>（10）授权代表未在投标文件中提供有效法定代表人授权委托书的；</w:t>
      </w:r>
    </w:p>
    <w:p w14:paraId="39EB693F">
      <w:pPr>
        <w:pStyle w:val="39"/>
        <w:adjustRightInd w:val="0"/>
        <w:snapToGrid w:val="0"/>
        <w:spacing w:line="380" w:lineRule="exact"/>
        <w:ind w:firstLine="433" w:firstLineChars="197"/>
        <w:rPr>
          <w:rFonts w:hint="eastAsia" w:hAnsi="宋体"/>
          <w:sz w:val="22"/>
          <w:szCs w:val="22"/>
        </w:rPr>
      </w:pPr>
      <w:r>
        <w:rPr>
          <w:rFonts w:hint="eastAsia" w:hAnsi="宋体"/>
          <w:sz w:val="22"/>
          <w:szCs w:val="22"/>
        </w:rPr>
        <w:t>（11）投标文件中需签字或盖章的地方未加盖投标供应商单位全称的公章，或使用投标专用章、合同章等类似图章代替，或未经法定代表人或其授权代表签字或盖章；</w:t>
      </w:r>
    </w:p>
    <w:p w14:paraId="1BED25A9">
      <w:pPr>
        <w:pStyle w:val="39"/>
        <w:adjustRightInd w:val="0"/>
        <w:snapToGrid w:val="0"/>
        <w:spacing w:line="380" w:lineRule="exact"/>
        <w:ind w:firstLine="433" w:firstLineChars="197"/>
        <w:rPr>
          <w:rFonts w:hint="eastAsia" w:hAnsi="宋体"/>
          <w:sz w:val="22"/>
          <w:szCs w:val="22"/>
        </w:rPr>
      </w:pPr>
      <w:r>
        <w:rPr>
          <w:rFonts w:hint="eastAsia" w:hAnsi="宋体"/>
          <w:sz w:val="22"/>
          <w:szCs w:val="22"/>
        </w:rPr>
        <w:t>（12）主要技术要求不满足招标文件的要求或有重大偏离，或者商务条款有重大偏离或保留的；</w:t>
      </w:r>
    </w:p>
    <w:p w14:paraId="106E9954">
      <w:pPr>
        <w:pStyle w:val="39"/>
        <w:adjustRightInd w:val="0"/>
        <w:snapToGrid w:val="0"/>
        <w:spacing w:line="380" w:lineRule="exact"/>
        <w:ind w:firstLine="433" w:firstLineChars="197"/>
        <w:rPr>
          <w:rFonts w:hint="eastAsia" w:hAnsi="宋体"/>
          <w:sz w:val="22"/>
          <w:szCs w:val="22"/>
        </w:rPr>
      </w:pPr>
      <w:r>
        <w:rPr>
          <w:rFonts w:hint="eastAsia" w:hAnsi="宋体"/>
          <w:sz w:val="22"/>
          <w:szCs w:val="22"/>
        </w:rPr>
        <w:t>（13）不符合法律、法规和招标文件中规定的其他实质性要求的。</w:t>
      </w:r>
    </w:p>
    <w:p w14:paraId="34CD8C4C">
      <w:pPr>
        <w:pStyle w:val="39"/>
        <w:adjustRightInd w:val="0"/>
        <w:snapToGrid w:val="0"/>
        <w:spacing w:line="380" w:lineRule="exact"/>
        <w:ind w:firstLine="433" w:firstLineChars="197"/>
        <w:rPr>
          <w:rFonts w:hint="eastAsia" w:hAnsi="宋体"/>
          <w:sz w:val="22"/>
          <w:szCs w:val="22"/>
        </w:rPr>
      </w:pPr>
      <w:r>
        <w:rPr>
          <w:rFonts w:hint="eastAsia" w:hAnsi="宋体"/>
          <w:sz w:val="22"/>
          <w:szCs w:val="22"/>
        </w:rPr>
        <w:t>6.有下列情形之一的，视为供应商串通投标，其磋商（响应）文件无效：</w:t>
      </w:r>
    </w:p>
    <w:p w14:paraId="7A1688D0">
      <w:pPr>
        <w:pStyle w:val="39"/>
        <w:adjustRightInd w:val="0"/>
        <w:snapToGrid w:val="0"/>
        <w:spacing w:line="380" w:lineRule="exact"/>
        <w:ind w:firstLine="433" w:firstLineChars="197"/>
        <w:rPr>
          <w:rFonts w:hint="eastAsia" w:hAnsi="宋体"/>
          <w:sz w:val="22"/>
          <w:szCs w:val="22"/>
        </w:rPr>
      </w:pPr>
      <w:r>
        <w:rPr>
          <w:rFonts w:hint="eastAsia" w:hAnsi="宋体"/>
          <w:sz w:val="22"/>
          <w:szCs w:val="22"/>
        </w:rPr>
        <w:t>1）不同供应商的磋商（响应）文件由同一单位或者个人编制；</w:t>
      </w:r>
    </w:p>
    <w:p w14:paraId="3D4EE3F9">
      <w:pPr>
        <w:pStyle w:val="39"/>
        <w:adjustRightInd w:val="0"/>
        <w:snapToGrid w:val="0"/>
        <w:spacing w:line="380" w:lineRule="exact"/>
        <w:ind w:firstLine="433" w:firstLineChars="197"/>
        <w:rPr>
          <w:rFonts w:hint="eastAsia" w:hAnsi="宋体"/>
          <w:sz w:val="22"/>
          <w:szCs w:val="22"/>
        </w:rPr>
      </w:pPr>
      <w:r>
        <w:rPr>
          <w:rFonts w:hint="eastAsia" w:hAnsi="宋体"/>
          <w:sz w:val="22"/>
          <w:szCs w:val="22"/>
        </w:rPr>
        <w:t>2）不同供应商委托同一单位或者个人办理投标事宜；</w:t>
      </w:r>
    </w:p>
    <w:p w14:paraId="6E45973D">
      <w:pPr>
        <w:pStyle w:val="39"/>
        <w:adjustRightInd w:val="0"/>
        <w:snapToGrid w:val="0"/>
        <w:spacing w:line="380" w:lineRule="exact"/>
        <w:ind w:firstLine="433" w:firstLineChars="197"/>
        <w:rPr>
          <w:rFonts w:hint="eastAsia" w:hAnsi="宋体"/>
          <w:sz w:val="22"/>
          <w:szCs w:val="22"/>
        </w:rPr>
      </w:pPr>
      <w:r>
        <w:rPr>
          <w:rFonts w:hint="eastAsia" w:hAnsi="宋体"/>
          <w:sz w:val="22"/>
          <w:szCs w:val="22"/>
        </w:rPr>
        <w:t>3）不同供应商的磋商（响应）文件载明的项目管理成员或者联系人员为同一人；</w:t>
      </w:r>
    </w:p>
    <w:p w14:paraId="5B43C560">
      <w:pPr>
        <w:pStyle w:val="39"/>
        <w:adjustRightInd w:val="0"/>
        <w:snapToGrid w:val="0"/>
        <w:spacing w:line="380" w:lineRule="exact"/>
        <w:ind w:firstLine="433" w:firstLineChars="197"/>
        <w:rPr>
          <w:rFonts w:hint="eastAsia" w:hAnsi="宋体"/>
          <w:sz w:val="22"/>
          <w:szCs w:val="22"/>
        </w:rPr>
      </w:pPr>
      <w:r>
        <w:rPr>
          <w:rFonts w:hint="eastAsia" w:hAnsi="宋体"/>
          <w:sz w:val="22"/>
          <w:szCs w:val="22"/>
        </w:rPr>
        <w:t>4）不同供应商的磋商（响应）文件异常一致或者投标报价呈规律性差异；</w:t>
      </w:r>
    </w:p>
    <w:p w14:paraId="54DD59DE">
      <w:pPr>
        <w:pStyle w:val="39"/>
        <w:adjustRightInd w:val="0"/>
        <w:snapToGrid w:val="0"/>
        <w:spacing w:line="380" w:lineRule="exact"/>
        <w:ind w:firstLine="433" w:firstLineChars="197"/>
        <w:rPr>
          <w:rFonts w:hint="eastAsia" w:hAnsi="宋体"/>
          <w:sz w:val="22"/>
          <w:szCs w:val="22"/>
        </w:rPr>
      </w:pPr>
      <w:r>
        <w:rPr>
          <w:rFonts w:hint="eastAsia" w:hAnsi="宋体"/>
          <w:sz w:val="22"/>
          <w:szCs w:val="22"/>
        </w:rPr>
        <w:t>5）不同供应商的磋商（响应）文件相互混装；</w:t>
      </w:r>
    </w:p>
    <w:p w14:paraId="3952E1FF">
      <w:pPr>
        <w:pStyle w:val="39"/>
        <w:adjustRightInd w:val="0"/>
        <w:snapToGrid w:val="0"/>
        <w:spacing w:line="380" w:lineRule="exact"/>
        <w:ind w:firstLine="433" w:firstLineChars="197"/>
        <w:rPr>
          <w:rFonts w:hint="eastAsia" w:hAnsi="宋体"/>
          <w:sz w:val="22"/>
          <w:szCs w:val="22"/>
        </w:rPr>
      </w:pPr>
      <w:r>
        <w:rPr>
          <w:rFonts w:hint="eastAsia" w:hAnsi="宋体"/>
          <w:sz w:val="22"/>
          <w:szCs w:val="22"/>
        </w:rPr>
        <w:t>7.推荐成交候选供应商</w:t>
      </w:r>
    </w:p>
    <w:p w14:paraId="091D4317">
      <w:pPr>
        <w:pStyle w:val="39"/>
        <w:adjustRightInd w:val="0"/>
        <w:snapToGrid w:val="0"/>
        <w:spacing w:line="380" w:lineRule="exact"/>
        <w:ind w:firstLine="433" w:firstLineChars="197"/>
        <w:rPr>
          <w:rFonts w:hint="eastAsia" w:hAnsi="宋体"/>
          <w:sz w:val="22"/>
          <w:szCs w:val="22"/>
        </w:rPr>
      </w:pPr>
      <w:r>
        <w:rPr>
          <w:rFonts w:hint="eastAsia" w:hAnsi="宋体"/>
          <w:sz w:val="22"/>
          <w:szCs w:val="22"/>
        </w:rPr>
        <w:t>7.1 本项目采购由磋商小组向采购人推荐成交候选供应商。</w:t>
      </w:r>
    </w:p>
    <w:p w14:paraId="46EFEF33">
      <w:pPr>
        <w:pStyle w:val="39"/>
        <w:adjustRightInd w:val="0"/>
        <w:snapToGrid w:val="0"/>
        <w:spacing w:line="380" w:lineRule="exact"/>
        <w:ind w:firstLine="433" w:firstLineChars="197"/>
        <w:rPr>
          <w:rFonts w:hint="eastAsia" w:hAnsi="宋体"/>
          <w:sz w:val="22"/>
          <w:szCs w:val="22"/>
        </w:rPr>
      </w:pPr>
      <w:r>
        <w:rPr>
          <w:rFonts w:hint="eastAsia" w:hAnsi="宋体"/>
          <w:sz w:val="22"/>
          <w:szCs w:val="22"/>
        </w:rPr>
        <w:t>7.2 磋商小组根据综合评审情况，按照评审得分由高到低顺序,</w:t>
      </w:r>
      <w:r>
        <w:rPr>
          <w:rFonts w:hint="eastAsia" w:hAnsi="宋体"/>
          <w:b/>
          <w:bCs/>
          <w:sz w:val="22"/>
          <w:szCs w:val="22"/>
          <w:u w:val="single"/>
        </w:rPr>
        <w:t>推荐综合得分第一名的供应商为成交候选供应商（得分相同投标报价低的排序前位；得分且投标报价相同的并列，投标响应文件满足采购文件全部实质性要求，且按照评审因素的量化指标评审得分最高的供应商为中标候选人）</w:t>
      </w:r>
      <w:r>
        <w:rPr>
          <w:rFonts w:hint="eastAsia" w:hAnsi="宋体"/>
          <w:sz w:val="22"/>
          <w:szCs w:val="22"/>
        </w:rPr>
        <w:t>。</w:t>
      </w:r>
    </w:p>
    <w:p w14:paraId="50E112E6">
      <w:pPr>
        <w:pStyle w:val="39"/>
        <w:adjustRightInd w:val="0"/>
        <w:snapToGrid w:val="0"/>
        <w:spacing w:line="380" w:lineRule="exact"/>
        <w:ind w:firstLine="433" w:firstLineChars="197"/>
        <w:rPr>
          <w:rFonts w:hint="eastAsia" w:hAnsi="宋体"/>
          <w:sz w:val="22"/>
          <w:szCs w:val="22"/>
        </w:rPr>
      </w:pPr>
      <w:r>
        <w:rPr>
          <w:rFonts w:hint="eastAsia" w:hAnsi="宋体"/>
          <w:sz w:val="22"/>
          <w:szCs w:val="22"/>
        </w:rPr>
        <w:t>8.在磋商过程中符合竞争要求的供应商或者最终报价未超过采购预算的供应商不足3家：</w:t>
      </w:r>
    </w:p>
    <w:p w14:paraId="13DF5668">
      <w:pPr>
        <w:pStyle w:val="39"/>
        <w:adjustRightInd w:val="0"/>
        <w:snapToGrid w:val="0"/>
        <w:spacing w:line="380" w:lineRule="exact"/>
        <w:ind w:firstLine="433" w:firstLineChars="197"/>
        <w:rPr>
          <w:rFonts w:hint="eastAsia" w:hAnsi="宋体"/>
          <w:sz w:val="22"/>
          <w:szCs w:val="22"/>
        </w:rPr>
      </w:pPr>
      <w:r>
        <w:rPr>
          <w:rFonts w:hint="eastAsia" w:hAnsi="宋体"/>
          <w:sz w:val="22"/>
          <w:szCs w:val="22"/>
        </w:rPr>
        <w:t>1）磋商过程中符合竞争要求的供应商或者最终报价未超过采购预算的供应商为2家，则按照《财政部关于政府采购竞争性磋商采购方式管理暂行办法有关问题的补充通知》相关规定继续评审磋商程序，按照两名供应商的综合得分排名推荐为成交候选供应商。</w:t>
      </w:r>
    </w:p>
    <w:p w14:paraId="3A027B27">
      <w:pPr>
        <w:pStyle w:val="39"/>
        <w:adjustRightInd w:val="0"/>
        <w:snapToGrid w:val="0"/>
        <w:spacing w:line="380" w:lineRule="exact"/>
        <w:ind w:firstLine="433" w:firstLineChars="197"/>
        <w:rPr>
          <w:rFonts w:hint="eastAsia" w:hAnsi="宋体"/>
          <w:sz w:val="22"/>
          <w:szCs w:val="22"/>
        </w:rPr>
      </w:pPr>
      <w:r>
        <w:rPr>
          <w:rFonts w:hint="eastAsia" w:hAnsi="宋体"/>
          <w:sz w:val="22"/>
          <w:szCs w:val="22"/>
        </w:rPr>
        <w:t>2）磋商过程中符合竞争要求的供应商或者最终报价未超过采购预算的供应商仅有1家，本项目流标，应重新组织采购流程。</w:t>
      </w:r>
    </w:p>
    <w:p w14:paraId="0FB97832">
      <w:pPr>
        <w:pStyle w:val="39"/>
        <w:adjustRightInd w:val="0"/>
        <w:snapToGrid w:val="0"/>
        <w:spacing w:line="380" w:lineRule="exact"/>
        <w:ind w:firstLine="433" w:firstLineChars="197"/>
        <w:rPr>
          <w:rFonts w:hint="eastAsia" w:hAnsi="宋体" w:cs="Arial"/>
          <w:sz w:val="22"/>
          <w:szCs w:val="22"/>
        </w:rPr>
      </w:pPr>
      <w:r>
        <w:rPr>
          <w:rFonts w:hint="eastAsia" w:hAnsi="宋体"/>
          <w:sz w:val="22"/>
          <w:szCs w:val="22"/>
        </w:rPr>
        <w:t>9.采购人、采购代理机构及磋商小组不向落选的供应商解释落选原因，也不公布评审磋商过程中的相关细节，不退还磋商（响应）文件。</w:t>
      </w:r>
    </w:p>
    <w:p w14:paraId="168BE4B7">
      <w:pPr>
        <w:spacing w:before="120" w:beforeLines="50" w:after="120" w:afterLines="50" w:line="400" w:lineRule="atLeast"/>
        <w:outlineLvl w:val="1"/>
        <w:rPr>
          <w:rFonts w:hint="eastAsia" w:ascii="宋体" w:hAnsi="宋体"/>
          <w:b/>
          <w:bCs/>
          <w:sz w:val="24"/>
          <w:lang w:val="zh-CN"/>
        </w:rPr>
      </w:pPr>
      <w:r>
        <w:rPr>
          <w:rFonts w:hint="eastAsia" w:ascii="宋体" w:hAnsi="宋体"/>
          <w:b/>
          <w:bCs/>
          <w:sz w:val="24"/>
          <w:lang w:val="zh-CN"/>
        </w:rPr>
        <w:t>六、定标及授予合同</w:t>
      </w:r>
    </w:p>
    <w:p w14:paraId="009AB64A">
      <w:pPr>
        <w:pStyle w:val="39"/>
        <w:spacing w:line="380" w:lineRule="exact"/>
        <w:ind w:firstLine="457" w:firstLineChars="208"/>
        <w:rPr>
          <w:rFonts w:hint="eastAsia" w:hAnsi="宋体"/>
          <w:sz w:val="22"/>
          <w:szCs w:val="22"/>
        </w:rPr>
      </w:pPr>
      <w:r>
        <w:rPr>
          <w:rFonts w:hint="eastAsia" w:hAnsi="宋体"/>
          <w:sz w:val="22"/>
          <w:szCs w:val="22"/>
        </w:rPr>
        <w:t>1.定标</w:t>
      </w:r>
    </w:p>
    <w:p w14:paraId="43591DB2">
      <w:pPr>
        <w:pStyle w:val="39"/>
        <w:spacing w:line="380" w:lineRule="exact"/>
        <w:ind w:firstLine="457" w:firstLineChars="208"/>
        <w:rPr>
          <w:rFonts w:hint="eastAsia" w:hAnsi="宋体"/>
          <w:sz w:val="22"/>
          <w:szCs w:val="22"/>
        </w:rPr>
      </w:pPr>
      <w:r>
        <w:rPr>
          <w:rFonts w:hint="eastAsia" w:hAnsi="宋体"/>
          <w:sz w:val="22"/>
          <w:szCs w:val="22"/>
        </w:rPr>
        <w:t>评标结束后，竞争性磋商小组按照竞争性磋商文件确定的评标办法推荐中标（成交）供应商。</w:t>
      </w:r>
    </w:p>
    <w:p w14:paraId="441845E8">
      <w:pPr>
        <w:pStyle w:val="39"/>
        <w:spacing w:line="380" w:lineRule="exact"/>
        <w:ind w:firstLine="457" w:firstLineChars="208"/>
        <w:rPr>
          <w:rFonts w:hint="eastAsia" w:hAnsi="宋体"/>
          <w:sz w:val="22"/>
          <w:szCs w:val="22"/>
        </w:rPr>
      </w:pPr>
      <w:r>
        <w:rPr>
          <w:rFonts w:hint="eastAsia" w:hAnsi="宋体"/>
          <w:sz w:val="22"/>
          <w:szCs w:val="22"/>
        </w:rPr>
        <w:t>2.中标（成交）通知书</w:t>
      </w:r>
    </w:p>
    <w:p w14:paraId="1C111602">
      <w:pPr>
        <w:pStyle w:val="39"/>
        <w:spacing w:line="380" w:lineRule="exact"/>
        <w:ind w:firstLine="457" w:firstLineChars="208"/>
        <w:rPr>
          <w:rFonts w:hint="eastAsia" w:hAnsi="宋体"/>
          <w:sz w:val="22"/>
          <w:szCs w:val="22"/>
        </w:rPr>
      </w:pPr>
      <w:r>
        <w:rPr>
          <w:rFonts w:hint="eastAsia" w:hAnsi="宋体"/>
          <w:sz w:val="22"/>
          <w:szCs w:val="22"/>
        </w:rPr>
        <w:t>2.1采购人依法确认中标（成交）供应商后，代理机构在“乐采云平台”网上公示中标（成交）供应商名单，公示期限为1个工作日。同时向中标（成交）供应商发出中标（成交）通知书。</w:t>
      </w:r>
    </w:p>
    <w:p w14:paraId="3E76873E">
      <w:pPr>
        <w:pStyle w:val="39"/>
        <w:spacing w:line="380" w:lineRule="exact"/>
        <w:ind w:firstLine="457" w:firstLineChars="208"/>
        <w:rPr>
          <w:rFonts w:hint="eastAsia" w:hAnsi="宋体"/>
          <w:sz w:val="22"/>
          <w:szCs w:val="22"/>
        </w:rPr>
      </w:pPr>
      <w:r>
        <w:rPr>
          <w:rFonts w:hint="eastAsia" w:hAnsi="宋体"/>
          <w:sz w:val="22"/>
          <w:szCs w:val="22"/>
        </w:rPr>
        <w:t>2.2中标（成交）通知书对采购人和中标（成交）供应商具有法律约束力。中标（成交）通知书发出后，采购人改变中标结果或者中标（成交）供应商放弃中标的，应当承担法律责任。</w:t>
      </w:r>
    </w:p>
    <w:p w14:paraId="2BEDB7B2">
      <w:pPr>
        <w:pStyle w:val="39"/>
        <w:spacing w:line="380" w:lineRule="exact"/>
        <w:ind w:firstLine="457" w:firstLineChars="208"/>
        <w:rPr>
          <w:rFonts w:hint="eastAsia" w:hAnsi="宋体"/>
          <w:sz w:val="22"/>
          <w:szCs w:val="22"/>
        </w:rPr>
      </w:pPr>
      <w:r>
        <w:rPr>
          <w:rFonts w:hint="eastAsia" w:hAnsi="宋体"/>
          <w:sz w:val="22"/>
          <w:szCs w:val="22"/>
        </w:rPr>
        <w:t>3.中标（成交）无效</w:t>
      </w:r>
    </w:p>
    <w:p w14:paraId="597C816C">
      <w:pPr>
        <w:pStyle w:val="39"/>
        <w:spacing w:line="380" w:lineRule="exact"/>
        <w:ind w:firstLine="457" w:firstLineChars="208"/>
        <w:rPr>
          <w:rFonts w:hint="eastAsia" w:hAnsi="宋体"/>
          <w:sz w:val="22"/>
          <w:szCs w:val="22"/>
        </w:rPr>
      </w:pPr>
      <w:r>
        <w:rPr>
          <w:rFonts w:hint="eastAsia" w:hAnsi="宋体"/>
          <w:sz w:val="22"/>
          <w:szCs w:val="22"/>
        </w:rPr>
        <w:t>（1）发现中标（成交）供应商资格无效或中标（成交）供应商放弃成交或拒绝与采购人签订合同的,按相关法律法规执行，原则上重新开展国企采购活动。</w:t>
      </w:r>
    </w:p>
    <w:p w14:paraId="4E6F0D61">
      <w:pPr>
        <w:pStyle w:val="39"/>
        <w:spacing w:line="380" w:lineRule="exact"/>
        <w:ind w:firstLine="457" w:firstLineChars="208"/>
        <w:rPr>
          <w:rFonts w:hint="eastAsia" w:hAnsi="宋体"/>
          <w:sz w:val="22"/>
          <w:szCs w:val="22"/>
        </w:rPr>
      </w:pPr>
      <w:r>
        <w:rPr>
          <w:rFonts w:hint="eastAsia" w:hAnsi="宋体"/>
          <w:sz w:val="22"/>
          <w:szCs w:val="22"/>
        </w:rPr>
        <w:t>（2）有《中华人民共和国政府采购法实施条例》第七十一条、第七十二条、第七十三条、第七十四条规定的违法行为之一，由国企采购监管部门依法处理。</w:t>
      </w:r>
    </w:p>
    <w:p w14:paraId="5A73C63B">
      <w:pPr>
        <w:pStyle w:val="39"/>
        <w:spacing w:line="380" w:lineRule="exact"/>
        <w:ind w:firstLine="457" w:firstLineChars="208"/>
        <w:rPr>
          <w:rFonts w:hint="eastAsia" w:hAnsi="宋体"/>
          <w:sz w:val="22"/>
          <w:szCs w:val="22"/>
        </w:rPr>
      </w:pPr>
      <w:r>
        <w:rPr>
          <w:rFonts w:hint="eastAsia" w:hAnsi="宋体"/>
          <w:sz w:val="22"/>
          <w:szCs w:val="22"/>
        </w:rPr>
        <w:t>4.签订合同</w:t>
      </w:r>
    </w:p>
    <w:p w14:paraId="7735E37D">
      <w:pPr>
        <w:pStyle w:val="39"/>
        <w:spacing w:line="380" w:lineRule="exact"/>
        <w:ind w:firstLine="457" w:firstLineChars="208"/>
        <w:rPr>
          <w:rFonts w:hint="eastAsia" w:hAnsi="宋体"/>
          <w:sz w:val="22"/>
          <w:szCs w:val="22"/>
        </w:rPr>
      </w:pPr>
      <w:r>
        <w:rPr>
          <w:rFonts w:hint="eastAsia" w:hAnsi="宋体"/>
          <w:sz w:val="22"/>
          <w:szCs w:val="22"/>
        </w:rPr>
        <w:t>4.1 中标（成交）供应商须主动联系采购人或采购机构领取中标（成交）通知书。中标（成交）供应商应当在中标（成交）通知书发出之日起30日内与采购人签订合同。中标（成交）供应商未经采购人许可，在规定时间内未到采购人处与采购人签订合同，则视为拒签合同。</w:t>
      </w:r>
    </w:p>
    <w:p w14:paraId="56CDEB64">
      <w:pPr>
        <w:pStyle w:val="39"/>
        <w:spacing w:line="380" w:lineRule="exact"/>
        <w:ind w:firstLine="457" w:firstLineChars="208"/>
        <w:rPr>
          <w:rFonts w:hint="eastAsia" w:hAnsi="宋体"/>
          <w:sz w:val="22"/>
          <w:szCs w:val="22"/>
        </w:rPr>
      </w:pPr>
      <w:r>
        <w:rPr>
          <w:rFonts w:hint="eastAsia" w:hAnsi="宋体"/>
          <w:sz w:val="22"/>
          <w:szCs w:val="22"/>
        </w:rPr>
        <w:t>4.2 竞争性磋商文件、中标（成交）供应商的磋商（响应）文件及投标修改文件、评标过程中有关澄清文件及经双方签字的询标纪要（承诺）和中标（成交）通知书均作为合同附件。</w:t>
      </w:r>
    </w:p>
    <w:p w14:paraId="4903C061">
      <w:pPr>
        <w:pStyle w:val="39"/>
        <w:spacing w:line="380" w:lineRule="exact"/>
        <w:ind w:firstLine="457" w:firstLineChars="208"/>
        <w:rPr>
          <w:rFonts w:hint="eastAsia" w:hAnsi="宋体"/>
          <w:sz w:val="22"/>
          <w:szCs w:val="22"/>
        </w:rPr>
      </w:pPr>
      <w:r>
        <w:rPr>
          <w:rFonts w:hint="eastAsia" w:hAnsi="宋体"/>
          <w:sz w:val="22"/>
          <w:szCs w:val="22"/>
        </w:rPr>
        <w:t>4.3 拒签合同的责任</w:t>
      </w:r>
    </w:p>
    <w:p w14:paraId="46782ABF">
      <w:pPr>
        <w:pStyle w:val="39"/>
        <w:spacing w:line="380" w:lineRule="exact"/>
        <w:ind w:firstLine="457" w:firstLineChars="208"/>
        <w:rPr>
          <w:rFonts w:hint="eastAsia" w:hAnsi="宋体"/>
          <w:sz w:val="22"/>
          <w:szCs w:val="22"/>
        </w:rPr>
      </w:pPr>
      <w:r>
        <w:rPr>
          <w:rFonts w:hint="eastAsia" w:hAnsi="宋体"/>
          <w:sz w:val="22"/>
          <w:szCs w:val="22"/>
        </w:rPr>
        <w:t>中标（成交）供应商在规定时间内（30日历天）借故否认已经承诺的条件、拒签合同者，以违约处理，并赔偿采购人由此造成的直接经济损失；采购人重新组织采购的，所需费用由原中标（成交）供应商承担。</w:t>
      </w:r>
    </w:p>
    <w:p w14:paraId="66933E68">
      <w:pPr>
        <w:pStyle w:val="39"/>
        <w:spacing w:line="380" w:lineRule="exact"/>
        <w:ind w:firstLine="457" w:firstLineChars="208"/>
        <w:rPr>
          <w:rFonts w:hint="eastAsia" w:hAnsi="宋体"/>
          <w:sz w:val="22"/>
          <w:szCs w:val="22"/>
        </w:rPr>
      </w:pPr>
      <w:r>
        <w:rPr>
          <w:rFonts w:hint="eastAsia" w:hAnsi="宋体"/>
          <w:sz w:val="22"/>
          <w:szCs w:val="22"/>
        </w:rPr>
        <w:t>5.履约保证金</w:t>
      </w:r>
    </w:p>
    <w:p w14:paraId="36DBD1EE">
      <w:pPr>
        <w:pStyle w:val="39"/>
        <w:spacing w:line="380" w:lineRule="exact"/>
        <w:ind w:firstLine="457" w:firstLineChars="208"/>
        <w:rPr>
          <w:rFonts w:hint="eastAsia" w:hAnsi="宋体"/>
          <w:sz w:val="22"/>
          <w:szCs w:val="22"/>
        </w:rPr>
      </w:pPr>
      <w:r>
        <w:rPr>
          <w:rFonts w:hint="eastAsia" w:hAnsi="宋体"/>
          <w:sz w:val="22"/>
          <w:szCs w:val="22"/>
        </w:rPr>
        <w:t>中标单位向采购人支付合同总价的1%作为履约保证金。</w:t>
      </w:r>
    </w:p>
    <w:p w14:paraId="7DF5D84E">
      <w:pPr>
        <w:spacing w:before="120" w:beforeLines="50" w:after="120" w:afterLines="50" w:line="400" w:lineRule="atLeast"/>
        <w:outlineLvl w:val="1"/>
        <w:rPr>
          <w:rFonts w:hint="eastAsia" w:ascii="宋体" w:hAnsi="宋体"/>
          <w:b/>
          <w:bCs/>
          <w:sz w:val="24"/>
          <w:lang w:val="zh-CN"/>
        </w:rPr>
      </w:pPr>
      <w:r>
        <w:rPr>
          <w:rFonts w:hint="eastAsia" w:ascii="宋体" w:hAnsi="宋体"/>
          <w:b/>
          <w:bCs/>
          <w:sz w:val="24"/>
          <w:lang w:val="zh-CN"/>
        </w:rPr>
        <w:t>七、投诉质疑</w:t>
      </w:r>
    </w:p>
    <w:p w14:paraId="55599426">
      <w:pPr>
        <w:pStyle w:val="40"/>
        <w:snapToGrid w:val="0"/>
        <w:spacing w:line="380" w:lineRule="exact"/>
        <w:rPr>
          <w:rFonts w:hint="eastAsia" w:ascii="宋体" w:hAnsi="宋体" w:cs="宋体"/>
          <w:sz w:val="22"/>
          <w:szCs w:val="22"/>
        </w:rPr>
      </w:pPr>
      <w:r>
        <w:rPr>
          <w:rFonts w:hint="eastAsia" w:ascii="宋体" w:hAnsi="宋体" w:cs="宋体"/>
          <w:sz w:val="22"/>
          <w:szCs w:val="22"/>
        </w:rPr>
        <w:t>根据《中华人民共和国政府采购法》、《政府采购质疑和投诉办法》（中华人民共和国财政部令第94号）、《财政部关于加强政府采购供应商投诉受理审查工作的通知》(财库〔2007〕1号）的规定，国企采购供应商可以依法提起质疑和投诉。</w:t>
      </w:r>
    </w:p>
    <w:p w14:paraId="7D81B7EC">
      <w:pPr>
        <w:pStyle w:val="40"/>
        <w:snapToGrid w:val="0"/>
        <w:spacing w:line="380" w:lineRule="exact"/>
        <w:rPr>
          <w:rFonts w:hint="eastAsia" w:ascii="宋体" w:hAnsi="宋体" w:cs="宋体"/>
          <w:sz w:val="22"/>
          <w:szCs w:val="22"/>
        </w:rPr>
      </w:pPr>
      <w:r>
        <w:rPr>
          <w:rFonts w:hint="eastAsia" w:ascii="宋体" w:hAnsi="宋体" w:cs="宋体"/>
          <w:sz w:val="22"/>
          <w:szCs w:val="22"/>
        </w:rPr>
        <w:t>1.供应商询问</w:t>
      </w:r>
    </w:p>
    <w:p w14:paraId="613B2E46">
      <w:pPr>
        <w:pStyle w:val="40"/>
        <w:snapToGrid w:val="0"/>
        <w:spacing w:line="380" w:lineRule="exact"/>
        <w:rPr>
          <w:rFonts w:hint="eastAsia" w:ascii="宋体" w:hAnsi="宋体" w:cs="宋体"/>
          <w:sz w:val="22"/>
          <w:szCs w:val="22"/>
        </w:rPr>
      </w:pPr>
      <w:r>
        <w:rPr>
          <w:rFonts w:hint="eastAsia" w:ascii="宋体" w:hAnsi="宋体" w:cs="宋体"/>
          <w:sz w:val="22"/>
          <w:szCs w:val="22"/>
          <w:lang w:val="zh-CN"/>
        </w:rPr>
        <w:t>供应商对国企采购活动事项有疑问的，可以向采购机构提出询问，采购机构将对供应商依法提出的询问作出答复，但答复的内容不得涉及商业秘密。</w:t>
      </w:r>
    </w:p>
    <w:p w14:paraId="5F22B3E3">
      <w:pPr>
        <w:pStyle w:val="40"/>
        <w:snapToGrid w:val="0"/>
        <w:spacing w:line="380" w:lineRule="exact"/>
        <w:rPr>
          <w:rFonts w:hint="eastAsia" w:ascii="宋体" w:hAnsi="宋体" w:cs="宋体"/>
          <w:sz w:val="22"/>
          <w:szCs w:val="22"/>
        </w:rPr>
      </w:pPr>
      <w:r>
        <w:rPr>
          <w:rFonts w:hint="eastAsia" w:ascii="宋体" w:hAnsi="宋体" w:cs="宋体"/>
          <w:sz w:val="22"/>
          <w:szCs w:val="22"/>
        </w:rPr>
        <w:t>2.供应商质疑</w:t>
      </w:r>
    </w:p>
    <w:p w14:paraId="713490EF">
      <w:pPr>
        <w:pStyle w:val="40"/>
        <w:snapToGrid w:val="0"/>
        <w:spacing w:line="380" w:lineRule="exact"/>
        <w:rPr>
          <w:rFonts w:hint="eastAsia" w:ascii="宋体" w:hAnsi="宋体" w:cs="宋体"/>
          <w:sz w:val="22"/>
          <w:szCs w:val="22"/>
        </w:rPr>
      </w:pPr>
      <w:r>
        <w:rPr>
          <w:rFonts w:hint="eastAsia" w:ascii="宋体" w:hAnsi="宋体" w:cs="宋体"/>
          <w:sz w:val="22"/>
          <w:szCs w:val="22"/>
        </w:rPr>
        <w:t>2.1供应商认为竞争性磋商文件、采购过程和中标、成交结果使自己的权益受到损害的，可以在知道或者应知其权益受到损害之日起七个工作日内，以书面形式向采购人、招标代理机构提出质疑，</w:t>
      </w:r>
      <w:r>
        <w:rPr>
          <w:rFonts w:hint="eastAsia" w:ascii="宋体" w:hAnsi="宋体" w:cs="宋体"/>
          <w:sz w:val="22"/>
          <w:szCs w:val="22"/>
          <w:lang w:val="zh-CN"/>
        </w:rPr>
        <w:t>否则，不予受理：</w:t>
      </w:r>
    </w:p>
    <w:p w14:paraId="15BAFD12">
      <w:pPr>
        <w:pStyle w:val="40"/>
        <w:snapToGrid w:val="0"/>
        <w:spacing w:line="380" w:lineRule="exact"/>
        <w:rPr>
          <w:rFonts w:hint="eastAsia" w:ascii="宋体" w:hAnsi="宋体" w:cs="宋体"/>
          <w:sz w:val="22"/>
          <w:szCs w:val="22"/>
        </w:rPr>
      </w:pPr>
      <w:r>
        <w:rPr>
          <w:rFonts w:hint="eastAsia" w:ascii="宋体" w:hAnsi="宋体" w:cs="宋体"/>
          <w:sz w:val="22"/>
          <w:szCs w:val="22"/>
        </w:rPr>
        <w:t>（1）供应商如认为招标公告信息使自身的合法权益受到损害的，应于自招标公告发布之日起七个工作内以书面形式向采购机构提出质疑；</w:t>
      </w:r>
    </w:p>
    <w:p w14:paraId="2BADF4AD">
      <w:pPr>
        <w:pStyle w:val="40"/>
        <w:snapToGrid w:val="0"/>
        <w:spacing w:line="380" w:lineRule="exact"/>
        <w:rPr>
          <w:rFonts w:hint="eastAsia" w:ascii="宋体" w:hAnsi="宋体" w:cs="宋体"/>
          <w:sz w:val="22"/>
          <w:szCs w:val="22"/>
        </w:rPr>
      </w:pPr>
      <w:r>
        <w:rPr>
          <w:rFonts w:hint="eastAsia" w:ascii="宋体" w:hAnsi="宋体" w:cs="宋体"/>
          <w:sz w:val="22"/>
          <w:szCs w:val="22"/>
        </w:rPr>
        <w:t>（2）</w:t>
      </w:r>
      <w:r>
        <w:rPr>
          <w:rFonts w:hint="eastAsia" w:ascii="宋体" w:hAnsi="宋体" w:cs="宋体"/>
          <w:sz w:val="22"/>
          <w:szCs w:val="22"/>
          <w:lang w:val="zh-CN"/>
        </w:rPr>
        <w:t>对竞争性磋商文件提出质疑的，质疑期限为供应商获得竞争性磋商文件之日或者竞争性磋商文件公告期限届满之日（即供应商</w:t>
      </w:r>
      <w:r>
        <w:rPr>
          <w:rFonts w:hint="eastAsia" w:ascii="宋体" w:hAnsi="宋体" w:cs="宋体"/>
          <w:sz w:val="22"/>
          <w:szCs w:val="22"/>
        </w:rPr>
        <w:t>获取竞争性磋商文件</w:t>
      </w:r>
      <w:r>
        <w:rPr>
          <w:rFonts w:hint="eastAsia" w:ascii="宋体" w:hAnsi="宋体" w:cs="宋体"/>
          <w:sz w:val="22"/>
          <w:szCs w:val="22"/>
          <w:lang w:val="zh-CN"/>
        </w:rPr>
        <w:t>截止之日）起计算，但竞争性磋商文件在获取竞争性磋商文件截止之日后获得的，应当自截止之日起计算，且应当在采购响应截止时间之前提出</w:t>
      </w:r>
      <w:r>
        <w:rPr>
          <w:rFonts w:hint="eastAsia" w:ascii="宋体" w:hAnsi="宋体" w:cs="宋体"/>
          <w:sz w:val="22"/>
          <w:szCs w:val="22"/>
        </w:rPr>
        <w:t>；</w:t>
      </w:r>
    </w:p>
    <w:p w14:paraId="1F24F033">
      <w:pPr>
        <w:pStyle w:val="40"/>
        <w:snapToGrid w:val="0"/>
        <w:spacing w:line="380" w:lineRule="exact"/>
        <w:rPr>
          <w:rFonts w:hint="eastAsia" w:ascii="宋体" w:hAnsi="宋体" w:cs="宋体"/>
          <w:sz w:val="22"/>
          <w:szCs w:val="22"/>
          <w:lang w:val="zh-CN"/>
        </w:rPr>
      </w:pPr>
      <w:r>
        <w:rPr>
          <w:rFonts w:hint="eastAsia" w:ascii="宋体" w:hAnsi="宋体" w:cs="宋体"/>
          <w:sz w:val="22"/>
          <w:szCs w:val="22"/>
        </w:rPr>
        <w:t>（3）</w:t>
      </w:r>
      <w:r>
        <w:rPr>
          <w:rFonts w:hint="eastAsia" w:ascii="宋体" w:hAnsi="宋体" w:cs="宋体"/>
          <w:sz w:val="22"/>
          <w:szCs w:val="22"/>
          <w:lang w:val="zh-CN"/>
        </w:rPr>
        <w:t>对采购过程提出质疑的，质疑期限为各采购程序环节结束之日起计算；</w:t>
      </w:r>
    </w:p>
    <w:p w14:paraId="573BFB7D">
      <w:pPr>
        <w:pStyle w:val="40"/>
        <w:snapToGrid w:val="0"/>
        <w:spacing w:line="380" w:lineRule="exact"/>
        <w:rPr>
          <w:rFonts w:hint="eastAsia" w:ascii="宋体" w:hAnsi="宋体" w:cs="宋体"/>
          <w:sz w:val="22"/>
          <w:szCs w:val="22"/>
        </w:rPr>
      </w:pPr>
      <w:r>
        <w:rPr>
          <w:rFonts w:hint="eastAsia" w:ascii="宋体" w:hAnsi="宋体" w:cs="宋体"/>
          <w:sz w:val="22"/>
          <w:szCs w:val="22"/>
          <w:lang w:val="zh-CN"/>
        </w:rPr>
        <w:t>（4）对采购结果提出质疑的，质疑期限自采购结果公告（包括公示、预公告、结果变更公告等）期限届满之日起计算。</w:t>
      </w:r>
    </w:p>
    <w:p w14:paraId="5B8141E6">
      <w:pPr>
        <w:pStyle w:val="39"/>
        <w:spacing w:line="380" w:lineRule="exact"/>
        <w:ind w:firstLine="495" w:firstLineChars="225"/>
        <w:rPr>
          <w:rFonts w:hint="eastAsia" w:hAnsi="宋体" w:cs="宋体"/>
          <w:sz w:val="22"/>
          <w:szCs w:val="22"/>
        </w:rPr>
      </w:pPr>
      <w:r>
        <w:rPr>
          <w:rFonts w:hAnsi="宋体" w:cs="宋体"/>
          <w:sz w:val="22"/>
          <w:szCs w:val="22"/>
        </w:rPr>
        <w:t>2.2</w:t>
      </w:r>
      <w:r>
        <w:rPr>
          <w:rFonts w:hint="eastAsia" w:hAnsi="宋体" w:cs="宋体"/>
          <w:sz w:val="22"/>
          <w:szCs w:val="22"/>
        </w:rPr>
        <w:t>供应商提交的质疑书需一式三份，由法定代表人签字（或盖章）并加盖单位公章。质疑书至少应包括下列主要内容：</w:t>
      </w:r>
    </w:p>
    <w:p w14:paraId="0B3E135E">
      <w:pPr>
        <w:pStyle w:val="39"/>
        <w:spacing w:line="380" w:lineRule="exact"/>
        <w:ind w:firstLine="495" w:firstLineChars="225"/>
        <w:rPr>
          <w:rFonts w:hint="eastAsia" w:hAnsi="宋体" w:cs="宋体"/>
          <w:sz w:val="22"/>
          <w:szCs w:val="22"/>
        </w:rPr>
      </w:pPr>
      <w:r>
        <w:rPr>
          <w:rFonts w:hint="eastAsia" w:hAnsi="宋体" w:cs="宋体"/>
          <w:sz w:val="22"/>
          <w:szCs w:val="22"/>
        </w:rPr>
        <w:t>（</w:t>
      </w:r>
      <w:r>
        <w:rPr>
          <w:rFonts w:hAnsi="宋体" w:cs="宋体"/>
          <w:sz w:val="22"/>
          <w:szCs w:val="22"/>
        </w:rPr>
        <w:t>1</w:t>
      </w:r>
      <w:r>
        <w:rPr>
          <w:rFonts w:hint="eastAsia" w:hAnsi="宋体" w:cs="宋体"/>
          <w:sz w:val="22"/>
          <w:szCs w:val="22"/>
        </w:rPr>
        <w:t>）供应商的名称、地址、邮政编码、联系人、联系电话；</w:t>
      </w:r>
    </w:p>
    <w:p w14:paraId="2DA5A585">
      <w:pPr>
        <w:pStyle w:val="39"/>
        <w:spacing w:line="380" w:lineRule="exact"/>
        <w:ind w:firstLine="495" w:firstLineChars="225"/>
        <w:rPr>
          <w:rFonts w:hint="eastAsia" w:hAnsi="宋体" w:cs="宋体"/>
          <w:sz w:val="22"/>
          <w:szCs w:val="22"/>
        </w:rPr>
      </w:pPr>
      <w:r>
        <w:rPr>
          <w:rFonts w:hint="eastAsia" w:hAnsi="宋体" w:cs="宋体"/>
          <w:sz w:val="22"/>
          <w:szCs w:val="22"/>
        </w:rPr>
        <w:t>（</w:t>
      </w:r>
      <w:r>
        <w:rPr>
          <w:rFonts w:hAnsi="宋体" w:cs="宋体"/>
          <w:sz w:val="22"/>
          <w:szCs w:val="22"/>
        </w:rPr>
        <w:t>2</w:t>
      </w:r>
      <w:r>
        <w:rPr>
          <w:rFonts w:hint="eastAsia" w:hAnsi="宋体" w:cs="宋体"/>
          <w:sz w:val="22"/>
          <w:szCs w:val="22"/>
        </w:rPr>
        <w:t>）质疑项目的名称、编号；</w:t>
      </w:r>
    </w:p>
    <w:p w14:paraId="26D230F4">
      <w:pPr>
        <w:pStyle w:val="39"/>
        <w:spacing w:line="380" w:lineRule="exact"/>
        <w:ind w:firstLine="495" w:firstLineChars="225"/>
        <w:rPr>
          <w:rFonts w:hint="eastAsia" w:hAnsi="宋体" w:cs="宋体"/>
          <w:sz w:val="22"/>
          <w:szCs w:val="22"/>
        </w:rPr>
      </w:pPr>
      <w:r>
        <w:rPr>
          <w:rFonts w:hint="eastAsia" w:hAnsi="宋体" w:cs="宋体"/>
          <w:sz w:val="22"/>
          <w:szCs w:val="22"/>
        </w:rPr>
        <w:t>（</w:t>
      </w:r>
      <w:r>
        <w:rPr>
          <w:rFonts w:hAnsi="宋体" w:cs="宋体"/>
          <w:sz w:val="22"/>
          <w:szCs w:val="22"/>
        </w:rPr>
        <w:t>3</w:t>
      </w:r>
      <w:r>
        <w:rPr>
          <w:rFonts w:hint="eastAsia" w:hAnsi="宋体" w:cs="宋体"/>
          <w:sz w:val="22"/>
          <w:szCs w:val="22"/>
        </w:rPr>
        <w:t>）具体、明确的质疑事项和与质疑事项相关的请求；</w:t>
      </w:r>
    </w:p>
    <w:p w14:paraId="576806BB">
      <w:pPr>
        <w:pStyle w:val="39"/>
        <w:spacing w:line="380" w:lineRule="exact"/>
        <w:ind w:firstLine="495" w:firstLineChars="225"/>
        <w:rPr>
          <w:rFonts w:hint="eastAsia" w:hAnsi="宋体" w:cs="宋体"/>
          <w:sz w:val="22"/>
          <w:szCs w:val="22"/>
        </w:rPr>
      </w:pPr>
      <w:r>
        <w:rPr>
          <w:rFonts w:hint="eastAsia" w:hAnsi="宋体" w:cs="宋体"/>
          <w:sz w:val="22"/>
          <w:szCs w:val="22"/>
        </w:rPr>
        <w:t>（</w:t>
      </w:r>
      <w:r>
        <w:rPr>
          <w:rFonts w:hAnsi="宋体" w:cs="宋体"/>
          <w:sz w:val="22"/>
          <w:szCs w:val="22"/>
        </w:rPr>
        <w:t>4</w:t>
      </w:r>
      <w:r>
        <w:rPr>
          <w:rFonts w:hint="eastAsia" w:hAnsi="宋体" w:cs="宋体"/>
          <w:sz w:val="22"/>
          <w:szCs w:val="22"/>
        </w:rPr>
        <w:t>）事实依据；</w:t>
      </w:r>
    </w:p>
    <w:p w14:paraId="2AC9BED4">
      <w:pPr>
        <w:pStyle w:val="39"/>
        <w:spacing w:line="380" w:lineRule="exact"/>
        <w:ind w:firstLine="495" w:firstLineChars="225"/>
        <w:rPr>
          <w:rFonts w:hint="eastAsia" w:hAnsi="宋体" w:cs="宋体"/>
          <w:sz w:val="22"/>
          <w:szCs w:val="22"/>
        </w:rPr>
      </w:pPr>
      <w:r>
        <w:rPr>
          <w:rFonts w:hint="eastAsia" w:hAnsi="宋体" w:cs="宋体"/>
          <w:sz w:val="22"/>
          <w:szCs w:val="22"/>
        </w:rPr>
        <w:t>（</w:t>
      </w:r>
      <w:r>
        <w:rPr>
          <w:rFonts w:hAnsi="宋体" w:cs="宋体"/>
          <w:sz w:val="22"/>
          <w:szCs w:val="22"/>
        </w:rPr>
        <w:t>5</w:t>
      </w:r>
      <w:r>
        <w:rPr>
          <w:rFonts w:hint="eastAsia" w:hAnsi="宋体" w:cs="宋体"/>
          <w:sz w:val="22"/>
          <w:szCs w:val="22"/>
        </w:rPr>
        <w:t>）必要的法律依据；</w:t>
      </w:r>
    </w:p>
    <w:p w14:paraId="61A5C670">
      <w:pPr>
        <w:pStyle w:val="39"/>
        <w:spacing w:line="380" w:lineRule="exact"/>
        <w:ind w:firstLine="495" w:firstLineChars="225"/>
        <w:rPr>
          <w:rFonts w:hint="eastAsia" w:hAnsi="宋体" w:cs="宋体"/>
          <w:sz w:val="22"/>
          <w:szCs w:val="22"/>
        </w:rPr>
      </w:pPr>
      <w:r>
        <w:rPr>
          <w:rFonts w:hint="eastAsia" w:hAnsi="宋体" w:cs="宋体"/>
          <w:sz w:val="22"/>
          <w:szCs w:val="22"/>
        </w:rPr>
        <w:t>（</w:t>
      </w:r>
      <w:r>
        <w:rPr>
          <w:rFonts w:hAnsi="宋体" w:cs="宋体"/>
          <w:sz w:val="22"/>
          <w:szCs w:val="22"/>
        </w:rPr>
        <w:t>6</w:t>
      </w:r>
      <w:r>
        <w:rPr>
          <w:rFonts w:hint="eastAsia" w:hAnsi="宋体" w:cs="宋体"/>
          <w:sz w:val="22"/>
          <w:szCs w:val="22"/>
        </w:rPr>
        <w:t>）提出质疑的日期。</w:t>
      </w:r>
    </w:p>
    <w:p w14:paraId="2DBB784A">
      <w:pPr>
        <w:pStyle w:val="39"/>
        <w:spacing w:line="380" w:lineRule="exact"/>
        <w:ind w:firstLine="495" w:firstLineChars="225"/>
        <w:rPr>
          <w:rFonts w:hint="eastAsia" w:hAnsi="宋体" w:cs="宋体"/>
          <w:sz w:val="22"/>
          <w:szCs w:val="22"/>
        </w:rPr>
      </w:pPr>
      <w:r>
        <w:rPr>
          <w:rFonts w:hint="eastAsia" w:hAnsi="宋体" w:cs="宋体"/>
          <w:sz w:val="22"/>
          <w:szCs w:val="22"/>
        </w:rPr>
        <w:t>供应商为自然人的，应当由本人签字；供应商为法人或其他组织的，应当由法定代表人、主要负责人，或者其授权代表签字或者盖章，并加盖公章。</w:t>
      </w:r>
    </w:p>
    <w:p w14:paraId="77DDED35">
      <w:pPr>
        <w:pStyle w:val="39"/>
        <w:spacing w:line="380" w:lineRule="exact"/>
        <w:ind w:firstLine="495" w:firstLineChars="225"/>
        <w:rPr>
          <w:rFonts w:hint="eastAsia" w:hAnsi="宋体" w:cs="宋体"/>
          <w:sz w:val="22"/>
          <w:szCs w:val="22"/>
        </w:rPr>
      </w:pPr>
      <w:r>
        <w:rPr>
          <w:rFonts w:hAnsi="宋体" w:cs="宋体"/>
          <w:sz w:val="22"/>
          <w:szCs w:val="22"/>
        </w:rPr>
        <w:t>2.3</w:t>
      </w:r>
      <w:r>
        <w:rPr>
          <w:rFonts w:hint="eastAsia" w:hAnsi="宋体" w:cs="宋体"/>
          <w:sz w:val="22"/>
          <w:szCs w:val="22"/>
        </w:rPr>
        <w:t>采购人、招标代理机构应当在收到供应商的书面质疑后七个工作日内作出答复，并以书面形式通知质疑供应商和其他有关供应商，但答复的内容不得涉及商业秘密。</w:t>
      </w:r>
    </w:p>
    <w:p w14:paraId="3F78511F">
      <w:pPr>
        <w:pStyle w:val="39"/>
        <w:adjustRightInd w:val="0"/>
        <w:snapToGrid w:val="0"/>
        <w:spacing w:line="380" w:lineRule="exact"/>
        <w:ind w:firstLine="433" w:firstLineChars="197"/>
        <w:rPr>
          <w:rFonts w:hint="eastAsia" w:hAnsi="宋体"/>
          <w:sz w:val="22"/>
          <w:szCs w:val="22"/>
        </w:rPr>
      </w:pPr>
      <w:r>
        <w:rPr>
          <w:rFonts w:hAnsi="宋体"/>
          <w:sz w:val="22"/>
          <w:szCs w:val="22"/>
        </w:rPr>
        <w:t>3.</w:t>
      </w:r>
      <w:r>
        <w:rPr>
          <w:rFonts w:hint="eastAsia" w:hAnsi="宋体"/>
          <w:sz w:val="22"/>
          <w:szCs w:val="22"/>
        </w:rPr>
        <w:t>供应商投诉</w:t>
      </w:r>
    </w:p>
    <w:p w14:paraId="2F614AD4">
      <w:pPr>
        <w:pStyle w:val="39"/>
        <w:spacing w:line="380" w:lineRule="exact"/>
        <w:ind w:firstLine="495" w:firstLineChars="225"/>
        <w:rPr>
          <w:rFonts w:hint="eastAsia" w:hAnsi="宋体" w:cs="宋体"/>
          <w:sz w:val="22"/>
          <w:szCs w:val="22"/>
        </w:rPr>
      </w:pPr>
      <w:r>
        <w:rPr>
          <w:rFonts w:hAnsi="宋体" w:cs="宋体"/>
          <w:sz w:val="22"/>
          <w:szCs w:val="22"/>
        </w:rPr>
        <w:t>3.1</w:t>
      </w:r>
      <w:r>
        <w:rPr>
          <w:rFonts w:hint="eastAsia" w:hAnsi="宋体" w:cs="宋体"/>
          <w:sz w:val="22"/>
          <w:szCs w:val="22"/>
        </w:rPr>
        <w:t>供应商投诉应当提交投诉书和必要的证明材料。供应商投诉的事项不得超出已质疑事项的范围（基于质疑答复内容提出的投诉事项除外）。</w:t>
      </w:r>
    </w:p>
    <w:p w14:paraId="5B695316">
      <w:pPr>
        <w:pStyle w:val="39"/>
        <w:spacing w:line="380" w:lineRule="exact"/>
        <w:ind w:firstLine="495" w:firstLineChars="225"/>
        <w:rPr>
          <w:rFonts w:hint="eastAsia" w:hAnsi="宋体" w:cs="宋体"/>
          <w:sz w:val="22"/>
          <w:szCs w:val="22"/>
        </w:rPr>
      </w:pPr>
      <w:r>
        <w:rPr>
          <w:rFonts w:hAnsi="宋体" w:cs="宋体"/>
          <w:sz w:val="22"/>
          <w:szCs w:val="22"/>
        </w:rPr>
        <w:t>3.2</w:t>
      </w:r>
      <w:r>
        <w:rPr>
          <w:rFonts w:hint="eastAsia" w:hAnsi="宋体" w:cs="宋体"/>
          <w:sz w:val="22"/>
          <w:szCs w:val="22"/>
        </w:rPr>
        <w:t>质疑供应商对采购人、招标代理机构的答复不满意或者采购人、招标代理机构未在规定的时间内作出答复的，可以在答复期满后十五个工作日内向同级财政部门提出投诉。</w:t>
      </w:r>
    </w:p>
    <w:p w14:paraId="2E257AC4">
      <w:pPr>
        <w:pStyle w:val="39"/>
        <w:numPr>
          <w:ilvl w:val="0"/>
          <w:numId w:val="4"/>
        </w:numPr>
        <w:spacing w:line="380" w:lineRule="exact"/>
        <w:ind w:firstLine="495" w:firstLineChars="225"/>
        <w:rPr>
          <w:rFonts w:hint="eastAsia" w:hAnsi="宋体" w:cs="宋体"/>
          <w:sz w:val="22"/>
          <w:szCs w:val="22"/>
          <w:lang w:val="en-US" w:eastAsia="zh-CN"/>
        </w:rPr>
      </w:pPr>
      <w:r>
        <w:rPr>
          <w:rFonts w:hint="eastAsia" w:hAnsi="宋体" w:cs="宋体"/>
          <w:sz w:val="22"/>
          <w:szCs w:val="22"/>
          <w:lang w:val="en-US" w:eastAsia="zh-CN"/>
        </w:rPr>
        <w:t>招标代理费</w:t>
      </w:r>
    </w:p>
    <w:p w14:paraId="3BA9AC4C">
      <w:pPr>
        <w:pStyle w:val="39"/>
        <w:spacing w:line="380" w:lineRule="exact"/>
        <w:ind w:firstLine="495" w:firstLineChars="225"/>
        <w:rPr>
          <w:rFonts w:hint="default" w:hAnsi="宋体" w:cs="宋体"/>
          <w:sz w:val="22"/>
          <w:szCs w:val="22"/>
          <w:lang w:val="en-US" w:eastAsia="zh-CN"/>
        </w:rPr>
      </w:pPr>
      <w:r>
        <w:rPr>
          <w:rFonts w:hint="default" w:hAnsi="宋体" w:cs="宋体"/>
          <w:sz w:val="22"/>
          <w:szCs w:val="22"/>
          <w:lang w:val="en-US" w:eastAsia="zh-CN"/>
        </w:rPr>
        <w:t>本项目不收取招标代理费</w:t>
      </w:r>
      <w:r>
        <w:rPr>
          <w:rFonts w:hint="eastAsia" w:hAnsi="宋体" w:cs="宋体"/>
          <w:sz w:val="22"/>
          <w:szCs w:val="22"/>
          <w:lang w:val="en-US" w:eastAsia="zh-CN"/>
        </w:rPr>
        <w:t>。</w:t>
      </w:r>
    </w:p>
    <w:p w14:paraId="6F0F4E3C">
      <w:pPr>
        <w:pStyle w:val="39"/>
        <w:spacing w:line="400" w:lineRule="exact"/>
        <w:ind w:firstLine="495" w:firstLineChars="225"/>
        <w:rPr>
          <w:rFonts w:hint="eastAsia" w:hAnsi="宋体" w:cs="宋体"/>
          <w:sz w:val="22"/>
          <w:szCs w:val="22"/>
        </w:rPr>
      </w:pPr>
    </w:p>
    <w:p w14:paraId="22860FA0">
      <w:pPr>
        <w:rPr>
          <w:rFonts w:hint="eastAsia" w:hAnsi="宋体" w:cs="宋体"/>
          <w:sz w:val="22"/>
          <w:szCs w:val="22"/>
        </w:rPr>
      </w:pPr>
      <w:r>
        <w:rPr>
          <w:rFonts w:hint="eastAsia" w:hAnsi="宋体" w:cs="宋体"/>
          <w:sz w:val="22"/>
          <w:szCs w:val="22"/>
        </w:rPr>
        <w:br w:type="page"/>
      </w:r>
    </w:p>
    <w:p w14:paraId="26084042">
      <w:pPr>
        <w:pStyle w:val="14"/>
        <w:spacing w:line="400" w:lineRule="exact"/>
        <w:rPr>
          <w:rFonts w:hint="eastAsia" w:hAnsi="宋体" w:cs="宋体"/>
          <w:sz w:val="22"/>
          <w:szCs w:val="22"/>
        </w:rPr>
      </w:pPr>
      <w:r>
        <w:rPr>
          <w:rFonts w:hint="eastAsia" w:hAnsi="宋体" w:cs="宋体"/>
          <w:sz w:val="22"/>
          <w:szCs w:val="22"/>
        </w:rPr>
        <w:t>附1：投诉书范本</w:t>
      </w:r>
    </w:p>
    <w:p w14:paraId="21DEB09D">
      <w:pPr>
        <w:jc w:val="center"/>
        <w:rPr>
          <w:rFonts w:hint="eastAsia" w:ascii="宋体" w:hAnsi="宋体"/>
          <w:b/>
          <w:sz w:val="44"/>
          <w:szCs w:val="44"/>
        </w:rPr>
      </w:pPr>
      <w:r>
        <w:rPr>
          <w:rFonts w:hint="eastAsia" w:ascii="宋体" w:hAnsi="宋体"/>
          <w:b/>
          <w:sz w:val="44"/>
          <w:szCs w:val="44"/>
        </w:rPr>
        <w:t>投诉书范本</w:t>
      </w:r>
    </w:p>
    <w:p w14:paraId="26487F12">
      <w:pPr>
        <w:spacing w:line="400" w:lineRule="exact"/>
        <w:ind w:firstLine="420" w:firstLineChars="200"/>
        <w:rPr>
          <w:rFonts w:hint="eastAsia" w:ascii="宋体" w:hAnsi="宋体"/>
          <w:szCs w:val="21"/>
        </w:rPr>
      </w:pPr>
      <w:r>
        <w:rPr>
          <w:rFonts w:hint="eastAsia" w:ascii="宋体" w:hAnsi="宋体"/>
          <w:szCs w:val="21"/>
        </w:rPr>
        <w:t>一、投诉相关主体基本情况</w:t>
      </w:r>
    </w:p>
    <w:p w14:paraId="156E4D7B">
      <w:pPr>
        <w:spacing w:line="400" w:lineRule="exact"/>
        <w:ind w:firstLine="420" w:firstLineChars="200"/>
        <w:rPr>
          <w:rFonts w:hint="eastAsia" w:ascii="宋体" w:hAnsi="宋体"/>
          <w:szCs w:val="21"/>
          <w:u w:val="dotted"/>
        </w:rPr>
      </w:pPr>
      <w:r>
        <w:rPr>
          <w:rFonts w:hint="eastAsia" w:ascii="宋体" w:hAnsi="宋体"/>
          <w:szCs w:val="21"/>
        </w:rPr>
        <w:t>投诉人：</w:t>
      </w:r>
    </w:p>
    <w:p w14:paraId="5FAC04DE">
      <w:pPr>
        <w:spacing w:line="400" w:lineRule="exact"/>
        <w:ind w:firstLine="420" w:firstLineChars="200"/>
        <w:rPr>
          <w:rFonts w:hint="eastAsia" w:ascii="宋体" w:hAnsi="宋体"/>
          <w:szCs w:val="21"/>
          <w:u w:val="single"/>
        </w:rPr>
      </w:pPr>
      <w:r>
        <w:rPr>
          <w:rFonts w:hint="eastAsia" w:ascii="宋体" w:hAnsi="宋体"/>
          <w:szCs w:val="21"/>
        </w:rPr>
        <w:t>地     址：邮编：</w:t>
      </w:r>
    </w:p>
    <w:p w14:paraId="1B7C4956">
      <w:pPr>
        <w:tabs>
          <w:tab w:val="left" w:pos="6510"/>
        </w:tabs>
        <w:spacing w:line="400" w:lineRule="exact"/>
        <w:ind w:firstLine="420" w:firstLineChars="200"/>
        <w:jc w:val="left"/>
        <w:rPr>
          <w:rFonts w:hint="eastAsia" w:ascii="宋体" w:hAnsi="宋体"/>
          <w:szCs w:val="21"/>
        </w:rPr>
      </w:pPr>
      <w:r>
        <w:rPr>
          <w:rFonts w:hint="eastAsia" w:ascii="宋体" w:hAnsi="宋体"/>
          <w:szCs w:val="21"/>
        </w:rPr>
        <w:t>法定代表人/主要负责人：</w:t>
      </w:r>
    </w:p>
    <w:p w14:paraId="6A747A5A">
      <w:pPr>
        <w:tabs>
          <w:tab w:val="left" w:pos="6510"/>
        </w:tabs>
        <w:spacing w:line="400" w:lineRule="exact"/>
        <w:ind w:firstLine="420" w:firstLineChars="200"/>
        <w:rPr>
          <w:rFonts w:hint="eastAsia" w:ascii="宋体" w:hAnsi="宋体"/>
          <w:szCs w:val="21"/>
          <w:u w:val="dotted"/>
        </w:rPr>
      </w:pPr>
      <w:r>
        <w:rPr>
          <w:rFonts w:hint="eastAsia" w:ascii="宋体" w:hAnsi="宋体"/>
          <w:szCs w:val="21"/>
        </w:rPr>
        <w:t>联系电话：</w:t>
      </w:r>
    </w:p>
    <w:p w14:paraId="67C89342">
      <w:pPr>
        <w:spacing w:line="400" w:lineRule="exact"/>
        <w:ind w:firstLine="420" w:firstLineChars="200"/>
        <w:rPr>
          <w:rFonts w:hint="eastAsia" w:ascii="宋体" w:hAnsi="宋体"/>
          <w:szCs w:val="21"/>
          <w:u w:val="dotted"/>
        </w:rPr>
      </w:pPr>
      <w:r>
        <w:rPr>
          <w:rFonts w:hint="eastAsia" w:ascii="宋体" w:hAnsi="宋体"/>
          <w:szCs w:val="21"/>
        </w:rPr>
        <w:t>授权代表：联系电话</w:t>
      </w:r>
      <w:r>
        <w:rPr>
          <w:rFonts w:hint="eastAsia" w:ascii="宋体" w:hAnsi="宋体"/>
          <w:szCs w:val="21"/>
          <w:u w:val="dotted"/>
        </w:rPr>
        <w:t xml:space="preserve">：                  </w:t>
      </w:r>
    </w:p>
    <w:p w14:paraId="529324E8">
      <w:pPr>
        <w:spacing w:line="400" w:lineRule="exact"/>
        <w:ind w:firstLine="420" w:firstLineChars="200"/>
        <w:rPr>
          <w:rFonts w:hint="eastAsia" w:ascii="宋体" w:hAnsi="宋体"/>
          <w:szCs w:val="21"/>
          <w:u w:val="dotted"/>
        </w:rPr>
      </w:pPr>
      <w:r>
        <w:rPr>
          <w:rFonts w:hint="eastAsia" w:ascii="宋体" w:hAnsi="宋体"/>
          <w:szCs w:val="21"/>
        </w:rPr>
        <w:t>地     址：邮编：</w:t>
      </w:r>
    </w:p>
    <w:p w14:paraId="15C94340">
      <w:pPr>
        <w:spacing w:line="400" w:lineRule="exact"/>
        <w:ind w:firstLine="420" w:firstLineChars="200"/>
        <w:rPr>
          <w:rFonts w:hint="eastAsia" w:ascii="宋体" w:hAnsi="宋体"/>
          <w:szCs w:val="21"/>
          <w:u w:val="single"/>
        </w:rPr>
      </w:pPr>
      <w:r>
        <w:rPr>
          <w:rFonts w:hint="eastAsia" w:ascii="宋体" w:hAnsi="宋体"/>
          <w:szCs w:val="21"/>
        </w:rPr>
        <w:t>被投诉人1：</w:t>
      </w:r>
    </w:p>
    <w:p w14:paraId="24B8AA8F">
      <w:pPr>
        <w:spacing w:line="400" w:lineRule="exact"/>
        <w:ind w:firstLine="420" w:firstLineChars="200"/>
        <w:rPr>
          <w:rFonts w:hint="eastAsia" w:ascii="宋体" w:hAnsi="宋体"/>
          <w:szCs w:val="21"/>
          <w:u w:val="single"/>
        </w:rPr>
      </w:pPr>
      <w:r>
        <w:rPr>
          <w:rFonts w:hint="eastAsia" w:ascii="宋体" w:hAnsi="宋体"/>
          <w:szCs w:val="21"/>
        </w:rPr>
        <w:t>地     址：邮编：</w:t>
      </w:r>
    </w:p>
    <w:p w14:paraId="7E63F6A3">
      <w:pPr>
        <w:spacing w:line="400" w:lineRule="exact"/>
        <w:ind w:firstLine="420" w:firstLineChars="200"/>
        <w:rPr>
          <w:rFonts w:hint="eastAsia" w:ascii="宋体" w:hAnsi="宋体"/>
          <w:szCs w:val="21"/>
          <w:u w:val="single"/>
        </w:rPr>
      </w:pPr>
      <w:r>
        <w:rPr>
          <w:rFonts w:hint="eastAsia" w:ascii="宋体" w:hAnsi="宋体"/>
          <w:szCs w:val="21"/>
        </w:rPr>
        <w:t>联系人：联系电话：</w:t>
      </w:r>
    </w:p>
    <w:p w14:paraId="514FC8E9">
      <w:pPr>
        <w:spacing w:line="400" w:lineRule="exact"/>
        <w:ind w:firstLine="420" w:firstLineChars="200"/>
        <w:rPr>
          <w:rFonts w:hint="eastAsia" w:ascii="宋体" w:hAnsi="宋体"/>
          <w:szCs w:val="21"/>
        </w:rPr>
      </w:pPr>
      <w:r>
        <w:rPr>
          <w:rFonts w:hint="eastAsia" w:ascii="宋体" w:hAnsi="宋体"/>
          <w:szCs w:val="21"/>
        </w:rPr>
        <w:t>被投诉人2</w:t>
      </w:r>
    </w:p>
    <w:p w14:paraId="4731647D">
      <w:pPr>
        <w:spacing w:line="400" w:lineRule="exact"/>
        <w:ind w:firstLine="420" w:firstLineChars="200"/>
        <w:rPr>
          <w:rFonts w:hint="eastAsia" w:ascii="宋体" w:hAnsi="宋体"/>
          <w:szCs w:val="21"/>
          <w:u w:val="dotted"/>
        </w:rPr>
      </w:pPr>
      <w:r>
        <w:rPr>
          <w:rFonts w:hint="eastAsia" w:ascii="宋体" w:hAnsi="宋体"/>
          <w:szCs w:val="21"/>
        </w:rPr>
        <w:t>……</w:t>
      </w:r>
    </w:p>
    <w:p w14:paraId="7843840B">
      <w:pPr>
        <w:spacing w:line="400" w:lineRule="exact"/>
        <w:ind w:firstLine="420" w:firstLineChars="200"/>
        <w:rPr>
          <w:rFonts w:hint="eastAsia" w:ascii="宋体" w:hAnsi="宋体"/>
          <w:szCs w:val="21"/>
          <w:u w:val="single"/>
        </w:rPr>
      </w:pPr>
      <w:r>
        <w:rPr>
          <w:rFonts w:hint="eastAsia" w:ascii="宋体" w:hAnsi="宋体"/>
          <w:szCs w:val="21"/>
        </w:rPr>
        <w:t>相关供应商：</w:t>
      </w:r>
    </w:p>
    <w:p w14:paraId="1043CB6E">
      <w:pPr>
        <w:spacing w:line="400" w:lineRule="exact"/>
        <w:ind w:firstLine="420" w:firstLineChars="200"/>
        <w:rPr>
          <w:rFonts w:hint="eastAsia" w:ascii="宋体" w:hAnsi="宋体"/>
          <w:szCs w:val="21"/>
          <w:u w:val="single"/>
        </w:rPr>
      </w:pPr>
      <w:r>
        <w:rPr>
          <w:rFonts w:hint="eastAsia" w:ascii="宋体" w:hAnsi="宋体"/>
          <w:szCs w:val="21"/>
        </w:rPr>
        <w:t>地     址：邮编：</w:t>
      </w:r>
    </w:p>
    <w:p w14:paraId="122774B0">
      <w:pPr>
        <w:spacing w:line="400" w:lineRule="exact"/>
        <w:ind w:firstLine="420" w:firstLineChars="200"/>
        <w:rPr>
          <w:rFonts w:hint="eastAsia" w:ascii="宋体" w:hAnsi="宋体"/>
          <w:szCs w:val="21"/>
          <w:u w:val="single"/>
        </w:rPr>
      </w:pPr>
      <w:r>
        <w:rPr>
          <w:rFonts w:hint="eastAsia" w:ascii="宋体" w:hAnsi="宋体"/>
          <w:szCs w:val="21"/>
        </w:rPr>
        <w:t>联系人：联系电话：</w:t>
      </w:r>
    </w:p>
    <w:p w14:paraId="0992652E">
      <w:pPr>
        <w:spacing w:line="400" w:lineRule="exact"/>
        <w:ind w:firstLine="420" w:firstLineChars="200"/>
        <w:rPr>
          <w:rFonts w:hint="eastAsia" w:ascii="宋体" w:hAnsi="宋体"/>
          <w:szCs w:val="21"/>
        </w:rPr>
      </w:pPr>
      <w:r>
        <w:rPr>
          <w:rFonts w:hint="eastAsia" w:ascii="宋体" w:hAnsi="宋体"/>
          <w:szCs w:val="21"/>
        </w:rPr>
        <w:t>二、投诉项目基本情况</w:t>
      </w:r>
    </w:p>
    <w:p w14:paraId="028CFB64">
      <w:pPr>
        <w:spacing w:line="400" w:lineRule="exact"/>
        <w:ind w:firstLine="420" w:firstLineChars="200"/>
        <w:rPr>
          <w:rFonts w:hint="eastAsia" w:ascii="宋体" w:hAnsi="宋体"/>
          <w:szCs w:val="21"/>
          <w:u w:val="dotted"/>
        </w:rPr>
      </w:pPr>
      <w:r>
        <w:rPr>
          <w:rFonts w:hint="eastAsia" w:ascii="宋体" w:hAnsi="宋体"/>
          <w:szCs w:val="21"/>
        </w:rPr>
        <w:t>采购项目名称：</w:t>
      </w:r>
    </w:p>
    <w:p w14:paraId="0DE719D9">
      <w:pPr>
        <w:spacing w:line="400" w:lineRule="exact"/>
        <w:ind w:firstLine="420" w:firstLineChars="200"/>
        <w:rPr>
          <w:rFonts w:hint="eastAsia" w:ascii="宋体" w:hAnsi="宋体"/>
          <w:szCs w:val="21"/>
          <w:u w:val="single"/>
        </w:rPr>
      </w:pPr>
      <w:r>
        <w:rPr>
          <w:rFonts w:hint="eastAsia" w:ascii="宋体" w:hAnsi="宋体"/>
          <w:szCs w:val="21"/>
        </w:rPr>
        <w:t>采购项目编号：包号：</w:t>
      </w:r>
    </w:p>
    <w:p w14:paraId="3A64F9C3">
      <w:pPr>
        <w:spacing w:line="400" w:lineRule="exact"/>
        <w:ind w:firstLine="420" w:firstLineChars="200"/>
        <w:rPr>
          <w:rFonts w:hint="eastAsia" w:ascii="宋体" w:hAnsi="宋体"/>
          <w:szCs w:val="21"/>
        </w:rPr>
      </w:pPr>
      <w:r>
        <w:rPr>
          <w:rFonts w:hint="eastAsia" w:ascii="宋体" w:hAnsi="宋体"/>
          <w:szCs w:val="21"/>
        </w:rPr>
        <w:t>采购人名称：</w:t>
      </w:r>
    </w:p>
    <w:p w14:paraId="3442D39C">
      <w:pPr>
        <w:spacing w:line="400" w:lineRule="exact"/>
        <w:ind w:firstLine="420" w:firstLineChars="200"/>
        <w:rPr>
          <w:rFonts w:hint="eastAsia" w:ascii="宋体" w:hAnsi="宋体"/>
          <w:szCs w:val="21"/>
          <w:u w:val="single"/>
        </w:rPr>
      </w:pPr>
      <w:r>
        <w:rPr>
          <w:rFonts w:hint="eastAsia" w:ascii="宋体" w:hAnsi="宋体"/>
          <w:szCs w:val="21"/>
        </w:rPr>
        <w:t>代理机构名称：</w:t>
      </w:r>
    </w:p>
    <w:p w14:paraId="3F91F015">
      <w:pPr>
        <w:spacing w:line="400" w:lineRule="exact"/>
        <w:ind w:firstLine="420" w:firstLineChars="200"/>
        <w:rPr>
          <w:rFonts w:hint="eastAsia" w:ascii="宋体" w:hAnsi="宋体"/>
          <w:szCs w:val="21"/>
          <w:u w:val="dotted"/>
        </w:rPr>
      </w:pPr>
      <w:r>
        <w:rPr>
          <w:rFonts w:hint="eastAsia" w:ascii="宋体" w:hAnsi="宋体"/>
          <w:szCs w:val="21"/>
        </w:rPr>
        <w:t>采购文件公告:</w:t>
      </w:r>
      <w:r>
        <w:rPr>
          <w:rFonts w:hint="eastAsia" w:ascii="宋体" w:hAnsi="宋体"/>
          <w:szCs w:val="21"/>
          <w:u w:val="dotted"/>
        </w:rPr>
        <w:t xml:space="preserve">是/否 </w:t>
      </w:r>
      <w:r>
        <w:rPr>
          <w:rFonts w:hint="eastAsia" w:ascii="宋体" w:hAnsi="宋体"/>
          <w:szCs w:val="21"/>
        </w:rPr>
        <w:t>公告期限：</w:t>
      </w:r>
    </w:p>
    <w:p w14:paraId="21E2513A">
      <w:pPr>
        <w:spacing w:line="400" w:lineRule="exact"/>
        <w:ind w:firstLine="420" w:firstLineChars="200"/>
        <w:rPr>
          <w:rFonts w:hint="eastAsia" w:ascii="宋体" w:hAnsi="宋体"/>
          <w:szCs w:val="21"/>
          <w:u w:val="single"/>
        </w:rPr>
      </w:pPr>
      <w:r>
        <w:rPr>
          <w:rFonts w:hint="eastAsia" w:ascii="宋体" w:hAnsi="宋体"/>
          <w:szCs w:val="21"/>
        </w:rPr>
        <w:t>采购结果公告:</w:t>
      </w:r>
      <w:r>
        <w:rPr>
          <w:rFonts w:hint="eastAsia" w:ascii="宋体" w:hAnsi="宋体"/>
          <w:szCs w:val="21"/>
          <w:u w:val="dotted"/>
        </w:rPr>
        <w:t xml:space="preserve">是/否 </w:t>
      </w:r>
      <w:r>
        <w:rPr>
          <w:rFonts w:hint="eastAsia" w:ascii="宋体" w:hAnsi="宋体"/>
          <w:szCs w:val="21"/>
        </w:rPr>
        <w:t>公告期限：</w:t>
      </w:r>
    </w:p>
    <w:p w14:paraId="19F92049">
      <w:pPr>
        <w:spacing w:line="400" w:lineRule="exact"/>
        <w:ind w:firstLine="420" w:firstLineChars="200"/>
        <w:rPr>
          <w:rFonts w:hint="eastAsia" w:ascii="宋体" w:hAnsi="宋体"/>
          <w:szCs w:val="21"/>
        </w:rPr>
      </w:pPr>
      <w:r>
        <w:rPr>
          <w:rFonts w:hint="eastAsia" w:ascii="宋体" w:hAnsi="宋体"/>
          <w:szCs w:val="21"/>
        </w:rPr>
        <w:t>三、质疑基本情况</w:t>
      </w:r>
    </w:p>
    <w:p w14:paraId="5077AA6A">
      <w:pPr>
        <w:spacing w:line="400" w:lineRule="exact"/>
        <w:ind w:firstLine="420" w:firstLineChars="200"/>
        <w:rPr>
          <w:rFonts w:hint="eastAsia" w:ascii="宋体" w:hAnsi="宋体"/>
          <w:szCs w:val="21"/>
          <w:u w:val="dotted"/>
        </w:rPr>
      </w:pPr>
      <w:r>
        <w:rPr>
          <w:rFonts w:hint="eastAsia" w:ascii="宋体" w:hAnsi="宋体"/>
          <w:szCs w:val="21"/>
        </w:rPr>
        <w:t>投诉人于年月日,向提出质疑，质疑事项为：</w:t>
      </w:r>
    </w:p>
    <w:p w14:paraId="6CA731D0">
      <w:pPr>
        <w:spacing w:line="400" w:lineRule="exact"/>
        <w:ind w:firstLine="420" w:firstLineChars="200"/>
        <w:rPr>
          <w:rFonts w:hint="eastAsia" w:ascii="宋体" w:hAnsi="宋体"/>
          <w:szCs w:val="21"/>
          <w:u w:val="dotted"/>
        </w:rPr>
      </w:pPr>
    </w:p>
    <w:p w14:paraId="009200E5">
      <w:pPr>
        <w:spacing w:line="400" w:lineRule="exact"/>
        <w:ind w:firstLine="420" w:firstLineChars="200"/>
        <w:rPr>
          <w:rFonts w:hint="eastAsia" w:ascii="宋体" w:hAnsi="宋体"/>
          <w:szCs w:val="21"/>
        </w:rPr>
      </w:pPr>
      <w:r>
        <w:rPr>
          <w:rFonts w:hint="eastAsia" w:ascii="宋体" w:hAnsi="宋体"/>
          <w:szCs w:val="21"/>
          <w:u w:val="dotted"/>
        </w:rPr>
        <w:t>采购人/代理机构</w:t>
      </w:r>
      <w:r>
        <w:rPr>
          <w:rFonts w:hint="eastAsia" w:ascii="宋体" w:hAnsi="宋体"/>
          <w:szCs w:val="21"/>
        </w:rPr>
        <w:t>于年月日,就质疑事项作出了答复/没有在法定期限内作出答复。</w:t>
      </w:r>
    </w:p>
    <w:p w14:paraId="7975DAA7">
      <w:pPr>
        <w:spacing w:line="400" w:lineRule="exact"/>
        <w:ind w:firstLine="420" w:firstLineChars="200"/>
        <w:rPr>
          <w:rFonts w:hint="eastAsia" w:ascii="宋体" w:hAnsi="宋体"/>
          <w:szCs w:val="21"/>
        </w:rPr>
      </w:pPr>
      <w:r>
        <w:rPr>
          <w:rFonts w:hint="eastAsia" w:ascii="宋体" w:hAnsi="宋体"/>
          <w:szCs w:val="21"/>
        </w:rPr>
        <w:t>四、投诉事项具体内容</w:t>
      </w:r>
    </w:p>
    <w:p w14:paraId="3064BCF8">
      <w:pPr>
        <w:spacing w:line="400" w:lineRule="exact"/>
        <w:ind w:firstLine="420" w:firstLineChars="200"/>
        <w:rPr>
          <w:rFonts w:hint="eastAsia" w:ascii="宋体" w:hAnsi="宋体"/>
          <w:szCs w:val="21"/>
          <w:u w:val="single"/>
        </w:rPr>
      </w:pPr>
      <w:r>
        <w:rPr>
          <w:rFonts w:hint="eastAsia" w:ascii="宋体" w:hAnsi="宋体"/>
          <w:szCs w:val="21"/>
        </w:rPr>
        <w:t>投诉事项 1：</w:t>
      </w:r>
    </w:p>
    <w:p w14:paraId="29EB1119">
      <w:pPr>
        <w:spacing w:line="400" w:lineRule="exact"/>
        <w:ind w:firstLine="420" w:firstLineChars="200"/>
        <w:rPr>
          <w:rFonts w:hint="eastAsia" w:ascii="宋体" w:hAnsi="宋体"/>
          <w:szCs w:val="21"/>
        </w:rPr>
      </w:pPr>
      <w:r>
        <w:rPr>
          <w:rFonts w:hint="eastAsia" w:ascii="宋体" w:hAnsi="宋体"/>
          <w:szCs w:val="21"/>
        </w:rPr>
        <w:t>事实依据：</w:t>
      </w:r>
    </w:p>
    <w:p w14:paraId="50E9C243">
      <w:pPr>
        <w:spacing w:line="400" w:lineRule="exact"/>
        <w:ind w:firstLine="420" w:firstLineChars="200"/>
        <w:rPr>
          <w:rFonts w:hint="eastAsia" w:ascii="宋体" w:hAnsi="宋体"/>
          <w:szCs w:val="21"/>
          <w:u w:val="dotted"/>
        </w:rPr>
      </w:pPr>
    </w:p>
    <w:p w14:paraId="393B5805">
      <w:pPr>
        <w:spacing w:line="400" w:lineRule="exact"/>
        <w:ind w:firstLine="420" w:firstLineChars="200"/>
        <w:rPr>
          <w:rFonts w:hint="eastAsia" w:ascii="宋体" w:hAnsi="宋体"/>
          <w:szCs w:val="21"/>
          <w:u w:val="single"/>
        </w:rPr>
      </w:pPr>
      <w:r>
        <w:rPr>
          <w:rFonts w:hint="eastAsia" w:ascii="宋体" w:hAnsi="宋体"/>
          <w:szCs w:val="21"/>
        </w:rPr>
        <w:t>法律依据：</w:t>
      </w:r>
    </w:p>
    <w:p w14:paraId="3D1B95D2">
      <w:pPr>
        <w:spacing w:line="400" w:lineRule="exact"/>
        <w:ind w:firstLine="420" w:firstLineChars="200"/>
        <w:rPr>
          <w:rFonts w:hint="eastAsia" w:ascii="宋体" w:hAnsi="宋体"/>
          <w:szCs w:val="21"/>
          <w:u w:val="dotted"/>
        </w:rPr>
      </w:pPr>
    </w:p>
    <w:p w14:paraId="61A92F39">
      <w:pPr>
        <w:spacing w:line="400" w:lineRule="exact"/>
        <w:ind w:firstLine="420" w:firstLineChars="200"/>
        <w:rPr>
          <w:rFonts w:hint="eastAsia" w:ascii="宋体" w:hAnsi="宋体"/>
          <w:szCs w:val="21"/>
        </w:rPr>
      </w:pPr>
      <w:r>
        <w:rPr>
          <w:rFonts w:hint="eastAsia" w:ascii="宋体" w:hAnsi="宋体"/>
          <w:szCs w:val="21"/>
        </w:rPr>
        <w:t>投诉事项2</w:t>
      </w:r>
    </w:p>
    <w:p w14:paraId="055C44FC">
      <w:pPr>
        <w:spacing w:line="400" w:lineRule="exact"/>
        <w:ind w:firstLine="420" w:firstLineChars="200"/>
        <w:rPr>
          <w:rFonts w:hint="eastAsia" w:ascii="宋体" w:hAnsi="宋体"/>
          <w:szCs w:val="21"/>
          <w:u w:val="dotted"/>
        </w:rPr>
      </w:pPr>
      <w:r>
        <w:rPr>
          <w:rFonts w:hint="eastAsia" w:ascii="宋体" w:hAnsi="宋体"/>
          <w:szCs w:val="21"/>
        </w:rPr>
        <w:t>……</w:t>
      </w:r>
    </w:p>
    <w:p w14:paraId="4E87B8A8">
      <w:pPr>
        <w:spacing w:line="400" w:lineRule="exact"/>
        <w:ind w:firstLine="420" w:firstLineChars="200"/>
        <w:rPr>
          <w:rFonts w:hint="eastAsia" w:ascii="宋体" w:hAnsi="宋体"/>
          <w:szCs w:val="21"/>
        </w:rPr>
      </w:pPr>
      <w:r>
        <w:rPr>
          <w:rFonts w:hint="eastAsia" w:ascii="宋体" w:hAnsi="宋体"/>
          <w:szCs w:val="21"/>
        </w:rPr>
        <w:t>五、与投诉事项相关的投诉请求</w:t>
      </w:r>
    </w:p>
    <w:p w14:paraId="25D5DEB6">
      <w:pPr>
        <w:spacing w:line="400" w:lineRule="exact"/>
        <w:ind w:firstLine="420" w:firstLineChars="200"/>
        <w:rPr>
          <w:rFonts w:hint="eastAsia" w:ascii="宋体" w:hAnsi="宋体"/>
          <w:szCs w:val="21"/>
        </w:rPr>
      </w:pPr>
      <w:r>
        <w:rPr>
          <w:rFonts w:hint="eastAsia" w:ascii="宋体" w:hAnsi="宋体"/>
          <w:szCs w:val="21"/>
        </w:rPr>
        <w:t>请求：</w:t>
      </w:r>
    </w:p>
    <w:p w14:paraId="3853B0BD">
      <w:pPr>
        <w:spacing w:line="400" w:lineRule="exact"/>
        <w:ind w:firstLine="420" w:firstLineChars="200"/>
        <w:rPr>
          <w:rFonts w:hint="eastAsia" w:ascii="宋体" w:hAnsi="宋体"/>
          <w:szCs w:val="21"/>
          <w:u w:val="single"/>
        </w:rPr>
      </w:pPr>
    </w:p>
    <w:p w14:paraId="7A2FD9BD">
      <w:pPr>
        <w:spacing w:line="400" w:lineRule="exact"/>
        <w:ind w:firstLine="420" w:firstLineChars="200"/>
        <w:rPr>
          <w:rFonts w:hint="eastAsia" w:ascii="宋体" w:hAnsi="宋体"/>
          <w:szCs w:val="21"/>
        </w:rPr>
      </w:pPr>
      <w:r>
        <w:rPr>
          <w:rFonts w:hint="eastAsia" w:ascii="宋体" w:hAnsi="宋体"/>
          <w:szCs w:val="21"/>
        </w:rPr>
        <w:t xml:space="preserve">签字(签章）：                   公章：                      </w:t>
      </w:r>
    </w:p>
    <w:p w14:paraId="15DF17DE">
      <w:pPr>
        <w:spacing w:line="400" w:lineRule="exact"/>
        <w:ind w:firstLine="420" w:firstLineChars="200"/>
        <w:rPr>
          <w:rFonts w:hint="eastAsia" w:ascii="宋体" w:hAnsi="宋体"/>
          <w:szCs w:val="21"/>
        </w:rPr>
      </w:pPr>
      <w:r>
        <w:rPr>
          <w:rFonts w:hint="eastAsia" w:ascii="宋体" w:hAnsi="宋体"/>
          <w:szCs w:val="21"/>
        </w:rPr>
        <w:t xml:space="preserve">日期：    </w:t>
      </w:r>
    </w:p>
    <w:p w14:paraId="6136B893">
      <w:pPr>
        <w:spacing w:line="400" w:lineRule="exact"/>
        <w:ind w:firstLine="422" w:firstLineChars="200"/>
        <w:rPr>
          <w:rFonts w:hint="eastAsia" w:ascii="宋体" w:hAnsi="宋体"/>
          <w:b/>
          <w:szCs w:val="21"/>
        </w:rPr>
      </w:pPr>
    </w:p>
    <w:p w14:paraId="23F76C3F">
      <w:pPr>
        <w:spacing w:line="400" w:lineRule="exact"/>
        <w:ind w:firstLine="422" w:firstLineChars="200"/>
        <w:rPr>
          <w:rFonts w:hint="eastAsia" w:ascii="宋体" w:hAnsi="宋体"/>
          <w:b/>
          <w:szCs w:val="21"/>
        </w:rPr>
      </w:pPr>
    </w:p>
    <w:p w14:paraId="704FA3D6">
      <w:pPr>
        <w:spacing w:line="400" w:lineRule="exact"/>
        <w:ind w:firstLine="422" w:firstLineChars="200"/>
        <w:rPr>
          <w:rFonts w:hint="eastAsia" w:ascii="宋体" w:hAnsi="宋体"/>
          <w:b/>
          <w:szCs w:val="21"/>
        </w:rPr>
      </w:pPr>
    </w:p>
    <w:p w14:paraId="6EEBC00C">
      <w:pPr>
        <w:spacing w:line="400" w:lineRule="exact"/>
        <w:ind w:firstLine="422" w:firstLineChars="200"/>
        <w:rPr>
          <w:rFonts w:hint="eastAsia" w:ascii="宋体" w:hAnsi="宋体"/>
          <w:b/>
          <w:szCs w:val="21"/>
        </w:rPr>
      </w:pPr>
    </w:p>
    <w:p w14:paraId="09F9CB2C">
      <w:pPr>
        <w:spacing w:line="400" w:lineRule="exact"/>
        <w:ind w:firstLine="422" w:firstLineChars="200"/>
        <w:rPr>
          <w:rFonts w:hint="eastAsia" w:ascii="宋体" w:hAnsi="宋体"/>
          <w:b/>
          <w:szCs w:val="21"/>
        </w:rPr>
      </w:pPr>
    </w:p>
    <w:p w14:paraId="13F1FF6C">
      <w:pPr>
        <w:spacing w:line="400" w:lineRule="exact"/>
        <w:ind w:firstLine="422" w:firstLineChars="200"/>
        <w:rPr>
          <w:rFonts w:hint="eastAsia" w:ascii="宋体" w:hAnsi="宋体"/>
          <w:b/>
          <w:szCs w:val="21"/>
        </w:rPr>
      </w:pPr>
    </w:p>
    <w:p w14:paraId="5223C051">
      <w:pPr>
        <w:spacing w:line="400" w:lineRule="exact"/>
        <w:ind w:firstLine="422" w:firstLineChars="200"/>
        <w:rPr>
          <w:rFonts w:hint="eastAsia" w:ascii="宋体" w:hAnsi="宋体"/>
          <w:b/>
          <w:szCs w:val="21"/>
        </w:rPr>
      </w:pPr>
    </w:p>
    <w:p w14:paraId="45411C4F">
      <w:pPr>
        <w:spacing w:line="400" w:lineRule="exact"/>
        <w:ind w:firstLine="422" w:firstLineChars="200"/>
        <w:rPr>
          <w:rFonts w:hint="eastAsia" w:ascii="宋体" w:hAnsi="宋体"/>
          <w:b/>
          <w:szCs w:val="21"/>
        </w:rPr>
      </w:pPr>
      <w:r>
        <w:rPr>
          <w:rFonts w:hint="eastAsia" w:ascii="宋体" w:hAnsi="宋体"/>
          <w:b/>
          <w:szCs w:val="21"/>
        </w:rPr>
        <w:t>投诉书制作说明：</w:t>
      </w:r>
    </w:p>
    <w:p w14:paraId="7F4D156C">
      <w:pPr>
        <w:widowControl/>
        <w:spacing w:line="400" w:lineRule="exact"/>
        <w:ind w:firstLine="420" w:firstLineChars="200"/>
        <w:rPr>
          <w:rFonts w:hint="eastAsia" w:ascii="宋体" w:hAnsi="宋体" w:cs="宋体"/>
          <w:kern w:val="0"/>
          <w:szCs w:val="21"/>
        </w:rPr>
      </w:pPr>
      <w:r>
        <w:rPr>
          <w:rFonts w:hint="eastAsia" w:ascii="宋体" w:hAnsi="宋体"/>
          <w:szCs w:val="21"/>
        </w:rPr>
        <w:t>1.投诉人提起投诉时，应当提交投诉书和必要的证明材料，并按照被投诉人和与投诉事项有关的供应商数量提供投诉书副本。</w:t>
      </w:r>
    </w:p>
    <w:p w14:paraId="2A45791D">
      <w:pPr>
        <w:widowControl/>
        <w:spacing w:line="400" w:lineRule="exact"/>
        <w:ind w:firstLine="420" w:firstLineChars="200"/>
        <w:jc w:val="left"/>
        <w:rPr>
          <w:rFonts w:hint="eastAsia" w:ascii="宋体" w:hAnsi="宋体" w:cs="宋体"/>
          <w:kern w:val="0"/>
          <w:szCs w:val="21"/>
        </w:rPr>
      </w:pPr>
      <w:r>
        <w:rPr>
          <w:rFonts w:hint="eastAsia" w:ascii="宋体" w:hAnsi="宋体"/>
          <w:szCs w:val="21"/>
        </w:rPr>
        <w:t>2.投诉人若委托代理人进行投诉的，投诉书应按照要求列明“授权代表”的有关内容，并在附件中提交由</w:t>
      </w:r>
      <w:r>
        <w:rPr>
          <w:rFonts w:hint="eastAsia" w:ascii="宋体" w:hAnsi="宋体" w:cs="宋体"/>
          <w:kern w:val="0"/>
          <w:szCs w:val="21"/>
        </w:rPr>
        <w:t>投诉人签署的授权委托书。授权委托书应当载明代理人的姓名或者名称、代理事项、具体权限、期限和相关事项。</w:t>
      </w:r>
    </w:p>
    <w:p w14:paraId="7F5675E5">
      <w:pPr>
        <w:widowControl/>
        <w:spacing w:line="400" w:lineRule="exact"/>
        <w:ind w:firstLine="420" w:firstLineChars="200"/>
        <w:jc w:val="left"/>
        <w:rPr>
          <w:rFonts w:hint="eastAsia" w:ascii="宋体" w:hAnsi="宋体"/>
          <w:szCs w:val="21"/>
        </w:rPr>
      </w:pPr>
      <w:r>
        <w:rPr>
          <w:rFonts w:hint="eastAsia" w:ascii="宋体" w:hAnsi="宋体"/>
          <w:szCs w:val="21"/>
        </w:rPr>
        <w:t>3.投诉人若对项目的某一分包进行投诉，投诉书应列明具体分包号。</w:t>
      </w:r>
    </w:p>
    <w:p w14:paraId="0E3A7AF1">
      <w:pPr>
        <w:widowControl/>
        <w:spacing w:line="400" w:lineRule="exact"/>
        <w:ind w:firstLine="420" w:firstLineChars="200"/>
        <w:jc w:val="left"/>
        <w:rPr>
          <w:rFonts w:hint="eastAsia" w:ascii="宋体" w:hAnsi="宋体"/>
          <w:szCs w:val="21"/>
        </w:rPr>
      </w:pPr>
      <w:r>
        <w:rPr>
          <w:rFonts w:hint="eastAsia" w:ascii="宋体" w:hAnsi="宋体"/>
          <w:szCs w:val="21"/>
        </w:rPr>
        <w:t>4.投诉书应简要列明质疑事项，质疑函、质疑答复等作为附件材料提供。</w:t>
      </w:r>
    </w:p>
    <w:p w14:paraId="5671CA4F">
      <w:pPr>
        <w:widowControl/>
        <w:spacing w:line="400" w:lineRule="exact"/>
        <w:ind w:firstLine="420" w:firstLineChars="200"/>
        <w:jc w:val="left"/>
        <w:rPr>
          <w:rFonts w:hint="eastAsia" w:ascii="宋体" w:hAnsi="宋体"/>
          <w:szCs w:val="21"/>
        </w:rPr>
      </w:pPr>
      <w:r>
        <w:rPr>
          <w:rFonts w:hint="eastAsia" w:ascii="宋体" w:hAnsi="宋体"/>
          <w:szCs w:val="21"/>
        </w:rPr>
        <w:t>5.投诉书的投诉事项应具体、明确，并有必要的事实依据和法律依据。</w:t>
      </w:r>
    </w:p>
    <w:p w14:paraId="4BD8A01C">
      <w:pPr>
        <w:widowControl/>
        <w:spacing w:line="400" w:lineRule="exact"/>
        <w:ind w:firstLine="420" w:firstLineChars="200"/>
        <w:jc w:val="left"/>
        <w:rPr>
          <w:rFonts w:hint="eastAsia" w:ascii="宋体" w:hAnsi="宋体"/>
          <w:szCs w:val="21"/>
        </w:rPr>
      </w:pPr>
      <w:r>
        <w:rPr>
          <w:rFonts w:hint="eastAsia" w:ascii="宋体" w:hAnsi="宋体"/>
          <w:szCs w:val="21"/>
        </w:rPr>
        <w:t>6.投诉书的投诉请求应与投诉事项相关。</w:t>
      </w:r>
    </w:p>
    <w:p w14:paraId="388AFC09">
      <w:pPr>
        <w:widowControl/>
        <w:spacing w:line="400" w:lineRule="exact"/>
        <w:ind w:firstLine="420" w:firstLineChars="200"/>
        <w:jc w:val="left"/>
        <w:rPr>
          <w:rFonts w:hint="eastAsia" w:ascii="宋体" w:hAnsi="宋体" w:cs="宋体"/>
          <w:kern w:val="0"/>
          <w:szCs w:val="21"/>
        </w:rPr>
      </w:pPr>
      <w:r>
        <w:rPr>
          <w:rFonts w:hint="eastAsia" w:ascii="宋体" w:hAnsi="宋体"/>
          <w:szCs w:val="21"/>
        </w:rPr>
        <w:t>7.投诉人为自然人的，投诉书应当由本人签字；投诉人为法人或者其他组织的，投诉书应当由法定代表人、主要负责人，或者其授权代表签字或者盖章，并加盖公章。</w:t>
      </w:r>
    </w:p>
    <w:p w14:paraId="65708D38">
      <w:pPr>
        <w:spacing w:line="400" w:lineRule="exact"/>
        <w:ind w:firstLine="422" w:firstLineChars="200"/>
        <w:jc w:val="left"/>
        <w:rPr>
          <w:rFonts w:hint="eastAsia" w:ascii="宋体" w:hAnsi="宋体"/>
          <w:b/>
          <w:szCs w:val="21"/>
        </w:rPr>
      </w:pPr>
    </w:p>
    <w:p w14:paraId="27189D9A">
      <w:pPr>
        <w:spacing w:line="400" w:lineRule="exact"/>
        <w:jc w:val="left"/>
        <w:rPr>
          <w:rFonts w:hint="eastAsia" w:ascii="宋体" w:hAnsi="宋体"/>
          <w:b/>
          <w:szCs w:val="21"/>
        </w:rPr>
      </w:pPr>
      <w:r>
        <w:rPr>
          <w:rFonts w:ascii="宋体" w:hAnsi="宋体"/>
          <w:b/>
          <w:szCs w:val="21"/>
        </w:rPr>
        <w:br w:type="page"/>
      </w:r>
      <w:r>
        <w:rPr>
          <w:rFonts w:hint="eastAsia" w:ascii="宋体" w:hAnsi="宋体"/>
          <w:b/>
          <w:szCs w:val="21"/>
        </w:rPr>
        <w:t>附2：质疑函范本</w:t>
      </w:r>
    </w:p>
    <w:p w14:paraId="3B171561">
      <w:pPr>
        <w:jc w:val="center"/>
        <w:rPr>
          <w:rFonts w:hint="eastAsia" w:ascii="宋体" w:hAnsi="宋体"/>
          <w:b/>
          <w:sz w:val="44"/>
          <w:szCs w:val="44"/>
        </w:rPr>
      </w:pPr>
      <w:r>
        <w:rPr>
          <w:rFonts w:hint="eastAsia" w:ascii="宋体" w:hAnsi="宋体"/>
          <w:b/>
          <w:sz w:val="44"/>
          <w:szCs w:val="44"/>
        </w:rPr>
        <w:t>质疑函范本</w:t>
      </w:r>
    </w:p>
    <w:p w14:paraId="0C62813D">
      <w:pPr>
        <w:adjustRightInd w:val="0"/>
        <w:snapToGrid w:val="0"/>
        <w:spacing w:before="240" w:beforeLines="100" w:line="360" w:lineRule="auto"/>
        <w:ind w:firstLine="420" w:firstLineChars="200"/>
        <w:rPr>
          <w:rFonts w:hint="eastAsia" w:ascii="宋体" w:hAnsi="宋体" w:cs="仿宋"/>
          <w:bCs/>
          <w:szCs w:val="21"/>
        </w:rPr>
      </w:pPr>
      <w:r>
        <w:rPr>
          <w:rFonts w:hint="eastAsia" w:ascii="宋体" w:hAnsi="宋体" w:cs="仿宋"/>
          <w:bCs/>
          <w:szCs w:val="21"/>
        </w:rPr>
        <w:t>一、质疑供应商基本信息</w:t>
      </w:r>
    </w:p>
    <w:p w14:paraId="73CD1513">
      <w:pPr>
        <w:adjustRightInd w:val="0"/>
        <w:snapToGrid w:val="0"/>
        <w:spacing w:line="360" w:lineRule="auto"/>
        <w:ind w:firstLine="420" w:firstLineChars="200"/>
        <w:rPr>
          <w:rFonts w:hint="eastAsia" w:ascii="宋体" w:hAnsi="宋体" w:cs="仿宋"/>
          <w:szCs w:val="21"/>
          <w:u w:val="dotted"/>
        </w:rPr>
      </w:pPr>
      <w:r>
        <w:rPr>
          <w:rFonts w:hint="eastAsia" w:ascii="宋体" w:hAnsi="宋体" w:cs="仿宋"/>
          <w:szCs w:val="21"/>
        </w:rPr>
        <w:t>质疑供应商：</w:t>
      </w:r>
    </w:p>
    <w:p w14:paraId="61B869D8">
      <w:pPr>
        <w:adjustRightInd w:val="0"/>
        <w:snapToGrid w:val="0"/>
        <w:spacing w:line="360" w:lineRule="auto"/>
        <w:ind w:firstLine="420" w:firstLineChars="200"/>
        <w:rPr>
          <w:rFonts w:hint="eastAsia" w:ascii="宋体" w:hAnsi="宋体" w:cs="仿宋"/>
          <w:szCs w:val="21"/>
        </w:rPr>
      </w:pPr>
      <w:r>
        <w:rPr>
          <w:rFonts w:hint="eastAsia" w:ascii="宋体" w:hAnsi="宋体" w:cs="仿宋"/>
          <w:szCs w:val="21"/>
        </w:rPr>
        <w:t>地址：邮编：</w:t>
      </w:r>
    </w:p>
    <w:p w14:paraId="65CCBF6E">
      <w:pPr>
        <w:adjustRightInd w:val="0"/>
        <w:snapToGrid w:val="0"/>
        <w:spacing w:line="360" w:lineRule="auto"/>
        <w:ind w:firstLine="420" w:firstLineChars="200"/>
        <w:rPr>
          <w:rFonts w:hint="eastAsia" w:ascii="宋体" w:hAnsi="宋体" w:cs="仿宋"/>
          <w:szCs w:val="21"/>
        </w:rPr>
      </w:pPr>
      <w:r>
        <w:rPr>
          <w:rFonts w:hint="eastAsia" w:ascii="宋体" w:hAnsi="宋体" w:cs="仿宋"/>
          <w:szCs w:val="21"/>
        </w:rPr>
        <w:t>联系人：联系电话：</w:t>
      </w:r>
    </w:p>
    <w:p w14:paraId="500EABA6">
      <w:pPr>
        <w:adjustRightInd w:val="0"/>
        <w:snapToGrid w:val="0"/>
        <w:spacing w:line="360" w:lineRule="auto"/>
        <w:ind w:firstLine="420" w:firstLineChars="200"/>
        <w:rPr>
          <w:rFonts w:hint="eastAsia" w:ascii="宋体" w:hAnsi="宋体" w:cs="仿宋"/>
          <w:szCs w:val="21"/>
          <w:u w:val="dotted"/>
        </w:rPr>
      </w:pPr>
      <w:r>
        <w:rPr>
          <w:rFonts w:hint="eastAsia" w:ascii="宋体" w:hAnsi="宋体" w:cs="仿宋"/>
          <w:szCs w:val="21"/>
        </w:rPr>
        <w:t>授权代表：</w:t>
      </w:r>
    </w:p>
    <w:p w14:paraId="3E97E7EC">
      <w:pPr>
        <w:adjustRightInd w:val="0"/>
        <w:snapToGrid w:val="0"/>
        <w:spacing w:line="360" w:lineRule="auto"/>
        <w:ind w:firstLine="420" w:firstLineChars="200"/>
        <w:rPr>
          <w:rFonts w:hint="eastAsia" w:ascii="宋体" w:hAnsi="宋体" w:cs="仿宋"/>
          <w:szCs w:val="21"/>
        </w:rPr>
      </w:pPr>
      <w:r>
        <w:rPr>
          <w:rFonts w:hint="eastAsia" w:ascii="宋体" w:hAnsi="宋体" w:cs="仿宋"/>
          <w:szCs w:val="21"/>
        </w:rPr>
        <w:t>联系电话：</w:t>
      </w:r>
    </w:p>
    <w:p w14:paraId="3685C642">
      <w:pPr>
        <w:adjustRightInd w:val="0"/>
        <w:snapToGrid w:val="0"/>
        <w:spacing w:line="360" w:lineRule="auto"/>
        <w:ind w:firstLine="420" w:firstLineChars="200"/>
        <w:rPr>
          <w:rFonts w:hint="eastAsia" w:ascii="宋体" w:hAnsi="宋体" w:cs="仿宋"/>
          <w:szCs w:val="21"/>
        </w:rPr>
      </w:pPr>
      <w:r>
        <w:rPr>
          <w:rFonts w:hint="eastAsia" w:ascii="宋体" w:hAnsi="宋体" w:cs="仿宋"/>
          <w:szCs w:val="21"/>
        </w:rPr>
        <w:t>地址：邮编：</w:t>
      </w:r>
    </w:p>
    <w:p w14:paraId="2FD01604">
      <w:pPr>
        <w:adjustRightInd w:val="0"/>
        <w:snapToGrid w:val="0"/>
        <w:spacing w:line="360" w:lineRule="auto"/>
        <w:ind w:firstLine="420" w:firstLineChars="200"/>
        <w:rPr>
          <w:rFonts w:hint="eastAsia" w:ascii="宋体" w:hAnsi="宋体" w:cs="仿宋"/>
          <w:bCs/>
          <w:szCs w:val="21"/>
        </w:rPr>
      </w:pPr>
      <w:r>
        <w:rPr>
          <w:rFonts w:hint="eastAsia" w:ascii="宋体" w:hAnsi="宋体" w:cs="仿宋"/>
          <w:bCs/>
          <w:szCs w:val="21"/>
        </w:rPr>
        <w:t>二、质疑项目基本情况</w:t>
      </w:r>
    </w:p>
    <w:p w14:paraId="33913C03">
      <w:pPr>
        <w:adjustRightInd w:val="0"/>
        <w:snapToGrid w:val="0"/>
        <w:spacing w:line="360" w:lineRule="auto"/>
        <w:ind w:firstLine="420" w:firstLineChars="200"/>
        <w:rPr>
          <w:rFonts w:hint="eastAsia" w:ascii="宋体" w:hAnsi="宋体" w:cs="仿宋"/>
          <w:szCs w:val="21"/>
        </w:rPr>
      </w:pPr>
      <w:r>
        <w:rPr>
          <w:rFonts w:hint="eastAsia" w:ascii="宋体" w:hAnsi="宋体" w:cs="仿宋"/>
          <w:szCs w:val="21"/>
        </w:rPr>
        <w:t>质疑项目的名称：</w:t>
      </w:r>
    </w:p>
    <w:p w14:paraId="5EDD351E">
      <w:pPr>
        <w:adjustRightInd w:val="0"/>
        <w:snapToGrid w:val="0"/>
        <w:spacing w:line="360" w:lineRule="auto"/>
        <w:ind w:firstLine="420" w:firstLineChars="200"/>
        <w:rPr>
          <w:rFonts w:hint="eastAsia" w:ascii="宋体" w:hAnsi="宋体" w:cs="仿宋"/>
          <w:szCs w:val="21"/>
        </w:rPr>
      </w:pPr>
      <w:r>
        <w:rPr>
          <w:rFonts w:hint="eastAsia" w:ascii="宋体" w:hAnsi="宋体" w:cs="仿宋"/>
          <w:szCs w:val="21"/>
        </w:rPr>
        <w:t>质疑项目的编号：包号：</w:t>
      </w:r>
    </w:p>
    <w:p w14:paraId="37E688C9">
      <w:pPr>
        <w:adjustRightInd w:val="0"/>
        <w:snapToGrid w:val="0"/>
        <w:spacing w:line="360" w:lineRule="auto"/>
        <w:ind w:firstLine="420" w:firstLineChars="200"/>
        <w:rPr>
          <w:rFonts w:hint="eastAsia" w:ascii="宋体" w:hAnsi="宋体" w:cs="仿宋"/>
          <w:szCs w:val="21"/>
          <w:u w:val="dotted"/>
        </w:rPr>
      </w:pPr>
      <w:r>
        <w:rPr>
          <w:rFonts w:hint="eastAsia" w:ascii="宋体" w:hAnsi="宋体" w:cs="仿宋"/>
          <w:szCs w:val="21"/>
        </w:rPr>
        <w:t>采购人名称：</w:t>
      </w:r>
    </w:p>
    <w:p w14:paraId="197273D3">
      <w:pPr>
        <w:adjustRightInd w:val="0"/>
        <w:snapToGrid w:val="0"/>
        <w:spacing w:line="360" w:lineRule="auto"/>
        <w:ind w:firstLine="420" w:firstLineChars="200"/>
        <w:rPr>
          <w:rFonts w:hint="eastAsia" w:ascii="宋体" w:hAnsi="宋体" w:cs="仿宋"/>
          <w:szCs w:val="21"/>
        </w:rPr>
      </w:pPr>
      <w:r>
        <w:rPr>
          <w:rFonts w:hint="eastAsia" w:ascii="宋体" w:hAnsi="宋体" w:cs="仿宋"/>
          <w:szCs w:val="21"/>
        </w:rPr>
        <w:t>采购文件获取日期：</w:t>
      </w:r>
    </w:p>
    <w:p w14:paraId="7456BCDA">
      <w:pPr>
        <w:adjustRightInd w:val="0"/>
        <w:snapToGrid w:val="0"/>
        <w:spacing w:line="360" w:lineRule="auto"/>
        <w:ind w:firstLine="420" w:firstLineChars="200"/>
        <w:rPr>
          <w:rFonts w:hint="eastAsia" w:ascii="宋体" w:hAnsi="宋体" w:cs="仿宋"/>
          <w:bCs/>
          <w:szCs w:val="21"/>
        </w:rPr>
      </w:pPr>
      <w:r>
        <w:rPr>
          <w:rFonts w:hint="eastAsia" w:ascii="宋体" w:hAnsi="宋体" w:cs="仿宋"/>
          <w:bCs/>
          <w:szCs w:val="21"/>
        </w:rPr>
        <w:t>三、质疑事项具体内容</w:t>
      </w:r>
    </w:p>
    <w:p w14:paraId="66C21500">
      <w:pPr>
        <w:adjustRightInd w:val="0"/>
        <w:snapToGrid w:val="0"/>
        <w:spacing w:line="360" w:lineRule="auto"/>
        <w:ind w:firstLine="420" w:firstLineChars="200"/>
        <w:rPr>
          <w:rFonts w:hint="eastAsia" w:ascii="宋体" w:hAnsi="宋体" w:cs="仿宋"/>
          <w:szCs w:val="21"/>
          <w:u w:val="dotted"/>
        </w:rPr>
      </w:pPr>
      <w:r>
        <w:rPr>
          <w:rFonts w:hint="eastAsia" w:ascii="宋体" w:hAnsi="宋体" w:cs="仿宋"/>
          <w:szCs w:val="21"/>
        </w:rPr>
        <w:t>质疑事项1：</w:t>
      </w:r>
    </w:p>
    <w:p w14:paraId="4EA46F0E">
      <w:pPr>
        <w:adjustRightInd w:val="0"/>
        <w:snapToGrid w:val="0"/>
        <w:spacing w:line="360" w:lineRule="auto"/>
        <w:ind w:firstLine="420" w:firstLineChars="200"/>
        <w:rPr>
          <w:rFonts w:hint="eastAsia" w:ascii="宋体" w:hAnsi="宋体" w:cs="仿宋"/>
          <w:szCs w:val="21"/>
          <w:u w:val="dotted"/>
        </w:rPr>
      </w:pPr>
      <w:r>
        <w:rPr>
          <w:rFonts w:hint="eastAsia" w:ascii="宋体" w:hAnsi="宋体" w:cs="仿宋"/>
          <w:szCs w:val="21"/>
        </w:rPr>
        <w:t>事实依据：</w:t>
      </w:r>
    </w:p>
    <w:p w14:paraId="3F4DFA49">
      <w:pPr>
        <w:adjustRightInd w:val="0"/>
        <w:snapToGrid w:val="0"/>
        <w:spacing w:line="360" w:lineRule="auto"/>
        <w:ind w:firstLine="420" w:firstLineChars="200"/>
        <w:rPr>
          <w:rFonts w:hint="eastAsia" w:ascii="宋体" w:hAnsi="宋体" w:cs="仿宋"/>
          <w:szCs w:val="21"/>
          <w:u w:val="dotted"/>
        </w:rPr>
      </w:pPr>
      <w:r>
        <w:rPr>
          <w:rFonts w:hint="eastAsia" w:ascii="宋体" w:hAnsi="宋体" w:cs="仿宋"/>
          <w:szCs w:val="21"/>
        </w:rPr>
        <w:t>法律依据：</w:t>
      </w:r>
    </w:p>
    <w:p w14:paraId="58D5BD5A">
      <w:pPr>
        <w:adjustRightInd w:val="0"/>
        <w:snapToGrid w:val="0"/>
        <w:spacing w:line="360" w:lineRule="auto"/>
        <w:ind w:firstLine="420" w:firstLineChars="200"/>
        <w:rPr>
          <w:rFonts w:hint="eastAsia" w:ascii="宋体" w:hAnsi="宋体" w:cs="仿宋"/>
          <w:szCs w:val="21"/>
          <w:u w:val="dotted"/>
        </w:rPr>
      </w:pPr>
      <w:r>
        <w:rPr>
          <w:rFonts w:hint="eastAsia" w:ascii="宋体" w:hAnsi="宋体" w:cs="仿宋"/>
          <w:szCs w:val="21"/>
        </w:rPr>
        <w:t>质疑事项2</w:t>
      </w:r>
    </w:p>
    <w:p w14:paraId="28327460">
      <w:pPr>
        <w:adjustRightInd w:val="0"/>
        <w:snapToGrid w:val="0"/>
        <w:spacing w:line="360" w:lineRule="auto"/>
        <w:ind w:firstLine="420" w:firstLineChars="200"/>
        <w:rPr>
          <w:rFonts w:hint="eastAsia" w:ascii="宋体" w:hAnsi="宋体" w:cs="仿宋"/>
          <w:szCs w:val="21"/>
        </w:rPr>
      </w:pPr>
      <w:r>
        <w:rPr>
          <w:rFonts w:hint="eastAsia" w:ascii="宋体" w:hAnsi="宋体" w:cs="仿宋"/>
          <w:szCs w:val="21"/>
        </w:rPr>
        <w:t>……</w:t>
      </w:r>
    </w:p>
    <w:p w14:paraId="590542A6">
      <w:pPr>
        <w:adjustRightInd w:val="0"/>
        <w:snapToGrid w:val="0"/>
        <w:spacing w:line="360" w:lineRule="auto"/>
        <w:ind w:firstLine="420" w:firstLineChars="200"/>
        <w:rPr>
          <w:rFonts w:hint="eastAsia" w:ascii="宋体" w:hAnsi="宋体" w:cs="仿宋"/>
          <w:bCs/>
          <w:szCs w:val="21"/>
        </w:rPr>
      </w:pPr>
      <w:r>
        <w:rPr>
          <w:rFonts w:hint="eastAsia" w:ascii="宋体" w:hAnsi="宋体" w:cs="仿宋"/>
          <w:bCs/>
          <w:szCs w:val="21"/>
        </w:rPr>
        <w:t>四、与质疑事项相关的质疑请求</w:t>
      </w:r>
    </w:p>
    <w:p w14:paraId="5F3A9065">
      <w:pPr>
        <w:adjustRightInd w:val="0"/>
        <w:snapToGrid w:val="0"/>
        <w:spacing w:line="360" w:lineRule="auto"/>
        <w:ind w:firstLine="420" w:firstLineChars="200"/>
        <w:rPr>
          <w:rFonts w:hint="eastAsia" w:ascii="宋体" w:hAnsi="宋体" w:cs="仿宋"/>
          <w:szCs w:val="21"/>
          <w:u w:val="dotted"/>
        </w:rPr>
      </w:pPr>
      <w:r>
        <w:rPr>
          <w:rFonts w:hint="eastAsia" w:ascii="宋体" w:hAnsi="宋体" w:cs="仿宋"/>
          <w:szCs w:val="21"/>
        </w:rPr>
        <w:t>请求：</w:t>
      </w:r>
    </w:p>
    <w:p w14:paraId="1394ABF8">
      <w:pPr>
        <w:ind w:firstLine="420" w:firstLineChars="200"/>
        <w:rPr>
          <w:rFonts w:hint="eastAsia" w:ascii="宋体" w:hAnsi="宋体"/>
          <w:szCs w:val="21"/>
        </w:rPr>
      </w:pPr>
      <w:r>
        <w:rPr>
          <w:rFonts w:hint="eastAsia" w:ascii="宋体" w:hAnsi="宋体"/>
          <w:szCs w:val="21"/>
        </w:rPr>
        <w:t xml:space="preserve">签字(签章）：                   公章：                      </w:t>
      </w:r>
    </w:p>
    <w:p w14:paraId="38785529">
      <w:pPr>
        <w:ind w:firstLine="420" w:firstLineChars="200"/>
        <w:rPr>
          <w:rFonts w:hint="eastAsia" w:ascii="宋体" w:hAnsi="宋体"/>
          <w:szCs w:val="21"/>
        </w:rPr>
      </w:pPr>
      <w:r>
        <w:rPr>
          <w:rFonts w:hint="eastAsia" w:ascii="宋体" w:hAnsi="宋体"/>
          <w:szCs w:val="21"/>
        </w:rPr>
        <w:t xml:space="preserve">日期：    </w:t>
      </w:r>
    </w:p>
    <w:p w14:paraId="69816566">
      <w:pPr>
        <w:adjustRightInd w:val="0"/>
        <w:snapToGrid w:val="0"/>
        <w:spacing w:line="360" w:lineRule="auto"/>
        <w:rPr>
          <w:rFonts w:hint="eastAsia" w:ascii="宋体" w:hAnsi="宋体" w:cs="仿宋"/>
          <w:szCs w:val="21"/>
        </w:rPr>
      </w:pPr>
    </w:p>
    <w:p w14:paraId="6E96DFA3">
      <w:pPr>
        <w:rPr>
          <w:rFonts w:hint="eastAsia" w:ascii="宋体" w:hAnsi="宋体"/>
          <w:b/>
          <w:szCs w:val="21"/>
        </w:rPr>
      </w:pPr>
      <w:r>
        <w:rPr>
          <w:rFonts w:hint="eastAsia" w:ascii="宋体" w:hAnsi="宋体"/>
          <w:b/>
          <w:szCs w:val="21"/>
        </w:rPr>
        <w:t>质疑函制作说明：</w:t>
      </w:r>
    </w:p>
    <w:p w14:paraId="13B026F1">
      <w:pPr>
        <w:widowControl/>
        <w:ind w:firstLine="420" w:firstLineChars="200"/>
        <w:jc w:val="left"/>
        <w:rPr>
          <w:rFonts w:hint="eastAsia" w:ascii="宋体" w:hAnsi="宋体"/>
          <w:szCs w:val="21"/>
        </w:rPr>
      </w:pPr>
      <w:r>
        <w:rPr>
          <w:rFonts w:hint="eastAsia" w:ascii="宋体" w:hAnsi="宋体"/>
          <w:szCs w:val="21"/>
        </w:rPr>
        <w:t>1.供应商提出质疑时，应提交质疑函和必要的证明材料。</w:t>
      </w:r>
    </w:p>
    <w:p w14:paraId="2018A563">
      <w:pPr>
        <w:widowControl/>
        <w:ind w:firstLine="420" w:firstLineChars="200"/>
        <w:jc w:val="left"/>
        <w:rPr>
          <w:rFonts w:hint="eastAsia" w:ascii="宋体" w:hAnsi="宋体"/>
          <w:szCs w:val="21"/>
        </w:rPr>
      </w:pPr>
      <w:r>
        <w:rPr>
          <w:rFonts w:hint="eastAsia" w:ascii="宋体" w:hAnsi="宋体"/>
          <w:szCs w:val="21"/>
        </w:rPr>
        <w:t>2.质疑供应商若委托代理人进行质疑的，质疑函应按要求列明“授权代表”的有关内容，并在附件中提交由质疑</w:t>
      </w:r>
      <w:r>
        <w:rPr>
          <w:rFonts w:hint="eastAsia" w:ascii="宋体" w:hAnsi="宋体" w:cs="宋体"/>
          <w:kern w:val="0"/>
          <w:szCs w:val="21"/>
        </w:rPr>
        <w:t>供应商签署的授权委托书。授权委托书应载明代理人的姓名或者名称、代理事项、具体权限、期限和相关事项。</w:t>
      </w:r>
    </w:p>
    <w:p w14:paraId="4C521B82">
      <w:pPr>
        <w:widowControl/>
        <w:ind w:firstLine="420" w:firstLineChars="200"/>
        <w:jc w:val="left"/>
        <w:rPr>
          <w:rFonts w:hint="eastAsia" w:ascii="宋体" w:hAnsi="宋体"/>
          <w:szCs w:val="21"/>
        </w:rPr>
      </w:pPr>
      <w:r>
        <w:rPr>
          <w:rFonts w:hint="eastAsia" w:ascii="宋体" w:hAnsi="宋体"/>
          <w:szCs w:val="21"/>
        </w:rPr>
        <w:t>3.质疑供应商若对项目的某一分包进行质疑，质疑函中应列明具体分包号。</w:t>
      </w:r>
    </w:p>
    <w:p w14:paraId="3B237223">
      <w:pPr>
        <w:widowControl/>
        <w:ind w:firstLine="420" w:firstLineChars="200"/>
        <w:jc w:val="left"/>
        <w:rPr>
          <w:rFonts w:hint="eastAsia" w:ascii="宋体" w:hAnsi="宋体"/>
          <w:szCs w:val="21"/>
        </w:rPr>
      </w:pPr>
      <w:r>
        <w:rPr>
          <w:rFonts w:hint="eastAsia" w:ascii="宋体" w:hAnsi="宋体"/>
          <w:szCs w:val="21"/>
        </w:rPr>
        <w:t>4.质疑函的质疑事项应具体、明确，并有必要的事实依据和法律依据。</w:t>
      </w:r>
    </w:p>
    <w:p w14:paraId="267DAB0F">
      <w:pPr>
        <w:widowControl/>
        <w:ind w:firstLine="420" w:firstLineChars="200"/>
        <w:jc w:val="left"/>
        <w:rPr>
          <w:rFonts w:hint="eastAsia" w:ascii="宋体" w:hAnsi="宋体"/>
          <w:szCs w:val="21"/>
        </w:rPr>
      </w:pPr>
      <w:r>
        <w:rPr>
          <w:rFonts w:hint="eastAsia" w:ascii="宋体" w:hAnsi="宋体"/>
          <w:szCs w:val="21"/>
        </w:rPr>
        <w:t>5.质疑函的质疑请求应与质疑事项相关。</w:t>
      </w:r>
    </w:p>
    <w:p w14:paraId="19977B80">
      <w:pPr>
        <w:pStyle w:val="39"/>
        <w:spacing w:line="400" w:lineRule="exact"/>
        <w:ind w:firstLine="472" w:firstLineChars="225"/>
        <w:rPr>
          <w:rFonts w:hint="eastAsia" w:hAnsi="宋体" w:cs="宋体"/>
          <w:sz w:val="22"/>
          <w:szCs w:val="22"/>
        </w:rPr>
      </w:pPr>
      <w:r>
        <w:rPr>
          <w:rFonts w:hint="eastAsia" w:hAnsi="宋体"/>
          <w:szCs w:val="21"/>
        </w:rPr>
        <w:t>6.质疑供应商为自然人的，质疑函应由本人签字；质疑供应商为法人或者其他组织的，质疑函应由法定代表人、主要负责人，或者其授权代表签字或者盖章，并加盖公章。</w:t>
      </w:r>
    </w:p>
    <w:p w14:paraId="1C5E2D74">
      <w:pPr>
        <w:pStyle w:val="39"/>
        <w:spacing w:line="400" w:lineRule="exact"/>
        <w:ind w:firstLine="495" w:firstLineChars="225"/>
        <w:rPr>
          <w:rFonts w:hint="eastAsia" w:hAnsi="宋体" w:cs="宋体"/>
          <w:sz w:val="22"/>
          <w:szCs w:val="22"/>
        </w:rPr>
        <w:sectPr>
          <w:footerReference r:id="rId7" w:type="first"/>
          <w:pgSz w:w="11911" w:h="16838"/>
          <w:pgMar w:top="1417" w:right="1701" w:bottom="1417" w:left="1701" w:header="720" w:footer="720" w:gutter="0"/>
          <w:cols w:space="720" w:num="1"/>
          <w:docGrid w:linePitch="313" w:charSpace="0"/>
        </w:sectPr>
      </w:pPr>
    </w:p>
    <w:p w14:paraId="24089E3C">
      <w:pPr>
        <w:autoSpaceDE w:val="0"/>
        <w:autoSpaceDN w:val="0"/>
        <w:adjustRightInd w:val="0"/>
        <w:snapToGrid w:val="0"/>
        <w:spacing w:line="400" w:lineRule="atLeast"/>
        <w:jc w:val="center"/>
        <w:textAlignment w:val="bottom"/>
        <w:outlineLvl w:val="0"/>
        <w:rPr>
          <w:rFonts w:hint="eastAsia" w:ascii="宋体" w:hAnsi="宋体"/>
          <w:b/>
          <w:sz w:val="32"/>
          <w:szCs w:val="32"/>
        </w:rPr>
      </w:pPr>
      <w:r>
        <w:rPr>
          <w:rFonts w:hint="eastAsia" w:ascii="宋体" w:hAnsi="宋体"/>
          <w:b/>
          <w:sz w:val="32"/>
          <w:szCs w:val="32"/>
        </w:rPr>
        <w:t>第三部分</w:t>
      </w:r>
      <w:bookmarkStart w:id="29" w:name="_Toc142902564"/>
      <w:bookmarkEnd w:id="29"/>
      <w:r>
        <w:rPr>
          <w:rFonts w:hint="eastAsia" w:ascii="宋体" w:hAnsi="宋体"/>
          <w:b/>
          <w:sz w:val="32"/>
          <w:szCs w:val="32"/>
        </w:rPr>
        <w:t xml:space="preserve">  </w:t>
      </w:r>
      <w:bookmarkStart w:id="30" w:name="_Hlk192149149"/>
      <w:r>
        <w:rPr>
          <w:rFonts w:hint="eastAsia" w:ascii="宋体" w:hAnsi="宋体"/>
          <w:b/>
          <w:sz w:val="32"/>
          <w:szCs w:val="32"/>
        </w:rPr>
        <w:t>磋商内容及要求</w:t>
      </w:r>
    </w:p>
    <w:p w14:paraId="0BA7B977">
      <w:pPr>
        <w:spacing w:line="312" w:lineRule="auto"/>
        <w:ind w:firstLine="482" w:firstLineChars="200"/>
        <w:rPr>
          <w:rFonts w:hint="eastAsia" w:ascii="宋体" w:hAnsi="宋体" w:cs="宋体"/>
          <w:b/>
          <w:bCs/>
          <w:sz w:val="24"/>
          <w:u w:val="single"/>
        </w:rPr>
      </w:pPr>
    </w:p>
    <w:p w14:paraId="1866050A">
      <w:pPr>
        <w:keepNext w:val="0"/>
        <w:keepLines w:val="0"/>
        <w:pageBreakBefore w:val="0"/>
        <w:widowControl w:val="0"/>
        <w:kinsoku/>
        <w:wordWrap/>
        <w:overflowPunct/>
        <w:topLinePunct w:val="0"/>
        <w:autoSpaceDE/>
        <w:autoSpaceDN/>
        <w:bidi w:val="0"/>
        <w:snapToGrid/>
        <w:spacing w:line="360" w:lineRule="auto"/>
        <w:ind w:firstLine="480" w:firstLineChars="200"/>
        <w:textAlignment w:val="auto"/>
        <w:outlineLvl w:val="1"/>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一、工程范围</w:t>
      </w:r>
    </w:p>
    <w:p w14:paraId="5A2608B7">
      <w:pPr>
        <w:keepNext w:val="0"/>
        <w:keepLines w:val="0"/>
        <w:pageBreakBefore w:val="0"/>
        <w:widowControl w:val="0"/>
        <w:kinsoku/>
        <w:wordWrap/>
        <w:overflowPunct/>
        <w:topLinePunct w:val="0"/>
        <w:autoSpaceDE/>
        <w:autoSpaceDN/>
        <w:bidi w:val="0"/>
        <w:snapToGrid/>
        <w:spacing w:line="360" w:lineRule="auto"/>
        <w:ind w:firstLine="480" w:firstLineChars="200"/>
        <w:textAlignment w:val="auto"/>
        <w:outlineLvl w:val="2"/>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1.工程概况</w:t>
      </w:r>
    </w:p>
    <w:p w14:paraId="67686285">
      <w:pPr>
        <w:keepNext w:val="0"/>
        <w:keepLines w:val="0"/>
        <w:pageBreakBefore w:val="0"/>
        <w:widowControl w:val="0"/>
        <w:kinsoku/>
        <w:wordWrap/>
        <w:overflowPunct/>
        <w:topLinePunct w:val="0"/>
        <w:autoSpaceDE/>
        <w:autoSpaceDN/>
        <w:bidi w:val="0"/>
        <w:snapToGrid/>
        <w:spacing w:line="360" w:lineRule="auto"/>
        <w:ind w:firstLine="480" w:firstLineChars="200"/>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本次工程为时尚体育旅游基础设施提升工程(叶岸山特大桥工程）供配电照明系统，主要为</w:t>
      </w:r>
      <w:r>
        <w:rPr>
          <w:rFonts w:hint="eastAsia" w:ascii="宋体" w:hAnsi="宋体" w:cs="宋体"/>
          <w:b w:val="0"/>
          <w:bCs w:val="0"/>
          <w:color w:val="auto"/>
          <w:sz w:val="24"/>
          <w:szCs w:val="24"/>
          <w:highlight w:val="none"/>
          <w:lang w:val="en-US" w:eastAsia="zh-CN"/>
        </w:rPr>
        <w:t>箱变、天文时钟控制器、LED灯、单挑臂灯杆、双挑臂灯杆、路灯基础、中杆灯杆、中杆灯基础、电力电缆以及各种地埋件</w:t>
      </w:r>
      <w:r>
        <w:rPr>
          <w:rFonts w:hint="eastAsia" w:ascii="宋体" w:hAnsi="宋体" w:eastAsia="宋体" w:cs="宋体"/>
          <w:b w:val="0"/>
          <w:bCs w:val="0"/>
          <w:color w:val="auto"/>
          <w:sz w:val="24"/>
          <w:szCs w:val="24"/>
          <w:highlight w:val="none"/>
          <w:lang w:val="en-US" w:eastAsia="zh-CN"/>
        </w:rPr>
        <w:t>，具体内容详见施工图</w:t>
      </w:r>
      <w:r>
        <w:rPr>
          <w:rFonts w:hint="eastAsia" w:ascii="宋体" w:hAnsi="宋体" w:cs="宋体"/>
          <w:b w:val="0"/>
          <w:bCs w:val="0"/>
          <w:color w:val="auto"/>
          <w:sz w:val="24"/>
          <w:szCs w:val="24"/>
          <w:highlight w:val="none"/>
          <w:lang w:val="en-US" w:eastAsia="zh-CN"/>
        </w:rPr>
        <w:t>及工程量清单</w:t>
      </w:r>
      <w:r>
        <w:rPr>
          <w:rFonts w:hint="eastAsia" w:ascii="宋体" w:hAnsi="宋体" w:eastAsia="宋体" w:cs="宋体"/>
          <w:b w:val="0"/>
          <w:bCs w:val="0"/>
          <w:color w:val="auto"/>
          <w:sz w:val="24"/>
          <w:szCs w:val="24"/>
          <w:highlight w:val="none"/>
          <w:lang w:val="en-US" w:eastAsia="zh-CN"/>
        </w:rPr>
        <w:t>。</w:t>
      </w:r>
    </w:p>
    <w:p w14:paraId="259942E8">
      <w:pPr>
        <w:keepNext w:val="0"/>
        <w:keepLines w:val="0"/>
        <w:pageBreakBefore w:val="0"/>
        <w:widowControl w:val="0"/>
        <w:kinsoku/>
        <w:wordWrap/>
        <w:overflowPunct/>
        <w:topLinePunct w:val="0"/>
        <w:autoSpaceDE/>
        <w:autoSpaceDN/>
        <w:bidi w:val="0"/>
        <w:snapToGrid/>
        <w:spacing w:line="360" w:lineRule="auto"/>
        <w:ind w:firstLine="480" w:firstLineChars="200"/>
        <w:textAlignment w:val="auto"/>
        <w:outlineLvl w:val="2"/>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2.工程内容清单</w:t>
      </w:r>
    </w:p>
    <w:p w14:paraId="5C60B1F4">
      <w:pPr>
        <w:keepNext w:val="0"/>
        <w:keepLines w:val="0"/>
        <w:pageBreakBefore w:val="0"/>
        <w:widowControl w:val="0"/>
        <w:kinsoku/>
        <w:wordWrap/>
        <w:overflowPunct/>
        <w:topLinePunct w:val="0"/>
        <w:autoSpaceDE/>
        <w:autoSpaceDN/>
        <w:bidi w:val="0"/>
        <w:snapToGrid/>
        <w:spacing w:line="360" w:lineRule="auto"/>
        <w:ind w:firstLine="480" w:firstLineChars="200"/>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详见工程量清单及施工图。</w:t>
      </w:r>
    </w:p>
    <w:p w14:paraId="7E7206AF">
      <w:pPr>
        <w:keepNext w:val="0"/>
        <w:keepLines w:val="0"/>
        <w:pageBreakBefore w:val="0"/>
        <w:widowControl w:val="0"/>
        <w:kinsoku/>
        <w:wordWrap/>
        <w:overflowPunct/>
        <w:topLinePunct w:val="0"/>
        <w:autoSpaceDE/>
        <w:autoSpaceDN/>
        <w:bidi w:val="0"/>
        <w:snapToGrid/>
        <w:spacing w:line="360" w:lineRule="auto"/>
        <w:ind w:firstLine="480" w:firstLineChars="200"/>
        <w:textAlignment w:val="auto"/>
        <w:outlineLvl w:val="2"/>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3.工程报价要求</w:t>
      </w:r>
    </w:p>
    <w:p w14:paraId="4BCE969E">
      <w:pPr>
        <w:keepNext w:val="0"/>
        <w:keepLines w:val="0"/>
        <w:pageBreakBefore w:val="0"/>
        <w:widowControl w:val="0"/>
        <w:kinsoku/>
        <w:wordWrap/>
        <w:overflowPunct/>
        <w:topLinePunct w:val="0"/>
        <w:autoSpaceDE/>
        <w:autoSpaceDN/>
        <w:bidi w:val="0"/>
        <w:snapToGrid/>
        <w:spacing w:line="360" w:lineRule="auto"/>
        <w:ind w:firstLine="480" w:firstLineChars="200"/>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工程报价须包括以下工作内容但不仅限于以下：工程涉及</w:t>
      </w:r>
      <w:r>
        <w:rPr>
          <w:rFonts w:hint="eastAsia" w:ascii="宋体" w:hAnsi="宋体" w:cs="宋体"/>
          <w:b w:val="0"/>
          <w:bCs w:val="0"/>
          <w:color w:val="auto"/>
          <w:sz w:val="24"/>
          <w:szCs w:val="24"/>
          <w:highlight w:val="none"/>
          <w:lang w:val="en-US" w:eastAsia="zh-CN"/>
        </w:rPr>
        <w:t>的所有设备的施工</w:t>
      </w:r>
      <w:r>
        <w:rPr>
          <w:rFonts w:hint="eastAsia" w:ascii="宋体" w:hAnsi="宋体" w:eastAsia="宋体" w:cs="宋体"/>
          <w:b w:val="0"/>
          <w:bCs w:val="0"/>
          <w:color w:val="auto"/>
          <w:sz w:val="24"/>
          <w:szCs w:val="24"/>
          <w:highlight w:val="none"/>
          <w:lang w:val="en-US" w:eastAsia="zh-CN"/>
        </w:rPr>
        <w:t>，工程所需的其它零星材料、安装调试费、税金（含设备的关税、增值税等）、运输及运输保险费、装卸费、二次搬运费、质保期内维修保养费、备品备件费、特殊工具费、售后服务费、培训费</w:t>
      </w:r>
      <w:r>
        <w:rPr>
          <w:rFonts w:hint="eastAsia" w:ascii="宋体" w:hAnsi="宋体" w:cs="宋体"/>
          <w:b w:val="0"/>
          <w:bCs w:val="0"/>
          <w:color w:val="auto"/>
          <w:sz w:val="24"/>
          <w:szCs w:val="24"/>
          <w:highlight w:val="none"/>
          <w:lang w:val="en-US" w:eastAsia="zh-CN"/>
        </w:rPr>
        <w:t>、</w:t>
      </w:r>
      <w:r>
        <w:rPr>
          <w:rFonts w:hint="eastAsia" w:ascii="宋体" w:hAnsi="宋体" w:eastAsia="宋体" w:cs="宋体"/>
          <w:b w:val="0"/>
          <w:bCs w:val="0"/>
          <w:color w:val="auto"/>
          <w:sz w:val="24"/>
          <w:szCs w:val="24"/>
          <w:highlight w:val="none"/>
          <w:lang w:val="en-US" w:eastAsia="zh-CN"/>
        </w:rPr>
        <w:t>第三方责任险、政策性文件规定及合同包含的所有风险、责任等全部费用，具体以工程量清单及施工图为准。</w:t>
      </w:r>
      <w:r>
        <w:rPr>
          <w:rFonts w:hint="eastAsia" w:ascii="宋体" w:hAnsi="宋体" w:eastAsia="宋体" w:cs="宋体"/>
          <w:b w:val="0"/>
          <w:bCs w:val="0"/>
          <w:strike w:val="0"/>
          <w:dstrike w:val="0"/>
          <w:color w:val="auto"/>
          <w:sz w:val="24"/>
          <w:szCs w:val="24"/>
          <w:highlight w:val="none"/>
          <w:lang w:val="en-US" w:eastAsia="zh-CN"/>
        </w:rPr>
        <w:t>磋商供应商</w:t>
      </w:r>
      <w:r>
        <w:rPr>
          <w:rFonts w:hint="eastAsia" w:ascii="宋体" w:hAnsi="宋体" w:cs="宋体"/>
          <w:b w:val="0"/>
          <w:bCs w:val="0"/>
          <w:strike w:val="0"/>
          <w:dstrike w:val="0"/>
          <w:color w:val="auto"/>
          <w:sz w:val="24"/>
          <w:szCs w:val="24"/>
          <w:highlight w:val="none"/>
          <w:lang w:val="en-US" w:eastAsia="zh-CN"/>
        </w:rPr>
        <w:t>完成各项清单内容所需的一切</w:t>
      </w:r>
      <w:r>
        <w:rPr>
          <w:rFonts w:hint="eastAsia" w:ascii="宋体" w:hAnsi="宋体" w:eastAsia="宋体" w:cs="宋体"/>
          <w:b w:val="0"/>
          <w:bCs w:val="0"/>
          <w:strike w:val="0"/>
          <w:dstrike w:val="0"/>
          <w:color w:val="auto"/>
          <w:sz w:val="24"/>
          <w:szCs w:val="24"/>
          <w:highlight w:val="none"/>
          <w:lang w:val="en-US" w:eastAsia="zh-CN"/>
        </w:rPr>
        <w:t>费用，均视为已包含在</w:t>
      </w:r>
      <w:r>
        <w:rPr>
          <w:rFonts w:hint="eastAsia" w:ascii="宋体" w:hAnsi="宋体" w:cs="宋体"/>
          <w:b w:val="0"/>
          <w:bCs w:val="0"/>
          <w:strike w:val="0"/>
          <w:dstrike w:val="0"/>
          <w:color w:val="auto"/>
          <w:sz w:val="24"/>
          <w:szCs w:val="24"/>
          <w:highlight w:val="none"/>
          <w:lang w:val="en-US" w:eastAsia="zh-CN"/>
        </w:rPr>
        <w:t>报价</w:t>
      </w:r>
      <w:r>
        <w:rPr>
          <w:rFonts w:hint="eastAsia" w:ascii="宋体" w:hAnsi="宋体" w:eastAsia="宋体" w:cs="宋体"/>
          <w:b w:val="0"/>
          <w:bCs w:val="0"/>
          <w:strike w:val="0"/>
          <w:dstrike w:val="0"/>
          <w:color w:val="auto"/>
          <w:sz w:val="24"/>
          <w:szCs w:val="24"/>
          <w:highlight w:val="none"/>
          <w:lang w:val="en-US" w:eastAsia="zh-CN"/>
        </w:rPr>
        <w:t>内，风险由磋商供应商承担</w:t>
      </w:r>
      <w:r>
        <w:rPr>
          <w:rFonts w:hint="eastAsia" w:ascii="宋体" w:hAnsi="宋体" w:cs="宋体"/>
          <w:b w:val="0"/>
          <w:bCs w:val="0"/>
          <w:strike w:val="0"/>
          <w:dstrike w:val="0"/>
          <w:color w:val="auto"/>
          <w:sz w:val="24"/>
          <w:szCs w:val="24"/>
          <w:highlight w:val="none"/>
          <w:lang w:val="en-US" w:eastAsia="zh-CN"/>
        </w:rPr>
        <w:t>。</w:t>
      </w:r>
    </w:p>
    <w:p w14:paraId="77E172C1">
      <w:pPr>
        <w:keepNext w:val="0"/>
        <w:keepLines w:val="0"/>
        <w:pageBreakBefore w:val="0"/>
        <w:widowControl w:val="0"/>
        <w:kinsoku/>
        <w:wordWrap/>
        <w:overflowPunct/>
        <w:topLinePunct w:val="0"/>
        <w:autoSpaceDE/>
        <w:autoSpaceDN/>
        <w:bidi w:val="0"/>
        <w:snapToGrid/>
        <w:spacing w:line="360" w:lineRule="auto"/>
        <w:ind w:firstLine="480" w:firstLineChars="200"/>
        <w:textAlignment w:val="auto"/>
        <w:outlineLvl w:val="1"/>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二、对磋商供应商的要求</w:t>
      </w:r>
    </w:p>
    <w:p w14:paraId="5176CA47">
      <w:pPr>
        <w:keepNext w:val="0"/>
        <w:keepLines w:val="0"/>
        <w:pageBreakBefore w:val="0"/>
        <w:widowControl w:val="0"/>
        <w:kinsoku/>
        <w:wordWrap/>
        <w:overflowPunct/>
        <w:topLinePunct w:val="0"/>
        <w:autoSpaceDE/>
        <w:autoSpaceDN/>
        <w:bidi w:val="0"/>
        <w:snapToGrid/>
        <w:spacing w:line="360" w:lineRule="auto"/>
        <w:ind w:firstLine="480" w:firstLineChars="200"/>
        <w:textAlignment w:val="auto"/>
        <w:outlineLvl w:val="2"/>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（一）人员配备要求</w:t>
      </w:r>
    </w:p>
    <w:p w14:paraId="284DC2C2">
      <w:pPr>
        <w:keepNext w:val="0"/>
        <w:keepLines w:val="0"/>
        <w:pageBreakBefore w:val="0"/>
        <w:widowControl w:val="0"/>
        <w:kinsoku/>
        <w:wordWrap/>
        <w:overflowPunct/>
        <w:topLinePunct w:val="0"/>
        <w:autoSpaceDE/>
        <w:autoSpaceDN/>
        <w:bidi w:val="0"/>
        <w:snapToGrid/>
        <w:spacing w:line="360" w:lineRule="auto"/>
        <w:ind w:firstLine="480" w:firstLineChars="200"/>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项目负责人：1名，项目技术负责人：1名，安全员，施工员、质量员各1名。</w:t>
      </w:r>
    </w:p>
    <w:p w14:paraId="28C6E948">
      <w:pPr>
        <w:keepNext w:val="0"/>
        <w:keepLines w:val="0"/>
        <w:pageBreakBefore w:val="0"/>
        <w:widowControl w:val="0"/>
        <w:kinsoku/>
        <w:wordWrap/>
        <w:overflowPunct/>
        <w:topLinePunct w:val="0"/>
        <w:autoSpaceDE/>
        <w:autoSpaceDN/>
        <w:bidi w:val="0"/>
        <w:snapToGrid/>
        <w:spacing w:line="360" w:lineRule="auto"/>
        <w:ind w:firstLine="480" w:firstLineChars="200"/>
        <w:textAlignment w:val="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w:t>
      </w:r>
      <w:r>
        <w:rPr>
          <w:rFonts w:hint="eastAsia" w:ascii="宋体" w:hAnsi="宋体" w:eastAsia="宋体" w:cs="宋体"/>
          <w:b w:val="0"/>
          <w:bCs w:val="0"/>
          <w:color w:val="auto"/>
          <w:sz w:val="24"/>
          <w:szCs w:val="24"/>
          <w:highlight w:val="none"/>
          <w:u w:val="single"/>
          <w:lang w:val="en-US" w:eastAsia="zh-CN"/>
        </w:rPr>
        <w:t>在</w:t>
      </w:r>
      <w:r>
        <w:rPr>
          <w:rFonts w:hint="eastAsia" w:ascii="宋体" w:hAnsi="宋体" w:eastAsia="宋体" w:cs="宋体"/>
          <w:b/>
          <w:color w:val="auto"/>
          <w:sz w:val="24"/>
          <w:highlight w:val="none"/>
          <w:u w:val="single"/>
        </w:rPr>
        <w:t>响应文件提交</w:t>
      </w:r>
      <w:r>
        <w:rPr>
          <w:rFonts w:hint="eastAsia" w:ascii="宋体" w:hAnsi="宋体" w:eastAsia="宋体" w:cs="宋体"/>
          <w:b/>
          <w:color w:val="auto"/>
          <w:sz w:val="24"/>
          <w:highlight w:val="none"/>
          <w:u w:val="single"/>
          <w:lang w:eastAsia="zh-CN"/>
        </w:rPr>
        <w:t>截止时间</w:t>
      </w:r>
      <w:r>
        <w:rPr>
          <w:rFonts w:hint="eastAsia" w:ascii="宋体" w:hAnsi="宋体" w:eastAsia="宋体" w:cs="宋体"/>
          <w:b w:val="0"/>
          <w:bCs w:val="0"/>
          <w:color w:val="auto"/>
          <w:sz w:val="24"/>
          <w:szCs w:val="24"/>
          <w:highlight w:val="none"/>
          <w:u w:val="single"/>
          <w:lang w:val="en-US" w:eastAsia="zh-CN"/>
        </w:rPr>
        <w:t>日存在在其他任何在建合同工程担任项目负责人（包括工程总承包项目中的施工负责人）的，不得以拟派项目负责人的身份参加本次</w:t>
      </w:r>
      <w:r>
        <w:rPr>
          <w:rFonts w:hint="eastAsia" w:ascii="宋体" w:hAnsi="宋体" w:cs="宋体"/>
          <w:b w:val="0"/>
          <w:bCs w:val="0"/>
          <w:color w:val="auto"/>
          <w:sz w:val="24"/>
          <w:szCs w:val="24"/>
          <w:highlight w:val="none"/>
          <w:u w:val="single"/>
          <w:lang w:val="en-US" w:eastAsia="zh-CN"/>
        </w:rPr>
        <w:t>磋商响应</w:t>
      </w:r>
      <w:r>
        <w:rPr>
          <w:rFonts w:hint="eastAsia" w:ascii="宋体" w:hAnsi="宋体" w:eastAsia="宋体" w:cs="宋体"/>
          <w:b w:val="0"/>
          <w:bCs w:val="0"/>
          <w:color w:val="auto"/>
          <w:sz w:val="24"/>
          <w:szCs w:val="24"/>
          <w:highlight w:val="none"/>
          <w:u w:val="single"/>
          <w:lang w:val="en-US" w:eastAsia="zh-CN"/>
        </w:rPr>
        <w:t>；</w:t>
      </w:r>
      <w:r>
        <w:rPr>
          <w:rFonts w:hint="eastAsia" w:ascii="宋体" w:hAnsi="宋体" w:eastAsia="宋体" w:cs="宋体"/>
          <w:color w:val="auto"/>
          <w:sz w:val="24"/>
          <w:szCs w:val="24"/>
          <w:highlight w:val="none"/>
          <w:u w:val="single"/>
        </w:rPr>
        <w:t>对项目负责人“有在建合同工程”的认定标准：</w:t>
      </w:r>
    </w:p>
    <w:p w14:paraId="03C55473">
      <w:pPr>
        <w:keepNext w:val="0"/>
        <w:keepLines w:val="0"/>
        <w:pageBreakBefore w:val="0"/>
        <w:widowControl w:val="0"/>
        <w:kinsoku/>
        <w:wordWrap/>
        <w:overflowPunct/>
        <w:topLinePunct w:val="0"/>
        <w:autoSpaceDE/>
        <w:autoSpaceDN/>
        <w:bidi w:val="0"/>
        <w:snapToGrid/>
        <w:spacing w:line="360" w:lineRule="auto"/>
        <w:ind w:firstLine="480" w:firstLineChars="200"/>
        <w:textAlignment w:val="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u w:val="single"/>
        </w:rPr>
        <w:t>（1）拟派项目负责人在</w:t>
      </w:r>
      <w:r>
        <w:rPr>
          <w:rFonts w:hint="eastAsia" w:ascii="宋体" w:hAnsi="宋体" w:eastAsia="宋体" w:cs="宋体"/>
          <w:b/>
          <w:color w:val="auto"/>
          <w:sz w:val="24"/>
          <w:highlight w:val="none"/>
          <w:u w:val="single"/>
        </w:rPr>
        <w:t>响应文件提交</w:t>
      </w:r>
      <w:r>
        <w:rPr>
          <w:rFonts w:hint="eastAsia" w:ascii="宋体" w:hAnsi="宋体" w:eastAsia="宋体" w:cs="宋体"/>
          <w:b/>
          <w:color w:val="auto"/>
          <w:sz w:val="24"/>
          <w:highlight w:val="none"/>
          <w:u w:val="single"/>
          <w:lang w:eastAsia="zh-CN"/>
        </w:rPr>
        <w:t>截止时间</w:t>
      </w:r>
      <w:r>
        <w:rPr>
          <w:rFonts w:hint="eastAsia" w:ascii="宋体" w:hAnsi="宋体" w:eastAsia="宋体" w:cs="宋体"/>
          <w:color w:val="auto"/>
          <w:sz w:val="24"/>
          <w:szCs w:val="24"/>
          <w:highlight w:val="none"/>
          <w:u w:val="single"/>
        </w:rPr>
        <w:t>尚有在其他在建合同工程中担任项目负责人的情形为“有在建合同工程”：</w:t>
      </w:r>
    </w:p>
    <w:p w14:paraId="74EFAB2F">
      <w:pPr>
        <w:keepNext w:val="0"/>
        <w:keepLines w:val="0"/>
        <w:pageBreakBefore w:val="0"/>
        <w:widowControl w:val="0"/>
        <w:kinsoku/>
        <w:wordWrap/>
        <w:overflowPunct/>
        <w:topLinePunct w:val="0"/>
        <w:autoSpaceDE/>
        <w:autoSpaceDN/>
        <w:bidi w:val="0"/>
        <w:snapToGrid/>
        <w:spacing w:line="360" w:lineRule="auto"/>
        <w:ind w:firstLine="480" w:firstLineChars="200"/>
        <w:textAlignment w:val="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u w:val="single"/>
        </w:rPr>
        <w:t>（2）其他工程项目，包括在中华人民共和国境内所有建设工程，不受地域、行业和投资性质的限制：</w:t>
      </w:r>
    </w:p>
    <w:p w14:paraId="71434708">
      <w:pPr>
        <w:keepNext w:val="0"/>
        <w:keepLines w:val="0"/>
        <w:pageBreakBefore w:val="0"/>
        <w:widowControl w:val="0"/>
        <w:kinsoku/>
        <w:wordWrap/>
        <w:overflowPunct/>
        <w:topLinePunct w:val="0"/>
        <w:autoSpaceDE/>
        <w:autoSpaceDN/>
        <w:bidi w:val="0"/>
        <w:snapToGrid/>
        <w:spacing w:line="360" w:lineRule="auto"/>
        <w:ind w:firstLine="480" w:firstLineChars="200"/>
        <w:textAlignment w:val="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u w:val="single"/>
        </w:rPr>
        <w:t>（3）在建合同工程的时间界定：在建合同工程的开始时间为合同工程中标通知书发出日期，或者不通过招标</w:t>
      </w:r>
      <w:r>
        <w:rPr>
          <w:rFonts w:hint="eastAsia" w:ascii="宋体" w:hAnsi="宋体" w:eastAsia="宋体" w:cs="宋体"/>
          <w:color w:val="auto"/>
          <w:sz w:val="24"/>
          <w:szCs w:val="24"/>
          <w:highlight w:val="none"/>
          <w:u w:val="single"/>
          <w:lang w:eastAsia="zh-CN"/>
        </w:rPr>
        <w:t>（或政府采购）</w:t>
      </w:r>
      <w:r>
        <w:rPr>
          <w:rFonts w:hint="eastAsia" w:ascii="宋体" w:hAnsi="宋体" w:eastAsia="宋体" w:cs="宋体"/>
          <w:color w:val="auto"/>
          <w:sz w:val="24"/>
          <w:szCs w:val="24"/>
          <w:highlight w:val="none"/>
          <w:u w:val="single"/>
        </w:rPr>
        <w:t>方式的则以合同签订日期为开始时间，结束时间为该合同工程验收合格或合同解除日期或者项目负责人完成变更之日；中标通知书发出前，如中标公示阶段的拟派项目负责人，不属于在建工程。</w:t>
      </w:r>
    </w:p>
    <w:p w14:paraId="411B077A">
      <w:pPr>
        <w:keepNext w:val="0"/>
        <w:keepLines w:val="0"/>
        <w:pageBreakBefore w:val="0"/>
        <w:widowControl w:val="0"/>
        <w:kinsoku/>
        <w:wordWrap/>
        <w:overflowPunct/>
        <w:topLinePunct w:val="0"/>
        <w:autoSpaceDE/>
        <w:autoSpaceDN/>
        <w:bidi w:val="0"/>
        <w:snapToGrid/>
        <w:spacing w:line="360" w:lineRule="auto"/>
        <w:ind w:firstLine="480" w:firstLineChars="200"/>
        <w:textAlignment w:val="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u w:val="single"/>
        </w:rPr>
        <w:t>以下情形视为“有在建合同工程”：</w:t>
      </w:r>
    </w:p>
    <w:p w14:paraId="0A60AFBF">
      <w:pPr>
        <w:keepNext w:val="0"/>
        <w:keepLines w:val="0"/>
        <w:pageBreakBefore w:val="0"/>
        <w:widowControl w:val="0"/>
        <w:kinsoku/>
        <w:wordWrap/>
        <w:overflowPunct/>
        <w:topLinePunct w:val="0"/>
        <w:autoSpaceDE/>
        <w:autoSpaceDN/>
        <w:bidi w:val="0"/>
        <w:snapToGrid/>
        <w:spacing w:line="360" w:lineRule="auto"/>
        <w:ind w:firstLine="480" w:firstLineChars="200"/>
        <w:textAlignment w:val="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u w:val="single"/>
        </w:rPr>
        <w:t>（1）合同协议书尚未签订的，中标通知书中载明的项目负责人；</w:t>
      </w:r>
    </w:p>
    <w:p w14:paraId="1E208528">
      <w:pPr>
        <w:keepNext w:val="0"/>
        <w:keepLines w:val="0"/>
        <w:pageBreakBefore w:val="0"/>
        <w:widowControl w:val="0"/>
        <w:kinsoku/>
        <w:wordWrap/>
        <w:overflowPunct/>
        <w:topLinePunct w:val="0"/>
        <w:autoSpaceDE/>
        <w:autoSpaceDN/>
        <w:bidi w:val="0"/>
        <w:snapToGrid/>
        <w:spacing w:line="360" w:lineRule="auto"/>
        <w:ind w:firstLine="480" w:firstLineChars="200"/>
        <w:textAlignment w:val="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u w:val="single"/>
        </w:rPr>
        <w:t>（2）合同协议书已经签订，合同协议书中明确的项目负责人；</w:t>
      </w:r>
    </w:p>
    <w:p w14:paraId="3E5C97CB">
      <w:pPr>
        <w:keepNext w:val="0"/>
        <w:keepLines w:val="0"/>
        <w:pageBreakBefore w:val="0"/>
        <w:widowControl w:val="0"/>
        <w:kinsoku/>
        <w:wordWrap/>
        <w:overflowPunct/>
        <w:topLinePunct w:val="0"/>
        <w:autoSpaceDE/>
        <w:autoSpaceDN/>
        <w:bidi w:val="0"/>
        <w:snapToGrid/>
        <w:spacing w:line="360" w:lineRule="auto"/>
        <w:ind w:firstLine="480" w:firstLineChars="200"/>
        <w:textAlignment w:val="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u w:val="single"/>
        </w:rPr>
        <w:t>（3）项目负责人发生更换的，以现任项目负责人视为有“在建合同工程”。</w:t>
      </w:r>
    </w:p>
    <w:p w14:paraId="167867BE">
      <w:pPr>
        <w:keepNext w:val="0"/>
        <w:keepLines w:val="0"/>
        <w:pageBreakBefore w:val="0"/>
        <w:widowControl w:val="0"/>
        <w:kinsoku/>
        <w:wordWrap/>
        <w:overflowPunct/>
        <w:topLinePunct w:val="0"/>
        <w:autoSpaceDE/>
        <w:autoSpaceDN/>
        <w:bidi w:val="0"/>
        <w:snapToGrid/>
        <w:spacing w:line="360" w:lineRule="auto"/>
        <w:ind w:firstLine="480" w:firstLineChars="200"/>
        <w:textAlignment w:val="auto"/>
        <w:outlineLvl w:val="2"/>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w:t>
      </w:r>
      <w:r>
        <w:rPr>
          <w:rFonts w:hint="eastAsia" w:ascii="宋体" w:hAnsi="宋体" w:cs="宋体"/>
          <w:b w:val="0"/>
          <w:bCs w:val="0"/>
          <w:color w:val="auto"/>
          <w:sz w:val="24"/>
          <w:szCs w:val="24"/>
          <w:highlight w:val="none"/>
          <w:lang w:val="en-US" w:eastAsia="zh-CN"/>
        </w:rPr>
        <w:t>二</w:t>
      </w:r>
      <w:r>
        <w:rPr>
          <w:rFonts w:hint="eastAsia" w:ascii="宋体" w:hAnsi="宋体" w:eastAsia="宋体" w:cs="宋体"/>
          <w:b w:val="0"/>
          <w:bCs w:val="0"/>
          <w:color w:val="auto"/>
          <w:sz w:val="24"/>
          <w:szCs w:val="24"/>
          <w:highlight w:val="none"/>
          <w:lang w:val="en-US" w:eastAsia="zh-CN"/>
        </w:rPr>
        <w:t>）项目质量要求</w:t>
      </w:r>
    </w:p>
    <w:p w14:paraId="15DD40FB">
      <w:pPr>
        <w:keepNext w:val="0"/>
        <w:keepLines w:val="0"/>
        <w:pageBreakBefore w:val="0"/>
        <w:widowControl w:val="0"/>
        <w:kinsoku/>
        <w:wordWrap/>
        <w:overflowPunct/>
        <w:topLinePunct w:val="0"/>
        <w:autoSpaceDE/>
        <w:autoSpaceDN/>
        <w:bidi w:val="0"/>
        <w:snapToGrid/>
        <w:spacing w:line="360" w:lineRule="auto"/>
        <w:ind w:firstLine="480" w:firstLineChars="200"/>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质量要求为符合现行国家有关工程施工质量验收规范和标准</w:t>
      </w:r>
      <w:r>
        <w:rPr>
          <w:rFonts w:hint="eastAsia" w:ascii="宋体" w:hAnsi="宋体" w:eastAsia="宋体" w:cs="宋体"/>
          <w:b w:val="0"/>
          <w:bCs w:val="0"/>
          <w:color w:val="auto"/>
          <w:sz w:val="24"/>
          <w:szCs w:val="24"/>
          <w:highlight w:val="none"/>
          <w:u w:val="none"/>
          <w:lang w:val="en-US" w:eastAsia="zh-CN"/>
        </w:rPr>
        <w:t>的</w:t>
      </w:r>
      <w:r>
        <w:rPr>
          <w:rFonts w:hint="eastAsia" w:ascii="宋体" w:hAnsi="宋体" w:eastAsia="宋体" w:cs="宋体"/>
          <w:b w:val="0"/>
          <w:bCs w:val="0"/>
          <w:color w:val="auto"/>
          <w:sz w:val="24"/>
          <w:szCs w:val="24"/>
          <w:highlight w:val="none"/>
          <w:u w:val="single"/>
          <w:lang w:val="en-US" w:eastAsia="zh-CN"/>
        </w:rPr>
        <w:t xml:space="preserve"> 合格 </w:t>
      </w:r>
      <w:r>
        <w:rPr>
          <w:rFonts w:hint="eastAsia" w:ascii="宋体" w:hAnsi="宋体" w:eastAsia="宋体" w:cs="宋体"/>
          <w:b w:val="0"/>
          <w:bCs w:val="0"/>
          <w:color w:val="auto"/>
          <w:sz w:val="24"/>
          <w:szCs w:val="24"/>
          <w:highlight w:val="none"/>
          <w:lang w:val="en-US" w:eastAsia="zh-CN"/>
        </w:rPr>
        <w:t>标准。</w:t>
      </w:r>
    </w:p>
    <w:p w14:paraId="7556672D">
      <w:pPr>
        <w:keepNext w:val="0"/>
        <w:keepLines w:val="0"/>
        <w:pageBreakBefore w:val="0"/>
        <w:widowControl w:val="0"/>
        <w:kinsoku/>
        <w:wordWrap/>
        <w:overflowPunct/>
        <w:topLinePunct w:val="0"/>
        <w:autoSpaceDE/>
        <w:autoSpaceDN/>
        <w:bidi w:val="0"/>
        <w:snapToGrid/>
        <w:spacing w:line="360" w:lineRule="auto"/>
        <w:ind w:firstLine="480" w:firstLineChars="200"/>
        <w:textAlignment w:val="auto"/>
        <w:outlineLvl w:val="1"/>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三、技术及产品要求</w:t>
      </w:r>
    </w:p>
    <w:p w14:paraId="4C469BE1">
      <w:pPr>
        <w:keepNext w:val="0"/>
        <w:keepLines w:val="0"/>
        <w:pageBreakBefore w:val="0"/>
        <w:widowControl w:val="0"/>
        <w:kinsoku/>
        <w:wordWrap/>
        <w:overflowPunct/>
        <w:topLinePunct w:val="0"/>
        <w:autoSpaceDE/>
        <w:autoSpaceDN/>
        <w:bidi w:val="0"/>
        <w:snapToGrid/>
        <w:spacing w:line="360" w:lineRule="auto"/>
        <w:ind w:firstLine="480" w:firstLineChars="200"/>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详见施工图</w:t>
      </w:r>
      <w:r>
        <w:rPr>
          <w:rFonts w:hint="eastAsia" w:ascii="宋体" w:hAnsi="宋体" w:cs="宋体"/>
          <w:b w:val="0"/>
          <w:bCs w:val="0"/>
          <w:color w:val="auto"/>
          <w:sz w:val="24"/>
          <w:szCs w:val="24"/>
          <w:highlight w:val="none"/>
          <w:lang w:val="en-US" w:eastAsia="zh-CN"/>
        </w:rPr>
        <w:t>及工程量清单</w:t>
      </w:r>
    </w:p>
    <w:p w14:paraId="0CA19ECE">
      <w:pPr>
        <w:keepNext w:val="0"/>
        <w:keepLines w:val="0"/>
        <w:pageBreakBefore w:val="0"/>
        <w:widowControl w:val="0"/>
        <w:kinsoku/>
        <w:wordWrap/>
        <w:overflowPunct/>
        <w:topLinePunct w:val="0"/>
        <w:autoSpaceDE/>
        <w:autoSpaceDN/>
        <w:bidi w:val="0"/>
        <w:snapToGrid/>
        <w:spacing w:line="360" w:lineRule="auto"/>
        <w:ind w:firstLine="480" w:firstLineChars="200"/>
        <w:textAlignment w:val="auto"/>
        <w:outlineLvl w:val="1"/>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四、工程管理要求</w:t>
      </w:r>
    </w:p>
    <w:p w14:paraId="2A0657AC">
      <w:pPr>
        <w:keepNext w:val="0"/>
        <w:keepLines w:val="0"/>
        <w:pageBreakBefore w:val="0"/>
        <w:widowControl w:val="0"/>
        <w:kinsoku/>
        <w:wordWrap/>
        <w:overflowPunct/>
        <w:topLinePunct w:val="0"/>
        <w:autoSpaceDE/>
        <w:autoSpaceDN/>
        <w:bidi w:val="0"/>
        <w:snapToGrid/>
        <w:spacing w:line="360" w:lineRule="auto"/>
        <w:ind w:firstLine="482" w:firstLineChars="200"/>
        <w:textAlignment w:val="auto"/>
        <w:rPr>
          <w:rFonts w:hint="eastAsia" w:ascii="宋体" w:hAnsi="宋体" w:eastAsia="宋体" w:cs="宋体"/>
          <w:b/>
          <w:bCs/>
          <w:color w:val="auto"/>
          <w:sz w:val="24"/>
          <w:szCs w:val="24"/>
          <w:highlight w:val="none"/>
          <w:lang w:val="en-US" w:eastAsia="zh-CN"/>
        </w:rPr>
      </w:pPr>
      <w:r>
        <w:rPr>
          <w:rFonts w:hint="eastAsia" w:ascii="宋体" w:hAnsi="宋体" w:cs="宋体"/>
          <w:b/>
          <w:bCs/>
          <w:color w:val="auto"/>
          <w:sz w:val="24"/>
          <w:szCs w:val="24"/>
          <w:highlight w:val="none"/>
          <w:lang w:val="en-US" w:eastAsia="zh-CN"/>
        </w:rPr>
        <w:t>1</w:t>
      </w:r>
      <w:r>
        <w:rPr>
          <w:rFonts w:hint="eastAsia" w:ascii="宋体" w:hAnsi="宋体" w:eastAsia="宋体" w:cs="宋体"/>
          <w:b/>
          <w:bCs/>
          <w:color w:val="auto"/>
          <w:sz w:val="24"/>
          <w:szCs w:val="24"/>
          <w:highlight w:val="none"/>
          <w:lang w:val="en-US" w:eastAsia="zh-CN"/>
        </w:rPr>
        <w:t>、成交供应商应严格按已确认设计图纸和施工技术方案组织施工，并无条件地接受采购人对施工质量的监督和管理。</w:t>
      </w:r>
    </w:p>
    <w:p w14:paraId="71362E81">
      <w:pPr>
        <w:keepNext w:val="0"/>
        <w:keepLines w:val="0"/>
        <w:pageBreakBefore w:val="0"/>
        <w:widowControl w:val="0"/>
        <w:kinsoku/>
        <w:wordWrap/>
        <w:overflowPunct/>
        <w:topLinePunct w:val="0"/>
        <w:autoSpaceDE/>
        <w:autoSpaceDN/>
        <w:bidi w:val="0"/>
        <w:snapToGrid/>
        <w:spacing w:line="360" w:lineRule="auto"/>
        <w:ind w:firstLine="480" w:firstLineChars="200"/>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3、成交供应商在磋商响应文件中承诺的管理人员应按工程进度及时到位，未经采购人同意不得调换和撤离。采购人有权要求</w:t>
      </w:r>
      <w:r>
        <w:rPr>
          <w:rFonts w:hint="eastAsia" w:ascii="宋体" w:hAnsi="宋体" w:cs="宋体"/>
          <w:b w:val="0"/>
          <w:bCs w:val="0"/>
          <w:color w:val="auto"/>
          <w:sz w:val="24"/>
          <w:szCs w:val="24"/>
          <w:highlight w:val="none"/>
          <w:lang w:val="en-US" w:eastAsia="zh-CN"/>
        </w:rPr>
        <w:t>成交供应商</w:t>
      </w:r>
      <w:r>
        <w:rPr>
          <w:rFonts w:hint="eastAsia" w:ascii="宋体" w:hAnsi="宋体" w:eastAsia="宋体" w:cs="宋体"/>
          <w:b w:val="0"/>
          <w:bCs w:val="0"/>
          <w:color w:val="auto"/>
          <w:sz w:val="24"/>
          <w:szCs w:val="24"/>
          <w:highlight w:val="none"/>
          <w:lang w:val="en-US" w:eastAsia="zh-CN"/>
        </w:rPr>
        <w:t>撤换不满足工程管理要求的项目服务人员。如相应资质的项目服务人员未按要求到位，视作违约，采购人有权单方面终止合同。</w:t>
      </w:r>
    </w:p>
    <w:p w14:paraId="0A4578CD">
      <w:pPr>
        <w:keepNext w:val="0"/>
        <w:keepLines w:val="0"/>
        <w:pageBreakBefore w:val="0"/>
        <w:widowControl w:val="0"/>
        <w:kinsoku/>
        <w:wordWrap/>
        <w:overflowPunct/>
        <w:topLinePunct w:val="0"/>
        <w:autoSpaceDE/>
        <w:autoSpaceDN/>
        <w:bidi w:val="0"/>
        <w:snapToGrid/>
        <w:spacing w:line="360" w:lineRule="auto"/>
        <w:ind w:firstLine="480" w:firstLineChars="200"/>
        <w:textAlignment w:val="auto"/>
        <w:outlineLvl w:val="1"/>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五、保障服务</w:t>
      </w:r>
    </w:p>
    <w:p w14:paraId="39888308">
      <w:pPr>
        <w:keepNext w:val="0"/>
        <w:keepLines w:val="0"/>
        <w:pageBreakBefore w:val="0"/>
        <w:widowControl w:val="0"/>
        <w:kinsoku/>
        <w:wordWrap/>
        <w:overflowPunct/>
        <w:topLinePunct w:val="0"/>
        <w:autoSpaceDE/>
        <w:autoSpaceDN/>
        <w:bidi w:val="0"/>
        <w:snapToGrid/>
        <w:spacing w:line="360" w:lineRule="auto"/>
        <w:ind w:firstLine="480" w:firstLineChars="200"/>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cs="宋体"/>
          <w:b w:val="0"/>
          <w:bCs w:val="0"/>
          <w:color w:val="auto"/>
          <w:sz w:val="24"/>
          <w:szCs w:val="24"/>
          <w:highlight w:val="none"/>
          <w:lang w:val="en-US" w:eastAsia="zh-CN"/>
        </w:rPr>
        <w:t>1</w:t>
      </w:r>
      <w:r>
        <w:rPr>
          <w:rFonts w:hint="eastAsia" w:ascii="宋体" w:hAnsi="宋体" w:eastAsia="宋体" w:cs="宋体"/>
          <w:b w:val="0"/>
          <w:bCs w:val="0"/>
          <w:color w:val="auto"/>
          <w:sz w:val="24"/>
          <w:szCs w:val="24"/>
          <w:highlight w:val="none"/>
          <w:lang w:val="en-US" w:eastAsia="zh-CN"/>
        </w:rPr>
        <w:t>.质保期内如出现因施工及质量问题引发的安全事故，相关责任、第三方检测费用及事故赔偿由成交供应商承担。</w:t>
      </w:r>
    </w:p>
    <w:p w14:paraId="180B4689">
      <w:pPr>
        <w:keepNext w:val="0"/>
        <w:keepLines w:val="0"/>
        <w:pageBreakBefore w:val="0"/>
        <w:widowControl w:val="0"/>
        <w:kinsoku/>
        <w:wordWrap/>
        <w:overflowPunct/>
        <w:topLinePunct w:val="0"/>
        <w:autoSpaceDE/>
        <w:autoSpaceDN/>
        <w:bidi w:val="0"/>
        <w:snapToGrid/>
        <w:spacing w:line="360" w:lineRule="auto"/>
        <w:ind w:firstLine="480" w:firstLineChars="200"/>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cs="宋体"/>
          <w:b w:val="0"/>
          <w:bCs w:val="0"/>
          <w:color w:val="auto"/>
          <w:sz w:val="24"/>
          <w:szCs w:val="24"/>
          <w:highlight w:val="none"/>
          <w:lang w:val="en-US" w:eastAsia="zh-CN"/>
        </w:rPr>
        <w:t>2</w:t>
      </w:r>
      <w:r>
        <w:rPr>
          <w:rFonts w:hint="eastAsia" w:ascii="宋体" w:hAnsi="宋体" w:eastAsia="宋体" w:cs="宋体"/>
          <w:b w:val="0"/>
          <w:bCs w:val="0"/>
          <w:color w:val="auto"/>
          <w:sz w:val="24"/>
          <w:szCs w:val="24"/>
          <w:highlight w:val="none"/>
          <w:lang w:val="en-US" w:eastAsia="zh-CN"/>
        </w:rPr>
        <w:t>.质保期满时，成交供应商和采购人代表对工程进行检测，如存在工程质量缺陷须由</w:t>
      </w:r>
      <w:r>
        <w:rPr>
          <w:rFonts w:hint="eastAsia" w:ascii="宋体" w:hAnsi="宋体" w:cs="宋体"/>
          <w:b w:val="0"/>
          <w:bCs w:val="0"/>
          <w:color w:val="auto"/>
          <w:sz w:val="24"/>
          <w:szCs w:val="24"/>
          <w:highlight w:val="none"/>
          <w:lang w:val="en-US" w:eastAsia="zh-CN"/>
        </w:rPr>
        <w:t>成交供应商</w:t>
      </w:r>
      <w:r>
        <w:rPr>
          <w:rFonts w:hint="eastAsia" w:ascii="宋体" w:hAnsi="宋体" w:eastAsia="宋体" w:cs="宋体"/>
          <w:b w:val="0"/>
          <w:bCs w:val="0"/>
          <w:color w:val="auto"/>
          <w:sz w:val="24"/>
          <w:szCs w:val="24"/>
          <w:highlight w:val="none"/>
          <w:lang w:val="en-US" w:eastAsia="zh-CN"/>
        </w:rPr>
        <w:t>解决并取得采购人的认可。</w:t>
      </w:r>
    </w:p>
    <w:p w14:paraId="11C527B1">
      <w:pPr>
        <w:keepNext w:val="0"/>
        <w:keepLines w:val="0"/>
        <w:pageBreakBefore w:val="0"/>
        <w:widowControl w:val="0"/>
        <w:kinsoku/>
        <w:wordWrap/>
        <w:overflowPunct/>
        <w:topLinePunct w:val="0"/>
        <w:autoSpaceDE/>
        <w:autoSpaceDN/>
        <w:bidi w:val="0"/>
        <w:snapToGrid/>
        <w:spacing w:line="360" w:lineRule="auto"/>
        <w:ind w:firstLine="480" w:firstLineChars="200"/>
        <w:textAlignment w:val="auto"/>
        <w:outlineLvl w:val="1"/>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六、其他</w:t>
      </w:r>
    </w:p>
    <w:p w14:paraId="160F0AAE">
      <w:pPr>
        <w:keepNext w:val="0"/>
        <w:keepLines w:val="0"/>
        <w:pageBreakBefore w:val="0"/>
        <w:widowControl w:val="0"/>
        <w:kinsoku/>
        <w:wordWrap/>
        <w:overflowPunct/>
        <w:topLinePunct w:val="0"/>
        <w:autoSpaceDE/>
        <w:autoSpaceDN/>
        <w:bidi w:val="0"/>
        <w:snapToGrid/>
        <w:spacing w:line="360" w:lineRule="auto"/>
        <w:ind w:firstLine="482" w:firstLineChars="200"/>
        <w:textAlignment w:val="auto"/>
        <w:rPr>
          <w:rFonts w:hint="eastAsia" w:ascii="宋体" w:hAnsi="宋体" w:eastAsia="宋体" w:cs="宋体"/>
          <w:b/>
          <w:bCs/>
          <w:color w:val="auto"/>
          <w:sz w:val="24"/>
          <w:szCs w:val="24"/>
          <w:highlight w:val="none"/>
          <w:u w:val="single"/>
          <w:lang w:val="en-US" w:eastAsia="zh-CN"/>
        </w:rPr>
      </w:pPr>
      <w:r>
        <w:rPr>
          <w:rFonts w:hint="eastAsia" w:ascii="宋体" w:hAnsi="宋体" w:eastAsia="宋体" w:cs="宋体"/>
          <w:b/>
          <w:bCs/>
          <w:color w:val="auto"/>
          <w:sz w:val="24"/>
          <w:szCs w:val="24"/>
          <w:highlight w:val="none"/>
          <w:u w:val="single"/>
          <w:lang w:val="en-US" w:eastAsia="zh-CN"/>
        </w:rPr>
        <w:t>1.工期要求：①工期要求：合同签订后60个日历天内完工并提交并通过试运行申请；②竣工要求：试运行期满后与土建标一并竣工验收。</w:t>
      </w:r>
    </w:p>
    <w:p w14:paraId="630229C5">
      <w:pPr>
        <w:keepNext w:val="0"/>
        <w:keepLines w:val="0"/>
        <w:pageBreakBefore w:val="0"/>
        <w:widowControl w:val="0"/>
        <w:kinsoku/>
        <w:wordWrap/>
        <w:overflowPunct/>
        <w:topLinePunct w:val="0"/>
        <w:autoSpaceDE/>
        <w:autoSpaceDN/>
        <w:bidi w:val="0"/>
        <w:snapToGrid/>
        <w:spacing w:line="360" w:lineRule="auto"/>
        <w:ind w:firstLine="480" w:firstLineChars="200"/>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cs="宋体"/>
          <w:b w:val="0"/>
          <w:bCs w:val="0"/>
          <w:color w:val="auto"/>
          <w:sz w:val="24"/>
          <w:szCs w:val="24"/>
          <w:highlight w:val="none"/>
          <w:lang w:val="en-US" w:eastAsia="zh-CN"/>
        </w:rPr>
        <w:t>2</w:t>
      </w:r>
      <w:r>
        <w:rPr>
          <w:rFonts w:hint="eastAsia" w:ascii="宋体" w:hAnsi="宋体" w:eastAsia="宋体" w:cs="宋体"/>
          <w:b w:val="0"/>
          <w:bCs w:val="0"/>
          <w:color w:val="auto"/>
          <w:sz w:val="24"/>
          <w:szCs w:val="24"/>
          <w:highlight w:val="none"/>
          <w:lang w:val="en-US" w:eastAsia="zh-CN"/>
        </w:rPr>
        <w:t>.工期每延误1天扣除合同款</w:t>
      </w:r>
      <w:r>
        <w:rPr>
          <w:rFonts w:hint="eastAsia" w:ascii="宋体" w:hAnsi="宋体" w:cs="宋体"/>
          <w:b w:val="0"/>
          <w:bCs w:val="0"/>
          <w:color w:val="auto"/>
          <w:sz w:val="24"/>
          <w:szCs w:val="24"/>
          <w:highlight w:val="none"/>
          <w:lang w:val="en-US" w:eastAsia="zh-CN"/>
        </w:rPr>
        <w:t>5</w:t>
      </w:r>
      <w:r>
        <w:rPr>
          <w:rFonts w:hint="eastAsia" w:ascii="宋体" w:hAnsi="宋体" w:eastAsia="宋体" w:cs="宋体"/>
          <w:b w:val="0"/>
          <w:bCs w:val="0"/>
          <w:color w:val="auto"/>
          <w:sz w:val="24"/>
          <w:szCs w:val="24"/>
          <w:highlight w:val="none"/>
          <w:lang w:val="en-US" w:eastAsia="zh-CN"/>
        </w:rPr>
        <w:t>000元。</w:t>
      </w:r>
    </w:p>
    <w:p w14:paraId="37B62B9C">
      <w:pPr>
        <w:keepNext w:val="0"/>
        <w:keepLines w:val="0"/>
        <w:pageBreakBefore w:val="0"/>
        <w:widowControl w:val="0"/>
        <w:kinsoku/>
        <w:wordWrap/>
        <w:overflowPunct/>
        <w:topLinePunct w:val="0"/>
        <w:autoSpaceDE/>
        <w:autoSpaceDN/>
        <w:bidi w:val="0"/>
        <w:snapToGrid/>
        <w:spacing w:line="360" w:lineRule="auto"/>
        <w:ind w:firstLine="480" w:firstLineChars="200"/>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cs="宋体"/>
          <w:b w:val="0"/>
          <w:bCs w:val="0"/>
          <w:color w:val="auto"/>
          <w:sz w:val="24"/>
          <w:szCs w:val="24"/>
          <w:highlight w:val="none"/>
          <w:lang w:val="en-US" w:eastAsia="zh-CN"/>
        </w:rPr>
        <w:t>3</w:t>
      </w:r>
      <w:r>
        <w:rPr>
          <w:rFonts w:hint="eastAsia" w:ascii="宋体" w:hAnsi="宋体" w:eastAsia="宋体" w:cs="宋体"/>
          <w:b w:val="0"/>
          <w:bCs w:val="0"/>
          <w:color w:val="auto"/>
          <w:sz w:val="24"/>
          <w:szCs w:val="24"/>
          <w:highlight w:val="none"/>
          <w:lang w:val="en-US" w:eastAsia="zh-CN"/>
        </w:rPr>
        <w:t>.成交供应商未按合同约定、图纸或规范标准进行施工及提供设备，需无条件进行整改，每发现一次扣除合同款5000元。</w:t>
      </w:r>
    </w:p>
    <w:p w14:paraId="5F56347A">
      <w:pPr>
        <w:keepNext w:val="0"/>
        <w:keepLines w:val="0"/>
        <w:pageBreakBefore w:val="0"/>
        <w:widowControl w:val="0"/>
        <w:kinsoku/>
        <w:wordWrap/>
        <w:overflowPunct/>
        <w:topLinePunct w:val="0"/>
        <w:autoSpaceDE/>
        <w:autoSpaceDN/>
        <w:bidi w:val="0"/>
        <w:snapToGrid/>
        <w:spacing w:line="360" w:lineRule="auto"/>
        <w:ind w:firstLine="480" w:firstLineChars="200"/>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cs="宋体"/>
          <w:b w:val="0"/>
          <w:bCs w:val="0"/>
          <w:color w:val="auto"/>
          <w:sz w:val="24"/>
          <w:szCs w:val="24"/>
          <w:highlight w:val="none"/>
          <w:lang w:val="en-US" w:eastAsia="zh-CN"/>
        </w:rPr>
        <w:t>3</w:t>
      </w:r>
      <w:r>
        <w:rPr>
          <w:rFonts w:hint="eastAsia" w:ascii="宋体" w:hAnsi="宋体" w:eastAsia="宋体" w:cs="宋体"/>
          <w:b w:val="0"/>
          <w:bCs w:val="0"/>
          <w:color w:val="auto"/>
          <w:sz w:val="24"/>
          <w:szCs w:val="24"/>
          <w:highlight w:val="none"/>
          <w:lang w:val="en-US" w:eastAsia="zh-CN"/>
        </w:rPr>
        <w:t>.工程质量竣工验收不合格，采购人可要求成交供应商返工，直至达到合同约定条件，并由成交供应商承担返工费用；若返工后仍达不到约定条件则不予验收，采购人按不合格部分扣除成交供应商工程款，成交供应商承担违约责任并须按合同总价的5%支付违约金，并须对由此而给采购人带来的一切损失承担全部赔偿责任。</w:t>
      </w:r>
    </w:p>
    <w:p w14:paraId="0E0E7C76">
      <w:pPr>
        <w:keepNext w:val="0"/>
        <w:keepLines w:val="0"/>
        <w:pageBreakBefore w:val="0"/>
        <w:widowControl w:val="0"/>
        <w:kinsoku/>
        <w:wordWrap/>
        <w:overflowPunct/>
        <w:topLinePunct w:val="0"/>
        <w:autoSpaceDE/>
        <w:autoSpaceDN/>
        <w:bidi w:val="0"/>
        <w:snapToGrid/>
        <w:spacing w:line="360" w:lineRule="auto"/>
        <w:ind w:firstLine="480" w:firstLineChars="200"/>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cs="宋体"/>
          <w:b w:val="0"/>
          <w:bCs w:val="0"/>
          <w:color w:val="auto"/>
          <w:sz w:val="24"/>
          <w:szCs w:val="24"/>
          <w:highlight w:val="none"/>
          <w:lang w:val="en-US" w:eastAsia="zh-CN"/>
        </w:rPr>
        <w:t>4</w:t>
      </w:r>
      <w:r>
        <w:rPr>
          <w:rFonts w:hint="eastAsia" w:ascii="宋体" w:hAnsi="宋体" w:eastAsia="宋体" w:cs="宋体"/>
          <w:b w:val="0"/>
          <w:bCs w:val="0"/>
          <w:color w:val="auto"/>
          <w:sz w:val="24"/>
          <w:szCs w:val="24"/>
          <w:highlight w:val="none"/>
          <w:lang w:val="en-US" w:eastAsia="zh-CN"/>
        </w:rPr>
        <w:t>.成交供应商应购买建筑工程一切险（含第三方责任险），保险期应涵盖工程施工及质保期。成交供应商在施工过程中应做好文明施工和安全防护措施，因施工及设备质量等原因造成的人身伤害或财产损失（包含但不限于第三方）均由</w:t>
      </w:r>
      <w:r>
        <w:rPr>
          <w:rFonts w:hint="eastAsia" w:ascii="宋体" w:hAnsi="宋体" w:cs="宋体"/>
          <w:b w:val="0"/>
          <w:bCs w:val="0"/>
          <w:color w:val="auto"/>
          <w:sz w:val="24"/>
          <w:szCs w:val="24"/>
          <w:highlight w:val="none"/>
          <w:lang w:val="en-US" w:eastAsia="zh-CN"/>
        </w:rPr>
        <w:t>成交供应商</w:t>
      </w:r>
      <w:r>
        <w:rPr>
          <w:rFonts w:hint="eastAsia" w:ascii="宋体" w:hAnsi="宋体" w:eastAsia="宋体" w:cs="宋体"/>
          <w:b w:val="0"/>
          <w:bCs w:val="0"/>
          <w:color w:val="auto"/>
          <w:sz w:val="24"/>
          <w:szCs w:val="24"/>
          <w:highlight w:val="none"/>
          <w:lang w:val="en-US" w:eastAsia="zh-CN"/>
        </w:rPr>
        <w:t>负责赔偿。</w:t>
      </w:r>
    </w:p>
    <w:p w14:paraId="6D9A7184">
      <w:pPr>
        <w:keepNext w:val="0"/>
        <w:keepLines w:val="0"/>
        <w:pageBreakBefore w:val="0"/>
        <w:widowControl w:val="0"/>
        <w:kinsoku/>
        <w:wordWrap/>
        <w:overflowPunct/>
        <w:topLinePunct w:val="0"/>
        <w:autoSpaceDE/>
        <w:autoSpaceDN/>
        <w:bidi w:val="0"/>
        <w:snapToGrid/>
        <w:spacing w:line="360" w:lineRule="auto"/>
        <w:ind w:firstLine="480" w:firstLineChars="200"/>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cs="宋体"/>
          <w:b w:val="0"/>
          <w:bCs w:val="0"/>
          <w:color w:val="auto"/>
          <w:sz w:val="24"/>
          <w:szCs w:val="24"/>
          <w:highlight w:val="none"/>
          <w:lang w:val="en-US" w:eastAsia="zh-CN"/>
        </w:rPr>
        <w:t>5</w:t>
      </w:r>
      <w:r>
        <w:rPr>
          <w:rFonts w:hint="eastAsia" w:ascii="宋体" w:hAnsi="宋体" w:eastAsia="宋体" w:cs="宋体"/>
          <w:b w:val="0"/>
          <w:bCs w:val="0"/>
          <w:color w:val="auto"/>
          <w:sz w:val="24"/>
          <w:szCs w:val="24"/>
          <w:highlight w:val="none"/>
          <w:lang w:val="en-US" w:eastAsia="zh-CN"/>
        </w:rPr>
        <w:t>.付款条件：</w:t>
      </w:r>
    </w:p>
    <w:p w14:paraId="027BE12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lang w:val="en-US" w:eastAsia="zh-CN"/>
        </w:rPr>
        <w:t>当工程主要采购设备进场后，支付至合同总价款的50%；工程竣工验收合格后支付至合同总额70%的工程进度款；竣工结算完成后，付至结算价（以最终审价为准）的90%，同时无息退还履约保证金或保险，剩余10%（含工程质保金）待缺陷责任期满通过竣工验收并移交资料后退回，不计利息。</w:t>
      </w:r>
    </w:p>
    <w:p w14:paraId="56203AAB">
      <w:pPr>
        <w:rPr>
          <w:rFonts w:hint="eastAsia" w:ascii="宋体" w:hAnsi="宋体"/>
          <w:b/>
          <w:sz w:val="32"/>
          <w:szCs w:val="32"/>
        </w:rPr>
      </w:pPr>
      <w:r>
        <w:rPr>
          <w:rFonts w:hint="eastAsia" w:ascii="宋体" w:hAnsi="宋体"/>
          <w:b/>
          <w:sz w:val="32"/>
          <w:szCs w:val="32"/>
        </w:rPr>
        <w:br w:type="page"/>
      </w:r>
    </w:p>
    <w:bookmarkEnd w:id="30"/>
    <w:p w14:paraId="4185BF07">
      <w:pPr>
        <w:jc w:val="center"/>
        <w:outlineLvl w:val="0"/>
        <w:rPr>
          <w:b/>
          <w:bCs/>
          <w:sz w:val="32"/>
          <w:szCs w:val="32"/>
        </w:rPr>
      </w:pPr>
      <w:r>
        <w:rPr>
          <w:rFonts w:hint="eastAsia" w:ascii="宋体"/>
          <w:b/>
          <w:bCs/>
          <w:sz w:val="32"/>
          <w:szCs w:val="32"/>
          <w:lang w:val="zh-CN"/>
        </w:rPr>
        <w:t>第四部分政府采购政策功能相关说明</w:t>
      </w:r>
    </w:p>
    <w:p w14:paraId="5DDAAC78">
      <w:pPr>
        <w:jc w:val="left"/>
        <w:rPr>
          <w:rFonts w:ascii="宋体" w:hAnsi="Times New Roman" w:cs="Times New Roman"/>
          <w:sz w:val="22"/>
          <w:szCs w:val="21"/>
        </w:rPr>
      </w:pPr>
      <w:r>
        <w:rPr>
          <w:rFonts w:hint="eastAsia" w:ascii="宋体" w:hAnsi="Times New Roman" w:cs="Times New Roman"/>
          <w:sz w:val="22"/>
          <w:szCs w:val="21"/>
        </w:rPr>
        <w:t>一、小微企业（含监狱企业、残疾人福利性单位）采购政策说明</w:t>
      </w:r>
    </w:p>
    <w:p w14:paraId="089E5E86">
      <w:pPr>
        <w:tabs>
          <w:tab w:val="left" w:pos="1069"/>
          <w:tab w:val="left" w:pos="2352"/>
        </w:tabs>
        <w:spacing w:line="440" w:lineRule="atLeast"/>
        <w:jc w:val="left"/>
        <w:rPr>
          <w:rFonts w:ascii="宋体" w:hAnsi="Times New Roman" w:cs="Times New Roman"/>
          <w:sz w:val="22"/>
          <w:szCs w:val="21"/>
        </w:rPr>
      </w:pPr>
      <w:r>
        <w:rPr>
          <w:rFonts w:ascii="宋体" w:hAnsi="Times New Roman" w:cs="Times New Roman"/>
          <w:sz w:val="22"/>
          <w:szCs w:val="21"/>
        </w:rPr>
        <w:t>1</w:t>
      </w:r>
      <w:r>
        <w:rPr>
          <w:rFonts w:hint="eastAsia" w:ascii="宋体" w:hAnsi="Times New Roman" w:cs="Times New Roman"/>
          <w:sz w:val="22"/>
          <w:szCs w:val="21"/>
        </w:rPr>
        <w:t>、文件参照</w:t>
      </w:r>
    </w:p>
    <w:p w14:paraId="07CC98BC">
      <w:pPr>
        <w:tabs>
          <w:tab w:val="left" w:pos="1069"/>
          <w:tab w:val="left" w:pos="2352"/>
        </w:tabs>
        <w:spacing w:line="440" w:lineRule="atLeast"/>
        <w:jc w:val="left"/>
        <w:rPr>
          <w:rFonts w:ascii="宋体" w:hAnsi="Times New Roman" w:cs="Times New Roman"/>
          <w:sz w:val="22"/>
          <w:szCs w:val="21"/>
        </w:rPr>
      </w:pPr>
      <w:r>
        <w:rPr>
          <w:rFonts w:hint="eastAsia" w:ascii="宋体" w:hAnsi="Times New Roman" w:cs="Times New Roman"/>
          <w:sz w:val="22"/>
          <w:szCs w:val="21"/>
        </w:rPr>
        <w:t>（</w:t>
      </w:r>
      <w:r>
        <w:rPr>
          <w:rFonts w:ascii="宋体" w:hAnsi="Times New Roman" w:cs="Times New Roman"/>
          <w:sz w:val="22"/>
          <w:szCs w:val="21"/>
        </w:rPr>
        <w:t>1</w:t>
      </w:r>
      <w:r>
        <w:rPr>
          <w:rFonts w:hint="eastAsia" w:ascii="宋体" w:hAnsi="Times New Roman" w:cs="Times New Roman"/>
          <w:sz w:val="22"/>
          <w:szCs w:val="21"/>
        </w:rPr>
        <w:t>）《政府采购促进中小企业发展管理办法》（财库﹝2020﹞46 号）</w:t>
      </w:r>
    </w:p>
    <w:p w14:paraId="096802E2">
      <w:pPr>
        <w:tabs>
          <w:tab w:val="left" w:pos="1069"/>
          <w:tab w:val="left" w:pos="2352"/>
        </w:tabs>
        <w:spacing w:line="440" w:lineRule="atLeast"/>
        <w:jc w:val="left"/>
        <w:rPr>
          <w:rFonts w:ascii="宋体" w:hAnsi="Times New Roman" w:cs="Times New Roman"/>
          <w:sz w:val="22"/>
          <w:szCs w:val="21"/>
        </w:rPr>
      </w:pPr>
      <w:r>
        <w:rPr>
          <w:rFonts w:hint="eastAsia" w:ascii="宋体" w:hAnsi="Times New Roman" w:cs="Times New Roman"/>
          <w:sz w:val="22"/>
          <w:szCs w:val="21"/>
        </w:rPr>
        <w:t>（</w:t>
      </w:r>
      <w:r>
        <w:rPr>
          <w:rFonts w:ascii="宋体" w:hAnsi="Times New Roman" w:cs="Times New Roman"/>
          <w:sz w:val="22"/>
          <w:szCs w:val="21"/>
        </w:rPr>
        <w:t>2</w:t>
      </w:r>
      <w:r>
        <w:rPr>
          <w:rFonts w:hint="eastAsia" w:ascii="宋体" w:hAnsi="Times New Roman" w:cs="Times New Roman"/>
          <w:sz w:val="22"/>
          <w:szCs w:val="21"/>
        </w:rPr>
        <w:t>）浙江省省财政厅《关于开展政府采购供应商网上注册登记和诚信管理工作的通知》（浙财采监〔2010〕8号)</w:t>
      </w:r>
    </w:p>
    <w:p w14:paraId="4955ECEA">
      <w:pPr>
        <w:tabs>
          <w:tab w:val="left" w:pos="1069"/>
          <w:tab w:val="left" w:pos="2352"/>
        </w:tabs>
        <w:spacing w:line="440" w:lineRule="atLeast"/>
        <w:jc w:val="left"/>
        <w:rPr>
          <w:rFonts w:ascii="宋体" w:hAnsi="Times New Roman" w:cs="Times New Roman"/>
          <w:sz w:val="22"/>
          <w:szCs w:val="21"/>
        </w:rPr>
      </w:pPr>
      <w:r>
        <w:rPr>
          <w:rFonts w:hint="eastAsia" w:ascii="宋体" w:hAnsi="Times New Roman" w:cs="Times New Roman"/>
          <w:sz w:val="22"/>
          <w:szCs w:val="21"/>
        </w:rPr>
        <w:t>（3）《工业和信息化部、国家统计局、国家发展和改革委员会、财政部关于印发中小企业划型标准规定的通知》（工信部联企业﹝2011﹞300号）</w:t>
      </w:r>
    </w:p>
    <w:p w14:paraId="1CBF6506">
      <w:pPr>
        <w:tabs>
          <w:tab w:val="left" w:pos="2352"/>
        </w:tabs>
        <w:spacing w:line="440" w:lineRule="atLeast"/>
        <w:jc w:val="left"/>
        <w:rPr>
          <w:rFonts w:ascii="宋体" w:hAnsi="Times New Roman" w:cs="Times New Roman"/>
          <w:sz w:val="22"/>
          <w:szCs w:val="21"/>
        </w:rPr>
      </w:pPr>
      <w:r>
        <w:rPr>
          <w:rFonts w:hint="eastAsia" w:ascii="宋体" w:hAnsi="Times New Roman" w:cs="Times New Roman"/>
          <w:sz w:val="22"/>
          <w:szCs w:val="21"/>
        </w:rPr>
        <w:t>（4）财政部、司法部《关于政府采购支持监狱企业发展有关问题的通知》（财库〔</w:t>
      </w:r>
      <w:r>
        <w:rPr>
          <w:rFonts w:ascii="宋体" w:hAnsi="Times New Roman" w:cs="Times New Roman"/>
          <w:sz w:val="22"/>
          <w:szCs w:val="21"/>
        </w:rPr>
        <w:t>2014</w:t>
      </w:r>
      <w:r>
        <w:rPr>
          <w:rFonts w:hint="eastAsia" w:ascii="宋体" w:hAnsi="Times New Roman" w:cs="Times New Roman"/>
          <w:sz w:val="22"/>
          <w:szCs w:val="21"/>
        </w:rPr>
        <w:t>〕</w:t>
      </w:r>
      <w:r>
        <w:rPr>
          <w:rFonts w:ascii="宋体" w:hAnsi="Times New Roman" w:cs="Times New Roman"/>
          <w:sz w:val="22"/>
          <w:szCs w:val="21"/>
        </w:rPr>
        <w:t>68</w:t>
      </w:r>
      <w:r>
        <w:rPr>
          <w:rFonts w:hint="eastAsia" w:ascii="宋体" w:hAnsi="Times New Roman" w:cs="Times New Roman"/>
          <w:sz w:val="22"/>
          <w:szCs w:val="21"/>
        </w:rPr>
        <w:t>号）</w:t>
      </w:r>
    </w:p>
    <w:p w14:paraId="7F56D8E4">
      <w:pPr>
        <w:tabs>
          <w:tab w:val="left" w:pos="2352"/>
        </w:tabs>
        <w:spacing w:line="440" w:lineRule="atLeast"/>
        <w:jc w:val="left"/>
        <w:rPr>
          <w:rFonts w:ascii="宋体" w:hAnsi="Times New Roman" w:cs="Times New Roman"/>
          <w:sz w:val="22"/>
          <w:szCs w:val="21"/>
        </w:rPr>
      </w:pPr>
      <w:r>
        <w:rPr>
          <w:rFonts w:hint="eastAsia" w:ascii="宋体" w:hAnsi="Times New Roman" w:cs="Times New Roman"/>
          <w:sz w:val="22"/>
          <w:szCs w:val="21"/>
        </w:rPr>
        <w:t>（5）《财政部民政部中国残疾人联合会关于促进残疾人就业政府采购政策的通知》（财库〔</w:t>
      </w:r>
      <w:r>
        <w:rPr>
          <w:rFonts w:ascii="宋体" w:hAnsi="Times New Roman" w:cs="Times New Roman"/>
          <w:sz w:val="22"/>
          <w:szCs w:val="21"/>
        </w:rPr>
        <w:t>2017</w:t>
      </w:r>
      <w:r>
        <w:rPr>
          <w:rFonts w:hint="eastAsia" w:ascii="宋体" w:hAnsi="Times New Roman" w:cs="Times New Roman"/>
          <w:sz w:val="22"/>
          <w:szCs w:val="21"/>
        </w:rPr>
        <w:t>〕</w:t>
      </w:r>
      <w:r>
        <w:rPr>
          <w:rFonts w:ascii="宋体" w:hAnsi="Times New Roman" w:cs="Times New Roman"/>
          <w:sz w:val="22"/>
          <w:szCs w:val="21"/>
        </w:rPr>
        <w:t xml:space="preserve"> 141</w:t>
      </w:r>
      <w:r>
        <w:rPr>
          <w:rFonts w:hint="eastAsia" w:ascii="宋体" w:hAnsi="Times New Roman" w:cs="Times New Roman"/>
          <w:sz w:val="22"/>
          <w:szCs w:val="21"/>
        </w:rPr>
        <w:t>号）</w:t>
      </w:r>
    </w:p>
    <w:p w14:paraId="672BCEED">
      <w:pPr>
        <w:tabs>
          <w:tab w:val="left" w:pos="2352"/>
        </w:tabs>
        <w:spacing w:line="440" w:lineRule="atLeast"/>
        <w:jc w:val="left"/>
      </w:pPr>
      <w:r>
        <w:rPr>
          <w:rFonts w:hint="eastAsia" w:ascii="宋体" w:hAnsi="Times New Roman" w:cs="Times New Roman"/>
          <w:sz w:val="22"/>
          <w:szCs w:val="21"/>
        </w:rPr>
        <w:t>（6）《关于进一步加大政府采购支持中小企业力度的通知》（财库〔</w:t>
      </w:r>
      <w:r>
        <w:rPr>
          <w:rFonts w:ascii="宋体" w:hAnsi="Times New Roman" w:cs="Times New Roman"/>
          <w:sz w:val="22"/>
          <w:szCs w:val="21"/>
        </w:rPr>
        <w:t>20</w:t>
      </w:r>
      <w:r>
        <w:rPr>
          <w:rFonts w:hint="eastAsia" w:ascii="宋体" w:hAnsi="Times New Roman" w:cs="Times New Roman"/>
          <w:sz w:val="22"/>
          <w:szCs w:val="21"/>
        </w:rPr>
        <w:t>22〕19号）</w:t>
      </w:r>
    </w:p>
    <w:p w14:paraId="4527239C">
      <w:pPr>
        <w:tabs>
          <w:tab w:val="left" w:pos="1069"/>
          <w:tab w:val="left" w:pos="2352"/>
        </w:tabs>
        <w:spacing w:line="440" w:lineRule="atLeast"/>
        <w:jc w:val="left"/>
        <w:rPr>
          <w:rFonts w:hint="eastAsia" w:ascii="Times New Roman" w:hAnsi="宋体" w:cs="宋体"/>
          <w:sz w:val="22"/>
          <w:szCs w:val="21"/>
        </w:rPr>
      </w:pPr>
      <w:r>
        <w:rPr>
          <w:rFonts w:hint="eastAsia" w:ascii="Times New Roman" w:hAnsi="宋体" w:cs="宋体"/>
          <w:sz w:val="22"/>
          <w:szCs w:val="21"/>
        </w:rPr>
        <w:t>（7）《浙江省财政厅关于进一步发挥政府采购政策 功能全力推动经济稳进提质的通知》（浙财采监〔2022〕3号）</w:t>
      </w:r>
    </w:p>
    <w:p w14:paraId="4CF79D70">
      <w:pPr>
        <w:tabs>
          <w:tab w:val="left" w:pos="1069"/>
          <w:tab w:val="left" w:pos="2352"/>
        </w:tabs>
        <w:spacing w:line="440" w:lineRule="atLeast"/>
        <w:jc w:val="left"/>
        <w:rPr>
          <w:rFonts w:ascii="Times New Roman" w:hAnsi="Times New Roman" w:cs="Times New Roman"/>
          <w:szCs w:val="21"/>
        </w:rPr>
      </w:pPr>
      <w:r>
        <w:rPr>
          <w:rFonts w:hint="eastAsia" w:ascii="Times New Roman" w:hAnsi="宋体" w:cs="宋体"/>
          <w:sz w:val="22"/>
          <w:szCs w:val="21"/>
        </w:rPr>
        <w:t>（8）《关于进一步加大政府采购 支持中小企业力度助力扎实稳住经济 的通知》（浙财采监〔2022〕8号）</w:t>
      </w:r>
    </w:p>
    <w:p w14:paraId="62FE79ED">
      <w:pPr>
        <w:tabs>
          <w:tab w:val="left" w:pos="1069"/>
          <w:tab w:val="left" w:pos="2352"/>
        </w:tabs>
        <w:spacing w:line="440" w:lineRule="atLeast"/>
        <w:jc w:val="left"/>
        <w:rPr>
          <w:rFonts w:ascii="宋体" w:hAnsi="Times New Roman" w:cs="Times New Roman"/>
          <w:sz w:val="22"/>
          <w:szCs w:val="21"/>
        </w:rPr>
      </w:pPr>
      <w:r>
        <w:rPr>
          <w:rFonts w:hint="eastAsia" w:ascii="宋体" w:hAnsi="Times New Roman" w:cs="Times New Roman"/>
          <w:sz w:val="22"/>
          <w:szCs w:val="21"/>
        </w:rPr>
        <w:t>2、</w:t>
      </w:r>
      <w:r>
        <w:rPr>
          <w:rFonts w:hint="eastAsia" w:ascii="宋体" w:hAnsi="Times New Roman" w:cs="Times New Roman"/>
          <w:b/>
          <w:bCs/>
          <w:sz w:val="22"/>
          <w:szCs w:val="21"/>
          <w:u w:val="single"/>
        </w:rPr>
        <w:t>本项目专门面向中小企业，专门面向中小企业采购的项目或者标项，不再执行价格评审优惠的扶持政策</w:t>
      </w:r>
      <w:r>
        <w:rPr>
          <w:rFonts w:hint="eastAsia" w:ascii="宋体" w:hAnsi="Times New Roman" w:cs="Times New Roman"/>
          <w:sz w:val="22"/>
          <w:szCs w:val="21"/>
        </w:rPr>
        <w:t>：</w:t>
      </w:r>
    </w:p>
    <w:p w14:paraId="68C22C0F">
      <w:pPr>
        <w:spacing w:line="440" w:lineRule="atLeast"/>
        <w:jc w:val="left"/>
        <w:rPr>
          <w:rFonts w:ascii="宋体" w:hAnsi="Times New Roman" w:cs="Times New Roman"/>
          <w:sz w:val="22"/>
          <w:szCs w:val="21"/>
        </w:rPr>
      </w:pPr>
      <w:r>
        <w:rPr>
          <w:rFonts w:hint="eastAsia" w:ascii="宋体" w:hAnsi="Times New Roman" w:cs="Times New Roman"/>
          <w:sz w:val="22"/>
          <w:szCs w:val="21"/>
        </w:rPr>
        <w:t>（1）中小企业：中小企业声明函（原件，加盖供应商公章，格式见附件1）</w:t>
      </w:r>
    </w:p>
    <w:p w14:paraId="0AD0B69A">
      <w:pPr>
        <w:spacing w:line="440" w:lineRule="atLeast"/>
        <w:jc w:val="left"/>
        <w:rPr>
          <w:rFonts w:ascii="宋体" w:hAnsi="Times New Roman" w:cs="Times New Roman"/>
          <w:sz w:val="22"/>
          <w:szCs w:val="21"/>
        </w:rPr>
      </w:pPr>
      <w:r>
        <w:rPr>
          <w:rFonts w:hint="eastAsia" w:ascii="宋体" w:hAnsi="Times New Roman" w:cs="Times New Roman"/>
          <w:sz w:val="22"/>
          <w:szCs w:val="21"/>
        </w:rPr>
        <w:t>（2）残疾人福利性单位：残疾人福利性单位声明函（原件，加盖供应商公章，格式见附件1）</w:t>
      </w:r>
    </w:p>
    <w:p w14:paraId="190B7CC0">
      <w:pPr>
        <w:spacing w:line="440" w:lineRule="atLeast"/>
        <w:jc w:val="left"/>
        <w:rPr>
          <w:rFonts w:ascii="宋体" w:hAnsi="Times New Roman" w:cs="Times New Roman"/>
          <w:sz w:val="22"/>
          <w:szCs w:val="21"/>
        </w:rPr>
      </w:pPr>
      <w:r>
        <w:rPr>
          <w:rFonts w:hint="eastAsia" w:ascii="宋体" w:hAnsi="Times New Roman" w:cs="Times New Roman"/>
          <w:sz w:val="22"/>
          <w:szCs w:val="21"/>
        </w:rPr>
        <w:t>（3）监狱企业：提供由省级以上监狱管理局、戒毒管理局（含新疆生产建设兵团）出具的属于监狱企业的证明文件（原件）</w:t>
      </w:r>
    </w:p>
    <w:p w14:paraId="64A879E4">
      <w:pPr>
        <w:spacing w:line="440" w:lineRule="atLeast"/>
        <w:jc w:val="left"/>
        <w:rPr>
          <w:rFonts w:ascii="宋体" w:hAnsi="Times New Roman" w:cs="Times New Roman"/>
          <w:sz w:val="22"/>
          <w:szCs w:val="21"/>
        </w:rPr>
      </w:pPr>
      <w:r>
        <w:rPr>
          <w:rFonts w:hint="eastAsia" w:ascii="宋体" w:hAnsi="Times New Roman" w:cs="Times New Roman"/>
          <w:sz w:val="22"/>
          <w:szCs w:val="21"/>
        </w:rPr>
        <w:t>3、扶持政策说明：</w:t>
      </w:r>
    </w:p>
    <w:p w14:paraId="63D5F0A7">
      <w:pPr>
        <w:spacing w:line="440" w:lineRule="atLeast"/>
        <w:jc w:val="left"/>
        <w:rPr>
          <w:rFonts w:ascii="宋体" w:hAnsi="Times New Roman" w:cs="Times New Roman"/>
          <w:sz w:val="22"/>
          <w:szCs w:val="21"/>
        </w:rPr>
      </w:pPr>
      <w:r>
        <w:rPr>
          <w:rFonts w:hint="eastAsia" w:ascii="宋体" w:hAnsi="Times New Roman" w:cs="Times New Roman"/>
          <w:sz w:val="22"/>
          <w:szCs w:val="21"/>
        </w:rPr>
        <w:t>残疾人福利性单位、监狱企业参加投标视同小微企业。</w:t>
      </w:r>
    </w:p>
    <w:p w14:paraId="79A4D651">
      <w:pPr>
        <w:tabs>
          <w:tab w:val="left" w:pos="2352"/>
        </w:tabs>
        <w:spacing w:line="440" w:lineRule="atLeast"/>
        <w:jc w:val="left"/>
        <w:rPr>
          <w:rFonts w:ascii="宋体" w:hAnsi="Times New Roman" w:cs="Times New Roman"/>
          <w:sz w:val="22"/>
          <w:szCs w:val="21"/>
        </w:rPr>
      </w:pPr>
      <w:r>
        <w:rPr>
          <w:rFonts w:hint="eastAsia" w:ascii="宋体" w:hAnsi="Times New Roman" w:cs="Times New Roman"/>
          <w:sz w:val="22"/>
          <w:szCs w:val="21"/>
        </w:rPr>
        <w:t>4、根据《浙江省财政厅关于进一步加大政府采购</w:t>
      </w:r>
      <w:r>
        <w:rPr>
          <w:rFonts w:ascii="宋体" w:hAnsi="Times New Roman" w:cs="Times New Roman"/>
          <w:sz w:val="22"/>
          <w:szCs w:val="21"/>
        </w:rPr>
        <w:t xml:space="preserve"> </w:t>
      </w:r>
      <w:r>
        <w:rPr>
          <w:rFonts w:hint="eastAsia" w:ascii="宋体" w:hAnsi="Times New Roman" w:cs="Times New Roman"/>
          <w:sz w:val="22"/>
          <w:szCs w:val="21"/>
        </w:rPr>
        <w:t>支持中小企业力度</w:t>
      </w:r>
      <w:r>
        <w:rPr>
          <w:rFonts w:ascii="宋体" w:hAnsi="Times New Roman" w:cs="Times New Roman"/>
          <w:sz w:val="22"/>
          <w:szCs w:val="21"/>
        </w:rPr>
        <w:t xml:space="preserve"> </w:t>
      </w:r>
      <w:r>
        <w:rPr>
          <w:rFonts w:hint="eastAsia" w:ascii="宋体" w:hAnsi="Times New Roman" w:cs="Times New Roman"/>
          <w:sz w:val="22"/>
          <w:szCs w:val="21"/>
        </w:rPr>
        <w:t>助力扎实稳住经济</w:t>
      </w:r>
      <w:r>
        <w:rPr>
          <w:rFonts w:ascii="宋体" w:hAnsi="Times New Roman" w:cs="Times New Roman"/>
          <w:sz w:val="22"/>
          <w:szCs w:val="21"/>
        </w:rPr>
        <w:t xml:space="preserve"> </w:t>
      </w:r>
      <w:r>
        <w:rPr>
          <w:rFonts w:hint="eastAsia" w:ascii="宋体" w:hAnsi="Times New Roman" w:cs="Times New Roman"/>
          <w:sz w:val="22"/>
          <w:szCs w:val="21"/>
        </w:rPr>
        <w:t>的通知》（浙采监【2022]8号）文件规定“优先推荐专精特新中小企业、创新产品参加政府采购活动。对省级以上主管部门认定的首台套产品，自纳入《省推广应用指导目录》起三年内参加政府采购活动，视同已具备相应销售业绩，业绩分为满分。”</w:t>
      </w:r>
    </w:p>
    <w:p w14:paraId="12FAC095">
      <w:pPr>
        <w:spacing w:line="440" w:lineRule="atLeast"/>
        <w:jc w:val="left"/>
        <w:rPr>
          <w:rFonts w:ascii="宋体" w:hAnsi="Times New Roman" w:cs="Times New Roman"/>
          <w:b/>
          <w:bCs/>
          <w:sz w:val="22"/>
          <w:szCs w:val="21"/>
        </w:rPr>
      </w:pPr>
      <w:r>
        <w:rPr>
          <w:rFonts w:hint="eastAsia" w:ascii="宋体" w:hAnsi="Times New Roman" w:cs="Times New Roman"/>
          <w:sz w:val="22"/>
          <w:szCs w:val="21"/>
        </w:rPr>
        <w:t>5、本项目</w:t>
      </w:r>
      <w:r>
        <w:rPr>
          <w:rFonts w:hint="eastAsia" w:ascii="宋体" w:hAnsi="Times New Roman" w:cs="Times New Roman"/>
          <w:b/>
          <w:bCs/>
          <w:sz w:val="22"/>
          <w:szCs w:val="21"/>
        </w:rPr>
        <w:t>采购文件明确采购的标的所属行业</w:t>
      </w:r>
      <w:r>
        <w:rPr>
          <w:rFonts w:hint="eastAsia" w:ascii="宋体" w:hAnsi="Times New Roman" w:cs="Times New Roman"/>
          <w:sz w:val="22"/>
          <w:szCs w:val="21"/>
        </w:rPr>
        <w:t>为</w:t>
      </w:r>
      <w:r>
        <w:rPr>
          <w:rFonts w:hint="eastAsia" w:ascii="宋体" w:hAnsi="Times New Roman" w:cs="Times New Roman"/>
          <w:b/>
          <w:bCs/>
          <w:sz w:val="22"/>
          <w:szCs w:val="21"/>
          <w:u w:val="single"/>
          <w:lang w:val="en-US" w:eastAsia="zh-CN"/>
        </w:rPr>
        <w:t>建筑业</w:t>
      </w:r>
      <w:r>
        <w:rPr>
          <w:rFonts w:hint="eastAsia" w:ascii="宋体" w:hAnsi="Times New Roman" w:cs="Times New Roman"/>
          <w:sz w:val="22"/>
          <w:szCs w:val="21"/>
        </w:rPr>
        <w:t>。</w:t>
      </w:r>
    </w:p>
    <w:p w14:paraId="3747B2DB">
      <w:pPr>
        <w:spacing w:line="440" w:lineRule="atLeast"/>
        <w:jc w:val="left"/>
        <w:rPr>
          <w:rFonts w:ascii="宋体" w:hAnsi="Times New Roman" w:cs="Times New Roman"/>
          <w:b/>
          <w:bCs/>
          <w:sz w:val="24"/>
        </w:rPr>
      </w:pPr>
    </w:p>
    <w:p w14:paraId="31963C85">
      <w:pPr>
        <w:spacing w:line="400" w:lineRule="exact"/>
        <w:ind w:firstLine="433" w:firstLineChars="197"/>
        <w:rPr>
          <w:rFonts w:hint="eastAsia" w:ascii="宋体" w:hAnsi="宋体" w:cs="Times New Roman"/>
          <w:sz w:val="22"/>
        </w:rPr>
      </w:pPr>
    </w:p>
    <w:p w14:paraId="489D01A6">
      <w:pPr>
        <w:jc w:val="left"/>
        <w:rPr>
          <w:rFonts w:hint="eastAsia" w:ascii="宋体" w:hAnsi="宋体" w:cs="宋体"/>
          <w:b/>
          <w:bCs/>
          <w:sz w:val="28"/>
          <w:szCs w:val="28"/>
        </w:rPr>
      </w:pPr>
      <w:r>
        <w:rPr>
          <w:rFonts w:hint="eastAsia" w:ascii="宋体" w:hAnsi="宋体" w:cs="宋体"/>
          <w:b/>
          <w:bCs/>
          <w:sz w:val="28"/>
          <w:szCs w:val="28"/>
        </w:rPr>
        <w:br w:type="page"/>
      </w:r>
    </w:p>
    <w:p w14:paraId="31577E64">
      <w:pPr>
        <w:snapToGrid w:val="0"/>
        <w:spacing w:line="360" w:lineRule="auto"/>
        <w:jc w:val="left"/>
        <w:rPr>
          <w:rFonts w:hint="eastAsia" w:ascii="宋体" w:hAnsi="宋体" w:cs="宋体"/>
          <w:b/>
          <w:bCs/>
          <w:sz w:val="28"/>
          <w:szCs w:val="28"/>
        </w:rPr>
      </w:pPr>
      <w:r>
        <w:rPr>
          <w:rFonts w:hint="eastAsia" w:ascii="宋体" w:hAnsi="宋体" w:cs="宋体"/>
          <w:b/>
          <w:bCs/>
          <w:sz w:val="28"/>
          <w:szCs w:val="28"/>
        </w:rPr>
        <w:t>附件</w:t>
      </w:r>
      <w:r>
        <w:rPr>
          <w:rFonts w:ascii="宋体" w:hAnsi="宋体" w:cs="宋体"/>
          <w:b/>
          <w:bCs/>
          <w:sz w:val="28"/>
          <w:szCs w:val="28"/>
        </w:rPr>
        <w:t>1</w:t>
      </w:r>
    </w:p>
    <w:p w14:paraId="12BE312D">
      <w:pPr>
        <w:snapToGrid w:val="0"/>
        <w:spacing w:line="360" w:lineRule="auto"/>
        <w:jc w:val="center"/>
        <w:rPr>
          <w:rFonts w:hint="eastAsia" w:ascii="宋体" w:hAnsi="宋体" w:cs="Times New Roman"/>
          <w:b/>
          <w:bCs/>
          <w:sz w:val="28"/>
          <w:szCs w:val="28"/>
        </w:rPr>
      </w:pPr>
      <w:r>
        <w:rPr>
          <w:rFonts w:hint="eastAsia" w:ascii="宋体" w:hAnsi="宋体" w:cs="宋体"/>
          <w:b/>
          <w:bCs/>
          <w:sz w:val="28"/>
          <w:szCs w:val="28"/>
        </w:rPr>
        <w:t>中小企业声明函（工程、服务）</w:t>
      </w:r>
    </w:p>
    <w:p w14:paraId="572F5A64">
      <w:pPr>
        <w:tabs>
          <w:tab w:val="left" w:pos="1069"/>
        </w:tabs>
        <w:spacing w:line="400" w:lineRule="exact"/>
        <w:ind w:firstLine="440" w:firstLineChars="200"/>
        <w:rPr>
          <w:rFonts w:hint="eastAsia" w:ascii="宋体" w:hAnsi="宋体" w:cs="宋体"/>
          <w:sz w:val="22"/>
        </w:rPr>
      </w:pPr>
      <w:r>
        <w:rPr>
          <w:rFonts w:hint="eastAsia" w:ascii="宋体" w:hAnsi="宋体" w:cs="宋体"/>
          <w:sz w:val="22"/>
        </w:rPr>
        <w:t xml:space="preserve">本公司（联合体）郑重声明，根据《政府采购促进中小企业发展管理办法》（财库﹝2020﹞46 号）的规定，本公司 </w:t>
      </w:r>
      <w:r>
        <w:rPr>
          <w:rFonts w:hint="eastAsia" w:ascii="宋体" w:hAnsi="宋体" w:cs="宋体"/>
          <w:sz w:val="22"/>
          <w:u w:val="single"/>
        </w:rPr>
        <w:t>（联合体）</w:t>
      </w:r>
      <w:r>
        <w:rPr>
          <w:rFonts w:hint="eastAsia" w:ascii="宋体" w:hAnsi="宋体" w:cs="宋体"/>
          <w:sz w:val="22"/>
        </w:rPr>
        <w:t>参加</w:t>
      </w:r>
      <w:r>
        <w:rPr>
          <w:rFonts w:hint="eastAsia" w:ascii="宋体" w:hAnsi="宋体" w:cs="宋体"/>
          <w:sz w:val="22"/>
          <w:u w:val="single"/>
        </w:rPr>
        <w:t>（单位名称）</w:t>
      </w:r>
      <w:r>
        <w:rPr>
          <w:rFonts w:hint="eastAsia" w:ascii="宋体" w:hAnsi="宋体" w:cs="宋体"/>
          <w:sz w:val="22"/>
        </w:rPr>
        <w:t>的</w:t>
      </w:r>
      <w:r>
        <w:rPr>
          <w:rFonts w:hint="eastAsia" w:ascii="宋体" w:hAnsi="宋体" w:cs="宋体"/>
          <w:sz w:val="22"/>
          <w:u w:val="single"/>
        </w:rPr>
        <w:t>（项目名称）</w:t>
      </w:r>
      <w:r>
        <w:rPr>
          <w:rFonts w:hint="eastAsia" w:ascii="宋体" w:hAnsi="宋体" w:cs="宋体"/>
          <w:sz w:val="22"/>
        </w:rPr>
        <w:t xml:space="preserve">采购活动，工程的施工单位全部为符合政策要求的中小企业（或者：服务全部由符合政策要求的中小企业承接）。相关企业（含联合体中的中小企业、签订分包意向协议的中小企业）的具体情 况如下： </w:t>
      </w:r>
    </w:p>
    <w:p w14:paraId="710A20CF">
      <w:pPr>
        <w:numPr>
          <w:ilvl w:val="0"/>
          <w:numId w:val="5"/>
        </w:numPr>
        <w:tabs>
          <w:tab w:val="left" w:pos="1069"/>
        </w:tabs>
        <w:spacing w:line="400" w:lineRule="exact"/>
        <w:ind w:left="0" w:firstLine="440" w:firstLineChars="200"/>
        <w:rPr>
          <w:rFonts w:hint="eastAsia" w:ascii="宋体" w:hAnsi="宋体" w:cs="宋体"/>
          <w:sz w:val="22"/>
        </w:rPr>
      </w:pPr>
      <w:r>
        <w:rPr>
          <w:rFonts w:hint="eastAsia" w:ascii="宋体" w:hAnsi="宋体" w:cs="宋体"/>
          <w:sz w:val="22"/>
          <w:u w:val="single"/>
        </w:rPr>
        <w:t>（标的名称）</w:t>
      </w:r>
      <w:r>
        <w:rPr>
          <w:rFonts w:hint="eastAsia" w:ascii="宋体" w:hAnsi="宋体" w:cs="宋体"/>
          <w:sz w:val="22"/>
        </w:rPr>
        <w:t xml:space="preserve"> ，属于</w:t>
      </w:r>
      <w:r>
        <w:rPr>
          <w:rFonts w:hint="eastAsia" w:ascii="宋体" w:hAnsi="宋体" w:cs="宋体"/>
          <w:sz w:val="22"/>
          <w:u w:val="single"/>
        </w:rPr>
        <w:t>其他未列明行业（采购文件中明确的所属行业）</w:t>
      </w:r>
      <w:r>
        <w:rPr>
          <w:rFonts w:hint="eastAsia" w:ascii="宋体" w:hAnsi="宋体" w:cs="宋体"/>
          <w:sz w:val="22"/>
        </w:rPr>
        <w:t>； 承建（承接）企业为</w:t>
      </w:r>
      <w:r>
        <w:rPr>
          <w:rFonts w:hint="eastAsia" w:ascii="宋体" w:hAnsi="宋体" w:cs="宋体"/>
          <w:sz w:val="22"/>
          <w:u w:val="single"/>
        </w:rPr>
        <w:t>（企业名称）</w:t>
      </w:r>
      <w:r>
        <w:rPr>
          <w:rFonts w:hint="eastAsia" w:ascii="宋体" w:hAnsi="宋体" w:cs="宋体"/>
          <w:sz w:val="22"/>
        </w:rPr>
        <w:t>，从业人员人，营业收入为万元，资产总额为万元 ，属于</w:t>
      </w:r>
      <w:r>
        <w:rPr>
          <w:rFonts w:hint="eastAsia" w:ascii="宋体" w:hAnsi="宋体" w:cs="宋体"/>
          <w:sz w:val="22"/>
          <w:u w:val="single"/>
        </w:rPr>
        <w:t>（中型企业、 小型企业、微型企业）</w:t>
      </w:r>
      <w:r>
        <w:rPr>
          <w:rFonts w:hint="eastAsia" w:ascii="宋体" w:hAnsi="宋体" w:cs="宋体"/>
          <w:sz w:val="22"/>
        </w:rPr>
        <w:t xml:space="preserve">； </w:t>
      </w:r>
    </w:p>
    <w:p w14:paraId="4A912472">
      <w:pPr>
        <w:tabs>
          <w:tab w:val="left" w:pos="1069"/>
        </w:tabs>
        <w:spacing w:line="400" w:lineRule="exact"/>
        <w:ind w:firstLine="440" w:firstLineChars="200"/>
        <w:rPr>
          <w:rFonts w:hint="eastAsia" w:ascii="宋体" w:hAnsi="宋体" w:cs="宋体"/>
          <w:sz w:val="22"/>
        </w:rPr>
      </w:pPr>
      <w:r>
        <w:rPr>
          <w:rFonts w:hint="eastAsia" w:ascii="宋体" w:hAnsi="宋体" w:cs="宋体"/>
          <w:sz w:val="22"/>
        </w:rPr>
        <w:t>2.</w:t>
      </w:r>
      <w:r>
        <w:rPr>
          <w:rFonts w:hint="eastAsia" w:ascii="宋体" w:hAnsi="宋体" w:cs="宋体"/>
          <w:sz w:val="22"/>
          <w:u w:val="single"/>
        </w:rPr>
        <w:t xml:space="preserve"> （标的名称）   </w:t>
      </w:r>
      <w:r>
        <w:rPr>
          <w:rFonts w:hint="eastAsia" w:ascii="宋体" w:hAnsi="宋体" w:cs="宋体"/>
          <w:sz w:val="22"/>
        </w:rPr>
        <w:t>，属于</w:t>
      </w:r>
      <w:r>
        <w:rPr>
          <w:rFonts w:hint="eastAsia" w:ascii="宋体" w:hAnsi="宋体" w:cs="宋体"/>
          <w:sz w:val="22"/>
          <w:u w:val="single"/>
        </w:rPr>
        <w:t>（采购文件中明确的所属行业）</w:t>
      </w:r>
      <w:r>
        <w:rPr>
          <w:rFonts w:hint="eastAsia" w:ascii="宋体" w:hAnsi="宋体" w:cs="宋体"/>
          <w:sz w:val="22"/>
        </w:rPr>
        <w:t>； 承建（承接）企业为</w:t>
      </w:r>
      <w:r>
        <w:rPr>
          <w:rFonts w:hint="eastAsia" w:ascii="宋体" w:hAnsi="宋体" w:cs="宋体"/>
          <w:sz w:val="22"/>
          <w:u w:val="single"/>
        </w:rPr>
        <w:t>（企业名称）</w:t>
      </w:r>
      <w:r>
        <w:rPr>
          <w:rFonts w:hint="eastAsia" w:ascii="宋体" w:hAnsi="宋体" w:cs="宋体"/>
          <w:sz w:val="22"/>
        </w:rPr>
        <w:t>，从业人员人，营业收入为 万元，资产总额为万元，属于</w:t>
      </w:r>
      <w:r>
        <w:rPr>
          <w:rFonts w:hint="eastAsia" w:ascii="宋体" w:hAnsi="宋体" w:cs="宋体"/>
          <w:sz w:val="22"/>
          <w:u w:val="single"/>
        </w:rPr>
        <w:t>（中型企业、 小型企业、微型企业）</w:t>
      </w:r>
      <w:r>
        <w:rPr>
          <w:rFonts w:hint="eastAsia" w:ascii="宋体" w:hAnsi="宋体" w:cs="宋体"/>
          <w:sz w:val="22"/>
        </w:rPr>
        <w:t xml:space="preserve">； </w:t>
      </w:r>
    </w:p>
    <w:p w14:paraId="2B1164C0">
      <w:pPr>
        <w:tabs>
          <w:tab w:val="left" w:pos="1069"/>
        </w:tabs>
        <w:spacing w:line="400" w:lineRule="exact"/>
        <w:ind w:firstLine="440" w:firstLineChars="200"/>
        <w:rPr>
          <w:rFonts w:hint="eastAsia" w:ascii="宋体" w:hAnsi="宋体" w:cs="宋体"/>
          <w:sz w:val="22"/>
        </w:rPr>
      </w:pPr>
      <w:r>
        <w:rPr>
          <w:rFonts w:hint="eastAsia" w:ascii="宋体" w:hAnsi="宋体" w:cs="宋体"/>
          <w:sz w:val="22"/>
        </w:rPr>
        <w:t xml:space="preserve">…… 以上企业，不属于大企业的分支机构，不存在控股股东 为大企业的情形，也不存在与大企业的负责人为同一人的情形。 本企业对上述声明内容的真实性负责。如有虚假，将依法承担相应责任。 </w:t>
      </w:r>
    </w:p>
    <w:p w14:paraId="195D743E">
      <w:pPr>
        <w:tabs>
          <w:tab w:val="left" w:pos="1069"/>
        </w:tabs>
        <w:spacing w:line="400" w:lineRule="exact"/>
        <w:ind w:firstLine="440" w:firstLineChars="200"/>
        <w:rPr>
          <w:rFonts w:hint="eastAsia" w:ascii="宋体" w:hAnsi="宋体" w:cs="宋体"/>
          <w:sz w:val="22"/>
        </w:rPr>
      </w:pPr>
    </w:p>
    <w:p w14:paraId="67394EA6">
      <w:pPr>
        <w:tabs>
          <w:tab w:val="left" w:pos="1069"/>
        </w:tabs>
        <w:spacing w:line="400" w:lineRule="exact"/>
        <w:ind w:firstLine="440" w:firstLineChars="200"/>
        <w:rPr>
          <w:rFonts w:hint="eastAsia" w:ascii="宋体" w:hAnsi="宋体" w:cs="宋体"/>
          <w:sz w:val="22"/>
        </w:rPr>
      </w:pPr>
      <w:r>
        <w:rPr>
          <w:rFonts w:hint="eastAsia" w:ascii="宋体" w:hAnsi="宋体" w:cs="宋体"/>
          <w:sz w:val="22"/>
        </w:rPr>
        <w:t xml:space="preserve">企业名称（盖章）： </w:t>
      </w:r>
    </w:p>
    <w:p w14:paraId="2F988DA3">
      <w:pPr>
        <w:tabs>
          <w:tab w:val="left" w:pos="1069"/>
        </w:tabs>
        <w:spacing w:line="400" w:lineRule="exact"/>
        <w:ind w:firstLine="440" w:firstLineChars="200"/>
        <w:rPr>
          <w:rFonts w:hint="eastAsia" w:ascii="宋体" w:hAnsi="宋体" w:cs="宋体"/>
          <w:sz w:val="22"/>
        </w:rPr>
      </w:pPr>
      <w:r>
        <w:rPr>
          <w:rFonts w:hint="eastAsia" w:ascii="宋体" w:hAnsi="宋体" w:cs="宋体"/>
          <w:sz w:val="22"/>
        </w:rPr>
        <w:t>日 期：</w:t>
      </w:r>
    </w:p>
    <w:p w14:paraId="0597C825">
      <w:pPr>
        <w:rPr>
          <w:rFonts w:hint="eastAsia" w:ascii="宋体" w:hAnsi="宋体" w:cs="宋体"/>
          <w:b/>
          <w:kern w:val="0"/>
          <w:sz w:val="20"/>
          <w:szCs w:val="20"/>
        </w:rPr>
      </w:pPr>
    </w:p>
    <w:p w14:paraId="14AF1915">
      <w:pPr>
        <w:tabs>
          <w:tab w:val="left" w:pos="1069"/>
        </w:tabs>
        <w:spacing w:line="400" w:lineRule="exact"/>
        <w:ind w:firstLine="440" w:firstLineChars="200"/>
        <w:rPr>
          <w:rFonts w:hint="eastAsia" w:ascii="宋体" w:hAnsi="宋体" w:cs="宋体"/>
          <w:sz w:val="22"/>
        </w:rPr>
      </w:pPr>
      <w:r>
        <w:rPr>
          <w:rFonts w:hint="eastAsia" w:ascii="宋体" w:hAnsi="宋体" w:cs="宋体"/>
          <w:sz w:val="22"/>
        </w:rPr>
        <w:t>注： 从业人员、营业收入、资产总额填报上一年度数据，无上一年度数据的新成立企业可不填报。</w:t>
      </w:r>
    </w:p>
    <w:p w14:paraId="5D5FBE0C">
      <w:pPr>
        <w:snapToGrid w:val="0"/>
        <w:spacing w:line="360" w:lineRule="auto"/>
        <w:rPr>
          <w:rFonts w:hint="eastAsia" w:ascii="宋体" w:hAnsi="宋体" w:cs="宋体"/>
          <w:b/>
          <w:bCs/>
        </w:rPr>
      </w:pPr>
    </w:p>
    <w:p w14:paraId="36D5A8FA">
      <w:pPr>
        <w:snapToGrid w:val="0"/>
        <w:spacing w:line="360" w:lineRule="auto"/>
        <w:ind w:firstLine="422" w:firstLineChars="200"/>
        <w:rPr>
          <w:rFonts w:hint="eastAsia" w:ascii="宋体" w:hAnsi="宋体" w:cs="宋体"/>
          <w:b/>
          <w:bCs/>
          <w:sz w:val="26"/>
          <w:szCs w:val="26"/>
        </w:rPr>
      </w:pPr>
      <w:r>
        <w:rPr>
          <w:rFonts w:hint="eastAsia" w:ascii="宋体" w:hAnsi="宋体" w:cs="宋体"/>
          <w:b/>
          <w:bCs/>
        </w:rPr>
        <w:t>▲投标人提供的中小企业声明函与实际情况不符的，视为投标人提供虚假材料投标的，投标无效。</w:t>
      </w:r>
    </w:p>
    <w:p w14:paraId="68ED49D1">
      <w:pPr>
        <w:spacing w:line="480" w:lineRule="exact"/>
        <w:rPr>
          <w:rFonts w:hint="eastAsia" w:ascii="宋体" w:hAnsi="宋体" w:cs="宋体"/>
          <w:b/>
          <w:bCs/>
          <w:kern w:val="0"/>
          <w:sz w:val="26"/>
          <w:szCs w:val="26"/>
        </w:rPr>
      </w:pPr>
      <w:r>
        <w:rPr>
          <w:rFonts w:hint="eastAsia" w:ascii="宋体" w:hAnsi="宋体" w:cs="宋体"/>
          <w:b/>
          <w:bCs/>
          <w:kern w:val="0"/>
          <w:sz w:val="26"/>
          <w:szCs w:val="26"/>
        </w:rPr>
        <w:t>二、节能、环保产品优先（强制）采购政策说明</w:t>
      </w:r>
    </w:p>
    <w:p w14:paraId="417782D0">
      <w:pPr>
        <w:snapToGrid w:val="0"/>
        <w:spacing w:line="460" w:lineRule="atLeast"/>
        <w:ind w:firstLine="440" w:firstLineChars="200"/>
        <w:rPr>
          <w:rFonts w:hint="eastAsia" w:ascii="宋体" w:hAnsi="宋体" w:cs="宋体"/>
          <w:sz w:val="22"/>
        </w:rPr>
      </w:pPr>
      <w:r>
        <w:rPr>
          <w:rFonts w:hint="eastAsia" w:ascii="宋体" w:hAnsi="宋体" w:cs="宋体"/>
          <w:sz w:val="22"/>
        </w:rPr>
        <w:t>1、政策依据</w:t>
      </w:r>
    </w:p>
    <w:p w14:paraId="21D1273D">
      <w:pPr>
        <w:snapToGrid w:val="0"/>
        <w:spacing w:line="460" w:lineRule="atLeast"/>
        <w:ind w:firstLine="440" w:firstLineChars="200"/>
        <w:rPr>
          <w:rFonts w:hint="eastAsia" w:ascii="宋体" w:hAnsi="宋体" w:cs="宋体"/>
          <w:sz w:val="22"/>
        </w:rPr>
      </w:pPr>
      <w:r>
        <w:rPr>
          <w:rFonts w:hint="eastAsia" w:ascii="宋体" w:hAnsi="宋体" w:cs="宋体"/>
          <w:sz w:val="22"/>
        </w:rPr>
        <w:t>（一）《国务院办公厅关于建立政府强制采购节能产品制度的通知》(国办发[2007]51号)</w:t>
      </w:r>
    </w:p>
    <w:p w14:paraId="03AB4790">
      <w:pPr>
        <w:snapToGrid w:val="0"/>
        <w:spacing w:line="460" w:lineRule="atLeast"/>
        <w:ind w:firstLine="440" w:firstLineChars="200"/>
        <w:rPr>
          <w:rFonts w:hint="eastAsia" w:ascii="宋体" w:hAnsi="宋体" w:cs="宋体"/>
          <w:sz w:val="22"/>
        </w:rPr>
      </w:pPr>
      <w:r>
        <w:rPr>
          <w:rFonts w:hint="eastAsia" w:ascii="宋体" w:hAnsi="宋体" w:cs="宋体"/>
          <w:sz w:val="22"/>
        </w:rPr>
        <w:t>（二）财政部、发展改革委发布的《节能产品政府采购实施意见》(财库[2004]185号)</w:t>
      </w:r>
    </w:p>
    <w:p w14:paraId="26B6C80C">
      <w:pPr>
        <w:snapToGrid w:val="0"/>
        <w:spacing w:line="460" w:lineRule="atLeast"/>
        <w:ind w:firstLine="440" w:firstLineChars="200"/>
        <w:rPr>
          <w:rFonts w:hint="eastAsia" w:ascii="宋体" w:hAnsi="宋体" w:cs="宋体"/>
          <w:sz w:val="22"/>
        </w:rPr>
      </w:pPr>
      <w:r>
        <w:rPr>
          <w:rFonts w:hint="eastAsia" w:ascii="宋体" w:hAnsi="宋体" w:cs="宋体"/>
          <w:sz w:val="22"/>
        </w:rPr>
        <w:t>（三）财政部、原环保总局印发的《环境标志产品政府采购实施的意见》（财库 [2006]90号）</w:t>
      </w:r>
    </w:p>
    <w:p w14:paraId="61120CB4">
      <w:pPr>
        <w:snapToGrid w:val="0"/>
        <w:spacing w:line="460" w:lineRule="atLeast"/>
        <w:ind w:firstLine="440" w:firstLineChars="200"/>
        <w:rPr>
          <w:rFonts w:hint="eastAsia" w:ascii="宋体" w:hAnsi="宋体" w:cs="宋体"/>
          <w:sz w:val="22"/>
        </w:rPr>
      </w:pPr>
      <w:r>
        <w:rPr>
          <w:rFonts w:hint="eastAsia" w:ascii="宋体" w:hAnsi="宋体" w:cs="宋体"/>
          <w:sz w:val="22"/>
        </w:rPr>
        <w:t>（四）《关于调整优化节能产品、环境标志产品政府采购执行机制的通知》（财库〔2019〕9号）</w:t>
      </w:r>
    </w:p>
    <w:p w14:paraId="77D194C6">
      <w:pPr>
        <w:snapToGrid w:val="0"/>
        <w:spacing w:line="460" w:lineRule="atLeast"/>
        <w:ind w:firstLine="440" w:firstLineChars="200"/>
        <w:rPr>
          <w:rFonts w:hint="eastAsia" w:ascii="宋体" w:hAnsi="宋体" w:cs="宋体"/>
          <w:sz w:val="22"/>
        </w:rPr>
      </w:pPr>
      <w:r>
        <w:rPr>
          <w:rFonts w:hint="eastAsia" w:ascii="宋体" w:hAnsi="宋体" w:cs="宋体"/>
          <w:sz w:val="22"/>
        </w:rPr>
        <w:t>（五）《关于印发节能产品政府采购品目清单的通知》（财库〔2019〕19号）</w:t>
      </w:r>
    </w:p>
    <w:p w14:paraId="05AC93EF">
      <w:pPr>
        <w:snapToGrid w:val="0"/>
        <w:spacing w:line="460" w:lineRule="atLeast"/>
        <w:ind w:firstLine="440" w:firstLineChars="200"/>
        <w:rPr>
          <w:rFonts w:hint="eastAsia" w:ascii="宋体" w:hAnsi="宋体" w:cs="宋体"/>
          <w:sz w:val="22"/>
        </w:rPr>
      </w:pPr>
      <w:r>
        <w:rPr>
          <w:rFonts w:hint="eastAsia" w:ascii="宋体" w:hAnsi="宋体" w:cs="宋体"/>
          <w:sz w:val="22"/>
        </w:rPr>
        <w:t>（六）《关于印发环境标志产品政府采购品目清单的通知》（财库〔2019〕18号）</w:t>
      </w:r>
    </w:p>
    <w:p w14:paraId="7A343190">
      <w:pPr>
        <w:snapToGrid w:val="0"/>
        <w:spacing w:line="460" w:lineRule="atLeast"/>
        <w:ind w:firstLine="440" w:firstLineChars="200"/>
        <w:rPr>
          <w:rFonts w:hint="eastAsia" w:ascii="宋体" w:hAnsi="宋体" w:cs="宋体"/>
          <w:sz w:val="22"/>
        </w:rPr>
      </w:pPr>
      <w:r>
        <w:rPr>
          <w:rFonts w:hint="eastAsia" w:ascii="宋体" w:hAnsi="宋体" w:cs="宋体"/>
          <w:sz w:val="22"/>
        </w:rPr>
        <w:t>（七）《市场监管总局关于发布参与实施政府采购节能产品、环境标志产品认证机构名录的公告》（2019年第16号）</w:t>
      </w:r>
    </w:p>
    <w:p w14:paraId="0A56A1FC">
      <w:pPr>
        <w:keepNext/>
        <w:widowControl w:val="0"/>
        <w:spacing w:line="360" w:lineRule="auto"/>
        <w:ind w:firstLine="440" w:firstLineChars="200"/>
        <w:jc w:val="left"/>
        <w:rPr>
          <w:rFonts w:hint="eastAsia" w:ascii="宋体" w:hAnsi="宋体" w:cs="微软雅黑"/>
          <w:sz w:val="22"/>
        </w:rPr>
      </w:pPr>
      <w:r>
        <w:rPr>
          <w:rFonts w:hint="eastAsia" w:ascii="宋体" w:hAnsi="宋体" w:cs="宋体"/>
          <w:sz w:val="22"/>
        </w:rPr>
        <w:t>2、供应商投标货物属于节能、环保优先（强制）采购范围的，须提供相关证明材料。</w:t>
      </w:r>
    </w:p>
    <w:p w14:paraId="3305F5BA">
      <w:pPr>
        <w:spacing w:before="120" w:beforeLines="50" w:after="120" w:afterLines="50" w:line="400" w:lineRule="atLeast"/>
        <w:rPr>
          <w:rFonts w:ascii="宋体"/>
          <w:b/>
          <w:bCs/>
          <w:sz w:val="22"/>
          <w:szCs w:val="22"/>
        </w:rPr>
      </w:pPr>
      <w:r>
        <w:rPr>
          <w:rFonts w:hint="eastAsia" w:ascii="宋体"/>
          <w:b/>
          <w:bCs/>
          <w:sz w:val="22"/>
          <w:szCs w:val="22"/>
        </w:rPr>
        <w:t>三、信贷政策</w:t>
      </w:r>
    </w:p>
    <w:p w14:paraId="58558ACD">
      <w:pPr>
        <w:snapToGrid w:val="0"/>
        <w:spacing w:line="460" w:lineRule="atLeast"/>
        <w:ind w:firstLine="440" w:firstLineChars="200"/>
        <w:jc w:val="left"/>
        <w:rPr>
          <w:rFonts w:ascii="宋体"/>
          <w:sz w:val="22"/>
          <w:szCs w:val="22"/>
        </w:rPr>
      </w:pPr>
      <w:r>
        <w:rPr>
          <w:rFonts w:hint="eastAsia" w:ascii="宋体"/>
          <w:sz w:val="22"/>
          <w:szCs w:val="22"/>
        </w:rPr>
        <w:t>1、温州市财政局关于温州市政府采购支持中小企业信用融资的通知（温财采〔</w:t>
      </w:r>
      <w:r>
        <w:rPr>
          <w:rFonts w:ascii="宋体"/>
          <w:sz w:val="22"/>
          <w:szCs w:val="22"/>
        </w:rPr>
        <w:t>2020</w:t>
      </w:r>
      <w:r>
        <w:rPr>
          <w:rFonts w:hint="eastAsia" w:ascii="宋体"/>
          <w:sz w:val="22"/>
          <w:szCs w:val="22"/>
        </w:rPr>
        <w:t>〕</w:t>
      </w:r>
      <w:r>
        <w:rPr>
          <w:rFonts w:ascii="宋体"/>
          <w:sz w:val="22"/>
          <w:szCs w:val="22"/>
        </w:rPr>
        <w:t>3</w:t>
      </w:r>
      <w:r>
        <w:rPr>
          <w:rFonts w:hint="eastAsia" w:ascii="宋体"/>
          <w:sz w:val="22"/>
          <w:szCs w:val="22"/>
        </w:rPr>
        <w:t>号）</w:t>
      </w:r>
    </w:p>
    <w:tbl>
      <w:tblPr>
        <w:tblStyle w:val="25"/>
        <w:tblW w:w="9394" w:type="dxa"/>
        <w:jc w:val="center"/>
        <w:tblBorders>
          <w:top w:val="none" w:color="auto" w:sz="0" w:space="0"/>
          <w:left w:val="none" w:color="auto" w:sz="0" w:space="0"/>
          <w:bottom w:val="none" w:color="auto" w:sz="0"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864"/>
        <w:gridCol w:w="4870"/>
        <w:gridCol w:w="980"/>
        <w:gridCol w:w="1680"/>
      </w:tblGrid>
      <w:tr w14:paraId="34AEAB77">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73" w:hRule="atLeast"/>
          <w:tblHeader/>
          <w:jc w:val="center"/>
        </w:trPr>
        <w:tc>
          <w:tcPr>
            <w:tcW w:w="9394" w:type="dxa"/>
            <w:gridSpan w:val="4"/>
            <w:tcBorders>
              <w:bottom w:val="single" w:color="auto" w:sz="12" w:space="0"/>
            </w:tcBorders>
            <w:vAlign w:val="center"/>
          </w:tcPr>
          <w:p w14:paraId="4B0735CA">
            <w:pPr>
              <w:jc w:val="center"/>
              <w:rPr>
                <w:rFonts w:hint="eastAsia" w:ascii="宋体" w:hAnsi="宋体"/>
                <w:sz w:val="22"/>
                <w:szCs w:val="22"/>
              </w:rPr>
            </w:pPr>
            <w:r>
              <w:rPr>
                <w:rFonts w:hint="eastAsia" w:ascii="宋体" w:hAnsi="宋体"/>
                <w:sz w:val="22"/>
                <w:szCs w:val="22"/>
              </w:rPr>
              <w:t>温州市政府采购支持中小企业信用融资合作银行</w:t>
            </w:r>
          </w:p>
        </w:tc>
      </w:tr>
      <w:tr w14:paraId="37DC6943">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17" w:hRule="atLeast"/>
          <w:tblHeader/>
          <w:jc w:val="center"/>
        </w:trPr>
        <w:tc>
          <w:tcPr>
            <w:tcW w:w="1864" w:type="dxa"/>
            <w:tcBorders>
              <w:top w:val="single" w:color="auto" w:sz="12" w:space="0"/>
              <w:left w:val="single" w:color="auto" w:sz="12" w:space="0"/>
            </w:tcBorders>
            <w:vAlign w:val="center"/>
          </w:tcPr>
          <w:p w14:paraId="4ADDAFA9">
            <w:pPr>
              <w:pStyle w:val="52"/>
              <w:spacing w:line="240" w:lineRule="auto"/>
              <w:ind w:firstLine="0" w:firstLineChars="0"/>
              <w:jc w:val="center"/>
              <w:rPr>
                <w:rFonts w:hint="eastAsia" w:ascii="宋体" w:hAnsi="宋体" w:eastAsia="宋体" w:cs="宋体"/>
                <w:kern w:val="0"/>
                <w:sz w:val="18"/>
                <w:szCs w:val="18"/>
              </w:rPr>
            </w:pPr>
            <w:r>
              <w:rPr>
                <w:rFonts w:hint="eastAsia" w:ascii="宋体" w:hAnsi="宋体" w:eastAsia="宋体" w:cs="宋体"/>
                <w:kern w:val="0"/>
                <w:sz w:val="18"/>
                <w:szCs w:val="18"/>
              </w:rPr>
              <w:t>银行名称</w:t>
            </w:r>
          </w:p>
        </w:tc>
        <w:tc>
          <w:tcPr>
            <w:tcW w:w="4870" w:type="dxa"/>
            <w:tcBorders>
              <w:top w:val="single" w:color="auto" w:sz="12" w:space="0"/>
            </w:tcBorders>
            <w:vAlign w:val="center"/>
          </w:tcPr>
          <w:p w14:paraId="00D7DEC4">
            <w:pPr>
              <w:pStyle w:val="52"/>
              <w:spacing w:line="240" w:lineRule="auto"/>
              <w:ind w:firstLine="0" w:firstLineChars="0"/>
              <w:jc w:val="center"/>
              <w:rPr>
                <w:rFonts w:hint="eastAsia" w:ascii="宋体" w:hAnsi="宋体" w:eastAsia="宋体" w:cs="宋体"/>
                <w:kern w:val="0"/>
                <w:sz w:val="18"/>
                <w:szCs w:val="18"/>
              </w:rPr>
            </w:pPr>
            <w:r>
              <w:rPr>
                <w:rFonts w:hint="eastAsia" w:ascii="宋体" w:hAnsi="宋体" w:eastAsia="宋体" w:cs="宋体"/>
                <w:kern w:val="0"/>
                <w:sz w:val="18"/>
                <w:szCs w:val="18"/>
              </w:rPr>
              <w:t>产品特点（不超过120字）</w:t>
            </w:r>
          </w:p>
        </w:tc>
        <w:tc>
          <w:tcPr>
            <w:tcW w:w="980" w:type="dxa"/>
            <w:tcBorders>
              <w:top w:val="single" w:color="auto" w:sz="12" w:space="0"/>
            </w:tcBorders>
            <w:vAlign w:val="center"/>
          </w:tcPr>
          <w:p w14:paraId="5A797051">
            <w:pPr>
              <w:pStyle w:val="52"/>
              <w:spacing w:line="240" w:lineRule="auto"/>
              <w:ind w:firstLine="0" w:firstLineChars="0"/>
              <w:jc w:val="center"/>
              <w:rPr>
                <w:rFonts w:hint="eastAsia" w:ascii="宋体" w:hAnsi="宋体" w:eastAsia="宋体" w:cs="宋体"/>
                <w:kern w:val="0"/>
                <w:sz w:val="18"/>
                <w:szCs w:val="18"/>
              </w:rPr>
            </w:pPr>
            <w:r>
              <w:rPr>
                <w:rFonts w:hint="eastAsia" w:ascii="宋体" w:hAnsi="宋体" w:eastAsia="宋体" w:cs="宋体"/>
                <w:kern w:val="0"/>
                <w:sz w:val="18"/>
                <w:szCs w:val="18"/>
              </w:rPr>
              <w:t>经办人</w:t>
            </w:r>
          </w:p>
        </w:tc>
        <w:tc>
          <w:tcPr>
            <w:tcW w:w="1680" w:type="dxa"/>
            <w:tcBorders>
              <w:top w:val="single" w:color="auto" w:sz="12" w:space="0"/>
              <w:right w:val="single" w:color="auto" w:sz="12" w:space="0"/>
            </w:tcBorders>
            <w:vAlign w:val="center"/>
          </w:tcPr>
          <w:p w14:paraId="44C5CA4B">
            <w:pPr>
              <w:jc w:val="center"/>
              <w:rPr>
                <w:rFonts w:hint="eastAsia" w:ascii="宋体" w:hAnsi="宋体" w:cs="宋体"/>
                <w:sz w:val="18"/>
                <w:szCs w:val="18"/>
              </w:rPr>
            </w:pPr>
            <w:r>
              <w:rPr>
                <w:rFonts w:hint="eastAsia" w:ascii="宋体" w:hAnsi="宋体" w:cs="宋体"/>
                <w:sz w:val="18"/>
                <w:szCs w:val="18"/>
              </w:rPr>
              <w:t>联系方式</w:t>
            </w:r>
          </w:p>
        </w:tc>
      </w:tr>
      <w:tr w14:paraId="72E3D3E0">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477" w:hRule="atLeast"/>
          <w:jc w:val="center"/>
        </w:trPr>
        <w:tc>
          <w:tcPr>
            <w:tcW w:w="1864" w:type="dxa"/>
            <w:tcBorders>
              <w:left w:val="single" w:color="auto" w:sz="12" w:space="0"/>
            </w:tcBorders>
            <w:vAlign w:val="center"/>
          </w:tcPr>
          <w:p w14:paraId="683A59E7">
            <w:pPr>
              <w:pStyle w:val="52"/>
              <w:spacing w:line="240" w:lineRule="auto"/>
              <w:ind w:firstLine="0" w:firstLineChars="0"/>
              <w:jc w:val="center"/>
              <w:rPr>
                <w:rFonts w:hint="eastAsia" w:ascii="宋体" w:hAnsi="宋体" w:eastAsia="宋体" w:cs="宋体"/>
                <w:kern w:val="0"/>
                <w:sz w:val="18"/>
                <w:szCs w:val="18"/>
              </w:rPr>
            </w:pPr>
            <w:r>
              <w:rPr>
                <w:rFonts w:hint="eastAsia" w:ascii="宋体" w:hAnsi="宋体" w:eastAsia="宋体" w:cs="宋体"/>
                <w:kern w:val="0"/>
                <w:sz w:val="18"/>
                <w:szCs w:val="18"/>
              </w:rPr>
              <w:t>中国工商银行股份有限公司温州分行</w:t>
            </w:r>
          </w:p>
        </w:tc>
        <w:tc>
          <w:tcPr>
            <w:tcW w:w="4870" w:type="dxa"/>
            <w:tcBorders>
              <w:top w:val="single" w:color="auto" w:sz="4" w:space="0"/>
              <w:left w:val="single" w:color="auto" w:sz="4" w:space="0"/>
              <w:right w:val="single" w:color="auto" w:sz="4" w:space="0"/>
            </w:tcBorders>
            <w:vAlign w:val="center"/>
          </w:tcPr>
          <w:p w14:paraId="08A5AEF9">
            <w:pPr>
              <w:jc w:val="left"/>
              <w:rPr>
                <w:rFonts w:hint="eastAsia" w:ascii="宋体" w:hAnsi="宋体"/>
                <w:sz w:val="18"/>
                <w:szCs w:val="18"/>
              </w:rPr>
            </w:pPr>
            <w:r>
              <w:rPr>
                <w:rFonts w:hint="eastAsia" w:ascii="宋体" w:hAnsi="宋体"/>
                <w:sz w:val="18"/>
                <w:szCs w:val="18"/>
              </w:rPr>
              <w:t>一、融资方式：采取简易方式,根据流水及纳税情况核定额度。信用方式。（融资200万以下）根据政府采购合同及供应商资金需求确定，以信用为主，追加采购合同项下的预期销货款为我行质押。（融资200万以上）二、融资利率：在我行一般中小企业信用贷款利率基础上下浮10%。</w:t>
            </w:r>
          </w:p>
        </w:tc>
        <w:tc>
          <w:tcPr>
            <w:tcW w:w="980" w:type="dxa"/>
            <w:tcBorders>
              <w:top w:val="single" w:color="auto" w:sz="4" w:space="0"/>
              <w:left w:val="single" w:color="auto" w:sz="4" w:space="0"/>
              <w:right w:val="single" w:color="auto" w:sz="4" w:space="0"/>
            </w:tcBorders>
            <w:vAlign w:val="center"/>
          </w:tcPr>
          <w:p w14:paraId="337D551A">
            <w:pPr>
              <w:pStyle w:val="52"/>
              <w:spacing w:line="240" w:lineRule="auto"/>
              <w:ind w:firstLine="0" w:firstLineChars="0"/>
              <w:jc w:val="center"/>
              <w:rPr>
                <w:rFonts w:hint="eastAsia" w:ascii="宋体" w:hAnsi="宋体" w:eastAsia="宋体" w:cs="宋体"/>
                <w:kern w:val="0"/>
                <w:sz w:val="18"/>
                <w:szCs w:val="18"/>
              </w:rPr>
            </w:pPr>
            <w:r>
              <w:rPr>
                <w:rFonts w:hint="eastAsia" w:ascii="宋体" w:hAnsi="宋体" w:eastAsia="宋体" w:cs="宋体"/>
                <w:kern w:val="0"/>
                <w:sz w:val="18"/>
                <w:szCs w:val="18"/>
              </w:rPr>
              <w:t>王经理</w:t>
            </w:r>
          </w:p>
        </w:tc>
        <w:tc>
          <w:tcPr>
            <w:tcW w:w="1680" w:type="dxa"/>
            <w:tcBorders>
              <w:right w:val="single" w:color="auto" w:sz="12" w:space="0"/>
            </w:tcBorders>
            <w:vAlign w:val="center"/>
          </w:tcPr>
          <w:p w14:paraId="1B4599BA">
            <w:pPr>
              <w:jc w:val="left"/>
              <w:rPr>
                <w:rFonts w:hint="eastAsia" w:ascii="宋体" w:hAnsi="宋体"/>
                <w:sz w:val="18"/>
                <w:szCs w:val="18"/>
              </w:rPr>
            </w:pPr>
            <w:r>
              <w:rPr>
                <w:rFonts w:hint="eastAsia" w:ascii="宋体" w:hAnsi="宋体"/>
                <w:sz w:val="18"/>
                <w:szCs w:val="18"/>
              </w:rPr>
              <w:t>0577-88186626</w:t>
            </w:r>
          </w:p>
        </w:tc>
      </w:tr>
      <w:tr w14:paraId="5E8E6952">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408" w:hRule="atLeast"/>
          <w:jc w:val="center"/>
        </w:trPr>
        <w:tc>
          <w:tcPr>
            <w:tcW w:w="1864" w:type="dxa"/>
            <w:tcBorders>
              <w:left w:val="single" w:color="auto" w:sz="12" w:space="0"/>
            </w:tcBorders>
            <w:vAlign w:val="center"/>
          </w:tcPr>
          <w:p w14:paraId="120BCBC1">
            <w:pPr>
              <w:jc w:val="center"/>
              <w:rPr>
                <w:rFonts w:hint="eastAsia" w:ascii="宋体" w:hAnsi="宋体"/>
                <w:sz w:val="18"/>
                <w:szCs w:val="18"/>
              </w:rPr>
            </w:pPr>
            <w:r>
              <w:rPr>
                <w:rFonts w:hint="eastAsia" w:ascii="宋体" w:hAnsi="宋体" w:cs="宋体"/>
                <w:sz w:val="18"/>
                <w:szCs w:val="18"/>
              </w:rPr>
              <w:t>中国建设银行股份有限公司温州分行</w:t>
            </w:r>
          </w:p>
        </w:tc>
        <w:tc>
          <w:tcPr>
            <w:tcW w:w="4870" w:type="dxa"/>
            <w:tcBorders>
              <w:top w:val="single" w:color="auto" w:sz="4" w:space="0"/>
              <w:left w:val="single" w:color="auto" w:sz="4" w:space="0"/>
              <w:right w:val="single" w:color="auto" w:sz="4" w:space="0"/>
            </w:tcBorders>
            <w:vAlign w:val="center"/>
          </w:tcPr>
          <w:p w14:paraId="7C0DDEF2">
            <w:pPr>
              <w:jc w:val="left"/>
              <w:rPr>
                <w:rFonts w:hint="eastAsia" w:ascii="宋体" w:hAnsi="宋体"/>
                <w:sz w:val="18"/>
                <w:szCs w:val="18"/>
              </w:rPr>
            </w:pPr>
            <w:r>
              <w:rPr>
                <w:rFonts w:hint="eastAsia" w:ascii="宋体" w:hAnsi="宋体"/>
                <w:sz w:val="18"/>
                <w:szCs w:val="18"/>
              </w:rPr>
              <w:t>申请手续简便：以政府采购合同为基础，无需额外抵押和担保；融资价格优惠：最低可享受4.15%的优惠利率，随LPR浮动调整；到账时间快速：最快可实现当日申请，当日放款；办理流程省心：线上操作流程，免去银行排队奔波。</w:t>
            </w:r>
          </w:p>
        </w:tc>
        <w:tc>
          <w:tcPr>
            <w:tcW w:w="980" w:type="dxa"/>
            <w:tcBorders>
              <w:top w:val="single" w:color="auto" w:sz="4" w:space="0"/>
              <w:left w:val="single" w:color="auto" w:sz="4" w:space="0"/>
              <w:right w:val="single" w:color="auto" w:sz="4" w:space="0"/>
            </w:tcBorders>
            <w:vAlign w:val="center"/>
          </w:tcPr>
          <w:p w14:paraId="3B7C3132">
            <w:pPr>
              <w:jc w:val="center"/>
              <w:rPr>
                <w:rFonts w:hint="eastAsia" w:ascii="宋体" w:hAnsi="宋体" w:cs="宋体"/>
                <w:sz w:val="18"/>
                <w:szCs w:val="18"/>
              </w:rPr>
            </w:pPr>
            <w:r>
              <w:rPr>
                <w:rFonts w:hint="eastAsia" w:ascii="宋体" w:hAnsi="宋体" w:cs="宋体"/>
                <w:sz w:val="18"/>
                <w:szCs w:val="18"/>
              </w:rPr>
              <w:t>张经理</w:t>
            </w:r>
          </w:p>
        </w:tc>
        <w:tc>
          <w:tcPr>
            <w:tcW w:w="1680" w:type="dxa"/>
            <w:tcBorders>
              <w:right w:val="single" w:color="auto" w:sz="12" w:space="0"/>
            </w:tcBorders>
            <w:vAlign w:val="center"/>
          </w:tcPr>
          <w:p w14:paraId="23380DB4">
            <w:pPr>
              <w:jc w:val="left"/>
              <w:rPr>
                <w:rFonts w:hint="eastAsia" w:ascii="宋体" w:hAnsi="宋体" w:cs="宋体"/>
                <w:sz w:val="18"/>
                <w:szCs w:val="18"/>
              </w:rPr>
            </w:pPr>
            <w:r>
              <w:rPr>
                <w:rFonts w:hint="eastAsia" w:ascii="宋体" w:hAnsi="宋体" w:cs="宋体"/>
                <w:sz w:val="18"/>
                <w:szCs w:val="18"/>
              </w:rPr>
              <w:t>0577-88093286</w:t>
            </w:r>
          </w:p>
        </w:tc>
      </w:tr>
      <w:tr w14:paraId="47C04B22">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333" w:hRule="atLeast"/>
          <w:jc w:val="center"/>
        </w:trPr>
        <w:tc>
          <w:tcPr>
            <w:tcW w:w="1864" w:type="dxa"/>
            <w:tcBorders>
              <w:left w:val="single" w:color="auto" w:sz="12" w:space="0"/>
            </w:tcBorders>
            <w:vAlign w:val="center"/>
          </w:tcPr>
          <w:p w14:paraId="57AE8AF6">
            <w:pPr>
              <w:pStyle w:val="52"/>
              <w:spacing w:line="240" w:lineRule="auto"/>
              <w:ind w:firstLine="0" w:firstLineChars="0"/>
              <w:jc w:val="center"/>
              <w:rPr>
                <w:rFonts w:hint="eastAsia" w:ascii="宋体" w:hAnsi="宋体" w:eastAsia="宋体" w:cs="宋体"/>
                <w:kern w:val="0"/>
                <w:sz w:val="18"/>
                <w:szCs w:val="18"/>
              </w:rPr>
            </w:pPr>
            <w:r>
              <w:rPr>
                <w:rFonts w:hint="eastAsia" w:ascii="宋体" w:hAnsi="宋体" w:eastAsia="宋体" w:cs="宋体"/>
                <w:kern w:val="0"/>
                <w:sz w:val="18"/>
                <w:szCs w:val="18"/>
              </w:rPr>
              <w:t>中国邮政储蓄银行股份有限公司温州市分行</w:t>
            </w:r>
          </w:p>
        </w:tc>
        <w:tc>
          <w:tcPr>
            <w:tcW w:w="4870" w:type="dxa"/>
            <w:tcBorders>
              <w:top w:val="single" w:color="auto" w:sz="4" w:space="0"/>
              <w:left w:val="single" w:color="auto" w:sz="4" w:space="0"/>
              <w:right w:val="single" w:color="auto" w:sz="4" w:space="0"/>
            </w:tcBorders>
            <w:vAlign w:val="center"/>
          </w:tcPr>
          <w:p w14:paraId="0D2C962D">
            <w:pPr>
              <w:jc w:val="left"/>
              <w:rPr>
                <w:rFonts w:hint="eastAsia" w:ascii="宋体" w:hAnsi="宋体"/>
                <w:sz w:val="18"/>
                <w:szCs w:val="18"/>
              </w:rPr>
            </w:pPr>
            <w:r>
              <w:rPr>
                <w:rFonts w:hint="eastAsia" w:ascii="宋体" w:hAnsi="宋体"/>
                <w:sz w:val="18"/>
                <w:szCs w:val="18"/>
              </w:rPr>
              <w:t>“政府采购贷”业务，是指我行为政府采购项目中标企业发放的，用于中标企业合法生产经营活动的短期人民币流动资金贷款。贷款免抵押、免担保，手续便捷、审批快速，单笔金额最高500万元，单笔期限最长18个月。</w:t>
            </w:r>
          </w:p>
        </w:tc>
        <w:tc>
          <w:tcPr>
            <w:tcW w:w="980" w:type="dxa"/>
            <w:tcBorders>
              <w:top w:val="single" w:color="auto" w:sz="4" w:space="0"/>
              <w:left w:val="single" w:color="auto" w:sz="4" w:space="0"/>
              <w:right w:val="single" w:color="auto" w:sz="4" w:space="0"/>
            </w:tcBorders>
            <w:vAlign w:val="center"/>
          </w:tcPr>
          <w:p w14:paraId="5E90831E">
            <w:pPr>
              <w:jc w:val="center"/>
              <w:rPr>
                <w:rFonts w:hint="eastAsia" w:ascii="宋体" w:hAnsi="宋体"/>
                <w:sz w:val="18"/>
                <w:szCs w:val="18"/>
              </w:rPr>
            </w:pPr>
            <w:r>
              <w:rPr>
                <w:rFonts w:hint="eastAsia" w:ascii="宋体" w:hAnsi="宋体"/>
                <w:sz w:val="18"/>
                <w:szCs w:val="18"/>
              </w:rPr>
              <w:t>郑经理</w:t>
            </w:r>
          </w:p>
        </w:tc>
        <w:tc>
          <w:tcPr>
            <w:tcW w:w="1680" w:type="dxa"/>
            <w:tcBorders>
              <w:right w:val="single" w:color="auto" w:sz="12" w:space="0"/>
            </w:tcBorders>
            <w:vAlign w:val="center"/>
          </w:tcPr>
          <w:p w14:paraId="167C473A">
            <w:pPr>
              <w:jc w:val="left"/>
              <w:rPr>
                <w:rFonts w:hint="eastAsia" w:ascii="宋体" w:hAnsi="宋体"/>
                <w:sz w:val="18"/>
                <w:szCs w:val="18"/>
              </w:rPr>
            </w:pPr>
            <w:r>
              <w:rPr>
                <w:rFonts w:hint="eastAsia" w:ascii="宋体" w:hAnsi="宋体"/>
                <w:sz w:val="18"/>
                <w:szCs w:val="18"/>
              </w:rPr>
              <w:t>0577-88193910</w:t>
            </w:r>
          </w:p>
        </w:tc>
      </w:tr>
      <w:tr w14:paraId="4DB5519B">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267" w:hRule="atLeast"/>
          <w:jc w:val="center"/>
        </w:trPr>
        <w:tc>
          <w:tcPr>
            <w:tcW w:w="1864" w:type="dxa"/>
            <w:tcBorders>
              <w:left w:val="single" w:color="auto" w:sz="12" w:space="0"/>
            </w:tcBorders>
            <w:vAlign w:val="center"/>
          </w:tcPr>
          <w:p w14:paraId="7B959C6A">
            <w:pPr>
              <w:pStyle w:val="52"/>
              <w:spacing w:line="240" w:lineRule="auto"/>
              <w:ind w:firstLine="0" w:firstLineChars="0"/>
              <w:jc w:val="center"/>
              <w:rPr>
                <w:rFonts w:hint="eastAsia" w:ascii="宋体" w:hAnsi="宋体" w:eastAsia="宋体" w:cs="宋体"/>
                <w:kern w:val="0"/>
                <w:sz w:val="18"/>
                <w:szCs w:val="18"/>
              </w:rPr>
            </w:pPr>
            <w:r>
              <w:rPr>
                <w:rFonts w:hint="eastAsia" w:ascii="宋体" w:hAnsi="宋体" w:eastAsia="宋体" w:cs="宋体"/>
                <w:kern w:val="0"/>
                <w:sz w:val="18"/>
                <w:szCs w:val="18"/>
              </w:rPr>
              <w:t>中国民生银行股份有限公司温州分行</w:t>
            </w:r>
          </w:p>
        </w:tc>
        <w:tc>
          <w:tcPr>
            <w:tcW w:w="4870" w:type="dxa"/>
            <w:tcBorders>
              <w:top w:val="single" w:color="auto" w:sz="4" w:space="0"/>
              <w:left w:val="single" w:color="auto" w:sz="4" w:space="0"/>
              <w:right w:val="single" w:color="auto" w:sz="4" w:space="0"/>
            </w:tcBorders>
            <w:vAlign w:val="center"/>
          </w:tcPr>
          <w:p w14:paraId="74CBFF93">
            <w:pPr>
              <w:jc w:val="left"/>
              <w:rPr>
                <w:rFonts w:hint="eastAsia" w:ascii="宋体" w:hAnsi="宋体"/>
                <w:sz w:val="18"/>
                <w:szCs w:val="18"/>
              </w:rPr>
            </w:pPr>
            <w:r>
              <w:rPr>
                <w:rFonts w:hint="eastAsia" w:ascii="宋体" w:hAnsi="宋体" w:cs="宋体"/>
                <w:sz w:val="18"/>
                <w:szCs w:val="18"/>
              </w:rPr>
              <w:t>民生银行供应链金融“政采贷”产品，专为政府采购场景下的中小企业融资而设计，最高融资额度可达政府采购合同交易金额的70%,最高单笔授信金额可达500万元，期限最长可达1年，无需抵押，无需办理应收账款质押，材料简单，流程便捷，利率优惠。</w:t>
            </w:r>
          </w:p>
        </w:tc>
        <w:tc>
          <w:tcPr>
            <w:tcW w:w="980" w:type="dxa"/>
            <w:tcBorders>
              <w:top w:val="single" w:color="auto" w:sz="4" w:space="0"/>
              <w:left w:val="single" w:color="auto" w:sz="4" w:space="0"/>
              <w:right w:val="single" w:color="auto" w:sz="4" w:space="0"/>
            </w:tcBorders>
            <w:vAlign w:val="center"/>
          </w:tcPr>
          <w:p w14:paraId="79072C36">
            <w:pPr>
              <w:jc w:val="center"/>
              <w:rPr>
                <w:rFonts w:hint="eastAsia" w:ascii="宋体" w:hAnsi="宋体"/>
                <w:sz w:val="18"/>
                <w:szCs w:val="18"/>
              </w:rPr>
            </w:pPr>
            <w:r>
              <w:rPr>
                <w:rFonts w:hint="eastAsia" w:ascii="宋体" w:hAnsi="宋体"/>
                <w:sz w:val="18"/>
                <w:szCs w:val="18"/>
              </w:rPr>
              <w:t>项经理</w:t>
            </w:r>
          </w:p>
        </w:tc>
        <w:tc>
          <w:tcPr>
            <w:tcW w:w="1680" w:type="dxa"/>
            <w:tcBorders>
              <w:right w:val="single" w:color="auto" w:sz="12" w:space="0"/>
            </w:tcBorders>
            <w:vAlign w:val="center"/>
          </w:tcPr>
          <w:p w14:paraId="452A8AF7">
            <w:pPr>
              <w:jc w:val="left"/>
              <w:rPr>
                <w:rFonts w:hint="eastAsia" w:ascii="宋体" w:hAnsi="宋体"/>
                <w:sz w:val="18"/>
                <w:szCs w:val="18"/>
              </w:rPr>
            </w:pPr>
            <w:r>
              <w:rPr>
                <w:rFonts w:hint="eastAsia" w:ascii="宋体" w:hAnsi="宋体"/>
                <w:sz w:val="18"/>
                <w:szCs w:val="18"/>
              </w:rPr>
              <w:t>18057779630</w:t>
            </w:r>
          </w:p>
        </w:tc>
      </w:tr>
      <w:tr w14:paraId="5427F236">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347" w:hRule="atLeast"/>
          <w:jc w:val="center"/>
        </w:trPr>
        <w:tc>
          <w:tcPr>
            <w:tcW w:w="1864" w:type="dxa"/>
            <w:tcBorders>
              <w:left w:val="single" w:color="auto" w:sz="12" w:space="0"/>
            </w:tcBorders>
            <w:vAlign w:val="center"/>
          </w:tcPr>
          <w:p w14:paraId="4D66A6EA">
            <w:pPr>
              <w:pStyle w:val="52"/>
              <w:spacing w:line="240" w:lineRule="auto"/>
              <w:ind w:firstLine="0" w:firstLineChars="0"/>
              <w:jc w:val="center"/>
              <w:rPr>
                <w:rFonts w:hint="eastAsia" w:ascii="宋体" w:hAnsi="宋体" w:eastAsia="宋体" w:cs="宋体"/>
                <w:kern w:val="0"/>
                <w:sz w:val="18"/>
                <w:szCs w:val="18"/>
              </w:rPr>
            </w:pPr>
            <w:r>
              <w:rPr>
                <w:rFonts w:hint="eastAsia" w:ascii="宋体" w:hAnsi="宋体" w:eastAsia="宋体" w:cs="宋体"/>
                <w:kern w:val="0"/>
                <w:sz w:val="18"/>
                <w:szCs w:val="18"/>
              </w:rPr>
              <w:t>宁波银行股份有限公司温州分行</w:t>
            </w:r>
          </w:p>
        </w:tc>
        <w:tc>
          <w:tcPr>
            <w:tcW w:w="4870" w:type="dxa"/>
            <w:tcBorders>
              <w:top w:val="single" w:color="auto" w:sz="4" w:space="0"/>
              <w:left w:val="single" w:color="auto" w:sz="4" w:space="0"/>
              <w:right w:val="single" w:color="auto" w:sz="4" w:space="0"/>
            </w:tcBorders>
            <w:vAlign w:val="center"/>
          </w:tcPr>
          <w:p w14:paraId="53A0CDA6">
            <w:pPr>
              <w:jc w:val="left"/>
              <w:rPr>
                <w:rFonts w:hint="eastAsia" w:ascii="宋体" w:hAnsi="宋体"/>
                <w:sz w:val="18"/>
                <w:szCs w:val="18"/>
              </w:rPr>
            </w:pPr>
            <w:r>
              <w:rPr>
                <w:rFonts w:ascii="宋体" w:hAnsi="宋体" w:cs="宋体"/>
                <w:sz w:val="18"/>
                <w:szCs w:val="18"/>
              </w:rPr>
              <w:t>宁波银行政府采购融资指应供应商申请，以政府采购合同项下的回款为主要还款来源，为满足供应商履行采购合同所需资金而向其提供融资的信贷业务。提供中标通知书及其他授信材料即可申请，授信担保方式为信用，最长期限不超过一年</w:t>
            </w:r>
            <w:r>
              <w:rPr>
                <w:rFonts w:hint="eastAsia" w:ascii="宋体" w:hAnsi="宋体" w:cs="宋体"/>
                <w:sz w:val="18"/>
                <w:szCs w:val="18"/>
              </w:rPr>
              <w:t>，最大金额不超过</w:t>
            </w:r>
            <w:r>
              <w:rPr>
                <w:rFonts w:ascii="宋体" w:hAnsi="宋体" w:cs="宋体"/>
                <w:sz w:val="18"/>
                <w:szCs w:val="18"/>
              </w:rPr>
              <w:t>2000</w:t>
            </w:r>
            <w:r>
              <w:rPr>
                <w:rFonts w:hint="eastAsia" w:ascii="宋体" w:hAnsi="宋体" w:cs="宋体"/>
                <w:sz w:val="18"/>
                <w:szCs w:val="18"/>
              </w:rPr>
              <w:t>万元。</w:t>
            </w:r>
          </w:p>
        </w:tc>
        <w:tc>
          <w:tcPr>
            <w:tcW w:w="980" w:type="dxa"/>
            <w:tcBorders>
              <w:top w:val="single" w:color="auto" w:sz="4" w:space="0"/>
              <w:left w:val="single" w:color="auto" w:sz="4" w:space="0"/>
              <w:right w:val="single" w:color="auto" w:sz="4" w:space="0"/>
            </w:tcBorders>
            <w:vAlign w:val="center"/>
          </w:tcPr>
          <w:p w14:paraId="68D61BE8">
            <w:pPr>
              <w:jc w:val="center"/>
              <w:rPr>
                <w:rFonts w:hint="eastAsia" w:ascii="宋体" w:hAnsi="宋体"/>
                <w:sz w:val="18"/>
                <w:szCs w:val="18"/>
              </w:rPr>
            </w:pPr>
            <w:r>
              <w:rPr>
                <w:rFonts w:hint="eastAsia" w:ascii="宋体" w:hAnsi="宋体"/>
                <w:sz w:val="18"/>
                <w:szCs w:val="18"/>
              </w:rPr>
              <w:t>陈经理</w:t>
            </w:r>
          </w:p>
        </w:tc>
        <w:tc>
          <w:tcPr>
            <w:tcW w:w="1680" w:type="dxa"/>
            <w:tcBorders>
              <w:right w:val="single" w:color="auto" w:sz="12" w:space="0"/>
            </w:tcBorders>
            <w:vAlign w:val="center"/>
          </w:tcPr>
          <w:p w14:paraId="60C908A9">
            <w:pPr>
              <w:jc w:val="left"/>
              <w:rPr>
                <w:rFonts w:hint="eastAsia" w:ascii="宋体" w:hAnsi="宋体"/>
                <w:sz w:val="18"/>
                <w:szCs w:val="18"/>
              </w:rPr>
            </w:pPr>
            <w:r>
              <w:rPr>
                <w:rFonts w:ascii="宋体" w:hAnsi="宋体"/>
                <w:sz w:val="18"/>
                <w:szCs w:val="18"/>
              </w:rPr>
              <w:t>0577－88007377</w:t>
            </w:r>
          </w:p>
        </w:tc>
      </w:tr>
      <w:tr w14:paraId="48601A13">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163" w:hRule="atLeast"/>
          <w:jc w:val="center"/>
        </w:trPr>
        <w:tc>
          <w:tcPr>
            <w:tcW w:w="1864" w:type="dxa"/>
            <w:tcBorders>
              <w:left w:val="single" w:color="auto" w:sz="12" w:space="0"/>
            </w:tcBorders>
            <w:vAlign w:val="center"/>
          </w:tcPr>
          <w:p w14:paraId="328C1E09">
            <w:pPr>
              <w:pStyle w:val="52"/>
              <w:spacing w:line="240" w:lineRule="auto"/>
              <w:ind w:firstLine="0" w:firstLineChars="0"/>
              <w:jc w:val="center"/>
              <w:rPr>
                <w:rFonts w:hint="eastAsia" w:ascii="宋体" w:hAnsi="宋体" w:eastAsia="宋体" w:cs="宋体"/>
                <w:kern w:val="0"/>
                <w:sz w:val="18"/>
                <w:szCs w:val="18"/>
              </w:rPr>
            </w:pPr>
            <w:r>
              <w:rPr>
                <w:rFonts w:hint="eastAsia" w:ascii="宋体" w:hAnsi="宋体" w:eastAsia="宋体" w:cs="宋体"/>
                <w:kern w:val="0"/>
                <w:sz w:val="18"/>
                <w:szCs w:val="18"/>
              </w:rPr>
              <w:t>杭州银行股份有限公司温州分行</w:t>
            </w:r>
          </w:p>
        </w:tc>
        <w:tc>
          <w:tcPr>
            <w:tcW w:w="4870" w:type="dxa"/>
            <w:tcBorders>
              <w:top w:val="single" w:color="auto" w:sz="4" w:space="0"/>
              <w:left w:val="single" w:color="auto" w:sz="4" w:space="0"/>
              <w:right w:val="single" w:color="auto" w:sz="4" w:space="0"/>
            </w:tcBorders>
            <w:vAlign w:val="center"/>
          </w:tcPr>
          <w:p w14:paraId="39157B60">
            <w:pPr>
              <w:jc w:val="left"/>
              <w:rPr>
                <w:rFonts w:hint="eastAsia" w:ascii="宋体" w:hAnsi="宋体"/>
                <w:bCs/>
                <w:sz w:val="18"/>
                <w:szCs w:val="18"/>
              </w:rPr>
            </w:pPr>
            <w:r>
              <w:rPr>
                <w:rFonts w:ascii="宋体" w:hAnsi="宋体"/>
                <w:bCs/>
                <w:sz w:val="18"/>
                <w:szCs w:val="18"/>
              </w:rPr>
              <w:t>门槛低：</w:t>
            </w:r>
            <w:r>
              <w:rPr>
                <w:rFonts w:hint="eastAsia" w:ascii="宋体" w:hAnsi="宋体"/>
                <w:bCs/>
                <w:sz w:val="18"/>
                <w:szCs w:val="18"/>
              </w:rPr>
              <w:t>纯</w:t>
            </w:r>
            <w:r>
              <w:rPr>
                <w:rFonts w:ascii="宋体" w:hAnsi="宋体"/>
                <w:bCs/>
                <w:sz w:val="18"/>
                <w:szCs w:val="18"/>
              </w:rPr>
              <w:t>信用，</w:t>
            </w:r>
            <w:r>
              <w:rPr>
                <w:rFonts w:hint="eastAsia" w:ascii="宋体" w:hAnsi="宋体"/>
                <w:bCs/>
                <w:sz w:val="18"/>
                <w:szCs w:val="18"/>
              </w:rPr>
              <w:t>平台</w:t>
            </w:r>
            <w:r>
              <w:rPr>
                <w:rFonts w:ascii="宋体" w:hAnsi="宋体"/>
                <w:bCs/>
                <w:sz w:val="18"/>
                <w:szCs w:val="18"/>
              </w:rPr>
              <w:t>注册入库并取得采购合同即可申请</w:t>
            </w:r>
          </w:p>
          <w:p w14:paraId="0498DE24">
            <w:pPr>
              <w:jc w:val="left"/>
              <w:rPr>
                <w:rFonts w:hint="eastAsia" w:ascii="宋体" w:hAnsi="宋体"/>
                <w:bCs/>
                <w:sz w:val="18"/>
                <w:szCs w:val="18"/>
              </w:rPr>
            </w:pPr>
            <w:r>
              <w:rPr>
                <w:rFonts w:hint="eastAsia" w:ascii="宋体" w:hAnsi="宋体"/>
                <w:bCs/>
                <w:sz w:val="18"/>
                <w:szCs w:val="18"/>
              </w:rPr>
              <w:t>手续简</w:t>
            </w:r>
            <w:r>
              <w:rPr>
                <w:rFonts w:ascii="宋体" w:hAnsi="宋体"/>
                <w:bCs/>
                <w:sz w:val="18"/>
                <w:szCs w:val="18"/>
              </w:rPr>
              <w:t>：</w:t>
            </w:r>
            <w:r>
              <w:rPr>
                <w:rFonts w:hint="eastAsia" w:ascii="宋体" w:hAnsi="宋体"/>
                <w:bCs/>
                <w:sz w:val="18"/>
                <w:szCs w:val="18"/>
              </w:rPr>
              <w:t>线上申请</w:t>
            </w:r>
            <w:r>
              <w:rPr>
                <w:rFonts w:ascii="宋体" w:hAnsi="宋体"/>
                <w:bCs/>
                <w:sz w:val="18"/>
                <w:szCs w:val="18"/>
              </w:rPr>
              <w:t>+</w:t>
            </w:r>
            <w:r>
              <w:rPr>
                <w:rFonts w:hint="eastAsia" w:ascii="宋体" w:hAnsi="宋体"/>
                <w:bCs/>
                <w:sz w:val="18"/>
                <w:szCs w:val="18"/>
              </w:rPr>
              <w:t>线上</w:t>
            </w:r>
            <w:r>
              <w:rPr>
                <w:rFonts w:ascii="宋体" w:hAnsi="宋体"/>
                <w:bCs/>
                <w:sz w:val="18"/>
                <w:szCs w:val="18"/>
              </w:rPr>
              <w:t>签约，</w:t>
            </w:r>
            <w:r>
              <w:rPr>
                <w:rFonts w:hint="eastAsia" w:ascii="宋体" w:hAnsi="宋体"/>
                <w:bCs/>
                <w:sz w:val="18"/>
                <w:szCs w:val="18"/>
              </w:rPr>
              <w:t>足不</w:t>
            </w:r>
            <w:r>
              <w:rPr>
                <w:rFonts w:ascii="宋体" w:hAnsi="宋体"/>
                <w:bCs/>
                <w:sz w:val="18"/>
                <w:szCs w:val="18"/>
              </w:rPr>
              <w:t>出</w:t>
            </w:r>
            <w:r>
              <w:rPr>
                <w:rFonts w:hint="eastAsia" w:ascii="宋体" w:hAnsi="宋体"/>
                <w:bCs/>
                <w:sz w:val="18"/>
                <w:szCs w:val="18"/>
              </w:rPr>
              <w:t>户</w:t>
            </w:r>
          </w:p>
          <w:p w14:paraId="6DB2FB4B">
            <w:pPr>
              <w:jc w:val="left"/>
              <w:rPr>
                <w:rFonts w:hint="eastAsia" w:ascii="宋体" w:hAnsi="宋体"/>
                <w:bCs/>
                <w:sz w:val="18"/>
                <w:szCs w:val="18"/>
              </w:rPr>
            </w:pPr>
            <w:r>
              <w:rPr>
                <w:rFonts w:hint="eastAsia" w:ascii="宋体" w:hAnsi="宋体"/>
                <w:bCs/>
                <w:sz w:val="18"/>
                <w:szCs w:val="18"/>
              </w:rPr>
              <w:t>利率</w:t>
            </w:r>
            <w:r>
              <w:rPr>
                <w:rFonts w:ascii="宋体" w:hAnsi="宋体"/>
                <w:bCs/>
                <w:sz w:val="18"/>
                <w:szCs w:val="18"/>
              </w:rPr>
              <w:t>优：</w:t>
            </w:r>
            <w:r>
              <w:rPr>
                <w:rFonts w:hint="eastAsia" w:ascii="宋体" w:hAnsi="宋体"/>
                <w:bCs/>
                <w:sz w:val="18"/>
                <w:szCs w:val="18"/>
              </w:rPr>
              <w:t>按</w:t>
            </w:r>
            <w:r>
              <w:rPr>
                <w:rFonts w:ascii="宋体" w:hAnsi="宋体"/>
                <w:bCs/>
                <w:sz w:val="18"/>
                <w:szCs w:val="18"/>
              </w:rPr>
              <w:t>优于一般中小企业</w:t>
            </w:r>
            <w:r>
              <w:rPr>
                <w:rFonts w:hint="eastAsia" w:ascii="宋体" w:hAnsi="宋体"/>
                <w:bCs/>
                <w:sz w:val="18"/>
                <w:szCs w:val="18"/>
              </w:rPr>
              <w:t>贷款</w:t>
            </w:r>
            <w:r>
              <w:rPr>
                <w:rFonts w:ascii="宋体" w:hAnsi="宋体"/>
                <w:bCs/>
                <w:sz w:val="18"/>
                <w:szCs w:val="18"/>
              </w:rPr>
              <w:t>利率执行</w:t>
            </w:r>
          </w:p>
          <w:p w14:paraId="0EC66900">
            <w:pPr>
              <w:jc w:val="left"/>
              <w:rPr>
                <w:rFonts w:hint="eastAsia" w:ascii="宋体" w:hAnsi="宋体"/>
                <w:sz w:val="18"/>
                <w:szCs w:val="18"/>
              </w:rPr>
            </w:pPr>
            <w:r>
              <w:rPr>
                <w:rFonts w:hint="eastAsia" w:ascii="宋体" w:hAnsi="宋体"/>
                <w:bCs/>
                <w:sz w:val="18"/>
                <w:szCs w:val="18"/>
              </w:rPr>
              <w:t>额度高</w:t>
            </w:r>
            <w:r>
              <w:rPr>
                <w:rFonts w:ascii="宋体" w:hAnsi="宋体"/>
                <w:bCs/>
                <w:sz w:val="18"/>
                <w:szCs w:val="18"/>
              </w:rPr>
              <w:t>：</w:t>
            </w:r>
            <w:r>
              <w:rPr>
                <w:rFonts w:hint="eastAsia" w:ascii="宋体" w:hAnsi="宋体"/>
                <w:bCs/>
                <w:sz w:val="18"/>
                <w:szCs w:val="18"/>
              </w:rPr>
              <w:t>最高为</w:t>
            </w:r>
            <w:r>
              <w:rPr>
                <w:rFonts w:ascii="宋体" w:hAnsi="宋体"/>
                <w:bCs/>
                <w:sz w:val="18"/>
                <w:szCs w:val="18"/>
              </w:rPr>
              <w:t>合同金额的80%</w:t>
            </w:r>
          </w:p>
        </w:tc>
        <w:tc>
          <w:tcPr>
            <w:tcW w:w="980" w:type="dxa"/>
            <w:tcBorders>
              <w:top w:val="single" w:color="auto" w:sz="4" w:space="0"/>
              <w:left w:val="single" w:color="auto" w:sz="4" w:space="0"/>
              <w:right w:val="single" w:color="auto" w:sz="4" w:space="0"/>
            </w:tcBorders>
            <w:vAlign w:val="center"/>
          </w:tcPr>
          <w:p w14:paraId="63CF15E7">
            <w:pPr>
              <w:jc w:val="center"/>
              <w:rPr>
                <w:rFonts w:hint="eastAsia" w:ascii="宋体" w:hAnsi="宋体"/>
                <w:sz w:val="18"/>
                <w:szCs w:val="18"/>
              </w:rPr>
            </w:pPr>
            <w:r>
              <w:rPr>
                <w:rFonts w:ascii="宋体" w:hAnsi="宋体"/>
                <w:sz w:val="18"/>
                <w:szCs w:val="18"/>
              </w:rPr>
              <w:t>叶</w:t>
            </w:r>
            <w:r>
              <w:rPr>
                <w:rFonts w:hint="eastAsia" w:ascii="宋体" w:hAnsi="宋体"/>
                <w:sz w:val="18"/>
                <w:szCs w:val="18"/>
              </w:rPr>
              <w:t>经理</w:t>
            </w:r>
          </w:p>
        </w:tc>
        <w:tc>
          <w:tcPr>
            <w:tcW w:w="1680" w:type="dxa"/>
            <w:tcBorders>
              <w:right w:val="single" w:color="auto" w:sz="12" w:space="0"/>
            </w:tcBorders>
            <w:vAlign w:val="center"/>
          </w:tcPr>
          <w:p w14:paraId="2E674B74">
            <w:pPr>
              <w:jc w:val="left"/>
              <w:rPr>
                <w:rFonts w:hint="eastAsia" w:ascii="宋体" w:hAnsi="宋体"/>
                <w:sz w:val="18"/>
                <w:szCs w:val="18"/>
              </w:rPr>
            </w:pPr>
            <w:r>
              <w:rPr>
                <w:rFonts w:hint="eastAsia" w:ascii="宋体" w:hAnsi="宋体"/>
                <w:sz w:val="18"/>
                <w:szCs w:val="18"/>
              </w:rPr>
              <w:t>0577-</w:t>
            </w:r>
            <w:r>
              <w:rPr>
                <w:rFonts w:ascii="宋体" w:hAnsi="宋体"/>
                <w:sz w:val="18"/>
                <w:szCs w:val="18"/>
              </w:rPr>
              <w:t>88008933</w:t>
            </w:r>
          </w:p>
        </w:tc>
      </w:tr>
      <w:tr w14:paraId="31782126">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337" w:hRule="atLeast"/>
          <w:jc w:val="center"/>
        </w:trPr>
        <w:tc>
          <w:tcPr>
            <w:tcW w:w="1864" w:type="dxa"/>
            <w:tcBorders>
              <w:left w:val="single" w:color="auto" w:sz="12" w:space="0"/>
            </w:tcBorders>
            <w:vAlign w:val="center"/>
          </w:tcPr>
          <w:p w14:paraId="74B3DE4C">
            <w:pPr>
              <w:pStyle w:val="52"/>
              <w:spacing w:line="240" w:lineRule="auto"/>
              <w:ind w:firstLine="0" w:firstLineChars="0"/>
              <w:jc w:val="center"/>
              <w:rPr>
                <w:rFonts w:hint="eastAsia" w:ascii="宋体" w:hAnsi="宋体" w:eastAsia="宋体" w:cs="宋体"/>
                <w:kern w:val="0"/>
                <w:sz w:val="18"/>
                <w:szCs w:val="18"/>
              </w:rPr>
            </w:pPr>
            <w:r>
              <w:rPr>
                <w:rFonts w:hint="eastAsia" w:ascii="宋体" w:hAnsi="宋体" w:eastAsia="宋体" w:cs="宋体"/>
                <w:kern w:val="0"/>
                <w:sz w:val="18"/>
                <w:szCs w:val="18"/>
              </w:rPr>
              <w:t>招商银行股份有限公司温州分行</w:t>
            </w:r>
          </w:p>
        </w:tc>
        <w:tc>
          <w:tcPr>
            <w:tcW w:w="4870" w:type="dxa"/>
            <w:tcBorders>
              <w:top w:val="single" w:color="auto" w:sz="4" w:space="0"/>
              <w:left w:val="single" w:color="auto" w:sz="4" w:space="0"/>
              <w:right w:val="single" w:color="auto" w:sz="4" w:space="0"/>
            </w:tcBorders>
            <w:vAlign w:val="center"/>
          </w:tcPr>
          <w:p w14:paraId="731DD026">
            <w:pPr>
              <w:jc w:val="left"/>
              <w:rPr>
                <w:rFonts w:hint="eastAsia" w:ascii="宋体" w:hAnsi="宋体"/>
                <w:sz w:val="18"/>
                <w:szCs w:val="18"/>
              </w:rPr>
            </w:pPr>
            <w:r>
              <w:rPr>
                <w:rFonts w:hint="eastAsia" w:ascii="宋体" w:hAnsi="宋体"/>
                <w:sz w:val="18"/>
                <w:szCs w:val="18"/>
              </w:rPr>
              <w:t>政采贷是招商银行针对政府采购招投标中标供应商，以政府采购合同项下未来应收账款为第一还款来源的融资业务，无需抵质押物。额度最高可达2</w:t>
            </w:r>
            <w:r>
              <w:rPr>
                <w:rFonts w:ascii="宋体" w:hAnsi="宋体"/>
                <w:sz w:val="18"/>
                <w:szCs w:val="18"/>
              </w:rPr>
              <w:t>000</w:t>
            </w:r>
            <w:r>
              <w:rPr>
                <w:rFonts w:hint="eastAsia" w:ascii="宋体" w:hAnsi="宋体"/>
                <w:sz w:val="18"/>
                <w:szCs w:val="18"/>
              </w:rPr>
              <w:t>万，同时可开通自助贷款直通功能，自助贷款额度最高可达1</w:t>
            </w:r>
            <w:r>
              <w:rPr>
                <w:rFonts w:ascii="宋体" w:hAnsi="宋体"/>
                <w:sz w:val="18"/>
                <w:szCs w:val="18"/>
              </w:rPr>
              <w:t>000</w:t>
            </w:r>
            <w:r>
              <w:rPr>
                <w:rFonts w:hint="eastAsia" w:ascii="宋体" w:hAnsi="宋体"/>
                <w:sz w:val="18"/>
                <w:szCs w:val="18"/>
              </w:rPr>
              <w:t>万，支持线上申请、随借随还。</w:t>
            </w:r>
          </w:p>
        </w:tc>
        <w:tc>
          <w:tcPr>
            <w:tcW w:w="980" w:type="dxa"/>
            <w:tcBorders>
              <w:top w:val="single" w:color="auto" w:sz="4" w:space="0"/>
              <w:left w:val="single" w:color="auto" w:sz="4" w:space="0"/>
              <w:right w:val="single" w:color="auto" w:sz="4" w:space="0"/>
            </w:tcBorders>
            <w:vAlign w:val="center"/>
          </w:tcPr>
          <w:p w14:paraId="2C9F40A3">
            <w:pPr>
              <w:jc w:val="center"/>
              <w:rPr>
                <w:rFonts w:hint="eastAsia" w:ascii="宋体" w:hAnsi="宋体"/>
                <w:sz w:val="18"/>
                <w:szCs w:val="18"/>
              </w:rPr>
            </w:pPr>
            <w:r>
              <w:rPr>
                <w:rFonts w:hint="eastAsia" w:ascii="宋体" w:hAnsi="宋体"/>
                <w:sz w:val="18"/>
                <w:szCs w:val="18"/>
              </w:rPr>
              <w:t>陈经理</w:t>
            </w:r>
          </w:p>
        </w:tc>
        <w:tc>
          <w:tcPr>
            <w:tcW w:w="1680" w:type="dxa"/>
            <w:tcBorders>
              <w:right w:val="single" w:color="auto" w:sz="12" w:space="0"/>
            </w:tcBorders>
            <w:vAlign w:val="center"/>
          </w:tcPr>
          <w:p w14:paraId="6067DA2B">
            <w:pPr>
              <w:jc w:val="left"/>
              <w:rPr>
                <w:rFonts w:hint="eastAsia" w:ascii="宋体" w:hAnsi="宋体"/>
                <w:sz w:val="18"/>
                <w:szCs w:val="18"/>
              </w:rPr>
            </w:pPr>
            <w:r>
              <w:rPr>
                <w:rFonts w:hint="eastAsia" w:ascii="宋体" w:hAnsi="宋体"/>
                <w:sz w:val="18"/>
                <w:szCs w:val="18"/>
              </w:rPr>
              <w:t>0577-8</w:t>
            </w:r>
            <w:r>
              <w:rPr>
                <w:rFonts w:ascii="宋体" w:hAnsi="宋体"/>
                <w:sz w:val="18"/>
                <w:szCs w:val="18"/>
              </w:rPr>
              <w:t>8056876</w:t>
            </w:r>
          </w:p>
        </w:tc>
      </w:tr>
      <w:tr w14:paraId="378FDEB3">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327" w:hRule="atLeast"/>
          <w:jc w:val="center"/>
        </w:trPr>
        <w:tc>
          <w:tcPr>
            <w:tcW w:w="1864" w:type="dxa"/>
            <w:tcBorders>
              <w:left w:val="single" w:color="auto" w:sz="12" w:space="0"/>
            </w:tcBorders>
            <w:vAlign w:val="center"/>
          </w:tcPr>
          <w:p w14:paraId="464D943C">
            <w:pPr>
              <w:pStyle w:val="52"/>
              <w:spacing w:line="240" w:lineRule="auto"/>
              <w:ind w:firstLine="0" w:firstLineChars="0"/>
              <w:jc w:val="center"/>
              <w:rPr>
                <w:rFonts w:hint="eastAsia" w:ascii="宋体" w:hAnsi="宋体" w:eastAsia="宋体" w:cs="宋体"/>
                <w:kern w:val="0"/>
                <w:sz w:val="18"/>
                <w:szCs w:val="18"/>
              </w:rPr>
            </w:pPr>
            <w:r>
              <w:rPr>
                <w:rFonts w:hint="eastAsia" w:ascii="宋体" w:hAnsi="宋体" w:eastAsia="宋体" w:cs="宋体"/>
                <w:kern w:val="0"/>
                <w:sz w:val="18"/>
                <w:szCs w:val="18"/>
              </w:rPr>
              <w:t>兴业银行股份有限公司温州分行</w:t>
            </w:r>
          </w:p>
        </w:tc>
        <w:tc>
          <w:tcPr>
            <w:tcW w:w="4870" w:type="dxa"/>
            <w:tcBorders>
              <w:top w:val="single" w:color="auto" w:sz="4" w:space="0"/>
              <w:left w:val="single" w:color="auto" w:sz="4" w:space="0"/>
              <w:right w:val="single" w:color="auto" w:sz="4" w:space="0"/>
            </w:tcBorders>
            <w:vAlign w:val="center"/>
          </w:tcPr>
          <w:p w14:paraId="0EF38120">
            <w:pPr>
              <w:pStyle w:val="52"/>
              <w:spacing w:line="240" w:lineRule="auto"/>
              <w:ind w:firstLine="0" w:firstLineChars="0"/>
              <w:rPr>
                <w:rFonts w:hint="eastAsia" w:ascii="宋体" w:hAnsi="宋体" w:eastAsia="宋体" w:cs="宋体"/>
                <w:bCs/>
                <w:kern w:val="0"/>
                <w:sz w:val="18"/>
                <w:szCs w:val="18"/>
              </w:rPr>
            </w:pPr>
            <w:r>
              <w:rPr>
                <w:rFonts w:hint="eastAsia" w:ascii="宋体" w:hAnsi="宋体" w:eastAsia="宋体" w:cs="宋体"/>
                <w:bCs/>
                <w:kern w:val="0"/>
                <w:sz w:val="18"/>
                <w:szCs w:val="18"/>
              </w:rPr>
              <w:t>融资担保方式及融资金额：1、采取信用免抵押的企业，最高融资金额200万元；2、采取政府采购中标应收帐款质押的，最高融资金额不超过1000万元，单笔提款金额不超过采购合同金额的70%。融资利率：在本单位一般性中小企业信用贷款利率基础上下浮10%。</w:t>
            </w:r>
          </w:p>
        </w:tc>
        <w:tc>
          <w:tcPr>
            <w:tcW w:w="980" w:type="dxa"/>
            <w:tcBorders>
              <w:top w:val="single" w:color="auto" w:sz="4" w:space="0"/>
              <w:left w:val="single" w:color="auto" w:sz="4" w:space="0"/>
              <w:right w:val="single" w:color="auto" w:sz="4" w:space="0"/>
            </w:tcBorders>
            <w:vAlign w:val="center"/>
          </w:tcPr>
          <w:p w14:paraId="5DD754C4">
            <w:pPr>
              <w:jc w:val="center"/>
              <w:rPr>
                <w:rFonts w:hint="eastAsia" w:ascii="宋体" w:hAnsi="宋体"/>
                <w:sz w:val="18"/>
                <w:szCs w:val="18"/>
              </w:rPr>
            </w:pPr>
            <w:r>
              <w:rPr>
                <w:rFonts w:hint="eastAsia" w:ascii="宋体" w:hAnsi="宋体"/>
                <w:sz w:val="18"/>
                <w:szCs w:val="18"/>
              </w:rPr>
              <w:t>张经理</w:t>
            </w:r>
          </w:p>
          <w:p w14:paraId="2CC6CC5D">
            <w:pPr>
              <w:jc w:val="center"/>
              <w:rPr>
                <w:rFonts w:hint="eastAsia" w:ascii="宋体" w:hAnsi="宋体"/>
                <w:sz w:val="18"/>
                <w:szCs w:val="18"/>
              </w:rPr>
            </w:pPr>
            <w:r>
              <w:rPr>
                <w:rFonts w:hint="eastAsia" w:ascii="宋体" w:hAnsi="宋体"/>
                <w:sz w:val="18"/>
                <w:szCs w:val="18"/>
              </w:rPr>
              <w:t>陈经理</w:t>
            </w:r>
          </w:p>
        </w:tc>
        <w:tc>
          <w:tcPr>
            <w:tcW w:w="1680" w:type="dxa"/>
            <w:tcBorders>
              <w:right w:val="single" w:color="auto" w:sz="12" w:space="0"/>
            </w:tcBorders>
            <w:vAlign w:val="center"/>
          </w:tcPr>
          <w:p w14:paraId="1013868B">
            <w:pPr>
              <w:pStyle w:val="52"/>
              <w:spacing w:line="240" w:lineRule="auto"/>
              <w:ind w:firstLine="0" w:firstLineChars="0"/>
              <w:rPr>
                <w:rFonts w:hint="eastAsia" w:ascii="宋体" w:hAnsi="宋体" w:eastAsia="宋体" w:cs="Times New Roman"/>
                <w:kern w:val="0"/>
                <w:sz w:val="18"/>
                <w:szCs w:val="18"/>
              </w:rPr>
            </w:pPr>
            <w:r>
              <w:rPr>
                <w:rFonts w:hint="eastAsia" w:ascii="宋体" w:hAnsi="宋体" w:eastAsia="宋体" w:cs="Times New Roman"/>
                <w:kern w:val="0"/>
                <w:sz w:val="18"/>
                <w:szCs w:val="18"/>
              </w:rPr>
              <w:t>0577-</w:t>
            </w:r>
            <w:r>
              <w:rPr>
                <w:rFonts w:ascii="宋体" w:hAnsi="宋体" w:eastAsia="宋体" w:cs="Times New Roman"/>
                <w:kern w:val="0"/>
                <w:sz w:val="18"/>
                <w:szCs w:val="18"/>
              </w:rPr>
              <w:t>88369368</w:t>
            </w:r>
            <w:r>
              <w:rPr>
                <w:rFonts w:hint="eastAsia" w:ascii="宋体" w:hAnsi="宋体" w:eastAsia="宋体" w:cs="Times New Roman"/>
                <w:kern w:val="0"/>
                <w:sz w:val="18"/>
                <w:szCs w:val="18"/>
              </w:rPr>
              <w:t>/13857713118</w:t>
            </w:r>
          </w:p>
          <w:p w14:paraId="052F701F">
            <w:pPr>
              <w:pStyle w:val="52"/>
              <w:spacing w:line="240" w:lineRule="auto"/>
              <w:ind w:firstLine="0" w:firstLineChars="0"/>
              <w:rPr>
                <w:rFonts w:hint="eastAsia" w:ascii="宋体" w:hAnsi="宋体" w:eastAsia="宋体" w:cs="Times New Roman"/>
                <w:kern w:val="0"/>
                <w:sz w:val="18"/>
                <w:szCs w:val="18"/>
              </w:rPr>
            </w:pPr>
            <w:r>
              <w:rPr>
                <w:rFonts w:hint="eastAsia" w:ascii="宋体" w:hAnsi="宋体" w:eastAsia="宋体" w:cs="Times New Roman"/>
                <w:kern w:val="0"/>
                <w:sz w:val="18"/>
                <w:szCs w:val="18"/>
              </w:rPr>
              <w:t>0577-56969696-526506</w:t>
            </w:r>
          </w:p>
        </w:tc>
      </w:tr>
      <w:tr w14:paraId="1CFB1C4C">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033" w:hRule="atLeast"/>
          <w:jc w:val="center"/>
        </w:trPr>
        <w:tc>
          <w:tcPr>
            <w:tcW w:w="1864" w:type="dxa"/>
            <w:tcBorders>
              <w:left w:val="single" w:color="auto" w:sz="12" w:space="0"/>
            </w:tcBorders>
            <w:vAlign w:val="center"/>
          </w:tcPr>
          <w:p w14:paraId="5F2F2906">
            <w:pPr>
              <w:pStyle w:val="52"/>
              <w:spacing w:line="240" w:lineRule="auto"/>
              <w:ind w:firstLine="0" w:firstLineChars="0"/>
              <w:jc w:val="center"/>
              <w:rPr>
                <w:rFonts w:hint="eastAsia" w:ascii="宋体" w:hAnsi="宋体" w:eastAsia="宋体" w:cs="宋体"/>
                <w:kern w:val="0"/>
                <w:sz w:val="18"/>
                <w:szCs w:val="18"/>
              </w:rPr>
            </w:pPr>
            <w:r>
              <w:rPr>
                <w:rFonts w:hint="eastAsia" w:ascii="宋体" w:hAnsi="宋体" w:eastAsia="宋体" w:cs="宋体"/>
                <w:kern w:val="0"/>
                <w:sz w:val="18"/>
                <w:szCs w:val="18"/>
              </w:rPr>
              <w:t>温州银行股份有限公司温州分行</w:t>
            </w:r>
          </w:p>
        </w:tc>
        <w:tc>
          <w:tcPr>
            <w:tcW w:w="4870" w:type="dxa"/>
            <w:tcBorders>
              <w:top w:val="single" w:color="auto" w:sz="4" w:space="0"/>
              <w:left w:val="single" w:color="auto" w:sz="4" w:space="0"/>
              <w:right w:val="single" w:color="auto" w:sz="4" w:space="0"/>
            </w:tcBorders>
            <w:vAlign w:val="center"/>
          </w:tcPr>
          <w:p w14:paraId="6FACB396">
            <w:pPr>
              <w:jc w:val="left"/>
              <w:rPr>
                <w:rFonts w:hint="eastAsia" w:ascii="宋体" w:hAnsi="宋体" w:cs="宋体"/>
                <w:bCs/>
                <w:sz w:val="18"/>
                <w:szCs w:val="18"/>
              </w:rPr>
            </w:pPr>
            <w:r>
              <w:rPr>
                <w:rFonts w:hint="eastAsia" w:ascii="宋体" w:hAnsi="宋体" w:cs="宋体"/>
                <w:bCs/>
                <w:sz w:val="18"/>
                <w:szCs w:val="18"/>
              </w:rPr>
              <w:t>政采订单贷：订单在手，融资无忧。用于满足供应商订单采购所需资金周转的贷款产品。门槛低，无须抵押，凭中标通知书即可申请，额度高，最高可贷500万元，单笔业务金额可贷中标金额的80%，最长期限可贷1年。</w:t>
            </w:r>
          </w:p>
        </w:tc>
        <w:tc>
          <w:tcPr>
            <w:tcW w:w="980" w:type="dxa"/>
            <w:tcBorders>
              <w:top w:val="single" w:color="auto" w:sz="4" w:space="0"/>
              <w:left w:val="single" w:color="auto" w:sz="4" w:space="0"/>
              <w:right w:val="single" w:color="auto" w:sz="4" w:space="0"/>
            </w:tcBorders>
            <w:vAlign w:val="center"/>
          </w:tcPr>
          <w:p w14:paraId="29196C39">
            <w:pPr>
              <w:jc w:val="center"/>
              <w:rPr>
                <w:rFonts w:hint="eastAsia" w:ascii="宋体" w:hAnsi="宋体" w:cs="宋体"/>
                <w:sz w:val="18"/>
                <w:szCs w:val="18"/>
              </w:rPr>
            </w:pPr>
            <w:r>
              <w:rPr>
                <w:rFonts w:hint="eastAsia" w:ascii="宋体" w:hAnsi="宋体" w:cs="宋体"/>
                <w:sz w:val="18"/>
                <w:szCs w:val="18"/>
              </w:rPr>
              <w:t>陈经理</w:t>
            </w:r>
          </w:p>
        </w:tc>
        <w:tc>
          <w:tcPr>
            <w:tcW w:w="1680" w:type="dxa"/>
            <w:tcBorders>
              <w:right w:val="single" w:color="auto" w:sz="12" w:space="0"/>
            </w:tcBorders>
            <w:vAlign w:val="center"/>
          </w:tcPr>
          <w:p w14:paraId="2A6CE5BE">
            <w:pPr>
              <w:jc w:val="left"/>
              <w:rPr>
                <w:rFonts w:hint="eastAsia" w:ascii="宋体" w:hAnsi="宋体"/>
                <w:sz w:val="18"/>
                <w:szCs w:val="18"/>
              </w:rPr>
            </w:pPr>
            <w:r>
              <w:rPr>
                <w:rFonts w:hint="eastAsia" w:ascii="宋体" w:hAnsi="宋体"/>
                <w:sz w:val="18"/>
                <w:szCs w:val="18"/>
              </w:rPr>
              <w:t>13736355866</w:t>
            </w:r>
          </w:p>
        </w:tc>
      </w:tr>
      <w:tr w14:paraId="4178CA34">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590" w:hRule="atLeast"/>
          <w:jc w:val="center"/>
        </w:trPr>
        <w:tc>
          <w:tcPr>
            <w:tcW w:w="1864" w:type="dxa"/>
            <w:tcBorders>
              <w:left w:val="single" w:color="auto" w:sz="12" w:space="0"/>
            </w:tcBorders>
            <w:vAlign w:val="center"/>
          </w:tcPr>
          <w:p w14:paraId="558BE13B">
            <w:pPr>
              <w:pStyle w:val="52"/>
              <w:spacing w:line="240" w:lineRule="auto"/>
              <w:ind w:firstLine="0" w:firstLineChars="0"/>
              <w:jc w:val="center"/>
              <w:rPr>
                <w:rFonts w:hint="eastAsia" w:ascii="宋体" w:hAnsi="宋体" w:eastAsia="宋体" w:cs="宋体"/>
                <w:kern w:val="0"/>
                <w:sz w:val="18"/>
                <w:szCs w:val="18"/>
              </w:rPr>
            </w:pPr>
            <w:r>
              <w:rPr>
                <w:rFonts w:hint="eastAsia" w:ascii="宋体" w:hAnsi="宋体" w:eastAsia="宋体" w:cs="宋体"/>
                <w:kern w:val="0"/>
                <w:sz w:val="18"/>
                <w:szCs w:val="18"/>
              </w:rPr>
              <w:t>温州银行股份有限公司鹿城分行</w:t>
            </w:r>
          </w:p>
        </w:tc>
        <w:tc>
          <w:tcPr>
            <w:tcW w:w="4870" w:type="dxa"/>
            <w:tcBorders>
              <w:top w:val="single" w:color="auto" w:sz="4" w:space="0"/>
              <w:left w:val="single" w:color="auto" w:sz="4" w:space="0"/>
              <w:right w:val="single" w:color="auto" w:sz="4" w:space="0"/>
            </w:tcBorders>
            <w:vAlign w:val="center"/>
          </w:tcPr>
          <w:p w14:paraId="5702F2CF">
            <w:pPr>
              <w:jc w:val="left"/>
              <w:rPr>
                <w:rFonts w:hint="eastAsia" w:ascii="宋体" w:hAnsi="宋体"/>
                <w:sz w:val="18"/>
                <w:szCs w:val="18"/>
              </w:rPr>
            </w:pPr>
            <w:r>
              <w:rPr>
                <w:rFonts w:hint="eastAsia" w:ascii="宋体" w:hAnsi="宋体"/>
                <w:sz w:val="18"/>
                <w:szCs w:val="18"/>
              </w:rPr>
              <w:t>政采</w:t>
            </w:r>
            <w:r>
              <w:rPr>
                <w:rFonts w:ascii="宋体" w:hAnsi="宋体"/>
                <w:sz w:val="18"/>
                <w:szCs w:val="18"/>
              </w:rPr>
              <w:t>订单贷：</w:t>
            </w:r>
            <w:r>
              <w:rPr>
                <w:rFonts w:hint="eastAsia" w:ascii="宋体" w:hAnsi="宋体"/>
                <w:sz w:val="18"/>
                <w:szCs w:val="18"/>
              </w:rPr>
              <w:t>1、面向政府采购项目供应商，满足供应商资金周转需求，凭中标通知书即可申请，2、秒知额高，最高可贷500万元，单笔业务金额可贷中标金额的80%，</w:t>
            </w:r>
          </w:p>
          <w:p w14:paraId="49F3F40C">
            <w:pPr>
              <w:pStyle w:val="55"/>
              <w:ind w:left="5" w:firstLine="0" w:firstLineChars="0"/>
              <w:jc w:val="left"/>
              <w:rPr>
                <w:rFonts w:hint="eastAsia" w:ascii="宋体" w:hAnsi="宋体"/>
                <w:sz w:val="18"/>
                <w:szCs w:val="18"/>
              </w:rPr>
            </w:pPr>
            <w:r>
              <w:rPr>
                <w:rFonts w:hint="eastAsia" w:ascii="宋体" w:hAnsi="宋体"/>
                <w:sz w:val="18"/>
                <w:szCs w:val="18"/>
              </w:rPr>
              <w:t>最长期限可贷1年。信保贷：1、额度最高可达500万元</w:t>
            </w:r>
          </w:p>
          <w:p w14:paraId="588EBBBC">
            <w:pPr>
              <w:jc w:val="left"/>
              <w:rPr>
                <w:rFonts w:hint="eastAsia" w:ascii="宋体" w:hAnsi="宋体"/>
                <w:sz w:val="18"/>
                <w:szCs w:val="18"/>
              </w:rPr>
            </w:pPr>
            <w:r>
              <w:rPr>
                <w:rFonts w:hint="eastAsia" w:ascii="宋体" w:hAnsi="宋体"/>
                <w:sz w:val="18"/>
                <w:szCs w:val="18"/>
              </w:rPr>
              <w:t>2、担保灵活，信用贷款3、贷款年利率至少可享受本单位一般性中小企业信用贷款利率基础上下浮10 %</w:t>
            </w:r>
          </w:p>
        </w:tc>
        <w:tc>
          <w:tcPr>
            <w:tcW w:w="980" w:type="dxa"/>
            <w:tcBorders>
              <w:top w:val="single" w:color="auto" w:sz="4" w:space="0"/>
              <w:left w:val="single" w:color="auto" w:sz="4" w:space="0"/>
              <w:right w:val="single" w:color="auto" w:sz="4" w:space="0"/>
            </w:tcBorders>
            <w:vAlign w:val="center"/>
          </w:tcPr>
          <w:p w14:paraId="0D38325E">
            <w:pPr>
              <w:jc w:val="center"/>
              <w:rPr>
                <w:rFonts w:hint="eastAsia" w:ascii="宋体" w:hAnsi="宋体"/>
                <w:sz w:val="18"/>
                <w:szCs w:val="18"/>
              </w:rPr>
            </w:pPr>
            <w:r>
              <w:rPr>
                <w:rFonts w:hint="eastAsia" w:ascii="宋体" w:hAnsi="宋体"/>
                <w:sz w:val="18"/>
                <w:szCs w:val="18"/>
              </w:rPr>
              <w:t>戴经理</w:t>
            </w:r>
          </w:p>
        </w:tc>
        <w:tc>
          <w:tcPr>
            <w:tcW w:w="1680" w:type="dxa"/>
            <w:tcBorders>
              <w:right w:val="single" w:color="auto" w:sz="12" w:space="0"/>
            </w:tcBorders>
            <w:vAlign w:val="center"/>
          </w:tcPr>
          <w:p w14:paraId="755A19E5">
            <w:pPr>
              <w:jc w:val="left"/>
              <w:rPr>
                <w:rFonts w:hint="eastAsia" w:ascii="宋体" w:hAnsi="宋体"/>
                <w:sz w:val="18"/>
                <w:szCs w:val="18"/>
              </w:rPr>
            </w:pPr>
            <w:r>
              <w:rPr>
                <w:rFonts w:hint="eastAsia" w:ascii="宋体" w:hAnsi="宋体"/>
                <w:sz w:val="18"/>
                <w:szCs w:val="18"/>
              </w:rPr>
              <w:t>13605772302</w:t>
            </w:r>
          </w:p>
        </w:tc>
      </w:tr>
      <w:tr w14:paraId="3A906FC7">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465" w:hRule="atLeast"/>
          <w:jc w:val="center"/>
        </w:trPr>
        <w:tc>
          <w:tcPr>
            <w:tcW w:w="1864" w:type="dxa"/>
            <w:tcBorders>
              <w:left w:val="single" w:color="auto" w:sz="12" w:space="0"/>
            </w:tcBorders>
            <w:vAlign w:val="center"/>
          </w:tcPr>
          <w:p w14:paraId="4279FDAC">
            <w:pPr>
              <w:pStyle w:val="52"/>
              <w:spacing w:line="240" w:lineRule="auto"/>
              <w:ind w:firstLine="0" w:firstLineChars="0"/>
              <w:jc w:val="center"/>
              <w:rPr>
                <w:rFonts w:hint="eastAsia" w:ascii="宋体" w:hAnsi="宋体" w:eastAsia="宋体" w:cs="宋体"/>
                <w:kern w:val="0"/>
                <w:sz w:val="18"/>
                <w:szCs w:val="18"/>
              </w:rPr>
            </w:pPr>
            <w:r>
              <w:rPr>
                <w:rFonts w:hint="eastAsia" w:ascii="宋体" w:hAnsi="宋体" w:eastAsia="宋体" w:cs="宋体"/>
                <w:kern w:val="0"/>
                <w:sz w:val="18"/>
                <w:szCs w:val="18"/>
              </w:rPr>
              <w:t>交通银行股份有限公司温州分行</w:t>
            </w:r>
          </w:p>
        </w:tc>
        <w:tc>
          <w:tcPr>
            <w:tcW w:w="4870" w:type="dxa"/>
            <w:tcBorders>
              <w:top w:val="single" w:color="auto" w:sz="4" w:space="0"/>
              <w:left w:val="single" w:color="auto" w:sz="4" w:space="0"/>
              <w:right w:val="single" w:color="auto" w:sz="4" w:space="0"/>
            </w:tcBorders>
            <w:vAlign w:val="center"/>
          </w:tcPr>
          <w:p w14:paraId="1AFEC820">
            <w:pPr>
              <w:autoSpaceDE w:val="0"/>
              <w:autoSpaceDN w:val="0"/>
              <w:adjustRightInd w:val="0"/>
              <w:jc w:val="left"/>
              <w:rPr>
                <w:rFonts w:hint="eastAsia" w:ascii="宋体" w:hAnsi="宋体" w:cs="宋体"/>
                <w:sz w:val="18"/>
                <w:szCs w:val="18"/>
              </w:rPr>
            </w:pPr>
            <w:r>
              <w:rPr>
                <w:rFonts w:hint="eastAsia" w:ascii="宋体" w:hAnsi="宋体" w:cs="宋体"/>
                <w:sz w:val="18"/>
                <w:szCs w:val="18"/>
              </w:rPr>
              <w:t>手续便捷，授信审批全程上门服务；无需抵押，无抵押贷款一步到位；额度灵活，随借随贷，单户最高2000万元；期限匹配，与付款周期相吻合；利率优惠，本行中小企业信用贷款利率水平至少下浮10%；一对一增值服务方案—您的财富管理银行。</w:t>
            </w:r>
          </w:p>
        </w:tc>
        <w:tc>
          <w:tcPr>
            <w:tcW w:w="980" w:type="dxa"/>
            <w:tcBorders>
              <w:top w:val="single" w:color="auto" w:sz="4" w:space="0"/>
              <w:left w:val="single" w:color="auto" w:sz="4" w:space="0"/>
              <w:right w:val="single" w:color="auto" w:sz="4" w:space="0"/>
            </w:tcBorders>
            <w:vAlign w:val="center"/>
          </w:tcPr>
          <w:p w14:paraId="000CE164">
            <w:pPr>
              <w:jc w:val="center"/>
              <w:rPr>
                <w:rFonts w:hint="eastAsia" w:ascii="宋体" w:hAnsi="宋体"/>
                <w:sz w:val="18"/>
                <w:szCs w:val="18"/>
              </w:rPr>
            </w:pPr>
            <w:r>
              <w:rPr>
                <w:rFonts w:hint="eastAsia" w:ascii="宋体" w:hAnsi="宋体"/>
                <w:sz w:val="18"/>
                <w:szCs w:val="18"/>
              </w:rPr>
              <w:t>缪经理</w:t>
            </w:r>
          </w:p>
        </w:tc>
        <w:tc>
          <w:tcPr>
            <w:tcW w:w="1680" w:type="dxa"/>
            <w:tcBorders>
              <w:right w:val="single" w:color="auto" w:sz="12" w:space="0"/>
            </w:tcBorders>
            <w:vAlign w:val="center"/>
          </w:tcPr>
          <w:p w14:paraId="49157E2F">
            <w:pPr>
              <w:jc w:val="left"/>
              <w:rPr>
                <w:rFonts w:hint="eastAsia" w:ascii="宋体" w:hAnsi="宋体"/>
                <w:sz w:val="18"/>
                <w:szCs w:val="18"/>
              </w:rPr>
            </w:pPr>
            <w:r>
              <w:rPr>
                <w:rFonts w:hint="eastAsia" w:ascii="宋体" w:hAnsi="宋体"/>
                <w:sz w:val="18"/>
                <w:szCs w:val="18"/>
              </w:rPr>
              <w:t>0577-88248454</w:t>
            </w:r>
          </w:p>
        </w:tc>
      </w:tr>
      <w:tr w14:paraId="394C481A">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498" w:hRule="atLeast"/>
          <w:jc w:val="center"/>
        </w:trPr>
        <w:tc>
          <w:tcPr>
            <w:tcW w:w="1864" w:type="dxa"/>
            <w:tcBorders>
              <w:left w:val="single" w:color="auto" w:sz="12" w:space="0"/>
              <w:bottom w:val="single" w:color="auto" w:sz="12" w:space="0"/>
            </w:tcBorders>
            <w:vAlign w:val="center"/>
          </w:tcPr>
          <w:p w14:paraId="66E7E9EE">
            <w:pPr>
              <w:pStyle w:val="52"/>
              <w:spacing w:line="240" w:lineRule="auto"/>
              <w:ind w:firstLine="0" w:firstLineChars="0"/>
              <w:jc w:val="center"/>
              <w:rPr>
                <w:rFonts w:hint="eastAsia" w:ascii="宋体" w:hAnsi="宋体" w:eastAsia="宋体" w:cs="宋体"/>
                <w:kern w:val="0"/>
                <w:sz w:val="18"/>
                <w:szCs w:val="18"/>
              </w:rPr>
            </w:pPr>
            <w:r>
              <w:rPr>
                <w:rFonts w:hint="eastAsia" w:ascii="宋体" w:hAnsi="宋体" w:eastAsia="宋体" w:cs="宋体"/>
                <w:kern w:val="0"/>
                <w:sz w:val="18"/>
                <w:szCs w:val="18"/>
              </w:rPr>
              <w:t>上海浦东发展银行股份有限公司温州分行</w:t>
            </w:r>
          </w:p>
        </w:tc>
        <w:tc>
          <w:tcPr>
            <w:tcW w:w="4870" w:type="dxa"/>
            <w:tcBorders>
              <w:bottom w:val="single" w:color="auto" w:sz="12" w:space="0"/>
            </w:tcBorders>
            <w:vAlign w:val="center"/>
          </w:tcPr>
          <w:p w14:paraId="0C808A6C">
            <w:pPr>
              <w:jc w:val="left"/>
              <w:rPr>
                <w:rFonts w:hint="eastAsia" w:ascii="宋体" w:hAnsi="宋体" w:cs="宋体"/>
                <w:bCs/>
                <w:sz w:val="18"/>
                <w:szCs w:val="18"/>
              </w:rPr>
            </w:pPr>
            <w:r>
              <w:rPr>
                <w:rFonts w:hint="eastAsia" w:ascii="宋体" w:hAnsi="宋体" w:cs="宋体"/>
                <w:bCs/>
                <w:sz w:val="18"/>
                <w:szCs w:val="18"/>
              </w:rPr>
              <w:t>政采e贷：是浦发银行面向温州地区经营状况良好的小微企业政府采购项目供应商所提供的专属政府采购订单融资产品。产品特点：纯信用、免担保、门槛低、授信快、在线贷、秒放款</w:t>
            </w:r>
          </w:p>
          <w:p w14:paraId="4DD0EAF9">
            <w:pPr>
              <w:shd w:val="clear" w:color="auto" w:fill="FFFFFF"/>
              <w:jc w:val="left"/>
              <w:rPr>
                <w:rFonts w:hint="eastAsia" w:ascii="宋体" w:hAnsi="宋体"/>
                <w:sz w:val="18"/>
                <w:szCs w:val="18"/>
              </w:rPr>
            </w:pPr>
            <w:r>
              <w:rPr>
                <w:rFonts w:hint="eastAsia" w:ascii="宋体" w:hAnsi="宋体" w:cs="宋体"/>
                <w:bCs/>
                <w:sz w:val="18"/>
                <w:szCs w:val="18"/>
              </w:rPr>
              <w:t>所需材料：企业基础证件、相关中标文件（中标通知书 、采购合同等）、其他必要文件</w:t>
            </w:r>
          </w:p>
        </w:tc>
        <w:tc>
          <w:tcPr>
            <w:tcW w:w="980" w:type="dxa"/>
            <w:tcBorders>
              <w:bottom w:val="single" w:color="auto" w:sz="12" w:space="0"/>
            </w:tcBorders>
            <w:vAlign w:val="center"/>
          </w:tcPr>
          <w:p w14:paraId="71C97106">
            <w:pPr>
              <w:jc w:val="center"/>
              <w:rPr>
                <w:rFonts w:hint="eastAsia" w:ascii="宋体" w:hAnsi="宋体" w:cs="宋体"/>
                <w:sz w:val="18"/>
                <w:szCs w:val="18"/>
              </w:rPr>
            </w:pPr>
            <w:r>
              <w:rPr>
                <w:rFonts w:hint="eastAsia" w:ascii="宋体" w:hAnsi="宋体" w:cs="宋体"/>
                <w:sz w:val="18"/>
                <w:szCs w:val="18"/>
              </w:rPr>
              <w:t>叶经理</w:t>
            </w:r>
          </w:p>
        </w:tc>
        <w:tc>
          <w:tcPr>
            <w:tcW w:w="1680" w:type="dxa"/>
            <w:tcBorders>
              <w:bottom w:val="single" w:color="auto" w:sz="12" w:space="0"/>
              <w:right w:val="single" w:color="auto" w:sz="12" w:space="0"/>
            </w:tcBorders>
            <w:vAlign w:val="center"/>
          </w:tcPr>
          <w:p w14:paraId="74CA4389">
            <w:pPr>
              <w:jc w:val="left"/>
              <w:rPr>
                <w:rFonts w:hint="eastAsia" w:ascii="宋体" w:hAnsi="宋体"/>
                <w:sz w:val="18"/>
                <w:szCs w:val="18"/>
              </w:rPr>
            </w:pPr>
            <w:r>
              <w:rPr>
                <w:rFonts w:hint="eastAsia" w:ascii="宋体" w:hAnsi="宋体"/>
                <w:sz w:val="18"/>
                <w:szCs w:val="18"/>
              </w:rPr>
              <w:t>0577-55570829</w:t>
            </w:r>
          </w:p>
        </w:tc>
      </w:tr>
    </w:tbl>
    <w:p w14:paraId="6CCB83B3">
      <w:pPr>
        <w:pStyle w:val="45"/>
        <w:snapToGrid w:val="0"/>
        <w:spacing w:line="360" w:lineRule="auto"/>
        <w:ind w:firstLine="220" w:firstLineChars="100"/>
        <w:rPr>
          <w:rFonts w:hint="eastAsia" w:ascii="宋体" w:hAnsi="宋体" w:cs="宋体"/>
          <w:sz w:val="22"/>
        </w:rPr>
      </w:pPr>
    </w:p>
    <w:p w14:paraId="747E6F43">
      <w:pPr>
        <w:jc w:val="left"/>
        <w:rPr>
          <w:rFonts w:ascii="宋体"/>
          <w:b/>
          <w:bCs/>
          <w:sz w:val="32"/>
          <w:szCs w:val="32"/>
        </w:rPr>
      </w:pPr>
    </w:p>
    <w:p w14:paraId="6CB4DB5C">
      <w:pPr>
        <w:jc w:val="left"/>
        <w:rPr>
          <w:rFonts w:ascii="宋体"/>
          <w:b/>
          <w:bCs/>
          <w:sz w:val="32"/>
          <w:szCs w:val="32"/>
        </w:rPr>
      </w:pPr>
      <w:r>
        <w:rPr>
          <w:rFonts w:hint="eastAsia" w:ascii="宋体"/>
          <w:b/>
          <w:bCs/>
          <w:sz w:val="32"/>
          <w:szCs w:val="32"/>
        </w:rPr>
        <w:br w:type="page"/>
      </w:r>
    </w:p>
    <w:p w14:paraId="23EDA923">
      <w:pPr>
        <w:snapToGrid w:val="0"/>
        <w:spacing w:line="440" w:lineRule="atLeast"/>
        <w:jc w:val="center"/>
        <w:outlineLvl w:val="0"/>
        <w:rPr>
          <w:rFonts w:hint="eastAsia" w:hAnsi="宋体"/>
          <w:sz w:val="24"/>
        </w:rPr>
      </w:pPr>
      <w:r>
        <w:rPr>
          <w:rFonts w:hint="eastAsia" w:ascii="宋体"/>
          <w:b/>
          <w:bCs/>
          <w:sz w:val="32"/>
          <w:szCs w:val="32"/>
        </w:rPr>
        <w:t>第五部分  合同格式</w:t>
      </w:r>
    </w:p>
    <w:p w14:paraId="17F86604">
      <w:pPr>
        <w:autoSpaceDE w:val="0"/>
        <w:autoSpaceDN w:val="0"/>
        <w:adjustRightInd w:val="0"/>
        <w:spacing w:line="360" w:lineRule="exact"/>
        <w:jc w:val="center"/>
        <w:rPr>
          <w:rFonts w:ascii="宋体"/>
          <w:b/>
          <w:bCs/>
          <w:sz w:val="32"/>
          <w:szCs w:val="32"/>
          <w:lang w:val="zh-CN"/>
        </w:rPr>
      </w:pPr>
    </w:p>
    <w:p w14:paraId="4F8EA115">
      <w:pPr>
        <w:spacing w:line="400" w:lineRule="exact"/>
        <w:rPr>
          <w:rFonts w:hint="eastAsia" w:ascii="宋体" w:hAnsi="宋体" w:cs="宋体"/>
          <w:sz w:val="22"/>
          <w:szCs w:val="22"/>
        </w:rPr>
      </w:pPr>
    </w:p>
    <w:p w14:paraId="376F9087">
      <w:pPr>
        <w:spacing w:line="400" w:lineRule="exact"/>
        <w:rPr>
          <w:rFonts w:hint="eastAsia" w:ascii="宋体" w:hAnsi="宋体" w:cs="宋体"/>
          <w:sz w:val="22"/>
          <w:szCs w:val="22"/>
        </w:rPr>
      </w:pPr>
    </w:p>
    <w:p w14:paraId="6D7D3B31">
      <w:pPr>
        <w:spacing w:line="400" w:lineRule="exact"/>
        <w:rPr>
          <w:rFonts w:hint="eastAsia" w:ascii="宋体" w:hAnsi="宋体" w:cs="宋体"/>
          <w:sz w:val="22"/>
          <w:szCs w:val="22"/>
        </w:rPr>
      </w:pPr>
    </w:p>
    <w:p w14:paraId="48E2BAA7">
      <w:pPr>
        <w:spacing w:line="400" w:lineRule="exact"/>
        <w:rPr>
          <w:rFonts w:hint="eastAsia" w:ascii="宋体" w:hAnsi="宋体" w:cs="宋体"/>
          <w:sz w:val="22"/>
          <w:szCs w:val="22"/>
        </w:rPr>
      </w:pPr>
    </w:p>
    <w:p w14:paraId="13B7EA00">
      <w:pPr>
        <w:spacing w:line="400" w:lineRule="exact"/>
        <w:rPr>
          <w:rFonts w:hint="eastAsia" w:ascii="宋体" w:hAnsi="宋体" w:cs="宋体"/>
          <w:b/>
          <w:sz w:val="22"/>
          <w:szCs w:val="22"/>
        </w:rPr>
      </w:pPr>
    </w:p>
    <w:p w14:paraId="582976B5">
      <w:pPr>
        <w:spacing w:line="400" w:lineRule="exact"/>
        <w:rPr>
          <w:rFonts w:hint="eastAsia" w:ascii="宋体" w:hAnsi="宋体" w:cs="宋体"/>
          <w:b/>
          <w:sz w:val="22"/>
          <w:szCs w:val="22"/>
        </w:rPr>
      </w:pPr>
    </w:p>
    <w:p w14:paraId="1148F81B">
      <w:pPr>
        <w:spacing w:line="1000" w:lineRule="exact"/>
        <w:jc w:val="center"/>
        <w:rPr>
          <w:rFonts w:hint="eastAsia" w:ascii="宋体" w:hAnsi="宋体" w:cs="宋体"/>
          <w:b/>
          <w:sz w:val="22"/>
          <w:szCs w:val="22"/>
        </w:rPr>
      </w:pPr>
      <w:bookmarkStart w:id="31" w:name="_Toc7821_WPSOffice_Level2"/>
      <w:r>
        <w:rPr>
          <w:rFonts w:hint="eastAsia" w:ascii="新宋体" w:hAnsi="新宋体" w:eastAsia="新宋体" w:cs="Arial"/>
          <w:b/>
          <w:sz w:val="72"/>
          <w:szCs w:val="72"/>
        </w:rPr>
        <w:t>国</w:t>
      </w:r>
      <w:r>
        <w:rPr>
          <w:rFonts w:hint="eastAsia" w:ascii="新宋体" w:hAnsi="新宋体" w:eastAsia="新宋体" w:cs="Arial"/>
          <w:b/>
          <w:sz w:val="72"/>
          <w:szCs w:val="72"/>
          <w:lang w:val="en-US" w:eastAsia="zh-CN"/>
        </w:rPr>
        <w:t xml:space="preserve"> </w:t>
      </w:r>
      <w:r>
        <w:rPr>
          <w:rFonts w:hint="eastAsia" w:ascii="新宋体" w:hAnsi="新宋体" w:eastAsia="新宋体" w:cs="Arial"/>
          <w:b/>
          <w:sz w:val="72"/>
          <w:szCs w:val="72"/>
        </w:rPr>
        <w:t>企</w:t>
      </w:r>
      <w:r>
        <w:rPr>
          <w:rFonts w:hint="eastAsia" w:ascii="宋体" w:hAnsi="宋体" w:cs="宋体"/>
          <w:b/>
          <w:sz w:val="72"/>
          <w:szCs w:val="72"/>
        </w:rPr>
        <w:t xml:space="preserve"> 采 购 合 同</w:t>
      </w:r>
      <w:bookmarkEnd w:id="31"/>
    </w:p>
    <w:p w14:paraId="7ACAA5C4">
      <w:pPr>
        <w:spacing w:line="400" w:lineRule="exact"/>
        <w:ind w:firstLine="3253" w:firstLineChars="900"/>
        <w:rPr>
          <w:rFonts w:hint="eastAsia" w:ascii="宋体" w:hAnsi="宋体" w:cs="宋体"/>
          <w:b/>
          <w:sz w:val="36"/>
          <w:szCs w:val="36"/>
        </w:rPr>
      </w:pPr>
    </w:p>
    <w:p w14:paraId="753061FE">
      <w:pPr>
        <w:spacing w:line="400" w:lineRule="exact"/>
        <w:rPr>
          <w:rFonts w:hint="eastAsia" w:ascii="宋体" w:hAnsi="宋体" w:cs="宋体"/>
          <w:b/>
          <w:sz w:val="22"/>
          <w:szCs w:val="22"/>
        </w:rPr>
      </w:pPr>
    </w:p>
    <w:p w14:paraId="7358A936">
      <w:pPr>
        <w:spacing w:line="400" w:lineRule="exact"/>
        <w:rPr>
          <w:rFonts w:hint="eastAsia" w:ascii="宋体" w:hAnsi="宋体" w:cs="宋体"/>
          <w:b/>
          <w:sz w:val="22"/>
          <w:szCs w:val="22"/>
        </w:rPr>
      </w:pPr>
    </w:p>
    <w:p w14:paraId="31C932DE">
      <w:pPr>
        <w:spacing w:line="600" w:lineRule="exact"/>
        <w:ind w:firstLine="1680" w:firstLineChars="600"/>
        <w:rPr>
          <w:rFonts w:hint="eastAsia" w:ascii="宋体" w:hAnsi="宋体" w:cs="宋体"/>
          <w:sz w:val="28"/>
        </w:rPr>
      </w:pPr>
      <w:bookmarkStart w:id="32" w:name="_Toc20798_WPSOffice_Level2"/>
      <w:r>
        <w:rPr>
          <w:rFonts w:hint="eastAsia" w:ascii="宋体" w:hAnsi="宋体" w:cs="宋体"/>
          <w:sz w:val="28"/>
        </w:rPr>
        <w:t>项 目 名 称：</w:t>
      </w:r>
      <w:bookmarkEnd w:id="32"/>
    </w:p>
    <w:p w14:paraId="5D806169">
      <w:pPr>
        <w:spacing w:line="600" w:lineRule="exact"/>
        <w:ind w:firstLine="1680" w:firstLineChars="600"/>
        <w:rPr>
          <w:rFonts w:hint="eastAsia" w:ascii="宋体" w:hAnsi="宋体" w:cs="宋体"/>
          <w:sz w:val="28"/>
        </w:rPr>
      </w:pPr>
      <w:bookmarkStart w:id="33" w:name="_Toc27451_WPSOffice_Level2"/>
      <w:r>
        <w:rPr>
          <w:rFonts w:hint="eastAsia" w:ascii="宋体" w:hAnsi="宋体" w:cs="宋体"/>
          <w:sz w:val="28"/>
        </w:rPr>
        <w:t>项 目 地 点：</w:t>
      </w:r>
      <w:bookmarkEnd w:id="33"/>
    </w:p>
    <w:p w14:paraId="4BE8EC3D">
      <w:pPr>
        <w:spacing w:line="600" w:lineRule="exact"/>
        <w:ind w:firstLine="1680" w:firstLineChars="600"/>
        <w:rPr>
          <w:rFonts w:hint="eastAsia" w:ascii="宋体" w:hAnsi="宋体" w:cs="宋体"/>
          <w:sz w:val="28"/>
        </w:rPr>
      </w:pPr>
      <w:bookmarkStart w:id="34" w:name="_Toc22212_WPSOffice_Level2"/>
      <w:r>
        <w:rPr>
          <w:rFonts w:hint="eastAsia" w:ascii="宋体" w:hAnsi="宋体" w:cs="宋体"/>
          <w:sz w:val="28"/>
        </w:rPr>
        <w:t>合 同 编 号：</w:t>
      </w:r>
      <w:bookmarkEnd w:id="34"/>
    </w:p>
    <w:p w14:paraId="4C53BD5F">
      <w:pPr>
        <w:spacing w:line="600" w:lineRule="exact"/>
        <w:ind w:firstLine="1680" w:firstLineChars="600"/>
        <w:rPr>
          <w:rFonts w:hint="eastAsia" w:ascii="宋体" w:hAnsi="宋体" w:cs="宋体"/>
          <w:sz w:val="28"/>
        </w:rPr>
      </w:pPr>
    </w:p>
    <w:p w14:paraId="689F5E68">
      <w:pPr>
        <w:spacing w:line="600" w:lineRule="exact"/>
        <w:ind w:firstLine="1680" w:firstLineChars="600"/>
        <w:rPr>
          <w:rFonts w:hint="eastAsia" w:ascii="宋体" w:hAnsi="宋体" w:cs="宋体"/>
          <w:sz w:val="28"/>
        </w:rPr>
      </w:pPr>
    </w:p>
    <w:p w14:paraId="33D6C0C0">
      <w:pPr>
        <w:spacing w:line="600" w:lineRule="exact"/>
        <w:ind w:firstLine="1680" w:firstLineChars="600"/>
        <w:rPr>
          <w:rFonts w:hint="eastAsia" w:ascii="宋体" w:hAnsi="宋体" w:cs="宋体"/>
          <w:sz w:val="28"/>
        </w:rPr>
      </w:pPr>
    </w:p>
    <w:p w14:paraId="198E9F1A">
      <w:pPr>
        <w:spacing w:line="600" w:lineRule="exact"/>
        <w:ind w:firstLine="1680" w:firstLineChars="600"/>
        <w:rPr>
          <w:rFonts w:hint="eastAsia" w:ascii="宋体" w:hAnsi="宋体" w:cs="宋体"/>
          <w:sz w:val="28"/>
          <w:u w:val="single"/>
        </w:rPr>
      </w:pPr>
      <w:bookmarkStart w:id="35" w:name="_Toc14492_WPSOffice_Level2"/>
      <w:r>
        <w:rPr>
          <w:rFonts w:hint="eastAsia" w:ascii="宋体" w:hAnsi="宋体" w:cs="宋体"/>
          <w:sz w:val="28"/>
        </w:rPr>
        <w:t>采 购 人：</w:t>
      </w:r>
      <w:bookmarkEnd w:id="35"/>
    </w:p>
    <w:p w14:paraId="4139AAED">
      <w:pPr>
        <w:spacing w:line="600" w:lineRule="exact"/>
        <w:ind w:firstLine="1680" w:firstLineChars="600"/>
        <w:rPr>
          <w:rFonts w:hint="eastAsia" w:ascii="宋体" w:hAnsi="宋体" w:cs="宋体"/>
          <w:sz w:val="28"/>
        </w:rPr>
      </w:pPr>
      <w:bookmarkStart w:id="36" w:name="_Toc29423_WPSOffice_Level2"/>
      <w:r>
        <w:rPr>
          <w:rFonts w:hint="eastAsia" w:ascii="宋体" w:hAnsi="宋体" w:cs="宋体"/>
          <w:sz w:val="28"/>
        </w:rPr>
        <w:t>中标人：</w:t>
      </w:r>
      <w:bookmarkEnd w:id="36"/>
    </w:p>
    <w:p w14:paraId="4160C709">
      <w:pPr>
        <w:spacing w:line="600" w:lineRule="exact"/>
        <w:ind w:firstLine="1680" w:firstLineChars="600"/>
        <w:rPr>
          <w:rFonts w:hint="eastAsia" w:ascii="宋体" w:hAnsi="宋体" w:cs="宋体"/>
          <w:sz w:val="22"/>
          <w:szCs w:val="22"/>
        </w:rPr>
      </w:pPr>
      <w:bookmarkStart w:id="37" w:name="_Toc31956_WPSOffice_Level2"/>
      <w:r>
        <w:rPr>
          <w:rFonts w:hint="eastAsia" w:ascii="宋体" w:hAnsi="宋体" w:cs="宋体"/>
          <w:sz w:val="28"/>
        </w:rPr>
        <w:t>签 订 日 期：</w:t>
      </w:r>
      <w:bookmarkEnd w:id="37"/>
    </w:p>
    <w:p w14:paraId="07F5C2D9">
      <w:pPr>
        <w:spacing w:line="440" w:lineRule="exact"/>
        <w:ind w:left="550" w:hanging="550" w:hangingChars="250"/>
        <w:rPr>
          <w:rFonts w:hint="eastAsia" w:ascii="宋体" w:hAnsi="宋体" w:cs="宋体"/>
          <w:sz w:val="22"/>
          <w:szCs w:val="22"/>
        </w:rPr>
      </w:pPr>
    </w:p>
    <w:p w14:paraId="29E90665">
      <w:pPr>
        <w:spacing w:line="400" w:lineRule="exact"/>
        <w:rPr>
          <w:rFonts w:hint="eastAsia" w:ascii="宋体" w:hAnsi="宋体" w:cs="宋体"/>
          <w:b/>
          <w:sz w:val="22"/>
          <w:szCs w:val="22"/>
        </w:rPr>
      </w:pPr>
    </w:p>
    <w:p w14:paraId="6EA43480">
      <w:pPr>
        <w:spacing w:line="400" w:lineRule="exact"/>
        <w:rPr>
          <w:rFonts w:hint="eastAsia" w:ascii="宋体" w:hAnsi="宋体" w:cs="宋体"/>
          <w:b/>
          <w:sz w:val="22"/>
          <w:szCs w:val="22"/>
        </w:rPr>
      </w:pPr>
    </w:p>
    <w:p w14:paraId="275E8DC1">
      <w:pPr>
        <w:spacing w:line="400" w:lineRule="exact"/>
        <w:rPr>
          <w:rFonts w:hint="eastAsia" w:ascii="宋体" w:hAnsi="宋体" w:cs="宋体"/>
          <w:b/>
          <w:sz w:val="22"/>
          <w:szCs w:val="22"/>
        </w:rPr>
      </w:pPr>
    </w:p>
    <w:p w14:paraId="43FC98C7">
      <w:pPr>
        <w:pStyle w:val="10"/>
      </w:pPr>
    </w:p>
    <w:p w14:paraId="76F5C7CF">
      <w:pPr>
        <w:pStyle w:val="14"/>
        <w:snapToGrid w:val="0"/>
        <w:spacing w:line="440" w:lineRule="atLeast"/>
        <w:ind w:firstLine="482" w:firstLineChars="200"/>
        <w:jc w:val="center"/>
        <w:rPr>
          <w:rFonts w:hint="eastAsia" w:hAnsi="宋体"/>
          <w:b/>
          <w:bCs/>
          <w:sz w:val="24"/>
        </w:rPr>
      </w:pPr>
    </w:p>
    <w:p w14:paraId="3D4F8E7B">
      <w:pPr>
        <w:rPr>
          <w:rFonts w:hint="eastAsia" w:hAnsi="宋体"/>
          <w:b/>
          <w:bCs/>
          <w:sz w:val="24"/>
        </w:rPr>
      </w:pPr>
    </w:p>
    <w:p w14:paraId="666DCF56">
      <w:pPr>
        <w:pStyle w:val="24"/>
      </w:pPr>
    </w:p>
    <w:p w14:paraId="0A2F8F65"/>
    <w:p w14:paraId="032C95E9">
      <w:pPr>
        <w:pStyle w:val="4"/>
        <w:spacing w:line="360" w:lineRule="exact"/>
        <w:jc w:val="center"/>
        <w:rPr>
          <w:rFonts w:ascii="宋体" w:hAnsi="宋体" w:eastAsia="宋体" w:cs="宋体"/>
          <w:bCs w:val="0"/>
          <w:color w:val="auto"/>
          <w:highlight w:val="none"/>
        </w:rPr>
      </w:pPr>
      <w:bookmarkStart w:id="38" w:name="_Toc144974578"/>
      <w:bookmarkStart w:id="39" w:name="_Toc152045610"/>
      <w:bookmarkStart w:id="40" w:name="_Toc133536944"/>
      <w:bookmarkStart w:id="41" w:name="_Toc179632628"/>
      <w:bookmarkStart w:id="42" w:name="_Toc523256416"/>
      <w:bookmarkStart w:id="43" w:name="_Toc109080613"/>
      <w:bookmarkStart w:id="44" w:name="_Toc152042388"/>
      <w:bookmarkStart w:id="45" w:name="_Toc404630686"/>
      <w:bookmarkStart w:id="46" w:name="_Toc2454"/>
      <w:bookmarkStart w:id="47" w:name="_Toc17074"/>
      <w:bookmarkStart w:id="48" w:name="_Toc86616415"/>
      <w:bookmarkStart w:id="49" w:name="_Toc373737862"/>
      <w:r>
        <w:rPr>
          <w:rFonts w:hint="eastAsia" w:ascii="宋体" w:hAnsi="宋体" w:eastAsia="宋体" w:cs="宋体"/>
          <w:bCs w:val="0"/>
          <w:color w:val="auto"/>
          <w:highlight w:val="none"/>
        </w:rPr>
        <w:t>第一节 通用合同条款</w:t>
      </w:r>
      <w:bookmarkEnd w:id="38"/>
      <w:bookmarkEnd w:id="39"/>
      <w:bookmarkEnd w:id="40"/>
      <w:bookmarkEnd w:id="41"/>
      <w:bookmarkEnd w:id="42"/>
      <w:bookmarkEnd w:id="43"/>
      <w:bookmarkEnd w:id="44"/>
      <w:bookmarkEnd w:id="45"/>
      <w:bookmarkEnd w:id="46"/>
      <w:bookmarkEnd w:id="47"/>
      <w:bookmarkEnd w:id="48"/>
      <w:bookmarkEnd w:id="49"/>
    </w:p>
    <w:p w14:paraId="17A32EFB">
      <w:pPr>
        <w:widowControl w:val="0"/>
        <w:spacing w:line="340" w:lineRule="exact"/>
        <w:jc w:val="both"/>
        <w:rPr>
          <w:rFonts w:ascii="宋体" w:hAnsi="宋体" w:eastAsia="宋体" w:cs="宋体"/>
          <w:color w:val="auto"/>
          <w:kern w:val="2"/>
          <w:sz w:val="21"/>
          <w:szCs w:val="22"/>
          <w:highlight w:val="none"/>
          <w:lang w:val="en-US" w:eastAsia="zh-CN" w:bidi="ar-SA"/>
        </w:rPr>
      </w:pPr>
    </w:p>
    <w:p w14:paraId="50A4B06A">
      <w:pPr>
        <w:widowControl w:val="0"/>
        <w:spacing w:line="340" w:lineRule="exact"/>
        <w:jc w:val="both"/>
        <w:rPr>
          <w:rFonts w:ascii="宋体" w:hAnsi="宋体" w:eastAsia="宋体" w:cs="宋体"/>
          <w:color w:val="auto"/>
          <w:kern w:val="2"/>
          <w:sz w:val="21"/>
          <w:szCs w:val="22"/>
          <w:highlight w:val="none"/>
          <w:lang w:val="en-US" w:eastAsia="zh-CN" w:bidi="ar-SA"/>
        </w:rPr>
      </w:pPr>
      <w:r>
        <w:rPr>
          <w:rFonts w:hint="eastAsia" w:ascii="宋体" w:hAnsi="宋体" w:eastAsia="宋体" w:cs="宋体"/>
          <w:color w:val="auto"/>
          <w:kern w:val="2"/>
          <w:sz w:val="21"/>
          <w:szCs w:val="22"/>
          <w:highlight w:val="none"/>
          <w:lang w:val="en-US" w:eastAsia="zh-CN" w:bidi="ar-SA"/>
        </w:rPr>
        <w:t xml:space="preserve">    “通用合同条款”采用《标准施工招标文件》第四章第一节“通用合同条款”。</w:t>
      </w:r>
    </w:p>
    <w:p w14:paraId="06F8F361">
      <w:pPr>
        <w:widowControl w:val="0"/>
        <w:spacing w:line="400" w:lineRule="exact"/>
        <w:jc w:val="both"/>
        <w:rPr>
          <w:rFonts w:ascii="宋体" w:hAnsi="宋体" w:eastAsia="宋体" w:cs="宋体"/>
          <w:color w:val="auto"/>
          <w:kern w:val="2"/>
          <w:sz w:val="21"/>
          <w:szCs w:val="22"/>
          <w:highlight w:val="none"/>
          <w:lang w:val="en-US" w:eastAsia="zh-CN" w:bidi="ar-SA"/>
        </w:rPr>
      </w:pPr>
    </w:p>
    <w:p w14:paraId="70DD0943">
      <w:pPr>
        <w:spacing w:line="400" w:lineRule="exact"/>
        <w:rPr>
          <w:rFonts w:ascii="宋体" w:hAnsi="宋体" w:eastAsia="宋体" w:cs="宋体"/>
          <w:color w:val="auto"/>
          <w:highlight w:val="none"/>
        </w:rPr>
      </w:pPr>
    </w:p>
    <w:p w14:paraId="750D9D3B">
      <w:pPr>
        <w:spacing w:line="400" w:lineRule="exact"/>
        <w:rPr>
          <w:rFonts w:ascii="宋体" w:hAnsi="宋体" w:eastAsia="宋体" w:cs="宋体"/>
          <w:color w:val="auto"/>
          <w:highlight w:val="none"/>
        </w:rPr>
      </w:pPr>
      <w:r>
        <w:rPr>
          <w:rFonts w:hint="eastAsia" w:ascii="宋体" w:hAnsi="宋体" w:eastAsia="宋体" w:cs="宋体"/>
          <w:color w:val="auto"/>
          <w:highlight w:val="none"/>
        </w:rPr>
        <w:br w:type="page"/>
      </w:r>
    </w:p>
    <w:p w14:paraId="31D34527">
      <w:pPr>
        <w:keepNext/>
        <w:keepLines/>
        <w:widowControl w:val="0"/>
        <w:spacing w:before="260" w:after="260" w:line="360" w:lineRule="exact"/>
        <w:jc w:val="center"/>
        <w:outlineLvl w:val="1"/>
        <w:rPr>
          <w:rFonts w:ascii="宋体" w:hAnsi="宋体" w:eastAsia="宋体" w:cs="宋体"/>
          <w:b/>
          <w:bCs w:val="0"/>
          <w:color w:val="auto"/>
          <w:kern w:val="2"/>
          <w:sz w:val="32"/>
          <w:szCs w:val="32"/>
          <w:highlight w:val="none"/>
          <w:lang w:val="en-US" w:eastAsia="zh-CN" w:bidi="ar-SA"/>
        </w:rPr>
      </w:pPr>
      <w:bookmarkStart w:id="50" w:name="_Toc144974736"/>
      <w:bookmarkStart w:id="51" w:name="_Toc152045766"/>
      <w:bookmarkStart w:id="52" w:name="_Toc109080614"/>
      <w:bookmarkStart w:id="53" w:name="_Toc523256572"/>
      <w:bookmarkStart w:id="54" w:name="_Toc133536945"/>
      <w:bookmarkStart w:id="55" w:name="_Toc152042545"/>
      <w:bookmarkStart w:id="56" w:name="_Toc2901"/>
      <w:bookmarkStart w:id="57" w:name="_Toc179632784"/>
      <w:bookmarkStart w:id="58" w:name="_Toc86616440"/>
      <w:bookmarkStart w:id="59" w:name="_Toc404630842"/>
      <w:bookmarkStart w:id="60" w:name="_Toc4747"/>
      <w:bookmarkStart w:id="61" w:name="_Toc337490319"/>
      <w:r>
        <w:rPr>
          <w:rFonts w:hint="eastAsia" w:ascii="宋体" w:hAnsi="宋体" w:eastAsia="宋体" w:cs="宋体"/>
          <w:b/>
          <w:bCs w:val="0"/>
          <w:color w:val="auto"/>
          <w:kern w:val="2"/>
          <w:sz w:val="32"/>
          <w:szCs w:val="32"/>
          <w:highlight w:val="none"/>
          <w:lang w:val="en-US" w:eastAsia="zh-CN" w:bidi="ar-SA"/>
        </w:rPr>
        <w:t>第二节 专用合同条款</w:t>
      </w:r>
      <w:bookmarkEnd w:id="50"/>
      <w:bookmarkEnd w:id="51"/>
      <w:bookmarkEnd w:id="52"/>
      <w:bookmarkEnd w:id="53"/>
      <w:bookmarkEnd w:id="54"/>
      <w:bookmarkEnd w:id="55"/>
      <w:bookmarkEnd w:id="56"/>
      <w:bookmarkEnd w:id="57"/>
      <w:bookmarkEnd w:id="58"/>
      <w:bookmarkEnd w:id="59"/>
      <w:bookmarkEnd w:id="60"/>
      <w:bookmarkEnd w:id="61"/>
    </w:p>
    <w:p w14:paraId="7A4A6A40">
      <w:pPr>
        <w:widowControl w:val="0"/>
        <w:spacing w:line="340" w:lineRule="exact"/>
        <w:ind w:firstLine="422" w:firstLineChars="200"/>
        <w:jc w:val="both"/>
        <w:rPr>
          <w:rFonts w:ascii="宋体" w:hAnsi="宋体" w:eastAsia="宋体" w:cs="宋体"/>
          <w:b/>
          <w:color w:val="auto"/>
          <w:kern w:val="2"/>
          <w:sz w:val="21"/>
          <w:szCs w:val="22"/>
          <w:highlight w:val="none"/>
          <w:lang w:val="en-US" w:eastAsia="zh-CN" w:bidi="ar-SA"/>
        </w:rPr>
      </w:pPr>
      <w:bookmarkStart w:id="62" w:name="_Toc262895862"/>
      <w:bookmarkStart w:id="63" w:name="_Toc31383"/>
      <w:bookmarkStart w:id="64" w:name="_Toc263889190"/>
      <w:bookmarkStart w:id="65" w:name="_Toc262031802"/>
      <w:bookmarkStart w:id="66" w:name="_Toc31593"/>
      <w:bookmarkStart w:id="67" w:name="_Toc245538752"/>
      <w:bookmarkStart w:id="68" w:name="_Toc29306"/>
    </w:p>
    <w:p w14:paraId="24EE2F52">
      <w:pPr>
        <w:spacing w:after="240" w:afterLines="100" w:line="400" w:lineRule="exact"/>
        <w:jc w:val="center"/>
        <w:outlineLvl w:val="2"/>
        <w:rPr>
          <w:rFonts w:ascii="宋体" w:hAnsi="宋体" w:eastAsia="宋体" w:cs="宋体"/>
          <w:b/>
          <w:color w:val="auto"/>
          <w:sz w:val="28"/>
          <w:szCs w:val="28"/>
          <w:highlight w:val="none"/>
        </w:rPr>
      </w:pPr>
      <w:bookmarkStart w:id="69" w:name="_Toc7352009"/>
      <w:bookmarkStart w:id="70" w:name="_Toc4358496"/>
      <w:bookmarkStart w:id="71" w:name="_Toc133536946"/>
      <w:bookmarkStart w:id="72" w:name="_Toc109080615"/>
      <w:bookmarkStart w:id="73" w:name="_Toc23757"/>
      <w:bookmarkStart w:id="74" w:name="_Toc9073"/>
      <w:bookmarkStart w:id="75" w:name="_Toc86616441"/>
      <w:bookmarkStart w:id="76" w:name="_Toc4172"/>
      <w:r>
        <w:rPr>
          <w:rFonts w:hint="eastAsia" w:ascii="宋体" w:hAnsi="宋体" w:eastAsia="宋体" w:cs="宋体"/>
          <w:b/>
          <w:color w:val="auto"/>
          <w:sz w:val="28"/>
          <w:szCs w:val="28"/>
          <w:highlight w:val="none"/>
        </w:rPr>
        <w:t>A．公路工程专用合同条款</w:t>
      </w:r>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p>
    <w:p w14:paraId="61CC7FD9">
      <w:pPr>
        <w:widowControl w:val="0"/>
        <w:spacing w:line="340" w:lineRule="exact"/>
        <w:ind w:firstLine="420"/>
        <w:jc w:val="both"/>
        <w:rPr>
          <w:rFonts w:ascii="宋体" w:hAnsi="宋体" w:eastAsia="宋体" w:cs="宋体"/>
          <w:color w:val="auto"/>
          <w:kern w:val="2"/>
          <w:sz w:val="21"/>
          <w:szCs w:val="22"/>
          <w:highlight w:val="none"/>
          <w:lang w:val="en-US" w:eastAsia="zh-CN" w:bidi="ar-SA"/>
        </w:rPr>
      </w:pPr>
      <w:r>
        <w:rPr>
          <w:rFonts w:hint="eastAsia" w:ascii="宋体" w:hAnsi="宋体" w:eastAsia="宋体" w:cs="宋体"/>
          <w:color w:val="auto"/>
          <w:kern w:val="2"/>
          <w:sz w:val="21"/>
          <w:szCs w:val="22"/>
          <w:highlight w:val="none"/>
          <w:lang w:val="en-US" w:eastAsia="zh-CN" w:bidi="ar-SA"/>
        </w:rPr>
        <w:t xml:space="preserve">   “A. 公路工程专用合同条款”采用《公路工程标准施工招标文件》（2018版）（第一册）第四章第二节“A. 公路工程专用合同条款”。</w:t>
      </w:r>
    </w:p>
    <w:p w14:paraId="324CD6CB">
      <w:pPr>
        <w:widowControl w:val="0"/>
        <w:spacing w:line="340" w:lineRule="exact"/>
        <w:ind w:firstLine="420"/>
        <w:jc w:val="both"/>
        <w:rPr>
          <w:rFonts w:ascii="宋体" w:hAnsi="宋体" w:eastAsia="宋体" w:cs="宋体"/>
          <w:color w:val="auto"/>
          <w:kern w:val="2"/>
          <w:sz w:val="21"/>
          <w:szCs w:val="22"/>
          <w:highlight w:val="none"/>
          <w:lang w:val="en-US" w:eastAsia="zh-CN" w:bidi="ar-SA"/>
        </w:rPr>
      </w:pPr>
    </w:p>
    <w:p w14:paraId="6BCC19DD">
      <w:pPr>
        <w:rPr>
          <w:rFonts w:ascii="宋体" w:hAnsi="宋体" w:eastAsia="宋体" w:cs="宋体"/>
          <w:color w:val="auto"/>
          <w:sz w:val="28"/>
          <w:szCs w:val="28"/>
          <w:highlight w:val="none"/>
        </w:rPr>
      </w:pPr>
      <w:bookmarkStart w:id="77" w:name="_Toc31441"/>
      <w:bookmarkStart w:id="78" w:name="_Toc233429849"/>
      <w:bookmarkStart w:id="79" w:name="_Toc237400183"/>
      <w:bookmarkStart w:id="80" w:name="_Toc292754744"/>
      <w:bookmarkStart w:id="81" w:name="_Toc239488073"/>
      <w:bookmarkStart w:id="82" w:name="_Toc233435988"/>
      <w:bookmarkStart w:id="83" w:name="_Toc233290448"/>
      <w:bookmarkStart w:id="84" w:name="_Toc237255132"/>
      <w:bookmarkStart w:id="85" w:name="_Toc235846456"/>
      <w:bookmarkStart w:id="86" w:name="_Toc86616466"/>
      <w:bookmarkStart w:id="87" w:name="_Toc27793"/>
      <w:bookmarkStart w:id="88" w:name="_Toc523256670"/>
      <w:bookmarkStart w:id="89" w:name="_Toc233214900"/>
      <w:bookmarkStart w:id="90" w:name="_Toc233423333"/>
      <w:bookmarkStart w:id="91" w:name="_Toc6946"/>
      <w:bookmarkStart w:id="92" w:name="_Toc240016198"/>
      <w:bookmarkStart w:id="93" w:name="_Toc23401255"/>
      <w:bookmarkStart w:id="94" w:name="_Toc262646399"/>
      <w:bookmarkStart w:id="95" w:name="_Toc26164"/>
      <w:bookmarkStart w:id="96" w:name="_Toc256409653"/>
      <w:bookmarkStart w:id="97" w:name="_Toc17365"/>
      <w:bookmarkStart w:id="98" w:name="_Toc28304"/>
      <w:bookmarkStart w:id="99" w:name="_Toc292754799"/>
      <w:bookmarkStart w:id="100" w:name="_Toc262646443"/>
      <w:r>
        <w:rPr>
          <w:rFonts w:hint="eastAsia" w:ascii="宋体" w:hAnsi="宋体" w:eastAsia="宋体" w:cs="宋体"/>
          <w:color w:val="auto"/>
          <w:sz w:val="28"/>
          <w:szCs w:val="28"/>
          <w:highlight w:val="none"/>
        </w:rPr>
        <w:br w:type="page"/>
      </w:r>
    </w:p>
    <w:p w14:paraId="08EB4A99">
      <w:pPr>
        <w:spacing w:after="240" w:afterLines="100" w:line="400" w:lineRule="exact"/>
        <w:jc w:val="center"/>
        <w:outlineLvl w:val="2"/>
        <w:rPr>
          <w:rFonts w:ascii="宋体" w:hAnsi="宋体" w:eastAsia="宋体" w:cs="宋体"/>
          <w:b w:val="0"/>
          <w:color w:val="auto"/>
          <w:sz w:val="28"/>
          <w:szCs w:val="28"/>
          <w:highlight w:val="none"/>
        </w:rPr>
      </w:pPr>
      <w:bookmarkStart w:id="101" w:name="_Toc133536947"/>
      <w:bookmarkStart w:id="102" w:name="_Toc29245"/>
      <w:bookmarkStart w:id="103" w:name="_Toc6392"/>
      <w:bookmarkStart w:id="104" w:name="_Toc109080616"/>
      <w:bookmarkStart w:id="105" w:name="_Toc27536"/>
      <w:r>
        <w:rPr>
          <w:rFonts w:hint="eastAsia" w:ascii="宋体" w:hAnsi="宋体" w:eastAsia="宋体" w:cs="宋体"/>
          <w:b/>
          <w:color w:val="auto"/>
          <w:sz w:val="28"/>
          <w:szCs w:val="28"/>
          <w:highlight w:val="none"/>
          <w:lang w:val="en-US" w:eastAsia="zh-CN"/>
        </w:rPr>
        <w:t>B</w:t>
      </w:r>
      <w:bookmarkStart w:id="106" w:name="_Hlk13162922"/>
      <w:r>
        <w:rPr>
          <w:rFonts w:hint="eastAsia" w:ascii="宋体" w:hAnsi="宋体" w:eastAsia="宋体" w:cs="宋体"/>
          <w:b/>
          <w:color w:val="auto"/>
          <w:sz w:val="28"/>
          <w:szCs w:val="28"/>
          <w:highlight w:val="none"/>
          <w:lang w:val="en-US" w:eastAsia="zh-CN"/>
        </w:rPr>
        <w:t>．</w:t>
      </w:r>
      <w:bookmarkEnd w:id="106"/>
      <w:r>
        <w:rPr>
          <w:rFonts w:hint="eastAsia" w:ascii="宋体" w:hAnsi="宋体" w:eastAsia="宋体" w:cs="宋体"/>
          <w:b/>
          <w:color w:val="auto"/>
          <w:sz w:val="28"/>
          <w:szCs w:val="28"/>
          <w:highlight w:val="none"/>
          <w:lang w:val="en-US" w:eastAsia="zh-CN"/>
        </w:rPr>
        <w:t>项目专用合同条款</w:t>
      </w:r>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101"/>
      <w:bookmarkEnd w:id="102"/>
      <w:bookmarkEnd w:id="103"/>
      <w:bookmarkEnd w:id="104"/>
      <w:bookmarkEnd w:id="105"/>
    </w:p>
    <w:p w14:paraId="6162C524">
      <w:pPr>
        <w:keepNext/>
        <w:keepLines/>
        <w:widowControl w:val="0"/>
        <w:spacing w:before="120" w:after="0" w:line="276" w:lineRule="auto"/>
        <w:jc w:val="center"/>
        <w:outlineLvl w:val="3"/>
        <w:rPr>
          <w:rFonts w:ascii="宋体" w:hAnsi="宋体" w:eastAsia="宋体" w:cs="宋体"/>
          <w:b/>
          <w:bCs/>
          <w:color w:val="auto"/>
          <w:kern w:val="2"/>
          <w:sz w:val="28"/>
          <w:szCs w:val="28"/>
          <w:highlight w:val="none"/>
          <w:lang w:val="en-US" w:eastAsia="zh-CN" w:bidi="ar-SA"/>
        </w:rPr>
      </w:pPr>
      <w:r>
        <w:rPr>
          <w:rFonts w:hint="eastAsia" w:ascii="宋体" w:hAnsi="宋体" w:eastAsia="宋体" w:cs="宋体"/>
          <w:b/>
          <w:bCs/>
          <w:color w:val="auto"/>
          <w:kern w:val="2"/>
          <w:sz w:val="28"/>
          <w:szCs w:val="28"/>
          <w:highlight w:val="none"/>
          <w:lang w:val="en-US" w:eastAsia="zh-CN" w:bidi="ar-SA"/>
        </w:rPr>
        <w:t>项目专用合同条款数据表</w:t>
      </w:r>
    </w:p>
    <w:p w14:paraId="6853EBA3">
      <w:pPr>
        <w:widowControl w:val="0"/>
        <w:tabs>
          <w:tab w:val="left" w:pos="2790"/>
        </w:tabs>
        <w:spacing w:line="380" w:lineRule="exact"/>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说明：本数据表是项目专用合同条款中适用于本项目的信息和数据的归纳与提示，是项目专用合同条款的组成部分。</w:t>
      </w:r>
    </w:p>
    <w:tbl>
      <w:tblPr>
        <w:tblStyle w:val="25"/>
        <w:tblW w:w="9138" w:type="dxa"/>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57" w:type="dxa"/>
          <w:left w:w="28" w:type="dxa"/>
          <w:bottom w:w="57" w:type="dxa"/>
          <w:right w:w="28" w:type="dxa"/>
        </w:tblCellMar>
      </w:tblPr>
      <w:tblGrid>
        <w:gridCol w:w="738"/>
        <w:gridCol w:w="1050"/>
        <w:gridCol w:w="7350"/>
      </w:tblGrid>
      <w:tr w14:paraId="6684E14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28" w:type="dxa"/>
            <w:bottom w:w="57" w:type="dxa"/>
            <w:right w:w="28" w:type="dxa"/>
          </w:tblCellMar>
        </w:tblPrEx>
        <w:trPr>
          <w:cantSplit/>
          <w:trHeight w:val="454" w:hRule="atLeast"/>
        </w:trPr>
        <w:tc>
          <w:tcPr>
            <w:tcW w:w="738" w:type="dxa"/>
            <w:vAlign w:val="center"/>
          </w:tcPr>
          <w:p w14:paraId="79A3CD18">
            <w:pPr>
              <w:keepNext w:val="0"/>
              <w:keepLines w:val="0"/>
              <w:widowControl w:val="0"/>
              <w:suppressLineNumbers w:val="0"/>
              <w:tabs>
                <w:tab w:val="left" w:pos="2790"/>
              </w:tabs>
              <w:spacing w:before="0" w:beforeAutospacing="0" w:after="0" w:afterAutospacing="0"/>
              <w:ind w:left="0" w:right="0"/>
              <w:jc w:val="center"/>
              <w:rPr>
                <w:rFonts w:ascii="宋体" w:hAnsi="宋体" w:eastAsia="宋体" w:cs="宋体"/>
                <w:b/>
                <w:bCs/>
                <w:color w:val="auto"/>
                <w:kern w:val="2"/>
                <w:sz w:val="21"/>
                <w:szCs w:val="21"/>
                <w:highlight w:val="none"/>
                <w:lang w:val="en-US" w:eastAsia="zh-CN" w:bidi="ar-SA"/>
              </w:rPr>
            </w:pPr>
            <w:r>
              <w:rPr>
                <w:rFonts w:hint="eastAsia" w:ascii="宋体" w:hAnsi="宋体" w:eastAsia="宋体" w:cs="宋体"/>
                <w:b/>
                <w:bCs/>
                <w:color w:val="auto"/>
                <w:kern w:val="2"/>
                <w:sz w:val="21"/>
                <w:szCs w:val="21"/>
                <w:highlight w:val="none"/>
                <w:lang w:val="en-US" w:eastAsia="zh-CN" w:bidi="ar-SA"/>
              </w:rPr>
              <w:t>序号</w:t>
            </w:r>
          </w:p>
        </w:tc>
        <w:tc>
          <w:tcPr>
            <w:tcW w:w="1050" w:type="dxa"/>
            <w:vAlign w:val="center"/>
          </w:tcPr>
          <w:p w14:paraId="3C4E9BA5">
            <w:pPr>
              <w:keepNext w:val="0"/>
              <w:keepLines w:val="0"/>
              <w:widowControl w:val="0"/>
              <w:suppressLineNumbers w:val="0"/>
              <w:tabs>
                <w:tab w:val="left" w:pos="2790"/>
              </w:tabs>
              <w:spacing w:before="0" w:beforeAutospacing="0" w:after="0" w:afterAutospacing="0"/>
              <w:ind w:left="0" w:right="0"/>
              <w:jc w:val="center"/>
              <w:rPr>
                <w:rFonts w:ascii="宋体" w:hAnsi="宋体" w:eastAsia="宋体" w:cs="宋体"/>
                <w:b/>
                <w:bCs/>
                <w:color w:val="auto"/>
                <w:kern w:val="2"/>
                <w:sz w:val="21"/>
                <w:szCs w:val="21"/>
                <w:highlight w:val="none"/>
                <w:lang w:val="en-US" w:eastAsia="zh-CN" w:bidi="ar-SA"/>
              </w:rPr>
            </w:pPr>
            <w:r>
              <w:rPr>
                <w:rFonts w:hint="eastAsia" w:ascii="宋体" w:hAnsi="宋体" w:eastAsia="宋体" w:cs="宋体"/>
                <w:b/>
                <w:bCs/>
                <w:color w:val="auto"/>
                <w:kern w:val="2"/>
                <w:sz w:val="21"/>
                <w:szCs w:val="21"/>
                <w:highlight w:val="none"/>
                <w:lang w:val="en-US" w:eastAsia="zh-CN" w:bidi="ar-SA"/>
              </w:rPr>
              <w:t>条目号</w:t>
            </w:r>
          </w:p>
        </w:tc>
        <w:tc>
          <w:tcPr>
            <w:tcW w:w="7350" w:type="dxa"/>
            <w:vAlign w:val="center"/>
          </w:tcPr>
          <w:p w14:paraId="01947E69">
            <w:pPr>
              <w:keepNext w:val="0"/>
              <w:keepLines w:val="0"/>
              <w:widowControl w:val="0"/>
              <w:suppressLineNumbers w:val="0"/>
              <w:tabs>
                <w:tab w:val="left" w:pos="2790"/>
              </w:tabs>
              <w:spacing w:before="0" w:beforeAutospacing="0" w:after="0" w:afterAutospacing="0"/>
              <w:ind w:left="0" w:right="0"/>
              <w:jc w:val="center"/>
              <w:rPr>
                <w:rFonts w:ascii="宋体" w:hAnsi="宋体" w:eastAsia="宋体" w:cs="宋体"/>
                <w:b/>
                <w:bCs/>
                <w:color w:val="auto"/>
                <w:kern w:val="2"/>
                <w:sz w:val="21"/>
                <w:szCs w:val="21"/>
                <w:highlight w:val="none"/>
                <w:lang w:val="en-US" w:eastAsia="zh-CN" w:bidi="ar-SA"/>
              </w:rPr>
            </w:pPr>
            <w:r>
              <w:rPr>
                <w:rFonts w:hint="eastAsia" w:ascii="宋体" w:hAnsi="宋体" w:eastAsia="宋体" w:cs="宋体"/>
                <w:b/>
                <w:bCs/>
                <w:color w:val="auto"/>
                <w:kern w:val="2"/>
                <w:sz w:val="21"/>
                <w:szCs w:val="21"/>
                <w:highlight w:val="none"/>
                <w:lang w:val="en-US" w:eastAsia="zh-CN" w:bidi="ar-SA"/>
              </w:rPr>
              <w:t>信息或数据</w:t>
            </w:r>
          </w:p>
        </w:tc>
      </w:tr>
      <w:tr w14:paraId="64B2C8E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28" w:type="dxa"/>
            <w:bottom w:w="57" w:type="dxa"/>
            <w:right w:w="28" w:type="dxa"/>
          </w:tblCellMar>
        </w:tblPrEx>
        <w:trPr>
          <w:cantSplit/>
          <w:trHeight w:val="340" w:hRule="atLeast"/>
        </w:trPr>
        <w:tc>
          <w:tcPr>
            <w:tcW w:w="738" w:type="dxa"/>
            <w:tcBorders>
              <w:top w:val="single" w:color="auto" w:sz="4" w:space="0"/>
              <w:left w:val="single" w:color="auto" w:sz="12" w:space="0"/>
              <w:right w:val="single" w:color="auto" w:sz="4" w:space="0"/>
            </w:tcBorders>
            <w:vAlign w:val="center"/>
          </w:tcPr>
          <w:p w14:paraId="229A1017">
            <w:pPr>
              <w:keepNext/>
              <w:keepLines/>
              <w:widowControl w:val="0"/>
              <w:suppressLineNumbers w:val="0"/>
              <w:spacing w:before="0" w:beforeAutospacing="0" w:after="0" w:afterAutospacing="0" w:line="240" w:lineRule="auto"/>
              <w:ind w:left="0" w:right="0"/>
              <w:jc w:val="center"/>
              <w:outlineLvl w:val="9"/>
              <w:rPr>
                <w:rFonts w:ascii="宋体" w:hAnsi="宋体" w:eastAsia="宋体" w:cs="宋体"/>
                <w:b w:val="0"/>
                <w:bCs/>
                <w:color w:val="auto"/>
                <w:kern w:val="2"/>
                <w:sz w:val="21"/>
                <w:szCs w:val="21"/>
                <w:highlight w:val="none"/>
                <w:lang w:val="en-US" w:eastAsia="zh-CN" w:bidi="ar-SA"/>
              </w:rPr>
            </w:pPr>
            <w:r>
              <w:rPr>
                <w:rFonts w:hint="eastAsia" w:ascii="宋体" w:hAnsi="宋体" w:eastAsia="宋体" w:cs="宋体"/>
                <w:b w:val="0"/>
                <w:bCs/>
                <w:color w:val="auto"/>
                <w:kern w:val="2"/>
                <w:sz w:val="21"/>
                <w:szCs w:val="21"/>
                <w:highlight w:val="none"/>
                <w:lang w:val="en-US" w:eastAsia="zh-CN" w:bidi="ar-SA"/>
              </w:rPr>
              <w:t>1</w:t>
            </w:r>
          </w:p>
        </w:tc>
        <w:tc>
          <w:tcPr>
            <w:tcW w:w="1050" w:type="dxa"/>
            <w:tcBorders>
              <w:top w:val="single" w:color="auto" w:sz="4" w:space="0"/>
              <w:left w:val="single" w:color="auto" w:sz="4" w:space="0"/>
              <w:right w:val="single" w:color="auto" w:sz="4" w:space="0"/>
            </w:tcBorders>
            <w:vAlign w:val="center"/>
          </w:tcPr>
          <w:p w14:paraId="009D2C11">
            <w:pPr>
              <w:keepNext/>
              <w:keepLines/>
              <w:widowControl w:val="0"/>
              <w:suppressLineNumbers w:val="0"/>
              <w:spacing w:before="0" w:beforeAutospacing="0" w:after="0" w:afterAutospacing="0" w:line="240" w:lineRule="auto"/>
              <w:ind w:left="0" w:right="0"/>
              <w:jc w:val="center"/>
              <w:outlineLvl w:val="9"/>
              <w:rPr>
                <w:rFonts w:ascii="宋体" w:hAnsi="宋体" w:eastAsia="宋体" w:cs="宋体"/>
                <w:b w:val="0"/>
                <w:bCs/>
                <w:color w:val="auto"/>
                <w:kern w:val="2"/>
                <w:sz w:val="21"/>
                <w:szCs w:val="21"/>
                <w:highlight w:val="none"/>
                <w:lang w:val="en-US" w:eastAsia="zh-CN" w:bidi="ar-SA"/>
              </w:rPr>
            </w:pPr>
            <w:r>
              <w:rPr>
                <w:rFonts w:hint="eastAsia" w:ascii="宋体" w:hAnsi="宋体" w:eastAsia="宋体" w:cs="宋体"/>
                <w:b w:val="0"/>
                <w:bCs/>
                <w:color w:val="auto"/>
                <w:kern w:val="2"/>
                <w:sz w:val="21"/>
                <w:szCs w:val="21"/>
                <w:highlight w:val="none"/>
                <w:lang w:val="en-US" w:eastAsia="zh-CN" w:bidi="ar-SA"/>
              </w:rPr>
              <w:t>1.1.2.2</w:t>
            </w:r>
          </w:p>
        </w:tc>
        <w:tc>
          <w:tcPr>
            <w:tcW w:w="7350" w:type="dxa"/>
            <w:tcBorders>
              <w:top w:val="single" w:color="auto" w:sz="4" w:space="0"/>
              <w:left w:val="single" w:color="auto" w:sz="4" w:space="0"/>
              <w:right w:val="single" w:color="auto" w:sz="12" w:space="0"/>
            </w:tcBorders>
            <w:vAlign w:val="center"/>
          </w:tcPr>
          <w:p w14:paraId="4A30627F">
            <w:pPr>
              <w:keepNext/>
              <w:keepLines/>
              <w:widowControl w:val="0"/>
              <w:suppressLineNumbers w:val="0"/>
              <w:spacing w:before="0" w:beforeAutospacing="0" w:after="0" w:afterAutospacing="0" w:line="240" w:lineRule="auto"/>
              <w:ind w:left="63" w:leftChars="30" w:right="63" w:rightChars="30"/>
              <w:jc w:val="left"/>
              <w:outlineLvl w:val="9"/>
              <w:rPr>
                <w:rFonts w:ascii="宋体" w:hAnsi="宋体" w:eastAsia="宋体" w:cs="宋体"/>
                <w:b w:val="0"/>
                <w:bCs/>
                <w:color w:val="auto"/>
                <w:kern w:val="2"/>
                <w:sz w:val="21"/>
                <w:szCs w:val="21"/>
                <w:highlight w:val="none"/>
                <w:lang w:val="en-US" w:eastAsia="zh-CN" w:bidi="ar-SA"/>
              </w:rPr>
            </w:pPr>
            <w:r>
              <w:rPr>
                <w:rFonts w:hint="eastAsia" w:ascii="宋体" w:hAnsi="宋体" w:eastAsia="宋体" w:cs="宋体"/>
                <w:b w:val="0"/>
                <w:bCs/>
                <w:color w:val="auto"/>
                <w:kern w:val="2"/>
                <w:sz w:val="21"/>
                <w:szCs w:val="21"/>
                <w:highlight w:val="none"/>
                <w:lang w:val="en-US" w:eastAsia="zh-CN" w:bidi="ar-SA"/>
              </w:rPr>
              <w:t>发 包 人：</w:t>
            </w:r>
            <w:r>
              <w:rPr>
                <w:rFonts w:hint="eastAsia" w:ascii="宋体" w:hAnsi="宋体" w:eastAsia="宋体" w:cs="宋体"/>
                <w:b/>
                <w:bCs/>
                <w:color w:val="auto"/>
                <w:kern w:val="2"/>
                <w:sz w:val="21"/>
                <w:szCs w:val="21"/>
                <w:highlight w:val="none"/>
                <w:u w:val="single"/>
                <w:lang w:val="en-US" w:eastAsia="zh-CN" w:bidi="ar-SA"/>
              </w:rPr>
              <w:t xml:space="preserve">                                     </w:t>
            </w:r>
          </w:p>
          <w:p w14:paraId="216F8E96">
            <w:pPr>
              <w:keepNext/>
              <w:keepLines/>
              <w:widowControl w:val="0"/>
              <w:suppressLineNumbers w:val="0"/>
              <w:spacing w:before="0" w:beforeAutospacing="0" w:after="0" w:afterAutospacing="0" w:line="240" w:lineRule="auto"/>
              <w:ind w:left="63" w:leftChars="30" w:right="63" w:rightChars="30"/>
              <w:jc w:val="left"/>
              <w:outlineLvl w:val="9"/>
              <w:rPr>
                <w:rFonts w:ascii="宋体" w:hAnsi="宋体" w:eastAsia="宋体" w:cs="宋体"/>
                <w:b w:val="0"/>
                <w:bCs/>
                <w:color w:val="auto"/>
                <w:kern w:val="2"/>
                <w:sz w:val="21"/>
                <w:szCs w:val="21"/>
                <w:highlight w:val="none"/>
                <w:u w:val="single"/>
                <w:lang w:val="en-US" w:eastAsia="zh-CN" w:bidi="ar-SA"/>
              </w:rPr>
            </w:pPr>
            <w:r>
              <w:rPr>
                <w:rFonts w:hint="eastAsia" w:ascii="宋体" w:hAnsi="宋体" w:eastAsia="宋体" w:cs="宋体"/>
                <w:b w:val="0"/>
                <w:bCs/>
                <w:color w:val="auto"/>
                <w:kern w:val="2"/>
                <w:sz w:val="21"/>
                <w:szCs w:val="21"/>
                <w:highlight w:val="none"/>
                <w:lang w:val="en-US" w:eastAsia="zh-CN" w:bidi="ar-SA"/>
              </w:rPr>
              <w:t>地    址：</w:t>
            </w:r>
            <w:r>
              <w:rPr>
                <w:rFonts w:hint="eastAsia" w:ascii="宋体" w:hAnsi="宋体" w:eastAsia="宋体" w:cs="宋体"/>
                <w:b/>
                <w:bCs/>
                <w:color w:val="auto"/>
                <w:kern w:val="2"/>
                <w:sz w:val="21"/>
                <w:szCs w:val="21"/>
                <w:highlight w:val="none"/>
                <w:u w:val="single"/>
                <w:lang w:val="en-US" w:eastAsia="zh-CN" w:bidi="ar-SA"/>
              </w:rPr>
              <w:t xml:space="preserve">                                      </w:t>
            </w:r>
          </w:p>
          <w:p w14:paraId="7411D58E">
            <w:pPr>
              <w:keepNext/>
              <w:keepLines/>
              <w:widowControl w:val="0"/>
              <w:suppressLineNumbers w:val="0"/>
              <w:spacing w:before="0" w:beforeAutospacing="0" w:after="0" w:afterAutospacing="0" w:line="240" w:lineRule="auto"/>
              <w:ind w:left="63" w:leftChars="30" w:right="63" w:rightChars="30"/>
              <w:jc w:val="left"/>
              <w:outlineLvl w:val="9"/>
              <w:rPr>
                <w:rFonts w:ascii="宋体" w:hAnsi="宋体" w:eastAsia="宋体" w:cs="宋体"/>
                <w:b w:val="0"/>
                <w:bCs/>
                <w:color w:val="auto"/>
                <w:kern w:val="2"/>
                <w:sz w:val="21"/>
                <w:szCs w:val="21"/>
                <w:highlight w:val="none"/>
                <w:lang w:val="en-US" w:eastAsia="zh-CN" w:bidi="ar-SA"/>
              </w:rPr>
            </w:pPr>
            <w:r>
              <w:rPr>
                <w:rFonts w:hint="eastAsia" w:ascii="宋体" w:hAnsi="宋体" w:eastAsia="宋体" w:cs="宋体"/>
                <w:b w:val="0"/>
                <w:bCs/>
                <w:color w:val="auto"/>
                <w:kern w:val="2"/>
                <w:sz w:val="21"/>
                <w:szCs w:val="21"/>
                <w:highlight w:val="none"/>
                <w:lang w:val="en-US" w:eastAsia="zh-CN" w:bidi="ar-SA"/>
              </w:rPr>
              <w:t xml:space="preserve">邮政编码：    </w:t>
            </w:r>
          </w:p>
        </w:tc>
      </w:tr>
      <w:tr w14:paraId="475FE6D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28" w:type="dxa"/>
            <w:bottom w:w="57" w:type="dxa"/>
            <w:right w:w="28" w:type="dxa"/>
          </w:tblCellMar>
        </w:tblPrEx>
        <w:trPr>
          <w:cantSplit/>
          <w:trHeight w:val="90" w:hRule="atLeast"/>
        </w:trPr>
        <w:tc>
          <w:tcPr>
            <w:tcW w:w="738" w:type="dxa"/>
            <w:tcBorders>
              <w:top w:val="single" w:color="auto" w:sz="4" w:space="0"/>
              <w:left w:val="single" w:color="auto" w:sz="12" w:space="0"/>
              <w:right w:val="single" w:color="auto" w:sz="4" w:space="0"/>
            </w:tcBorders>
            <w:vAlign w:val="center"/>
          </w:tcPr>
          <w:p w14:paraId="6555AC53">
            <w:pPr>
              <w:keepNext/>
              <w:keepLines/>
              <w:widowControl w:val="0"/>
              <w:suppressLineNumbers w:val="0"/>
              <w:spacing w:before="0" w:beforeAutospacing="0" w:after="0" w:afterAutospacing="0" w:line="240" w:lineRule="auto"/>
              <w:ind w:left="0" w:right="0"/>
              <w:jc w:val="center"/>
              <w:outlineLvl w:val="9"/>
              <w:rPr>
                <w:rFonts w:ascii="宋体" w:hAnsi="宋体" w:eastAsia="宋体" w:cs="宋体"/>
                <w:b w:val="0"/>
                <w:bCs/>
                <w:color w:val="auto"/>
                <w:kern w:val="2"/>
                <w:sz w:val="21"/>
                <w:szCs w:val="21"/>
                <w:highlight w:val="none"/>
                <w:lang w:val="en-US" w:eastAsia="zh-CN" w:bidi="ar-SA"/>
              </w:rPr>
            </w:pPr>
            <w:r>
              <w:rPr>
                <w:rFonts w:hint="eastAsia" w:ascii="宋体" w:hAnsi="宋体" w:eastAsia="宋体" w:cs="宋体"/>
                <w:b w:val="0"/>
                <w:bCs/>
                <w:color w:val="auto"/>
                <w:kern w:val="2"/>
                <w:sz w:val="21"/>
                <w:szCs w:val="21"/>
                <w:highlight w:val="none"/>
                <w:lang w:val="en-US" w:eastAsia="zh-CN" w:bidi="ar-SA"/>
              </w:rPr>
              <w:t>2</w:t>
            </w:r>
          </w:p>
        </w:tc>
        <w:tc>
          <w:tcPr>
            <w:tcW w:w="1050" w:type="dxa"/>
            <w:tcBorders>
              <w:top w:val="single" w:color="auto" w:sz="4" w:space="0"/>
              <w:left w:val="single" w:color="auto" w:sz="4" w:space="0"/>
              <w:right w:val="single" w:color="auto" w:sz="4" w:space="0"/>
            </w:tcBorders>
            <w:vAlign w:val="center"/>
          </w:tcPr>
          <w:p w14:paraId="12005AC5">
            <w:pPr>
              <w:keepNext/>
              <w:keepLines/>
              <w:widowControl w:val="0"/>
              <w:suppressLineNumbers w:val="0"/>
              <w:spacing w:before="0" w:beforeAutospacing="0" w:after="0" w:afterAutospacing="0" w:line="240" w:lineRule="auto"/>
              <w:ind w:left="0" w:right="0"/>
              <w:jc w:val="center"/>
              <w:outlineLvl w:val="9"/>
              <w:rPr>
                <w:rFonts w:ascii="宋体" w:hAnsi="宋体" w:eastAsia="宋体" w:cs="宋体"/>
                <w:b w:val="0"/>
                <w:bCs/>
                <w:color w:val="auto"/>
                <w:kern w:val="2"/>
                <w:sz w:val="21"/>
                <w:szCs w:val="21"/>
                <w:highlight w:val="none"/>
                <w:lang w:val="en-US" w:eastAsia="zh-CN" w:bidi="ar-SA"/>
              </w:rPr>
            </w:pPr>
            <w:r>
              <w:rPr>
                <w:rFonts w:hint="eastAsia" w:ascii="宋体" w:hAnsi="宋体" w:eastAsia="宋体" w:cs="宋体"/>
                <w:b w:val="0"/>
                <w:bCs/>
                <w:color w:val="auto"/>
                <w:kern w:val="2"/>
                <w:sz w:val="21"/>
                <w:szCs w:val="21"/>
                <w:highlight w:val="none"/>
                <w:lang w:val="en-US" w:eastAsia="zh-CN" w:bidi="ar-SA"/>
              </w:rPr>
              <w:t>1.1.2.6</w:t>
            </w:r>
          </w:p>
        </w:tc>
        <w:tc>
          <w:tcPr>
            <w:tcW w:w="7350" w:type="dxa"/>
            <w:tcBorders>
              <w:top w:val="single" w:color="auto" w:sz="4" w:space="0"/>
              <w:left w:val="single" w:color="auto" w:sz="4" w:space="0"/>
              <w:right w:val="single" w:color="auto" w:sz="12" w:space="0"/>
            </w:tcBorders>
            <w:vAlign w:val="center"/>
          </w:tcPr>
          <w:p w14:paraId="7C065C24">
            <w:pPr>
              <w:keepNext/>
              <w:keepLines/>
              <w:widowControl w:val="0"/>
              <w:suppressLineNumbers w:val="0"/>
              <w:spacing w:before="0" w:beforeAutospacing="0" w:after="0" w:afterAutospacing="0" w:line="240" w:lineRule="auto"/>
              <w:ind w:left="63" w:leftChars="30" w:right="63" w:rightChars="30"/>
              <w:jc w:val="left"/>
              <w:outlineLvl w:val="9"/>
              <w:rPr>
                <w:rFonts w:ascii="宋体" w:hAnsi="宋体" w:eastAsia="宋体" w:cs="宋体"/>
                <w:b w:val="0"/>
                <w:bCs/>
                <w:color w:val="auto"/>
                <w:kern w:val="2"/>
                <w:sz w:val="21"/>
                <w:szCs w:val="21"/>
                <w:highlight w:val="none"/>
                <w:lang w:val="en-US" w:eastAsia="zh-CN" w:bidi="ar-SA"/>
              </w:rPr>
            </w:pPr>
            <w:r>
              <w:rPr>
                <w:rFonts w:hint="eastAsia" w:ascii="宋体" w:hAnsi="宋体" w:eastAsia="宋体" w:cs="宋体"/>
                <w:b w:val="0"/>
                <w:bCs/>
                <w:color w:val="auto"/>
                <w:kern w:val="2"/>
                <w:sz w:val="21"/>
                <w:szCs w:val="21"/>
                <w:highlight w:val="none"/>
                <w:lang w:val="en-US" w:eastAsia="zh-CN" w:bidi="ar-SA"/>
              </w:rPr>
              <w:t>监理人：签订合同后，通知承包人</w:t>
            </w:r>
          </w:p>
          <w:p w14:paraId="5D8D928D">
            <w:pPr>
              <w:keepNext/>
              <w:keepLines/>
              <w:widowControl w:val="0"/>
              <w:suppressLineNumbers w:val="0"/>
              <w:spacing w:before="0" w:beforeAutospacing="0" w:after="0" w:afterAutospacing="0" w:line="240" w:lineRule="auto"/>
              <w:ind w:left="63" w:leftChars="30" w:right="63" w:rightChars="30"/>
              <w:jc w:val="left"/>
              <w:outlineLvl w:val="9"/>
              <w:rPr>
                <w:rFonts w:ascii="宋体" w:hAnsi="宋体" w:eastAsia="宋体" w:cs="宋体"/>
                <w:b w:val="0"/>
                <w:bCs/>
                <w:color w:val="auto"/>
                <w:kern w:val="2"/>
                <w:sz w:val="21"/>
                <w:szCs w:val="21"/>
                <w:highlight w:val="none"/>
                <w:lang w:val="en-US" w:eastAsia="zh-CN" w:bidi="ar-SA"/>
              </w:rPr>
            </w:pPr>
            <w:r>
              <w:rPr>
                <w:rFonts w:hint="eastAsia" w:ascii="宋体" w:hAnsi="宋体" w:eastAsia="宋体" w:cs="宋体"/>
                <w:b w:val="0"/>
                <w:bCs/>
                <w:color w:val="auto"/>
                <w:kern w:val="2"/>
                <w:sz w:val="21"/>
                <w:szCs w:val="21"/>
                <w:highlight w:val="none"/>
                <w:lang w:val="en-US" w:eastAsia="zh-CN" w:bidi="ar-SA"/>
              </w:rPr>
              <w:t>地  址：                               邮政编码：</w:t>
            </w:r>
          </w:p>
        </w:tc>
      </w:tr>
      <w:tr w14:paraId="36FFFC3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28" w:type="dxa"/>
            <w:bottom w:w="57" w:type="dxa"/>
            <w:right w:w="28" w:type="dxa"/>
          </w:tblCellMar>
        </w:tblPrEx>
        <w:trPr>
          <w:cantSplit/>
          <w:trHeight w:val="340" w:hRule="atLeast"/>
        </w:trPr>
        <w:tc>
          <w:tcPr>
            <w:tcW w:w="738" w:type="dxa"/>
            <w:tcBorders>
              <w:top w:val="single" w:color="auto" w:sz="4" w:space="0"/>
              <w:left w:val="single" w:color="auto" w:sz="12" w:space="0"/>
              <w:right w:val="single" w:color="auto" w:sz="4" w:space="0"/>
            </w:tcBorders>
            <w:vAlign w:val="center"/>
          </w:tcPr>
          <w:p w14:paraId="12C2D5D0">
            <w:pPr>
              <w:keepNext/>
              <w:keepLines/>
              <w:widowControl w:val="0"/>
              <w:suppressLineNumbers w:val="0"/>
              <w:spacing w:before="0" w:beforeAutospacing="0" w:after="0" w:afterAutospacing="0" w:line="240" w:lineRule="auto"/>
              <w:ind w:left="0" w:right="0"/>
              <w:jc w:val="center"/>
              <w:outlineLvl w:val="9"/>
              <w:rPr>
                <w:rFonts w:ascii="宋体" w:hAnsi="宋体" w:eastAsia="宋体" w:cs="宋体"/>
                <w:b w:val="0"/>
                <w:bCs/>
                <w:color w:val="auto"/>
                <w:kern w:val="2"/>
                <w:sz w:val="21"/>
                <w:szCs w:val="21"/>
                <w:highlight w:val="none"/>
                <w:lang w:val="en-US" w:eastAsia="zh-CN" w:bidi="ar-SA"/>
              </w:rPr>
            </w:pPr>
            <w:r>
              <w:rPr>
                <w:rFonts w:hint="eastAsia" w:ascii="宋体" w:hAnsi="宋体" w:eastAsia="宋体" w:cs="宋体"/>
                <w:b w:val="0"/>
                <w:bCs/>
                <w:color w:val="auto"/>
                <w:kern w:val="2"/>
                <w:sz w:val="21"/>
                <w:szCs w:val="21"/>
                <w:highlight w:val="none"/>
                <w:lang w:val="en-US" w:eastAsia="zh-CN" w:bidi="ar-SA"/>
              </w:rPr>
              <w:t>3</w:t>
            </w:r>
          </w:p>
        </w:tc>
        <w:tc>
          <w:tcPr>
            <w:tcW w:w="1050" w:type="dxa"/>
            <w:tcBorders>
              <w:top w:val="single" w:color="auto" w:sz="4" w:space="0"/>
              <w:left w:val="single" w:color="auto" w:sz="4" w:space="0"/>
              <w:right w:val="single" w:color="auto" w:sz="4" w:space="0"/>
            </w:tcBorders>
            <w:vAlign w:val="center"/>
          </w:tcPr>
          <w:p w14:paraId="6DC5B756">
            <w:pPr>
              <w:keepNext/>
              <w:keepLines/>
              <w:widowControl w:val="0"/>
              <w:suppressLineNumbers w:val="0"/>
              <w:spacing w:before="0" w:beforeAutospacing="0" w:after="0" w:afterAutospacing="0" w:line="240" w:lineRule="auto"/>
              <w:ind w:left="0" w:right="0"/>
              <w:jc w:val="center"/>
              <w:outlineLvl w:val="9"/>
              <w:rPr>
                <w:rFonts w:ascii="宋体" w:hAnsi="宋体" w:eastAsia="宋体" w:cs="宋体"/>
                <w:b w:val="0"/>
                <w:bCs/>
                <w:color w:val="auto"/>
                <w:kern w:val="2"/>
                <w:sz w:val="21"/>
                <w:szCs w:val="21"/>
                <w:highlight w:val="none"/>
                <w:lang w:val="en-US" w:eastAsia="zh-CN" w:bidi="ar-SA"/>
              </w:rPr>
            </w:pPr>
            <w:r>
              <w:rPr>
                <w:rFonts w:hint="eastAsia" w:ascii="宋体" w:hAnsi="宋体" w:eastAsia="宋体" w:cs="宋体"/>
                <w:b w:val="0"/>
                <w:bCs/>
                <w:color w:val="auto"/>
                <w:kern w:val="2"/>
                <w:sz w:val="21"/>
                <w:szCs w:val="21"/>
                <w:highlight w:val="none"/>
                <w:lang w:val="en-US" w:eastAsia="zh-CN" w:bidi="ar-SA"/>
              </w:rPr>
              <w:t>1.1.4.5</w:t>
            </w:r>
          </w:p>
        </w:tc>
        <w:tc>
          <w:tcPr>
            <w:tcW w:w="7350" w:type="dxa"/>
            <w:tcBorders>
              <w:top w:val="single" w:color="auto" w:sz="4" w:space="0"/>
              <w:left w:val="single" w:color="auto" w:sz="4" w:space="0"/>
              <w:right w:val="single" w:color="auto" w:sz="12" w:space="0"/>
            </w:tcBorders>
            <w:vAlign w:val="center"/>
          </w:tcPr>
          <w:p w14:paraId="08D92C61">
            <w:pPr>
              <w:keepNext/>
              <w:keepLines/>
              <w:widowControl w:val="0"/>
              <w:suppressLineNumbers w:val="0"/>
              <w:spacing w:before="0" w:beforeAutospacing="0" w:after="0" w:afterAutospacing="0" w:line="240" w:lineRule="auto"/>
              <w:ind w:left="63" w:leftChars="30" w:right="63" w:rightChars="30"/>
              <w:jc w:val="left"/>
              <w:outlineLvl w:val="9"/>
              <w:rPr>
                <w:rFonts w:ascii="宋体" w:hAnsi="宋体" w:eastAsia="宋体" w:cs="宋体"/>
                <w:b w:val="0"/>
                <w:bCs/>
                <w:color w:val="auto"/>
                <w:kern w:val="2"/>
                <w:sz w:val="21"/>
                <w:szCs w:val="21"/>
                <w:highlight w:val="none"/>
                <w:lang w:val="en-US" w:eastAsia="zh-CN" w:bidi="ar-SA"/>
              </w:rPr>
            </w:pPr>
            <w:r>
              <w:rPr>
                <w:rFonts w:hint="eastAsia" w:ascii="宋体" w:hAnsi="宋体" w:eastAsia="宋体" w:cs="宋体"/>
                <w:b w:val="0"/>
                <w:bCs/>
                <w:color w:val="auto"/>
                <w:kern w:val="2"/>
                <w:sz w:val="21"/>
                <w:szCs w:val="21"/>
                <w:highlight w:val="none"/>
                <w:lang w:val="en-US" w:eastAsia="zh-CN" w:bidi="ar-SA"/>
              </w:rPr>
              <w:t>缺陷责任期：</w:t>
            </w:r>
            <w:r>
              <w:rPr>
                <w:rFonts w:hint="eastAsia"/>
                <w:lang w:val="en-US" w:eastAsia="zh-CN"/>
              </w:rPr>
              <w:t>：试运行期满至竣工验收通过之日</w:t>
            </w:r>
            <w:r>
              <w:rPr>
                <w:rFonts w:hint="eastAsia" w:ascii="宋体" w:hAnsi="宋体" w:eastAsia="宋体" w:cs="宋体"/>
                <w:b w:val="0"/>
                <w:bCs/>
                <w:color w:val="auto"/>
                <w:kern w:val="2"/>
                <w:sz w:val="21"/>
                <w:szCs w:val="21"/>
                <w:highlight w:val="none"/>
                <w:lang w:val="en-US" w:eastAsia="zh-CN" w:bidi="ar-SA"/>
              </w:rPr>
              <w:t>。</w:t>
            </w:r>
          </w:p>
        </w:tc>
      </w:tr>
      <w:tr w14:paraId="222AB4E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28" w:type="dxa"/>
            <w:bottom w:w="57" w:type="dxa"/>
            <w:right w:w="28" w:type="dxa"/>
          </w:tblCellMar>
        </w:tblPrEx>
        <w:trPr>
          <w:cantSplit/>
          <w:trHeight w:val="340" w:hRule="atLeast"/>
        </w:trPr>
        <w:tc>
          <w:tcPr>
            <w:tcW w:w="738" w:type="dxa"/>
            <w:tcBorders>
              <w:top w:val="single" w:color="auto" w:sz="4" w:space="0"/>
              <w:left w:val="single" w:color="auto" w:sz="12" w:space="0"/>
              <w:right w:val="single" w:color="auto" w:sz="4" w:space="0"/>
            </w:tcBorders>
            <w:vAlign w:val="center"/>
          </w:tcPr>
          <w:p w14:paraId="120F233D">
            <w:pPr>
              <w:keepNext/>
              <w:keepLines/>
              <w:widowControl w:val="0"/>
              <w:suppressLineNumbers w:val="0"/>
              <w:spacing w:before="0" w:beforeAutospacing="0" w:after="0" w:afterAutospacing="0" w:line="240" w:lineRule="auto"/>
              <w:ind w:left="0" w:right="0"/>
              <w:jc w:val="center"/>
              <w:outlineLvl w:val="9"/>
              <w:rPr>
                <w:rFonts w:ascii="宋体" w:hAnsi="宋体" w:eastAsia="宋体" w:cs="宋体"/>
                <w:b w:val="0"/>
                <w:bCs/>
                <w:color w:val="auto"/>
                <w:kern w:val="2"/>
                <w:sz w:val="21"/>
                <w:szCs w:val="21"/>
                <w:highlight w:val="none"/>
                <w:lang w:val="en-US" w:eastAsia="zh-CN" w:bidi="ar-SA"/>
              </w:rPr>
            </w:pPr>
            <w:r>
              <w:rPr>
                <w:rFonts w:hint="eastAsia" w:ascii="宋体" w:hAnsi="宋体" w:eastAsia="宋体" w:cs="宋体"/>
                <w:b w:val="0"/>
                <w:bCs/>
                <w:color w:val="auto"/>
                <w:kern w:val="2"/>
                <w:sz w:val="21"/>
                <w:szCs w:val="21"/>
                <w:highlight w:val="none"/>
                <w:lang w:val="en-US" w:eastAsia="zh-CN" w:bidi="ar-SA"/>
              </w:rPr>
              <w:t>4</w:t>
            </w:r>
          </w:p>
        </w:tc>
        <w:tc>
          <w:tcPr>
            <w:tcW w:w="1050" w:type="dxa"/>
            <w:tcBorders>
              <w:top w:val="single" w:color="auto" w:sz="4" w:space="0"/>
              <w:left w:val="single" w:color="auto" w:sz="4" w:space="0"/>
              <w:right w:val="single" w:color="auto" w:sz="4" w:space="0"/>
            </w:tcBorders>
            <w:vAlign w:val="center"/>
          </w:tcPr>
          <w:p w14:paraId="7D448C73">
            <w:pPr>
              <w:keepNext/>
              <w:keepLines/>
              <w:widowControl w:val="0"/>
              <w:suppressLineNumbers w:val="0"/>
              <w:spacing w:before="0" w:beforeAutospacing="0" w:after="0" w:afterAutospacing="0" w:line="240" w:lineRule="auto"/>
              <w:ind w:left="0" w:right="0"/>
              <w:jc w:val="center"/>
              <w:outlineLvl w:val="9"/>
              <w:rPr>
                <w:rFonts w:ascii="宋体" w:hAnsi="宋体" w:eastAsia="宋体" w:cs="宋体"/>
                <w:b w:val="0"/>
                <w:bCs/>
                <w:color w:val="auto"/>
                <w:kern w:val="2"/>
                <w:sz w:val="21"/>
                <w:szCs w:val="21"/>
                <w:highlight w:val="none"/>
                <w:lang w:val="en-US" w:eastAsia="zh-CN" w:bidi="ar-SA"/>
              </w:rPr>
            </w:pPr>
            <w:r>
              <w:rPr>
                <w:rFonts w:hint="eastAsia" w:ascii="宋体" w:hAnsi="宋体" w:eastAsia="宋体" w:cs="宋体"/>
                <w:b w:val="0"/>
                <w:bCs/>
                <w:color w:val="auto"/>
                <w:kern w:val="2"/>
                <w:sz w:val="21"/>
                <w:szCs w:val="21"/>
                <w:highlight w:val="none"/>
                <w:lang w:val="en-US" w:eastAsia="zh-CN" w:bidi="ar-SA"/>
              </w:rPr>
              <w:t>1.6.3</w:t>
            </w:r>
          </w:p>
        </w:tc>
        <w:tc>
          <w:tcPr>
            <w:tcW w:w="7350" w:type="dxa"/>
            <w:tcBorders>
              <w:top w:val="single" w:color="auto" w:sz="4" w:space="0"/>
              <w:left w:val="single" w:color="auto" w:sz="4" w:space="0"/>
              <w:right w:val="single" w:color="auto" w:sz="12" w:space="0"/>
            </w:tcBorders>
            <w:vAlign w:val="center"/>
          </w:tcPr>
          <w:p w14:paraId="3907F34B">
            <w:pPr>
              <w:keepNext/>
              <w:keepLines/>
              <w:widowControl w:val="0"/>
              <w:suppressLineNumbers w:val="0"/>
              <w:spacing w:before="0" w:beforeAutospacing="0" w:after="0" w:afterAutospacing="0" w:line="240" w:lineRule="auto"/>
              <w:ind w:left="63" w:leftChars="30" w:right="63" w:rightChars="30"/>
              <w:jc w:val="left"/>
              <w:outlineLvl w:val="9"/>
              <w:rPr>
                <w:rFonts w:ascii="宋体" w:hAnsi="宋体" w:eastAsia="宋体" w:cs="宋体"/>
                <w:b w:val="0"/>
                <w:bCs/>
                <w:color w:val="auto"/>
                <w:kern w:val="2"/>
                <w:sz w:val="21"/>
                <w:szCs w:val="21"/>
                <w:highlight w:val="none"/>
                <w:lang w:val="en-US" w:eastAsia="zh-CN" w:bidi="ar-SA"/>
              </w:rPr>
            </w:pPr>
            <w:r>
              <w:rPr>
                <w:rFonts w:hint="eastAsia" w:ascii="宋体" w:hAnsi="宋体" w:eastAsia="宋体" w:cs="宋体"/>
                <w:b w:val="0"/>
                <w:bCs/>
                <w:color w:val="auto"/>
                <w:kern w:val="2"/>
                <w:sz w:val="21"/>
                <w:szCs w:val="21"/>
                <w:highlight w:val="none"/>
                <w:lang w:val="en-US" w:eastAsia="zh-CN" w:bidi="ar-SA"/>
              </w:rPr>
              <w:t>图纸需要修改和补充的，应由监理人取得发包人同意后，在该工程或工程相应部位施工前</w:t>
            </w:r>
            <w:r>
              <w:rPr>
                <w:rFonts w:hint="eastAsia" w:ascii="宋体" w:hAnsi="宋体" w:eastAsia="宋体" w:cs="宋体"/>
                <w:b w:val="0"/>
                <w:bCs/>
                <w:color w:val="auto"/>
                <w:kern w:val="2"/>
                <w:sz w:val="21"/>
                <w:szCs w:val="21"/>
                <w:highlight w:val="none"/>
                <w:u w:val="single"/>
                <w:lang w:val="en-US" w:eastAsia="zh-CN" w:bidi="ar-SA"/>
              </w:rPr>
              <w:t>7</w:t>
            </w:r>
            <w:r>
              <w:rPr>
                <w:rFonts w:hint="eastAsia" w:ascii="宋体" w:hAnsi="宋体" w:eastAsia="宋体" w:cs="宋体"/>
                <w:b w:val="0"/>
                <w:bCs/>
                <w:color w:val="auto"/>
                <w:kern w:val="2"/>
                <w:sz w:val="21"/>
                <w:szCs w:val="21"/>
                <w:highlight w:val="none"/>
                <w:lang w:val="en-US" w:eastAsia="zh-CN" w:bidi="ar-SA"/>
              </w:rPr>
              <w:t>天内签发图纸修改图和补充图给承包人</w:t>
            </w:r>
          </w:p>
        </w:tc>
      </w:tr>
      <w:tr w14:paraId="6A1422E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28" w:type="dxa"/>
            <w:bottom w:w="57" w:type="dxa"/>
            <w:right w:w="28" w:type="dxa"/>
          </w:tblCellMar>
        </w:tblPrEx>
        <w:trPr>
          <w:cantSplit/>
          <w:trHeight w:val="572" w:hRule="atLeast"/>
        </w:trPr>
        <w:tc>
          <w:tcPr>
            <w:tcW w:w="738" w:type="dxa"/>
            <w:tcBorders>
              <w:top w:val="single" w:color="auto" w:sz="4" w:space="0"/>
              <w:left w:val="single" w:color="auto" w:sz="12" w:space="0"/>
              <w:right w:val="single" w:color="auto" w:sz="4" w:space="0"/>
            </w:tcBorders>
            <w:vAlign w:val="center"/>
          </w:tcPr>
          <w:p w14:paraId="1AF9BA99">
            <w:pPr>
              <w:keepNext/>
              <w:keepLines/>
              <w:widowControl w:val="0"/>
              <w:suppressLineNumbers w:val="0"/>
              <w:spacing w:before="0" w:beforeAutospacing="0" w:after="0" w:afterAutospacing="0" w:line="240" w:lineRule="auto"/>
              <w:ind w:left="0" w:right="0"/>
              <w:jc w:val="center"/>
              <w:outlineLvl w:val="9"/>
              <w:rPr>
                <w:rFonts w:ascii="宋体" w:hAnsi="宋体" w:eastAsia="宋体" w:cs="宋体"/>
                <w:b w:val="0"/>
                <w:bCs/>
                <w:color w:val="auto"/>
                <w:kern w:val="2"/>
                <w:sz w:val="21"/>
                <w:szCs w:val="21"/>
                <w:highlight w:val="none"/>
                <w:lang w:val="en-US" w:eastAsia="zh-CN" w:bidi="ar-SA"/>
              </w:rPr>
            </w:pPr>
            <w:r>
              <w:rPr>
                <w:rFonts w:hint="eastAsia" w:ascii="宋体" w:hAnsi="宋体" w:eastAsia="宋体" w:cs="宋体"/>
                <w:b w:val="0"/>
                <w:bCs/>
                <w:color w:val="auto"/>
                <w:kern w:val="2"/>
                <w:sz w:val="21"/>
                <w:szCs w:val="21"/>
                <w:highlight w:val="none"/>
                <w:lang w:val="en-US" w:eastAsia="zh-CN" w:bidi="ar-SA"/>
              </w:rPr>
              <w:t>5</w:t>
            </w:r>
          </w:p>
        </w:tc>
        <w:tc>
          <w:tcPr>
            <w:tcW w:w="1050" w:type="dxa"/>
            <w:tcBorders>
              <w:top w:val="single" w:color="auto" w:sz="4" w:space="0"/>
              <w:left w:val="single" w:color="auto" w:sz="4" w:space="0"/>
              <w:right w:val="single" w:color="auto" w:sz="4" w:space="0"/>
            </w:tcBorders>
            <w:vAlign w:val="center"/>
          </w:tcPr>
          <w:p w14:paraId="4D605BF5">
            <w:pPr>
              <w:keepNext/>
              <w:keepLines/>
              <w:widowControl w:val="0"/>
              <w:suppressLineNumbers w:val="0"/>
              <w:spacing w:before="0" w:beforeAutospacing="0" w:after="0" w:afterAutospacing="0" w:line="240" w:lineRule="auto"/>
              <w:ind w:left="0" w:right="0"/>
              <w:jc w:val="center"/>
              <w:outlineLvl w:val="9"/>
              <w:rPr>
                <w:rFonts w:ascii="宋体" w:hAnsi="宋体" w:eastAsia="宋体" w:cs="宋体"/>
                <w:b w:val="0"/>
                <w:bCs/>
                <w:color w:val="auto"/>
                <w:kern w:val="2"/>
                <w:sz w:val="21"/>
                <w:szCs w:val="21"/>
                <w:highlight w:val="none"/>
                <w:lang w:val="en-US" w:eastAsia="zh-CN" w:bidi="ar-SA"/>
              </w:rPr>
            </w:pPr>
            <w:r>
              <w:rPr>
                <w:rFonts w:hint="eastAsia" w:ascii="宋体" w:hAnsi="宋体" w:eastAsia="宋体" w:cs="宋体"/>
                <w:b w:val="0"/>
                <w:bCs/>
                <w:color w:val="auto"/>
                <w:kern w:val="2"/>
                <w:sz w:val="21"/>
                <w:szCs w:val="21"/>
                <w:highlight w:val="none"/>
                <w:lang w:val="en-US" w:eastAsia="zh-CN" w:bidi="ar-SA"/>
              </w:rPr>
              <w:t>3.1.1</w:t>
            </w:r>
          </w:p>
        </w:tc>
        <w:tc>
          <w:tcPr>
            <w:tcW w:w="7350" w:type="dxa"/>
            <w:tcBorders>
              <w:top w:val="single" w:color="auto" w:sz="4" w:space="0"/>
              <w:left w:val="single" w:color="auto" w:sz="4" w:space="0"/>
              <w:right w:val="single" w:color="auto" w:sz="12" w:space="0"/>
            </w:tcBorders>
            <w:vAlign w:val="center"/>
          </w:tcPr>
          <w:p w14:paraId="482290D8">
            <w:pPr>
              <w:keepNext/>
              <w:keepLines/>
              <w:widowControl w:val="0"/>
              <w:suppressLineNumbers w:val="0"/>
              <w:spacing w:before="0" w:beforeAutospacing="0" w:after="0" w:afterAutospacing="0" w:line="240" w:lineRule="auto"/>
              <w:ind w:left="63" w:leftChars="30" w:right="63" w:rightChars="30"/>
              <w:jc w:val="left"/>
              <w:outlineLvl w:val="9"/>
              <w:rPr>
                <w:rFonts w:ascii="宋体" w:hAnsi="宋体" w:eastAsia="宋体" w:cs="宋体"/>
                <w:b w:val="0"/>
                <w:bCs/>
                <w:color w:val="auto"/>
                <w:kern w:val="2"/>
                <w:sz w:val="21"/>
                <w:szCs w:val="21"/>
                <w:highlight w:val="none"/>
                <w:lang w:val="en-US" w:eastAsia="zh-CN" w:bidi="ar-SA"/>
              </w:rPr>
            </w:pPr>
            <w:r>
              <w:rPr>
                <w:rFonts w:hint="eastAsia" w:ascii="宋体" w:hAnsi="宋体" w:eastAsia="宋体" w:cs="宋体"/>
                <w:b w:val="0"/>
                <w:bCs/>
                <w:color w:val="auto"/>
                <w:kern w:val="2"/>
                <w:sz w:val="21"/>
                <w:szCs w:val="21"/>
                <w:highlight w:val="none"/>
                <w:lang w:val="en-US" w:eastAsia="zh-CN" w:bidi="ar-SA"/>
              </w:rPr>
              <w:t>监理人在行使下列权力前需经发包人事先批准：</w:t>
            </w:r>
          </w:p>
          <w:p w14:paraId="195FB023">
            <w:pPr>
              <w:keepNext/>
              <w:keepLines/>
              <w:widowControl w:val="0"/>
              <w:suppressLineNumbers w:val="0"/>
              <w:spacing w:before="0" w:beforeAutospacing="0" w:after="0" w:afterAutospacing="0" w:line="240" w:lineRule="auto"/>
              <w:ind w:left="63" w:leftChars="30" w:right="63" w:rightChars="30"/>
              <w:jc w:val="left"/>
              <w:outlineLvl w:val="9"/>
              <w:rPr>
                <w:rFonts w:ascii="宋体" w:hAnsi="宋体" w:eastAsia="宋体" w:cs="宋体"/>
                <w:b w:val="0"/>
                <w:bCs/>
                <w:color w:val="auto"/>
                <w:kern w:val="2"/>
                <w:sz w:val="21"/>
                <w:szCs w:val="21"/>
                <w:highlight w:val="none"/>
                <w:lang w:val="en-US" w:eastAsia="zh-CN" w:bidi="ar-SA"/>
              </w:rPr>
            </w:pPr>
            <w:r>
              <w:rPr>
                <w:rFonts w:hint="eastAsia" w:ascii="宋体" w:hAnsi="宋体" w:eastAsia="宋体" w:cs="宋体"/>
                <w:b w:val="0"/>
                <w:bCs/>
                <w:color w:val="auto"/>
                <w:kern w:val="2"/>
                <w:sz w:val="21"/>
                <w:szCs w:val="21"/>
                <w:highlight w:val="none"/>
                <w:lang w:val="en-US" w:eastAsia="zh-CN" w:bidi="ar-SA"/>
              </w:rPr>
              <w:t>（6）根据第15.3款发出的变更指示，所有涉及本项目的工程变更</w:t>
            </w:r>
          </w:p>
        </w:tc>
      </w:tr>
      <w:tr w14:paraId="58F4225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28" w:type="dxa"/>
            <w:bottom w:w="57" w:type="dxa"/>
            <w:right w:w="28" w:type="dxa"/>
          </w:tblCellMar>
        </w:tblPrEx>
        <w:trPr>
          <w:cantSplit/>
          <w:trHeight w:val="397" w:hRule="atLeast"/>
        </w:trPr>
        <w:tc>
          <w:tcPr>
            <w:tcW w:w="738" w:type="dxa"/>
            <w:tcBorders>
              <w:top w:val="single" w:color="auto" w:sz="4" w:space="0"/>
              <w:left w:val="single" w:color="auto" w:sz="12" w:space="0"/>
              <w:right w:val="single" w:color="auto" w:sz="4" w:space="0"/>
            </w:tcBorders>
            <w:vAlign w:val="center"/>
          </w:tcPr>
          <w:p w14:paraId="4DE15B9A">
            <w:pPr>
              <w:keepNext/>
              <w:keepLines/>
              <w:widowControl w:val="0"/>
              <w:suppressLineNumbers w:val="0"/>
              <w:spacing w:before="0" w:beforeAutospacing="0" w:after="0" w:afterAutospacing="0" w:line="240" w:lineRule="auto"/>
              <w:ind w:left="0" w:right="0"/>
              <w:jc w:val="center"/>
              <w:outlineLvl w:val="9"/>
              <w:rPr>
                <w:rFonts w:ascii="宋体" w:hAnsi="宋体" w:eastAsia="宋体" w:cs="宋体"/>
                <w:b w:val="0"/>
                <w:bCs/>
                <w:color w:val="auto"/>
                <w:kern w:val="2"/>
                <w:sz w:val="21"/>
                <w:szCs w:val="21"/>
                <w:highlight w:val="none"/>
                <w:lang w:val="en-US" w:eastAsia="zh-CN" w:bidi="ar-SA"/>
              </w:rPr>
            </w:pPr>
            <w:r>
              <w:rPr>
                <w:rFonts w:hint="eastAsia" w:ascii="宋体" w:hAnsi="宋体" w:eastAsia="宋体" w:cs="宋体"/>
                <w:b w:val="0"/>
                <w:bCs/>
                <w:color w:val="auto"/>
                <w:kern w:val="2"/>
                <w:sz w:val="21"/>
                <w:szCs w:val="21"/>
                <w:highlight w:val="none"/>
                <w:lang w:val="en-US" w:eastAsia="zh-CN" w:bidi="ar-SA"/>
              </w:rPr>
              <w:t>6</w:t>
            </w:r>
          </w:p>
        </w:tc>
        <w:tc>
          <w:tcPr>
            <w:tcW w:w="1050" w:type="dxa"/>
            <w:tcBorders>
              <w:top w:val="single" w:color="auto" w:sz="4" w:space="0"/>
              <w:left w:val="single" w:color="auto" w:sz="4" w:space="0"/>
              <w:right w:val="single" w:color="auto" w:sz="4" w:space="0"/>
            </w:tcBorders>
            <w:vAlign w:val="center"/>
          </w:tcPr>
          <w:p w14:paraId="112E896C">
            <w:pPr>
              <w:keepNext/>
              <w:keepLines/>
              <w:widowControl w:val="0"/>
              <w:suppressLineNumbers w:val="0"/>
              <w:spacing w:before="0" w:beforeAutospacing="0" w:after="0" w:afterAutospacing="0" w:line="240" w:lineRule="auto"/>
              <w:ind w:left="0" w:right="0"/>
              <w:jc w:val="center"/>
              <w:outlineLvl w:val="9"/>
              <w:rPr>
                <w:rFonts w:ascii="宋体" w:hAnsi="宋体" w:eastAsia="宋体" w:cs="宋体"/>
                <w:b w:val="0"/>
                <w:bCs/>
                <w:color w:val="auto"/>
                <w:kern w:val="2"/>
                <w:sz w:val="21"/>
                <w:szCs w:val="21"/>
                <w:highlight w:val="none"/>
                <w:lang w:val="en-US" w:eastAsia="zh-CN" w:bidi="ar-SA"/>
              </w:rPr>
            </w:pPr>
            <w:r>
              <w:rPr>
                <w:rFonts w:hint="eastAsia" w:ascii="宋体" w:hAnsi="宋体" w:eastAsia="宋体" w:cs="宋体"/>
                <w:b w:val="0"/>
                <w:bCs/>
                <w:color w:val="auto"/>
                <w:kern w:val="2"/>
                <w:sz w:val="21"/>
                <w:szCs w:val="21"/>
                <w:highlight w:val="none"/>
                <w:lang w:val="en-US" w:eastAsia="zh-CN" w:bidi="ar-SA"/>
              </w:rPr>
              <w:t>5.2.1</w:t>
            </w:r>
          </w:p>
        </w:tc>
        <w:tc>
          <w:tcPr>
            <w:tcW w:w="7350" w:type="dxa"/>
            <w:tcBorders>
              <w:top w:val="single" w:color="auto" w:sz="4" w:space="0"/>
              <w:left w:val="single" w:color="auto" w:sz="4" w:space="0"/>
              <w:right w:val="single" w:color="auto" w:sz="12" w:space="0"/>
            </w:tcBorders>
            <w:vAlign w:val="center"/>
          </w:tcPr>
          <w:p w14:paraId="6F2D9145">
            <w:pPr>
              <w:keepNext/>
              <w:keepLines/>
              <w:widowControl w:val="0"/>
              <w:suppressLineNumbers w:val="0"/>
              <w:spacing w:before="0" w:beforeAutospacing="0" w:after="0" w:afterAutospacing="0" w:line="240" w:lineRule="auto"/>
              <w:ind w:left="63" w:leftChars="30" w:right="63" w:rightChars="30"/>
              <w:jc w:val="left"/>
              <w:outlineLvl w:val="9"/>
              <w:rPr>
                <w:rFonts w:ascii="宋体" w:hAnsi="宋体" w:eastAsia="宋体" w:cs="宋体"/>
                <w:b w:val="0"/>
                <w:bCs/>
                <w:color w:val="auto"/>
                <w:kern w:val="2"/>
                <w:sz w:val="21"/>
                <w:szCs w:val="21"/>
                <w:highlight w:val="none"/>
                <w:lang w:val="en-US" w:eastAsia="zh-CN" w:bidi="ar-SA"/>
              </w:rPr>
            </w:pPr>
            <w:r>
              <w:rPr>
                <w:rFonts w:hint="eastAsia" w:ascii="宋体" w:hAnsi="宋体" w:eastAsia="宋体" w:cs="宋体"/>
                <w:b w:val="0"/>
                <w:bCs/>
                <w:color w:val="auto"/>
                <w:kern w:val="2"/>
                <w:sz w:val="21"/>
                <w:szCs w:val="21"/>
                <w:highlight w:val="none"/>
                <w:lang w:val="en-US" w:eastAsia="zh-CN" w:bidi="ar-SA"/>
              </w:rPr>
              <w:t>发包人是否提供材料或工程设备：</w:t>
            </w:r>
            <w:r>
              <w:rPr>
                <w:rFonts w:hint="eastAsia" w:ascii="宋体" w:hAnsi="宋体" w:eastAsia="宋体" w:cs="宋体"/>
                <w:b w:val="0"/>
                <w:bCs/>
                <w:color w:val="auto"/>
                <w:kern w:val="2"/>
                <w:sz w:val="21"/>
                <w:szCs w:val="21"/>
                <w:highlight w:val="none"/>
                <w:u w:val="single"/>
                <w:lang w:val="en-US" w:eastAsia="zh-CN" w:bidi="ar-SA"/>
              </w:rPr>
              <w:t>否</w:t>
            </w:r>
          </w:p>
        </w:tc>
      </w:tr>
      <w:tr w14:paraId="7E9F6DF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28" w:type="dxa"/>
            <w:bottom w:w="57" w:type="dxa"/>
            <w:right w:w="28" w:type="dxa"/>
          </w:tblCellMar>
        </w:tblPrEx>
        <w:trPr>
          <w:cantSplit/>
          <w:trHeight w:val="397" w:hRule="atLeast"/>
        </w:trPr>
        <w:tc>
          <w:tcPr>
            <w:tcW w:w="738" w:type="dxa"/>
            <w:tcBorders>
              <w:top w:val="single" w:color="auto" w:sz="4" w:space="0"/>
              <w:left w:val="single" w:color="auto" w:sz="12" w:space="0"/>
              <w:right w:val="single" w:color="auto" w:sz="4" w:space="0"/>
            </w:tcBorders>
            <w:vAlign w:val="center"/>
          </w:tcPr>
          <w:p w14:paraId="74AEC993">
            <w:pPr>
              <w:keepNext/>
              <w:keepLines/>
              <w:widowControl w:val="0"/>
              <w:suppressLineNumbers w:val="0"/>
              <w:spacing w:before="0" w:beforeAutospacing="0" w:after="0" w:afterAutospacing="0" w:line="240" w:lineRule="auto"/>
              <w:ind w:left="0" w:right="0"/>
              <w:jc w:val="center"/>
              <w:outlineLvl w:val="9"/>
              <w:rPr>
                <w:rFonts w:ascii="宋体" w:hAnsi="宋体" w:eastAsia="宋体" w:cs="宋体"/>
                <w:b w:val="0"/>
                <w:bCs/>
                <w:color w:val="auto"/>
                <w:kern w:val="2"/>
                <w:sz w:val="21"/>
                <w:szCs w:val="21"/>
                <w:highlight w:val="none"/>
                <w:lang w:val="en-US" w:eastAsia="zh-CN" w:bidi="ar-SA"/>
              </w:rPr>
            </w:pPr>
            <w:r>
              <w:rPr>
                <w:rFonts w:hint="eastAsia" w:ascii="宋体" w:hAnsi="宋体" w:eastAsia="宋体" w:cs="宋体"/>
                <w:b w:val="0"/>
                <w:bCs/>
                <w:color w:val="auto"/>
                <w:kern w:val="2"/>
                <w:sz w:val="21"/>
                <w:szCs w:val="21"/>
                <w:highlight w:val="none"/>
                <w:lang w:val="en-US" w:eastAsia="zh-CN" w:bidi="ar-SA"/>
              </w:rPr>
              <w:t>7</w:t>
            </w:r>
          </w:p>
        </w:tc>
        <w:tc>
          <w:tcPr>
            <w:tcW w:w="1050" w:type="dxa"/>
            <w:tcBorders>
              <w:top w:val="single" w:color="auto" w:sz="4" w:space="0"/>
              <w:left w:val="single" w:color="auto" w:sz="4" w:space="0"/>
              <w:right w:val="single" w:color="auto" w:sz="4" w:space="0"/>
            </w:tcBorders>
            <w:vAlign w:val="center"/>
          </w:tcPr>
          <w:p w14:paraId="1B58EF34">
            <w:pPr>
              <w:keepNext/>
              <w:keepLines/>
              <w:widowControl w:val="0"/>
              <w:suppressLineNumbers w:val="0"/>
              <w:spacing w:before="0" w:beforeAutospacing="0" w:after="0" w:afterAutospacing="0" w:line="240" w:lineRule="auto"/>
              <w:ind w:left="0" w:right="0"/>
              <w:jc w:val="center"/>
              <w:outlineLvl w:val="9"/>
              <w:rPr>
                <w:rFonts w:ascii="宋体" w:hAnsi="宋体" w:eastAsia="宋体" w:cs="宋体"/>
                <w:b w:val="0"/>
                <w:bCs/>
                <w:color w:val="auto"/>
                <w:kern w:val="2"/>
                <w:sz w:val="21"/>
                <w:szCs w:val="21"/>
                <w:highlight w:val="none"/>
                <w:lang w:val="en-US" w:eastAsia="zh-CN" w:bidi="ar-SA"/>
              </w:rPr>
            </w:pPr>
            <w:r>
              <w:rPr>
                <w:rFonts w:hint="eastAsia" w:ascii="宋体" w:hAnsi="宋体" w:eastAsia="宋体" w:cs="宋体"/>
                <w:b w:val="0"/>
                <w:bCs/>
                <w:color w:val="auto"/>
                <w:kern w:val="2"/>
                <w:sz w:val="21"/>
                <w:szCs w:val="21"/>
                <w:highlight w:val="none"/>
                <w:lang w:val="en-US" w:eastAsia="zh-CN" w:bidi="ar-SA"/>
              </w:rPr>
              <w:t>6.2</w:t>
            </w:r>
          </w:p>
        </w:tc>
        <w:tc>
          <w:tcPr>
            <w:tcW w:w="7350" w:type="dxa"/>
            <w:tcBorders>
              <w:top w:val="single" w:color="auto" w:sz="4" w:space="0"/>
              <w:left w:val="single" w:color="auto" w:sz="4" w:space="0"/>
              <w:right w:val="single" w:color="auto" w:sz="12" w:space="0"/>
            </w:tcBorders>
            <w:vAlign w:val="center"/>
          </w:tcPr>
          <w:p w14:paraId="72DE0B96">
            <w:pPr>
              <w:keepNext/>
              <w:keepLines/>
              <w:widowControl w:val="0"/>
              <w:suppressLineNumbers w:val="0"/>
              <w:spacing w:before="0" w:beforeAutospacing="0" w:after="0" w:afterAutospacing="0" w:line="240" w:lineRule="auto"/>
              <w:ind w:left="63" w:leftChars="30" w:right="63" w:rightChars="30"/>
              <w:jc w:val="left"/>
              <w:outlineLvl w:val="9"/>
              <w:rPr>
                <w:rFonts w:ascii="宋体" w:hAnsi="宋体" w:eastAsia="宋体" w:cs="宋体"/>
                <w:b w:val="0"/>
                <w:bCs/>
                <w:color w:val="auto"/>
                <w:kern w:val="2"/>
                <w:sz w:val="21"/>
                <w:szCs w:val="21"/>
                <w:highlight w:val="none"/>
                <w:lang w:val="en-US" w:eastAsia="zh-CN" w:bidi="ar-SA"/>
              </w:rPr>
            </w:pPr>
            <w:r>
              <w:rPr>
                <w:rFonts w:hint="eastAsia" w:ascii="宋体" w:hAnsi="宋体" w:eastAsia="宋体" w:cs="宋体"/>
                <w:b w:val="0"/>
                <w:bCs/>
                <w:color w:val="auto"/>
                <w:kern w:val="2"/>
                <w:sz w:val="21"/>
                <w:szCs w:val="21"/>
                <w:highlight w:val="none"/>
                <w:lang w:val="en-US" w:eastAsia="zh-CN" w:bidi="ar-SA"/>
              </w:rPr>
              <w:t>发包人是否提供施工设备和临时设施：</w:t>
            </w:r>
            <w:r>
              <w:rPr>
                <w:rFonts w:hint="eastAsia" w:ascii="宋体" w:hAnsi="宋体" w:eastAsia="宋体" w:cs="宋体"/>
                <w:b w:val="0"/>
                <w:bCs/>
                <w:color w:val="auto"/>
                <w:kern w:val="2"/>
                <w:sz w:val="21"/>
                <w:szCs w:val="21"/>
                <w:highlight w:val="none"/>
                <w:u w:val="single"/>
                <w:lang w:val="en-US" w:eastAsia="zh-CN" w:bidi="ar-SA"/>
              </w:rPr>
              <w:t>否</w:t>
            </w:r>
          </w:p>
        </w:tc>
      </w:tr>
      <w:tr w14:paraId="1867F81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28" w:type="dxa"/>
            <w:bottom w:w="57" w:type="dxa"/>
            <w:right w:w="28" w:type="dxa"/>
          </w:tblCellMar>
        </w:tblPrEx>
        <w:trPr>
          <w:cantSplit/>
          <w:trHeight w:val="1185" w:hRule="atLeast"/>
        </w:trPr>
        <w:tc>
          <w:tcPr>
            <w:tcW w:w="738" w:type="dxa"/>
            <w:tcBorders>
              <w:top w:val="single" w:color="auto" w:sz="4" w:space="0"/>
              <w:left w:val="single" w:color="auto" w:sz="12" w:space="0"/>
              <w:right w:val="single" w:color="auto" w:sz="4" w:space="0"/>
            </w:tcBorders>
            <w:vAlign w:val="center"/>
          </w:tcPr>
          <w:p w14:paraId="37C76A04">
            <w:pPr>
              <w:keepNext/>
              <w:keepLines/>
              <w:widowControl w:val="0"/>
              <w:suppressLineNumbers w:val="0"/>
              <w:spacing w:before="0" w:beforeAutospacing="0" w:after="0" w:afterAutospacing="0" w:line="240" w:lineRule="auto"/>
              <w:ind w:left="0" w:right="0"/>
              <w:jc w:val="center"/>
              <w:outlineLvl w:val="9"/>
              <w:rPr>
                <w:rFonts w:ascii="宋体" w:hAnsi="宋体" w:eastAsia="宋体" w:cs="宋体"/>
                <w:b w:val="0"/>
                <w:bCs/>
                <w:color w:val="auto"/>
                <w:kern w:val="2"/>
                <w:sz w:val="21"/>
                <w:szCs w:val="21"/>
                <w:highlight w:val="none"/>
                <w:lang w:val="en-US" w:eastAsia="zh-CN" w:bidi="ar-SA"/>
              </w:rPr>
            </w:pPr>
            <w:r>
              <w:rPr>
                <w:rFonts w:hint="eastAsia" w:ascii="宋体" w:hAnsi="宋体" w:eastAsia="宋体" w:cs="宋体"/>
                <w:b w:val="0"/>
                <w:bCs/>
                <w:color w:val="auto"/>
                <w:kern w:val="2"/>
                <w:sz w:val="21"/>
                <w:szCs w:val="21"/>
                <w:highlight w:val="none"/>
                <w:lang w:val="en-US" w:eastAsia="zh-CN" w:bidi="ar-SA"/>
              </w:rPr>
              <w:t>8</w:t>
            </w:r>
          </w:p>
        </w:tc>
        <w:tc>
          <w:tcPr>
            <w:tcW w:w="1050" w:type="dxa"/>
            <w:tcBorders>
              <w:top w:val="single" w:color="auto" w:sz="4" w:space="0"/>
              <w:left w:val="single" w:color="auto" w:sz="4" w:space="0"/>
              <w:right w:val="single" w:color="auto" w:sz="4" w:space="0"/>
            </w:tcBorders>
            <w:vAlign w:val="center"/>
          </w:tcPr>
          <w:p w14:paraId="1D05663F">
            <w:pPr>
              <w:keepNext/>
              <w:keepLines/>
              <w:widowControl w:val="0"/>
              <w:suppressLineNumbers w:val="0"/>
              <w:spacing w:before="0" w:beforeAutospacing="0" w:after="0" w:afterAutospacing="0" w:line="240" w:lineRule="auto"/>
              <w:ind w:left="0" w:right="0"/>
              <w:jc w:val="center"/>
              <w:outlineLvl w:val="9"/>
              <w:rPr>
                <w:rFonts w:ascii="宋体" w:hAnsi="宋体" w:eastAsia="宋体" w:cs="宋体"/>
                <w:b w:val="0"/>
                <w:bCs/>
                <w:color w:val="auto"/>
                <w:kern w:val="2"/>
                <w:sz w:val="21"/>
                <w:szCs w:val="21"/>
                <w:highlight w:val="none"/>
                <w:lang w:val="en-US" w:eastAsia="zh-CN" w:bidi="ar-SA"/>
              </w:rPr>
            </w:pPr>
            <w:r>
              <w:rPr>
                <w:rFonts w:hint="eastAsia" w:ascii="宋体" w:hAnsi="宋体" w:eastAsia="宋体" w:cs="宋体"/>
                <w:b w:val="0"/>
                <w:bCs/>
                <w:color w:val="auto"/>
                <w:kern w:val="2"/>
                <w:sz w:val="21"/>
                <w:szCs w:val="21"/>
                <w:highlight w:val="none"/>
                <w:lang w:val="en-US" w:eastAsia="zh-CN" w:bidi="ar-SA"/>
              </w:rPr>
              <w:t>8.1.1</w:t>
            </w:r>
          </w:p>
        </w:tc>
        <w:tc>
          <w:tcPr>
            <w:tcW w:w="7350" w:type="dxa"/>
            <w:tcBorders>
              <w:top w:val="single" w:color="auto" w:sz="4" w:space="0"/>
              <w:left w:val="single" w:color="auto" w:sz="4" w:space="0"/>
              <w:right w:val="single" w:color="auto" w:sz="12" w:space="0"/>
            </w:tcBorders>
            <w:vAlign w:val="center"/>
          </w:tcPr>
          <w:p w14:paraId="46D896A2">
            <w:pPr>
              <w:keepNext/>
              <w:keepLines/>
              <w:widowControl w:val="0"/>
              <w:suppressLineNumbers w:val="0"/>
              <w:spacing w:before="0" w:beforeAutospacing="0" w:after="0" w:afterAutospacing="0" w:line="240" w:lineRule="auto"/>
              <w:ind w:left="63" w:leftChars="30" w:right="63" w:rightChars="30"/>
              <w:jc w:val="left"/>
              <w:outlineLvl w:val="9"/>
              <w:rPr>
                <w:rFonts w:ascii="宋体" w:hAnsi="宋体" w:eastAsia="宋体" w:cs="宋体"/>
                <w:b w:val="0"/>
                <w:bCs/>
                <w:color w:val="auto"/>
                <w:kern w:val="2"/>
                <w:sz w:val="21"/>
                <w:szCs w:val="21"/>
                <w:highlight w:val="none"/>
                <w:lang w:val="en-US" w:eastAsia="zh-CN" w:bidi="ar-SA"/>
              </w:rPr>
            </w:pPr>
            <w:r>
              <w:rPr>
                <w:rFonts w:hint="eastAsia" w:ascii="宋体" w:hAnsi="宋体" w:eastAsia="宋体" w:cs="宋体"/>
                <w:b w:val="0"/>
                <w:bCs/>
                <w:color w:val="auto"/>
                <w:kern w:val="2"/>
                <w:sz w:val="21"/>
                <w:szCs w:val="21"/>
                <w:highlight w:val="none"/>
                <w:lang w:val="en-US" w:eastAsia="zh-CN" w:bidi="ar-SA"/>
              </w:rPr>
              <w:t>发包人提供测量基准点、基准线和水准点及其书面资料的期限：</w:t>
            </w:r>
            <w:r>
              <w:rPr>
                <w:rFonts w:hint="eastAsia" w:ascii="宋体" w:hAnsi="宋体" w:eastAsia="宋体" w:cs="宋体"/>
                <w:b w:val="0"/>
                <w:bCs/>
                <w:color w:val="auto"/>
                <w:kern w:val="2"/>
                <w:sz w:val="21"/>
                <w:szCs w:val="21"/>
                <w:highlight w:val="none"/>
                <w:u w:val="single"/>
                <w:lang w:val="en-US" w:eastAsia="zh-CN" w:bidi="ar-SA"/>
              </w:rPr>
              <w:t xml:space="preserve"> 在签订合同协议书后7天内</w:t>
            </w:r>
          </w:p>
          <w:p w14:paraId="64F3761F">
            <w:pPr>
              <w:keepNext/>
              <w:keepLines/>
              <w:widowControl w:val="0"/>
              <w:suppressLineNumbers w:val="0"/>
              <w:spacing w:before="0" w:beforeAutospacing="0" w:after="0" w:afterAutospacing="0" w:line="240" w:lineRule="auto"/>
              <w:ind w:left="63" w:leftChars="30" w:right="63" w:rightChars="30"/>
              <w:jc w:val="left"/>
              <w:outlineLvl w:val="9"/>
              <w:rPr>
                <w:rFonts w:ascii="宋体" w:hAnsi="宋体" w:eastAsia="宋体" w:cs="宋体"/>
                <w:b w:val="0"/>
                <w:bCs/>
                <w:color w:val="auto"/>
                <w:kern w:val="2"/>
                <w:sz w:val="21"/>
                <w:szCs w:val="21"/>
                <w:highlight w:val="none"/>
                <w:lang w:val="en-US" w:eastAsia="zh-CN" w:bidi="ar-SA"/>
              </w:rPr>
            </w:pPr>
            <w:r>
              <w:rPr>
                <w:rFonts w:hint="eastAsia" w:ascii="宋体" w:hAnsi="宋体" w:eastAsia="宋体" w:cs="宋体"/>
                <w:b w:val="0"/>
                <w:bCs/>
                <w:color w:val="auto"/>
                <w:kern w:val="2"/>
                <w:sz w:val="21"/>
                <w:szCs w:val="21"/>
                <w:highlight w:val="none"/>
                <w:lang w:val="en-US" w:eastAsia="zh-CN" w:bidi="ar-SA"/>
              </w:rPr>
              <w:t>承包人将施工控制网资料报送监理人审批的期限：</w:t>
            </w:r>
            <w:r>
              <w:rPr>
                <w:rFonts w:hint="eastAsia" w:ascii="宋体" w:hAnsi="宋体" w:eastAsia="宋体" w:cs="宋体"/>
                <w:b w:val="0"/>
                <w:bCs/>
                <w:color w:val="auto"/>
                <w:kern w:val="2"/>
                <w:sz w:val="21"/>
                <w:szCs w:val="21"/>
                <w:highlight w:val="none"/>
                <w:u w:val="single"/>
                <w:lang w:val="en-US" w:eastAsia="zh-CN" w:bidi="ar-SA"/>
              </w:rPr>
              <w:t xml:space="preserve"> 在收到发包人提供的上述资料后28天内</w:t>
            </w:r>
          </w:p>
        </w:tc>
      </w:tr>
      <w:tr w14:paraId="1965F8F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28" w:type="dxa"/>
            <w:bottom w:w="57" w:type="dxa"/>
            <w:right w:w="28" w:type="dxa"/>
          </w:tblCellMar>
        </w:tblPrEx>
        <w:trPr>
          <w:cantSplit/>
          <w:trHeight w:val="397" w:hRule="atLeast"/>
        </w:trPr>
        <w:tc>
          <w:tcPr>
            <w:tcW w:w="738" w:type="dxa"/>
            <w:tcBorders>
              <w:top w:val="single" w:color="auto" w:sz="4" w:space="0"/>
              <w:left w:val="single" w:color="auto" w:sz="12" w:space="0"/>
              <w:right w:val="single" w:color="auto" w:sz="4" w:space="0"/>
            </w:tcBorders>
            <w:vAlign w:val="center"/>
          </w:tcPr>
          <w:p w14:paraId="2C5B72B2">
            <w:pPr>
              <w:keepNext/>
              <w:keepLines/>
              <w:widowControl w:val="0"/>
              <w:suppressLineNumbers w:val="0"/>
              <w:spacing w:before="0" w:beforeAutospacing="0" w:after="0" w:afterAutospacing="0" w:line="240" w:lineRule="auto"/>
              <w:ind w:left="0" w:right="0"/>
              <w:jc w:val="center"/>
              <w:outlineLvl w:val="9"/>
              <w:rPr>
                <w:rFonts w:ascii="宋体" w:hAnsi="宋体" w:eastAsia="宋体" w:cs="宋体"/>
                <w:b w:val="0"/>
                <w:bCs/>
                <w:color w:val="auto"/>
                <w:kern w:val="2"/>
                <w:sz w:val="21"/>
                <w:szCs w:val="21"/>
                <w:highlight w:val="none"/>
                <w:lang w:val="en-US" w:eastAsia="zh-CN" w:bidi="ar-SA"/>
              </w:rPr>
            </w:pPr>
            <w:r>
              <w:rPr>
                <w:rFonts w:hint="eastAsia" w:ascii="宋体" w:hAnsi="宋体" w:eastAsia="宋体" w:cs="宋体"/>
                <w:b w:val="0"/>
                <w:bCs/>
                <w:color w:val="auto"/>
                <w:kern w:val="2"/>
                <w:sz w:val="21"/>
                <w:szCs w:val="21"/>
                <w:highlight w:val="none"/>
                <w:lang w:val="en-US" w:eastAsia="zh-CN" w:bidi="ar-SA"/>
              </w:rPr>
              <w:t>9</w:t>
            </w:r>
          </w:p>
        </w:tc>
        <w:tc>
          <w:tcPr>
            <w:tcW w:w="1050" w:type="dxa"/>
            <w:tcBorders>
              <w:top w:val="single" w:color="auto" w:sz="4" w:space="0"/>
              <w:left w:val="single" w:color="auto" w:sz="4" w:space="0"/>
              <w:right w:val="single" w:color="auto" w:sz="4" w:space="0"/>
            </w:tcBorders>
            <w:vAlign w:val="center"/>
          </w:tcPr>
          <w:p w14:paraId="19D06650">
            <w:pPr>
              <w:keepNext/>
              <w:keepLines/>
              <w:widowControl w:val="0"/>
              <w:suppressLineNumbers w:val="0"/>
              <w:spacing w:before="0" w:beforeAutospacing="0" w:after="0" w:afterAutospacing="0" w:line="240" w:lineRule="auto"/>
              <w:ind w:left="0" w:right="0"/>
              <w:jc w:val="center"/>
              <w:outlineLvl w:val="9"/>
              <w:rPr>
                <w:rFonts w:ascii="宋体" w:hAnsi="宋体" w:eastAsia="宋体" w:cs="宋体"/>
                <w:b w:val="0"/>
                <w:bCs/>
                <w:color w:val="auto"/>
                <w:kern w:val="2"/>
                <w:sz w:val="21"/>
                <w:szCs w:val="21"/>
                <w:highlight w:val="none"/>
                <w:lang w:val="en-US" w:eastAsia="zh-CN" w:bidi="ar-SA"/>
              </w:rPr>
            </w:pPr>
            <w:r>
              <w:rPr>
                <w:rFonts w:hint="eastAsia" w:ascii="宋体" w:hAnsi="宋体" w:eastAsia="宋体" w:cs="宋体"/>
                <w:b w:val="0"/>
                <w:bCs/>
                <w:color w:val="auto"/>
                <w:kern w:val="2"/>
                <w:sz w:val="21"/>
                <w:szCs w:val="21"/>
                <w:highlight w:val="none"/>
                <w:lang w:val="en-US" w:eastAsia="zh-CN" w:bidi="ar-SA"/>
              </w:rPr>
              <w:t>11.5（3）</w:t>
            </w:r>
          </w:p>
        </w:tc>
        <w:tc>
          <w:tcPr>
            <w:tcW w:w="7350" w:type="dxa"/>
            <w:tcBorders>
              <w:top w:val="single" w:color="auto" w:sz="4" w:space="0"/>
              <w:left w:val="single" w:color="auto" w:sz="4" w:space="0"/>
              <w:right w:val="single" w:color="auto" w:sz="12" w:space="0"/>
            </w:tcBorders>
            <w:vAlign w:val="center"/>
          </w:tcPr>
          <w:p w14:paraId="25835806">
            <w:pPr>
              <w:keepNext/>
              <w:keepLines/>
              <w:widowControl w:val="0"/>
              <w:suppressLineNumbers w:val="0"/>
              <w:spacing w:before="0" w:beforeAutospacing="0" w:after="0" w:afterAutospacing="0" w:line="240" w:lineRule="auto"/>
              <w:ind w:left="63" w:leftChars="30" w:right="63" w:rightChars="30"/>
              <w:jc w:val="left"/>
              <w:outlineLvl w:val="9"/>
              <w:rPr>
                <w:rFonts w:ascii="宋体" w:hAnsi="宋体" w:eastAsia="宋体" w:cs="宋体"/>
                <w:b w:val="0"/>
                <w:bCs/>
                <w:color w:val="auto"/>
                <w:kern w:val="2"/>
                <w:sz w:val="21"/>
                <w:szCs w:val="21"/>
                <w:highlight w:val="none"/>
                <w:lang w:val="en-US" w:eastAsia="zh-CN" w:bidi="ar-SA"/>
              </w:rPr>
            </w:pPr>
            <w:r>
              <w:rPr>
                <w:rFonts w:hint="eastAsia" w:ascii="宋体" w:hAnsi="宋体" w:eastAsia="宋体" w:cs="宋体"/>
                <w:b w:val="0"/>
                <w:bCs/>
                <w:color w:val="auto"/>
                <w:kern w:val="2"/>
                <w:sz w:val="21"/>
                <w:szCs w:val="21"/>
                <w:highlight w:val="none"/>
                <w:lang w:val="en-US" w:eastAsia="zh-CN" w:bidi="ar-SA"/>
              </w:rPr>
              <w:t>逾期交工违约金：</w:t>
            </w:r>
            <w:r>
              <w:rPr>
                <w:rFonts w:hint="eastAsia" w:ascii="宋体" w:hAnsi="宋体" w:eastAsia="宋体" w:cs="宋体"/>
                <w:b w:val="0"/>
                <w:bCs/>
                <w:color w:val="auto"/>
                <w:kern w:val="2"/>
                <w:sz w:val="21"/>
                <w:szCs w:val="21"/>
                <w:highlight w:val="none"/>
                <w:u w:val="single"/>
                <w:lang w:val="en-US" w:eastAsia="zh-CN" w:bidi="ar-SA"/>
              </w:rPr>
              <w:t xml:space="preserve"> </w:t>
            </w:r>
            <w:r>
              <w:rPr>
                <w:rFonts w:hint="eastAsia" w:ascii="宋体" w:hAnsi="宋体" w:eastAsia="宋体" w:cs="宋体"/>
                <w:b/>
                <w:bCs/>
                <w:color w:val="auto"/>
                <w:kern w:val="2"/>
                <w:sz w:val="21"/>
                <w:szCs w:val="21"/>
                <w:highlight w:val="none"/>
                <w:u w:val="single"/>
                <w:lang w:val="en-US" w:eastAsia="zh-CN" w:bidi="ar-SA"/>
              </w:rPr>
              <w:t>5000</w:t>
            </w:r>
            <w:r>
              <w:rPr>
                <w:rFonts w:hint="eastAsia" w:ascii="宋体" w:hAnsi="宋体" w:eastAsia="宋体" w:cs="宋体"/>
                <w:b w:val="0"/>
                <w:bCs/>
                <w:color w:val="auto"/>
                <w:kern w:val="2"/>
                <w:sz w:val="21"/>
                <w:szCs w:val="21"/>
                <w:highlight w:val="none"/>
                <w:u w:val="single"/>
                <w:lang w:val="en-US" w:eastAsia="zh-CN" w:bidi="ar-SA"/>
              </w:rPr>
              <w:t xml:space="preserve"> </w:t>
            </w:r>
            <w:r>
              <w:rPr>
                <w:rFonts w:hint="eastAsia" w:ascii="宋体" w:hAnsi="宋体" w:eastAsia="宋体" w:cs="宋体"/>
                <w:b w:val="0"/>
                <w:bCs/>
                <w:color w:val="auto"/>
                <w:kern w:val="2"/>
                <w:sz w:val="21"/>
                <w:szCs w:val="21"/>
                <w:highlight w:val="none"/>
                <w:lang w:val="en-US" w:eastAsia="zh-CN" w:bidi="ar-SA"/>
              </w:rPr>
              <w:t>元/天</w:t>
            </w:r>
            <w:r>
              <w:rPr>
                <w:rFonts w:ascii="Times New Roman" w:hAnsi="Times New Roman" w:eastAsia="宋体" w:cs="Times New Roman"/>
                <w:b/>
                <w:bCs/>
                <w:color w:val="auto"/>
                <w:kern w:val="2"/>
                <w:sz w:val="21"/>
                <w:szCs w:val="21"/>
                <w:highlight w:val="none"/>
                <w:vertAlign w:val="superscript"/>
                <w:lang w:val="en-US" w:eastAsia="zh-CN" w:bidi="ar-SA"/>
              </w:rPr>
              <w:footnoteReference w:id="0"/>
            </w:r>
          </w:p>
        </w:tc>
      </w:tr>
      <w:tr w14:paraId="727BE8C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28" w:type="dxa"/>
            <w:bottom w:w="57" w:type="dxa"/>
            <w:right w:w="28" w:type="dxa"/>
          </w:tblCellMar>
        </w:tblPrEx>
        <w:trPr>
          <w:cantSplit/>
          <w:trHeight w:val="397" w:hRule="atLeast"/>
        </w:trPr>
        <w:tc>
          <w:tcPr>
            <w:tcW w:w="738" w:type="dxa"/>
            <w:tcBorders>
              <w:top w:val="single" w:color="auto" w:sz="4" w:space="0"/>
              <w:left w:val="single" w:color="auto" w:sz="12" w:space="0"/>
              <w:right w:val="single" w:color="auto" w:sz="4" w:space="0"/>
            </w:tcBorders>
            <w:vAlign w:val="center"/>
          </w:tcPr>
          <w:p w14:paraId="05576A84">
            <w:pPr>
              <w:keepNext/>
              <w:keepLines/>
              <w:widowControl w:val="0"/>
              <w:suppressLineNumbers w:val="0"/>
              <w:spacing w:before="0" w:beforeAutospacing="0" w:after="0" w:afterAutospacing="0" w:line="240" w:lineRule="auto"/>
              <w:ind w:left="0" w:right="0"/>
              <w:jc w:val="center"/>
              <w:outlineLvl w:val="9"/>
              <w:rPr>
                <w:rFonts w:ascii="宋体" w:hAnsi="宋体" w:eastAsia="宋体" w:cs="宋体"/>
                <w:b w:val="0"/>
                <w:bCs/>
                <w:color w:val="auto"/>
                <w:kern w:val="2"/>
                <w:sz w:val="21"/>
                <w:szCs w:val="21"/>
                <w:highlight w:val="none"/>
                <w:lang w:val="en-US" w:eastAsia="zh-CN" w:bidi="ar-SA"/>
              </w:rPr>
            </w:pPr>
            <w:r>
              <w:rPr>
                <w:rFonts w:hint="eastAsia" w:ascii="宋体" w:hAnsi="宋体" w:eastAsia="宋体" w:cs="宋体"/>
                <w:b w:val="0"/>
                <w:bCs/>
                <w:color w:val="auto"/>
                <w:kern w:val="2"/>
                <w:sz w:val="21"/>
                <w:szCs w:val="21"/>
                <w:highlight w:val="none"/>
                <w:lang w:val="en-US" w:eastAsia="zh-CN" w:bidi="ar-SA"/>
              </w:rPr>
              <w:t>10</w:t>
            </w:r>
          </w:p>
        </w:tc>
        <w:tc>
          <w:tcPr>
            <w:tcW w:w="1050" w:type="dxa"/>
            <w:tcBorders>
              <w:top w:val="single" w:color="auto" w:sz="4" w:space="0"/>
              <w:left w:val="single" w:color="auto" w:sz="4" w:space="0"/>
              <w:right w:val="single" w:color="auto" w:sz="4" w:space="0"/>
            </w:tcBorders>
            <w:vAlign w:val="center"/>
          </w:tcPr>
          <w:p w14:paraId="1774CB70">
            <w:pPr>
              <w:keepNext/>
              <w:keepLines/>
              <w:widowControl w:val="0"/>
              <w:suppressLineNumbers w:val="0"/>
              <w:spacing w:before="0" w:beforeAutospacing="0" w:after="0" w:afterAutospacing="0" w:line="240" w:lineRule="auto"/>
              <w:ind w:left="0" w:right="0"/>
              <w:jc w:val="center"/>
              <w:outlineLvl w:val="9"/>
              <w:rPr>
                <w:rFonts w:ascii="宋体" w:hAnsi="宋体" w:eastAsia="宋体" w:cs="宋体"/>
                <w:b w:val="0"/>
                <w:bCs/>
                <w:color w:val="auto"/>
                <w:kern w:val="2"/>
                <w:sz w:val="21"/>
                <w:szCs w:val="21"/>
                <w:highlight w:val="none"/>
                <w:lang w:val="en-US" w:eastAsia="zh-CN" w:bidi="ar-SA"/>
              </w:rPr>
            </w:pPr>
            <w:r>
              <w:rPr>
                <w:rFonts w:hint="eastAsia" w:ascii="宋体" w:hAnsi="宋体" w:eastAsia="宋体" w:cs="宋体"/>
                <w:b w:val="0"/>
                <w:bCs/>
                <w:color w:val="auto"/>
                <w:kern w:val="2"/>
                <w:sz w:val="21"/>
                <w:szCs w:val="21"/>
                <w:highlight w:val="none"/>
                <w:lang w:val="en-US" w:eastAsia="zh-CN" w:bidi="ar-SA"/>
              </w:rPr>
              <w:t>11.5（3）</w:t>
            </w:r>
          </w:p>
        </w:tc>
        <w:tc>
          <w:tcPr>
            <w:tcW w:w="7350" w:type="dxa"/>
            <w:tcBorders>
              <w:top w:val="single" w:color="auto" w:sz="4" w:space="0"/>
              <w:left w:val="single" w:color="auto" w:sz="4" w:space="0"/>
              <w:right w:val="single" w:color="auto" w:sz="12" w:space="0"/>
            </w:tcBorders>
            <w:vAlign w:val="center"/>
          </w:tcPr>
          <w:p w14:paraId="78381167">
            <w:pPr>
              <w:keepNext/>
              <w:keepLines/>
              <w:widowControl w:val="0"/>
              <w:suppressLineNumbers w:val="0"/>
              <w:spacing w:before="0" w:beforeAutospacing="0" w:after="0" w:afterAutospacing="0" w:line="240" w:lineRule="auto"/>
              <w:ind w:left="63" w:leftChars="30" w:right="63" w:rightChars="30"/>
              <w:jc w:val="left"/>
              <w:outlineLvl w:val="9"/>
              <w:rPr>
                <w:rFonts w:ascii="宋体" w:hAnsi="宋体" w:eastAsia="宋体" w:cs="宋体"/>
                <w:b w:val="0"/>
                <w:bCs/>
                <w:color w:val="auto"/>
                <w:kern w:val="2"/>
                <w:sz w:val="21"/>
                <w:szCs w:val="21"/>
                <w:highlight w:val="none"/>
                <w:lang w:val="en-US" w:eastAsia="zh-CN" w:bidi="ar-SA"/>
              </w:rPr>
            </w:pPr>
            <w:r>
              <w:rPr>
                <w:rFonts w:hint="eastAsia" w:ascii="宋体" w:hAnsi="宋体" w:eastAsia="宋体" w:cs="宋体"/>
                <w:b w:val="0"/>
                <w:bCs/>
                <w:color w:val="auto"/>
                <w:kern w:val="2"/>
                <w:sz w:val="21"/>
                <w:szCs w:val="21"/>
                <w:highlight w:val="none"/>
                <w:lang w:val="en-US" w:eastAsia="zh-CN" w:bidi="ar-SA"/>
              </w:rPr>
              <w:t>逾期交工违约金限额：</w:t>
            </w:r>
            <w:r>
              <w:rPr>
                <w:rFonts w:hint="eastAsia" w:ascii="宋体" w:hAnsi="宋体" w:eastAsia="宋体" w:cs="宋体"/>
                <w:b w:val="0"/>
                <w:bCs/>
                <w:color w:val="auto"/>
                <w:kern w:val="2"/>
                <w:sz w:val="21"/>
                <w:szCs w:val="21"/>
                <w:highlight w:val="none"/>
                <w:u w:val="single"/>
                <w:lang w:val="en-US" w:eastAsia="zh-CN" w:bidi="ar-SA"/>
              </w:rPr>
              <w:t xml:space="preserve"> 10 </w:t>
            </w:r>
            <w:r>
              <w:rPr>
                <w:rFonts w:hint="eastAsia" w:ascii="宋体" w:hAnsi="宋体" w:eastAsia="宋体" w:cs="宋体"/>
                <w:b w:val="0"/>
                <w:bCs/>
                <w:color w:val="auto"/>
                <w:kern w:val="2"/>
                <w:sz w:val="21"/>
                <w:szCs w:val="21"/>
                <w:highlight w:val="none"/>
                <w:lang w:val="en-US" w:eastAsia="zh-CN" w:bidi="ar-SA"/>
              </w:rPr>
              <w:t>％签约合同价</w:t>
            </w:r>
          </w:p>
        </w:tc>
      </w:tr>
      <w:tr w14:paraId="730A181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28" w:type="dxa"/>
            <w:bottom w:w="57" w:type="dxa"/>
            <w:right w:w="28" w:type="dxa"/>
          </w:tblCellMar>
        </w:tblPrEx>
        <w:trPr>
          <w:cantSplit/>
          <w:trHeight w:val="397" w:hRule="atLeast"/>
        </w:trPr>
        <w:tc>
          <w:tcPr>
            <w:tcW w:w="738" w:type="dxa"/>
            <w:tcBorders>
              <w:top w:val="single" w:color="auto" w:sz="4" w:space="0"/>
              <w:left w:val="single" w:color="auto" w:sz="12" w:space="0"/>
              <w:right w:val="single" w:color="auto" w:sz="4" w:space="0"/>
            </w:tcBorders>
            <w:vAlign w:val="center"/>
          </w:tcPr>
          <w:p w14:paraId="58CC9D12">
            <w:pPr>
              <w:keepNext/>
              <w:keepLines/>
              <w:widowControl w:val="0"/>
              <w:suppressLineNumbers w:val="0"/>
              <w:spacing w:before="0" w:beforeAutospacing="0" w:after="0" w:afterAutospacing="0" w:line="240" w:lineRule="auto"/>
              <w:ind w:left="0" w:right="0"/>
              <w:jc w:val="center"/>
              <w:outlineLvl w:val="9"/>
              <w:rPr>
                <w:rFonts w:ascii="宋体" w:hAnsi="宋体" w:eastAsia="宋体" w:cs="宋体"/>
                <w:b w:val="0"/>
                <w:bCs/>
                <w:color w:val="auto"/>
                <w:kern w:val="2"/>
                <w:sz w:val="21"/>
                <w:szCs w:val="21"/>
                <w:highlight w:val="none"/>
                <w:lang w:val="en-US" w:eastAsia="zh-CN" w:bidi="ar-SA"/>
              </w:rPr>
            </w:pPr>
            <w:r>
              <w:rPr>
                <w:rFonts w:hint="eastAsia" w:ascii="宋体" w:hAnsi="宋体" w:eastAsia="宋体" w:cs="宋体"/>
                <w:b w:val="0"/>
                <w:bCs/>
                <w:color w:val="auto"/>
                <w:kern w:val="2"/>
                <w:sz w:val="21"/>
                <w:szCs w:val="21"/>
                <w:highlight w:val="none"/>
                <w:lang w:val="en-US" w:eastAsia="zh-CN" w:bidi="ar-SA"/>
              </w:rPr>
              <w:t>11</w:t>
            </w:r>
          </w:p>
        </w:tc>
        <w:tc>
          <w:tcPr>
            <w:tcW w:w="1050" w:type="dxa"/>
            <w:tcBorders>
              <w:top w:val="single" w:color="auto" w:sz="4" w:space="0"/>
              <w:left w:val="single" w:color="auto" w:sz="4" w:space="0"/>
              <w:right w:val="single" w:color="auto" w:sz="4" w:space="0"/>
            </w:tcBorders>
            <w:vAlign w:val="center"/>
          </w:tcPr>
          <w:p w14:paraId="3416289E">
            <w:pPr>
              <w:keepNext/>
              <w:keepLines/>
              <w:widowControl w:val="0"/>
              <w:suppressLineNumbers w:val="0"/>
              <w:spacing w:before="0" w:beforeAutospacing="0" w:after="0" w:afterAutospacing="0" w:line="240" w:lineRule="auto"/>
              <w:ind w:left="0" w:right="0"/>
              <w:jc w:val="center"/>
              <w:outlineLvl w:val="9"/>
              <w:rPr>
                <w:rFonts w:ascii="宋体" w:hAnsi="宋体" w:eastAsia="宋体" w:cs="宋体"/>
                <w:b w:val="0"/>
                <w:bCs/>
                <w:color w:val="auto"/>
                <w:kern w:val="2"/>
                <w:sz w:val="21"/>
                <w:szCs w:val="21"/>
                <w:highlight w:val="none"/>
                <w:lang w:val="en-US" w:eastAsia="zh-CN" w:bidi="ar-SA"/>
              </w:rPr>
            </w:pPr>
            <w:r>
              <w:rPr>
                <w:rFonts w:hint="eastAsia" w:ascii="宋体" w:hAnsi="宋体" w:eastAsia="宋体" w:cs="宋体"/>
                <w:b w:val="0"/>
                <w:bCs/>
                <w:color w:val="auto"/>
                <w:kern w:val="2"/>
                <w:sz w:val="21"/>
                <w:szCs w:val="21"/>
                <w:highlight w:val="none"/>
                <w:lang w:val="en-US" w:eastAsia="zh-CN" w:bidi="ar-SA"/>
              </w:rPr>
              <w:t>11.6</w:t>
            </w:r>
          </w:p>
        </w:tc>
        <w:tc>
          <w:tcPr>
            <w:tcW w:w="7350" w:type="dxa"/>
            <w:tcBorders>
              <w:top w:val="single" w:color="auto" w:sz="4" w:space="0"/>
              <w:left w:val="single" w:color="auto" w:sz="4" w:space="0"/>
              <w:right w:val="single" w:color="auto" w:sz="12" w:space="0"/>
            </w:tcBorders>
            <w:vAlign w:val="center"/>
          </w:tcPr>
          <w:p w14:paraId="6BD9B0A1">
            <w:pPr>
              <w:keepNext/>
              <w:keepLines/>
              <w:widowControl w:val="0"/>
              <w:suppressLineNumbers w:val="0"/>
              <w:spacing w:before="0" w:beforeAutospacing="0" w:after="0" w:afterAutospacing="0" w:line="240" w:lineRule="auto"/>
              <w:ind w:left="63" w:leftChars="30" w:right="63" w:rightChars="30"/>
              <w:jc w:val="left"/>
              <w:outlineLvl w:val="9"/>
              <w:rPr>
                <w:rFonts w:ascii="宋体" w:hAnsi="宋体" w:eastAsia="宋体" w:cs="宋体"/>
                <w:b w:val="0"/>
                <w:bCs/>
                <w:color w:val="auto"/>
                <w:kern w:val="2"/>
                <w:sz w:val="21"/>
                <w:szCs w:val="21"/>
                <w:highlight w:val="none"/>
                <w:lang w:val="en-US" w:eastAsia="zh-CN" w:bidi="ar-SA"/>
              </w:rPr>
            </w:pPr>
            <w:r>
              <w:rPr>
                <w:rFonts w:hint="eastAsia" w:ascii="宋体" w:hAnsi="宋体" w:eastAsia="宋体" w:cs="宋体"/>
                <w:b w:val="0"/>
                <w:bCs/>
                <w:color w:val="auto"/>
                <w:kern w:val="2"/>
                <w:sz w:val="21"/>
                <w:szCs w:val="21"/>
                <w:highlight w:val="none"/>
                <w:lang w:val="en-US" w:eastAsia="zh-CN" w:bidi="ar-SA"/>
              </w:rPr>
              <w:t>提前交工的奖金：</w:t>
            </w:r>
            <w:r>
              <w:rPr>
                <w:rFonts w:hint="eastAsia" w:ascii="宋体" w:hAnsi="宋体" w:eastAsia="宋体" w:cs="宋体"/>
                <w:b w:val="0"/>
                <w:bCs/>
                <w:color w:val="auto"/>
                <w:kern w:val="2"/>
                <w:sz w:val="21"/>
                <w:szCs w:val="21"/>
                <w:highlight w:val="none"/>
                <w:u w:val="single"/>
                <w:lang w:val="en-US" w:eastAsia="zh-CN" w:bidi="ar-SA"/>
              </w:rPr>
              <w:t xml:space="preserve">  /  </w:t>
            </w:r>
            <w:r>
              <w:rPr>
                <w:rFonts w:hint="eastAsia" w:ascii="宋体" w:hAnsi="宋体" w:eastAsia="宋体" w:cs="宋体"/>
                <w:b w:val="0"/>
                <w:bCs/>
                <w:color w:val="auto"/>
                <w:kern w:val="2"/>
                <w:sz w:val="21"/>
                <w:szCs w:val="21"/>
                <w:highlight w:val="none"/>
                <w:lang w:val="en-US" w:eastAsia="zh-CN" w:bidi="ar-SA"/>
              </w:rPr>
              <w:t>元／天</w:t>
            </w:r>
          </w:p>
        </w:tc>
      </w:tr>
      <w:tr w14:paraId="42C235F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28" w:type="dxa"/>
            <w:bottom w:w="57" w:type="dxa"/>
            <w:right w:w="28" w:type="dxa"/>
          </w:tblCellMar>
        </w:tblPrEx>
        <w:trPr>
          <w:cantSplit/>
          <w:trHeight w:val="397" w:hRule="atLeast"/>
        </w:trPr>
        <w:tc>
          <w:tcPr>
            <w:tcW w:w="738" w:type="dxa"/>
            <w:tcBorders>
              <w:top w:val="single" w:color="auto" w:sz="4" w:space="0"/>
              <w:left w:val="single" w:color="auto" w:sz="12" w:space="0"/>
              <w:right w:val="single" w:color="auto" w:sz="4" w:space="0"/>
            </w:tcBorders>
            <w:vAlign w:val="center"/>
          </w:tcPr>
          <w:p w14:paraId="16A45BA4">
            <w:pPr>
              <w:keepNext/>
              <w:keepLines/>
              <w:widowControl w:val="0"/>
              <w:suppressLineNumbers w:val="0"/>
              <w:spacing w:before="0" w:beforeAutospacing="0" w:after="0" w:afterAutospacing="0" w:line="240" w:lineRule="auto"/>
              <w:ind w:left="0" w:right="0"/>
              <w:jc w:val="center"/>
              <w:outlineLvl w:val="9"/>
              <w:rPr>
                <w:rFonts w:ascii="宋体" w:hAnsi="宋体" w:eastAsia="宋体" w:cs="宋体"/>
                <w:b w:val="0"/>
                <w:bCs/>
                <w:color w:val="auto"/>
                <w:kern w:val="2"/>
                <w:sz w:val="21"/>
                <w:szCs w:val="21"/>
                <w:highlight w:val="none"/>
                <w:lang w:val="en-US" w:eastAsia="zh-CN" w:bidi="ar-SA"/>
              </w:rPr>
            </w:pPr>
            <w:r>
              <w:rPr>
                <w:rFonts w:hint="eastAsia" w:ascii="宋体" w:hAnsi="宋体" w:eastAsia="宋体" w:cs="宋体"/>
                <w:b w:val="0"/>
                <w:bCs/>
                <w:color w:val="auto"/>
                <w:kern w:val="2"/>
                <w:sz w:val="21"/>
                <w:szCs w:val="21"/>
                <w:highlight w:val="none"/>
                <w:lang w:val="en-US" w:eastAsia="zh-CN" w:bidi="ar-SA"/>
              </w:rPr>
              <w:t>12</w:t>
            </w:r>
          </w:p>
        </w:tc>
        <w:tc>
          <w:tcPr>
            <w:tcW w:w="1050" w:type="dxa"/>
            <w:tcBorders>
              <w:top w:val="single" w:color="auto" w:sz="4" w:space="0"/>
              <w:left w:val="single" w:color="auto" w:sz="4" w:space="0"/>
              <w:right w:val="single" w:color="auto" w:sz="4" w:space="0"/>
            </w:tcBorders>
            <w:vAlign w:val="center"/>
          </w:tcPr>
          <w:p w14:paraId="5ADD086D">
            <w:pPr>
              <w:keepNext/>
              <w:keepLines/>
              <w:widowControl w:val="0"/>
              <w:suppressLineNumbers w:val="0"/>
              <w:spacing w:before="0" w:beforeAutospacing="0" w:after="0" w:afterAutospacing="0" w:line="240" w:lineRule="auto"/>
              <w:ind w:left="0" w:right="0"/>
              <w:jc w:val="center"/>
              <w:outlineLvl w:val="9"/>
              <w:rPr>
                <w:rFonts w:ascii="宋体" w:hAnsi="宋体" w:eastAsia="宋体" w:cs="宋体"/>
                <w:b w:val="0"/>
                <w:bCs/>
                <w:color w:val="auto"/>
                <w:kern w:val="2"/>
                <w:sz w:val="21"/>
                <w:szCs w:val="21"/>
                <w:highlight w:val="none"/>
                <w:lang w:val="en-US" w:eastAsia="zh-CN" w:bidi="ar-SA"/>
              </w:rPr>
            </w:pPr>
            <w:r>
              <w:rPr>
                <w:rFonts w:hint="eastAsia" w:ascii="宋体" w:hAnsi="宋体" w:eastAsia="宋体" w:cs="宋体"/>
                <w:b w:val="0"/>
                <w:bCs/>
                <w:color w:val="auto"/>
                <w:kern w:val="2"/>
                <w:sz w:val="21"/>
                <w:szCs w:val="21"/>
                <w:highlight w:val="none"/>
                <w:lang w:val="en-US" w:eastAsia="zh-CN" w:bidi="ar-SA"/>
              </w:rPr>
              <w:t>11.6</w:t>
            </w:r>
          </w:p>
        </w:tc>
        <w:tc>
          <w:tcPr>
            <w:tcW w:w="7350" w:type="dxa"/>
            <w:tcBorders>
              <w:top w:val="single" w:color="auto" w:sz="4" w:space="0"/>
              <w:left w:val="single" w:color="auto" w:sz="4" w:space="0"/>
              <w:right w:val="single" w:color="auto" w:sz="12" w:space="0"/>
            </w:tcBorders>
            <w:vAlign w:val="center"/>
          </w:tcPr>
          <w:p w14:paraId="46865DF2">
            <w:pPr>
              <w:keepNext/>
              <w:keepLines/>
              <w:widowControl w:val="0"/>
              <w:suppressLineNumbers w:val="0"/>
              <w:spacing w:before="0" w:beforeAutospacing="0" w:after="0" w:afterAutospacing="0" w:line="240" w:lineRule="auto"/>
              <w:ind w:left="63" w:leftChars="30" w:right="63" w:rightChars="30"/>
              <w:jc w:val="left"/>
              <w:outlineLvl w:val="9"/>
              <w:rPr>
                <w:rFonts w:ascii="宋体" w:hAnsi="宋体" w:eastAsia="宋体" w:cs="宋体"/>
                <w:b w:val="0"/>
                <w:bCs/>
                <w:color w:val="auto"/>
                <w:kern w:val="2"/>
                <w:sz w:val="21"/>
                <w:szCs w:val="21"/>
                <w:highlight w:val="none"/>
                <w:lang w:val="en-US" w:eastAsia="zh-CN" w:bidi="ar-SA"/>
              </w:rPr>
            </w:pPr>
            <w:r>
              <w:rPr>
                <w:rFonts w:hint="eastAsia" w:ascii="宋体" w:hAnsi="宋体" w:eastAsia="宋体" w:cs="宋体"/>
                <w:b w:val="0"/>
                <w:bCs/>
                <w:color w:val="auto"/>
                <w:kern w:val="2"/>
                <w:sz w:val="21"/>
                <w:szCs w:val="21"/>
                <w:highlight w:val="none"/>
                <w:lang w:val="en-US" w:eastAsia="zh-CN" w:bidi="ar-SA"/>
              </w:rPr>
              <w:t>提前交工的奖金限额：</w:t>
            </w:r>
            <w:r>
              <w:rPr>
                <w:rFonts w:hint="eastAsia" w:ascii="宋体" w:hAnsi="宋体" w:eastAsia="宋体" w:cs="宋体"/>
                <w:b w:val="0"/>
                <w:bCs/>
                <w:color w:val="auto"/>
                <w:kern w:val="2"/>
                <w:sz w:val="21"/>
                <w:szCs w:val="21"/>
                <w:highlight w:val="none"/>
                <w:u w:val="single"/>
                <w:lang w:val="en-US" w:eastAsia="zh-CN" w:bidi="ar-SA"/>
              </w:rPr>
              <w:t xml:space="preserve"> /  </w:t>
            </w:r>
            <w:r>
              <w:rPr>
                <w:rFonts w:hint="eastAsia" w:ascii="宋体" w:hAnsi="宋体" w:eastAsia="宋体" w:cs="宋体"/>
                <w:b w:val="0"/>
                <w:bCs/>
                <w:color w:val="auto"/>
                <w:kern w:val="2"/>
                <w:sz w:val="21"/>
                <w:szCs w:val="21"/>
                <w:highlight w:val="none"/>
                <w:lang w:val="en-US" w:eastAsia="zh-CN" w:bidi="ar-SA"/>
              </w:rPr>
              <w:t>％签约合同价</w:t>
            </w:r>
          </w:p>
        </w:tc>
      </w:tr>
      <w:tr w14:paraId="33096DD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28" w:type="dxa"/>
            <w:bottom w:w="57" w:type="dxa"/>
            <w:right w:w="28" w:type="dxa"/>
          </w:tblCellMar>
        </w:tblPrEx>
        <w:trPr>
          <w:cantSplit/>
          <w:trHeight w:val="435" w:hRule="atLeast"/>
        </w:trPr>
        <w:tc>
          <w:tcPr>
            <w:tcW w:w="738" w:type="dxa"/>
            <w:tcBorders>
              <w:top w:val="single" w:color="auto" w:sz="4" w:space="0"/>
              <w:left w:val="single" w:color="auto" w:sz="12" w:space="0"/>
              <w:right w:val="single" w:color="auto" w:sz="4" w:space="0"/>
            </w:tcBorders>
            <w:vAlign w:val="center"/>
          </w:tcPr>
          <w:p w14:paraId="76D4B143">
            <w:pPr>
              <w:keepNext/>
              <w:keepLines/>
              <w:widowControl w:val="0"/>
              <w:suppressLineNumbers w:val="0"/>
              <w:spacing w:before="0" w:beforeAutospacing="0" w:after="0" w:afterAutospacing="0" w:line="240" w:lineRule="auto"/>
              <w:ind w:left="0" w:right="0"/>
              <w:jc w:val="center"/>
              <w:outlineLvl w:val="9"/>
              <w:rPr>
                <w:rFonts w:ascii="宋体" w:hAnsi="宋体" w:eastAsia="宋体" w:cs="宋体"/>
                <w:b w:val="0"/>
                <w:bCs/>
                <w:color w:val="auto"/>
                <w:kern w:val="2"/>
                <w:sz w:val="21"/>
                <w:szCs w:val="21"/>
                <w:highlight w:val="none"/>
                <w:lang w:val="en-US" w:eastAsia="zh-CN" w:bidi="ar-SA"/>
              </w:rPr>
            </w:pPr>
            <w:r>
              <w:rPr>
                <w:rFonts w:hint="eastAsia" w:ascii="宋体" w:hAnsi="宋体" w:eastAsia="宋体" w:cs="宋体"/>
                <w:b w:val="0"/>
                <w:bCs/>
                <w:color w:val="auto"/>
                <w:kern w:val="2"/>
                <w:sz w:val="21"/>
                <w:szCs w:val="21"/>
                <w:highlight w:val="none"/>
                <w:lang w:val="en-US" w:eastAsia="zh-CN" w:bidi="ar-SA"/>
              </w:rPr>
              <w:t>13</w:t>
            </w:r>
          </w:p>
        </w:tc>
        <w:tc>
          <w:tcPr>
            <w:tcW w:w="1050" w:type="dxa"/>
            <w:tcBorders>
              <w:top w:val="single" w:color="auto" w:sz="4" w:space="0"/>
              <w:left w:val="single" w:color="auto" w:sz="4" w:space="0"/>
              <w:right w:val="single" w:color="auto" w:sz="4" w:space="0"/>
            </w:tcBorders>
            <w:vAlign w:val="center"/>
          </w:tcPr>
          <w:p w14:paraId="71C3B860">
            <w:pPr>
              <w:keepNext/>
              <w:keepLines/>
              <w:widowControl w:val="0"/>
              <w:suppressLineNumbers w:val="0"/>
              <w:spacing w:before="0" w:beforeAutospacing="0" w:after="0" w:afterAutospacing="0" w:line="240" w:lineRule="auto"/>
              <w:ind w:left="0" w:right="0"/>
              <w:jc w:val="center"/>
              <w:outlineLvl w:val="9"/>
              <w:rPr>
                <w:rFonts w:ascii="宋体" w:hAnsi="宋体" w:eastAsia="宋体" w:cs="宋体"/>
                <w:b w:val="0"/>
                <w:bCs/>
                <w:color w:val="auto"/>
                <w:kern w:val="2"/>
                <w:sz w:val="21"/>
                <w:szCs w:val="21"/>
                <w:highlight w:val="none"/>
                <w:lang w:val="en-US" w:eastAsia="zh-CN" w:bidi="ar-SA"/>
              </w:rPr>
            </w:pPr>
            <w:r>
              <w:rPr>
                <w:rFonts w:hint="eastAsia" w:ascii="宋体" w:hAnsi="宋体" w:eastAsia="宋体" w:cs="宋体"/>
                <w:b w:val="0"/>
                <w:bCs/>
                <w:color w:val="auto"/>
                <w:kern w:val="2"/>
                <w:sz w:val="21"/>
                <w:szCs w:val="21"/>
                <w:highlight w:val="none"/>
                <w:lang w:val="en-US" w:eastAsia="zh-CN" w:bidi="ar-SA"/>
              </w:rPr>
              <w:t>15.5.2</w:t>
            </w:r>
          </w:p>
        </w:tc>
        <w:tc>
          <w:tcPr>
            <w:tcW w:w="7350" w:type="dxa"/>
            <w:tcBorders>
              <w:top w:val="single" w:color="auto" w:sz="4" w:space="0"/>
              <w:left w:val="single" w:color="auto" w:sz="4" w:space="0"/>
              <w:right w:val="single" w:color="auto" w:sz="12" w:space="0"/>
            </w:tcBorders>
            <w:vAlign w:val="center"/>
          </w:tcPr>
          <w:p w14:paraId="60DAE238">
            <w:pPr>
              <w:keepNext/>
              <w:keepLines/>
              <w:widowControl w:val="0"/>
              <w:suppressLineNumbers w:val="0"/>
              <w:spacing w:before="0" w:beforeAutospacing="0" w:after="0" w:afterAutospacing="0" w:line="240" w:lineRule="auto"/>
              <w:ind w:left="63" w:leftChars="30" w:right="63" w:rightChars="30"/>
              <w:jc w:val="left"/>
              <w:outlineLvl w:val="9"/>
              <w:rPr>
                <w:rFonts w:ascii="宋体" w:hAnsi="宋体" w:eastAsia="宋体" w:cs="宋体"/>
                <w:b w:val="0"/>
                <w:bCs/>
                <w:color w:val="auto"/>
                <w:kern w:val="2"/>
                <w:sz w:val="21"/>
                <w:szCs w:val="21"/>
                <w:highlight w:val="none"/>
                <w:lang w:val="en-US" w:eastAsia="zh-CN" w:bidi="ar-SA"/>
              </w:rPr>
            </w:pPr>
            <w:r>
              <w:rPr>
                <w:rFonts w:hint="eastAsia" w:ascii="宋体" w:hAnsi="宋体" w:eastAsia="宋体" w:cs="宋体"/>
                <w:b w:val="0"/>
                <w:bCs/>
                <w:color w:val="auto"/>
                <w:kern w:val="2"/>
                <w:sz w:val="21"/>
                <w:szCs w:val="21"/>
                <w:highlight w:val="none"/>
                <w:lang w:val="en-US" w:eastAsia="zh-CN" w:bidi="ar-SA"/>
              </w:rPr>
              <w:t>承包人提出的合理化建议降低了合同价格或者提高了工程经济效益的，发包人按所节约成本的</w:t>
            </w:r>
            <w:r>
              <w:rPr>
                <w:rFonts w:hint="eastAsia" w:ascii="宋体" w:hAnsi="宋体" w:eastAsia="宋体" w:cs="宋体"/>
                <w:b w:val="0"/>
                <w:bCs/>
                <w:color w:val="auto"/>
                <w:kern w:val="2"/>
                <w:sz w:val="21"/>
                <w:szCs w:val="21"/>
                <w:highlight w:val="none"/>
                <w:u w:val="single"/>
                <w:lang w:val="en-US" w:eastAsia="zh-CN" w:bidi="ar-SA"/>
              </w:rPr>
              <w:t xml:space="preserve">  / </w:t>
            </w:r>
            <w:r>
              <w:rPr>
                <w:rFonts w:hint="eastAsia" w:ascii="宋体" w:hAnsi="宋体" w:eastAsia="宋体" w:cs="宋体"/>
                <w:b w:val="0"/>
                <w:bCs/>
                <w:color w:val="auto"/>
                <w:kern w:val="2"/>
                <w:sz w:val="21"/>
                <w:szCs w:val="21"/>
                <w:highlight w:val="none"/>
                <w:lang w:val="en-US" w:eastAsia="zh-CN" w:bidi="ar-SA"/>
              </w:rPr>
              <w:t>％或增加收益的</w:t>
            </w:r>
            <w:r>
              <w:rPr>
                <w:rFonts w:hint="eastAsia" w:ascii="宋体" w:hAnsi="宋体" w:eastAsia="宋体" w:cs="宋体"/>
                <w:b w:val="0"/>
                <w:bCs/>
                <w:color w:val="auto"/>
                <w:kern w:val="2"/>
                <w:sz w:val="21"/>
                <w:szCs w:val="21"/>
                <w:highlight w:val="none"/>
                <w:u w:val="single"/>
                <w:lang w:val="en-US" w:eastAsia="zh-CN" w:bidi="ar-SA"/>
              </w:rPr>
              <w:t xml:space="preserve">  / </w:t>
            </w:r>
            <w:r>
              <w:rPr>
                <w:rFonts w:hint="eastAsia" w:ascii="宋体" w:hAnsi="宋体" w:eastAsia="宋体" w:cs="宋体"/>
                <w:b w:val="0"/>
                <w:bCs/>
                <w:color w:val="auto"/>
                <w:kern w:val="2"/>
                <w:sz w:val="21"/>
                <w:szCs w:val="21"/>
                <w:highlight w:val="none"/>
                <w:lang w:val="en-US" w:eastAsia="zh-CN" w:bidi="ar-SA"/>
              </w:rPr>
              <w:t>％给予奖励</w:t>
            </w:r>
          </w:p>
        </w:tc>
      </w:tr>
      <w:tr w14:paraId="29E1FC3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28" w:type="dxa"/>
            <w:bottom w:w="57" w:type="dxa"/>
            <w:right w:w="28" w:type="dxa"/>
          </w:tblCellMar>
        </w:tblPrEx>
        <w:trPr>
          <w:cantSplit/>
          <w:trHeight w:val="397" w:hRule="atLeast"/>
        </w:trPr>
        <w:tc>
          <w:tcPr>
            <w:tcW w:w="738" w:type="dxa"/>
            <w:tcBorders>
              <w:top w:val="single" w:color="auto" w:sz="4" w:space="0"/>
              <w:left w:val="single" w:color="auto" w:sz="12" w:space="0"/>
              <w:right w:val="single" w:color="auto" w:sz="4" w:space="0"/>
            </w:tcBorders>
            <w:vAlign w:val="center"/>
          </w:tcPr>
          <w:p w14:paraId="052675BC">
            <w:pPr>
              <w:keepNext/>
              <w:keepLines/>
              <w:widowControl w:val="0"/>
              <w:suppressLineNumbers w:val="0"/>
              <w:spacing w:before="0" w:beforeAutospacing="0" w:after="0" w:afterAutospacing="0" w:line="240" w:lineRule="auto"/>
              <w:ind w:left="0" w:right="0"/>
              <w:jc w:val="center"/>
              <w:outlineLvl w:val="9"/>
              <w:rPr>
                <w:rFonts w:ascii="宋体" w:hAnsi="宋体" w:eastAsia="宋体" w:cs="宋体"/>
                <w:b w:val="0"/>
                <w:bCs/>
                <w:color w:val="auto"/>
                <w:kern w:val="2"/>
                <w:sz w:val="21"/>
                <w:szCs w:val="21"/>
                <w:highlight w:val="none"/>
                <w:lang w:val="en-US" w:eastAsia="zh-CN" w:bidi="ar-SA"/>
              </w:rPr>
            </w:pPr>
            <w:r>
              <w:rPr>
                <w:rFonts w:hint="eastAsia" w:ascii="宋体" w:hAnsi="宋体" w:eastAsia="宋体" w:cs="宋体"/>
                <w:b w:val="0"/>
                <w:bCs/>
                <w:color w:val="auto"/>
                <w:kern w:val="2"/>
                <w:sz w:val="21"/>
                <w:szCs w:val="21"/>
                <w:highlight w:val="none"/>
                <w:lang w:val="en-US" w:eastAsia="zh-CN" w:bidi="ar-SA"/>
              </w:rPr>
              <w:t>14</w:t>
            </w:r>
          </w:p>
        </w:tc>
        <w:tc>
          <w:tcPr>
            <w:tcW w:w="1050" w:type="dxa"/>
            <w:tcBorders>
              <w:top w:val="single" w:color="auto" w:sz="4" w:space="0"/>
              <w:left w:val="single" w:color="auto" w:sz="4" w:space="0"/>
              <w:right w:val="single" w:color="auto" w:sz="4" w:space="0"/>
            </w:tcBorders>
            <w:vAlign w:val="center"/>
          </w:tcPr>
          <w:p w14:paraId="5EC9B561">
            <w:pPr>
              <w:keepNext/>
              <w:keepLines/>
              <w:widowControl w:val="0"/>
              <w:suppressLineNumbers w:val="0"/>
              <w:spacing w:before="0" w:beforeAutospacing="0" w:after="0" w:afterAutospacing="0" w:line="240" w:lineRule="auto"/>
              <w:ind w:left="0" w:right="0"/>
              <w:jc w:val="center"/>
              <w:outlineLvl w:val="9"/>
              <w:rPr>
                <w:rFonts w:ascii="宋体" w:hAnsi="宋体" w:eastAsia="宋体" w:cs="宋体"/>
                <w:b w:val="0"/>
                <w:bCs/>
                <w:color w:val="auto"/>
                <w:kern w:val="2"/>
                <w:sz w:val="21"/>
                <w:szCs w:val="21"/>
                <w:highlight w:val="none"/>
                <w:lang w:val="en-US" w:eastAsia="zh-CN" w:bidi="ar-SA"/>
              </w:rPr>
            </w:pPr>
            <w:r>
              <w:rPr>
                <w:rFonts w:hint="eastAsia" w:ascii="宋体" w:hAnsi="宋体" w:eastAsia="宋体" w:cs="宋体"/>
                <w:b w:val="0"/>
                <w:bCs/>
                <w:color w:val="auto"/>
                <w:kern w:val="2"/>
                <w:sz w:val="21"/>
                <w:szCs w:val="21"/>
                <w:highlight w:val="none"/>
                <w:lang w:val="en-US" w:eastAsia="zh-CN" w:bidi="ar-SA"/>
              </w:rPr>
              <w:t>16.1</w:t>
            </w:r>
          </w:p>
        </w:tc>
        <w:tc>
          <w:tcPr>
            <w:tcW w:w="7350" w:type="dxa"/>
            <w:tcBorders>
              <w:top w:val="single" w:color="auto" w:sz="4" w:space="0"/>
              <w:left w:val="single" w:color="auto" w:sz="4" w:space="0"/>
              <w:right w:val="single" w:color="auto" w:sz="12" w:space="0"/>
            </w:tcBorders>
            <w:vAlign w:val="center"/>
          </w:tcPr>
          <w:p w14:paraId="4CBCFB2B">
            <w:pPr>
              <w:keepNext/>
              <w:keepLines/>
              <w:widowControl w:val="0"/>
              <w:suppressLineNumbers w:val="0"/>
              <w:spacing w:before="0" w:beforeAutospacing="0" w:after="0" w:afterAutospacing="0" w:line="240" w:lineRule="auto"/>
              <w:ind w:left="63" w:leftChars="30" w:right="63" w:rightChars="30"/>
              <w:jc w:val="left"/>
              <w:outlineLvl w:val="9"/>
              <w:rPr>
                <w:rFonts w:ascii="宋体" w:hAnsi="宋体" w:eastAsia="宋体" w:cs="宋体"/>
                <w:b w:val="0"/>
                <w:bCs/>
                <w:color w:val="auto"/>
                <w:kern w:val="2"/>
                <w:sz w:val="21"/>
                <w:szCs w:val="21"/>
                <w:highlight w:val="none"/>
                <w:lang w:val="en-US" w:eastAsia="zh-CN" w:bidi="ar-SA"/>
              </w:rPr>
            </w:pPr>
            <w:r>
              <w:rPr>
                <w:rFonts w:hint="eastAsia" w:ascii="宋体" w:hAnsi="宋体" w:eastAsia="宋体" w:cs="宋体"/>
                <w:b w:val="0"/>
                <w:bCs/>
                <w:color w:val="auto"/>
                <w:spacing w:val="-4"/>
                <w:kern w:val="2"/>
                <w:sz w:val="21"/>
                <w:szCs w:val="21"/>
                <w:highlight w:val="none"/>
                <w:lang w:val="en-US" w:eastAsia="zh-CN" w:bidi="ar-SA"/>
              </w:rPr>
              <w:t>因物价波动引起的价格调整按照第16.1.2项约定的原则处理</w:t>
            </w:r>
          </w:p>
        </w:tc>
      </w:tr>
      <w:tr w14:paraId="1BF1ED3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28" w:type="dxa"/>
            <w:bottom w:w="57" w:type="dxa"/>
            <w:right w:w="28" w:type="dxa"/>
          </w:tblCellMar>
        </w:tblPrEx>
        <w:trPr>
          <w:cantSplit/>
          <w:trHeight w:val="397" w:hRule="atLeast"/>
        </w:trPr>
        <w:tc>
          <w:tcPr>
            <w:tcW w:w="738" w:type="dxa"/>
            <w:tcBorders>
              <w:top w:val="single" w:color="auto" w:sz="4" w:space="0"/>
              <w:left w:val="single" w:color="auto" w:sz="12" w:space="0"/>
              <w:right w:val="single" w:color="auto" w:sz="4" w:space="0"/>
            </w:tcBorders>
            <w:vAlign w:val="center"/>
          </w:tcPr>
          <w:p w14:paraId="4308BEEC">
            <w:pPr>
              <w:keepNext/>
              <w:keepLines/>
              <w:widowControl w:val="0"/>
              <w:suppressLineNumbers w:val="0"/>
              <w:spacing w:before="0" w:beforeAutospacing="0" w:after="0" w:afterAutospacing="0" w:line="240" w:lineRule="auto"/>
              <w:ind w:left="0" w:right="0"/>
              <w:jc w:val="center"/>
              <w:outlineLvl w:val="9"/>
              <w:rPr>
                <w:rFonts w:ascii="宋体" w:hAnsi="宋体" w:eastAsia="宋体" w:cs="宋体"/>
                <w:b w:val="0"/>
                <w:bCs/>
                <w:color w:val="auto"/>
                <w:kern w:val="2"/>
                <w:sz w:val="21"/>
                <w:szCs w:val="21"/>
                <w:highlight w:val="none"/>
                <w:lang w:val="en-US" w:eastAsia="zh-CN" w:bidi="ar-SA"/>
              </w:rPr>
            </w:pPr>
            <w:r>
              <w:rPr>
                <w:rFonts w:hint="eastAsia" w:ascii="宋体" w:hAnsi="宋体" w:eastAsia="宋体" w:cs="宋体"/>
                <w:b w:val="0"/>
                <w:bCs/>
                <w:color w:val="auto"/>
                <w:kern w:val="2"/>
                <w:sz w:val="21"/>
                <w:szCs w:val="21"/>
                <w:highlight w:val="none"/>
                <w:lang w:val="en-US" w:eastAsia="zh-CN" w:bidi="ar-SA"/>
              </w:rPr>
              <w:t>15</w:t>
            </w:r>
          </w:p>
        </w:tc>
        <w:tc>
          <w:tcPr>
            <w:tcW w:w="1050" w:type="dxa"/>
            <w:tcBorders>
              <w:top w:val="single" w:color="auto" w:sz="4" w:space="0"/>
              <w:left w:val="single" w:color="auto" w:sz="4" w:space="0"/>
              <w:right w:val="single" w:color="auto" w:sz="4" w:space="0"/>
            </w:tcBorders>
            <w:vAlign w:val="center"/>
          </w:tcPr>
          <w:p w14:paraId="318F18B4">
            <w:pPr>
              <w:keepNext/>
              <w:keepLines/>
              <w:widowControl w:val="0"/>
              <w:suppressLineNumbers w:val="0"/>
              <w:spacing w:before="0" w:beforeAutospacing="0" w:after="0" w:afterAutospacing="0" w:line="240" w:lineRule="auto"/>
              <w:ind w:left="0" w:right="0"/>
              <w:jc w:val="center"/>
              <w:outlineLvl w:val="9"/>
              <w:rPr>
                <w:rFonts w:ascii="宋体" w:hAnsi="宋体" w:eastAsia="宋体" w:cs="宋体"/>
                <w:b w:val="0"/>
                <w:bCs/>
                <w:color w:val="auto"/>
                <w:kern w:val="2"/>
                <w:sz w:val="21"/>
                <w:szCs w:val="21"/>
                <w:highlight w:val="none"/>
                <w:lang w:val="en-US" w:eastAsia="zh-CN" w:bidi="ar-SA"/>
              </w:rPr>
            </w:pPr>
            <w:r>
              <w:rPr>
                <w:rFonts w:hint="eastAsia" w:ascii="宋体" w:hAnsi="宋体" w:eastAsia="宋体" w:cs="宋体"/>
                <w:b w:val="0"/>
                <w:bCs/>
                <w:color w:val="auto"/>
                <w:kern w:val="2"/>
                <w:sz w:val="21"/>
                <w:szCs w:val="21"/>
                <w:highlight w:val="none"/>
                <w:lang w:val="en-US" w:eastAsia="zh-CN" w:bidi="ar-SA"/>
              </w:rPr>
              <w:t>17.2.1</w:t>
            </w:r>
          </w:p>
        </w:tc>
        <w:tc>
          <w:tcPr>
            <w:tcW w:w="7350" w:type="dxa"/>
            <w:tcBorders>
              <w:top w:val="single" w:color="auto" w:sz="4" w:space="0"/>
              <w:left w:val="single" w:color="auto" w:sz="4" w:space="0"/>
              <w:right w:val="single" w:color="auto" w:sz="12" w:space="0"/>
            </w:tcBorders>
            <w:vAlign w:val="center"/>
          </w:tcPr>
          <w:p w14:paraId="7422752E">
            <w:pPr>
              <w:keepNext/>
              <w:keepLines/>
              <w:widowControl w:val="0"/>
              <w:suppressLineNumbers w:val="0"/>
              <w:spacing w:before="0" w:beforeAutospacing="0" w:after="0" w:afterAutospacing="0" w:line="240" w:lineRule="auto"/>
              <w:ind w:left="63" w:leftChars="30" w:right="63" w:rightChars="30"/>
              <w:jc w:val="left"/>
              <w:outlineLvl w:val="9"/>
              <w:rPr>
                <w:rFonts w:ascii="宋体" w:hAnsi="宋体" w:eastAsia="宋体" w:cs="宋体"/>
                <w:b w:val="0"/>
                <w:bCs/>
                <w:color w:val="auto"/>
                <w:kern w:val="2"/>
                <w:sz w:val="21"/>
                <w:szCs w:val="21"/>
                <w:highlight w:val="none"/>
                <w:lang w:val="en-US" w:eastAsia="zh-CN" w:bidi="ar-SA"/>
              </w:rPr>
            </w:pPr>
            <w:r>
              <w:rPr>
                <w:rFonts w:hint="eastAsia" w:ascii="宋体" w:hAnsi="宋体" w:eastAsia="宋体" w:cs="宋体"/>
                <w:b w:val="0"/>
                <w:bCs/>
                <w:color w:val="auto"/>
                <w:spacing w:val="-4"/>
                <w:kern w:val="2"/>
                <w:sz w:val="21"/>
                <w:szCs w:val="21"/>
                <w:highlight w:val="none"/>
                <w:lang w:val="en-US" w:eastAsia="zh-CN" w:bidi="ar-SA"/>
              </w:rPr>
              <w:t>开工预付款金额：</w:t>
            </w:r>
            <w:r>
              <w:rPr>
                <w:rFonts w:hint="eastAsia" w:ascii="宋体" w:hAnsi="宋体" w:cs="宋体"/>
                <w:b/>
                <w:bCs w:val="0"/>
                <w:color w:val="auto"/>
                <w:spacing w:val="-4"/>
                <w:kern w:val="2"/>
                <w:sz w:val="21"/>
                <w:szCs w:val="21"/>
                <w:highlight w:val="none"/>
                <w:u w:val="single"/>
                <w:lang w:val="en-US" w:eastAsia="zh-CN" w:bidi="ar-SA"/>
              </w:rPr>
              <w:t>本项目不适用</w:t>
            </w:r>
          </w:p>
        </w:tc>
      </w:tr>
      <w:tr w14:paraId="3D2C21F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28" w:type="dxa"/>
            <w:bottom w:w="57" w:type="dxa"/>
            <w:right w:w="28" w:type="dxa"/>
          </w:tblCellMar>
        </w:tblPrEx>
        <w:trPr>
          <w:cantSplit/>
          <w:trHeight w:val="397" w:hRule="atLeast"/>
        </w:trPr>
        <w:tc>
          <w:tcPr>
            <w:tcW w:w="738" w:type="dxa"/>
            <w:tcBorders>
              <w:top w:val="single" w:color="auto" w:sz="4" w:space="0"/>
              <w:left w:val="single" w:color="auto" w:sz="12" w:space="0"/>
              <w:right w:val="single" w:color="auto" w:sz="4" w:space="0"/>
            </w:tcBorders>
            <w:vAlign w:val="center"/>
          </w:tcPr>
          <w:p w14:paraId="2A250595">
            <w:pPr>
              <w:keepNext/>
              <w:keepLines/>
              <w:widowControl w:val="0"/>
              <w:suppressLineNumbers w:val="0"/>
              <w:spacing w:before="0" w:beforeAutospacing="0" w:after="0" w:afterAutospacing="0" w:line="240" w:lineRule="auto"/>
              <w:ind w:left="0" w:right="0"/>
              <w:jc w:val="center"/>
              <w:outlineLvl w:val="9"/>
              <w:rPr>
                <w:rFonts w:ascii="宋体" w:hAnsi="宋体" w:eastAsia="宋体" w:cs="宋体"/>
                <w:b w:val="0"/>
                <w:bCs/>
                <w:color w:val="auto"/>
                <w:kern w:val="2"/>
                <w:sz w:val="21"/>
                <w:szCs w:val="21"/>
                <w:highlight w:val="none"/>
                <w:lang w:val="en-US" w:eastAsia="zh-CN" w:bidi="ar-SA"/>
              </w:rPr>
            </w:pPr>
            <w:r>
              <w:rPr>
                <w:rFonts w:hint="eastAsia" w:ascii="宋体" w:hAnsi="宋体" w:eastAsia="宋体" w:cs="宋体"/>
                <w:b w:val="0"/>
                <w:bCs/>
                <w:color w:val="auto"/>
                <w:kern w:val="2"/>
                <w:sz w:val="21"/>
                <w:szCs w:val="21"/>
                <w:highlight w:val="none"/>
                <w:lang w:val="en-US" w:eastAsia="zh-CN" w:bidi="ar-SA"/>
              </w:rPr>
              <w:t>16</w:t>
            </w:r>
          </w:p>
        </w:tc>
        <w:tc>
          <w:tcPr>
            <w:tcW w:w="1050" w:type="dxa"/>
            <w:tcBorders>
              <w:top w:val="single" w:color="auto" w:sz="4" w:space="0"/>
              <w:left w:val="single" w:color="auto" w:sz="4" w:space="0"/>
              <w:right w:val="single" w:color="auto" w:sz="4" w:space="0"/>
            </w:tcBorders>
            <w:vAlign w:val="center"/>
          </w:tcPr>
          <w:p w14:paraId="05F4C897">
            <w:pPr>
              <w:keepNext/>
              <w:keepLines/>
              <w:widowControl w:val="0"/>
              <w:suppressLineNumbers w:val="0"/>
              <w:spacing w:before="0" w:beforeAutospacing="0" w:after="0" w:afterAutospacing="0" w:line="240" w:lineRule="auto"/>
              <w:ind w:left="0" w:right="0"/>
              <w:jc w:val="center"/>
              <w:outlineLvl w:val="9"/>
              <w:rPr>
                <w:rFonts w:ascii="宋体" w:hAnsi="宋体" w:eastAsia="宋体" w:cs="宋体"/>
                <w:b w:val="0"/>
                <w:bCs/>
                <w:color w:val="auto"/>
                <w:kern w:val="2"/>
                <w:sz w:val="21"/>
                <w:szCs w:val="21"/>
                <w:highlight w:val="none"/>
                <w:lang w:val="en-US" w:eastAsia="zh-CN" w:bidi="ar-SA"/>
              </w:rPr>
            </w:pPr>
            <w:r>
              <w:rPr>
                <w:rFonts w:hint="eastAsia" w:ascii="宋体" w:hAnsi="宋体" w:eastAsia="宋体" w:cs="宋体"/>
                <w:b w:val="0"/>
                <w:bCs/>
                <w:color w:val="auto"/>
                <w:kern w:val="2"/>
                <w:sz w:val="21"/>
                <w:szCs w:val="21"/>
                <w:highlight w:val="none"/>
                <w:lang w:val="en-US" w:eastAsia="zh-CN" w:bidi="ar-SA"/>
              </w:rPr>
              <w:t>17.2.1</w:t>
            </w:r>
          </w:p>
        </w:tc>
        <w:tc>
          <w:tcPr>
            <w:tcW w:w="7350" w:type="dxa"/>
            <w:tcBorders>
              <w:top w:val="single" w:color="auto" w:sz="4" w:space="0"/>
              <w:left w:val="single" w:color="auto" w:sz="4" w:space="0"/>
              <w:right w:val="single" w:color="auto" w:sz="12" w:space="0"/>
            </w:tcBorders>
            <w:vAlign w:val="center"/>
          </w:tcPr>
          <w:p w14:paraId="71BB3C92">
            <w:pPr>
              <w:keepNext w:val="0"/>
              <w:keepLines w:val="0"/>
              <w:widowControl w:val="0"/>
              <w:suppressLineNumbers w:val="0"/>
              <w:tabs>
                <w:tab w:val="left" w:pos="2790"/>
              </w:tabs>
              <w:spacing w:before="0" w:beforeAutospacing="0" w:after="0" w:afterAutospacing="0"/>
              <w:ind w:left="63" w:leftChars="30" w:right="63" w:rightChars="3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spacing w:val="-4"/>
                <w:kern w:val="2"/>
                <w:sz w:val="21"/>
                <w:szCs w:val="21"/>
                <w:highlight w:val="none"/>
                <w:lang w:val="en-US" w:eastAsia="zh-CN" w:bidi="ar-SA"/>
              </w:rPr>
              <w:t>材料、设备预付款比例：本项目不支付材料、设备预付款。</w:t>
            </w:r>
          </w:p>
        </w:tc>
      </w:tr>
    </w:tbl>
    <w:p w14:paraId="1B3A633D">
      <w:pPr>
        <w:spacing w:before="120" w:after="120"/>
        <w:jc w:val="center"/>
        <w:rPr>
          <w:rFonts w:ascii="宋体" w:hAnsi="宋体" w:eastAsia="宋体" w:cs="宋体"/>
          <w:b w:val="0"/>
          <w:color w:val="auto"/>
          <w:sz w:val="28"/>
          <w:szCs w:val="28"/>
          <w:highlight w:val="none"/>
        </w:rPr>
        <w:sectPr>
          <w:headerReference r:id="rId9" w:type="first"/>
          <w:headerReference r:id="rId8" w:type="default"/>
          <w:footerReference r:id="rId10" w:type="default"/>
          <w:footnotePr>
            <w:numFmt w:val="decimalEnclosedCircleChinese"/>
            <w:numRestart w:val="eachPage"/>
          </w:footnotePr>
          <w:pgSz w:w="11906" w:h="16838"/>
          <w:pgMar w:top="1417" w:right="1417" w:bottom="1417" w:left="1417" w:header="1021" w:footer="992" w:gutter="0"/>
          <w:cols w:space="720" w:num="1"/>
          <w:titlePg/>
          <w:docGrid w:linePitch="312" w:charSpace="0"/>
        </w:sectPr>
      </w:pPr>
    </w:p>
    <w:bookmarkEnd w:id="95"/>
    <w:bookmarkEnd w:id="96"/>
    <w:bookmarkEnd w:id="97"/>
    <w:bookmarkEnd w:id="98"/>
    <w:bookmarkEnd w:id="99"/>
    <w:bookmarkEnd w:id="100"/>
    <w:p w14:paraId="1CECCBF8">
      <w:pPr>
        <w:widowControl w:val="0"/>
        <w:tabs>
          <w:tab w:val="left" w:pos="2790"/>
        </w:tabs>
        <w:jc w:val="right"/>
        <w:rPr>
          <w:rFonts w:ascii="宋体" w:hAnsi="宋体" w:eastAsia="宋体" w:cs="宋体"/>
          <w:color w:val="auto"/>
          <w:kern w:val="2"/>
          <w:sz w:val="21"/>
          <w:szCs w:val="21"/>
          <w:highlight w:val="none"/>
          <w:lang w:val="en-US" w:eastAsia="zh-CN" w:bidi="ar-SA"/>
        </w:rPr>
      </w:pPr>
      <w:bookmarkStart w:id="107" w:name="_Toc287428542"/>
      <w:bookmarkStart w:id="108" w:name="_Toc497815083"/>
      <w:bookmarkStart w:id="109" w:name="_Toc445203927"/>
      <w:bookmarkStart w:id="110" w:name="_Toc488333226"/>
      <w:bookmarkStart w:id="111" w:name="_Toc477764177"/>
      <w:bookmarkStart w:id="112" w:name="_Toc517356864"/>
      <w:bookmarkStart w:id="113" w:name="_Toc509845225"/>
      <w:bookmarkStart w:id="114" w:name="_Toc498612669"/>
      <w:bookmarkStart w:id="115" w:name="_Toc509090397"/>
      <w:bookmarkStart w:id="116" w:name="_Toc287272895"/>
      <w:r>
        <w:rPr>
          <w:rFonts w:hint="eastAsia" w:ascii="宋体" w:hAnsi="宋体" w:eastAsia="宋体" w:cs="宋体"/>
          <w:color w:val="auto"/>
          <w:kern w:val="2"/>
          <w:sz w:val="21"/>
          <w:szCs w:val="21"/>
          <w:highlight w:val="none"/>
          <w:lang w:val="en-US" w:eastAsia="zh-CN" w:bidi="ar-SA"/>
        </w:rPr>
        <w:t>续上表</w:t>
      </w:r>
    </w:p>
    <w:tbl>
      <w:tblPr>
        <w:tblStyle w:val="25"/>
        <w:tblW w:w="9242" w:type="dxa"/>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28" w:type="dxa"/>
          <w:left w:w="28" w:type="dxa"/>
          <w:bottom w:w="28" w:type="dxa"/>
          <w:right w:w="28" w:type="dxa"/>
        </w:tblCellMar>
      </w:tblPr>
      <w:tblGrid>
        <w:gridCol w:w="738"/>
        <w:gridCol w:w="1221"/>
        <w:gridCol w:w="7283"/>
      </w:tblGrid>
      <w:tr w14:paraId="08CF84E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28" w:type="dxa"/>
            <w:left w:w="28" w:type="dxa"/>
            <w:bottom w:w="28" w:type="dxa"/>
            <w:right w:w="28" w:type="dxa"/>
          </w:tblCellMar>
        </w:tblPrEx>
        <w:trPr>
          <w:trHeight w:val="454" w:hRule="atLeast"/>
        </w:trPr>
        <w:tc>
          <w:tcPr>
            <w:tcW w:w="738" w:type="dxa"/>
            <w:vAlign w:val="center"/>
          </w:tcPr>
          <w:p w14:paraId="7922B702">
            <w:pPr>
              <w:keepNext w:val="0"/>
              <w:keepLines w:val="0"/>
              <w:widowControl w:val="0"/>
              <w:suppressLineNumbers w:val="0"/>
              <w:tabs>
                <w:tab w:val="left" w:pos="2790"/>
              </w:tabs>
              <w:spacing w:before="0" w:beforeAutospacing="0" w:after="0" w:afterAutospacing="0" w:line="320" w:lineRule="exact"/>
              <w:ind w:left="0" w:right="0"/>
              <w:jc w:val="center"/>
              <w:rPr>
                <w:rFonts w:ascii="宋体" w:hAnsi="宋体" w:eastAsia="宋体" w:cs="宋体"/>
                <w:b/>
                <w:bCs/>
                <w:color w:val="auto"/>
                <w:kern w:val="2"/>
                <w:sz w:val="21"/>
                <w:szCs w:val="21"/>
                <w:highlight w:val="none"/>
                <w:lang w:val="en-US" w:eastAsia="zh-CN" w:bidi="ar-SA"/>
              </w:rPr>
            </w:pPr>
            <w:r>
              <w:rPr>
                <w:rFonts w:hint="eastAsia" w:ascii="宋体" w:hAnsi="宋体" w:eastAsia="宋体" w:cs="宋体"/>
                <w:b/>
                <w:bCs/>
                <w:color w:val="auto"/>
                <w:kern w:val="2"/>
                <w:sz w:val="21"/>
                <w:szCs w:val="21"/>
                <w:highlight w:val="none"/>
                <w:lang w:val="en-US" w:eastAsia="zh-CN" w:bidi="ar-SA"/>
              </w:rPr>
              <w:t>序号</w:t>
            </w:r>
          </w:p>
        </w:tc>
        <w:tc>
          <w:tcPr>
            <w:tcW w:w="1221" w:type="dxa"/>
            <w:vAlign w:val="center"/>
          </w:tcPr>
          <w:p w14:paraId="106A1067">
            <w:pPr>
              <w:keepNext w:val="0"/>
              <w:keepLines w:val="0"/>
              <w:widowControl w:val="0"/>
              <w:suppressLineNumbers w:val="0"/>
              <w:tabs>
                <w:tab w:val="left" w:pos="2790"/>
              </w:tabs>
              <w:spacing w:before="0" w:beforeAutospacing="0" w:after="0" w:afterAutospacing="0" w:line="320" w:lineRule="exact"/>
              <w:ind w:left="0" w:right="0"/>
              <w:jc w:val="center"/>
              <w:rPr>
                <w:rFonts w:ascii="宋体" w:hAnsi="宋体" w:eastAsia="宋体" w:cs="宋体"/>
                <w:b/>
                <w:bCs/>
                <w:color w:val="auto"/>
                <w:kern w:val="2"/>
                <w:sz w:val="21"/>
                <w:szCs w:val="21"/>
                <w:highlight w:val="none"/>
                <w:lang w:val="en-US" w:eastAsia="zh-CN" w:bidi="ar-SA"/>
              </w:rPr>
            </w:pPr>
            <w:r>
              <w:rPr>
                <w:rFonts w:hint="eastAsia" w:ascii="宋体" w:hAnsi="宋体" w:eastAsia="宋体" w:cs="宋体"/>
                <w:b/>
                <w:bCs/>
                <w:color w:val="auto"/>
                <w:kern w:val="2"/>
                <w:sz w:val="21"/>
                <w:szCs w:val="21"/>
                <w:highlight w:val="none"/>
                <w:lang w:val="en-US" w:eastAsia="zh-CN" w:bidi="ar-SA"/>
              </w:rPr>
              <w:t>条目号</w:t>
            </w:r>
          </w:p>
        </w:tc>
        <w:tc>
          <w:tcPr>
            <w:tcW w:w="7283" w:type="dxa"/>
            <w:vAlign w:val="center"/>
          </w:tcPr>
          <w:p w14:paraId="79BFB8BC">
            <w:pPr>
              <w:keepNext w:val="0"/>
              <w:keepLines w:val="0"/>
              <w:widowControl w:val="0"/>
              <w:suppressLineNumbers w:val="0"/>
              <w:tabs>
                <w:tab w:val="left" w:pos="2790"/>
              </w:tabs>
              <w:spacing w:before="0" w:beforeAutospacing="0" w:after="0" w:afterAutospacing="0" w:line="320" w:lineRule="exact"/>
              <w:ind w:left="0" w:right="0"/>
              <w:jc w:val="center"/>
              <w:rPr>
                <w:rFonts w:ascii="宋体" w:hAnsi="宋体" w:eastAsia="宋体" w:cs="宋体"/>
                <w:b/>
                <w:bCs/>
                <w:color w:val="auto"/>
                <w:kern w:val="2"/>
                <w:sz w:val="21"/>
                <w:szCs w:val="21"/>
                <w:highlight w:val="none"/>
                <w:lang w:val="en-US" w:eastAsia="zh-CN" w:bidi="ar-SA"/>
              </w:rPr>
            </w:pPr>
            <w:r>
              <w:rPr>
                <w:rFonts w:hint="eastAsia" w:ascii="宋体" w:hAnsi="宋体" w:eastAsia="宋体" w:cs="宋体"/>
                <w:b/>
                <w:bCs/>
                <w:color w:val="auto"/>
                <w:kern w:val="2"/>
                <w:sz w:val="21"/>
                <w:szCs w:val="21"/>
                <w:highlight w:val="none"/>
                <w:lang w:val="en-US" w:eastAsia="zh-CN" w:bidi="ar-SA"/>
              </w:rPr>
              <w:t>信息或数据</w:t>
            </w:r>
          </w:p>
        </w:tc>
      </w:tr>
      <w:tr w14:paraId="41B3959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28" w:type="dxa"/>
            <w:left w:w="28" w:type="dxa"/>
            <w:bottom w:w="28" w:type="dxa"/>
            <w:right w:w="28" w:type="dxa"/>
          </w:tblCellMar>
        </w:tblPrEx>
        <w:trPr>
          <w:trHeight w:val="510" w:hRule="atLeast"/>
        </w:trPr>
        <w:tc>
          <w:tcPr>
            <w:tcW w:w="738" w:type="dxa"/>
            <w:tcBorders>
              <w:top w:val="single" w:color="auto" w:sz="6" w:space="0"/>
              <w:left w:val="single" w:color="auto" w:sz="12" w:space="0"/>
              <w:right w:val="single" w:color="auto" w:sz="6" w:space="0"/>
            </w:tcBorders>
            <w:vAlign w:val="center"/>
          </w:tcPr>
          <w:p w14:paraId="3C491106">
            <w:pPr>
              <w:keepNext/>
              <w:keepLines/>
              <w:widowControl w:val="0"/>
              <w:suppressLineNumbers w:val="0"/>
              <w:spacing w:before="0" w:beforeAutospacing="0" w:after="0" w:afterAutospacing="0" w:line="240" w:lineRule="auto"/>
              <w:ind w:left="0" w:right="0"/>
              <w:jc w:val="center"/>
              <w:outlineLvl w:val="9"/>
              <w:rPr>
                <w:rFonts w:ascii="宋体" w:hAnsi="宋体" w:eastAsia="宋体" w:cs="宋体"/>
                <w:b/>
                <w:bCs/>
                <w:color w:val="auto"/>
                <w:kern w:val="2"/>
                <w:sz w:val="21"/>
                <w:szCs w:val="21"/>
                <w:highlight w:val="none"/>
                <w:lang w:val="en-US" w:eastAsia="zh-CN" w:bidi="ar-SA"/>
              </w:rPr>
            </w:pPr>
            <w:bookmarkStart w:id="117" w:name="_Toc19434"/>
            <w:bookmarkStart w:id="118" w:name="_Toc7364"/>
            <w:bookmarkStart w:id="119" w:name="_Toc19802"/>
            <w:bookmarkStart w:id="120" w:name="_Toc11374"/>
            <w:bookmarkStart w:id="121" w:name="_Hlk82816575"/>
            <w:r>
              <w:rPr>
                <w:rFonts w:hint="eastAsia" w:ascii="宋体" w:hAnsi="宋体" w:eastAsia="宋体" w:cs="宋体"/>
                <w:b w:val="0"/>
                <w:bCs/>
                <w:color w:val="auto"/>
                <w:kern w:val="2"/>
                <w:sz w:val="21"/>
                <w:szCs w:val="21"/>
                <w:highlight w:val="none"/>
                <w:lang w:val="en-US" w:eastAsia="zh-CN" w:bidi="ar-SA"/>
              </w:rPr>
              <w:t>17</w:t>
            </w:r>
            <w:bookmarkEnd w:id="117"/>
            <w:bookmarkEnd w:id="118"/>
            <w:bookmarkEnd w:id="119"/>
            <w:bookmarkEnd w:id="120"/>
          </w:p>
        </w:tc>
        <w:tc>
          <w:tcPr>
            <w:tcW w:w="1221" w:type="dxa"/>
            <w:tcBorders>
              <w:top w:val="single" w:color="auto" w:sz="6" w:space="0"/>
              <w:left w:val="single" w:color="auto" w:sz="6" w:space="0"/>
              <w:right w:val="single" w:color="auto" w:sz="6" w:space="0"/>
            </w:tcBorders>
            <w:vAlign w:val="center"/>
          </w:tcPr>
          <w:p w14:paraId="5C19AC8D">
            <w:pPr>
              <w:keepNext/>
              <w:keepLines/>
              <w:widowControl w:val="0"/>
              <w:suppressLineNumbers w:val="0"/>
              <w:spacing w:before="0" w:beforeAutospacing="0" w:after="0" w:afterAutospacing="0" w:line="240" w:lineRule="auto"/>
              <w:ind w:left="0" w:right="0"/>
              <w:jc w:val="center"/>
              <w:outlineLvl w:val="9"/>
              <w:rPr>
                <w:rFonts w:ascii="宋体" w:hAnsi="宋体" w:eastAsia="宋体" w:cs="宋体"/>
                <w:b/>
                <w:bCs/>
                <w:color w:val="auto"/>
                <w:kern w:val="2"/>
                <w:sz w:val="21"/>
                <w:szCs w:val="21"/>
                <w:highlight w:val="none"/>
                <w:lang w:val="en-US" w:eastAsia="zh-CN" w:bidi="ar-SA"/>
              </w:rPr>
            </w:pPr>
            <w:bookmarkStart w:id="122" w:name="_Toc17238"/>
            <w:bookmarkStart w:id="123" w:name="_Toc1791"/>
            <w:bookmarkStart w:id="124" w:name="_Toc14667"/>
            <w:r>
              <w:rPr>
                <w:rFonts w:hint="eastAsia" w:ascii="宋体" w:hAnsi="宋体" w:eastAsia="宋体" w:cs="宋体"/>
                <w:b w:val="0"/>
                <w:bCs/>
                <w:color w:val="auto"/>
                <w:kern w:val="2"/>
                <w:sz w:val="21"/>
                <w:szCs w:val="21"/>
                <w:highlight w:val="none"/>
                <w:lang w:val="en-US" w:eastAsia="zh-CN" w:bidi="ar-SA"/>
              </w:rPr>
              <w:t>17.3.2</w:t>
            </w:r>
            <w:bookmarkEnd w:id="122"/>
            <w:bookmarkEnd w:id="123"/>
            <w:bookmarkEnd w:id="124"/>
          </w:p>
        </w:tc>
        <w:tc>
          <w:tcPr>
            <w:tcW w:w="7283" w:type="dxa"/>
            <w:tcBorders>
              <w:top w:val="single" w:color="auto" w:sz="6" w:space="0"/>
              <w:left w:val="single" w:color="auto" w:sz="6" w:space="0"/>
              <w:right w:val="single" w:color="auto" w:sz="12" w:space="0"/>
            </w:tcBorders>
            <w:vAlign w:val="center"/>
          </w:tcPr>
          <w:p w14:paraId="5FD89C13">
            <w:pPr>
              <w:keepNext/>
              <w:keepLines/>
              <w:widowControl w:val="0"/>
              <w:suppressLineNumbers w:val="0"/>
              <w:spacing w:before="0" w:beforeAutospacing="0" w:after="0" w:afterAutospacing="0" w:line="240" w:lineRule="auto"/>
              <w:ind w:left="63" w:leftChars="30" w:right="63" w:rightChars="30"/>
              <w:jc w:val="left"/>
              <w:outlineLvl w:val="9"/>
              <w:rPr>
                <w:rFonts w:ascii="宋体" w:hAnsi="宋体" w:eastAsia="宋体" w:cs="宋体"/>
                <w:b/>
                <w:bCs/>
                <w:color w:val="auto"/>
                <w:kern w:val="2"/>
                <w:sz w:val="21"/>
                <w:szCs w:val="21"/>
                <w:highlight w:val="none"/>
                <w:lang w:val="en-US" w:eastAsia="zh-CN" w:bidi="ar-SA"/>
              </w:rPr>
            </w:pPr>
            <w:bookmarkStart w:id="125" w:name="_Toc2677"/>
            <w:bookmarkStart w:id="126" w:name="_Toc8377"/>
            <w:bookmarkStart w:id="127" w:name="_Toc8542"/>
            <w:r>
              <w:rPr>
                <w:rFonts w:hint="eastAsia" w:ascii="宋体" w:hAnsi="宋体" w:eastAsia="宋体" w:cs="宋体"/>
                <w:b w:val="0"/>
                <w:bCs/>
                <w:color w:val="auto"/>
                <w:kern w:val="2"/>
                <w:sz w:val="21"/>
                <w:szCs w:val="21"/>
                <w:highlight w:val="none"/>
                <w:lang w:val="en-US" w:eastAsia="zh-CN" w:bidi="ar-SA"/>
              </w:rPr>
              <w:t>承包人在每个付款周期末向监理人提交进度付款申请单的份数：</w:t>
            </w:r>
            <w:r>
              <w:rPr>
                <w:rFonts w:hint="eastAsia" w:ascii="宋体" w:hAnsi="宋体" w:eastAsia="宋体" w:cs="宋体"/>
                <w:b w:val="0"/>
                <w:bCs/>
                <w:color w:val="auto"/>
                <w:kern w:val="2"/>
                <w:sz w:val="21"/>
                <w:szCs w:val="21"/>
                <w:highlight w:val="none"/>
                <w:u w:val="single"/>
                <w:lang w:val="en-US" w:eastAsia="zh-CN" w:bidi="ar-SA"/>
              </w:rPr>
              <w:t xml:space="preserve"> 6 </w:t>
            </w:r>
            <w:r>
              <w:rPr>
                <w:rFonts w:hint="eastAsia" w:ascii="宋体" w:hAnsi="宋体" w:eastAsia="宋体" w:cs="宋体"/>
                <w:b w:val="0"/>
                <w:bCs/>
                <w:color w:val="auto"/>
                <w:kern w:val="2"/>
                <w:sz w:val="21"/>
                <w:szCs w:val="21"/>
                <w:highlight w:val="none"/>
                <w:lang w:val="en-US" w:eastAsia="zh-CN" w:bidi="ar-SA"/>
              </w:rPr>
              <w:t>份</w:t>
            </w:r>
            <w:bookmarkEnd w:id="125"/>
            <w:bookmarkEnd w:id="126"/>
            <w:bookmarkEnd w:id="127"/>
          </w:p>
        </w:tc>
      </w:tr>
      <w:tr w14:paraId="65988CD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28" w:type="dxa"/>
            <w:left w:w="28" w:type="dxa"/>
            <w:bottom w:w="28" w:type="dxa"/>
            <w:right w:w="28" w:type="dxa"/>
          </w:tblCellMar>
        </w:tblPrEx>
        <w:trPr>
          <w:trHeight w:val="510" w:hRule="atLeast"/>
        </w:trPr>
        <w:tc>
          <w:tcPr>
            <w:tcW w:w="738" w:type="dxa"/>
            <w:tcBorders>
              <w:top w:val="single" w:color="auto" w:sz="6" w:space="0"/>
              <w:left w:val="single" w:color="auto" w:sz="12" w:space="0"/>
              <w:right w:val="single" w:color="auto" w:sz="6" w:space="0"/>
            </w:tcBorders>
            <w:vAlign w:val="center"/>
          </w:tcPr>
          <w:p w14:paraId="5DE146F1">
            <w:pPr>
              <w:keepNext/>
              <w:keepLines/>
              <w:widowControl w:val="0"/>
              <w:suppressLineNumbers w:val="0"/>
              <w:spacing w:before="0" w:beforeAutospacing="0" w:after="0" w:afterAutospacing="0" w:line="240" w:lineRule="auto"/>
              <w:ind w:left="0" w:right="0"/>
              <w:jc w:val="center"/>
              <w:outlineLvl w:val="9"/>
              <w:rPr>
                <w:rFonts w:ascii="宋体" w:hAnsi="宋体" w:eastAsia="宋体" w:cs="宋体"/>
                <w:b/>
                <w:bCs/>
                <w:color w:val="auto"/>
                <w:kern w:val="2"/>
                <w:sz w:val="21"/>
                <w:szCs w:val="21"/>
                <w:highlight w:val="none"/>
                <w:lang w:val="en-US" w:eastAsia="zh-CN" w:bidi="ar-SA"/>
              </w:rPr>
            </w:pPr>
            <w:bookmarkStart w:id="128" w:name="_Toc32387"/>
            <w:bookmarkStart w:id="129" w:name="_Toc6781"/>
            <w:bookmarkStart w:id="130" w:name="_Toc9821"/>
            <w:bookmarkStart w:id="131" w:name="_Toc25206"/>
            <w:r>
              <w:rPr>
                <w:rFonts w:hint="eastAsia" w:ascii="宋体" w:hAnsi="宋体" w:eastAsia="宋体" w:cs="宋体"/>
                <w:b w:val="0"/>
                <w:bCs/>
                <w:color w:val="auto"/>
                <w:kern w:val="2"/>
                <w:sz w:val="21"/>
                <w:szCs w:val="21"/>
                <w:highlight w:val="none"/>
                <w:lang w:val="en-US" w:eastAsia="zh-CN" w:bidi="ar-SA"/>
              </w:rPr>
              <w:t>18</w:t>
            </w:r>
            <w:bookmarkEnd w:id="128"/>
            <w:bookmarkEnd w:id="129"/>
            <w:bookmarkEnd w:id="130"/>
            <w:bookmarkEnd w:id="131"/>
          </w:p>
        </w:tc>
        <w:tc>
          <w:tcPr>
            <w:tcW w:w="1221" w:type="dxa"/>
            <w:tcBorders>
              <w:top w:val="single" w:color="auto" w:sz="6" w:space="0"/>
              <w:left w:val="single" w:color="auto" w:sz="6" w:space="0"/>
              <w:right w:val="single" w:color="auto" w:sz="6" w:space="0"/>
            </w:tcBorders>
            <w:vAlign w:val="center"/>
          </w:tcPr>
          <w:p w14:paraId="5E82A029">
            <w:pPr>
              <w:keepNext/>
              <w:keepLines/>
              <w:widowControl w:val="0"/>
              <w:suppressLineNumbers w:val="0"/>
              <w:spacing w:before="0" w:beforeAutospacing="0" w:after="0" w:afterAutospacing="0" w:line="276" w:lineRule="auto"/>
              <w:ind w:left="0" w:right="0"/>
              <w:jc w:val="center"/>
              <w:outlineLvl w:val="9"/>
              <w:rPr>
                <w:rFonts w:ascii="宋体" w:hAnsi="宋体" w:eastAsia="宋体" w:cs="宋体"/>
                <w:b w:val="0"/>
                <w:bCs/>
                <w:color w:val="auto"/>
                <w:kern w:val="2"/>
                <w:sz w:val="21"/>
                <w:szCs w:val="21"/>
                <w:highlight w:val="none"/>
                <w:lang w:val="en-US" w:eastAsia="zh-CN" w:bidi="ar-SA"/>
              </w:rPr>
            </w:pPr>
            <w:bookmarkStart w:id="132" w:name="_Toc18315"/>
            <w:bookmarkStart w:id="133" w:name="_Toc16195"/>
            <w:bookmarkStart w:id="134" w:name="_Toc15656"/>
            <w:r>
              <w:rPr>
                <w:rFonts w:hint="eastAsia" w:ascii="宋体" w:hAnsi="宋体" w:eastAsia="宋体" w:cs="宋体"/>
                <w:b w:val="0"/>
                <w:bCs/>
                <w:color w:val="auto"/>
                <w:kern w:val="2"/>
                <w:sz w:val="21"/>
                <w:szCs w:val="21"/>
                <w:highlight w:val="none"/>
                <w:lang w:val="en-US" w:eastAsia="zh-CN" w:bidi="ar-SA"/>
              </w:rPr>
              <w:t>17.3.3（1）</w:t>
            </w:r>
            <w:bookmarkEnd w:id="132"/>
            <w:bookmarkEnd w:id="133"/>
            <w:bookmarkEnd w:id="134"/>
          </w:p>
        </w:tc>
        <w:tc>
          <w:tcPr>
            <w:tcW w:w="7283" w:type="dxa"/>
            <w:tcBorders>
              <w:top w:val="single" w:color="auto" w:sz="6" w:space="0"/>
              <w:left w:val="single" w:color="auto" w:sz="6" w:space="0"/>
              <w:right w:val="single" w:color="auto" w:sz="12" w:space="0"/>
            </w:tcBorders>
            <w:vAlign w:val="center"/>
          </w:tcPr>
          <w:p w14:paraId="2899B4A6">
            <w:pPr>
              <w:keepNext/>
              <w:keepLines/>
              <w:widowControl w:val="0"/>
              <w:suppressLineNumbers w:val="0"/>
              <w:spacing w:before="0" w:beforeAutospacing="0" w:after="0" w:afterAutospacing="0" w:line="276" w:lineRule="auto"/>
              <w:ind w:left="63" w:leftChars="30" w:right="63" w:rightChars="30"/>
              <w:jc w:val="left"/>
              <w:outlineLvl w:val="9"/>
              <w:rPr>
                <w:rFonts w:ascii="宋体" w:hAnsi="宋体" w:eastAsia="宋体" w:cs="宋体"/>
                <w:b w:val="0"/>
                <w:bCs/>
                <w:color w:val="auto"/>
                <w:kern w:val="2"/>
                <w:sz w:val="21"/>
                <w:szCs w:val="21"/>
                <w:highlight w:val="none"/>
                <w:lang w:val="en-US" w:eastAsia="zh-CN" w:bidi="ar-SA"/>
              </w:rPr>
            </w:pPr>
            <w:bookmarkStart w:id="135" w:name="_Toc31412"/>
            <w:bookmarkStart w:id="136" w:name="_Toc12069"/>
            <w:bookmarkStart w:id="137" w:name="_Toc25538"/>
            <w:r>
              <w:rPr>
                <w:rFonts w:hint="eastAsia" w:ascii="宋体" w:hAnsi="宋体" w:eastAsia="宋体" w:cs="宋体"/>
                <w:b w:val="0"/>
                <w:bCs/>
                <w:color w:val="auto"/>
                <w:kern w:val="2"/>
                <w:sz w:val="21"/>
                <w:szCs w:val="21"/>
                <w:highlight w:val="none"/>
                <w:lang w:val="en-US" w:eastAsia="zh-CN" w:bidi="ar-SA"/>
              </w:rPr>
              <w:t>进度付款证书最低限额：</w:t>
            </w:r>
            <w:bookmarkEnd w:id="135"/>
            <w:r>
              <w:rPr>
                <w:rFonts w:hint="eastAsia" w:ascii="宋体" w:hAnsi="宋体" w:eastAsia="宋体" w:cs="宋体"/>
                <w:b/>
                <w:bCs/>
                <w:color w:val="auto"/>
                <w:kern w:val="2"/>
                <w:sz w:val="21"/>
                <w:szCs w:val="21"/>
                <w:highlight w:val="none"/>
                <w:u w:val="single"/>
                <w:lang w:val="en-US" w:eastAsia="zh-CN" w:bidi="ar-SA"/>
              </w:rPr>
              <w:t xml:space="preserve">  /   </w:t>
            </w:r>
            <w:r>
              <w:rPr>
                <w:rFonts w:hint="eastAsia" w:ascii="宋体" w:hAnsi="宋体" w:eastAsia="宋体" w:cs="宋体"/>
                <w:b/>
                <w:bCs/>
                <w:color w:val="auto"/>
                <w:kern w:val="2"/>
                <w:sz w:val="21"/>
                <w:szCs w:val="21"/>
                <w:highlight w:val="none"/>
                <w:lang w:val="en-US" w:eastAsia="zh-CN" w:bidi="ar-SA"/>
              </w:rPr>
              <w:t>%签约合同价或</w:t>
            </w:r>
            <w:r>
              <w:rPr>
                <w:rFonts w:hint="eastAsia" w:ascii="宋体" w:hAnsi="宋体" w:eastAsia="宋体" w:cs="宋体"/>
                <w:b/>
                <w:bCs/>
                <w:color w:val="auto"/>
                <w:kern w:val="2"/>
                <w:sz w:val="21"/>
                <w:szCs w:val="21"/>
                <w:highlight w:val="none"/>
                <w:u w:val="single"/>
                <w:lang w:val="en-US" w:eastAsia="zh-CN" w:bidi="ar-SA"/>
              </w:rPr>
              <w:t xml:space="preserve"> / </w:t>
            </w:r>
            <w:r>
              <w:rPr>
                <w:rFonts w:hint="eastAsia" w:ascii="宋体" w:hAnsi="宋体" w:eastAsia="宋体" w:cs="宋体"/>
                <w:b/>
                <w:bCs/>
                <w:color w:val="auto"/>
                <w:kern w:val="2"/>
                <w:sz w:val="21"/>
                <w:szCs w:val="21"/>
                <w:highlight w:val="none"/>
                <w:lang w:val="en-US" w:eastAsia="zh-CN" w:bidi="ar-SA"/>
              </w:rPr>
              <w:t>万元</w:t>
            </w:r>
            <w:bookmarkEnd w:id="136"/>
            <w:bookmarkEnd w:id="137"/>
          </w:p>
        </w:tc>
      </w:tr>
      <w:tr w14:paraId="5C7F77A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28" w:type="dxa"/>
            <w:left w:w="28" w:type="dxa"/>
            <w:bottom w:w="28" w:type="dxa"/>
            <w:right w:w="28" w:type="dxa"/>
          </w:tblCellMar>
        </w:tblPrEx>
        <w:trPr>
          <w:trHeight w:val="510" w:hRule="atLeast"/>
        </w:trPr>
        <w:tc>
          <w:tcPr>
            <w:tcW w:w="738" w:type="dxa"/>
            <w:tcBorders>
              <w:top w:val="single" w:color="auto" w:sz="6" w:space="0"/>
              <w:left w:val="single" w:color="auto" w:sz="12" w:space="0"/>
              <w:right w:val="single" w:color="auto" w:sz="6" w:space="0"/>
            </w:tcBorders>
            <w:vAlign w:val="center"/>
          </w:tcPr>
          <w:p w14:paraId="6B74B36D">
            <w:pPr>
              <w:keepNext/>
              <w:keepLines/>
              <w:widowControl w:val="0"/>
              <w:suppressLineNumbers w:val="0"/>
              <w:spacing w:before="0" w:beforeAutospacing="0" w:after="0" w:afterAutospacing="0" w:line="276" w:lineRule="auto"/>
              <w:ind w:left="0" w:right="0"/>
              <w:jc w:val="center"/>
              <w:outlineLvl w:val="9"/>
              <w:rPr>
                <w:rFonts w:ascii="宋体" w:hAnsi="宋体" w:eastAsia="宋体" w:cs="宋体"/>
                <w:b w:val="0"/>
                <w:bCs/>
                <w:color w:val="auto"/>
                <w:kern w:val="2"/>
                <w:sz w:val="21"/>
                <w:szCs w:val="21"/>
                <w:highlight w:val="none"/>
                <w:lang w:val="en-US" w:eastAsia="zh-CN" w:bidi="ar-SA"/>
              </w:rPr>
            </w:pPr>
            <w:bookmarkStart w:id="138" w:name="_Toc32516"/>
            <w:bookmarkStart w:id="139" w:name="_Toc3496"/>
            <w:bookmarkStart w:id="140" w:name="_Toc1976"/>
            <w:bookmarkStart w:id="141" w:name="_Toc4607"/>
            <w:r>
              <w:rPr>
                <w:rFonts w:hint="eastAsia" w:ascii="宋体" w:hAnsi="宋体" w:eastAsia="宋体" w:cs="宋体"/>
                <w:b w:val="0"/>
                <w:bCs/>
                <w:color w:val="auto"/>
                <w:kern w:val="2"/>
                <w:sz w:val="21"/>
                <w:szCs w:val="21"/>
                <w:highlight w:val="none"/>
                <w:lang w:val="en-US" w:eastAsia="zh-CN" w:bidi="ar-SA"/>
              </w:rPr>
              <w:t>19</w:t>
            </w:r>
            <w:bookmarkEnd w:id="138"/>
            <w:bookmarkEnd w:id="139"/>
            <w:bookmarkEnd w:id="140"/>
            <w:bookmarkEnd w:id="141"/>
          </w:p>
        </w:tc>
        <w:tc>
          <w:tcPr>
            <w:tcW w:w="1221" w:type="dxa"/>
            <w:tcBorders>
              <w:top w:val="single" w:color="auto" w:sz="6" w:space="0"/>
              <w:left w:val="single" w:color="auto" w:sz="6" w:space="0"/>
              <w:right w:val="single" w:color="auto" w:sz="6" w:space="0"/>
            </w:tcBorders>
            <w:vAlign w:val="center"/>
          </w:tcPr>
          <w:p w14:paraId="0D6230E3">
            <w:pPr>
              <w:keepNext/>
              <w:keepLines/>
              <w:widowControl w:val="0"/>
              <w:suppressLineNumbers w:val="0"/>
              <w:spacing w:before="0" w:beforeAutospacing="0" w:after="0" w:afterAutospacing="0" w:line="276" w:lineRule="auto"/>
              <w:ind w:left="0" w:right="0"/>
              <w:jc w:val="center"/>
              <w:outlineLvl w:val="9"/>
              <w:rPr>
                <w:rFonts w:ascii="宋体" w:hAnsi="宋体" w:eastAsia="宋体" w:cs="宋体"/>
                <w:b w:val="0"/>
                <w:bCs/>
                <w:color w:val="auto"/>
                <w:kern w:val="2"/>
                <w:sz w:val="21"/>
                <w:szCs w:val="21"/>
                <w:highlight w:val="none"/>
                <w:lang w:val="en-US" w:eastAsia="zh-CN" w:bidi="ar-SA"/>
              </w:rPr>
            </w:pPr>
            <w:bookmarkStart w:id="142" w:name="_Toc6731"/>
            <w:bookmarkStart w:id="143" w:name="_Toc785"/>
            <w:bookmarkStart w:id="144" w:name="_Toc26424"/>
            <w:r>
              <w:rPr>
                <w:rFonts w:hint="eastAsia" w:ascii="宋体" w:hAnsi="宋体" w:eastAsia="宋体" w:cs="宋体"/>
                <w:b w:val="0"/>
                <w:bCs/>
                <w:color w:val="auto"/>
                <w:kern w:val="2"/>
                <w:sz w:val="21"/>
                <w:szCs w:val="21"/>
                <w:highlight w:val="none"/>
                <w:lang w:val="en-US" w:eastAsia="zh-CN" w:bidi="ar-SA"/>
              </w:rPr>
              <w:t>17.3.3（2）</w:t>
            </w:r>
            <w:bookmarkEnd w:id="142"/>
            <w:bookmarkEnd w:id="143"/>
            <w:bookmarkEnd w:id="144"/>
          </w:p>
        </w:tc>
        <w:tc>
          <w:tcPr>
            <w:tcW w:w="7283" w:type="dxa"/>
            <w:tcBorders>
              <w:top w:val="single" w:color="auto" w:sz="6" w:space="0"/>
              <w:left w:val="single" w:color="auto" w:sz="6" w:space="0"/>
              <w:right w:val="single" w:color="auto" w:sz="12" w:space="0"/>
            </w:tcBorders>
            <w:vAlign w:val="center"/>
          </w:tcPr>
          <w:p w14:paraId="55E95B6E">
            <w:pPr>
              <w:keepNext/>
              <w:keepLines/>
              <w:widowControl w:val="0"/>
              <w:suppressLineNumbers w:val="0"/>
              <w:spacing w:before="0" w:beforeAutospacing="0" w:after="0" w:afterAutospacing="0" w:line="276" w:lineRule="auto"/>
              <w:ind w:left="63" w:leftChars="30" w:right="63" w:rightChars="30"/>
              <w:jc w:val="left"/>
              <w:outlineLvl w:val="9"/>
              <w:rPr>
                <w:rFonts w:ascii="宋体" w:hAnsi="宋体" w:eastAsia="宋体" w:cs="宋体"/>
                <w:b w:val="0"/>
                <w:bCs/>
                <w:color w:val="auto"/>
                <w:kern w:val="2"/>
                <w:sz w:val="21"/>
                <w:szCs w:val="21"/>
                <w:highlight w:val="none"/>
                <w:lang w:val="en-US" w:eastAsia="zh-CN" w:bidi="ar-SA"/>
              </w:rPr>
            </w:pPr>
            <w:bookmarkStart w:id="145" w:name="_Toc11358"/>
            <w:bookmarkStart w:id="146" w:name="_Toc912"/>
            <w:bookmarkStart w:id="147" w:name="_Toc28276"/>
            <w:r>
              <w:rPr>
                <w:rFonts w:hint="eastAsia" w:ascii="宋体" w:hAnsi="宋体" w:eastAsia="宋体" w:cs="宋体"/>
                <w:b w:val="0"/>
                <w:bCs/>
                <w:color w:val="auto"/>
                <w:kern w:val="2"/>
                <w:sz w:val="21"/>
                <w:szCs w:val="21"/>
                <w:highlight w:val="none"/>
                <w:lang w:val="en-US" w:eastAsia="zh-CN" w:bidi="ar-SA"/>
              </w:rPr>
              <w:t>逾期付款违约金的利率：中国人民银行授权全国银行间同业拆借中心发布的贷款市场报价利率一年期 （LPR）加手续费计算（不计复利）</w:t>
            </w:r>
            <w:bookmarkEnd w:id="145"/>
            <w:bookmarkEnd w:id="146"/>
            <w:bookmarkEnd w:id="147"/>
          </w:p>
        </w:tc>
      </w:tr>
      <w:bookmarkEnd w:id="121"/>
      <w:tr w14:paraId="72D33F4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28" w:type="dxa"/>
            <w:left w:w="28" w:type="dxa"/>
            <w:bottom w:w="28" w:type="dxa"/>
            <w:right w:w="28" w:type="dxa"/>
          </w:tblCellMar>
        </w:tblPrEx>
        <w:trPr>
          <w:trHeight w:val="2914" w:hRule="atLeast"/>
        </w:trPr>
        <w:tc>
          <w:tcPr>
            <w:tcW w:w="738" w:type="dxa"/>
            <w:tcBorders>
              <w:top w:val="single" w:color="auto" w:sz="6" w:space="0"/>
              <w:left w:val="single" w:color="auto" w:sz="12" w:space="0"/>
              <w:right w:val="single" w:color="auto" w:sz="6" w:space="0"/>
            </w:tcBorders>
            <w:vAlign w:val="center"/>
          </w:tcPr>
          <w:p w14:paraId="1011E43A">
            <w:pPr>
              <w:keepNext/>
              <w:keepLines/>
              <w:widowControl w:val="0"/>
              <w:suppressLineNumbers w:val="0"/>
              <w:spacing w:before="0" w:beforeAutospacing="0" w:after="0" w:afterAutospacing="0" w:line="276" w:lineRule="auto"/>
              <w:ind w:left="0" w:right="0"/>
              <w:jc w:val="center"/>
              <w:outlineLvl w:val="9"/>
              <w:rPr>
                <w:rFonts w:ascii="宋体" w:hAnsi="宋体" w:eastAsia="宋体" w:cs="宋体"/>
                <w:b w:val="0"/>
                <w:bCs/>
                <w:color w:val="auto"/>
                <w:kern w:val="2"/>
                <w:sz w:val="21"/>
                <w:szCs w:val="21"/>
                <w:highlight w:val="none"/>
                <w:lang w:val="en-US" w:eastAsia="zh-CN" w:bidi="ar-SA"/>
              </w:rPr>
            </w:pPr>
            <w:bookmarkStart w:id="148" w:name="_Toc7884"/>
            <w:bookmarkStart w:id="149" w:name="_Toc17585"/>
            <w:bookmarkStart w:id="150" w:name="_Toc29541"/>
            <w:bookmarkStart w:id="151" w:name="_Toc31610"/>
            <w:r>
              <w:rPr>
                <w:rFonts w:hint="eastAsia" w:ascii="宋体" w:hAnsi="宋体" w:eastAsia="宋体" w:cs="宋体"/>
                <w:b w:val="0"/>
                <w:bCs/>
                <w:color w:val="auto"/>
                <w:kern w:val="2"/>
                <w:sz w:val="21"/>
                <w:szCs w:val="21"/>
                <w:highlight w:val="none"/>
                <w:lang w:val="en-US" w:eastAsia="zh-CN" w:bidi="ar-SA"/>
              </w:rPr>
              <w:t>20</w:t>
            </w:r>
            <w:bookmarkEnd w:id="148"/>
            <w:bookmarkEnd w:id="149"/>
            <w:bookmarkEnd w:id="150"/>
            <w:bookmarkEnd w:id="151"/>
          </w:p>
        </w:tc>
        <w:tc>
          <w:tcPr>
            <w:tcW w:w="1221" w:type="dxa"/>
            <w:tcBorders>
              <w:top w:val="single" w:color="auto" w:sz="6" w:space="0"/>
              <w:left w:val="single" w:color="auto" w:sz="6" w:space="0"/>
              <w:right w:val="single" w:color="auto" w:sz="6" w:space="0"/>
            </w:tcBorders>
            <w:vAlign w:val="center"/>
          </w:tcPr>
          <w:p w14:paraId="112E152D">
            <w:pPr>
              <w:keepNext/>
              <w:keepLines/>
              <w:widowControl w:val="0"/>
              <w:suppressLineNumbers w:val="0"/>
              <w:spacing w:before="0" w:beforeAutospacing="0" w:after="0" w:afterAutospacing="0" w:line="276" w:lineRule="auto"/>
              <w:ind w:left="0" w:right="0"/>
              <w:jc w:val="center"/>
              <w:outlineLvl w:val="9"/>
              <w:rPr>
                <w:rFonts w:ascii="宋体" w:hAnsi="宋体" w:eastAsia="宋体" w:cs="宋体"/>
                <w:b w:val="0"/>
                <w:bCs/>
                <w:color w:val="auto"/>
                <w:kern w:val="2"/>
                <w:sz w:val="21"/>
                <w:szCs w:val="21"/>
                <w:highlight w:val="none"/>
                <w:lang w:val="en-US" w:eastAsia="zh-CN" w:bidi="ar-SA"/>
              </w:rPr>
            </w:pPr>
            <w:bookmarkStart w:id="152" w:name="_Toc1512"/>
            <w:bookmarkStart w:id="153" w:name="_Toc20750"/>
            <w:bookmarkStart w:id="154" w:name="_Toc4213"/>
            <w:r>
              <w:rPr>
                <w:rFonts w:hint="eastAsia" w:ascii="宋体" w:hAnsi="宋体" w:eastAsia="宋体" w:cs="宋体"/>
                <w:b w:val="0"/>
                <w:bCs/>
                <w:color w:val="auto"/>
                <w:kern w:val="2"/>
                <w:sz w:val="21"/>
                <w:szCs w:val="21"/>
                <w:highlight w:val="none"/>
                <w:lang w:val="en-US" w:eastAsia="zh-CN" w:bidi="ar-SA"/>
              </w:rPr>
              <w:t>17.4.1</w:t>
            </w:r>
            <w:bookmarkEnd w:id="152"/>
            <w:bookmarkEnd w:id="153"/>
            <w:bookmarkEnd w:id="154"/>
          </w:p>
        </w:tc>
        <w:tc>
          <w:tcPr>
            <w:tcW w:w="7283" w:type="dxa"/>
            <w:tcBorders>
              <w:top w:val="single" w:color="auto" w:sz="6" w:space="0"/>
              <w:left w:val="single" w:color="auto" w:sz="6" w:space="0"/>
              <w:right w:val="single" w:color="auto" w:sz="12" w:space="0"/>
            </w:tcBorders>
            <w:vAlign w:val="center"/>
          </w:tcPr>
          <w:p w14:paraId="65ED56D0">
            <w:pPr>
              <w:keepNext w:val="0"/>
              <w:keepLines w:val="0"/>
              <w:widowControl w:val="0"/>
              <w:suppressLineNumbers w:val="0"/>
              <w:spacing w:before="0" w:beforeAutospacing="0" w:after="0" w:afterAutospacing="0" w:line="320" w:lineRule="exact"/>
              <w:ind w:left="0" w:right="63" w:rightChars="30" w:firstLine="420" w:firstLineChars="200"/>
              <w:rPr>
                <w:rFonts w:ascii="宋体" w:hAnsi="宋体" w:eastAsia="宋体" w:cs="宋体"/>
                <w:color w:val="auto"/>
                <w:highlight w:val="none"/>
              </w:rPr>
            </w:pPr>
            <w:r>
              <w:rPr>
                <w:rFonts w:hint="eastAsia" w:ascii="宋体" w:hAnsi="宋体" w:eastAsia="宋体" w:cs="宋体"/>
                <w:color w:val="auto"/>
                <w:highlight w:val="none"/>
              </w:rPr>
              <w:t>质量保证金限额：1.5％合同价。</w:t>
            </w:r>
          </w:p>
          <w:p w14:paraId="19CE944E">
            <w:pPr>
              <w:keepNext w:val="0"/>
              <w:keepLines w:val="0"/>
              <w:widowControl w:val="0"/>
              <w:suppressLineNumbers w:val="0"/>
              <w:spacing w:before="0" w:beforeAutospacing="0" w:after="0" w:afterAutospacing="0" w:line="320" w:lineRule="exact"/>
              <w:ind w:left="0" w:right="63" w:rightChars="30" w:firstLine="420" w:firstLineChars="200"/>
              <w:rPr>
                <w:rFonts w:ascii="宋体" w:hAnsi="宋体" w:eastAsia="宋体" w:cs="宋体"/>
                <w:color w:val="auto"/>
                <w:highlight w:val="none"/>
              </w:rPr>
            </w:pPr>
            <w:r>
              <w:rPr>
                <w:rFonts w:hint="eastAsia" w:ascii="宋体" w:hAnsi="宋体" w:eastAsia="宋体" w:cs="宋体"/>
                <w:color w:val="auto"/>
                <w:highlight w:val="none"/>
              </w:rPr>
              <w:t>质量保证金形式：现金（电汇或银行汇票形式）或银行保函或保险公司保函或融资担保公司保函。</w:t>
            </w:r>
          </w:p>
          <w:p w14:paraId="3B94480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0" w:right="113" w:firstLine="420" w:firstLineChars="200"/>
              <w:textAlignment w:val="auto"/>
              <w:rPr>
                <w:rFonts w:ascii="宋体" w:hAnsi="宋体" w:eastAsia="宋体" w:cs="宋体"/>
                <w:color w:val="auto"/>
                <w:szCs w:val="21"/>
                <w:highlight w:val="none"/>
              </w:rPr>
            </w:pPr>
            <w:r>
              <w:rPr>
                <w:rFonts w:hint="eastAsia" w:ascii="宋体" w:hAnsi="宋体" w:eastAsia="宋体" w:cs="宋体"/>
                <w:color w:val="auto"/>
                <w:szCs w:val="21"/>
                <w:highlight w:val="none"/>
              </w:rPr>
              <w:t>若采用银行保函，出具履约担保的银行级别：</w:t>
            </w:r>
            <w:r>
              <w:rPr>
                <w:rFonts w:hint="eastAsia" w:ascii="宋体" w:hAnsi="宋体" w:eastAsia="宋体" w:cs="宋体"/>
                <w:color w:val="auto"/>
                <w:szCs w:val="21"/>
                <w:highlight w:val="none"/>
                <w:u w:val="single"/>
              </w:rPr>
              <w:t>国有或股份制商业银行或城市商业银行或外商投资银行县（区、市）级及以上银行</w:t>
            </w:r>
            <w:r>
              <w:rPr>
                <w:rFonts w:hint="eastAsia" w:ascii="宋体" w:hAnsi="宋体" w:eastAsia="宋体" w:cs="宋体"/>
                <w:color w:val="auto"/>
                <w:szCs w:val="21"/>
                <w:highlight w:val="none"/>
              </w:rPr>
              <w:t>。</w:t>
            </w:r>
          </w:p>
          <w:p w14:paraId="7F7D83B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0" w:right="113" w:firstLine="420" w:firstLineChars="200"/>
              <w:textAlignment w:val="auto"/>
              <w:rPr>
                <w:rFonts w:ascii="宋体" w:hAnsi="宋体" w:eastAsia="宋体" w:cs="宋体"/>
                <w:color w:val="auto"/>
                <w:szCs w:val="21"/>
                <w:highlight w:val="none"/>
              </w:rPr>
            </w:pPr>
            <w:r>
              <w:rPr>
                <w:rFonts w:hint="eastAsia" w:ascii="宋体" w:hAnsi="宋体" w:eastAsia="宋体" w:cs="宋体"/>
                <w:color w:val="auto"/>
                <w:szCs w:val="21"/>
                <w:highlight w:val="none"/>
              </w:rPr>
              <w:t>若采用保险公司保函，</w:t>
            </w:r>
            <w:r>
              <w:rPr>
                <w:rFonts w:hint="eastAsia" w:ascii="宋体" w:hAnsi="宋体" w:eastAsia="宋体" w:cs="宋体"/>
                <w:color w:val="auto"/>
                <w:szCs w:val="21"/>
                <w:highlight w:val="none"/>
                <w:u w:val="single"/>
              </w:rPr>
              <w:t>出具保证保险保单的保险公司应具备相应的偿付能力，并须事先征得发包人同意</w:t>
            </w:r>
            <w:r>
              <w:rPr>
                <w:rFonts w:hint="eastAsia" w:ascii="宋体" w:hAnsi="宋体" w:eastAsia="宋体" w:cs="宋体"/>
                <w:color w:val="auto"/>
                <w:szCs w:val="21"/>
                <w:highlight w:val="none"/>
              </w:rPr>
              <w:t>。</w:t>
            </w:r>
          </w:p>
          <w:p w14:paraId="10DB5373">
            <w:pPr>
              <w:keepNext w:val="0"/>
              <w:keepLines w:val="0"/>
              <w:widowControl w:val="0"/>
              <w:suppressLineNumbers w:val="0"/>
              <w:spacing w:before="0" w:beforeAutospacing="0" w:after="0" w:afterAutospacing="0" w:line="320" w:lineRule="exact"/>
              <w:ind w:left="0" w:right="63" w:rightChars="30" w:firstLine="420" w:firstLineChars="200"/>
              <w:rPr>
                <w:rFonts w:ascii="宋体" w:hAnsi="宋体" w:eastAsia="宋体" w:cs="宋体"/>
                <w:b/>
                <w:color w:val="auto"/>
                <w:spacing w:val="-2"/>
                <w:szCs w:val="21"/>
                <w:highlight w:val="none"/>
              </w:rPr>
            </w:pPr>
            <w:r>
              <w:rPr>
                <w:rFonts w:hint="eastAsia" w:ascii="宋体" w:hAnsi="宋体" w:eastAsia="宋体" w:cs="宋体"/>
                <w:color w:val="auto"/>
                <w:szCs w:val="21"/>
                <w:highlight w:val="none"/>
              </w:rPr>
              <w:t>若采用融资担保公司保函，</w:t>
            </w:r>
            <w:r>
              <w:rPr>
                <w:rFonts w:hint="eastAsia" w:ascii="宋体" w:hAnsi="宋体" w:eastAsia="宋体" w:cs="宋体"/>
                <w:color w:val="auto"/>
                <w:szCs w:val="21"/>
                <w:highlight w:val="none"/>
                <w:u w:val="single"/>
              </w:rPr>
              <w:t>出具融资担保公司保函的融资担保公司应具备相应的偿付能力，并须事先征得发包人同意</w:t>
            </w:r>
            <w:r>
              <w:rPr>
                <w:rFonts w:hint="eastAsia" w:ascii="宋体" w:hAnsi="宋体" w:eastAsia="宋体" w:cs="宋体"/>
                <w:color w:val="auto"/>
                <w:highlight w:val="none"/>
              </w:rPr>
              <w:t>。</w:t>
            </w:r>
          </w:p>
        </w:tc>
      </w:tr>
      <w:tr w14:paraId="429BBB1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28" w:type="dxa"/>
            <w:left w:w="28" w:type="dxa"/>
            <w:bottom w:w="28" w:type="dxa"/>
            <w:right w:w="28" w:type="dxa"/>
          </w:tblCellMar>
        </w:tblPrEx>
        <w:trPr>
          <w:trHeight w:val="580" w:hRule="atLeast"/>
        </w:trPr>
        <w:tc>
          <w:tcPr>
            <w:tcW w:w="738" w:type="dxa"/>
            <w:tcBorders>
              <w:top w:val="single" w:color="auto" w:sz="6" w:space="0"/>
              <w:left w:val="single" w:color="auto" w:sz="12" w:space="0"/>
              <w:right w:val="single" w:color="auto" w:sz="6" w:space="0"/>
            </w:tcBorders>
            <w:vAlign w:val="center"/>
          </w:tcPr>
          <w:p w14:paraId="4929837B">
            <w:pPr>
              <w:keepNext/>
              <w:keepLines/>
              <w:widowControl w:val="0"/>
              <w:suppressLineNumbers w:val="0"/>
              <w:spacing w:before="0" w:beforeAutospacing="0" w:after="0" w:afterAutospacing="0" w:line="276" w:lineRule="auto"/>
              <w:ind w:left="0" w:right="0"/>
              <w:jc w:val="center"/>
              <w:outlineLvl w:val="9"/>
              <w:rPr>
                <w:rFonts w:ascii="宋体" w:hAnsi="宋体" w:eastAsia="宋体" w:cs="宋体"/>
                <w:b w:val="0"/>
                <w:bCs/>
                <w:color w:val="auto"/>
                <w:kern w:val="2"/>
                <w:sz w:val="21"/>
                <w:szCs w:val="21"/>
                <w:highlight w:val="none"/>
                <w:lang w:val="en-US" w:eastAsia="zh-CN" w:bidi="ar-SA"/>
              </w:rPr>
            </w:pPr>
            <w:bookmarkStart w:id="155" w:name="_Toc31380"/>
            <w:bookmarkStart w:id="156" w:name="_Toc17678"/>
            <w:bookmarkStart w:id="157" w:name="_Toc32667"/>
            <w:bookmarkStart w:id="158" w:name="_Toc25808"/>
            <w:r>
              <w:rPr>
                <w:rFonts w:hint="eastAsia" w:ascii="宋体" w:hAnsi="宋体" w:eastAsia="宋体" w:cs="宋体"/>
                <w:b w:val="0"/>
                <w:bCs/>
                <w:color w:val="auto"/>
                <w:kern w:val="2"/>
                <w:sz w:val="21"/>
                <w:szCs w:val="21"/>
                <w:highlight w:val="none"/>
                <w:lang w:val="en-US" w:eastAsia="zh-CN" w:bidi="ar-SA"/>
              </w:rPr>
              <w:t>21</w:t>
            </w:r>
            <w:bookmarkEnd w:id="155"/>
            <w:bookmarkEnd w:id="156"/>
            <w:bookmarkEnd w:id="157"/>
            <w:bookmarkEnd w:id="158"/>
          </w:p>
        </w:tc>
        <w:tc>
          <w:tcPr>
            <w:tcW w:w="1221" w:type="dxa"/>
            <w:tcBorders>
              <w:top w:val="single" w:color="auto" w:sz="6" w:space="0"/>
              <w:left w:val="single" w:color="auto" w:sz="6" w:space="0"/>
              <w:right w:val="single" w:color="auto" w:sz="6" w:space="0"/>
            </w:tcBorders>
            <w:vAlign w:val="center"/>
          </w:tcPr>
          <w:p w14:paraId="4DA6A052">
            <w:pPr>
              <w:keepNext/>
              <w:keepLines/>
              <w:widowControl w:val="0"/>
              <w:suppressLineNumbers w:val="0"/>
              <w:spacing w:before="0" w:beforeAutospacing="0" w:after="0" w:afterAutospacing="0" w:line="240" w:lineRule="auto"/>
              <w:ind w:left="0" w:right="0"/>
              <w:jc w:val="center"/>
              <w:outlineLvl w:val="9"/>
              <w:rPr>
                <w:rFonts w:ascii="宋体" w:hAnsi="宋体" w:eastAsia="宋体" w:cs="宋体"/>
                <w:b w:val="0"/>
                <w:bCs/>
                <w:color w:val="auto"/>
                <w:kern w:val="2"/>
                <w:sz w:val="21"/>
                <w:szCs w:val="21"/>
                <w:highlight w:val="none"/>
                <w:lang w:val="en-US" w:eastAsia="zh-CN" w:bidi="ar-SA"/>
              </w:rPr>
            </w:pPr>
            <w:bookmarkStart w:id="159" w:name="_Toc7924"/>
            <w:bookmarkStart w:id="160" w:name="_Toc7979"/>
            <w:bookmarkStart w:id="161" w:name="_Toc21371"/>
            <w:r>
              <w:rPr>
                <w:rFonts w:hint="eastAsia" w:ascii="宋体" w:hAnsi="宋体" w:eastAsia="宋体" w:cs="宋体"/>
                <w:b w:val="0"/>
                <w:bCs/>
                <w:color w:val="auto"/>
                <w:kern w:val="2"/>
                <w:sz w:val="21"/>
                <w:szCs w:val="21"/>
                <w:highlight w:val="none"/>
                <w:lang w:val="en-US" w:eastAsia="zh-CN" w:bidi="ar-SA"/>
              </w:rPr>
              <w:t>17.5.1（1）</w:t>
            </w:r>
            <w:bookmarkEnd w:id="159"/>
            <w:bookmarkEnd w:id="160"/>
            <w:bookmarkEnd w:id="161"/>
          </w:p>
        </w:tc>
        <w:tc>
          <w:tcPr>
            <w:tcW w:w="7283" w:type="dxa"/>
            <w:tcBorders>
              <w:top w:val="single" w:color="auto" w:sz="6" w:space="0"/>
              <w:left w:val="single" w:color="auto" w:sz="6" w:space="0"/>
              <w:right w:val="single" w:color="auto" w:sz="12" w:space="0"/>
            </w:tcBorders>
            <w:vAlign w:val="center"/>
          </w:tcPr>
          <w:p w14:paraId="29F7C901">
            <w:pPr>
              <w:keepNext/>
              <w:keepLines/>
              <w:widowControl w:val="0"/>
              <w:suppressLineNumbers w:val="0"/>
              <w:spacing w:before="0" w:beforeAutospacing="0" w:after="0" w:afterAutospacing="0" w:line="240" w:lineRule="auto"/>
              <w:ind w:left="63" w:leftChars="30" w:right="63" w:rightChars="30"/>
              <w:jc w:val="left"/>
              <w:outlineLvl w:val="9"/>
              <w:rPr>
                <w:rFonts w:ascii="宋体" w:hAnsi="宋体" w:eastAsia="宋体" w:cs="宋体"/>
                <w:b w:val="0"/>
                <w:bCs/>
                <w:color w:val="auto"/>
                <w:kern w:val="2"/>
                <w:sz w:val="21"/>
                <w:szCs w:val="21"/>
                <w:highlight w:val="none"/>
                <w:lang w:val="en-US" w:eastAsia="zh-CN" w:bidi="ar-SA"/>
              </w:rPr>
            </w:pPr>
            <w:bookmarkStart w:id="162" w:name="_Toc29155"/>
            <w:bookmarkStart w:id="163" w:name="_Toc28547"/>
            <w:bookmarkStart w:id="164" w:name="_Toc20229"/>
            <w:r>
              <w:rPr>
                <w:rFonts w:hint="eastAsia" w:ascii="宋体" w:hAnsi="宋体" w:eastAsia="宋体" w:cs="宋体"/>
                <w:b w:val="0"/>
                <w:bCs/>
                <w:color w:val="auto"/>
                <w:kern w:val="2"/>
                <w:sz w:val="21"/>
                <w:szCs w:val="21"/>
                <w:highlight w:val="none"/>
                <w:lang w:val="en-US" w:eastAsia="zh-CN" w:bidi="ar-SA"/>
              </w:rPr>
              <w:t>承包人向监理人提交交工付款申请单（包括相关证明材料）的份数：</w:t>
            </w:r>
            <w:r>
              <w:rPr>
                <w:rFonts w:hint="eastAsia" w:ascii="宋体" w:hAnsi="宋体" w:eastAsia="宋体" w:cs="宋体"/>
                <w:b w:val="0"/>
                <w:bCs/>
                <w:color w:val="auto"/>
                <w:kern w:val="2"/>
                <w:sz w:val="21"/>
                <w:szCs w:val="21"/>
                <w:highlight w:val="none"/>
                <w:u w:val="single"/>
                <w:lang w:val="en-US" w:eastAsia="zh-CN" w:bidi="ar-SA"/>
              </w:rPr>
              <w:t xml:space="preserve"> 6 </w:t>
            </w:r>
            <w:r>
              <w:rPr>
                <w:rFonts w:hint="eastAsia" w:ascii="宋体" w:hAnsi="宋体" w:eastAsia="宋体" w:cs="宋体"/>
                <w:b w:val="0"/>
                <w:bCs/>
                <w:color w:val="auto"/>
                <w:kern w:val="2"/>
                <w:sz w:val="21"/>
                <w:szCs w:val="21"/>
                <w:highlight w:val="none"/>
                <w:lang w:val="en-US" w:eastAsia="zh-CN" w:bidi="ar-SA"/>
              </w:rPr>
              <w:t>份</w:t>
            </w:r>
            <w:bookmarkEnd w:id="162"/>
            <w:bookmarkEnd w:id="163"/>
            <w:bookmarkEnd w:id="164"/>
          </w:p>
        </w:tc>
      </w:tr>
      <w:tr w14:paraId="3352F1F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28" w:type="dxa"/>
            <w:left w:w="28" w:type="dxa"/>
            <w:bottom w:w="28" w:type="dxa"/>
            <w:right w:w="28" w:type="dxa"/>
          </w:tblCellMar>
        </w:tblPrEx>
        <w:trPr>
          <w:trHeight w:val="454" w:hRule="atLeast"/>
        </w:trPr>
        <w:tc>
          <w:tcPr>
            <w:tcW w:w="738" w:type="dxa"/>
            <w:tcBorders>
              <w:top w:val="single" w:color="auto" w:sz="6" w:space="0"/>
              <w:left w:val="single" w:color="auto" w:sz="12" w:space="0"/>
              <w:right w:val="single" w:color="auto" w:sz="6" w:space="0"/>
            </w:tcBorders>
            <w:vAlign w:val="center"/>
          </w:tcPr>
          <w:p w14:paraId="7E8D15CF">
            <w:pPr>
              <w:keepNext/>
              <w:keepLines/>
              <w:widowControl w:val="0"/>
              <w:suppressLineNumbers w:val="0"/>
              <w:spacing w:before="0" w:beforeAutospacing="0" w:after="0" w:afterAutospacing="0" w:line="240" w:lineRule="auto"/>
              <w:ind w:left="0" w:right="0"/>
              <w:jc w:val="center"/>
              <w:outlineLvl w:val="9"/>
              <w:rPr>
                <w:rFonts w:ascii="宋体" w:hAnsi="宋体" w:eastAsia="宋体" w:cs="宋体"/>
                <w:b w:val="0"/>
                <w:bCs/>
                <w:color w:val="auto"/>
                <w:kern w:val="2"/>
                <w:sz w:val="21"/>
                <w:szCs w:val="21"/>
                <w:highlight w:val="none"/>
                <w:lang w:val="en-US" w:eastAsia="zh-CN" w:bidi="ar-SA"/>
              </w:rPr>
            </w:pPr>
            <w:bookmarkStart w:id="165" w:name="_Toc20278"/>
            <w:bookmarkStart w:id="166" w:name="_Toc6222"/>
            <w:bookmarkStart w:id="167" w:name="_Toc2213"/>
            <w:bookmarkStart w:id="168" w:name="_Toc13001"/>
            <w:r>
              <w:rPr>
                <w:rFonts w:hint="eastAsia" w:ascii="宋体" w:hAnsi="宋体" w:eastAsia="宋体" w:cs="宋体"/>
                <w:b w:val="0"/>
                <w:bCs/>
                <w:color w:val="auto"/>
                <w:kern w:val="2"/>
                <w:sz w:val="21"/>
                <w:szCs w:val="21"/>
                <w:highlight w:val="none"/>
                <w:lang w:val="en-US" w:eastAsia="zh-CN" w:bidi="ar-SA"/>
              </w:rPr>
              <w:t>22</w:t>
            </w:r>
            <w:bookmarkEnd w:id="165"/>
            <w:bookmarkEnd w:id="166"/>
            <w:bookmarkEnd w:id="167"/>
            <w:bookmarkEnd w:id="168"/>
          </w:p>
        </w:tc>
        <w:tc>
          <w:tcPr>
            <w:tcW w:w="1221" w:type="dxa"/>
            <w:tcBorders>
              <w:top w:val="single" w:color="auto" w:sz="6" w:space="0"/>
              <w:left w:val="single" w:color="auto" w:sz="6" w:space="0"/>
              <w:right w:val="single" w:color="auto" w:sz="6" w:space="0"/>
            </w:tcBorders>
            <w:vAlign w:val="center"/>
          </w:tcPr>
          <w:p w14:paraId="5242FC93">
            <w:pPr>
              <w:keepNext/>
              <w:keepLines/>
              <w:widowControl w:val="0"/>
              <w:suppressLineNumbers w:val="0"/>
              <w:spacing w:before="0" w:beforeAutospacing="0" w:after="0" w:afterAutospacing="0" w:line="240" w:lineRule="auto"/>
              <w:ind w:left="0" w:right="0"/>
              <w:jc w:val="center"/>
              <w:outlineLvl w:val="9"/>
              <w:rPr>
                <w:rFonts w:ascii="宋体" w:hAnsi="宋体" w:eastAsia="宋体" w:cs="宋体"/>
                <w:b w:val="0"/>
                <w:bCs/>
                <w:color w:val="auto"/>
                <w:kern w:val="2"/>
                <w:sz w:val="21"/>
                <w:szCs w:val="21"/>
                <w:highlight w:val="none"/>
                <w:lang w:val="en-US" w:eastAsia="zh-CN" w:bidi="ar-SA"/>
              </w:rPr>
            </w:pPr>
            <w:bookmarkStart w:id="169" w:name="_Toc4379"/>
            <w:bookmarkStart w:id="170" w:name="_Toc13560"/>
            <w:bookmarkStart w:id="171" w:name="_Toc16217"/>
            <w:r>
              <w:rPr>
                <w:rFonts w:hint="eastAsia" w:ascii="宋体" w:hAnsi="宋体" w:eastAsia="宋体" w:cs="宋体"/>
                <w:b w:val="0"/>
                <w:bCs/>
                <w:color w:val="auto"/>
                <w:kern w:val="2"/>
                <w:sz w:val="21"/>
                <w:szCs w:val="21"/>
                <w:highlight w:val="none"/>
                <w:lang w:val="en-US" w:eastAsia="zh-CN" w:bidi="ar-SA"/>
              </w:rPr>
              <w:t>17.6.1（1）</w:t>
            </w:r>
            <w:bookmarkEnd w:id="169"/>
            <w:bookmarkEnd w:id="170"/>
            <w:bookmarkEnd w:id="171"/>
          </w:p>
        </w:tc>
        <w:tc>
          <w:tcPr>
            <w:tcW w:w="7283" w:type="dxa"/>
            <w:tcBorders>
              <w:top w:val="single" w:color="auto" w:sz="6" w:space="0"/>
              <w:left w:val="single" w:color="auto" w:sz="6" w:space="0"/>
              <w:right w:val="single" w:color="auto" w:sz="12" w:space="0"/>
            </w:tcBorders>
            <w:vAlign w:val="center"/>
          </w:tcPr>
          <w:p w14:paraId="6D7A39D1">
            <w:pPr>
              <w:keepNext/>
              <w:keepLines/>
              <w:widowControl w:val="0"/>
              <w:suppressLineNumbers w:val="0"/>
              <w:spacing w:before="0" w:beforeAutospacing="0" w:after="0" w:afterAutospacing="0" w:line="240" w:lineRule="auto"/>
              <w:ind w:left="63" w:leftChars="30" w:right="63" w:rightChars="30"/>
              <w:jc w:val="left"/>
              <w:outlineLvl w:val="9"/>
              <w:rPr>
                <w:rFonts w:ascii="宋体" w:hAnsi="宋体" w:eastAsia="宋体" w:cs="宋体"/>
                <w:b w:val="0"/>
                <w:bCs/>
                <w:color w:val="auto"/>
                <w:kern w:val="2"/>
                <w:sz w:val="21"/>
                <w:szCs w:val="21"/>
                <w:highlight w:val="none"/>
                <w:lang w:val="en-US" w:eastAsia="zh-CN" w:bidi="ar-SA"/>
              </w:rPr>
            </w:pPr>
            <w:bookmarkStart w:id="172" w:name="_Toc28382"/>
            <w:bookmarkStart w:id="173" w:name="_Toc6405"/>
            <w:bookmarkStart w:id="174" w:name="_Toc19092"/>
            <w:r>
              <w:rPr>
                <w:rFonts w:hint="eastAsia" w:ascii="宋体" w:hAnsi="宋体" w:eastAsia="宋体" w:cs="宋体"/>
                <w:b w:val="0"/>
                <w:bCs/>
                <w:color w:val="auto"/>
                <w:kern w:val="2"/>
                <w:sz w:val="21"/>
                <w:szCs w:val="21"/>
                <w:highlight w:val="none"/>
                <w:lang w:val="en-US" w:eastAsia="zh-CN" w:bidi="ar-SA"/>
              </w:rPr>
              <w:t>承包人向监理人提交最终结清申请单（包括相关证明材料）的份数：</w:t>
            </w:r>
            <w:r>
              <w:rPr>
                <w:rFonts w:hint="eastAsia" w:ascii="宋体" w:hAnsi="宋体" w:eastAsia="宋体" w:cs="宋体"/>
                <w:b w:val="0"/>
                <w:bCs/>
                <w:color w:val="auto"/>
                <w:kern w:val="2"/>
                <w:sz w:val="21"/>
                <w:szCs w:val="21"/>
                <w:highlight w:val="none"/>
                <w:u w:val="single"/>
                <w:lang w:val="en-US" w:eastAsia="zh-CN" w:bidi="ar-SA"/>
              </w:rPr>
              <w:t xml:space="preserve"> 6 </w:t>
            </w:r>
            <w:r>
              <w:rPr>
                <w:rFonts w:hint="eastAsia" w:ascii="宋体" w:hAnsi="宋体" w:eastAsia="宋体" w:cs="宋体"/>
                <w:b w:val="0"/>
                <w:bCs/>
                <w:color w:val="auto"/>
                <w:kern w:val="2"/>
                <w:sz w:val="21"/>
                <w:szCs w:val="21"/>
                <w:highlight w:val="none"/>
                <w:lang w:val="en-US" w:eastAsia="zh-CN" w:bidi="ar-SA"/>
              </w:rPr>
              <w:t>份</w:t>
            </w:r>
            <w:bookmarkEnd w:id="172"/>
            <w:bookmarkEnd w:id="173"/>
            <w:bookmarkEnd w:id="174"/>
          </w:p>
        </w:tc>
      </w:tr>
      <w:tr w14:paraId="78FA4C9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28" w:type="dxa"/>
            <w:left w:w="28" w:type="dxa"/>
            <w:bottom w:w="28" w:type="dxa"/>
            <w:right w:w="28" w:type="dxa"/>
          </w:tblCellMar>
        </w:tblPrEx>
        <w:trPr>
          <w:trHeight w:val="454" w:hRule="atLeast"/>
        </w:trPr>
        <w:tc>
          <w:tcPr>
            <w:tcW w:w="738" w:type="dxa"/>
            <w:tcBorders>
              <w:top w:val="single" w:color="auto" w:sz="6" w:space="0"/>
              <w:left w:val="single" w:color="auto" w:sz="12" w:space="0"/>
              <w:right w:val="single" w:color="auto" w:sz="6" w:space="0"/>
            </w:tcBorders>
            <w:vAlign w:val="center"/>
          </w:tcPr>
          <w:p w14:paraId="1B3FAA60">
            <w:pPr>
              <w:keepNext/>
              <w:keepLines/>
              <w:widowControl w:val="0"/>
              <w:suppressLineNumbers w:val="0"/>
              <w:spacing w:before="0" w:beforeAutospacing="0" w:after="0" w:afterAutospacing="0" w:line="240" w:lineRule="auto"/>
              <w:ind w:left="0" w:right="0"/>
              <w:jc w:val="center"/>
              <w:outlineLvl w:val="9"/>
              <w:rPr>
                <w:rFonts w:ascii="宋体" w:hAnsi="宋体" w:eastAsia="宋体" w:cs="宋体"/>
                <w:b w:val="0"/>
                <w:bCs/>
                <w:color w:val="auto"/>
                <w:kern w:val="2"/>
                <w:sz w:val="21"/>
                <w:szCs w:val="21"/>
                <w:highlight w:val="none"/>
                <w:lang w:val="en-US" w:eastAsia="zh-CN" w:bidi="ar-SA"/>
              </w:rPr>
            </w:pPr>
            <w:bookmarkStart w:id="175" w:name="_Toc1674"/>
            <w:bookmarkStart w:id="176" w:name="_Toc22508"/>
            <w:bookmarkStart w:id="177" w:name="_Toc16322"/>
            <w:bookmarkStart w:id="178" w:name="_Toc1907"/>
            <w:r>
              <w:rPr>
                <w:rFonts w:hint="eastAsia" w:ascii="宋体" w:hAnsi="宋体" w:eastAsia="宋体" w:cs="宋体"/>
                <w:b w:val="0"/>
                <w:bCs/>
                <w:color w:val="auto"/>
                <w:kern w:val="2"/>
                <w:sz w:val="21"/>
                <w:szCs w:val="21"/>
                <w:highlight w:val="none"/>
                <w:lang w:val="en-US" w:eastAsia="zh-CN" w:bidi="ar-SA"/>
              </w:rPr>
              <w:t>23</w:t>
            </w:r>
            <w:bookmarkEnd w:id="175"/>
            <w:bookmarkEnd w:id="176"/>
            <w:bookmarkEnd w:id="177"/>
            <w:bookmarkEnd w:id="178"/>
          </w:p>
        </w:tc>
        <w:tc>
          <w:tcPr>
            <w:tcW w:w="1221" w:type="dxa"/>
            <w:tcBorders>
              <w:top w:val="single" w:color="auto" w:sz="6" w:space="0"/>
              <w:left w:val="single" w:color="auto" w:sz="6" w:space="0"/>
              <w:right w:val="single" w:color="auto" w:sz="6" w:space="0"/>
            </w:tcBorders>
            <w:vAlign w:val="center"/>
          </w:tcPr>
          <w:p w14:paraId="4AA3D2E1">
            <w:pPr>
              <w:keepNext/>
              <w:keepLines/>
              <w:widowControl w:val="0"/>
              <w:suppressLineNumbers w:val="0"/>
              <w:spacing w:before="0" w:beforeAutospacing="0" w:after="0" w:afterAutospacing="0" w:line="240" w:lineRule="auto"/>
              <w:ind w:left="0" w:right="0"/>
              <w:jc w:val="center"/>
              <w:outlineLvl w:val="9"/>
              <w:rPr>
                <w:rFonts w:ascii="宋体" w:hAnsi="宋体" w:eastAsia="宋体" w:cs="宋体"/>
                <w:b w:val="0"/>
                <w:bCs/>
                <w:color w:val="auto"/>
                <w:kern w:val="2"/>
                <w:sz w:val="21"/>
                <w:szCs w:val="21"/>
                <w:highlight w:val="none"/>
                <w:lang w:val="en-US" w:eastAsia="zh-CN" w:bidi="ar-SA"/>
              </w:rPr>
            </w:pPr>
            <w:bookmarkStart w:id="179" w:name="_Toc22928"/>
            <w:bookmarkStart w:id="180" w:name="_Toc4018"/>
            <w:bookmarkStart w:id="181" w:name="_Toc12142"/>
            <w:r>
              <w:rPr>
                <w:rFonts w:hint="eastAsia" w:ascii="宋体" w:hAnsi="宋体" w:eastAsia="宋体" w:cs="宋体"/>
                <w:b w:val="0"/>
                <w:bCs/>
                <w:color w:val="auto"/>
                <w:kern w:val="2"/>
                <w:sz w:val="21"/>
                <w:szCs w:val="21"/>
                <w:highlight w:val="none"/>
                <w:lang w:val="en-US" w:eastAsia="zh-CN" w:bidi="ar-SA"/>
              </w:rPr>
              <w:t>18.2（2）</w:t>
            </w:r>
            <w:bookmarkEnd w:id="179"/>
            <w:bookmarkEnd w:id="180"/>
            <w:bookmarkEnd w:id="181"/>
          </w:p>
        </w:tc>
        <w:tc>
          <w:tcPr>
            <w:tcW w:w="7283" w:type="dxa"/>
            <w:tcBorders>
              <w:top w:val="single" w:color="auto" w:sz="6" w:space="0"/>
              <w:left w:val="single" w:color="auto" w:sz="6" w:space="0"/>
              <w:right w:val="single" w:color="auto" w:sz="12" w:space="0"/>
            </w:tcBorders>
            <w:vAlign w:val="center"/>
          </w:tcPr>
          <w:p w14:paraId="4115083F">
            <w:pPr>
              <w:keepNext/>
              <w:keepLines/>
              <w:widowControl w:val="0"/>
              <w:suppressLineNumbers w:val="0"/>
              <w:spacing w:before="0" w:beforeAutospacing="0" w:after="0" w:afterAutospacing="0" w:line="240" w:lineRule="auto"/>
              <w:ind w:left="63" w:leftChars="30" w:right="63" w:rightChars="30"/>
              <w:jc w:val="left"/>
              <w:outlineLvl w:val="9"/>
              <w:rPr>
                <w:rFonts w:ascii="宋体" w:hAnsi="宋体" w:eastAsia="宋体" w:cs="宋体"/>
                <w:b w:val="0"/>
                <w:bCs/>
                <w:color w:val="auto"/>
                <w:kern w:val="2"/>
                <w:sz w:val="21"/>
                <w:szCs w:val="21"/>
                <w:highlight w:val="none"/>
                <w:lang w:val="en-US" w:eastAsia="zh-CN" w:bidi="ar-SA"/>
              </w:rPr>
            </w:pPr>
            <w:bookmarkStart w:id="182" w:name="_Toc11310"/>
            <w:bookmarkStart w:id="183" w:name="_Toc21665"/>
            <w:bookmarkStart w:id="184" w:name="_Toc25026"/>
            <w:r>
              <w:rPr>
                <w:rFonts w:hint="eastAsia" w:ascii="宋体" w:hAnsi="宋体" w:eastAsia="宋体" w:cs="宋体"/>
                <w:b w:val="0"/>
                <w:bCs/>
                <w:color w:val="auto"/>
                <w:kern w:val="2"/>
                <w:sz w:val="21"/>
                <w:szCs w:val="21"/>
                <w:highlight w:val="none"/>
                <w:lang w:val="en-US" w:eastAsia="zh-CN" w:bidi="ar-SA"/>
              </w:rPr>
              <w:t>竣工资料的份数：</w:t>
            </w:r>
            <w:r>
              <w:rPr>
                <w:rFonts w:hint="eastAsia" w:ascii="宋体" w:hAnsi="宋体" w:eastAsia="宋体" w:cs="宋体"/>
                <w:b w:val="0"/>
                <w:bCs/>
                <w:color w:val="auto"/>
                <w:kern w:val="2"/>
                <w:sz w:val="21"/>
                <w:szCs w:val="21"/>
                <w:highlight w:val="none"/>
                <w:u w:val="single"/>
                <w:lang w:val="en-US" w:eastAsia="zh-CN" w:bidi="ar-SA"/>
              </w:rPr>
              <w:t xml:space="preserve"> 6 </w:t>
            </w:r>
            <w:r>
              <w:rPr>
                <w:rFonts w:hint="eastAsia" w:ascii="宋体" w:hAnsi="宋体" w:eastAsia="宋体" w:cs="宋体"/>
                <w:b w:val="0"/>
                <w:bCs/>
                <w:color w:val="auto"/>
                <w:kern w:val="2"/>
                <w:sz w:val="21"/>
                <w:szCs w:val="21"/>
                <w:highlight w:val="none"/>
                <w:lang w:val="en-US" w:eastAsia="zh-CN" w:bidi="ar-SA"/>
              </w:rPr>
              <w:t>份，电子稿1份。</w:t>
            </w:r>
            <w:bookmarkEnd w:id="182"/>
            <w:bookmarkEnd w:id="183"/>
            <w:bookmarkEnd w:id="184"/>
          </w:p>
        </w:tc>
      </w:tr>
      <w:tr w14:paraId="6CC8902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28" w:type="dxa"/>
            <w:left w:w="28" w:type="dxa"/>
            <w:bottom w:w="28" w:type="dxa"/>
            <w:right w:w="28" w:type="dxa"/>
          </w:tblCellMar>
        </w:tblPrEx>
        <w:trPr>
          <w:trHeight w:val="454" w:hRule="atLeast"/>
        </w:trPr>
        <w:tc>
          <w:tcPr>
            <w:tcW w:w="738" w:type="dxa"/>
            <w:tcBorders>
              <w:top w:val="single" w:color="auto" w:sz="6" w:space="0"/>
              <w:left w:val="single" w:color="auto" w:sz="12" w:space="0"/>
              <w:right w:val="single" w:color="auto" w:sz="6" w:space="0"/>
            </w:tcBorders>
            <w:vAlign w:val="center"/>
          </w:tcPr>
          <w:p w14:paraId="5B204382">
            <w:pPr>
              <w:keepNext/>
              <w:keepLines/>
              <w:widowControl w:val="0"/>
              <w:suppressLineNumbers w:val="0"/>
              <w:spacing w:before="0" w:beforeAutospacing="0" w:after="0" w:afterAutospacing="0" w:line="240" w:lineRule="auto"/>
              <w:ind w:left="0" w:right="0"/>
              <w:jc w:val="center"/>
              <w:outlineLvl w:val="9"/>
              <w:rPr>
                <w:rFonts w:ascii="宋体" w:hAnsi="宋体" w:eastAsia="宋体" w:cs="宋体"/>
                <w:b w:val="0"/>
                <w:bCs/>
                <w:color w:val="auto"/>
                <w:kern w:val="2"/>
                <w:sz w:val="21"/>
                <w:szCs w:val="21"/>
                <w:highlight w:val="none"/>
                <w:lang w:val="en-US" w:eastAsia="zh-CN" w:bidi="ar-SA"/>
              </w:rPr>
            </w:pPr>
            <w:bookmarkStart w:id="185" w:name="_Toc29454"/>
            <w:bookmarkStart w:id="186" w:name="_Toc13808"/>
            <w:bookmarkStart w:id="187" w:name="_Toc8911"/>
            <w:bookmarkStart w:id="188" w:name="_Toc18647"/>
            <w:r>
              <w:rPr>
                <w:rFonts w:hint="eastAsia" w:ascii="宋体" w:hAnsi="宋体" w:eastAsia="宋体" w:cs="宋体"/>
                <w:b w:val="0"/>
                <w:bCs/>
                <w:color w:val="auto"/>
                <w:kern w:val="2"/>
                <w:sz w:val="21"/>
                <w:szCs w:val="21"/>
                <w:highlight w:val="none"/>
                <w:lang w:val="en-US" w:eastAsia="zh-CN" w:bidi="ar-SA"/>
              </w:rPr>
              <w:t>24</w:t>
            </w:r>
            <w:bookmarkEnd w:id="185"/>
            <w:bookmarkEnd w:id="186"/>
            <w:bookmarkEnd w:id="187"/>
            <w:bookmarkEnd w:id="188"/>
          </w:p>
        </w:tc>
        <w:tc>
          <w:tcPr>
            <w:tcW w:w="1221" w:type="dxa"/>
            <w:tcBorders>
              <w:top w:val="single" w:color="auto" w:sz="6" w:space="0"/>
              <w:left w:val="single" w:color="auto" w:sz="6" w:space="0"/>
              <w:right w:val="single" w:color="auto" w:sz="6" w:space="0"/>
            </w:tcBorders>
            <w:vAlign w:val="center"/>
          </w:tcPr>
          <w:p w14:paraId="149ADF87">
            <w:pPr>
              <w:keepNext/>
              <w:keepLines/>
              <w:widowControl w:val="0"/>
              <w:suppressLineNumbers w:val="0"/>
              <w:spacing w:before="0" w:beforeAutospacing="0" w:after="0" w:afterAutospacing="0" w:line="240" w:lineRule="auto"/>
              <w:ind w:left="0" w:right="0"/>
              <w:jc w:val="center"/>
              <w:outlineLvl w:val="9"/>
              <w:rPr>
                <w:rFonts w:ascii="宋体" w:hAnsi="宋体" w:eastAsia="宋体" w:cs="宋体"/>
                <w:b w:val="0"/>
                <w:bCs/>
                <w:color w:val="auto"/>
                <w:kern w:val="2"/>
                <w:sz w:val="21"/>
                <w:szCs w:val="21"/>
                <w:highlight w:val="none"/>
                <w:lang w:val="en-US" w:eastAsia="zh-CN" w:bidi="ar-SA"/>
              </w:rPr>
            </w:pPr>
            <w:bookmarkStart w:id="189" w:name="_Toc32614"/>
            <w:bookmarkStart w:id="190" w:name="_Toc9671"/>
            <w:bookmarkStart w:id="191" w:name="_Toc24443"/>
            <w:r>
              <w:rPr>
                <w:rFonts w:hint="eastAsia" w:ascii="宋体" w:hAnsi="宋体" w:eastAsia="宋体" w:cs="宋体"/>
                <w:b w:val="0"/>
                <w:bCs/>
                <w:color w:val="auto"/>
                <w:kern w:val="2"/>
                <w:sz w:val="21"/>
                <w:szCs w:val="21"/>
                <w:highlight w:val="none"/>
                <w:lang w:val="en-US" w:eastAsia="zh-CN" w:bidi="ar-SA"/>
              </w:rPr>
              <w:t>18.5.1</w:t>
            </w:r>
            <w:bookmarkEnd w:id="189"/>
            <w:bookmarkEnd w:id="190"/>
            <w:bookmarkEnd w:id="191"/>
          </w:p>
        </w:tc>
        <w:tc>
          <w:tcPr>
            <w:tcW w:w="7283" w:type="dxa"/>
            <w:tcBorders>
              <w:top w:val="single" w:color="auto" w:sz="6" w:space="0"/>
              <w:left w:val="single" w:color="auto" w:sz="6" w:space="0"/>
              <w:right w:val="single" w:color="auto" w:sz="12" w:space="0"/>
            </w:tcBorders>
            <w:vAlign w:val="center"/>
          </w:tcPr>
          <w:p w14:paraId="2E6B3E58">
            <w:pPr>
              <w:keepNext/>
              <w:keepLines/>
              <w:widowControl w:val="0"/>
              <w:suppressLineNumbers w:val="0"/>
              <w:spacing w:before="0" w:beforeAutospacing="0" w:after="0" w:afterAutospacing="0" w:line="240" w:lineRule="auto"/>
              <w:ind w:left="63" w:leftChars="30" w:right="63" w:rightChars="30"/>
              <w:jc w:val="left"/>
              <w:outlineLvl w:val="9"/>
              <w:rPr>
                <w:rFonts w:ascii="宋体" w:hAnsi="宋体" w:eastAsia="宋体" w:cs="宋体"/>
                <w:b w:val="0"/>
                <w:bCs w:val="0"/>
                <w:color w:val="auto"/>
                <w:kern w:val="2"/>
                <w:sz w:val="21"/>
                <w:szCs w:val="21"/>
                <w:highlight w:val="none"/>
                <w:lang w:val="en-US" w:eastAsia="zh-CN" w:bidi="ar-SA"/>
              </w:rPr>
            </w:pPr>
            <w:bookmarkStart w:id="192" w:name="_Toc14621"/>
            <w:bookmarkStart w:id="193" w:name="_Toc21232"/>
            <w:bookmarkStart w:id="194" w:name="_Toc19677"/>
            <w:r>
              <w:rPr>
                <w:rFonts w:hint="eastAsia" w:ascii="宋体" w:hAnsi="宋体" w:eastAsia="宋体" w:cs="宋体"/>
                <w:b w:val="0"/>
                <w:bCs/>
                <w:color w:val="auto"/>
                <w:kern w:val="2"/>
                <w:sz w:val="21"/>
                <w:szCs w:val="21"/>
                <w:highlight w:val="none"/>
                <w:lang w:val="en-US" w:eastAsia="zh-CN" w:bidi="ar-SA"/>
              </w:rPr>
              <w:t>单位工程或工程设备是否需投入施工期运行：</w:t>
            </w:r>
            <w:r>
              <w:rPr>
                <w:rFonts w:hint="eastAsia" w:ascii="宋体" w:hAnsi="宋体" w:eastAsia="宋体" w:cs="宋体"/>
                <w:b w:val="0"/>
                <w:bCs/>
                <w:color w:val="auto"/>
                <w:kern w:val="2"/>
                <w:sz w:val="21"/>
                <w:szCs w:val="21"/>
                <w:highlight w:val="none"/>
                <w:u w:val="single"/>
                <w:lang w:val="en-US" w:eastAsia="zh-CN" w:bidi="ar-SA"/>
              </w:rPr>
              <w:t>否</w:t>
            </w:r>
            <w:r>
              <w:rPr>
                <w:rFonts w:hint="eastAsia" w:ascii="宋体" w:hAnsi="宋体" w:eastAsia="宋体" w:cs="宋体"/>
                <w:b w:val="0"/>
                <w:bCs w:val="0"/>
                <w:color w:val="auto"/>
                <w:kern w:val="2"/>
                <w:sz w:val="21"/>
                <w:szCs w:val="21"/>
                <w:highlight w:val="none"/>
                <w:lang w:val="en-US" w:eastAsia="zh-CN" w:bidi="ar-SA"/>
              </w:rPr>
              <w:t>。</w:t>
            </w:r>
            <w:bookmarkEnd w:id="192"/>
            <w:bookmarkEnd w:id="193"/>
            <w:bookmarkEnd w:id="194"/>
          </w:p>
          <w:p w14:paraId="07923F21">
            <w:pPr>
              <w:keepNext/>
              <w:keepLines/>
              <w:widowControl w:val="0"/>
              <w:suppressLineNumbers w:val="0"/>
              <w:spacing w:before="0" w:beforeAutospacing="0" w:after="0" w:afterAutospacing="0" w:line="240" w:lineRule="auto"/>
              <w:ind w:left="63" w:leftChars="30" w:right="63" w:rightChars="30"/>
              <w:jc w:val="left"/>
              <w:outlineLvl w:val="9"/>
              <w:rPr>
                <w:rFonts w:ascii="宋体" w:hAnsi="宋体" w:eastAsia="宋体" w:cs="宋体"/>
                <w:b w:val="0"/>
                <w:bCs/>
                <w:color w:val="auto"/>
                <w:kern w:val="2"/>
                <w:sz w:val="21"/>
                <w:szCs w:val="21"/>
                <w:highlight w:val="none"/>
                <w:lang w:val="en-US" w:eastAsia="zh-CN" w:bidi="ar-SA"/>
              </w:rPr>
            </w:pPr>
            <w:bookmarkStart w:id="195" w:name="_Toc8272"/>
            <w:bookmarkStart w:id="196" w:name="_Toc29178"/>
            <w:bookmarkStart w:id="197" w:name="_Toc30716"/>
            <w:r>
              <w:rPr>
                <w:rFonts w:hint="eastAsia" w:ascii="宋体" w:hAnsi="宋体" w:eastAsia="宋体" w:cs="宋体"/>
                <w:b w:val="0"/>
                <w:bCs w:val="0"/>
                <w:color w:val="auto"/>
                <w:kern w:val="2"/>
                <w:sz w:val="21"/>
                <w:szCs w:val="21"/>
                <w:highlight w:val="none"/>
                <w:lang w:val="en-US" w:eastAsia="zh-CN" w:bidi="ar-SA"/>
              </w:rPr>
              <w:t>如单位工程或工程设备需要进行施工期运行，需要施工期运行的单位工程或工 程设备规定如下：无。</w:t>
            </w:r>
            <w:bookmarkEnd w:id="195"/>
            <w:bookmarkEnd w:id="196"/>
            <w:bookmarkEnd w:id="197"/>
          </w:p>
        </w:tc>
      </w:tr>
      <w:tr w14:paraId="35D3AD6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28" w:type="dxa"/>
            <w:left w:w="28" w:type="dxa"/>
            <w:bottom w:w="28" w:type="dxa"/>
            <w:right w:w="28" w:type="dxa"/>
          </w:tblCellMar>
        </w:tblPrEx>
        <w:trPr>
          <w:trHeight w:val="679" w:hRule="atLeast"/>
        </w:trPr>
        <w:tc>
          <w:tcPr>
            <w:tcW w:w="738" w:type="dxa"/>
            <w:tcBorders>
              <w:top w:val="single" w:color="auto" w:sz="6" w:space="0"/>
              <w:left w:val="single" w:color="auto" w:sz="12" w:space="0"/>
              <w:right w:val="single" w:color="auto" w:sz="6" w:space="0"/>
            </w:tcBorders>
            <w:vAlign w:val="center"/>
          </w:tcPr>
          <w:p w14:paraId="64B67E16">
            <w:pPr>
              <w:keepNext/>
              <w:keepLines/>
              <w:widowControl w:val="0"/>
              <w:suppressLineNumbers w:val="0"/>
              <w:spacing w:before="0" w:beforeAutospacing="0" w:after="0" w:afterAutospacing="0" w:line="240" w:lineRule="auto"/>
              <w:ind w:left="0" w:right="0"/>
              <w:jc w:val="center"/>
              <w:outlineLvl w:val="9"/>
              <w:rPr>
                <w:rFonts w:ascii="宋体" w:hAnsi="宋体" w:eastAsia="宋体" w:cs="宋体"/>
                <w:b w:val="0"/>
                <w:bCs/>
                <w:color w:val="auto"/>
                <w:kern w:val="2"/>
                <w:sz w:val="21"/>
                <w:szCs w:val="21"/>
                <w:highlight w:val="none"/>
                <w:lang w:val="en-US" w:eastAsia="zh-CN" w:bidi="ar-SA"/>
              </w:rPr>
            </w:pPr>
            <w:bookmarkStart w:id="198" w:name="_Toc7138"/>
            <w:bookmarkStart w:id="199" w:name="_Toc5219"/>
            <w:bookmarkStart w:id="200" w:name="_Toc11365"/>
            <w:bookmarkStart w:id="201" w:name="_Toc30534"/>
            <w:r>
              <w:rPr>
                <w:rFonts w:hint="eastAsia" w:ascii="宋体" w:hAnsi="宋体" w:eastAsia="宋体" w:cs="宋体"/>
                <w:b w:val="0"/>
                <w:bCs/>
                <w:color w:val="auto"/>
                <w:kern w:val="2"/>
                <w:sz w:val="21"/>
                <w:szCs w:val="21"/>
                <w:highlight w:val="none"/>
                <w:lang w:val="en-US" w:eastAsia="zh-CN" w:bidi="ar-SA"/>
              </w:rPr>
              <w:t>25</w:t>
            </w:r>
            <w:bookmarkEnd w:id="198"/>
            <w:bookmarkEnd w:id="199"/>
            <w:bookmarkEnd w:id="200"/>
            <w:bookmarkEnd w:id="201"/>
          </w:p>
        </w:tc>
        <w:tc>
          <w:tcPr>
            <w:tcW w:w="1221" w:type="dxa"/>
            <w:tcBorders>
              <w:top w:val="single" w:color="auto" w:sz="6" w:space="0"/>
              <w:left w:val="single" w:color="auto" w:sz="6" w:space="0"/>
              <w:right w:val="single" w:color="auto" w:sz="6" w:space="0"/>
            </w:tcBorders>
            <w:vAlign w:val="center"/>
          </w:tcPr>
          <w:p w14:paraId="1E5DE00C">
            <w:pPr>
              <w:keepNext/>
              <w:keepLines/>
              <w:widowControl w:val="0"/>
              <w:suppressLineNumbers w:val="0"/>
              <w:spacing w:before="0" w:beforeAutospacing="0" w:after="0" w:afterAutospacing="0" w:line="240" w:lineRule="auto"/>
              <w:ind w:left="0" w:right="0"/>
              <w:jc w:val="center"/>
              <w:outlineLvl w:val="9"/>
              <w:rPr>
                <w:rFonts w:ascii="宋体" w:hAnsi="宋体" w:eastAsia="宋体" w:cs="宋体"/>
                <w:b w:val="0"/>
                <w:bCs/>
                <w:color w:val="auto"/>
                <w:kern w:val="2"/>
                <w:sz w:val="21"/>
                <w:szCs w:val="21"/>
                <w:highlight w:val="none"/>
                <w:lang w:val="en-US" w:eastAsia="zh-CN" w:bidi="ar-SA"/>
              </w:rPr>
            </w:pPr>
            <w:bookmarkStart w:id="202" w:name="_Toc26887"/>
            <w:bookmarkStart w:id="203" w:name="_Toc18180"/>
            <w:bookmarkStart w:id="204" w:name="_Toc5162"/>
            <w:r>
              <w:rPr>
                <w:rFonts w:hint="eastAsia" w:ascii="宋体" w:hAnsi="宋体" w:eastAsia="宋体" w:cs="宋体"/>
                <w:b w:val="0"/>
                <w:bCs/>
                <w:color w:val="auto"/>
                <w:kern w:val="2"/>
                <w:sz w:val="21"/>
                <w:szCs w:val="21"/>
                <w:highlight w:val="none"/>
                <w:lang w:val="en-US" w:eastAsia="zh-CN" w:bidi="ar-SA"/>
              </w:rPr>
              <w:t>18.6.1</w:t>
            </w:r>
            <w:bookmarkEnd w:id="202"/>
            <w:bookmarkEnd w:id="203"/>
            <w:bookmarkEnd w:id="204"/>
          </w:p>
        </w:tc>
        <w:tc>
          <w:tcPr>
            <w:tcW w:w="7283" w:type="dxa"/>
            <w:tcBorders>
              <w:top w:val="single" w:color="auto" w:sz="6" w:space="0"/>
              <w:left w:val="single" w:color="auto" w:sz="6" w:space="0"/>
              <w:right w:val="single" w:color="auto" w:sz="12" w:space="0"/>
            </w:tcBorders>
            <w:vAlign w:val="center"/>
          </w:tcPr>
          <w:p w14:paraId="105055DF">
            <w:pPr>
              <w:keepNext/>
              <w:keepLines/>
              <w:widowControl w:val="0"/>
              <w:suppressLineNumbers w:val="0"/>
              <w:spacing w:before="0" w:beforeAutospacing="0" w:after="0" w:afterAutospacing="0" w:line="240" w:lineRule="auto"/>
              <w:ind w:left="63" w:leftChars="30" w:right="63" w:rightChars="30"/>
              <w:jc w:val="left"/>
              <w:outlineLvl w:val="9"/>
              <w:rPr>
                <w:rFonts w:ascii="宋体" w:hAnsi="宋体" w:eastAsia="宋体" w:cs="宋体"/>
                <w:b w:val="0"/>
                <w:bCs/>
                <w:color w:val="auto"/>
                <w:kern w:val="2"/>
                <w:sz w:val="21"/>
                <w:szCs w:val="21"/>
                <w:highlight w:val="none"/>
                <w:u w:val="single"/>
                <w:lang w:val="en-US" w:eastAsia="zh-CN" w:bidi="ar-SA"/>
              </w:rPr>
            </w:pPr>
            <w:bookmarkStart w:id="205" w:name="_Toc24252"/>
            <w:bookmarkStart w:id="206" w:name="_Toc22296"/>
            <w:bookmarkStart w:id="207" w:name="_Toc22595"/>
            <w:r>
              <w:rPr>
                <w:rFonts w:hint="eastAsia" w:ascii="宋体" w:hAnsi="宋体" w:eastAsia="宋体" w:cs="宋体"/>
                <w:b w:val="0"/>
                <w:bCs/>
                <w:color w:val="auto"/>
                <w:kern w:val="2"/>
                <w:sz w:val="21"/>
                <w:szCs w:val="21"/>
                <w:highlight w:val="none"/>
                <w:lang w:val="en-US" w:eastAsia="zh-CN" w:bidi="ar-SA"/>
              </w:rPr>
              <w:t>本工程及工程设备是否进行试运行：</w:t>
            </w:r>
            <w:r>
              <w:rPr>
                <w:rFonts w:hint="eastAsia" w:ascii="宋体" w:hAnsi="宋体" w:eastAsia="宋体" w:cs="宋体"/>
                <w:b/>
                <w:bCs w:val="0"/>
                <w:color w:val="auto"/>
                <w:kern w:val="2"/>
                <w:sz w:val="21"/>
                <w:szCs w:val="21"/>
                <w:highlight w:val="none"/>
                <w:u w:val="single"/>
                <w:lang w:val="en-US" w:eastAsia="zh-CN" w:bidi="ar-SA"/>
              </w:rPr>
              <w:t>机电工程试运行期为6个月</w:t>
            </w:r>
            <w:r>
              <w:rPr>
                <w:rFonts w:hint="eastAsia" w:ascii="宋体" w:hAnsi="宋体" w:eastAsia="宋体" w:cs="宋体"/>
                <w:b w:val="0"/>
                <w:bCs/>
                <w:color w:val="auto"/>
                <w:kern w:val="2"/>
                <w:sz w:val="21"/>
                <w:szCs w:val="21"/>
                <w:highlight w:val="none"/>
                <w:lang w:val="en-US" w:eastAsia="zh-CN" w:bidi="ar-SA"/>
              </w:rPr>
              <w:t>。</w:t>
            </w:r>
            <w:bookmarkEnd w:id="205"/>
            <w:bookmarkEnd w:id="206"/>
            <w:bookmarkEnd w:id="207"/>
          </w:p>
          <w:p w14:paraId="08B0D659">
            <w:pPr>
              <w:keepNext/>
              <w:keepLines/>
              <w:widowControl w:val="0"/>
              <w:suppressLineNumbers w:val="0"/>
              <w:spacing w:before="0" w:beforeAutospacing="0" w:after="0" w:afterAutospacing="0" w:line="240" w:lineRule="auto"/>
              <w:ind w:left="63" w:leftChars="30" w:right="63" w:rightChars="30"/>
              <w:jc w:val="left"/>
              <w:outlineLvl w:val="9"/>
              <w:rPr>
                <w:rFonts w:ascii="宋体" w:hAnsi="宋体" w:eastAsia="宋体" w:cs="宋体"/>
                <w:b w:val="0"/>
                <w:bCs/>
                <w:color w:val="auto"/>
                <w:kern w:val="2"/>
                <w:sz w:val="21"/>
                <w:szCs w:val="21"/>
                <w:highlight w:val="none"/>
                <w:lang w:val="en-US" w:eastAsia="zh-CN" w:bidi="ar-SA"/>
              </w:rPr>
            </w:pPr>
            <w:bookmarkStart w:id="208" w:name="_Toc26639"/>
            <w:bookmarkStart w:id="209" w:name="_Toc3904"/>
            <w:r>
              <w:rPr>
                <w:rFonts w:hint="eastAsia" w:ascii="宋体" w:hAnsi="宋体" w:eastAsia="宋体" w:cs="宋体"/>
                <w:b w:val="0"/>
                <w:bCs/>
                <w:color w:val="auto"/>
                <w:kern w:val="2"/>
                <w:sz w:val="21"/>
                <w:szCs w:val="21"/>
                <w:highlight w:val="none"/>
                <w:lang w:val="en-US" w:eastAsia="zh-CN" w:bidi="ar-SA"/>
              </w:rPr>
              <w:t>如本工程及工程设备需要进行试运行，试运行的具体规定如下：</w:t>
            </w:r>
            <w:r>
              <w:rPr>
                <w:rFonts w:hint="eastAsia" w:ascii="宋体" w:hAnsi="宋体" w:eastAsia="宋体" w:cs="宋体"/>
                <w:b w:val="0"/>
                <w:bCs/>
                <w:color w:val="auto"/>
                <w:kern w:val="2"/>
                <w:sz w:val="21"/>
                <w:szCs w:val="21"/>
                <w:highlight w:val="none"/>
                <w:u w:val="single"/>
                <w:lang w:val="en-US" w:eastAsia="zh-CN" w:bidi="ar-SA"/>
              </w:rPr>
              <w:t>无</w:t>
            </w:r>
            <w:r>
              <w:rPr>
                <w:rFonts w:hint="eastAsia" w:ascii="宋体" w:hAnsi="宋体" w:eastAsia="宋体" w:cs="宋体"/>
                <w:b w:val="0"/>
                <w:bCs/>
                <w:color w:val="auto"/>
                <w:kern w:val="2"/>
                <w:sz w:val="21"/>
                <w:szCs w:val="21"/>
                <w:highlight w:val="none"/>
                <w:lang w:val="en-US" w:eastAsia="zh-CN" w:bidi="ar-SA"/>
              </w:rPr>
              <w:t>。</w:t>
            </w:r>
            <w:bookmarkEnd w:id="208"/>
            <w:bookmarkEnd w:id="209"/>
          </w:p>
        </w:tc>
      </w:tr>
      <w:tr w14:paraId="36ECA71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28" w:type="dxa"/>
            <w:left w:w="28" w:type="dxa"/>
            <w:bottom w:w="28" w:type="dxa"/>
            <w:right w:w="28" w:type="dxa"/>
          </w:tblCellMar>
        </w:tblPrEx>
        <w:trPr>
          <w:trHeight w:val="454" w:hRule="atLeast"/>
        </w:trPr>
        <w:tc>
          <w:tcPr>
            <w:tcW w:w="738" w:type="dxa"/>
            <w:tcBorders>
              <w:top w:val="single" w:color="auto" w:sz="6" w:space="0"/>
              <w:left w:val="single" w:color="auto" w:sz="12" w:space="0"/>
              <w:right w:val="single" w:color="auto" w:sz="6" w:space="0"/>
            </w:tcBorders>
            <w:vAlign w:val="center"/>
          </w:tcPr>
          <w:p w14:paraId="74D8FEEB">
            <w:pPr>
              <w:keepNext/>
              <w:keepLines/>
              <w:widowControl w:val="0"/>
              <w:suppressLineNumbers w:val="0"/>
              <w:spacing w:before="0" w:beforeAutospacing="0" w:after="0" w:afterAutospacing="0" w:line="240" w:lineRule="auto"/>
              <w:ind w:left="0" w:right="0"/>
              <w:jc w:val="center"/>
              <w:outlineLvl w:val="9"/>
              <w:rPr>
                <w:rFonts w:ascii="宋体" w:hAnsi="宋体" w:eastAsia="宋体" w:cs="宋体"/>
                <w:b w:val="0"/>
                <w:bCs/>
                <w:color w:val="auto"/>
                <w:kern w:val="2"/>
                <w:sz w:val="21"/>
                <w:szCs w:val="21"/>
                <w:highlight w:val="none"/>
                <w:lang w:val="en-US" w:eastAsia="zh-CN" w:bidi="ar-SA"/>
              </w:rPr>
            </w:pPr>
            <w:bookmarkStart w:id="210" w:name="_Toc22967"/>
            <w:bookmarkStart w:id="211" w:name="_Toc28997"/>
            <w:bookmarkStart w:id="212" w:name="_Toc10037"/>
            <w:bookmarkStart w:id="213" w:name="_Toc19328"/>
            <w:r>
              <w:rPr>
                <w:rFonts w:hint="eastAsia" w:ascii="宋体" w:hAnsi="宋体" w:eastAsia="宋体" w:cs="宋体"/>
                <w:b w:val="0"/>
                <w:bCs/>
                <w:color w:val="auto"/>
                <w:kern w:val="2"/>
                <w:sz w:val="21"/>
                <w:szCs w:val="21"/>
                <w:highlight w:val="none"/>
                <w:lang w:val="en-US" w:eastAsia="zh-CN" w:bidi="ar-SA"/>
              </w:rPr>
              <w:t>26</w:t>
            </w:r>
            <w:bookmarkEnd w:id="210"/>
            <w:bookmarkEnd w:id="211"/>
            <w:bookmarkEnd w:id="212"/>
            <w:bookmarkEnd w:id="213"/>
          </w:p>
        </w:tc>
        <w:tc>
          <w:tcPr>
            <w:tcW w:w="1221" w:type="dxa"/>
            <w:tcBorders>
              <w:top w:val="single" w:color="auto" w:sz="6" w:space="0"/>
              <w:left w:val="single" w:color="auto" w:sz="6" w:space="0"/>
              <w:right w:val="single" w:color="auto" w:sz="6" w:space="0"/>
            </w:tcBorders>
            <w:vAlign w:val="center"/>
          </w:tcPr>
          <w:p w14:paraId="11BEA6BA">
            <w:pPr>
              <w:keepNext/>
              <w:keepLines/>
              <w:widowControl w:val="0"/>
              <w:suppressLineNumbers w:val="0"/>
              <w:spacing w:before="0" w:beforeAutospacing="0" w:after="0" w:afterAutospacing="0" w:line="276" w:lineRule="auto"/>
              <w:ind w:left="0" w:right="0"/>
              <w:jc w:val="center"/>
              <w:outlineLvl w:val="9"/>
              <w:rPr>
                <w:rFonts w:ascii="宋体" w:hAnsi="宋体" w:eastAsia="宋体" w:cs="宋体"/>
                <w:b w:val="0"/>
                <w:bCs/>
                <w:color w:val="auto"/>
                <w:kern w:val="2"/>
                <w:sz w:val="21"/>
                <w:szCs w:val="21"/>
                <w:highlight w:val="none"/>
                <w:lang w:val="en-US" w:eastAsia="zh-CN" w:bidi="ar-SA"/>
              </w:rPr>
            </w:pPr>
            <w:bookmarkStart w:id="214" w:name="_Toc25927"/>
            <w:bookmarkStart w:id="215" w:name="_Toc18542"/>
            <w:bookmarkStart w:id="216" w:name="_Toc25155"/>
            <w:r>
              <w:rPr>
                <w:rFonts w:hint="eastAsia" w:ascii="宋体" w:hAnsi="宋体" w:eastAsia="宋体" w:cs="宋体"/>
                <w:b w:val="0"/>
                <w:bCs/>
                <w:color w:val="auto"/>
                <w:kern w:val="2"/>
                <w:sz w:val="21"/>
                <w:szCs w:val="21"/>
                <w:highlight w:val="none"/>
                <w:lang w:val="en-US" w:eastAsia="zh-CN" w:bidi="ar-SA"/>
              </w:rPr>
              <w:t>19.7</w:t>
            </w:r>
            <w:bookmarkEnd w:id="214"/>
            <w:bookmarkEnd w:id="215"/>
            <w:bookmarkEnd w:id="216"/>
          </w:p>
        </w:tc>
        <w:tc>
          <w:tcPr>
            <w:tcW w:w="7283" w:type="dxa"/>
            <w:tcBorders>
              <w:top w:val="single" w:color="auto" w:sz="6" w:space="0"/>
              <w:left w:val="single" w:color="auto" w:sz="6" w:space="0"/>
              <w:right w:val="single" w:color="auto" w:sz="12" w:space="0"/>
            </w:tcBorders>
            <w:vAlign w:val="center"/>
          </w:tcPr>
          <w:p w14:paraId="13133912">
            <w:pPr>
              <w:keepNext/>
              <w:keepLines/>
              <w:widowControl w:val="0"/>
              <w:suppressLineNumbers w:val="0"/>
              <w:spacing w:before="0" w:beforeAutospacing="0" w:after="0" w:afterAutospacing="0" w:line="276" w:lineRule="auto"/>
              <w:ind w:left="63" w:leftChars="30" w:right="63" w:rightChars="30"/>
              <w:jc w:val="left"/>
              <w:outlineLvl w:val="9"/>
              <w:rPr>
                <w:rFonts w:ascii="宋体" w:hAnsi="宋体" w:eastAsia="宋体" w:cs="宋体"/>
                <w:b w:val="0"/>
                <w:bCs/>
                <w:color w:val="auto"/>
                <w:kern w:val="2"/>
                <w:sz w:val="21"/>
                <w:szCs w:val="21"/>
                <w:highlight w:val="none"/>
                <w:lang w:val="en-US" w:eastAsia="zh-CN" w:bidi="ar-SA"/>
              </w:rPr>
            </w:pPr>
            <w:bookmarkStart w:id="217" w:name="_Toc1563"/>
            <w:bookmarkStart w:id="218" w:name="_Toc17546"/>
            <w:bookmarkStart w:id="219" w:name="_Toc27221"/>
            <w:r>
              <w:rPr>
                <w:rFonts w:hint="eastAsia" w:ascii="宋体" w:hAnsi="宋体" w:eastAsia="宋体" w:cs="宋体"/>
                <w:b w:val="0"/>
                <w:bCs/>
                <w:color w:val="auto"/>
                <w:kern w:val="2"/>
                <w:sz w:val="21"/>
                <w:szCs w:val="21"/>
                <w:highlight w:val="none"/>
                <w:lang w:val="en-US" w:eastAsia="zh-CN" w:bidi="ar-SA"/>
              </w:rPr>
              <w:t>保修期：</w:t>
            </w:r>
            <w:bookmarkEnd w:id="217"/>
            <w:r>
              <w:rPr>
                <w:rFonts w:hint="eastAsia" w:ascii="宋体" w:hAnsi="宋体" w:eastAsia="宋体" w:cs="宋体"/>
                <w:b/>
                <w:bCs w:val="0"/>
                <w:color w:val="auto"/>
                <w:kern w:val="2"/>
                <w:sz w:val="21"/>
                <w:szCs w:val="21"/>
                <w:highlight w:val="none"/>
                <w:u w:val="single"/>
                <w:lang w:val="en-US" w:eastAsia="zh-CN" w:bidi="ar-SA"/>
              </w:rPr>
              <w:t>试运行期满至竣工验收通过之日</w:t>
            </w:r>
            <w:r>
              <w:rPr>
                <w:rFonts w:hint="eastAsia" w:ascii="宋体" w:hAnsi="宋体" w:eastAsia="宋体" w:cs="宋体"/>
                <w:b w:val="0"/>
                <w:bCs/>
                <w:color w:val="auto"/>
                <w:kern w:val="2"/>
                <w:sz w:val="21"/>
                <w:szCs w:val="21"/>
                <w:highlight w:val="none"/>
                <w:u w:val="single"/>
                <w:lang w:val="en-US" w:eastAsia="zh-CN" w:bidi="ar-SA"/>
              </w:rPr>
              <w:t>。</w:t>
            </w:r>
            <w:bookmarkEnd w:id="218"/>
            <w:bookmarkEnd w:id="219"/>
          </w:p>
        </w:tc>
      </w:tr>
      <w:tr w14:paraId="0CCEE1A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28" w:type="dxa"/>
            <w:left w:w="28" w:type="dxa"/>
            <w:bottom w:w="28" w:type="dxa"/>
            <w:right w:w="28" w:type="dxa"/>
          </w:tblCellMar>
        </w:tblPrEx>
        <w:trPr>
          <w:trHeight w:val="491" w:hRule="atLeast"/>
        </w:trPr>
        <w:tc>
          <w:tcPr>
            <w:tcW w:w="738" w:type="dxa"/>
            <w:tcBorders>
              <w:top w:val="single" w:color="auto" w:sz="6" w:space="0"/>
              <w:left w:val="single" w:color="auto" w:sz="12" w:space="0"/>
              <w:right w:val="single" w:color="auto" w:sz="6" w:space="0"/>
            </w:tcBorders>
            <w:vAlign w:val="center"/>
          </w:tcPr>
          <w:p w14:paraId="4A2A2497">
            <w:pPr>
              <w:keepNext/>
              <w:keepLines/>
              <w:widowControl w:val="0"/>
              <w:suppressLineNumbers w:val="0"/>
              <w:spacing w:before="0" w:beforeAutospacing="0" w:after="0" w:afterAutospacing="0" w:line="276" w:lineRule="auto"/>
              <w:ind w:left="0" w:right="0"/>
              <w:jc w:val="center"/>
              <w:outlineLvl w:val="9"/>
              <w:rPr>
                <w:rFonts w:ascii="宋体" w:hAnsi="宋体" w:eastAsia="宋体" w:cs="宋体"/>
                <w:b w:val="0"/>
                <w:bCs/>
                <w:color w:val="auto"/>
                <w:kern w:val="2"/>
                <w:sz w:val="21"/>
                <w:szCs w:val="21"/>
                <w:highlight w:val="none"/>
                <w:lang w:val="en-US" w:eastAsia="zh-CN" w:bidi="ar-SA"/>
              </w:rPr>
            </w:pPr>
            <w:bookmarkStart w:id="220" w:name="_Toc8204"/>
            <w:bookmarkStart w:id="221" w:name="_Toc25372"/>
            <w:bookmarkStart w:id="222" w:name="_Toc8541"/>
            <w:bookmarkStart w:id="223" w:name="_Toc6251"/>
            <w:r>
              <w:rPr>
                <w:rFonts w:hint="eastAsia" w:ascii="宋体" w:hAnsi="宋体" w:eastAsia="宋体" w:cs="宋体"/>
                <w:b w:val="0"/>
                <w:bCs/>
                <w:color w:val="auto"/>
                <w:kern w:val="2"/>
                <w:sz w:val="21"/>
                <w:szCs w:val="21"/>
                <w:highlight w:val="none"/>
                <w:lang w:val="en-US" w:eastAsia="zh-CN" w:bidi="ar-SA"/>
              </w:rPr>
              <w:t>27</w:t>
            </w:r>
            <w:bookmarkEnd w:id="220"/>
            <w:bookmarkEnd w:id="221"/>
            <w:bookmarkEnd w:id="222"/>
            <w:bookmarkEnd w:id="223"/>
          </w:p>
        </w:tc>
        <w:tc>
          <w:tcPr>
            <w:tcW w:w="1221" w:type="dxa"/>
            <w:tcBorders>
              <w:top w:val="single" w:color="auto" w:sz="6" w:space="0"/>
              <w:left w:val="single" w:color="auto" w:sz="6" w:space="0"/>
              <w:right w:val="single" w:color="auto" w:sz="6" w:space="0"/>
            </w:tcBorders>
            <w:vAlign w:val="center"/>
          </w:tcPr>
          <w:p w14:paraId="642D5432">
            <w:pPr>
              <w:keepNext/>
              <w:keepLines/>
              <w:widowControl w:val="0"/>
              <w:suppressLineNumbers w:val="0"/>
              <w:spacing w:before="0" w:beforeAutospacing="0" w:after="0" w:afterAutospacing="0" w:line="276" w:lineRule="auto"/>
              <w:ind w:left="0" w:right="0"/>
              <w:jc w:val="center"/>
              <w:outlineLvl w:val="9"/>
              <w:rPr>
                <w:rFonts w:ascii="宋体" w:hAnsi="宋体" w:eastAsia="宋体" w:cs="宋体"/>
                <w:b w:val="0"/>
                <w:bCs/>
                <w:color w:val="auto"/>
                <w:kern w:val="2"/>
                <w:sz w:val="21"/>
                <w:szCs w:val="21"/>
                <w:highlight w:val="none"/>
                <w:lang w:val="en-US" w:eastAsia="zh-CN" w:bidi="ar-SA"/>
              </w:rPr>
            </w:pPr>
            <w:bookmarkStart w:id="224" w:name="_Toc17401"/>
            <w:bookmarkStart w:id="225" w:name="_Toc20425"/>
            <w:bookmarkStart w:id="226" w:name="_Toc8568"/>
            <w:r>
              <w:rPr>
                <w:rFonts w:hint="eastAsia" w:ascii="宋体" w:hAnsi="宋体" w:eastAsia="宋体" w:cs="宋体"/>
                <w:b w:val="0"/>
                <w:bCs/>
                <w:color w:val="auto"/>
                <w:kern w:val="2"/>
                <w:sz w:val="21"/>
                <w:szCs w:val="21"/>
                <w:highlight w:val="none"/>
                <w:lang w:val="en-US" w:eastAsia="zh-CN" w:bidi="ar-SA"/>
              </w:rPr>
              <w:t>20.1</w:t>
            </w:r>
            <w:bookmarkEnd w:id="224"/>
            <w:bookmarkEnd w:id="225"/>
            <w:bookmarkEnd w:id="226"/>
          </w:p>
        </w:tc>
        <w:tc>
          <w:tcPr>
            <w:tcW w:w="7283" w:type="dxa"/>
            <w:tcBorders>
              <w:top w:val="single" w:color="auto" w:sz="6" w:space="0"/>
              <w:left w:val="single" w:color="auto" w:sz="6" w:space="0"/>
              <w:right w:val="single" w:color="auto" w:sz="12" w:space="0"/>
            </w:tcBorders>
            <w:vAlign w:val="center"/>
          </w:tcPr>
          <w:p w14:paraId="5BD9541A">
            <w:pPr>
              <w:keepNext/>
              <w:keepLines/>
              <w:widowControl w:val="0"/>
              <w:suppressLineNumbers w:val="0"/>
              <w:spacing w:before="0" w:beforeAutospacing="0" w:after="0" w:afterAutospacing="0" w:line="276" w:lineRule="auto"/>
              <w:ind w:left="63" w:leftChars="30" w:right="63" w:rightChars="30"/>
              <w:jc w:val="left"/>
              <w:outlineLvl w:val="9"/>
              <w:rPr>
                <w:rFonts w:ascii="宋体" w:hAnsi="宋体" w:eastAsia="宋体" w:cs="宋体"/>
                <w:b w:val="0"/>
                <w:bCs/>
                <w:color w:val="auto"/>
                <w:kern w:val="2"/>
                <w:sz w:val="21"/>
                <w:szCs w:val="21"/>
                <w:highlight w:val="none"/>
                <w:lang w:val="en-US" w:eastAsia="zh-CN" w:bidi="ar-SA"/>
              </w:rPr>
            </w:pPr>
            <w:r>
              <w:rPr>
                <w:rFonts w:hint="eastAsia" w:ascii="宋体" w:hAnsi="宋体" w:eastAsia="宋体" w:cs="宋体"/>
                <w:b w:val="0"/>
                <w:bCs/>
                <w:color w:val="auto"/>
                <w:kern w:val="2"/>
                <w:sz w:val="21"/>
                <w:szCs w:val="21"/>
                <w:highlight w:val="none"/>
                <w:lang w:val="en-US" w:eastAsia="zh-CN" w:bidi="ar-SA"/>
              </w:rPr>
              <w:t>建筑工程一切险（含第三者责任险）的保险费率：4‰ 。（若保险费率不足4‰的，以实际费率支付；若保险费率大于4‰的，超出的部分由承包人承担）</w:t>
            </w:r>
          </w:p>
        </w:tc>
      </w:tr>
      <w:tr w14:paraId="6C2052A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28" w:type="dxa"/>
            <w:left w:w="28" w:type="dxa"/>
            <w:bottom w:w="28" w:type="dxa"/>
            <w:right w:w="28" w:type="dxa"/>
          </w:tblCellMar>
        </w:tblPrEx>
        <w:trPr>
          <w:trHeight w:val="837" w:hRule="atLeast"/>
        </w:trPr>
        <w:tc>
          <w:tcPr>
            <w:tcW w:w="738" w:type="dxa"/>
            <w:tcBorders>
              <w:top w:val="single" w:color="auto" w:sz="6" w:space="0"/>
              <w:left w:val="single" w:color="auto" w:sz="12" w:space="0"/>
              <w:right w:val="single" w:color="auto" w:sz="6" w:space="0"/>
            </w:tcBorders>
            <w:vAlign w:val="center"/>
          </w:tcPr>
          <w:p w14:paraId="14F0F7FB">
            <w:pPr>
              <w:keepNext/>
              <w:keepLines/>
              <w:widowControl w:val="0"/>
              <w:suppressLineNumbers w:val="0"/>
              <w:spacing w:before="0" w:beforeAutospacing="0" w:after="0" w:afterAutospacing="0" w:line="276" w:lineRule="auto"/>
              <w:ind w:left="0" w:right="0"/>
              <w:jc w:val="center"/>
              <w:outlineLvl w:val="9"/>
              <w:rPr>
                <w:rFonts w:ascii="宋体" w:hAnsi="宋体" w:eastAsia="宋体" w:cs="宋体"/>
                <w:b w:val="0"/>
                <w:bCs/>
                <w:color w:val="auto"/>
                <w:kern w:val="2"/>
                <w:sz w:val="21"/>
                <w:szCs w:val="21"/>
                <w:highlight w:val="none"/>
                <w:lang w:val="en-US" w:eastAsia="zh-CN" w:bidi="ar-SA"/>
              </w:rPr>
            </w:pPr>
            <w:bookmarkStart w:id="227" w:name="_Toc18346"/>
            <w:bookmarkStart w:id="228" w:name="_Toc14914"/>
            <w:bookmarkStart w:id="229" w:name="_Toc28539"/>
            <w:bookmarkStart w:id="230" w:name="_Toc18068"/>
            <w:r>
              <w:rPr>
                <w:rFonts w:hint="eastAsia" w:ascii="宋体" w:hAnsi="宋体" w:eastAsia="宋体" w:cs="宋体"/>
                <w:b w:val="0"/>
                <w:bCs/>
                <w:color w:val="auto"/>
                <w:kern w:val="2"/>
                <w:sz w:val="21"/>
                <w:szCs w:val="21"/>
                <w:highlight w:val="none"/>
                <w:lang w:val="en-US" w:eastAsia="zh-CN" w:bidi="ar-SA"/>
              </w:rPr>
              <w:t>28</w:t>
            </w:r>
            <w:bookmarkEnd w:id="227"/>
            <w:bookmarkEnd w:id="228"/>
            <w:bookmarkEnd w:id="229"/>
            <w:bookmarkEnd w:id="230"/>
          </w:p>
        </w:tc>
        <w:tc>
          <w:tcPr>
            <w:tcW w:w="1221" w:type="dxa"/>
            <w:tcBorders>
              <w:top w:val="single" w:color="auto" w:sz="6" w:space="0"/>
              <w:left w:val="single" w:color="auto" w:sz="6" w:space="0"/>
              <w:right w:val="single" w:color="auto" w:sz="6" w:space="0"/>
            </w:tcBorders>
            <w:vAlign w:val="center"/>
          </w:tcPr>
          <w:p w14:paraId="66C87B71">
            <w:pPr>
              <w:keepNext/>
              <w:keepLines/>
              <w:widowControl w:val="0"/>
              <w:suppressLineNumbers w:val="0"/>
              <w:spacing w:before="0" w:beforeAutospacing="0" w:after="0" w:afterAutospacing="0" w:line="276" w:lineRule="auto"/>
              <w:ind w:left="0" w:right="0"/>
              <w:jc w:val="center"/>
              <w:outlineLvl w:val="9"/>
              <w:rPr>
                <w:rFonts w:ascii="宋体" w:hAnsi="宋体" w:eastAsia="宋体" w:cs="宋体"/>
                <w:b w:val="0"/>
                <w:bCs/>
                <w:color w:val="auto"/>
                <w:kern w:val="2"/>
                <w:sz w:val="21"/>
                <w:szCs w:val="21"/>
                <w:highlight w:val="none"/>
                <w:lang w:val="en-US" w:eastAsia="zh-CN" w:bidi="ar-SA"/>
              </w:rPr>
            </w:pPr>
            <w:bookmarkStart w:id="231" w:name="_Toc5421"/>
            <w:bookmarkStart w:id="232" w:name="_Toc4159"/>
            <w:bookmarkStart w:id="233" w:name="_Toc1688"/>
            <w:r>
              <w:rPr>
                <w:rFonts w:hint="eastAsia" w:ascii="宋体" w:hAnsi="宋体" w:eastAsia="宋体" w:cs="宋体"/>
                <w:b w:val="0"/>
                <w:bCs/>
                <w:color w:val="auto"/>
                <w:kern w:val="2"/>
                <w:sz w:val="21"/>
                <w:szCs w:val="21"/>
                <w:highlight w:val="none"/>
                <w:lang w:val="en-US" w:eastAsia="zh-CN" w:bidi="ar-SA"/>
              </w:rPr>
              <w:t>20.4.2</w:t>
            </w:r>
            <w:bookmarkEnd w:id="231"/>
            <w:bookmarkEnd w:id="232"/>
            <w:bookmarkEnd w:id="233"/>
          </w:p>
        </w:tc>
        <w:tc>
          <w:tcPr>
            <w:tcW w:w="7283" w:type="dxa"/>
            <w:tcBorders>
              <w:top w:val="single" w:color="auto" w:sz="6" w:space="0"/>
              <w:left w:val="single" w:color="auto" w:sz="6" w:space="0"/>
              <w:right w:val="single" w:color="auto" w:sz="12" w:space="0"/>
            </w:tcBorders>
            <w:vAlign w:val="center"/>
          </w:tcPr>
          <w:p w14:paraId="4862FA4B">
            <w:pPr>
              <w:keepNext/>
              <w:keepLines/>
              <w:widowControl w:val="0"/>
              <w:suppressLineNumbers w:val="0"/>
              <w:spacing w:before="0" w:beforeAutospacing="0" w:after="0" w:afterAutospacing="0" w:line="276" w:lineRule="auto"/>
              <w:ind w:left="63" w:leftChars="30" w:right="63" w:rightChars="30"/>
              <w:jc w:val="left"/>
              <w:outlineLvl w:val="9"/>
              <w:rPr>
                <w:rFonts w:hint="eastAsia" w:ascii="宋体" w:hAnsi="宋体" w:eastAsia="宋体" w:cs="宋体"/>
                <w:b w:val="0"/>
                <w:bCs/>
                <w:color w:val="auto"/>
                <w:kern w:val="2"/>
                <w:sz w:val="21"/>
                <w:szCs w:val="21"/>
                <w:highlight w:val="none"/>
                <w:lang w:val="en-US" w:eastAsia="zh-CN" w:bidi="ar-SA"/>
              </w:rPr>
            </w:pPr>
            <w:r>
              <w:rPr>
                <w:rFonts w:hint="eastAsia" w:ascii="宋体" w:hAnsi="宋体" w:eastAsia="宋体" w:cs="宋体"/>
                <w:b w:val="0"/>
                <w:bCs/>
                <w:color w:val="auto"/>
                <w:kern w:val="2"/>
                <w:sz w:val="21"/>
                <w:szCs w:val="21"/>
                <w:highlight w:val="none"/>
                <w:lang w:val="en-US" w:eastAsia="zh-CN" w:bidi="ar-SA"/>
              </w:rPr>
              <w:t>1、安全生产责任保险按照《企业安全生产费用提取和使用管理办法》（财资〔2022〕136 号）文件规定执行，该费用在安全生产费用中支出，不单独计量支付。</w:t>
            </w:r>
          </w:p>
          <w:p w14:paraId="789F05BD">
            <w:pPr>
              <w:keepNext/>
              <w:keepLines/>
              <w:widowControl w:val="0"/>
              <w:suppressLineNumbers w:val="0"/>
              <w:spacing w:before="0" w:beforeAutospacing="0" w:after="0" w:afterAutospacing="0" w:line="276" w:lineRule="auto"/>
              <w:ind w:left="63" w:leftChars="30" w:right="63" w:rightChars="30"/>
              <w:jc w:val="left"/>
              <w:outlineLvl w:val="9"/>
              <w:rPr>
                <w:rFonts w:ascii="Arial" w:hAnsi="Arial" w:eastAsia="宋体" w:cs="Times New Roman"/>
                <w:b/>
                <w:bCs/>
                <w:color w:val="auto"/>
                <w:kern w:val="2"/>
                <w:sz w:val="21"/>
                <w:szCs w:val="28"/>
                <w:highlight w:val="none"/>
                <w:lang w:val="en-US" w:eastAsia="zh-CN" w:bidi="ar-SA"/>
              </w:rPr>
            </w:pPr>
            <w:r>
              <w:rPr>
                <w:rFonts w:hint="eastAsia" w:ascii="宋体" w:hAnsi="宋体" w:eastAsia="宋体" w:cs="宋体"/>
                <w:b w:val="0"/>
                <w:bCs/>
                <w:color w:val="auto"/>
                <w:kern w:val="2"/>
                <w:sz w:val="21"/>
                <w:szCs w:val="21"/>
                <w:highlight w:val="none"/>
                <w:lang w:val="en-US" w:eastAsia="zh-CN" w:bidi="ar-SA"/>
              </w:rPr>
              <w:t>2、工伤保险费用，依据《公路工程建设项目概算预算编制办法》（JTG3830-2018)规定，在规费工伤保险费中已计取，不单独计量支付。</w:t>
            </w:r>
          </w:p>
        </w:tc>
      </w:tr>
      <w:tr w14:paraId="3EDDFEF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28" w:type="dxa"/>
            <w:left w:w="28" w:type="dxa"/>
            <w:bottom w:w="28" w:type="dxa"/>
            <w:right w:w="28" w:type="dxa"/>
          </w:tblCellMar>
        </w:tblPrEx>
        <w:trPr>
          <w:trHeight w:val="632" w:hRule="atLeast"/>
        </w:trPr>
        <w:tc>
          <w:tcPr>
            <w:tcW w:w="738" w:type="dxa"/>
            <w:tcBorders>
              <w:top w:val="single" w:color="auto" w:sz="6" w:space="0"/>
              <w:left w:val="single" w:color="auto" w:sz="12" w:space="0"/>
              <w:right w:val="single" w:color="auto" w:sz="6" w:space="0"/>
            </w:tcBorders>
            <w:vAlign w:val="center"/>
          </w:tcPr>
          <w:p w14:paraId="4827300B">
            <w:pPr>
              <w:keepNext/>
              <w:keepLines/>
              <w:widowControl w:val="0"/>
              <w:suppressLineNumbers w:val="0"/>
              <w:spacing w:before="0" w:beforeAutospacing="0" w:after="0" w:afterAutospacing="0" w:line="276" w:lineRule="auto"/>
              <w:ind w:left="0" w:right="0"/>
              <w:jc w:val="center"/>
              <w:outlineLvl w:val="9"/>
              <w:rPr>
                <w:rFonts w:ascii="宋体" w:hAnsi="宋体" w:eastAsia="宋体" w:cs="宋体"/>
                <w:b w:val="0"/>
                <w:bCs/>
                <w:color w:val="auto"/>
                <w:kern w:val="2"/>
                <w:sz w:val="21"/>
                <w:szCs w:val="21"/>
                <w:highlight w:val="none"/>
                <w:lang w:val="en-US" w:eastAsia="zh-CN" w:bidi="ar-SA"/>
              </w:rPr>
            </w:pPr>
            <w:bookmarkStart w:id="234" w:name="_Toc8882"/>
            <w:bookmarkStart w:id="235" w:name="_Toc4934"/>
            <w:bookmarkStart w:id="236" w:name="_Toc27916"/>
            <w:bookmarkStart w:id="237" w:name="_Toc20645"/>
            <w:r>
              <w:rPr>
                <w:rFonts w:hint="eastAsia" w:ascii="宋体" w:hAnsi="宋体" w:eastAsia="宋体" w:cs="宋体"/>
                <w:b w:val="0"/>
                <w:bCs/>
                <w:color w:val="auto"/>
                <w:kern w:val="2"/>
                <w:sz w:val="21"/>
                <w:szCs w:val="21"/>
                <w:highlight w:val="none"/>
                <w:lang w:val="en-US" w:eastAsia="zh-CN" w:bidi="ar-SA"/>
              </w:rPr>
              <w:t>29</w:t>
            </w:r>
            <w:bookmarkEnd w:id="234"/>
            <w:bookmarkEnd w:id="235"/>
            <w:bookmarkEnd w:id="236"/>
            <w:bookmarkEnd w:id="237"/>
          </w:p>
        </w:tc>
        <w:tc>
          <w:tcPr>
            <w:tcW w:w="1221" w:type="dxa"/>
            <w:tcBorders>
              <w:top w:val="single" w:color="auto" w:sz="6" w:space="0"/>
              <w:left w:val="single" w:color="auto" w:sz="6" w:space="0"/>
              <w:right w:val="single" w:color="auto" w:sz="6" w:space="0"/>
            </w:tcBorders>
            <w:vAlign w:val="center"/>
          </w:tcPr>
          <w:p w14:paraId="2F71D600">
            <w:pPr>
              <w:keepNext/>
              <w:keepLines/>
              <w:widowControl w:val="0"/>
              <w:suppressLineNumbers w:val="0"/>
              <w:spacing w:before="0" w:beforeAutospacing="0" w:after="0" w:afterAutospacing="0" w:line="276" w:lineRule="auto"/>
              <w:ind w:left="0" w:right="0"/>
              <w:jc w:val="center"/>
              <w:outlineLvl w:val="9"/>
              <w:rPr>
                <w:rFonts w:ascii="宋体" w:hAnsi="宋体" w:eastAsia="宋体" w:cs="宋体"/>
                <w:b w:val="0"/>
                <w:bCs/>
                <w:color w:val="auto"/>
                <w:kern w:val="2"/>
                <w:sz w:val="21"/>
                <w:szCs w:val="21"/>
                <w:highlight w:val="none"/>
                <w:lang w:val="en-US" w:eastAsia="zh-CN" w:bidi="ar-SA"/>
              </w:rPr>
            </w:pPr>
            <w:bookmarkStart w:id="238" w:name="_Toc10483"/>
            <w:bookmarkStart w:id="239" w:name="_Toc30899"/>
            <w:bookmarkStart w:id="240" w:name="_Toc10061"/>
            <w:r>
              <w:rPr>
                <w:rFonts w:hint="eastAsia" w:ascii="宋体" w:hAnsi="宋体" w:eastAsia="宋体" w:cs="宋体"/>
                <w:b w:val="0"/>
                <w:bCs/>
                <w:color w:val="auto"/>
                <w:kern w:val="2"/>
                <w:sz w:val="21"/>
                <w:szCs w:val="21"/>
                <w:highlight w:val="none"/>
                <w:lang w:val="en-US" w:eastAsia="zh-CN" w:bidi="ar-SA"/>
              </w:rPr>
              <w:t>24.1</w:t>
            </w:r>
            <w:bookmarkEnd w:id="238"/>
            <w:bookmarkEnd w:id="239"/>
            <w:bookmarkEnd w:id="240"/>
          </w:p>
        </w:tc>
        <w:tc>
          <w:tcPr>
            <w:tcW w:w="7283" w:type="dxa"/>
            <w:tcBorders>
              <w:top w:val="single" w:color="auto" w:sz="6" w:space="0"/>
              <w:left w:val="single" w:color="auto" w:sz="6" w:space="0"/>
              <w:right w:val="single" w:color="auto" w:sz="12" w:space="0"/>
            </w:tcBorders>
            <w:vAlign w:val="center"/>
          </w:tcPr>
          <w:p w14:paraId="51811EA2">
            <w:pPr>
              <w:keepNext/>
              <w:keepLines/>
              <w:widowControl w:val="0"/>
              <w:suppressLineNumbers w:val="0"/>
              <w:spacing w:before="0" w:beforeAutospacing="0" w:after="0" w:afterAutospacing="0" w:line="276" w:lineRule="auto"/>
              <w:ind w:left="63" w:leftChars="30" w:right="63" w:rightChars="30"/>
              <w:jc w:val="left"/>
              <w:outlineLvl w:val="9"/>
              <w:rPr>
                <w:rFonts w:ascii="宋体" w:hAnsi="宋体" w:eastAsia="宋体" w:cs="宋体"/>
                <w:b w:val="0"/>
                <w:bCs/>
                <w:color w:val="auto"/>
                <w:kern w:val="2"/>
                <w:sz w:val="21"/>
                <w:szCs w:val="21"/>
                <w:highlight w:val="none"/>
                <w:lang w:val="en-US" w:eastAsia="zh-CN" w:bidi="ar-SA"/>
              </w:rPr>
            </w:pPr>
            <w:bookmarkStart w:id="241" w:name="_Toc3663"/>
            <w:bookmarkStart w:id="242" w:name="_Toc32723"/>
            <w:bookmarkStart w:id="243" w:name="_Toc11380"/>
            <w:r>
              <w:rPr>
                <w:rFonts w:hint="eastAsia" w:ascii="宋体" w:hAnsi="宋体" w:eastAsia="宋体" w:cs="宋体"/>
                <w:b w:val="0"/>
                <w:bCs/>
                <w:color w:val="auto"/>
                <w:kern w:val="2"/>
                <w:sz w:val="21"/>
                <w:szCs w:val="21"/>
                <w:highlight w:val="none"/>
                <w:lang w:val="en-US" w:eastAsia="zh-CN" w:bidi="ar-SA"/>
              </w:rPr>
              <w:t>争议的最终解决方式：</w:t>
            </w:r>
            <w:r>
              <w:rPr>
                <w:rFonts w:hint="eastAsia" w:ascii="宋体" w:hAnsi="宋体" w:eastAsia="宋体" w:cs="宋体"/>
                <w:b w:val="0"/>
                <w:bCs/>
                <w:color w:val="auto"/>
                <w:kern w:val="2"/>
                <w:sz w:val="21"/>
                <w:szCs w:val="21"/>
                <w:highlight w:val="none"/>
                <w:u w:val="single"/>
                <w:lang w:val="en-US" w:eastAsia="zh-CN" w:bidi="ar-SA"/>
              </w:rPr>
              <w:t>诉讼</w:t>
            </w:r>
            <w:bookmarkEnd w:id="241"/>
            <w:bookmarkEnd w:id="242"/>
            <w:bookmarkEnd w:id="243"/>
          </w:p>
          <w:p w14:paraId="56CBA08B">
            <w:pPr>
              <w:keepNext/>
              <w:keepLines/>
              <w:widowControl w:val="0"/>
              <w:suppressLineNumbers w:val="0"/>
              <w:spacing w:before="0" w:beforeAutospacing="0" w:after="0" w:afterAutospacing="0" w:line="276" w:lineRule="auto"/>
              <w:ind w:left="63" w:leftChars="30" w:right="63" w:rightChars="30"/>
              <w:jc w:val="left"/>
              <w:outlineLvl w:val="9"/>
              <w:rPr>
                <w:rFonts w:ascii="宋体" w:hAnsi="宋体" w:eastAsia="宋体" w:cs="宋体"/>
                <w:b w:val="0"/>
                <w:bCs/>
                <w:color w:val="auto"/>
                <w:kern w:val="2"/>
                <w:sz w:val="21"/>
                <w:szCs w:val="21"/>
                <w:highlight w:val="none"/>
                <w:lang w:val="en-US" w:eastAsia="zh-CN" w:bidi="ar-SA"/>
              </w:rPr>
            </w:pPr>
            <w:bookmarkStart w:id="244" w:name="_Toc10869"/>
            <w:bookmarkStart w:id="245" w:name="_Toc26809"/>
            <w:bookmarkStart w:id="246" w:name="_Toc21704"/>
            <w:r>
              <w:rPr>
                <w:rFonts w:hint="eastAsia" w:ascii="宋体" w:hAnsi="宋体" w:eastAsia="宋体" w:cs="宋体"/>
                <w:b w:val="0"/>
                <w:bCs/>
                <w:color w:val="auto"/>
                <w:kern w:val="2"/>
                <w:sz w:val="21"/>
                <w:szCs w:val="21"/>
                <w:highlight w:val="none"/>
                <w:lang w:val="en-US" w:eastAsia="zh-CN" w:bidi="ar-SA"/>
              </w:rPr>
              <w:t>诉讼法院名称：</w:t>
            </w:r>
            <w:r>
              <w:rPr>
                <w:rFonts w:hint="eastAsia" w:ascii="宋体" w:hAnsi="宋体" w:eastAsia="宋体" w:cs="宋体"/>
                <w:b w:val="0"/>
                <w:bCs/>
                <w:color w:val="auto"/>
                <w:kern w:val="2"/>
                <w:sz w:val="21"/>
                <w:szCs w:val="21"/>
                <w:highlight w:val="none"/>
                <w:u w:val="single"/>
                <w:lang w:val="en-US" w:eastAsia="zh-CN" w:bidi="ar-SA"/>
              </w:rPr>
              <w:t>泰顺县人民法院</w:t>
            </w:r>
            <w:bookmarkEnd w:id="244"/>
            <w:bookmarkEnd w:id="245"/>
            <w:bookmarkEnd w:id="246"/>
          </w:p>
        </w:tc>
      </w:tr>
    </w:tbl>
    <w:p w14:paraId="66161D66">
      <w:pPr>
        <w:widowControl w:val="0"/>
        <w:tabs>
          <w:tab w:val="left" w:pos="2790"/>
        </w:tabs>
        <w:spacing w:line="42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2"/>
          <w:highlight w:val="none"/>
          <w:lang w:val="en-US" w:eastAsia="zh-CN" w:bidi="ar-SA"/>
        </w:rPr>
        <w:br w:type="page"/>
      </w:r>
    </w:p>
    <w:p w14:paraId="076BA90F">
      <w:pPr>
        <w:keepNext/>
        <w:keepLines/>
        <w:widowControl w:val="0"/>
        <w:spacing w:line="360" w:lineRule="auto"/>
        <w:jc w:val="center"/>
        <w:outlineLvl w:val="3"/>
        <w:rPr>
          <w:rFonts w:ascii="宋体" w:hAnsi="宋体" w:eastAsia="宋体" w:cs="宋体"/>
          <w:b/>
          <w:bCs/>
          <w:color w:val="auto"/>
          <w:kern w:val="2"/>
          <w:sz w:val="28"/>
          <w:szCs w:val="40"/>
          <w:highlight w:val="none"/>
          <w:lang w:val="en-US" w:eastAsia="zh-CN" w:bidi="ar-SA"/>
        </w:rPr>
      </w:pPr>
      <w:bookmarkStart w:id="247" w:name="_Toc21268"/>
      <w:bookmarkStart w:id="248" w:name="_Toc133536949"/>
      <w:bookmarkStart w:id="249" w:name="_Toc7773"/>
      <w:bookmarkStart w:id="250" w:name="_Toc17262"/>
      <w:bookmarkStart w:id="251" w:name="_Toc98194704"/>
      <w:bookmarkStart w:id="252" w:name="_Toc517356852"/>
      <w:bookmarkStart w:id="253" w:name="_Toc498612657"/>
      <w:bookmarkStart w:id="254" w:name="_Toc488333213"/>
      <w:bookmarkStart w:id="255" w:name="_Toc2692952"/>
      <w:bookmarkStart w:id="256" w:name="_Toc509845199"/>
      <w:bookmarkStart w:id="257" w:name="_Toc521522290"/>
      <w:bookmarkStart w:id="258" w:name="_Toc445203888"/>
      <w:bookmarkStart w:id="259" w:name="_Toc477764136"/>
      <w:bookmarkStart w:id="260" w:name="_Toc497815071"/>
      <w:bookmarkStart w:id="261" w:name="_Toc509090384"/>
      <w:bookmarkStart w:id="262" w:name="_Toc287272865"/>
      <w:r>
        <w:rPr>
          <w:rFonts w:hint="eastAsia" w:ascii="宋体" w:hAnsi="宋体" w:eastAsia="宋体" w:cs="宋体"/>
          <w:b/>
          <w:bCs/>
          <w:color w:val="auto"/>
          <w:kern w:val="2"/>
          <w:sz w:val="28"/>
          <w:szCs w:val="40"/>
          <w:highlight w:val="none"/>
          <w:lang w:val="en-US" w:eastAsia="zh-CN" w:bidi="ar-SA"/>
        </w:rPr>
        <w:t>项目专用合同条款</w:t>
      </w:r>
      <w:bookmarkEnd w:id="247"/>
      <w:bookmarkEnd w:id="248"/>
      <w:bookmarkEnd w:id="249"/>
      <w:bookmarkEnd w:id="250"/>
      <w:bookmarkEnd w:id="251"/>
    </w:p>
    <w:p w14:paraId="6A82F0E5">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说明：本“项目专用合同条款”根据本项目的特点和实际需要，是对“通用合同条款”、“A.公路工程专用合同条款”的补充、细化和约定，应对照“通用合同条款”、“A.公路工程专用合同条款”中同一编号的条款一起阅读和理解。</w:t>
      </w:r>
    </w:p>
    <w:p w14:paraId="1BDCF014">
      <w:pPr>
        <w:keepNext/>
        <w:keepLines/>
        <w:widowControl w:val="0"/>
        <w:spacing w:before="120" w:after="0" w:line="360" w:lineRule="auto"/>
        <w:jc w:val="both"/>
        <w:outlineLvl w:val="3"/>
        <w:rPr>
          <w:rFonts w:ascii="宋体" w:hAnsi="宋体" w:eastAsia="宋体" w:cs="宋体"/>
          <w:b/>
          <w:bCs/>
          <w:color w:val="auto"/>
          <w:kern w:val="2"/>
          <w:sz w:val="24"/>
          <w:szCs w:val="24"/>
          <w:highlight w:val="none"/>
          <w:lang w:val="en-US" w:eastAsia="zh-CN" w:bidi="ar-SA"/>
        </w:rPr>
      </w:pPr>
      <w:bookmarkStart w:id="263" w:name="_Toc82849580"/>
      <w:bookmarkStart w:id="264" w:name="_Toc86616468"/>
      <w:bookmarkStart w:id="265" w:name="_Toc98194705"/>
      <w:bookmarkStart w:id="266" w:name="_Toc133536950"/>
      <w:bookmarkStart w:id="267" w:name="_Toc83398577"/>
      <w:bookmarkStart w:id="268" w:name="_Toc32214"/>
      <w:bookmarkStart w:id="269" w:name="_Toc10415"/>
      <w:bookmarkStart w:id="270" w:name="_Toc27971"/>
      <w:r>
        <w:rPr>
          <w:rFonts w:hint="eastAsia" w:ascii="宋体" w:hAnsi="宋体" w:eastAsia="宋体" w:cs="宋体"/>
          <w:b/>
          <w:bCs/>
          <w:color w:val="auto"/>
          <w:kern w:val="2"/>
          <w:sz w:val="24"/>
          <w:szCs w:val="24"/>
          <w:highlight w:val="none"/>
          <w:lang w:val="en-US" w:eastAsia="zh-CN" w:bidi="ar-SA"/>
        </w:rPr>
        <w:t>1.一般约定</w:t>
      </w:r>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p>
    <w:p w14:paraId="53DB3EB0">
      <w:pPr>
        <w:widowControl w:val="0"/>
        <w:spacing w:before="120" w:beforeLines="50" w:line="276" w:lineRule="auto"/>
        <w:jc w:val="both"/>
        <w:outlineLvl w:val="4"/>
        <w:rPr>
          <w:rFonts w:ascii="宋体" w:hAnsi="宋体" w:eastAsia="宋体" w:cs="宋体"/>
          <w:b/>
          <w:color w:val="auto"/>
          <w:kern w:val="2"/>
          <w:sz w:val="21"/>
          <w:szCs w:val="22"/>
          <w:highlight w:val="none"/>
          <w:lang w:val="en-US" w:eastAsia="zh-CN" w:bidi="ar-SA"/>
        </w:rPr>
      </w:pPr>
      <w:bookmarkStart w:id="271" w:name="_Toc445203889"/>
      <w:bookmarkStart w:id="272" w:name="_Toc98194706"/>
      <w:bookmarkStart w:id="273" w:name="_Toc21306"/>
      <w:bookmarkStart w:id="274" w:name="_Toc8369"/>
      <w:bookmarkStart w:id="275" w:name="_Toc31674"/>
      <w:bookmarkStart w:id="276" w:name="_Toc477764137"/>
      <w:bookmarkStart w:id="277" w:name="_Toc133536951"/>
      <w:r>
        <w:rPr>
          <w:rFonts w:hint="eastAsia" w:ascii="宋体" w:hAnsi="宋体" w:eastAsia="宋体" w:cs="宋体"/>
          <w:b/>
          <w:color w:val="auto"/>
          <w:kern w:val="2"/>
          <w:sz w:val="21"/>
          <w:szCs w:val="22"/>
          <w:highlight w:val="none"/>
          <w:lang w:val="en-US" w:eastAsia="zh-CN" w:bidi="ar-SA"/>
        </w:rPr>
        <w:t>1.1词语定义</w:t>
      </w:r>
      <w:bookmarkEnd w:id="271"/>
      <w:bookmarkEnd w:id="272"/>
      <w:bookmarkEnd w:id="273"/>
      <w:bookmarkEnd w:id="274"/>
      <w:bookmarkEnd w:id="275"/>
      <w:bookmarkEnd w:id="276"/>
      <w:bookmarkEnd w:id="277"/>
    </w:p>
    <w:p w14:paraId="2C28AAAB">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bookmarkStart w:id="278" w:name="_Toc287272867"/>
      <w:r>
        <w:rPr>
          <w:rFonts w:hint="eastAsia" w:ascii="宋体" w:hAnsi="宋体" w:eastAsia="宋体" w:cs="宋体"/>
          <w:color w:val="auto"/>
          <w:kern w:val="2"/>
          <w:sz w:val="21"/>
          <w:szCs w:val="21"/>
          <w:highlight w:val="none"/>
          <w:lang w:val="en-US" w:eastAsia="zh-CN" w:bidi="ar-SA"/>
        </w:rPr>
        <w:t>1.1.1 合同</w:t>
      </w:r>
    </w:p>
    <w:p w14:paraId="1E7A7D4A">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第 1.1.1.8 目细化为：</w:t>
      </w:r>
    </w:p>
    <w:p w14:paraId="4F90A0B6">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1.1.1.8 已标价工程量清单：指构成合同文件组成部分的已标明价格、经算术性错误修正及其他错误修正（如有）且承包人已确认的最终的工程量清单，包括工程量清单说明、投标报价说明、其他说明及工程量清单各项表格（工程量清单表5.1、表5.2、表5.3、表5.4、表5.5）。</w:t>
      </w:r>
    </w:p>
    <w:p w14:paraId="6A88793C">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1.1.2  合同当事人和人员</w:t>
      </w:r>
    </w:p>
    <w:p w14:paraId="4BF292CB">
      <w:pPr>
        <w:widowControl w:val="0"/>
        <w:tabs>
          <w:tab w:val="left" w:pos="2790"/>
        </w:tabs>
        <w:spacing w:line="400" w:lineRule="exact"/>
        <w:ind w:firstLine="422" w:firstLineChars="200"/>
        <w:jc w:val="both"/>
        <w:rPr>
          <w:rFonts w:ascii="宋体" w:hAnsi="宋体" w:eastAsia="宋体" w:cs="宋体"/>
          <w:b/>
          <w:bCs/>
          <w:color w:val="auto"/>
          <w:kern w:val="2"/>
          <w:sz w:val="21"/>
          <w:szCs w:val="21"/>
          <w:highlight w:val="none"/>
          <w:lang w:val="en-US" w:eastAsia="zh-CN" w:bidi="ar-SA"/>
        </w:rPr>
      </w:pPr>
      <w:r>
        <w:rPr>
          <w:rFonts w:hint="eastAsia" w:ascii="宋体" w:hAnsi="宋体" w:eastAsia="宋体" w:cs="宋体"/>
          <w:b/>
          <w:bCs/>
          <w:color w:val="auto"/>
          <w:kern w:val="2"/>
          <w:sz w:val="21"/>
          <w:szCs w:val="21"/>
          <w:highlight w:val="none"/>
          <w:lang w:val="en-US" w:eastAsia="zh-CN" w:bidi="ar-SA"/>
        </w:rPr>
        <w:t>通用合同条款1.1.2.2目细化为：</w:t>
      </w:r>
    </w:p>
    <w:p w14:paraId="2CF14D6A">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本项目业主单位为泰顺县文旅集团有限公司，采购人为泰顺县交通工程建设中心，发包人为泰顺县交通建设管理有限公司，中标（成交）供应商为本项目承包人。时尚体育旅游基础设施提升工程(叶岸山特大桥工程）供配电照明系统的建设管理由负责采购人及发包人共同管理，合同协议书由业主、采购人、发包人及承包人共同签订。</w:t>
      </w:r>
    </w:p>
    <w:p w14:paraId="280DB398">
      <w:pPr>
        <w:widowControl w:val="0"/>
        <w:tabs>
          <w:tab w:val="left" w:pos="2790"/>
        </w:tabs>
        <w:spacing w:line="400" w:lineRule="exact"/>
        <w:ind w:firstLine="422" w:firstLineChars="200"/>
        <w:jc w:val="both"/>
        <w:rPr>
          <w:rFonts w:ascii="宋体" w:hAnsi="宋体" w:eastAsia="宋体" w:cs="宋体"/>
          <w:b/>
          <w:bCs/>
          <w:color w:val="auto"/>
          <w:kern w:val="2"/>
          <w:sz w:val="21"/>
          <w:szCs w:val="21"/>
          <w:highlight w:val="none"/>
          <w:lang w:val="en-US" w:eastAsia="zh-CN" w:bidi="ar-SA"/>
        </w:rPr>
      </w:pPr>
      <w:bookmarkStart w:id="279" w:name="_Hlk83068387"/>
      <w:r>
        <w:rPr>
          <w:rFonts w:hint="eastAsia" w:ascii="宋体" w:hAnsi="宋体" w:eastAsia="宋体" w:cs="宋体"/>
          <w:b/>
          <w:bCs/>
          <w:color w:val="auto"/>
          <w:kern w:val="2"/>
          <w:sz w:val="21"/>
          <w:szCs w:val="21"/>
          <w:highlight w:val="none"/>
          <w:lang w:val="en-US" w:eastAsia="zh-CN" w:bidi="ar-SA"/>
        </w:rPr>
        <w:t>公路工程专用合同条款补充1.1.2.9、1.1.2.10、1.1.2.11目：</w:t>
      </w:r>
    </w:p>
    <w:p w14:paraId="09BB1DAB">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1.1.2.9  供货商：指为工程提供一般设备、材料的经营单位。</w:t>
      </w:r>
    </w:p>
    <w:p w14:paraId="11F0C248">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1.1.2.10  制造商：指直接为工程制造设备、材料的生产企业。</w:t>
      </w:r>
    </w:p>
    <w:p w14:paraId="7F783760">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1.1.2.11  代理商：指以代理单位的资格为工程供应所代理的设备、材料的经营单位或企业。</w:t>
      </w:r>
    </w:p>
    <w:p w14:paraId="603AB629">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1.1.3  工程和设备</w:t>
      </w:r>
    </w:p>
    <w:p w14:paraId="40B68E6B">
      <w:pPr>
        <w:widowControl w:val="0"/>
        <w:tabs>
          <w:tab w:val="left" w:pos="2790"/>
        </w:tabs>
        <w:spacing w:line="400" w:lineRule="exact"/>
        <w:ind w:firstLine="422" w:firstLineChars="200"/>
        <w:jc w:val="both"/>
        <w:rPr>
          <w:rFonts w:ascii="宋体" w:hAnsi="宋体" w:eastAsia="宋体" w:cs="宋体"/>
          <w:b/>
          <w:bCs/>
          <w:color w:val="auto"/>
          <w:kern w:val="2"/>
          <w:sz w:val="21"/>
          <w:szCs w:val="21"/>
          <w:highlight w:val="none"/>
          <w:lang w:val="en-US" w:eastAsia="zh-CN" w:bidi="ar-SA"/>
        </w:rPr>
      </w:pPr>
      <w:r>
        <w:rPr>
          <w:rFonts w:hint="eastAsia" w:ascii="宋体" w:hAnsi="宋体" w:eastAsia="宋体" w:cs="宋体"/>
          <w:b/>
          <w:bCs/>
          <w:color w:val="auto"/>
          <w:kern w:val="2"/>
          <w:sz w:val="21"/>
          <w:szCs w:val="21"/>
          <w:highlight w:val="none"/>
          <w:lang w:val="en-US" w:eastAsia="zh-CN" w:bidi="ar-SA"/>
        </w:rPr>
        <w:t>公路工程专用合同条款补充1.1.3.14、1.1.3.15、1.1.3.16、1.1.3.17、1.1.3.18目：</w:t>
      </w:r>
    </w:p>
    <w:p w14:paraId="7668D0F3">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1.1.3.14  施工图补充设计：指由承包人和监理人协助施工图设计单位，根据招投标文件、主要系统设备的技术特性和工程现场状况所做的对施工图的补充和完善设计。</w:t>
      </w:r>
    </w:p>
    <w:p w14:paraId="7B92EBA4">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1.1.3.15  调试：指按合同条款和合同其他有关规定，在施工期内，由承包人执行的，在准备合同工程的完工测试及验收前的测试、检验与运行等工作。一旦调试完毕，承包人即可提交完工验收书面申请。</w:t>
      </w:r>
    </w:p>
    <w:p w14:paraId="7525BA33">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1.1.3.16  机械完工：指工程设备全部安装到位，并经分系统、系统、完工检（试）验合格的阶段，以签发机械完工证书为标志。</w:t>
      </w:r>
    </w:p>
    <w:p w14:paraId="2DD7BD4B">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1.1.3.17  联网测试：为保证本项目的监控和通信等机电系统达到联网运行的要求，在路段开通运行前，应按照有关规定和规范要求，进行兼容性测试、适用性测试、技术基础检测、并网测试等联网测试。</w:t>
      </w:r>
    </w:p>
    <w:p w14:paraId="5D510B4B">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1.1.3.18  试运行：指工程在联网测试完成后，对工程进行运行考核的阶段，试运行时间本项目为6个月。</w:t>
      </w:r>
    </w:p>
    <w:p w14:paraId="212852C1">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1.1.4  日期</w:t>
      </w:r>
    </w:p>
    <w:p w14:paraId="2CF838E5">
      <w:pPr>
        <w:widowControl w:val="0"/>
        <w:tabs>
          <w:tab w:val="left" w:pos="2790"/>
        </w:tabs>
        <w:spacing w:line="400" w:lineRule="exact"/>
        <w:ind w:firstLine="422" w:firstLineChars="200"/>
        <w:jc w:val="both"/>
        <w:rPr>
          <w:rFonts w:ascii="宋体" w:hAnsi="宋体" w:eastAsia="宋体" w:cs="宋体"/>
          <w:b/>
          <w:bCs/>
          <w:color w:val="auto"/>
          <w:kern w:val="2"/>
          <w:sz w:val="21"/>
          <w:szCs w:val="21"/>
          <w:highlight w:val="none"/>
          <w:lang w:val="en-US" w:eastAsia="zh-CN" w:bidi="ar-SA"/>
        </w:rPr>
      </w:pPr>
      <w:r>
        <w:rPr>
          <w:rFonts w:hint="eastAsia" w:ascii="宋体" w:hAnsi="宋体" w:eastAsia="宋体" w:cs="宋体"/>
          <w:b/>
          <w:bCs/>
          <w:color w:val="auto"/>
          <w:kern w:val="2"/>
          <w:sz w:val="21"/>
          <w:szCs w:val="21"/>
          <w:highlight w:val="none"/>
          <w:lang w:val="en-US" w:eastAsia="zh-CN" w:bidi="ar-SA"/>
        </w:rPr>
        <w:t>通用合同条款补充1.1.4.8目：</w:t>
      </w:r>
    </w:p>
    <w:p w14:paraId="731D6DA3">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1.1.4.8  试运行期：指机电工程从机械完工证书上写明的试运行开始之日算起6个月并通过发包人审批之日止。</w:t>
      </w:r>
    </w:p>
    <w:bookmarkEnd w:id="279"/>
    <w:p w14:paraId="61418FC7">
      <w:pPr>
        <w:widowControl w:val="0"/>
        <w:spacing w:before="120" w:beforeLines="50" w:line="276" w:lineRule="auto"/>
        <w:jc w:val="both"/>
        <w:outlineLvl w:val="4"/>
        <w:rPr>
          <w:rFonts w:ascii="宋体" w:hAnsi="宋体" w:eastAsia="宋体" w:cs="宋体"/>
          <w:b/>
          <w:color w:val="auto"/>
          <w:kern w:val="2"/>
          <w:sz w:val="21"/>
          <w:szCs w:val="22"/>
          <w:highlight w:val="none"/>
          <w:lang w:val="en-US" w:eastAsia="zh-CN" w:bidi="ar-SA"/>
        </w:rPr>
      </w:pPr>
      <w:bookmarkStart w:id="280" w:name="_Toc477764138"/>
      <w:bookmarkStart w:id="281" w:name="_Toc14056"/>
      <w:bookmarkStart w:id="282" w:name="_Toc445203890"/>
      <w:bookmarkStart w:id="283" w:name="_Toc133536952"/>
      <w:bookmarkStart w:id="284" w:name="_Toc27308"/>
      <w:bookmarkStart w:id="285" w:name="_Toc15111"/>
      <w:bookmarkStart w:id="286" w:name="_Toc98194707"/>
      <w:r>
        <w:rPr>
          <w:rFonts w:hint="eastAsia" w:ascii="宋体" w:hAnsi="宋体" w:eastAsia="宋体" w:cs="宋体"/>
          <w:b/>
          <w:color w:val="auto"/>
          <w:kern w:val="2"/>
          <w:sz w:val="21"/>
          <w:szCs w:val="22"/>
          <w:highlight w:val="none"/>
          <w:lang w:val="en-US" w:eastAsia="zh-CN" w:bidi="ar-SA"/>
        </w:rPr>
        <w:t>1.4 合同文件的优先顺序</w:t>
      </w:r>
      <w:bookmarkEnd w:id="278"/>
      <w:bookmarkEnd w:id="280"/>
      <w:bookmarkEnd w:id="281"/>
      <w:bookmarkEnd w:id="282"/>
      <w:bookmarkEnd w:id="283"/>
      <w:bookmarkEnd w:id="284"/>
      <w:bookmarkEnd w:id="285"/>
      <w:bookmarkEnd w:id="286"/>
    </w:p>
    <w:p w14:paraId="6C34E27A">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bookmarkStart w:id="287" w:name="_Toc287272869"/>
      <w:bookmarkStart w:id="288" w:name="_Toc445203891"/>
      <w:r>
        <w:rPr>
          <w:rFonts w:hint="eastAsia" w:ascii="宋体" w:hAnsi="宋体" w:eastAsia="宋体" w:cs="宋体"/>
          <w:color w:val="auto"/>
          <w:kern w:val="2"/>
          <w:sz w:val="21"/>
          <w:szCs w:val="21"/>
          <w:highlight w:val="none"/>
          <w:lang w:val="en-US" w:eastAsia="zh-CN" w:bidi="ar-SA"/>
        </w:rPr>
        <w:t>公路工程专用合同条款1.4款约定为：</w:t>
      </w:r>
    </w:p>
    <w:p w14:paraId="7D35AA20">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组成合同的各项文件应互相解释，互为说明。解释合同文件的优先顺序如下：</w:t>
      </w:r>
    </w:p>
    <w:p w14:paraId="0E14C267">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（1）合同协议书和及各种合同附件（含廉政合同、安全生产合同、工程质量责任合同、工程资金监管协议及评标期间和合同谈判过程中的澄清文件和补充资料）；</w:t>
      </w:r>
    </w:p>
    <w:p w14:paraId="505B4329">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（2）中标通知书；</w:t>
      </w:r>
    </w:p>
    <w:p w14:paraId="4EA7A668">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（3）投标函及投标函附录；</w:t>
      </w:r>
    </w:p>
    <w:p w14:paraId="0DD28224">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（4）项目专用合同条款（含招标文件补遗书中与此有关的部分）；</w:t>
      </w:r>
    </w:p>
    <w:p w14:paraId="06A3694E">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（5）公路工程专用合同条款；</w:t>
      </w:r>
    </w:p>
    <w:p w14:paraId="1BB51245">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（6）通用合同条款；</w:t>
      </w:r>
    </w:p>
    <w:p w14:paraId="25896BA1">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（7）项目专用技术规范（含招标文件补遗书中与此有关的部分）；</w:t>
      </w:r>
    </w:p>
    <w:p w14:paraId="1C6C25EC">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（8）通用技术规范；</w:t>
      </w:r>
    </w:p>
    <w:p w14:paraId="5198CBB8">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（9）图纸（含招标文件补遗书中与此有关的部分）；</w:t>
      </w:r>
    </w:p>
    <w:p w14:paraId="4C9C019D">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（10）已标价工程量清单（含说明）；</w:t>
      </w:r>
    </w:p>
    <w:p w14:paraId="2D8D9721">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（11）承包人有关人员，设备投入，财务能力的承诺及投标文件中的施工组织设计；</w:t>
      </w:r>
    </w:p>
    <w:p w14:paraId="2B28F348">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（12）构成本合同组成部分的其它文件。</w:t>
      </w:r>
    </w:p>
    <w:p w14:paraId="2E69ABC4">
      <w:pPr>
        <w:widowControl w:val="0"/>
        <w:spacing w:before="120" w:beforeLines="50" w:line="276" w:lineRule="auto"/>
        <w:jc w:val="both"/>
        <w:outlineLvl w:val="4"/>
        <w:rPr>
          <w:rFonts w:ascii="宋体" w:hAnsi="宋体" w:eastAsia="宋体" w:cs="宋体"/>
          <w:b/>
          <w:color w:val="auto"/>
          <w:kern w:val="2"/>
          <w:sz w:val="21"/>
          <w:szCs w:val="22"/>
          <w:highlight w:val="none"/>
          <w:lang w:val="en-US" w:eastAsia="zh-CN" w:bidi="ar-SA"/>
        </w:rPr>
      </w:pPr>
      <w:bookmarkStart w:id="289" w:name="_Toc16771"/>
      <w:bookmarkStart w:id="290" w:name="_Toc32628"/>
      <w:bookmarkStart w:id="291" w:name="_Toc21547"/>
      <w:bookmarkStart w:id="292" w:name="_Toc98194708"/>
      <w:bookmarkStart w:id="293" w:name="_Toc477764139"/>
      <w:bookmarkStart w:id="294" w:name="_Toc133536953"/>
      <w:r>
        <w:rPr>
          <w:rFonts w:hint="eastAsia" w:ascii="宋体" w:hAnsi="宋体" w:eastAsia="宋体" w:cs="宋体"/>
          <w:b/>
          <w:color w:val="auto"/>
          <w:kern w:val="2"/>
          <w:sz w:val="21"/>
          <w:szCs w:val="22"/>
          <w:highlight w:val="none"/>
          <w:lang w:val="en-US" w:eastAsia="zh-CN" w:bidi="ar-SA"/>
        </w:rPr>
        <w:t>1.6图纸和承包人文件</w:t>
      </w:r>
      <w:bookmarkEnd w:id="287"/>
      <w:bookmarkEnd w:id="288"/>
      <w:bookmarkEnd w:id="289"/>
      <w:bookmarkEnd w:id="290"/>
      <w:bookmarkEnd w:id="291"/>
      <w:bookmarkEnd w:id="292"/>
      <w:bookmarkEnd w:id="293"/>
      <w:bookmarkEnd w:id="294"/>
    </w:p>
    <w:p w14:paraId="10B36628">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bookmarkStart w:id="295" w:name="_Toc287272871"/>
      <w:r>
        <w:rPr>
          <w:rFonts w:hint="eastAsia" w:ascii="宋体" w:hAnsi="宋体" w:eastAsia="宋体" w:cs="宋体"/>
          <w:color w:val="auto"/>
          <w:kern w:val="2"/>
          <w:sz w:val="21"/>
          <w:szCs w:val="21"/>
          <w:highlight w:val="none"/>
          <w:lang w:val="en-US" w:eastAsia="zh-CN" w:bidi="ar-SA"/>
        </w:rPr>
        <w:t>1.6.3 图纸的修改</w:t>
      </w:r>
    </w:p>
    <w:p w14:paraId="2DCC5143">
      <w:pPr>
        <w:widowControl w:val="0"/>
        <w:tabs>
          <w:tab w:val="left" w:pos="2790"/>
        </w:tabs>
        <w:spacing w:line="400" w:lineRule="exact"/>
        <w:ind w:firstLine="422" w:firstLineChars="200"/>
        <w:jc w:val="both"/>
        <w:rPr>
          <w:rFonts w:ascii="宋体" w:hAnsi="宋体" w:eastAsia="宋体" w:cs="宋体"/>
          <w:b/>
          <w:bCs/>
          <w:color w:val="auto"/>
          <w:kern w:val="2"/>
          <w:sz w:val="21"/>
          <w:szCs w:val="21"/>
          <w:highlight w:val="none"/>
          <w:lang w:val="en-US" w:eastAsia="zh-CN" w:bidi="ar-SA"/>
        </w:rPr>
      </w:pPr>
      <w:r>
        <w:rPr>
          <w:rFonts w:hint="eastAsia" w:ascii="宋体" w:hAnsi="宋体" w:eastAsia="宋体" w:cs="宋体"/>
          <w:b/>
          <w:bCs/>
          <w:color w:val="auto"/>
          <w:kern w:val="2"/>
          <w:sz w:val="21"/>
          <w:szCs w:val="21"/>
          <w:highlight w:val="none"/>
          <w:lang w:val="en-US" w:eastAsia="zh-CN" w:bidi="ar-SA"/>
        </w:rPr>
        <w:t>通用合同条款1.6.3项细化为：</w:t>
      </w:r>
    </w:p>
    <w:p w14:paraId="778F17D5">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图纸需要修改和补充的，应由监理人取得发包人同意后，在该工程或工程相应部位施工前的7天内签发图纸修改图和补充图给承包人。承包人应按修改和补充后的图纸和补充施工。</w:t>
      </w:r>
    </w:p>
    <w:p w14:paraId="5824D0CC">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为使设计单位设计的施工图纸适合于经施工测量后的纵、横断面或现场具体地形或因尺寸与位置变化而引起局部变更，或因施工图补充设计而引起的设备、系统、技术的变更，或因合同要求与施工需要，承包人应免费向监理人提交配合上述设计单位的施工图（或施工图补充设计）所需要的相关图纸资料，并附必要的计算书、技术资料，或施工工艺图、设备安装图及安装设备的使用和维护手册各2份供监理人批准。此类图纸应按监理人规定的格式和图幅绘制。监理人在收到由承包人绘制的上述工程、工艺图纸、计算书和有关技术资料后14天内应予批准或提出修改要求，承包人应按监理人提出的要求做出修改，重新向监理人提交，监理人应在7天内批准或提出进一步的修改意见。</w:t>
      </w:r>
    </w:p>
    <w:p w14:paraId="035306C2">
      <w:pPr>
        <w:widowControl w:val="0"/>
        <w:tabs>
          <w:tab w:val="left" w:pos="2790"/>
        </w:tabs>
        <w:spacing w:line="400" w:lineRule="exact"/>
        <w:ind w:firstLine="422" w:firstLineChars="200"/>
        <w:jc w:val="both"/>
        <w:rPr>
          <w:rFonts w:ascii="宋体" w:hAnsi="宋体" w:eastAsia="宋体" w:cs="宋体"/>
          <w:b/>
          <w:bCs/>
          <w:color w:val="auto"/>
          <w:kern w:val="2"/>
          <w:sz w:val="21"/>
          <w:szCs w:val="21"/>
          <w:highlight w:val="none"/>
          <w:lang w:val="en-US" w:eastAsia="zh-CN" w:bidi="ar-SA"/>
        </w:rPr>
      </w:pPr>
      <w:r>
        <w:rPr>
          <w:rFonts w:hint="eastAsia" w:ascii="宋体" w:hAnsi="宋体" w:eastAsia="宋体" w:cs="宋体"/>
          <w:b/>
          <w:bCs/>
          <w:color w:val="auto"/>
          <w:kern w:val="2"/>
          <w:sz w:val="21"/>
          <w:szCs w:val="21"/>
          <w:highlight w:val="none"/>
          <w:lang w:val="en-US" w:eastAsia="zh-CN" w:bidi="ar-SA"/>
        </w:rPr>
        <w:t>通用合同条款补充1.6.6项：</w:t>
      </w:r>
    </w:p>
    <w:p w14:paraId="0F4D9F1E">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1.6.6  施工图补充设计</w:t>
      </w:r>
    </w:p>
    <w:p w14:paraId="0FCD5B5E">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施工图补充设计的主要目的是确保施工图设计内容与工程拟采用的设备和材料以及工程施工现场的实际情况更好地匹配符合，是对施工图设计的深化、完善、修正和补充，以便能充分、全面、有效地指导施工。施工图补充设计工作由施工图设计单位负责完成，并作为公路机电工程设计程序中的一个重要环节。承包人和监理人应全面配合和协助，并负责提供为完成施工图补充设计所必须的所有设备材料和现场情况的数据、参数、位置、尺寸、设备材料机械图等相关资料。</w:t>
      </w:r>
    </w:p>
    <w:p w14:paraId="47053DAD">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施工图补充设计完成以后，发包人应及时上报省级交通主管部门备案，并和施工图设计共同作为工程施工、监理、支付、验收的依据。在工程施工过程中，如发现施工图设计与施工图补充设计存在偏差、不一致等情况，应以施工图补充设计中的内容为准。</w:t>
      </w:r>
    </w:p>
    <w:p w14:paraId="253F0595">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因施工图补充设计引起的相关变更，按照合同条款和技术规范的有关内容执行。</w:t>
      </w:r>
    </w:p>
    <w:p w14:paraId="7F4AB53B">
      <w:pPr>
        <w:widowControl w:val="0"/>
        <w:spacing w:before="120" w:beforeLines="50" w:line="276" w:lineRule="auto"/>
        <w:jc w:val="both"/>
        <w:outlineLvl w:val="4"/>
        <w:rPr>
          <w:rFonts w:ascii="宋体" w:hAnsi="宋体" w:eastAsia="宋体" w:cs="宋体"/>
          <w:b/>
          <w:color w:val="auto"/>
          <w:kern w:val="2"/>
          <w:sz w:val="21"/>
          <w:szCs w:val="22"/>
          <w:highlight w:val="none"/>
          <w:lang w:val="en-US" w:eastAsia="zh-CN" w:bidi="ar-SA"/>
        </w:rPr>
      </w:pPr>
      <w:bookmarkStart w:id="296" w:name="_Toc22487"/>
      <w:bookmarkStart w:id="297" w:name="_Toc133536954"/>
      <w:bookmarkStart w:id="298" w:name="_Toc25630"/>
      <w:bookmarkStart w:id="299" w:name="_Toc509845200"/>
      <w:bookmarkStart w:id="300" w:name="_Toc445203892"/>
      <w:bookmarkStart w:id="301" w:name="_Toc477764140"/>
      <w:bookmarkStart w:id="302" w:name="_Toc98194709"/>
      <w:bookmarkStart w:id="303" w:name="_Toc28203"/>
      <w:r>
        <w:rPr>
          <w:rFonts w:hint="eastAsia" w:ascii="宋体" w:hAnsi="宋体" w:eastAsia="宋体" w:cs="宋体"/>
          <w:b/>
          <w:color w:val="auto"/>
          <w:kern w:val="2"/>
          <w:sz w:val="21"/>
          <w:szCs w:val="22"/>
          <w:highlight w:val="none"/>
          <w:lang w:val="en-US" w:eastAsia="zh-CN" w:bidi="ar-SA"/>
        </w:rPr>
        <w:t>1.7 联络</w:t>
      </w:r>
      <w:bookmarkEnd w:id="295"/>
      <w:bookmarkEnd w:id="296"/>
      <w:bookmarkEnd w:id="297"/>
      <w:bookmarkEnd w:id="298"/>
      <w:bookmarkEnd w:id="299"/>
      <w:bookmarkEnd w:id="300"/>
      <w:bookmarkEnd w:id="301"/>
      <w:bookmarkEnd w:id="302"/>
      <w:bookmarkEnd w:id="303"/>
    </w:p>
    <w:p w14:paraId="6D0A4C80">
      <w:pPr>
        <w:widowControl w:val="0"/>
        <w:tabs>
          <w:tab w:val="left" w:pos="2790"/>
        </w:tabs>
        <w:spacing w:line="400" w:lineRule="exact"/>
        <w:ind w:firstLine="422" w:firstLineChars="200"/>
        <w:jc w:val="both"/>
        <w:rPr>
          <w:rFonts w:ascii="宋体" w:hAnsi="宋体" w:eastAsia="宋体" w:cs="宋体"/>
          <w:b/>
          <w:bCs/>
          <w:color w:val="auto"/>
          <w:kern w:val="2"/>
          <w:sz w:val="21"/>
          <w:szCs w:val="21"/>
          <w:highlight w:val="none"/>
          <w:lang w:val="en-US" w:eastAsia="zh-CN" w:bidi="ar-SA"/>
        </w:rPr>
      </w:pPr>
      <w:bookmarkStart w:id="304" w:name="_Toc237255135"/>
      <w:bookmarkStart w:id="305" w:name="_Toc237400190"/>
      <w:bookmarkStart w:id="306" w:name="_Toc235846459"/>
      <w:bookmarkStart w:id="307" w:name="_Toc287272872"/>
      <w:r>
        <w:rPr>
          <w:rFonts w:hint="eastAsia" w:ascii="宋体" w:hAnsi="宋体" w:eastAsia="宋体" w:cs="宋体"/>
          <w:b/>
          <w:bCs/>
          <w:color w:val="auto"/>
          <w:kern w:val="2"/>
          <w:sz w:val="21"/>
          <w:szCs w:val="21"/>
          <w:highlight w:val="none"/>
          <w:lang w:val="en-US" w:eastAsia="zh-CN" w:bidi="ar-SA"/>
        </w:rPr>
        <w:t>通用合同条款第1.7.2项约定为：</w:t>
      </w:r>
    </w:p>
    <w:p w14:paraId="56C5DF37">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1.7.2第1.7.1项中的通知、批准、证明、证书、指示、要求、请求、同意、意见、确定和决定等来往函件，均应在函件发出24小时内送达指定地点和接收人，并办理签收手续。</w:t>
      </w:r>
    </w:p>
    <w:p w14:paraId="654D6C28">
      <w:pPr>
        <w:keepNext/>
        <w:keepLines/>
        <w:widowControl w:val="0"/>
        <w:spacing w:before="120" w:after="0" w:line="360" w:lineRule="auto"/>
        <w:jc w:val="both"/>
        <w:outlineLvl w:val="3"/>
        <w:rPr>
          <w:rFonts w:ascii="宋体" w:hAnsi="宋体" w:eastAsia="宋体" w:cs="宋体"/>
          <w:b/>
          <w:bCs/>
          <w:color w:val="auto"/>
          <w:kern w:val="2"/>
          <w:sz w:val="24"/>
          <w:szCs w:val="24"/>
          <w:highlight w:val="none"/>
          <w:lang w:val="en-US" w:eastAsia="zh-CN" w:bidi="ar-SA"/>
        </w:rPr>
      </w:pPr>
      <w:bookmarkStart w:id="308" w:name="_Toc11567"/>
      <w:bookmarkStart w:id="309" w:name="_Toc82849581"/>
      <w:bookmarkStart w:id="310" w:name="_Toc509845201"/>
      <w:bookmarkStart w:id="311" w:name="_Toc509090385"/>
      <w:bookmarkStart w:id="312" w:name="_Toc86616469"/>
      <w:bookmarkStart w:id="313" w:name="_Toc521522291"/>
      <w:bookmarkStart w:id="314" w:name="_Toc19237"/>
      <w:bookmarkStart w:id="315" w:name="_Toc517356853"/>
      <w:bookmarkStart w:id="316" w:name="_Toc98194710"/>
      <w:bookmarkStart w:id="317" w:name="_Toc133536955"/>
      <w:bookmarkStart w:id="318" w:name="_Toc16546"/>
      <w:bookmarkStart w:id="319" w:name="_Toc83398578"/>
      <w:bookmarkStart w:id="320" w:name="_Toc2692953"/>
      <w:r>
        <w:rPr>
          <w:rFonts w:hint="eastAsia" w:ascii="宋体" w:hAnsi="宋体" w:eastAsia="宋体" w:cs="宋体"/>
          <w:b/>
          <w:bCs/>
          <w:color w:val="auto"/>
          <w:kern w:val="2"/>
          <w:sz w:val="24"/>
          <w:szCs w:val="24"/>
          <w:highlight w:val="none"/>
          <w:lang w:val="en-US" w:eastAsia="zh-CN" w:bidi="ar-SA"/>
        </w:rPr>
        <w:t>2.发包人义务</w:t>
      </w:r>
      <w:bookmarkEnd w:id="308"/>
      <w:bookmarkEnd w:id="309"/>
      <w:bookmarkEnd w:id="310"/>
      <w:bookmarkEnd w:id="311"/>
      <w:bookmarkEnd w:id="312"/>
      <w:bookmarkEnd w:id="313"/>
      <w:bookmarkEnd w:id="314"/>
      <w:bookmarkEnd w:id="315"/>
      <w:bookmarkEnd w:id="316"/>
      <w:bookmarkEnd w:id="317"/>
      <w:bookmarkEnd w:id="318"/>
      <w:bookmarkEnd w:id="319"/>
      <w:bookmarkEnd w:id="320"/>
    </w:p>
    <w:p w14:paraId="66039DD8">
      <w:pPr>
        <w:widowControl w:val="0"/>
        <w:spacing w:before="120" w:beforeLines="50" w:line="276" w:lineRule="auto"/>
        <w:jc w:val="both"/>
        <w:outlineLvl w:val="4"/>
        <w:rPr>
          <w:rFonts w:ascii="宋体" w:hAnsi="宋体" w:eastAsia="宋体" w:cs="宋体"/>
          <w:b/>
          <w:color w:val="auto"/>
          <w:kern w:val="2"/>
          <w:sz w:val="21"/>
          <w:szCs w:val="22"/>
          <w:highlight w:val="none"/>
          <w:lang w:val="en-US" w:eastAsia="zh-CN" w:bidi="ar-SA"/>
        </w:rPr>
      </w:pPr>
      <w:bookmarkStart w:id="321" w:name="_Toc509845202"/>
      <w:bookmarkStart w:id="322" w:name="_Toc133536956"/>
      <w:bookmarkStart w:id="323" w:name="_Toc98194711"/>
      <w:bookmarkStart w:id="324" w:name="_Toc28907"/>
      <w:bookmarkStart w:id="325" w:name="_Toc29256"/>
      <w:bookmarkStart w:id="326" w:name="_Toc25374"/>
      <w:r>
        <w:rPr>
          <w:rFonts w:hint="eastAsia" w:ascii="宋体" w:hAnsi="宋体" w:eastAsia="宋体" w:cs="宋体"/>
          <w:b/>
          <w:color w:val="auto"/>
          <w:kern w:val="2"/>
          <w:sz w:val="21"/>
          <w:szCs w:val="22"/>
          <w:highlight w:val="none"/>
          <w:lang w:val="en-US" w:eastAsia="zh-CN" w:bidi="ar-SA"/>
        </w:rPr>
        <w:t>2.6 支付合同价款</w:t>
      </w:r>
      <w:bookmarkEnd w:id="321"/>
      <w:bookmarkEnd w:id="322"/>
      <w:bookmarkEnd w:id="323"/>
      <w:bookmarkEnd w:id="324"/>
      <w:bookmarkEnd w:id="325"/>
      <w:bookmarkEnd w:id="326"/>
    </w:p>
    <w:p w14:paraId="0E01F7DE">
      <w:pPr>
        <w:widowControl w:val="0"/>
        <w:tabs>
          <w:tab w:val="left" w:pos="2790"/>
        </w:tabs>
        <w:spacing w:line="400" w:lineRule="exact"/>
        <w:ind w:firstLine="422" w:firstLineChars="200"/>
        <w:jc w:val="both"/>
        <w:rPr>
          <w:rFonts w:ascii="宋体" w:hAnsi="宋体" w:eastAsia="宋体" w:cs="宋体"/>
          <w:b/>
          <w:bCs/>
          <w:color w:val="auto"/>
          <w:kern w:val="2"/>
          <w:sz w:val="21"/>
          <w:szCs w:val="21"/>
          <w:highlight w:val="none"/>
          <w:lang w:val="en-US" w:eastAsia="zh-CN" w:bidi="ar-SA"/>
        </w:rPr>
      </w:pPr>
      <w:r>
        <w:rPr>
          <w:rFonts w:hint="eastAsia" w:ascii="宋体" w:hAnsi="宋体" w:eastAsia="宋体" w:cs="宋体"/>
          <w:b/>
          <w:bCs/>
          <w:color w:val="auto"/>
          <w:kern w:val="2"/>
          <w:sz w:val="21"/>
          <w:szCs w:val="21"/>
          <w:highlight w:val="none"/>
          <w:lang w:val="en-US" w:eastAsia="zh-CN" w:bidi="ar-SA"/>
        </w:rPr>
        <w:t>通用合同条款2.6款补充：</w:t>
      </w:r>
    </w:p>
    <w:p w14:paraId="2E1CDB44">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发包人严格执行《工程建设领域农民工工资专用账户管理暂行办法》（人社部发〔2021〕53号）、《关于做好全省公路水运建设工程人工工资专用账户管理工作的通知》（浙交〔2018〕241号文）和《关于在全省工程建设领域改革保证金制度的通知》（浙建〔2020〕7号文）和《浙江省工程建设领域农民工工资专用账户管理实施细则》（浙人社发〔2022〕14号）的要求，将应支付工程款中的人工费单独拨付到承包人在项目所在地开设的农民工工资（劳务费）专用帐户。</w:t>
      </w:r>
      <w:r>
        <w:rPr>
          <w:rFonts w:hint="eastAsia" w:ascii="宋体" w:hAnsi="宋体" w:eastAsia="宋体" w:cs="宋体"/>
          <w:b/>
          <w:bCs/>
          <w:color w:val="auto"/>
          <w:kern w:val="2"/>
          <w:sz w:val="21"/>
          <w:szCs w:val="21"/>
          <w:highlight w:val="none"/>
          <w:lang w:val="en-US" w:eastAsia="zh-CN" w:bidi="ar-SA"/>
        </w:rPr>
        <w:t>人工费比例为：</w:t>
      </w:r>
      <w:r>
        <w:rPr>
          <w:rFonts w:hint="eastAsia" w:ascii="宋体" w:hAnsi="宋体" w:eastAsia="宋体" w:cs="宋体"/>
          <w:b/>
          <w:bCs/>
          <w:color w:val="auto"/>
          <w:kern w:val="2"/>
          <w:sz w:val="21"/>
          <w:szCs w:val="21"/>
          <w:highlight w:val="none"/>
          <w:u w:val="single"/>
          <w:lang w:val="en-US" w:eastAsia="zh-CN" w:bidi="ar-SA"/>
        </w:rPr>
        <w:t>每期计量支付款的10%（暂定）</w:t>
      </w:r>
      <w:r>
        <w:rPr>
          <w:rFonts w:hint="eastAsia" w:ascii="宋体" w:hAnsi="宋体" w:eastAsia="宋体" w:cs="宋体"/>
          <w:b/>
          <w:bCs/>
          <w:color w:val="auto"/>
          <w:kern w:val="2"/>
          <w:sz w:val="21"/>
          <w:szCs w:val="21"/>
          <w:highlight w:val="none"/>
          <w:lang w:val="en-US" w:eastAsia="zh-CN" w:bidi="ar-SA"/>
        </w:rPr>
        <w:t>。</w:t>
      </w:r>
    </w:p>
    <w:p w14:paraId="6B657345">
      <w:pPr>
        <w:widowControl w:val="0"/>
        <w:spacing w:before="120" w:beforeLines="50" w:line="276" w:lineRule="auto"/>
        <w:jc w:val="both"/>
        <w:outlineLvl w:val="4"/>
        <w:rPr>
          <w:rFonts w:ascii="宋体" w:hAnsi="宋体" w:eastAsia="宋体" w:cs="宋体"/>
          <w:b/>
          <w:color w:val="auto"/>
          <w:kern w:val="2"/>
          <w:sz w:val="21"/>
          <w:szCs w:val="22"/>
          <w:highlight w:val="none"/>
          <w:lang w:val="en-US" w:eastAsia="zh-CN" w:bidi="ar-SA"/>
        </w:rPr>
      </w:pPr>
      <w:bookmarkStart w:id="327" w:name="_Toc22108"/>
      <w:bookmarkStart w:id="328" w:name="_Toc25244"/>
      <w:bookmarkStart w:id="329" w:name="_Toc509845203"/>
      <w:bookmarkStart w:id="330" w:name="_Toc133536957"/>
      <w:bookmarkStart w:id="331" w:name="_Toc3519"/>
      <w:bookmarkStart w:id="332" w:name="_Toc98194712"/>
      <w:r>
        <w:rPr>
          <w:rFonts w:hint="eastAsia" w:ascii="宋体" w:hAnsi="宋体" w:eastAsia="宋体" w:cs="宋体"/>
          <w:b/>
          <w:color w:val="auto"/>
          <w:kern w:val="2"/>
          <w:sz w:val="21"/>
          <w:szCs w:val="22"/>
          <w:highlight w:val="none"/>
          <w:lang w:val="en-US" w:eastAsia="zh-CN" w:bidi="ar-SA"/>
        </w:rPr>
        <w:t>2.8 其他义务</w:t>
      </w:r>
      <w:bookmarkEnd w:id="327"/>
      <w:bookmarkEnd w:id="328"/>
      <w:bookmarkEnd w:id="329"/>
      <w:bookmarkEnd w:id="330"/>
      <w:bookmarkEnd w:id="331"/>
      <w:bookmarkEnd w:id="332"/>
    </w:p>
    <w:p w14:paraId="6DE413C3">
      <w:pPr>
        <w:widowControl w:val="0"/>
        <w:tabs>
          <w:tab w:val="left" w:pos="2790"/>
        </w:tabs>
        <w:spacing w:line="400" w:lineRule="exact"/>
        <w:ind w:firstLine="422" w:firstLineChars="200"/>
        <w:jc w:val="both"/>
        <w:rPr>
          <w:rFonts w:ascii="宋体" w:hAnsi="宋体" w:eastAsia="宋体" w:cs="宋体"/>
          <w:b/>
          <w:bCs/>
          <w:color w:val="auto"/>
          <w:kern w:val="2"/>
          <w:sz w:val="21"/>
          <w:szCs w:val="21"/>
          <w:highlight w:val="none"/>
          <w:lang w:val="en-US" w:eastAsia="zh-CN" w:bidi="ar-SA"/>
        </w:rPr>
      </w:pPr>
      <w:r>
        <w:rPr>
          <w:rFonts w:hint="eastAsia" w:ascii="宋体" w:hAnsi="宋体" w:eastAsia="宋体" w:cs="宋体"/>
          <w:b/>
          <w:bCs/>
          <w:color w:val="auto"/>
          <w:kern w:val="2"/>
          <w:sz w:val="21"/>
          <w:szCs w:val="21"/>
          <w:highlight w:val="none"/>
          <w:lang w:val="en-US" w:eastAsia="zh-CN" w:bidi="ar-SA"/>
        </w:rPr>
        <w:t>通用合同条款2.8款补充：</w:t>
      </w:r>
    </w:p>
    <w:p w14:paraId="57C8BF90">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发包人向承包人提交和履约担保对等金额的支付担保。发包人应在签署合同协议书后28天内，按照金额和条件对等的原则，按招标文件规定的格式或者其他经承包人事先认可的格式向承包人提交一份支付担保。支付担保的有效期同履约担保。支付担保应在发包人付清交工付款之后28天内退还给发包人，承包人不承担发包人与支付担保有关的任何利息或其他费用或收益。</w:t>
      </w:r>
    </w:p>
    <w:bookmarkEnd w:id="304"/>
    <w:bookmarkEnd w:id="305"/>
    <w:bookmarkEnd w:id="306"/>
    <w:bookmarkEnd w:id="307"/>
    <w:p w14:paraId="2608F8B6">
      <w:pPr>
        <w:keepNext/>
        <w:keepLines/>
        <w:widowControl w:val="0"/>
        <w:spacing w:before="120" w:after="0" w:line="360" w:lineRule="auto"/>
        <w:jc w:val="both"/>
        <w:outlineLvl w:val="3"/>
        <w:rPr>
          <w:rFonts w:ascii="宋体" w:hAnsi="宋体" w:eastAsia="宋体" w:cs="宋体"/>
          <w:b/>
          <w:bCs/>
          <w:color w:val="auto"/>
          <w:kern w:val="2"/>
          <w:sz w:val="24"/>
          <w:szCs w:val="24"/>
          <w:highlight w:val="none"/>
          <w:lang w:val="en-US" w:eastAsia="zh-CN" w:bidi="ar-SA"/>
        </w:rPr>
      </w:pPr>
      <w:bookmarkStart w:id="333" w:name="_Toc98194713"/>
      <w:bookmarkStart w:id="334" w:name="_Toc517356854"/>
      <w:bookmarkStart w:id="335" w:name="_Toc488333215"/>
      <w:bookmarkStart w:id="336" w:name="_Toc8859"/>
      <w:bookmarkStart w:id="337" w:name="_Toc497815072"/>
      <w:bookmarkStart w:id="338" w:name="_Toc521522292"/>
      <w:bookmarkStart w:id="339" w:name="_Toc498612658"/>
      <w:bookmarkStart w:id="340" w:name="_Toc133536958"/>
      <w:bookmarkStart w:id="341" w:name="_Toc30384"/>
      <w:bookmarkStart w:id="342" w:name="_Toc445203895"/>
      <w:bookmarkStart w:id="343" w:name="_Toc28841"/>
      <w:bookmarkStart w:id="344" w:name="_Toc509845204"/>
      <w:bookmarkStart w:id="345" w:name="_Toc287272875"/>
      <w:bookmarkStart w:id="346" w:name="_Toc2692954"/>
      <w:bookmarkStart w:id="347" w:name="_Toc509090386"/>
      <w:bookmarkStart w:id="348" w:name="_Toc86616470"/>
      <w:bookmarkStart w:id="349" w:name="_Toc83398579"/>
      <w:bookmarkStart w:id="350" w:name="_Toc477764143"/>
      <w:bookmarkStart w:id="351" w:name="_Toc82849582"/>
      <w:r>
        <w:rPr>
          <w:rFonts w:hint="eastAsia" w:ascii="宋体" w:hAnsi="宋体" w:eastAsia="宋体" w:cs="宋体"/>
          <w:b/>
          <w:bCs/>
          <w:color w:val="auto"/>
          <w:kern w:val="2"/>
          <w:sz w:val="24"/>
          <w:szCs w:val="24"/>
          <w:highlight w:val="none"/>
          <w:lang w:val="en-US" w:eastAsia="zh-CN" w:bidi="ar-SA"/>
        </w:rPr>
        <w:t>4.承包人</w:t>
      </w:r>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p>
    <w:p w14:paraId="2DD08C63">
      <w:pPr>
        <w:widowControl w:val="0"/>
        <w:spacing w:before="120" w:beforeLines="50" w:line="276" w:lineRule="auto"/>
        <w:jc w:val="both"/>
        <w:outlineLvl w:val="4"/>
        <w:rPr>
          <w:rFonts w:ascii="宋体" w:hAnsi="宋体" w:eastAsia="宋体" w:cs="宋体"/>
          <w:b/>
          <w:color w:val="auto"/>
          <w:kern w:val="2"/>
          <w:sz w:val="21"/>
          <w:szCs w:val="22"/>
          <w:highlight w:val="none"/>
          <w:lang w:val="en-US" w:eastAsia="zh-CN" w:bidi="ar-SA"/>
        </w:rPr>
      </w:pPr>
      <w:bookmarkStart w:id="352" w:name="_Toc24439"/>
      <w:bookmarkStart w:id="353" w:name="_Toc477764144"/>
      <w:bookmarkStart w:id="354" w:name="_Toc12738"/>
      <w:bookmarkStart w:id="355" w:name="_Toc5226"/>
      <w:bookmarkStart w:id="356" w:name="_Toc133536959"/>
      <w:bookmarkStart w:id="357" w:name="_Toc98194714"/>
      <w:bookmarkStart w:id="358" w:name="_Toc445203896"/>
      <w:r>
        <w:rPr>
          <w:rFonts w:hint="eastAsia" w:ascii="宋体" w:hAnsi="宋体" w:eastAsia="宋体" w:cs="宋体"/>
          <w:b/>
          <w:color w:val="auto"/>
          <w:kern w:val="2"/>
          <w:sz w:val="21"/>
          <w:szCs w:val="22"/>
          <w:highlight w:val="none"/>
          <w:lang w:val="en-US" w:eastAsia="zh-CN" w:bidi="ar-SA"/>
        </w:rPr>
        <w:t>4.1承包人的一般义务</w:t>
      </w:r>
      <w:bookmarkEnd w:id="352"/>
      <w:bookmarkEnd w:id="353"/>
      <w:bookmarkEnd w:id="354"/>
      <w:bookmarkEnd w:id="355"/>
      <w:bookmarkEnd w:id="356"/>
      <w:bookmarkEnd w:id="357"/>
      <w:bookmarkEnd w:id="358"/>
    </w:p>
    <w:p w14:paraId="3D7F9DAA">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bookmarkStart w:id="359" w:name="_Toc287272880"/>
      <w:r>
        <w:rPr>
          <w:rFonts w:hint="eastAsia" w:ascii="宋体" w:hAnsi="宋体" w:eastAsia="宋体" w:cs="宋体"/>
          <w:color w:val="auto"/>
          <w:kern w:val="2"/>
          <w:sz w:val="21"/>
          <w:szCs w:val="21"/>
          <w:highlight w:val="none"/>
          <w:lang w:val="en-US" w:eastAsia="zh-CN" w:bidi="ar-SA"/>
        </w:rPr>
        <w:t>4.1.3  完成各项承包工作</w:t>
      </w:r>
    </w:p>
    <w:p w14:paraId="4847F57D">
      <w:pPr>
        <w:widowControl w:val="0"/>
        <w:tabs>
          <w:tab w:val="left" w:pos="2790"/>
        </w:tabs>
        <w:spacing w:line="400" w:lineRule="exact"/>
        <w:ind w:firstLine="422" w:firstLineChars="200"/>
        <w:jc w:val="both"/>
        <w:rPr>
          <w:rFonts w:ascii="宋体" w:hAnsi="宋体" w:eastAsia="宋体" w:cs="宋体"/>
          <w:b/>
          <w:bCs/>
          <w:color w:val="auto"/>
          <w:kern w:val="2"/>
          <w:sz w:val="21"/>
          <w:szCs w:val="21"/>
          <w:highlight w:val="none"/>
          <w:lang w:val="en-US" w:eastAsia="zh-CN" w:bidi="ar-SA"/>
        </w:rPr>
      </w:pPr>
      <w:r>
        <w:rPr>
          <w:rFonts w:hint="eastAsia" w:ascii="宋体" w:hAnsi="宋体" w:eastAsia="宋体" w:cs="宋体"/>
          <w:b/>
          <w:bCs/>
          <w:color w:val="auto"/>
          <w:kern w:val="2"/>
          <w:sz w:val="21"/>
          <w:szCs w:val="21"/>
          <w:highlight w:val="none"/>
          <w:lang w:val="en-US" w:eastAsia="zh-CN" w:bidi="ar-SA"/>
        </w:rPr>
        <w:t>通用合同条款4.1.3项细化为：</w:t>
      </w:r>
    </w:p>
    <w:p w14:paraId="18DF2E64">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承包人应按合同约定以及监理人根据第3.4款作出的指示，实施、完成全部工程，并修补工程中的任何缺陷。承包人应提供为完成合同工作所需的劳务、材料、施工设备、工程设备和其他物品，并按合同约定负责临时设施的设计、建造、运行、维护、管理和拆除。</w:t>
      </w:r>
    </w:p>
    <w:p w14:paraId="5F1F11CC">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承包人应在签订合同协议书后14天内为本合同实施设立现场项目经理部，该项目经理部应成为承包人授权的代理人或代表的合法机构，承包人应保证该项目经理部履行职责直至合同期满为止。</w:t>
      </w:r>
    </w:p>
    <w:p w14:paraId="740CC40B">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根据合同规定，除非在技术规范中有明确限制，承包人的责任包括根据计划、程序、规范、图纸、标准和任何在技术规范中要求的其他文件的规定，提供本合同工程中的全部设备和一切服务。包括进行机械完工测试及验收、</w:t>
      </w:r>
      <w:r>
        <w:rPr>
          <w:rFonts w:hint="eastAsia" w:ascii="宋体" w:hAnsi="宋体" w:cs="宋体"/>
          <w:color w:val="auto"/>
          <w:kern w:val="2"/>
          <w:sz w:val="21"/>
          <w:szCs w:val="21"/>
          <w:highlight w:val="none"/>
          <w:lang w:val="en-US" w:eastAsia="zh-CN" w:bidi="ar-SA"/>
        </w:rPr>
        <w:t>竣工</w:t>
      </w:r>
      <w:r>
        <w:rPr>
          <w:rFonts w:hint="eastAsia" w:ascii="宋体" w:hAnsi="宋体" w:eastAsia="宋体" w:cs="宋体"/>
          <w:color w:val="auto"/>
          <w:kern w:val="2"/>
          <w:sz w:val="21"/>
          <w:szCs w:val="21"/>
          <w:highlight w:val="none"/>
          <w:lang w:val="en-US" w:eastAsia="zh-CN" w:bidi="ar-SA"/>
        </w:rPr>
        <w:t>验收和缺陷责任检查中按合同要求承包人应负的责任，提供足够的合格的辅助操作人员以及适用的原材料和设施，并应履行发包人按合同要求承包人应完成的全部工作和服务。</w:t>
      </w:r>
    </w:p>
    <w:p w14:paraId="162FE9BE">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试运行期和缺陷责任期的标准备件和专用工具的项目和数量，承包人可根据拟采用系统和设备的技术要求，填报备件清单。不管如何，试运行期和缺陷责任期所需标准备件和专用工具已包括在报价文件中。</w:t>
      </w:r>
    </w:p>
    <w:p w14:paraId="2DF6B74B">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除了提供标准备件和专用工具外，承包人应同意提供缺陷责任期满后两年内工程运行和维护所需备件。发包人将自行判定所需项目及数量并依承包人所报单价进行采购。</w:t>
      </w:r>
    </w:p>
    <w:p w14:paraId="0C824981">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承包人开发应用在本合同工程上的一切软件，其产权归发包人所有。承包人应在交工时向发包人提交所有使用和维护资料，上述资料作为交工验收的必须条件。承包人应提供收费系统以外的各系统软件源代码或代码，并提供逻辑关系图、数据运行流程图，以及达到联动、异常判断、数据交互等其他技术要求，知识产权与发包人共同申请及拥有。</w:t>
      </w:r>
    </w:p>
    <w:p w14:paraId="1006957F">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承包人应从现场所在地、省或国家政府机构或公共服务机构以承包人名义获得为履行合同所必需的各种许可、批准和/或许可证，包括但不限于承包人和分包人人员签证和进口所有承包人装备的进口许可证，并取得根据合同条款履行合同所需非发包人责任的其他许可、批准和/或许可证。</w:t>
      </w:r>
    </w:p>
    <w:p w14:paraId="4AD703F0">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4.1.4对施工作业和施工方法的完备性负责</w:t>
      </w:r>
    </w:p>
    <w:p w14:paraId="75D9AFCB">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通用合同条款4.1.4项补充：</w:t>
      </w:r>
    </w:p>
    <w:p w14:paraId="75875394">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承包人应仔细研究本合同段的设计文件和技术要求，了解施工地点的周边环境、地质、气象等，制定施工方案。包括周密的安全、质量保证、信息管理措施及施工计划（包括人员、设备、材料、后勤保障及紧急处理措施等），并报监理人批准后执行，以保证本合同工程的顺利施工。为执行本款要求而发生的费用均包含在合同价中，发包人不另行支付。凡因承包人采取措施不力而造成本合同工程的一切损失、工期拖延及施工费用的增加等均由承包人自行承担。</w:t>
      </w:r>
    </w:p>
    <w:p w14:paraId="34665674">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2）对本合同段施工地点的水文、地质、气象等情况，承包人应针对各种可能出现的情况制定预案，这些预案包括（但不限于）抗台、防汛、水上抢险、工程防护、施工平台修复等，该预案应符合有关部门的规定，并在执行前取得有关部门的认可。承包人在合同履行期间执行此预案所发生的费用已包含在合同价中，发包人不另行支付。</w:t>
      </w:r>
    </w:p>
    <w:p w14:paraId="15BDE2D4">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4.1.7避免施工对公众与他人的利益造成损害</w:t>
      </w:r>
    </w:p>
    <w:p w14:paraId="3663E37F">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通用合同条款第4.1.7项细化为：</w:t>
      </w:r>
    </w:p>
    <w:p w14:paraId="706D505B">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承包人在进行合同约定的各项工作时，不得侵害发包人与他人使用公用道路、水源、市政管网等公共设施的权利，避免对邻近的公共设施产生干扰。承包人占用或使用他人的施工场地，影响他人作业或生活的，承包人应承担相应责任及由此产生的一切费用。</w:t>
      </w:r>
    </w:p>
    <w:p w14:paraId="5074D0FD">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承包人应保障发包人免于承担由于承包人行为所遭受的其他承包人或所有第三方的索赔，上述索赔一旦发生，承包人应在规定时间内支付或赔偿相关费用，若承包人未按规定时间和金额赔付，发包人将在给承包人的任何一期工程计量支付款中扣回等额的赔款。</w:t>
      </w:r>
    </w:p>
    <w:p w14:paraId="7851A416">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4.1.8 为他人提供方便</w:t>
      </w:r>
    </w:p>
    <w:p w14:paraId="2DF6695B">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通用合同条款第 4.1.8 项补充：</w:t>
      </w:r>
    </w:p>
    <w:p w14:paraId="3ECB3918">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承包人应按监理人的指示为他人（包括发包人、设计人、质量监督部门、主管部门、其他承包人等）在施工场地或附近实施与工程有关的其他各项工作提供可能的条件（包括交通等）。除合同另有约定外，提供有关条件可能发生的费用，由承包人承担。</w:t>
      </w:r>
    </w:p>
    <w:p w14:paraId="4CF59AFB">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4.1.10  其他义务</w:t>
      </w:r>
    </w:p>
    <w:p w14:paraId="3AE41B3D">
      <w:pPr>
        <w:widowControl w:val="0"/>
        <w:tabs>
          <w:tab w:val="left" w:pos="2790"/>
        </w:tabs>
        <w:spacing w:line="400" w:lineRule="exact"/>
        <w:ind w:firstLine="422" w:firstLineChars="200"/>
        <w:jc w:val="both"/>
        <w:rPr>
          <w:rFonts w:ascii="宋体" w:hAnsi="宋体" w:eastAsia="宋体" w:cs="宋体"/>
          <w:b/>
          <w:bCs/>
          <w:color w:val="auto"/>
          <w:kern w:val="2"/>
          <w:sz w:val="21"/>
          <w:szCs w:val="21"/>
          <w:highlight w:val="none"/>
          <w:lang w:val="en-US" w:eastAsia="zh-CN" w:bidi="ar-SA"/>
        </w:rPr>
      </w:pPr>
      <w:r>
        <w:rPr>
          <w:rFonts w:hint="eastAsia" w:ascii="宋体" w:hAnsi="宋体" w:eastAsia="宋体" w:cs="宋体"/>
          <w:b/>
          <w:bCs/>
          <w:color w:val="auto"/>
          <w:kern w:val="2"/>
          <w:sz w:val="21"/>
          <w:szCs w:val="21"/>
          <w:highlight w:val="none"/>
          <w:lang w:val="en-US" w:eastAsia="zh-CN" w:bidi="ar-SA"/>
        </w:rPr>
        <w:t>公路工程专用合同条款</w:t>
      </w:r>
      <w:bookmarkStart w:id="360" w:name="_Hlk82818589"/>
      <w:r>
        <w:rPr>
          <w:rFonts w:hint="eastAsia" w:ascii="宋体" w:hAnsi="宋体" w:eastAsia="宋体" w:cs="宋体"/>
          <w:b/>
          <w:bCs/>
          <w:color w:val="auto"/>
          <w:kern w:val="2"/>
          <w:sz w:val="21"/>
          <w:szCs w:val="21"/>
          <w:highlight w:val="none"/>
          <w:lang w:val="en-US" w:eastAsia="zh-CN" w:bidi="ar-SA"/>
        </w:rPr>
        <w:t>4.1.10第（3）目</w:t>
      </w:r>
      <w:bookmarkEnd w:id="360"/>
      <w:r>
        <w:rPr>
          <w:rFonts w:hint="eastAsia" w:ascii="宋体" w:hAnsi="宋体" w:eastAsia="宋体" w:cs="宋体"/>
          <w:b/>
          <w:bCs/>
          <w:color w:val="auto"/>
          <w:kern w:val="2"/>
          <w:sz w:val="21"/>
          <w:szCs w:val="21"/>
          <w:highlight w:val="none"/>
          <w:lang w:val="en-US" w:eastAsia="zh-CN" w:bidi="ar-SA"/>
        </w:rPr>
        <w:t>细化为：</w:t>
      </w:r>
    </w:p>
    <w:p w14:paraId="02877DFD">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3）承包人在本工程中，应严格执行国家、浙江省及项目所在地政府有关拖欠工程款和农民工工资相关法律法规及规定，及时支付工程中的材料、设备货款及民工工资等费用。承包人不得以任何借口拖欠材料、设备货款及民工工资等费用，如果出现此种现象，发包人有权代为支付其拖欠的材料、设备货款及民工工资，并从应付给承包人的工程款中扣除相应款项。对恶意拖欠和拒不按计划支付的，作为不良记录纳入浙江省交通运输信用综合管理服务系统。</w:t>
      </w:r>
    </w:p>
    <w:p w14:paraId="0A974324">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承包人的项目经理部是民工工资支付行为的主体，承包人的项目经理是民工工资支付的责任人。</w:t>
      </w:r>
    </w:p>
    <w:p w14:paraId="218DDC7A">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项目经理部要建立全体民工花名册和工资支付表（包含分包单位），确保将工资直接发放给民工本人，或委托银行发放民工工资，严禁发放给“包工头”或其他不具备用工主体资格的组织和个人。工资支付表应如实记录支付单位、支付时间、支付对象、支付数额、支付对象的身份证号和签字等信息。民工花名册和工资支付表应报监理人备查。</w:t>
      </w:r>
    </w:p>
    <w:p w14:paraId="5938DCA4">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承包人应按规定缴纳农民工工资保证金。</w:t>
      </w:r>
    </w:p>
    <w:p w14:paraId="6A321899">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承包人应在用工后 15 天内与农民工签订劳动合同，根据劳动合同签订情况，统计农民工人数，按照实际人数办理记工考勤卡。项目完工后或农民工提前离开工地，承包人应在合同约定期限之内对农民工工资进行结算，并一次性付清所有应发放的工资。同时承包人应在项目经理部和新闻媒介上分阶段公示民工工资支付情况，并公开 2 个监督电话（电话为当地交通主管部门和劳动保障部门等第三方单位可打通的号码），公示期符合相关规定。承包人应加强劳动合同管理，规范公路建设用工行为。不拖欠农民工工资，及时、足额发放农民工工资。</w:t>
      </w:r>
    </w:p>
    <w:p w14:paraId="3D4E505B">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农民工工资的使用和支付按相关最新规定办理。</w:t>
      </w:r>
    </w:p>
    <w:p w14:paraId="77FF01B0">
      <w:pPr>
        <w:widowControl w:val="0"/>
        <w:tabs>
          <w:tab w:val="left" w:pos="2790"/>
        </w:tabs>
        <w:spacing w:line="400" w:lineRule="exact"/>
        <w:ind w:firstLine="422" w:firstLineChars="200"/>
        <w:jc w:val="both"/>
        <w:rPr>
          <w:rFonts w:ascii="宋体" w:hAnsi="宋体" w:eastAsia="宋体" w:cs="宋体"/>
          <w:b/>
          <w:color w:val="auto"/>
          <w:kern w:val="2"/>
          <w:sz w:val="21"/>
          <w:szCs w:val="21"/>
          <w:highlight w:val="none"/>
          <w:lang w:val="en-US" w:eastAsia="zh-CN" w:bidi="ar-SA"/>
        </w:rPr>
      </w:pPr>
      <w:r>
        <w:rPr>
          <w:rFonts w:hint="eastAsia" w:ascii="宋体" w:hAnsi="宋体" w:eastAsia="宋体" w:cs="宋体"/>
          <w:b/>
          <w:color w:val="auto"/>
          <w:kern w:val="2"/>
          <w:sz w:val="21"/>
          <w:szCs w:val="21"/>
          <w:highlight w:val="none"/>
          <w:lang w:val="en-US" w:eastAsia="zh-CN" w:bidi="ar-SA"/>
        </w:rPr>
        <w:t>公路工程专用合同条款 4.1.10 补充第（6）～（38）目：</w:t>
      </w:r>
    </w:p>
    <w:p w14:paraId="2C0C88E7">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（6）项目审计（含跟踪审计）、稽查和检查等的配合</w:t>
      </w:r>
    </w:p>
    <w:p w14:paraId="7ECCE02C">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a.与本工程项目相关的审计和稽查，承包人应高度重视并委派专人积极予以配合；</w:t>
      </w:r>
    </w:p>
    <w:p w14:paraId="2C575F64">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b.有关单位对本项目的各种检查等活动，承包人有义务予以积极配合开展各项工作；</w:t>
      </w:r>
    </w:p>
    <w:p w14:paraId="1FB39C23">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c.本工程项目有关的各类统计报表、汇报材料包括交（竣）工验收和项目后评价报告等，承包人有义务配合发包人做好编制工作并提供相应的资料；</w:t>
      </w:r>
    </w:p>
    <w:p w14:paraId="72972CDC">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d.承包人应按发包人、监理人和有关文件要求，建立相应的计量、支付和变更台帐，同时承包人应配合发包人、监理人建立相应的台帐，并保持其持续有效直至工程决算完成；</w:t>
      </w:r>
    </w:p>
    <w:p w14:paraId="64F84AD1">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e.承包人应按发包人要求将有关材料的供货合同等资料提供给发包人和监理人备案。取材的料场或供货人和货源应保持相对固定，承包人及其供货人应接受发包人和监理人的监督检查，如有变更应及时通知发包人或监理人并送交相应有关资料。监理人征得发包人同意后有权要求承包人更换不符合要求的材料，承包人必须接受。</w:t>
      </w:r>
    </w:p>
    <w:p w14:paraId="3CFBE071">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（7）积极开展各项课题研究，与第三方检测、监控、技术咨询、科研（课题）等单位的配合：</w:t>
      </w:r>
    </w:p>
    <w:p w14:paraId="4F8011DD">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a.承包人应积极开展各项课题研究，成立课题研究领导小组，并做到专人、专职、专岗，制定切实可行的课题研究、科研研究等的实施方案，方案须经监理人、发包人审批同意；</w:t>
      </w:r>
    </w:p>
    <w:p w14:paraId="682EC29B">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b.积极配合、协助第三方检测、监控、技术咨询、科研（课题）等单位的工作，委派专人做好配合工作。熟悉第三方检测、监控、技术咨询、科研（课题）等单位的检测、监控、技术咨询、科研（课题）实施方案和流程，配合工作也应有相应的方案，该方案须经监理人审批同意；</w:t>
      </w:r>
    </w:p>
    <w:p w14:paraId="7FA4E586">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c.施工检测、监控、技术咨询、科研（课题）实施过程中，应在监理人的统一调配下，承包人应尽可能地提供人员、材料、设备的便利，以便施工检测、监控、技术咨询、科研（课题）等工作顺利的进行；</w:t>
      </w:r>
    </w:p>
    <w:p w14:paraId="5D28B78E">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d.承包人应积极参与检测、监控、技术咨询、科研（课题）等资料的总结与分析工作；</w:t>
      </w:r>
    </w:p>
    <w:p w14:paraId="50908D1E">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e.承包人开展或配合外单位的各项课题研究均需发包人同意，</w:t>
      </w:r>
      <w:r>
        <w:rPr>
          <w:rFonts w:hint="eastAsia" w:ascii="宋体" w:hAnsi="宋体" w:eastAsia="宋体" w:cs="宋体"/>
          <w:b/>
          <w:bCs/>
          <w:color w:val="auto"/>
          <w:kern w:val="2"/>
          <w:sz w:val="21"/>
          <w:szCs w:val="21"/>
          <w:highlight w:val="none"/>
          <w:lang w:val="en-US" w:eastAsia="zh-CN" w:bidi="ar-SA"/>
        </w:rPr>
        <w:t>由承包人自行考虑，发包人不再另行支付</w:t>
      </w:r>
      <w:r>
        <w:rPr>
          <w:rFonts w:hint="eastAsia" w:ascii="宋体" w:hAnsi="宋体" w:eastAsia="宋体" w:cs="宋体"/>
          <w:color w:val="auto"/>
          <w:kern w:val="2"/>
          <w:sz w:val="21"/>
          <w:szCs w:val="21"/>
          <w:highlight w:val="none"/>
          <w:lang w:val="en-US" w:eastAsia="zh-CN" w:bidi="ar-SA"/>
        </w:rPr>
        <w:t>。</w:t>
      </w:r>
    </w:p>
    <w:p w14:paraId="4262F5D3">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（8）地方道路、分流道路的维护和管理</w:t>
      </w:r>
    </w:p>
    <w:p w14:paraId="2D18FCAA">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承包人在使用现有地方道路、分流道路过程中，必须采取一切措施确保车辆正常通行，做到施工、通车两不误。承包人应针对通车路段的施工特点，提出通车路段的施工维护、交通组织方案，报监理人及相关职能部门批准，并认真组织实施。施工方案和措施应包括：</w:t>
      </w:r>
    </w:p>
    <w:p w14:paraId="2972DC48">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a. 成立维护、管理组织，负责正常道路维护和交通管理工作；</w:t>
      </w:r>
    </w:p>
    <w:p w14:paraId="57B94B2B">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b. 落实施工措施，根据实际情况合理分段、分幅安排施工，要控制施工长度，维持足够宽度，保持良好平整度，做到排水顺畅，路面无低洼积水，确保车辆能顺利交会，车辆平稳通过；</w:t>
      </w:r>
    </w:p>
    <w:p w14:paraId="308AED55">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c. 配备交通管理标志，指定专人维护交通秩序；</w:t>
      </w:r>
    </w:p>
    <w:p w14:paraId="392337FB">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d. 加强与交警、</w:t>
      </w:r>
      <w:r>
        <w:rPr>
          <w:rFonts w:hint="eastAsia" w:ascii="宋体" w:hAnsi="宋体" w:eastAsia="宋体" w:cs="宋体"/>
          <w:b/>
          <w:bCs/>
          <w:color w:val="auto"/>
          <w:kern w:val="2"/>
          <w:sz w:val="21"/>
          <w:szCs w:val="22"/>
          <w:highlight w:val="none"/>
          <w:lang w:val="en-US" w:eastAsia="zh-CN" w:bidi="ar-SA"/>
        </w:rPr>
        <w:t>交通执法</w:t>
      </w:r>
      <w:r>
        <w:rPr>
          <w:rFonts w:hint="eastAsia" w:ascii="宋体" w:hAnsi="宋体" w:eastAsia="宋体" w:cs="宋体"/>
          <w:color w:val="auto"/>
          <w:kern w:val="2"/>
          <w:sz w:val="21"/>
          <w:szCs w:val="21"/>
          <w:highlight w:val="none"/>
          <w:lang w:val="en-US" w:eastAsia="zh-CN" w:bidi="ar-SA"/>
        </w:rPr>
        <w:t>等职能部门联系，争取交警、</w:t>
      </w:r>
      <w:r>
        <w:rPr>
          <w:rFonts w:hint="eastAsia" w:ascii="宋体" w:hAnsi="宋体" w:eastAsia="宋体" w:cs="宋体"/>
          <w:b/>
          <w:bCs/>
          <w:color w:val="auto"/>
          <w:kern w:val="2"/>
          <w:sz w:val="21"/>
          <w:szCs w:val="22"/>
          <w:highlight w:val="none"/>
          <w:lang w:val="en-US" w:eastAsia="zh-CN" w:bidi="ar-SA"/>
        </w:rPr>
        <w:t>交通执法</w:t>
      </w:r>
      <w:r>
        <w:rPr>
          <w:rFonts w:hint="eastAsia" w:ascii="宋体" w:hAnsi="宋体" w:eastAsia="宋体" w:cs="宋体"/>
          <w:color w:val="auto"/>
          <w:kern w:val="2"/>
          <w:sz w:val="21"/>
          <w:szCs w:val="21"/>
          <w:highlight w:val="none"/>
          <w:lang w:val="en-US" w:eastAsia="zh-CN" w:bidi="ar-SA"/>
        </w:rPr>
        <w:t>等的参与，建立切实可行的交通管理制度。</w:t>
      </w:r>
    </w:p>
    <w:p w14:paraId="71C287BA">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e.承包人应充分考虑对地方道路的使用所产生的破坏和修复工作。按当地交通主管部门要求统一进行修复，费用由承包人承担。</w:t>
      </w:r>
    </w:p>
    <w:p w14:paraId="13F226DE">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由于承包人措施不力，导致阻车和事故频发或损坏现有地方道路及分流道路，影响交通安全和正常运行，并造成较大或重大影响，引起的索赔，赔偿、诉讼费用及工程拖延或施工费用增加时，应由承包人承担一切责任和费用。</w:t>
      </w:r>
    </w:p>
    <w:p w14:paraId="6B7969A5">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同时承包人在使用地方道路、桥梁等公共设施时，必须严格按照限高、限宽、限载等要求，并对其进行及时、必要的维护，相关费用包含在投标报价中，发包人不另行支付。由于工程施工原因造成沿线原有道路、桥梁、建筑物、排灌系统及其他设施遭受破坏（或损坏）的，承包人应负责对受损部位修复（或赔偿）；并免除发包人因此可能发生的任何索赔和诉讼。</w:t>
      </w:r>
    </w:p>
    <w:p w14:paraId="6EF9382D">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（9）承包人应配合发包人做好征地拆迁的相应配合工作，承包人因此增加的费用应认为已包括在合同价之中，发包人不另行支付。</w:t>
      </w:r>
    </w:p>
    <w:p w14:paraId="4C13706D">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10）几个承包人或与相邻标段或与相邻项目在同一区域内施工时，监理人有权协调工程的实施，并对工程衔接、工程界面作出指示，承包人应在监理人的统一协调下工作，承包人因此增加的费用应认为已包括在合同价之中，发包人不另行支付。</w:t>
      </w:r>
    </w:p>
    <w:p w14:paraId="36EFF5FC">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（11）未经发包人事先批准，承包人不得在任何报纸、商业或技术文献上刊登或披露任何与本合同或与本工程有关的详细资料。</w:t>
      </w:r>
    </w:p>
    <w:p w14:paraId="1B121AE8">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承包人不应在现场或施工设施上展示或允许展示任何贸易和商业性广告。在工地现场张贴布告，应事先得到监理人的批准，当监理人指示撤除时，应立即执行。</w:t>
      </w:r>
    </w:p>
    <w:p w14:paraId="0D386206">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12）承包人应按照浙江省交通运输厅《浙江省普通国省道公路建设标准化工地建设管理和考核办法（试行）》的通知（浙交〔2011〕112号）、浙江省交通运输厅《浙江省交通建设工程质量和安全生产监督工作实施办法》（ZJSP17-2019-0017）、浙江省交通运输厅《浙江省公路水运建设工程施工现场安全标志和安全防护设施设置规定（试行）》（浙交〔2011〕68号）、交通运输部关于印发《公路水运工程平安工地建设管理办法》的通知（交安监发〔2018〕43号）、《浙江省交通建设工程平安工地建设管理实施办法》（ZJSP17-2019-0019）、交通运输部《关于打造公路水运品质工程的指导意见》（交安监发〔2016〕216号）、交通运输部办公厅《关于开展公路水运品质工程示范创建工作的通知》（交办安发〔2016〕193号）、《浙江省交通建设工程安全生产费用管理办法》（浙交〔2021〕12号）、《浙江省公路水运“品质工程”建设活动指导意见》、《浙江省交通运输厅关于进一步加强浙江省交通建设工程质量安全管理工作的若干意见》（浙交〔2015〕59号）、原浙江省交通建设工程监督管理局《关于进一步深化全省在建公路水运工程“质安文化进工地”活动的通知》（浙交监〔2016〕2号）、浙江省交通运输厅《关于印发&lt;关于开展浙江省公路水运”品质工程”建设活动的指导意见&gt;的通知》（浙交〔2016〕112号）、浙江省交通运输厅《关于印发&lt;浙江省创建美丽公路“五个一万”工程实施意见&gt;的通知》（浙交〔2015〕174号）、《关于进一步深化公路工程施工标准化开展“美丽班组”创建活动的通知》（浙交办〔2017〕57号）等（以上相关文件内容如有更新，以最新内容为准）相关部门的要求进行工地标准化、施工标准化、管理标准化建设、安全文明施工，并开展“品质工程”和“美丽班组”的创建等。</w:t>
      </w:r>
    </w:p>
    <w:p w14:paraId="3A76C702">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w:t>
      </w:r>
      <w:r>
        <w:rPr>
          <w:rFonts w:hint="eastAsia" w:ascii="宋体" w:hAnsi="宋体" w:cs="宋体"/>
          <w:color w:val="auto"/>
          <w:kern w:val="2"/>
          <w:sz w:val="21"/>
          <w:szCs w:val="21"/>
          <w:highlight w:val="none"/>
          <w:lang w:val="en-US" w:eastAsia="zh-CN" w:bidi="ar-SA"/>
        </w:rPr>
        <w:t>3</w:t>
      </w:r>
      <w:r>
        <w:rPr>
          <w:rFonts w:hint="eastAsia" w:ascii="宋体" w:hAnsi="宋体" w:eastAsia="宋体" w:cs="宋体"/>
          <w:color w:val="auto"/>
          <w:kern w:val="2"/>
          <w:sz w:val="21"/>
          <w:szCs w:val="21"/>
          <w:highlight w:val="none"/>
          <w:lang w:val="en-US" w:eastAsia="zh-CN" w:bidi="ar-SA"/>
        </w:rPr>
        <w:t>）承包人应按浙江省交通运输厅《关于进一步加强钢筋工程施工质量管理的通知》（浙交〔2014〕156号）的要求，加强钢筋工程场地建设、加强原材料及半成品管理、加强钢筋工程各道工序管理、加强钢筋工程施工质量的检查与验收、加强承包人的质量管理工作。</w:t>
      </w:r>
    </w:p>
    <w:p w14:paraId="097E422F">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w:t>
      </w:r>
      <w:r>
        <w:rPr>
          <w:rFonts w:hint="eastAsia" w:ascii="宋体" w:hAnsi="宋体" w:cs="宋体"/>
          <w:color w:val="auto"/>
          <w:kern w:val="2"/>
          <w:sz w:val="21"/>
          <w:szCs w:val="21"/>
          <w:highlight w:val="none"/>
          <w:lang w:val="en-US" w:eastAsia="zh-CN" w:bidi="ar-SA"/>
        </w:rPr>
        <w:t>4</w:t>
      </w:r>
      <w:r>
        <w:rPr>
          <w:rFonts w:hint="eastAsia" w:ascii="宋体" w:hAnsi="宋体" w:eastAsia="宋体" w:cs="宋体"/>
          <w:color w:val="auto"/>
          <w:kern w:val="2"/>
          <w:sz w:val="21"/>
          <w:szCs w:val="21"/>
          <w:highlight w:val="none"/>
          <w:lang w:val="en-US" w:eastAsia="zh-CN" w:bidi="ar-SA"/>
        </w:rPr>
        <w:t>）承包人应对安全风险系数大，技术难度大、施工难度大的关键工程项目编制专项施工方案、专项交通组织方案，根据《浙江省交通建设危险性较大的分部分项工程专项施工方案管理办法》的规定需要组织专家论证的，承包人应组织开展技术论证会，经论证通过，报监理人审查、发包人备案后方可实施。上述专项施工方案应由投标人企业技术负责人签字。由于施工引起的涉路、涉河、涉水、涉管线审批也应由承包人负责。承包人所采取的所有措施以及因此增加的费用应认为已包括在投标价之中，发包人不另行支付。</w:t>
      </w:r>
    </w:p>
    <w:p w14:paraId="52353832">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w:t>
      </w:r>
      <w:r>
        <w:rPr>
          <w:rFonts w:hint="eastAsia" w:ascii="宋体" w:hAnsi="宋体" w:cs="宋体"/>
          <w:color w:val="auto"/>
          <w:kern w:val="2"/>
          <w:sz w:val="21"/>
          <w:szCs w:val="21"/>
          <w:highlight w:val="none"/>
          <w:lang w:val="en-US" w:eastAsia="zh-CN" w:bidi="ar-SA"/>
        </w:rPr>
        <w:t>5</w:t>
      </w:r>
      <w:r>
        <w:rPr>
          <w:rFonts w:hint="eastAsia" w:ascii="宋体" w:hAnsi="宋体" w:eastAsia="宋体" w:cs="宋体"/>
          <w:color w:val="auto"/>
          <w:kern w:val="2"/>
          <w:sz w:val="21"/>
          <w:szCs w:val="21"/>
          <w:highlight w:val="none"/>
          <w:lang w:val="en-US" w:eastAsia="zh-CN" w:bidi="ar-SA"/>
        </w:rPr>
        <w:t>）承包人应执行发包人针对本工程制定的相关管理办法和实施细则</w:t>
      </w:r>
    </w:p>
    <w:p w14:paraId="52FE38C0">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在合同执行期间，承包人应执行发包人根据本项目建设管理需要制定的管理手册、施工指南、标准化工地、关键节点目标考核、交通组织维护、安全生产、材料采购、试验检测、建设项目动态管理系统、检查与考核、质量处罚条例、品质工程、项目管理大纲、生态文明示范意见、隧道工序检查视频管理方案、工程计量支付和工程变更等相关管理办法和实施细则，上述工作所需的相关费用视为已包含在投标报价中，发包人不另行支付。承包人应服从发包人安全生产标准化管理、平安工地、建设项目动态管理系统、工地可视化远程管理系统、隧道出入门禁与人员定位管理系统、人脸识别（移动）考勤系统等相关要求，所需的相关费用视为已包含在投标报价中。</w:t>
      </w:r>
    </w:p>
    <w:p w14:paraId="45FCC694">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w:t>
      </w:r>
      <w:r>
        <w:rPr>
          <w:rFonts w:hint="eastAsia" w:ascii="宋体" w:hAnsi="宋体" w:cs="宋体"/>
          <w:color w:val="auto"/>
          <w:kern w:val="2"/>
          <w:sz w:val="21"/>
          <w:szCs w:val="21"/>
          <w:highlight w:val="none"/>
          <w:lang w:val="en-US" w:eastAsia="zh-CN" w:bidi="ar-SA"/>
        </w:rPr>
        <w:t>6</w:t>
      </w:r>
      <w:r>
        <w:rPr>
          <w:rFonts w:hint="eastAsia" w:ascii="宋体" w:hAnsi="宋体" w:eastAsia="宋体" w:cs="宋体"/>
          <w:color w:val="auto"/>
          <w:kern w:val="2"/>
          <w:sz w:val="21"/>
          <w:szCs w:val="21"/>
          <w:highlight w:val="none"/>
          <w:lang w:val="en-US" w:eastAsia="zh-CN" w:bidi="ar-SA"/>
        </w:rPr>
        <w:t>）承包人应参加发包人组织召开的各种生产协调会议，或按照发包人的指示与其他标段承包人轮流组织召开各种专题会议或讨论会议。承包人因组织召开会议发生的各项费用包含在投标报价中，发包人不另行支付。</w:t>
      </w:r>
    </w:p>
    <w:p w14:paraId="3F2BB994">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w:t>
      </w:r>
      <w:r>
        <w:rPr>
          <w:rFonts w:hint="eastAsia" w:ascii="宋体" w:hAnsi="宋体" w:cs="宋体"/>
          <w:color w:val="auto"/>
          <w:kern w:val="2"/>
          <w:sz w:val="21"/>
          <w:szCs w:val="21"/>
          <w:highlight w:val="none"/>
          <w:lang w:val="en-US" w:eastAsia="zh-CN" w:bidi="ar-SA"/>
        </w:rPr>
        <w:t>7</w:t>
      </w:r>
      <w:r>
        <w:rPr>
          <w:rFonts w:hint="eastAsia" w:ascii="宋体" w:hAnsi="宋体" w:eastAsia="宋体" w:cs="宋体"/>
          <w:color w:val="auto"/>
          <w:kern w:val="2"/>
          <w:sz w:val="21"/>
          <w:szCs w:val="21"/>
          <w:highlight w:val="none"/>
          <w:lang w:val="en-US" w:eastAsia="zh-CN" w:bidi="ar-SA"/>
        </w:rPr>
        <w:t>）如果承包人不能按其计划进度完成或与其计划进度有较大偏离，或不满足发包人的进度要求，发包人在必要时将适当调整施工标段内相应施工内容，承包人应无条件响应并做好配合工作，并根据实际完成数量和被调整标段的承包人投标时的工程量清单单价进行计量支付，若原标段单价偏低，与实际施工成本偏离较大，按专用合同条款第15.4项执行。</w:t>
      </w:r>
    </w:p>
    <w:p w14:paraId="57693866">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w:t>
      </w:r>
      <w:r>
        <w:rPr>
          <w:rFonts w:hint="eastAsia" w:ascii="宋体" w:hAnsi="宋体" w:cs="宋体"/>
          <w:color w:val="auto"/>
          <w:kern w:val="2"/>
          <w:sz w:val="21"/>
          <w:szCs w:val="21"/>
          <w:highlight w:val="none"/>
          <w:lang w:val="en-US" w:eastAsia="zh-CN" w:bidi="ar-SA"/>
        </w:rPr>
        <w:t>18</w:t>
      </w:r>
      <w:r>
        <w:rPr>
          <w:rFonts w:hint="eastAsia" w:ascii="宋体" w:hAnsi="宋体" w:eastAsia="宋体" w:cs="宋体"/>
          <w:color w:val="auto"/>
          <w:kern w:val="2"/>
          <w:sz w:val="21"/>
          <w:szCs w:val="21"/>
          <w:highlight w:val="none"/>
          <w:lang w:val="en-US" w:eastAsia="zh-CN" w:bidi="ar-SA"/>
        </w:rPr>
        <w:t>）承包人应按图纸、通用技术规范、项目专用技术规范和要求、合同条款中确定的工作界面进行施工作业，并服从发包人对工作界面模糊点的指派（如有），除发包人认定符合变更范围而进行变更之外，执行上述指派工作所需的相关费用视为已包含在投标报价中，发包人不另行支付。</w:t>
      </w:r>
    </w:p>
    <w:p w14:paraId="275AB512">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w:t>
      </w:r>
      <w:r>
        <w:rPr>
          <w:rFonts w:hint="eastAsia" w:ascii="宋体" w:hAnsi="宋体" w:cs="宋体"/>
          <w:color w:val="auto"/>
          <w:kern w:val="2"/>
          <w:sz w:val="21"/>
          <w:szCs w:val="21"/>
          <w:highlight w:val="none"/>
          <w:lang w:val="en-US" w:eastAsia="zh-CN" w:bidi="ar-SA"/>
        </w:rPr>
        <w:t>19</w:t>
      </w:r>
      <w:r>
        <w:rPr>
          <w:rFonts w:hint="eastAsia" w:ascii="宋体" w:hAnsi="宋体" w:eastAsia="宋体" w:cs="宋体"/>
          <w:color w:val="auto"/>
          <w:kern w:val="2"/>
          <w:sz w:val="21"/>
          <w:szCs w:val="21"/>
          <w:highlight w:val="none"/>
          <w:lang w:val="en-US" w:eastAsia="zh-CN" w:bidi="ar-SA"/>
        </w:rPr>
        <w:t>）政府部门因举行大型活动而要求项目暂时停工的，承包人应及时作出响应并配合政府部门 做好相应工作，由此增加的相关费用视作已包含在投标报价中，发包人不另行支付。行业管理部门因规划调整等原因而导致合同内容发生变化，承包人应与发包人双方协商解决。</w:t>
      </w:r>
    </w:p>
    <w:p w14:paraId="30FFC4C3">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（2</w:t>
      </w:r>
      <w:r>
        <w:rPr>
          <w:rFonts w:hint="eastAsia" w:ascii="宋体" w:hAnsi="宋体" w:cs="宋体"/>
          <w:color w:val="auto"/>
          <w:kern w:val="2"/>
          <w:sz w:val="21"/>
          <w:szCs w:val="21"/>
          <w:highlight w:val="none"/>
          <w:lang w:val="en-US" w:eastAsia="zh-CN" w:bidi="ar-SA"/>
        </w:rPr>
        <w:t>0</w:t>
      </w:r>
      <w:r>
        <w:rPr>
          <w:rFonts w:hint="eastAsia" w:ascii="宋体" w:hAnsi="宋体" w:eastAsia="宋体" w:cs="宋体"/>
          <w:color w:val="auto"/>
          <w:kern w:val="2"/>
          <w:sz w:val="21"/>
          <w:szCs w:val="21"/>
          <w:highlight w:val="none"/>
          <w:lang w:val="en-US" w:eastAsia="zh-CN" w:bidi="ar-SA"/>
        </w:rPr>
        <w:t>）承包人需在发包人</w:t>
      </w:r>
      <w:r>
        <w:rPr>
          <w:rFonts w:hint="eastAsia" w:ascii="宋体" w:hAnsi="宋体" w:cs="宋体"/>
          <w:color w:val="auto"/>
          <w:kern w:val="2"/>
          <w:sz w:val="21"/>
          <w:szCs w:val="21"/>
          <w:highlight w:val="none"/>
          <w:lang w:val="en-US" w:eastAsia="zh-CN" w:bidi="ar-SA"/>
        </w:rPr>
        <w:t>认可的</w:t>
      </w:r>
      <w:r>
        <w:rPr>
          <w:rFonts w:hint="eastAsia" w:ascii="宋体" w:hAnsi="宋体" w:eastAsia="宋体" w:cs="宋体"/>
          <w:color w:val="auto"/>
          <w:kern w:val="2"/>
          <w:sz w:val="21"/>
          <w:szCs w:val="21"/>
          <w:highlight w:val="none"/>
          <w:lang w:val="en-US" w:eastAsia="zh-CN" w:bidi="ar-SA"/>
        </w:rPr>
        <w:t>银行开设账户。承包人应服从、配合发包人和经办银行的资金监管 要求，签订资金监管协议，按需提供相关资料并保证所提供资料都是真实、完整和有效的。承包人承诺接受并积极配合发包人、指定银行等相关监管机构以账户分析、凭证检查、现场调查等方式对包括用途在内的资金使用情况的检查和监督。</w:t>
      </w:r>
    </w:p>
    <w:p w14:paraId="386BD1E2">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（2</w:t>
      </w:r>
      <w:r>
        <w:rPr>
          <w:rFonts w:hint="eastAsia" w:ascii="宋体" w:hAnsi="宋体" w:cs="宋体"/>
          <w:color w:val="auto"/>
          <w:kern w:val="2"/>
          <w:sz w:val="21"/>
          <w:szCs w:val="21"/>
          <w:highlight w:val="none"/>
          <w:lang w:val="en-US" w:eastAsia="zh-CN" w:bidi="ar-SA"/>
        </w:rPr>
        <w:t>1</w:t>
      </w:r>
      <w:r>
        <w:rPr>
          <w:rFonts w:hint="eastAsia" w:ascii="宋体" w:hAnsi="宋体" w:eastAsia="宋体" w:cs="宋体"/>
          <w:color w:val="auto"/>
          <w:kern w:val="2"/>
          <w:sz w:val="21"/>
          <w:szCs w:val="21"/>
          <w:highlight w:val="none"/>
          <w:lang w:val="en-US" w:eastAsia="zh-CN" w:bidi="ar-SA"/>
        </w:rPr>
        <w:t>）承包人在施工过程中，应避免泥浆外泄和泥土、石块等建筑垃圾掉入水库、溪流中，掉入水 库、溪流中的泥土、石块等建筑垃圾由承包人负责清理，以保持原地形地貌，承包人所采取的措施及因此增加的费用应认为已包括在投标价之中，发包人不另行支付。</w:t>
      </w:r>
    </w:p>
    <w:p w14:paraId="1C9A8013">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（2</w:t>
      </w:r>
      <w:r>
        <w:rPr>
          <w:rFonts w:hint="eastAsia" w:ascii="宋体" w:hAnsi="宋体" w:cs="宋体"/>
          <w:color w:val="auto"/>
          <w:kern w:val="2"/>
          <w:sz w:val="21"/>
          <w:szCs w:val="21"/>
          <w:highlight w:val="none"/>
          <w:lang w:val="en-US" w:eastAsia="zh-CN" w:bidi="ar-SA"/>
        </w:rPr>
        <w:t>2</w:t>
      </w:r>
      <w:r>
        <w:rPr>
          <w:rFonts w:hint="eastAsia" w:ascii="宋体" w:hAnsi="宋体" w:eastAsia="宋体" w:cs="宋体"/>
          <w:color w:val="auto"/>
          <w:kern w:val="2"/>
          <w:sz w:val="21"/>
          <w:szCs w:val="21"/>
          <w:highlight w:val="none"/>
          <w:lang w:val="en-US" w:eastAsia="zh-CN" w:bidi="ar-SA"/>
        </w:rPr>
        <w:t>）线路临近的水库、山塘、小溪、河流等，承包人需按水保批复及相关要求，办理相关手续， 做好保护措施，承包人所采取的措施及办理相关手续的费用视为已包括在投标价之中，发包人不另行 支付。特别是重点水源地段，承包人应详细调查，制定确实可行的专项保护方案。</w:t>
      </w:r>
    </w:p>
    <w:p w14:paraId="32F0FF1C">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（2</w:t>
      </w:r>
      <w:r>
        <w:rPr>
          <w:rFonts w:hint="eastAsia" w:ascii="宋体" w:hAnsi="宋体" w:cs="宋体"/>
          <w:color w:val="auto"/>
          <w:kern w:val="2"/>
          <w:sz w:val="21"/>
          <w:szCs w:val="21"/>
          <w:highlight w:val="none"/>
          <w:lang w:val="en-US" w:eastAsia="zh-CN" w:bidi="ar-SA"/>
        </w:rPr>
        <w:t>3</w:t>
      </w:r>
      <w:r>
        <w:rPr>
          <w:rFonts w:hint="eastAsia" w:ascii="宋体" w:hAnsi="宋体" w:eastAsia="宋体" w:cs="宋体"/>
          <w:color w:val="auto"/>
          <w:kern w:val="2"/>
          <w:sz w:val="21"/>
          <w:szCs w:val="21"/>
          <w:highlight w:val="none"/>
          <w:lang w:val="en-US" w:eastAsia="zh-CN" w:bidi="ar-SA"/>
        </w:rPr>
        <w:t>）承包人应按《温州市人民政府关于印发温州市打赢蓝天保卫战行动实施方案的通知》（温政办〔2019〕35号）、温州市人民政府&lt;关于印发《温州市扬尘污染防治管理办法》的通知&gt;（温政发[2020]31号）、温州市交通运输局&lt;关于印发《温州市交通建设领域扬尘污染防治技术指南（试行）》的通知&gt;（温交〔2021〕56号）、温州市自然资源和规划局及温州市生态环境局&lt;关于印发《温州市矿山粉尘防治技术指南》的通知&gt;（温资规发〔2021〕11号）</w:t>
      </w:r>
      <w:r>
        <w:rPr>
          <w:rFonts w:hint="eastAsia" w:ascii="宋体" w:hAnsi="宋体" w:eastAsia="宋体" w:cs="宋体"/>
          <w:bCs/>
          <w:color w:val="auto"/>
          <w:kern w:val="2"/>
          <w:sz w:val="21"/>
          <w:szCs w:val="21"/>
          <w:highlight w:val="none"/>
          <w:lang w:val="en-US" w:eastAsia="zh-CN" w:bidi="ar-SA"/>
        </w:rPr>
        <w:t>、</w:t>
      </w:r>
      <w:r>
        <w:rPr>
          <w:rFonts w:hint="eastAsia" w:ascii="宋体" w:hAnsi="宋体" w:eastAsia="宋体" w:cs="宋体"/>
          <w:b/>
          <w:color w:val="auto"/>
          <w:kern w:val="2"/>
          <w:sz w:val="21"/>
          <w:szCs w:val="21"/>
          <w:highlight w:val="none"/>
          <w:lang w:val="en-US" w:eastAsia="zh-CN" w:bidi="ar-SA"/>
        </w:rPr>
        <w:t>《关于印发《温州市工程渣土处置领域专项治理工作方案》的通知》（温渣治办〔2023〕1号）、《浙江省住房和城乡建设厅等8部门关于印发《浙江省工程渣土处置领域专项治理工作方案》的通知》（浙建城管发〔2023〕8号）</w:t>
      </w:r>
      <w:r>
        <w:rPr>
          <w:rFonts w:hint="eastAsia" w:ascii="宋体" w:hAnsi="宋体" w:eastAsia="宋体" w:cs="宋体"/>
          <w:color w:val="auto"/>
          <w:kern w:val="2"/>
          <w:sz w:val="21"/>
          <w:szCs w:val="21"/>
          <w:highlight w:val="none"/>
          <w:lang w:val="en-US" w:eastAsia="zh-CN" w:bidi="ar-SA"/>
        </w:rPr>
        <w:t>等的相关要求落实施工扬尘污染防治主体责任，建立施工扬尘污染防治保证体系，明确项目施工扬尘管理负责人，建立和完善施工扬尘防治管理制度，按规定编制具体的施工扬尘污染防治实施方案，报监理、发包人同意后实施，公示法定的扬尘防治相关信息，接收社会监督。承包人应对从业人员进行施工扬尘防治培训和教育，落实施工扬尘控制责任和措施，按主管部门要求开展常态化施工扬尘自查自纠，切实做好施工扬尘控制工作。承包人的非道路移动机械禁止冒黑烟作业及全面使用符合“三油并轨”质量标准的油品（施工机械全面使用与机动车同等标准的车用柴油），上述工作内容应在施工环保费中综合考虑，发包人不再予以单独计量支付。</w:t>
      </w:r>
    </w:p>
    <w:p w14:paraId="11B4BB35">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（2</w:t>
      </w:r>
      <w:r>
        <w:rPr>
          <w:rFonts w:hint="eastAsia" w:ascii="宋体" w:hAnsi="宋体" w:cs="宋体"/>
          <w:color w:val="auto"/>
          <w:kern w:val="2"/>
          <w:sz w:val="21"/>
          <w:szCs w:val="21"/>
          <w:highlight w:val="none"/>
          <w:lang w:val="en-US" w:eastAsia="zh-CN" w:bidi="ar-SA"/>
        </w:rPr>
        <w:t>4</w:t>
      </w:r>
      <w:r>
        <w:rPr>
          <w:rFonts w:hint="eastAsia" w:ascii="宋体" w:hAnsi="宋体" w:eastAsia="宋体" w:cs="宋体"/>
          <w:color w:val="auto"/>
          <w:kern w:val="2"/>
          <w:sz w:val="21"/>
          <w:szCs w:val="21"/>
          <w:highlight w:val="none"/>
          <w:lang w:val="en-US" w:eastAsia="zh-CN" w:bidi="ar-SA"/>
        </w:rPr>
        <w:t>）承包人应加强与设计人的沟通，应高度重视预留预埋位置及基础设置，严格按图施工，在相关子目中按规定计量，无单独支付子目的视为已包含在其他相关支付子目中。由承包人原因引起的预留预埋位置及基础设置不正确、预埋件缺失、预留孔道错误等造成返工、工期延误的，均由承包人自行承担。</w:t>
      </w:r>
    </w:p>
    <w:p w14:paraId="60B57F0A">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（2</w:t>
      </w:r>
      <w:r>
        <w:rPr>
          <w:rFonts w:hint="eastAsia" w:ascii="宋体" w:hAnsi="宋体" w:cs="宋体"/>
          <w:color w:val="auto"/>
          <w:kern w:val="2"/>
          <w:sz w:val="21"/>
          <w:szCs w:val="21"/>
          <w:highlight w:val="none"/>
          <w:lang w:val="en-US" w:eastAsia="zh-CN" w:bidi="ar-SA"/>
        </w:rPr>
        <w:t>5</w:t>
      </w:r>
      <w:r>
        <w:rPr>
          <w:rFonts w:hint="eastAsia" w:ascii="宋体" w:hAnsi="宋体" w:eastAsia="宋体" w:cs="宋体"/>
          <w:color w:val="auto"/>
          <w:kern w:val="2"/>
          <w:sz w:val="21"/>
          <w:szCs w:val="21"/>
          <w:highlight w:val="none"/>
          <w:lang w:val="en-US" w:eastAsia="zh-CN" w:bidi="ar-SA"/>
        </w:rPr>
        <w:t>）合同执行期内，承包人要加强源头控制，落实安全管理责任，切实做好施工车辆、施工路段管理。一是强化源头管理，对施工车辆上路条件、安全技术状况和资质进行严格把关。二是加强检查力度，严禁施工车辆超载、违法载人以及遮挡号牌、无牌上路等违法行为。三是做好施工路段管控，严格按照有关标准设置明显的安全警示标志，采取安全防护措施，引导施工路段车辆安全通行，严禁非施工作业车辆进入施工区域。四是加强缺陷责任期施工交通维护工作，交通管制方案应符合相关规范要求，并听从交警、业主的指令安排。</w:t>
      </w:r>
    </w:p>
    <w:p w14:paraId="2F8974D0">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（2</w:t>
      </w:r>
      <w:r>
        <w:rPr>
          <w:rFonts w:hint="eastAsia" w:ascii="宋体" w:hAnsi="宋体" w:cs="宋体"/>
          <w:color w:val="auto"/>
          <w:kern w:val="2"/>
          <w:sz w:val="21"/>
          <w:szCs w:val="21"/>
          <w:highlight w:val="none"/>
          <w:lang w:val="en-US" w:eastAsia="zh-CN" w:bidi="ar-SA"/>
        </w:rPr>
        <w:t>6</w:t>
      </w:r>
      <w:r>
        <w:rPr>
          <w:rFonts w:hint="eastAsia" w:ascii="宋体" w:hAnsi="宋体" w:eastAsia="宋体" w:cs="宋体"/>
          <w:color w:val="auto"/>
          <w:kern w:val="2"/>
          <w:sz w:val="21"/>
          <w:szCs w:val="21"/>
          <w:highlight w:val="none"/>
          <w:lang w:val="en-US" w:eastAsia="zh-CN" w:bidi="ar-SA"/>
        </w:rPr>
        <w:t>）工程完工后，承包人所在标段的遗留问题，承包人应积极主动进行处理、解决、修复和恢复等，并承担所有费用。如果上述问题在发包人规定的期限内不能解决，发包人有权单独或委托其他单 位进行处理，发生的全部费用从承包人工程款或保留金中抵扣，承包人应无条件接受。</w:t>
      </w:r>
    </w:p>
    <w:p w14:paraId="0F903451">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（2</w:t>
      </w:r>
      <w:r>
        <w:rPr>
          <w:rFonts w:hint="eastAsia" w:ascii="宋体" w:hAnsi="宋体" w:cs="宋体"/>
          <w:color w:val="auto"/>
          <w:kern w:val="2"/>
          <w:sz w:val="21"/>
          <w:szCs w:val="21"/>
          <w:highlight w:val="none"/>
          <w:lang w:val="en-US" w:eastAsia="zh-CN" w:bidi="ar-SA"/>
        </w:rPr>
        <w:t>7</w:t>
      </w:r>
      <w:r>
        <w:rPr>
          <w:rFonts w:hint="eastAsia" w:ascii="宋体" w:hAnsi="宋体" w:eastAsia="宋体" w:cs="宋体"/>
          <w:color w:val="auto"/>
          <w:kern w:val="2"/>
          <w:sz w:val="21"/>
          <w:szCs w:val="21"/>
          <w:highlight w:val="none"/>
          <w:lang w:val="en-US" w:eastAsia="zh-CN" w:bidi="ar-SA"/>
        </w:rPr>
        <w:t>）承包人应严格遵守</w:t>
      </w:r>
      <w:r>
        <w:rPr>
          <w:rFonts w:hint="eastAsia" w:ascii="宋体" w:hAnsi="宋体" w:eastAsia="宋体" w:cs="宋体"/>
          <w:b/>
          <w:bCs/>
          <w:color w:val="auto"/>
          <w:kern w:val="2"/>
          <w:sz w:val="21"/>
          <w:szCs w:val="22"/>
          <w:highlight w:val="none"/>
          <w:lang w:val="en-US" w:eastAsia="zh-CN" w:bidi="ar-SA"/>
        </w:rPr>
        <w:t>交通执法、水利、环保、资规、住建</w:t>
      </w:r>
      <w:r>
        <w:rPr>
          <w:rFonts w:hint="eastAsia" w:ascii="宋体" w:hAnsi="宋体" w:eastAsia="宋体" w:cs="宋体"/>
          <w:color w:val="auto"/>
          <w:kern w:val="2"/>
          <w:sz w:val="21"/>
          <w:szCs w:val="21"/>
          <w:highlight w:val="none"/>
          <w:lang w:val="en-US" w:eastAsia="zh-CN" w:bidi="ar-SA"/>
        </w:rPr>
        <w:t>等有关部门的规定，切实执行安全防护措施并保证施工安全，严格执行各项环保措施。在承包人撤离时，发包人将根据</w:t>
      </w:r>
      <w:r>
        <w:rPr>
          <w:rFonts w:hint="eastAsia" w:ascii="宋体" w:hAnsi="宋体" w:eastAsia="宋体" w:cs="宋体"/>
          <w:b/>
          <w:bCs/>
          <w:color w:val="auto"/>
          <w:kern w:val="2"/>
          <w:sz w:val="21"/>
          <w:szCs w:val="22"/>
          <w:highlight w:val="none"/>
          <w:lang w:val="en-US" w:eastAsia="zh-CN" w:bidi="ar-SA"/>
        </w:rPr>
        <w:t>交通执法、水利、环保、资规、住建</w:t>
      </w:r>
      <w:r>
        <w:rPr>
          <w:rFonts w:hint="eastAsia" w:ascii="宋体" w:hAnsi="宋体" w:eastAsia="宋体" w:cs="宋体"/>
          <w:color w:val="auto"/>
          <w:kern w:val="2"/>
          <w:sz w:val="21"/>
          <w:szCs w:val="21"/>
          <w:highlight w:val="none"/>
          <w:lang w:val="en-US" w:eastAsia="zh-CN" w:bidi="ar-SA"/>
        </w:rPr>
        <w:t>等有关部门出具的损失索赔证明材料与承包人办理结算手续，否则由此发生的赔偿，将在承包人的工程款或保留金中扣除。</w:t>
      </w:r>
    </w:p>
    <w:p w14:paraId="0EB7FDC1">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w:t>
      </w:r>
      <w:r>
        <w:rPr>
          <w:rFonts w:hint="eastAsia" w:ascii="宋体" w:hAnsi="宋体" w:cs="宋体"/>
          <w:color w:val="auto"/>
          <w:kern w:val="2"/>
          <w:sz w:val="21"/>
          <w:szCs w:val="21"/>
          <w:highlight w:val="none"/>
          <w:lang w:val="en-US" w:eastAsia="zh-CN" w:bidi="ar-SA"/>
        </w:rPr>
        <w:t>29</w:t>
      </w:r>
      <w:r>
        <w:rPr>
          <w:rFonts w:hint="eastAsia" w:ascii="宋体" w:hAnsi="宋体" w:eastAsia="宋体" w:cs="宋体"/>
          <w:color w:val="auto"/>
          <w:kern w:val="2"/>
          <w:sz w:val="21"/>
          <w:szCs w:val="21"/>
          <w:highlight w:val="none"/>
          <w:lang w:val="en-US" w:eastAsia="zh-CN" w:bidi="ar-SA"/>
        </w:rPr>
        <w:t>）在合同履行期间，承包人应按本技术规范中的内容提供培训设施与培训课程，保证发包人与本工程项目有关的职员掌握本合同范围内各种机电设备和装置的性能，日常维护、日常操作与故障排除以及故障的判断分析等方面的知识与能力。承包人因此增加的费用应认为已包括在投标价之中，发包人不另行支付。</w:t>
      </w:r>
    </w:p>
    <w:p w14:paraId="1C803118">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w:t>
      </w:r>
      <w:r>
        <w:rPr>
          <w:rFonts w:hint="eastAsia" w:ascii="宋体" w:hAnsi="宋体" w:cs="宋体"/>
          <w:color w:val="auto"/>
          <w:kern w:val="2"/>
          <w:sz w:val="21"/>
          <w:szCs w:val="21"/>
          <w:highlight w:val="none"/>
          <w:lang w:val="en-US" w:eastAsia="zh-CN" w:bidi="ar-SA"/>
        </w:rPr>
        <w:t>30</w:t>
      </w:r>
      <w:r>
        <w:rPr>
          <w:rFonts w:hint="eastAsia" w:ascii="宋体" w:hAnsi="宋体" w:eastAsia="宋体" w:cs="宋体"/>
          <w:color w:val="auto"/>
          <w:kern w:val="2"/>
          <w:sz w:val="21"/>
          <w:szCs w:val="21"/>
          <w:highlight w:val="none"/>
          <w:lang w:val="en-US" w:eastAsia="zh-CN" w:bidi="ar-SA"/>
        </w:rPr>
        <w:t>）工程机械完工后交工验收前，为使系统顺利投入试运行，承包人应将工程（包括合同规定的备品备件）移交给发包人，移交工作应有发包人和监理人参加，并根据承包人提供的工程设备移交清单、设备及随箱资料（含设备说明书、操作维修手册等）进行逐项清查核对，无误后签字确认。工程设备移交清单签认后，工程设备的管理责任即转移给发包人。</w:t>
      </w:r>
    </w:p>
    <w:p w14:paraId="2ED8555D">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如果工程设备移交清单签认后，工程不能立即移交管理时，承包人仍应继续负责工程照管。监理人在与承包人和发包人协商后，应确定与此相关的工程照管费用补偿额并加到合同价格上，通知承包人，抄送发包人。</w:t>
      </w:r>
    </w:p>
    <w:p w14:paraId="66501E86">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（3</w:t>
      </w:r>
      <w:r>
        <w:rPr>
          <w:rFonts w:hint="eastAsia" w:ascii="宋体" w:hAnsi="宋体" w:cs="宋体"/>
          <w:color w:val="auto"/>
          <w:kern w:val="2"/>
          <w:sz w:val="21"/>
          <w:szCs w:val="21"/>
          <w:highlight w:val="none"/>
          <w:lang w:val="en-US" w:eastAsia="zh-CN" w:bidi="ar-SA"/>
        </w:rPr>
        <w:t>1</w:t>
      </w:r>
      <w:r>
        <w:rPr>
          <w:rFonts w:hint="eastAsia" w:ascii="宋体" w:hAnsi="宋体" w:eastAsia="宋体" w:cs="宋体"/>
          <w:color w:val="auto"/>
          <w:kern w:val="2"/>
          <w:sz w:val="21"/>
          <w:szCs w:val="21"/>
          <w:highlight w:val="none"/>
          <w:lang w:val="en-US" w:eastAsia="zh-CN" w:bidi="ar-SA"/>
        </w:rPr>
        <w:t>）机电设备安装应有对现有成品进行保护的措施，如有污染或损坏需要进行修复，费用由承包人承担。</w:t>
      </w:r>
    </w:p>
    <w:p w14:paraId="080C6664">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（3</w:t>
      </w:r>
      <w:r>
        <w:rPr>
          <w:rFonts w:hint="eastAsia" w:ascii="宋体" w:hAnsi="宋体" w:cs="宋体"/>
          <w:color w:val="auto"/>
          <w:kern w:val="2"/>
          <w:sz w:val="21"/>
          <w:szCs w:val="21"/>
          <w:highlight w:val="none"/>
          <w:lang w:val="en-US" w:eastAsia="zh-CN" w:bidi="ar-SA"/>
        </w:rPr>
        <w:t>2</w:t>
      </w:r>
      <w:r>
        <w:rPr>
          <w:rFonts w:hint="eastAsia" w:ascii="宋体" w:hAnsi="宋体" w:eastAsia="宋体" w:cs="宋体"/>
          <w:color w:val="auto"/>
          <w:kern w:val="2"/>
          <w:sz w:val="21"/>
          <w:szCs w:val="21"/>
          <w:highlight w:val="none"/>
          <w:lang w:val="en-US" w:eastAsia="zh-CN" w:bidi="ar-SA"/>
        </w:rPr>
        <w:t>）项目施工（含调试、试运行）所发生的施工用电及其费用均由承包人承担，调试、试运行工作的相关费用应认为已包括在投标价之中，发包人不另行支付。</w:t>
      </w:r>
    </w:p>
    <w:p w14:paraId="21DE78C2">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（3</w:t>
      </w:r>
      <w:r>
        <w:rPr>
          <w:rFonts w:hint="eastAsia" w:ascii="宋体" w:hAnsi="宋体" w:cs="宋体"/>
          <w:color w:val="auto"/>
          <w:kern w:val="2"/>
          <w:sz w:val="21"/>
          <w:szCs w:val="21"/>
          <w:highlight w:val="none"/>
          <w:lang w:val="en-US" w:eastAsia="zh-CN" w:bidi="ar-SA"/>
        </w:rPr>
        <w:t>3</w:t>
      </w:r>
      <w:r>
        <w:rPr>
          <w:rFonts w:hint="eastAsia" w:ascii="宋体" w:hAnsi="宋体" w:eastAsia="宋体" w:cs="宋体"/>
          <w:color w:val="auto"/>
          <w:kern w:val="2"/>
          <w:sz w:val="21"/>
          <w:szCs w:val="21"/>
          <w:highlight w:val="none"/>
          <w:lang w:val="en-US" w:eastAsia="zh-CN" w:bidi="ar-SA"/>
        </w:rPr>
        <w:t>）承包人应按国家、省及地方最新的增值税纳税制度（采用一般计税方法）规定及时完成本项目的税务缴纳，向发包人提供的税务发票应符合规定；若因承包人提供的税务发票不合规、不合法，由此产生的一切后果均由承包人承担。</w:t>
      </w:r>
    </w:p>
    <w:p w14:paraId="20F26841">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（3</w:t>
      </w:r>
      <w:r>
        <w:rPr>
          <w:rFonts w:hint="eastAsia" w:ascii="宋体" w:hAnsi="宋体" w:cs="宋体"/>
          <w:color w:val="auto"/>
          <w:kern w:val="2"/>
          <w:sz w:val="21"/>
          <w:szCs w:val="21"/>
          <w:highlight w:val="none"/>
          <w:lang w:val="en-US" w:eastAsia="zh-CN" w:bidi="ar-SA"/>
        </w:rPr>
        <w:t>4</w:t>
      </w:r>
      <w:r>
        <w:rPr>
          <w:rFonts w:hint="eastAsia" w:ascii="宋体" w:hAnsi="宋体" w:eastAsia="宋体" w:cs="宋体"/>
          <w:color w:val="auto"/>
          <w:kern w:val="2"/>
          <w:sz w:val="21"/>
          <w:szCs w:val="21"/>
          <w:highlight w:val="none"/>
          <w:lang w:val="en-US" w:eastAsia="zh-CN" w:bidi="ar-SA"/>
        </w:rPr>
        <w:t>）承包人应开展职业健康管理工作，设立组织机构和专门人员负责承包人所在施工现场的职业病危害因素辨识、申报、监控等职业健康管理工作。</w:t>
      </w:r>
    </w:p>
    <w:p w14:paraId="6948DDEA">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（3</w:t>
      </w:r>
      <w:r>
        <w:rPr>
          <w:rFonts w:hint="eastAsia" w:ascii="宋体" w:hAnsi="宋体" w:cs="宋体"/>
          <w:color w:val="auto"/>
          <w:kern w:val="2"/>
          <w:sz w:val="21"/>
          <w:szCs w:val="21"/>
          <w:highlight w:val="none"/>
          <w:lang w:val="en-US" w:eastAsia="zh-CN" w:bidi="ar-SA"/>
        </w:rPr>
        <w:t>5</w:t>
      </w:r>
      <w:r>
        <w:rPr>
          <w:rFonts w:hint="eastAsia" w:ascii="宋体" w:hAnsi="宋体" w:eastAsia="宋体" w:cs="宋体"/>
          <w:color w:val="auto"/>
          <w:kern w:val="2"/>
          <w:sz w:val="21"/>
          <w:szCs w:val="21"/>
          <w:highlight w:val="none"/>
          <w:lang w:val="en-US" w:eastAsia="zh-CN" w:bidi="ar-SA"/>
        </w:rPr>
        <w:t>）路灯选型需取得采购人及发包人的认可，相应费用视为已包含相关子目单价中，发包人不另行计量与支付。未经采购人及发包人的认可，承包人不得安装使用，否则课以路灯等价的违约金。</w:t>
      </w:r>
    </w:p>
    <w:p w14:paraId="50F5D23F">
      <w:pPr>
        <w:widowControl w:val="0"/>
        <w:tabs>
          <w:tab w:val="left" w:pos="2790"/>
        </w:tabs>
        <w:spacing w:line="400" w:lineRule="exact"/>
        <w:ind w:firstLine="420" w:firstLineChars="200"/>
        <w:jc w:val="both"/>
        <w:rPr>
          <w:rFonts w:ascii="宋体" w:hAnsi="宋体" w:eastAsia="宋体" w:cs="宋体"/>
          <w:color w:val="auto"/>
          <w:kern w:val="2"/>
          <w:sz w:val="21"/>
          <w:szCs w:val="22"/>
          <w:highlight w:val="none"/>
          <w:lang w:val="en-US" w:eastAsia="zh-CN" w:bidi="ar-SA"/>
        </w:rPr>
      </w:pPr>
      <w:r>
        <w:rPr>
          <w:rFonts w:hint="eastAsia" w:ascii="宋体" w:hAnsi="宋体" w:eastAsia="宋体" w:cs="宋体"/>
          <w:color w:val="auto"/>
          <w:kern w:val="2"/>
          <w:sz w:val="21"/>
          <w:szCs w:val="21"/>
          <w:highlight w:val="none"/>
          <w:lang w:val="en-US" w:eastAsia="zh-CN" w:bidi="ar-SA"/>
        </w:rPr>
        <w:t>（3</w:t>
      </w:r>
      <w:r>
        <w:rPr>
          <w:rFonts w:hint="eastAsia" w:ascii="宋体" w:hAnsi="宋体" w:cs="宋体"/>
          <w:color w:val="auto"/>
          <w:kern w:val="2"/>
          <w:sz w:val="21"/>
          <w:szCs w:val="21"/>
          <w:highlight w:val="none"/>
          <w:lang w:val="en-US" w:eastAsia="zh-CN" w:bidi="ar-SA"/>
        </w:rPr>
        <w:t>6</w:t>
      </w:r>
      <w:r>
        <w:rPr>
          <w:rFonts w:hint="eastAsia" w:ascii="宋体" w:hAnsi="宋体" w:eastAsia="宋体" w:cs="宋体"/>
          <w:color w:val="auto"/>
          <w:kern w:val="2"/>
          <w:sz w:val="21"/>
          <w:szCs w:val="21"/>
          <w:highlight w:val="none"/>
          <w:lang w:val="en-US" w:eastAsia="zh-CN" w:bidi="ar-SA"/>
        </w:rPr>
        <w:t>）承包人对项目图纸资料负有保密义务。</w:t>
      </w:r>
    </w:p>
    <w:p w14:paraId="6DDB3AC7">
      <w:pPr>
        <w:widowControl w:val="0"/>
        <w:spacing w:before="120" w:beforeLines="50" w:line="276" w:lineRule="auto"/>
        <w:jc w:val="both"/>
        <w:outlineLvl w:val="4"/>
        <w:rPr>
          <w:rFonts w:ascii="宋体" w:hAnsi="宋体" w:eastAsia="宋体" w:cs="宋体"/>
          <w:b/>
          <w:color w:val="auto"/>
          <w:kern w:val="2"/>
          <w:sz w:val="21"/>
          <w:szCs w:val="22"/>
          <w:highlight w:val="none"/>
          <w:lang w:val="en-US" w:eastAsia="zh-CN" w:bidi="ar-SA"/>
        </w:rPr>
      </w:pPr>
      <w:bookmarkStart w:id="361" w:name="_Toc509845205"/>
      <w:bookmarkStart w:id="362" w:name="_Toc477764145"/>
      <w:bookmarkStart w:id="363" w:name="_Toc133536960"/>
      <w:bookmarkStart w:id="364" w:name="_Toc26746"/>
      <w:bookmarkStart w:id="365" w:name="_Toc6560"/>
      <w:bookmarkStart w:id="366" w:name="_Toc98194715"/>
      <w:bookmarkStart w:id="367" w:name="_Toc445203897"/>
      <w:bookmarkStart w:id="368" w:name="_Toc24588"/>
      <w:r>
        <w:rPr>
          <w:rFonts w:hint="eastAsia" w:ascii="宋体" w:hAnsi="宋体" w:eastAsia="宋体" w:cs="宋体"/>
          <w:b/>
          <w:color w:val="auto"/>
          <w:kern w:val="2"/>
          <w:sz w:val="21"/>
          <w:szCs w:val="22"/>
          <w:highlight w:val="none"/>
          <w:lang w:val="en-US" w:eastAsia="zh-CN" w:bidi="ar-SA"/>
        </w:rPr>
        <w:t>4.3 分包</w:t>
      </w:r>
      <w:bookmarkEnd w:id="361"/>
      <w:bookmarkEnd w:id="362"/>
      <w:bookmarkEnd w:id="363"/>
      <w:bookmarkEnd w:id="364"/>
      <w:bookmarkEnd w:id="365"/>
      <w:bookmarkEnd w:id="366"/>
      <w:bookmarkEnd w:id="367"/>
      <w:bookmarkEnd w:id="368"/>
    </w:p>
    <w:p w14:paraId="63959A57">
      <w:pPr>
        <w:widowControl w:val="0"/>
        <w:tabs>
          <w:tab w:val="left" w:pos="2790"/>
        </w:tabs>
        <w:spacing w:line="400" w:lineRule="exact"/>
        <w:ind w:firstLine="422" w:firstLineChars="200"/>
        <w:jc w:val="both"/>
        <w:rPr>
          <w:rFonts w:ascii="宋体" w:hAnsi="宋体" w:eastAsia="宋体" w:cs="宋体"/>
          <w:b/>
          <w:bCs/>
          <w:color w:val="auto"/>
          <w:kern w:val="2"/>
          <w:sz w:val="21"/>
          <w:szCs w:val="21"/>
          <w:highlight w:val="none"/>
          <w:lang w:val="en-US" w:eastAsia="zh-CN" w:bidi="ar-SA"/>
        </w:rPr>
      </w:pPr>
      <w:bookmarkStart w:id="369" w:name="_Toc477764146"/>
      <w:bookmarkStart w:id="370" w:name="_Toc445203898"/>
      <w:r>
        <w:rPr>
          <w:rFonts w:hint="eastAsia" w:ascii="宋体" w:hAnsi="宋体" w:eastAsia="宋体" w:cs="宋体"/>
          <w:b/>
          <w:bCs/>
          <w:color w:val="auto"/>
          <w:kern w:val="2"/>
          <w:sz w:val="21"/>
          <w:szCs w:val="21"/>
          <w:highlight w:val="none"/>
          <w:lang w:val="en-US" w:eastAsia="zh-CN" w:bidi="ar-SA"/>
        </w:rPr>
        <w:t>公路工程通用合同条款 4.3 条细化为：</w:t>
      </w:r>
    </w:p>
    <w:p w14:paraId="039860C9">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本项目严禁转包和专业分包。承包人确需要劳务合作的，承包人须依法依规地选择劳务合作单位，劳务合作合同应按规定报审报批。</w:t>
      </w:r>
    </w:p>
    <w:p w14:paraId="010FDA37">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发包人有权对劳务合作合同的实施计划、进度、质量、安全以及合同执行情况进行监督管理，承包人及劳务合作人均应积极配合。明确劳务合作单位须配备现场负责人、安全负责人各一名，安全负责人应持有相应的从业资格证书。</w:t>
      </w:r>
    </w:p>
    <w:p w14:paraId="2DDB1CB2">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机电工程材料、设施、设备等的安装应由承包人自有人员或与承包人签订劳务合作合同的劳务单位实施。材料、设施、设备供应商提供的测试、调试服务不属于施工分包或劳务合作范畴。</w:t>
      </w:r>
    </w:p>
    <w:p w14:paraId="0B60274F">
      <w:pPr>
        <w:widowControl w:val="0"/>
        <w:spacing w:before="120" w:beforeLines="50" w:line="276" w:lineRule="auto"/>
        <w:jc w:val="both"/>
        <w:outlineLvl w:val="4"/>
        <w:rPr>
          <w:rFonts w:ascii="宋体" w:hAnsi="宋体" w:eastAsia="宋体" w:cs="宋体"/>
          <w:b/>
          <w:color w:val="auto"/>
          <w:kern w:val="2"/>
          <w:sz w:val="21"/>
          <w:szCs w:val="22"/>
          <w:highlight w:val="none"/>
          <w:lang w:val="en-US" w:eastAsia="zh-CN" w:bidi="ar-SA"/>
        </w:rPr>
      </w:pPr>
      <w:bookmarkStart w:id="371" w:name="_Toc30401"/>
      <w:bookmarkStart w:id="372" w:name="_Toc133536961"/>
      <w:bookmarkStart w:id="373" w:name="_Toc8919"/>
      <w:bookmarkStart w:id="374" w:name="_Toc28605"/>
      <w:bookmarkStart w:id="375" w:name="_Toc98194716"/>
      <w:r>
        <w:rPr>
          <w:rFonts w:hint="eastAsia" w:ascii="宋体" w:hAnsi="宋体" w:eastAsia="宋体" w:cs="宋体"/>
          <w:b/>
          <w:color w:val="auto"/>
          <w:kern w:val="2"/>
          <w:sz w:val="21"/>
          <w:szCs w:val="22"/>
          <w:highlight w:val="none"/>
          <w:lang w:val="en-US" w:eastAsia="zh-CN" w:bidi="ar-SA"/>
        </w:rPr>
        <w:t>4.5 承包人项目经理</w:t>
      </w:r>
      <w:bookmarkEnd w:id="371"/>
      <w:bookmarkEnd w:id="372"/>
      <w:bookmarkEnd w:id="373"/>
      <w:bookmarkEnd w:id="374"/>
      <w:bookmarkEnd w:id="375"/>
    </w:p>
    <w:p w14:paraId="0D2DCA39">
      <w:pPr>
        <w:widowControl w:val="0"/>
        <w:tabs>
          <w:tab w:val="left" w:pos="2790"/>
        </w:tabs>
        <w:spacing w:line="400" w:lineRule="exact"/>
        <w:ind w:firstLine="422" w:firstLineChars="200"/>
        <w:jc w:val="both"/>
        <w:rPr>
          <w:rFonts w:ascii="宋体" w:hAnsi="宋体" w:eastAsia="宋体" w:cs="宋体"/>
          <w:b/>
          <w:bCs/>
          <w:color w:val="auto"/>
          <w:kern w:val="2"/>
          <w:sz w:val="21"/>
          <w:szCs w:val="21"/>
          <w:highlight w:val="none"/>
          <w:lang w:val="en-US" w:eastAsia="zh-CN" w:bidi="ar-SA"/>
        </w:rPr>
      </w:pPr>
      <w:r>
        <w:rPr>
          <w:rFonts w:hint="eastAsia" w:ascii="宋体" w:hAnsi="宋体" w:eastAsia="宋体" w:cs="宋体"/>
          <w:b/>
          <w:bCs/>
          <w:color w:val="auto"/>
          <w:kern w:val="2"/>
          <w:sz w:val="21"/>
          <w:szCs w:val="21"/>
          <w:highlight w:val="none"/>
          <w:lang w:val="en-US" w:eastAsia="zh-CN" w:bidi="ar-SA"/>
        </w:rPr>
        <w:t>通用合同条款第4.5.1 项最后一句话细化为：</w:t>
      </w:r>
    </w:p>
    <w:p w14:paraId="0663174E">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承包人项目经理短期离开施工场地，应事先征得监理人、发包人同意，并委派人员代行其职责。</w:t>
      </w:r>
    </w:p>
    <w:p w14:paraId="747D2719">
      <w:pPr>
        <w:widowControl w:val="0"/>
        <w:spacing w:before="120" w:beforeLines="50" w:line="276" w:lineRule="auto"/>
        <w:jc w:val="both"/>
        <w:outlineLvl w:val="4"/>
        <w:rPr>
          <w:rFonts w:ascii="宋体" w:hAnsi="宋体" w:eastAsia="宋体" w:cs="宋体"/>
          <w:b/>
          <w:color w:val="auto"/>
          <w:kern w:val="2"/>
          <w:sz w:val="21"/>
          <w:szCs w:val="22"/>
          <w:highlight w:val="none"/>
          <w:lang w:val="en-US" w:eastAsia="zh-CN" w:bidi="ar-SA"/>
        </w:rPr>
      </w:pPr>
      <w:bookmarkStart w:id="376" w:name="_Toc7813"/>
      <w:bookmarkStart w:id="377" w:name="_Toc1484"/>
      <w:bookmarkStart w:id="378" w:name="_Toc26718"/>
      <w:bookmarkStart w:id="379" w:name="_Toc98194717"/>
      <w:bookmarkStart w:id="380" w:name="_Toc509845206"/>
      <w:bookmarkStart w:id="381" w:name="_Toc133536962"/>
      <w:r>
        <w:rPr>
          <w:rFonts w:hint="eastAsia" w:ascii="宋体" w:hAnsi="宋体" w:eastAsia="宋体" w:cs="宋体"/>
          <w:b/>
          <w:color w:val="auto"/>
          <w:kern w:val="2"/>
          <w:sz w:val="21"/>
          <w:szCs w:val="22"/>
          <w:highlight w:val="none"/>
          <w:lang w:val="en-US" w:eastAsia="zh-CN" w:bidi="ar-SA"/>
        </w:rPr>
        <w:t>4.6 承包人人员的管理</w:t>
      </w:r>
      <w:bookmarkEnd w:id="359"/>
      <w:bookmarkEnd w:id="369"/>
      <w:bookmarkEnd w:id="370"/>
      <w:bookmarkEnd w:id="376"/>
      <w:bookmarkEnd w:id="377"/>
      <w:bookmarkEnd w:id="378"/>
      <w:bookmarkEnd w:id="379"/>
      <w:bookmarkEnd w:id="380"/>
      <w:bookmarkEnd w:id="381"/>
    </w:p>
    <w:p w14:paraId="68449F6B">
      <w:pPr>
        <w:tabs>
          <w:tab w:val="left" w:pos="2790"/>
        </w:tabs>
        <w:spacing w:line="400" w:lineRule="exact"/>
        <w:ind w:firstLine="422" w:firstLineChars="200"/>
        <w:rPr>
          <w:rFonts w:ascii="宋体" w:hAnsi="宋体" w:eastAsia="宋体" w:cs="宋体"/>
          <w:b/>
          <w:bCs/>
          <w:color w:val="auto"/>
          <w:szCs w:val="21"/>
          <w:highlight w:val="none"/>
        </w:rPr>
      </w:pPr>
      <w:bookmarkStart w:id="382" w:name="_Toc287272881"/>
      <w:bookmarkStart w:id="383" w:name="_Toc445203899"/>
      <w:bookmarkStart w:id="384" w:name="_Toc477764147"/>
      <w:r>
        <w:rPr>
          <w:rFonts w:hint="eastAsia" w:ascii="宋体" w:hAnsi="宋体" w:eastAsia="宋体" w:cs="宋体"/>
          <w:b/>
          <w:bCs/>
          <w:color w:val="auto"/>
          <w:szCs w:val="21"/>
          <w:highlight w:val="none"/>
        </w:rPr>
        <w:t>第4.6.1项补充：</w:t>
      </w:r>
    </w:p>
    <w:p w14:paraId="5ECB9076">
      <w:pPr>
        <w:tabs>
          <w:tab w:val="left" w:pos="2790"/>
        </w:tabs>
        <w:spacing w:line="400" w:lineRule="exact"/>
        <w:ind w:firstLine="420" w:firstLineChars="200"/>
        <w:rPr>
          <w:rFonts w:ascii="宋体" w:hAnsi="宋体" w:eastAsia="宋体" w:cs="宋体"/>
          <w:color w:val="auto"/>
          <w:szCs w:val="21"/>
          <w:highlight w:val="none"/>
        </w:rPr>
      </w:pPr>
      <w:r>
        <w:rPr>
          <w:rFonts w:hint="eastAsia" w:ascii="宋体" w:hAnsi="宋体" w:eastAsia="宋体" w:cs="宋体"/>
          <w:color w:val="auto"/>
          <w:szCs w:val="21"/>
          <w:highlight w:val="none"/>
        </w:rPr>
        <w:t>承包人拟投入本项目的主要施工班组、主要管理技术人员、主要关键设备需经监理人、发包人审查同意后方可投入本项目。承包人应对所有人员（包括管理人员、技术人员、工人及辅助人员等）进行健康监测，建立全员“一人一档”健康监测制度，对于体温异常或身体不适应者应严禁进场作业，并及时安排就医，如确诊患有传染性疾病的，应立即上报，不得隐瞒。</w:t>
      </w:r>
    </w:p>
    <w:p w14:paraId="7C076376">
      <w:pPr>
        <w:tabs>
          <w:tab w:val="left" w:pos="2790"/>
        </w:tabs>
        <w:spacing w:line="400" w:lineRule="exact"/>
        <w:ind w:firstLine="422" w:firstLineChars="200"/>
        <w:rPr>
          <w:rFonts w:ascii="宋体" w:hAnsi="宋体" w:eastAsia="宋体" w:cs="宋体"/>
          <w:b/>
          <w:bCs/>
          <w:color w:val="auto"/>
          <w:szCs w:val="21"/>
          <w:highlight w:val="none"/>
        </w:rPr>
      </w:pPr>
      <w:r>
        <w:rPr>
          <w:rFonts w:hint="eastAsia" w:ascii="宋体" w:hAnsi="宋体" w:eastAsia="宋体" w:cs="宋体"/>
          <w:b/>
          <w:bCs/>
          <w:color w:val="auto"/>
          <w:szCs w:val="21"/>
          <w:highlight w:val="none"/>
        </w:rPr>
        <w:t>第4.6.3项补充：</w:t>
      </w:r>
    </w:p>
    <w:p w14:paraId="300FE144">
      <w:pPr>
        <w:tabs>
          <w:tab w:val="left" w:pos="2790"/>
        </w:tabs>
        <w:spacing w:line="400" w:lineRule="exact"/>
        <w:ind w:firstLine="420" w:firstLineChars="200"/>
        <w:rPr>
          <w:rFonts w:ascii="宋体" w:hAnsi="宋体" w:eastAsia="宋体" w:cs="宋体"/>
          <w:color w:val="auto"/>
          <w:szCs w:val="21"/>
          <w:highlight w:val="none"/>
        </w:rPr>
      </w:pPr>
      <w:r>
        <w:rPr>
          <w:rFonts w:hint="eastAsia" w:ascii="宋体" w:hAnsi="宋体" w:eastAsia="宋体" w:cs="宋体"/>
          <w:color w:val="auto"/>
          <w:szCs w:val="21"/>
          <w:highlight w:val="none"/>
        </w:rPr>
        <w:t>承包人项目经理、项目技术负责人及安全负责人应签署承诺书,承诺按招标文件规定到位,若有更换,同意按《浙江省公路水运建设工程从业主体信用评价管理细则》、</w:t>
      </w:r>
      <w:r>
        <w:rPr>
          <w:rFonts w:hint="eastAsia" w:ascii="宋体" w:hAnsi="宋体" w:eastAsia="宋体" w:cs="宋体"/>
          <w:b/>
          <w:bCs/>
          <w:color w:val="auto"/>
          <w:szCs w:val="21"/>
          <w:highlight w:val="none"/>
        </w:rPr>
        <w:t>《温州市工程建设项目投标人不良行为信息管理办法（试行）》</w:t>
      </w:r>
      <w:r>
        <w:rPr>
          <w:rFonts w:hint="eastAsia" w:ascii="宋体" w:hAnsi="宋体" w:eastAsia="宋体" w:cs="宋体"/>
          <w:color w:val="auto"/>
          <w:szCs w:val="21"/>
          <w:highlight w:val="none"/>
        </w:rPr>
        <w:t>（温政服〔2023〕22号）扣分或纳入负面清单管理。</w:t>
      </w:r>
    </w:p>
    <w:p w14:paraId="44DA1CC8">
      <w:pPr>
        <w:tabs>
          <w:tab w:val="left" w:pos="2790"/>
        </w:tabs>
        <w:spacing w:line="400" w:lineRule="exact"/>
        <w:ind w:firstLine="422" w:firstLineChars="200"/>
        <w:rPr>
          <w:rFonts w:ascii="宋体" w:hAnsi="宋体" w:eastAsia="宋体" w:cs="宋体"/>
          <w:b/>
          <w:bCs/>
          <w:color w:val="auto"/>
          <w:szCs w:val="21"/>
          <w:highlight w:val="none"/>
        </w:rPr>
      </w:pPr>
      <w:r>
        <w:rPr>
          <w:rFonts w:hint="eastAsia" w:ascii="宋体" w:hAnsi="宋体" w:eastAsia="宋体" w:cs="宋体"/>
          <w:b/>
          <w:bCs/>
          <w:color w:val="auto"/>
          <w:szCs w:val="21"/>
          <w:highlight w:val="none"/>
        </w:rPr>
        <w:t>公路工程专用合同条款4.6款补充第4.6.6项～第4.6.10项：</w:t>
      </w:r>
    </w:p>
    <w:p w14:paraId="78D12798">
      <w:pPr>
        <w:tabs>
          <w:tab w:val="left" w:pos="2790"/>
        </w:tabs>
        <w:spacing w:line="400" w:lineRule="exact"/>
        <w:ind w:firstLine="420" w:firstLineChars="200"/>
        <w:rPr>
          <w:rFonts w:ascii="宋体" w:hAnsi="宋体" w:eastAsia="宋体" w:cs="宋体"/>
          <w:color w:val="auto"/>
          <w:szCs w:val="21"/>
          <w:highlight w:val="none"/>
        </w:rPr>
      </w:pPr>
      <w:r>
        <w:rPr>
          <w:rFonts w:hint="eastAsia" w:ascii="宋体" w:hAnsi="宋体" w:eastAsia="宋体" w:cs="宋体"/>
          <w:color w:val="auto"/>
          <w:szCs w:val="21"/>
          <w:highlight w:val="none"/>
        </w:rPr>
        <w:t>4.6.6 承包人的所有管理、施工人员（包括分包队伍）需着统一的明显标志服，夜间须为反光标志服，同时须符合相关安全管理的规定，并按不同岗位佩证上岗。</w:t>
      </w:r>
    </w:p>
    <w:p w14:paraId="6F986B72">
      <w:pPr>
        <w:tabs>
          <w:tab w:val="left" w:pos="2790"/>
        </w:tabs>
        <w:spacing w:line="400" w:lineRule="exact"/>
        <w:ind w:firstLine="420" w:firstLineChars="200"/>
        <w:rPr>
          <w:rFonts w:ascii="宋体" w:hAnsi="宋体" w:eastAsia="宋体" w:cs="宋体"/>
          <w:color w:val="auto"/>
          <w:szCs w:val="21"/>
          <w:highlight w:val="none"/>
        </w:rPr>
      </w:pPr>
      <w:r>
        <w:rPr>
          <w:rFonts w:hint="eastAsia" w:ascii="宋体" w:hAnsi="宋体" w:eastAsia="宋体" w:cs="宋体"/>
          <w:color w:val="auto"/>
          <w:szCs w:val="21"/>
          <w:highlight w:val="none"/>
        </w:rPr>
        <w:t>4.6.7承包人项目经理、项目技术负责人、施工员、安全员、质量员出勤需进行考勤，漏考或考勤造假按擅自离开工地处理。项目经理、项目技术负责人、施工员、安全员、质量员离开工地必须向发包人书面请假，并经发包人同意后才能离开；每月在工地天数应大于20天（特殊情况经发包人人批准同意例外）。项目经理、项目技术负责人、施工员、安全员、质量员等同时请假人数原则上不多3人，项目经理、项目技术负责人、施工员、安全员、质量员不得同时请假离开现场（特殊情况除外）。无请假手续擅自离开工地（特殊情况除外）的，一律按不在岗处理。</w:t>
      </w:r>
    </w:p>
    <w:p w14:paraId="0E01818F">
      <w:pPr>
        <w:tabs>
          <w:tab w:val="left" w:pos="2790"/>
        </w:tabs>
        <w:spacing w:line="400" w:lineRule="exact"/>
        <w:ind w:firstLine="420" w:firstLineChars="200"/>
        <w:rPr>
          <w:rFonts w:ascii="宋体" w:hAnsi="宋体" w:eastAsia="宋体" w:cs="宋体"/>
          <w:color w:val="auto"/>
          <w:szCs w:val="21"/>
          <w:highlight w:val="none"/>
        </w:rPr>
      </w:pPr>
      <w:r>
        <w:rPr>
          <w:rFonts w:hint="eastAsia" w:ascii="宋体" w:hAnsi="宋体" w:eastAsia="宋体" w:cs="宋体"/>
          <w:color w:val="auto"/>
          <w:szCs w:val="21"/>
          <w:highlight w:val="none"/>
        </w:rPr>
        <w:t>4.6.8 除因管理原因发生重大质量安全事故不适合再任，因生病住院</w:t>
      </w:r>
      <w:r>
        <w:rPr>
          <w:rFonts w:hint="eastAsia" w:ascii="宋体" w:hAnsi="宋体" w:eastAsia="宋体" w:cs="宋体"/>
          <w:b/>
          <w:bCs/>
          <w:color w:val="auto"/>
          <w:szCs w:val="21"/>
          <w:highlight w:val="none"/>
        </w:rPr>
        <w:t>（需提供县级以上公立医疗机构出具、经主治医师签名的疾病诊断证明和具体的住院证明等材料。）</w:t>
      </w:r>
      <w:r>
        <w:rPr>
          <w:rFonts w:hint="eastAsia" w:ascii="宋体" w:hAnsi="宋体" w:eastAsia="宋体" w:cs="宋体"/>
          <w:color w:val="auto"/>
          <w:szCs w:val="21"/>
          <w:highlight w:val="none"/>
        </w:rPr>
        <w:t>、终止劳动合同关系（需提供相关部门或单位的证明材料）等无法继续履行合同责任和义务，被责令停止执业、羁押或判刑外，承包人不得提出更换项目经理、项目技术负责人。符合上述规定确需更换的，应征得发包人同意，并经有关行业行政主管部门备案，且更换后的人员不得低于原投标承诺人员所具有的资格和业绩条件。</w:t>
      </w:r>
    </w:p>
    <w:p w14:paraId="51A7EFC3">
      <w:pPr>
        <w:tabs>
          <w:tab w:val="left" w:pos="2790"/>
        </w:tabs>
        <w:spacing w:line="400" w:lineRule="exact"/>
        <w:ind w:firstLine="420" w:firstLineChars="200"/>
        <w:rPr>
          <w:rFonts w:ascii="宋体" w:hAnsi="宋体" w:eastAsia="宋体" w:cs="宋体"/>
          <w:color w:val="auto"/>
          <w:szCs w:val="21"/>
          <w:highlight w:val="none"/>
        </w:rPr>
      </w:pPr>
      <w:r>
        <w:rPr>
          <w:rFonts w:hint="eastAsia" w:ascii="宋体" w:hAnsi="宋体" w:eastAsia="宋体" w:cs="宋体"/>
          <w:color w:val="auto"/>
          <w:szCs w:val="21"/>
          <w:highlight w:val="none"/>
        </w:rPr>
        <w:t>4.6.9 承包人及其派驻本项目管理机构，针对本项目特殊性，须建立完善的保密措施并落实到位，派驻本项目管理机构的各级管理人员必须可靠，具有较强的组织性和纪律性措施；如发生相关责任行为，由承包人自行承担。</w:t>
      </w:r>
    </w:p>
    <w:p w14:paraId="4EFDBED1">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4.6.10职业健康管理</w:t>
      </w:r>
    </w:p>
    <w:p w14:paraId="62A3C27C">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承包人应开展职业健康管理工作，设立组织机构和专门人员负责承包人所在施工现场的职业病危害因素辨识、申报、监控等职业健康管理工作。职业病危害因素辨识、申报、监控等工作产生 的咨询费用、专家评审费用、会议费用、健康检查费用、及采取的一切职业健康管理措施费等相关费用列入安全生产费用中。</w:t>
      </w:r>
    </w:p>
    <w:p w14:paraId="52CB6FE9">
      <w:pPr>
        <w:widowControl w:val="0"/>
        <w:spacing w:before="120" w:beforeLines="50" w:line="276" w:lineRule="auto"/>
        <w:jc w:val="both"/>
        <w:outlineLvl w:val="4"/>
        <w:rPr>
          <w:rFonts w:ascii="宋体" w:hAnsi="宋体" w:eastAsia="宋体" w:cs="宋体"/>
          <w:b/>
          <w:color w:val="auto"/>
          <w:kern w:val="2"/>
          <w:sz w:val="21"/>
          <w:szCs w:val="22"/>
          <w:highlight w:val="none"/>
          <w:lang w:val="en-US" w:eastAsia="zh-CN" w:bidi="ar-SA"/>
        </w:rPr>
      </w:pPr>
      <w:bookmarkStart w:id="385" w:name="_Toc98194718"/>
      <w:bookmarkStart w:id="386" w:name="_Toc18411"/>
      <w:bookmarkStart w:id="387" w:name="_Toc509845207"/>
      <w:bookmarkStart w:id="388" w:name="_Toc6513"/>
      <w:bookmarkStart w:id="389" w:name="_Toc18787"/>
      <w:bookmarkStart w:id="390" w:name="_Toc133536963"/>
      <w:r>
        <w:rPr>
          <w:rFonts w:hint="eastAsia" w:ascii="宋体" w:hAnsi="宋体" w:eastAsia="宋体" w:cs="宋体"/>
          <w:b/>
          <w:color w:val="auto"/>
          <w:kern w:val="2"/>
          <w:sz w:val="21"/>
          <w:szCs w:val="22"/>
          <w:highlight w:val="none"/>
          <w:lang w:val="en-US" w:eastAsia="zh-CN" w:bidi="ar-SA"/>
        </w:rPr>
        <w:t>4.8 保障承包人人员的合法权益</w:t>
      </w:r>
      <w:bookmarkEnd w:id="382"/>
      <w:bookmarkEnd w:id="383"/>
      <w:bookmarkEnd w:id="384"/>
      <w:bookmarkEnd w:id="385"/>
      <w:bookmarkEnd w:id="386"/>
      <w:bookmarkEnd w:id="387"/>
      <w:bookmarkEnd w:id="388"/>
      <w:bookmarkEnd w:id="389"/>
      <w:bookmarkEnd w:id="390"/>
    </w:p>
    <w:p w14:paraId="2BC17295">
      <w:pPr>
        <w:widowControl w:val="0"/>
        <w:tabs>
          <w:tab w:val="left" w:pos="2790"/>
        </w:tabs>
        <w:spacing w:line="400" w:lineRule="exact"/>
        <w:ind w:firstLine="422" w:firstLineChars="200"/>
        <w:jc w:val="both"/>
        <w:rPr>
          <w:rFonts w:ascii="宋体" w:hAnsi="宋体" w:eastAsia="宋体" w:cs="宋体"/>
          <w:b/>
          <w:bCs/>
          <w:color w:val="auto"/>
          <w:kern w:val="2"/>
          <w:sz w:val="21"/>
          <w:szCs w:val="21"/>
          <w:highlight w:val="none"/>
          <w:lang w:val="en-US" w:eastAsia="zh-CN" w:bidi="ar-SA"/>
        </w:rPr>
      </w:pPr>
      <w:bookmarkStart w:id="391" w:name="_Toc287272882"/>
      <w:r>
        <w:rPr>
          <w:rFonts w:hint="eastAsia" w:ascii="宋体" w:hAnsi="宋体" w:eastAsia="宋体" w:cs="宋体"/>
          <w:b/>
          <w:bCs/>
          <w:color w:val="auto"/>
          <w:kern w:val="2"/>
          <w:sz w:val="21"/>
          <w:szCs w:val="21"/>
          <w:highlight w:val="none"/>
          <w:lang w:val="en-US" w:eastAsia="zh-CN" w:bidi="ar-SA"/>
        </w:rPr>
        <w:t>通用合同条款4.8.3项补充：</w:t>
      </w:r>
    </w:p>
    <w:p w14:paraId="59CD89DB">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承包人至少设一名具有一定卫生常识及传染病防治知识的卫生监督员，负责承包人所在施工现场的传染病检查、控制、报告。</w:t>
      </w:r>
    </w:p>
    <w:p w14:paraId="4E305C15">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疫情防控期间或一旦爆发其它任何具有传染性的疾病时，承包人应遵守并执行当地政府或卫生防疫部门为防治和消灭上述传染病蔓延而制订的规章、命令和要求。建立人员流动登记制度、信息报告制度、健康登记制度（一人一档），与当地卫生防疫部门积极合作，严格按照疫情防控要求做好防疫物资（包括防护口罩、消毒液、红外测温仪等）的配备、各项防范措施的落实工作，并安排专人对防疫工作进行专项检查。</w:t>
      </w:r>
    </w:p>
    <w:p w14:paraId="40389259">
      <w:pPr>
        <w:widowControl w:val="0"/>
        <w:spacing w:before="120" w:beforeLines="50" w:line="276" w:lineRule="auto"/>
        <w:jc w:val="both"/>
        <w:outlineLvl w:val="4"/>
        <w:rPr>
          <w:rFonts w:ascii="宋体" w:hAnsi="宋体" w:eastAsia="宋体" w:cs="宋体"/>
          <w:b/>
          <w:color w:val="auto"/>
          <w:kern w:val="2"/>
          <w:sz w:val="21"/>
          <w:szCs w:val="22"/>
          <w:highlight w:val="none"/>
          <w:lang w:val="en-US" w:eastAsia="zh-CN" w:bidi="ar-SA"/>
        </w:rPr>
      </w:pPr>
      <w:bookmarkStart w:id="392" w:name="_Toc14746"/>
      <w:bookmarkStart w:id="393" w:name="_Toc9016"/>
      <w:bookmarkStart w:id="394" w:name="_Toc758"/>
      <w:bookmarkStart w:id="395" w:name="_Toc133536964"/>
      <w:bookmarkStart w:id="396" w:name="_Toc98194719"/>
      <w:r>
        <w:rPr>
          <w:rFonts w:hint="eastAsia" w:ascii="宋体" w:hAnsi="宋体" w:eastAsia="宋体" w:cs="宋体"/>
          <w:b/>
          <w:color w:val="auto"/>
          <w:kern w:val="2"/>
          <w:sz w:val="21"/>
          <w:szCs w:val="22"/>
          <w:highlight w:val="none"/>
          <w:lang w:val="en-US" w:eastAsia="zh-CN" w:bidi="ar-SA"/>
        </w:rPr>
        <w:t>4.9工程价款应专款专用</w:t>
      </w:r>
      <w:bookmarkEnd w:id="392"/>
      <w:bookmarkEnd w:id="393"/>
      <w:bookmarkEnd w:id="394"/>
      <w:bookmarkEnd w:id="395"/>
      <w:bookmarkEnd w:id="396"/>
    </w:p>
    <w:p w14:paraId="44831530">
      <w:pPr>
        <w:widowControl w:val="0"/>
        <w:tabs>
          <w:tab w:val="left" w:pos="2790"/>
        </w:tabs>
        <w:spacing w:line="400" w:lineRule="exact"/>
        <w:ind w:firstLine="422" w:firstLineChars="200"/>
        <w:jc w:val="both"/>
        <w:rPr>
          <w:rFonts w:ascii="宋体" w:hAnsi="宋体" w:eastAsia="宋体" w:cs="宋体"/>
          <w:b/>
          <w:bCs/>
          <w:color w:val="auto"/>
          <w:kern w:val="2"/>
          <w:sz w:val="21"/>
          <w:szCs w:val="21"/>
          <w:highlight w:val="none"/>
          <w:lang w:val="en-US" w:eastAsia="zh-CN" w:bidi="ar-SA"/>
        </w:rPr>
      </w:pPr>
      <w:r>
        <w:rPr>
          <w:rFonts w:hint="eastAsia" w:ascii="宋体" w:hAnsi="宋体" w:eastAsia="宋体" w:cs="宋体"/>
          <w:b/>
          <w:bCs/>
          <w:color w:val="auto"/>
          <w:kern w:val="2"/>
          <w:sz w:val="21"/>
          <w:szCs w:val="21"/>
          <w:highlight w:val="none"/>
          <w:lang w:val="en-US" w:eastAsia="zh-CN" w:bidi="ar-SA"/>
        </w:rPr>
        <w:t>公路工程专用合同条款第4.9款细化为：</w:t>
      </w:r>
    </w:p>
    <w:p w14:paraId="567928E4">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发包人按合同约定支付给承包人的各项价款应专用于合同工程。承包人必须在发包人</w:t>
      </w:r>
      <w:r>
        <w:rPr>
          <w:rFonts w:hint="eastAsia" w:ascii="宋体" w:hAnsi="宋体" w:cs="宋体"/>
          <w:color w:val="auto"/>
          <w:kern w:val="2"/>
          <w:sz w:val="21"/>
          <w:szCs w:val="21"/>
          <w:highlight w:val="none"/>
          <w:lang w:val="en-US" w:eastAsia="zh-CN" w:bidi="ar-SA"/>
        </w:rPr>
        <w:t>认可</w:t>
      </w:r>
      <w:r>
        <w:rPr>
          <w:rFonts w:hint="eastAsia" w:ascii="宋体" w:hAnsi="宋体" w:eastAsia="宋体" w:cs="宋体"/>
          <w:color w:val="auto"/>
          <w:kern w:val="2"/>
          <w:sz w:val="21"/>
          <w:szCs w:val="21"/>
          <w:highlight w:val="none"/>
          <w:lang w:val="en-US" w:eastAsia="zh-CN" w:bidi="ar-SA"/>
        </w:rPr>
        <w:t>的银行开户，并与发包人、银行共同签订《工程资金监管协议》，接受发包人和银行对资金的监管。承包人应向发包人授权进行本合同工程开户银行工程资金的查询。发包人支付的</w:t>
      </w:r>
      <w:r>
        <w:rPr>
          <w:rFonts w:hint="eastAsia" w:ascii="宋体" w:hAnsi="宋体" w:eastAsia="宋体" w:cs="宋体"/>
          <w:b/>
          <w:bCs/>
          <w:color w:val="auto"/>
          <w:kern w:val="2"/>
          <w:sz w:val="21"/>
          <w:szCs w:val="21"/>
          <w:highlight w:val="none"/>
          <w:lang w:val="en-US" w:eastAsia="zh-CN" w:bidi="ar-SA"/>
        </w:rPr>
        <w:t>开工预付款、工程进</w:t>
      </w:r>
      <w:r>
        <w:rPr>
          <w:rFonts w:hint="eastAsia" w:ascii="宋体" w:hAnsi="宋体" w:eastAsia="宋体" w:cs="宋体"/>
          <w:color w:val="auto"/>
          <w:kern w:val="2"/>
          <w:sz w:val="21"/>
          <w:szCs w:val="21"/>
          <w:highlight w:val="none"/>
          <w:lang w:val="en-US" w:eastAsia="zh-CN" w:bidi="ar-SA"/>
        </w:rPr>
        <w:t>度款应为本工程的专款专用资金，不得转移或用于其他工程。发包人的期中支付款将转入该银行所设的专门账户，发包人及其派出机构有权不定期对承包人工程资金使用情况进行检查，包括并不限于账户分析、凭证检查、现场调查等方式对资金使用情况的检查和监督。未经发包人同意，一经发现问题，及时责令承包人限期改正，否则，将停止月支付，直至承包人改正为止。</w:t>
      </w:r>
    </w:p>
    <w:p w14:paraId="7D612C68">
      <w:pPr>
        <w:widowControl w:val="0"/>
        <w:spacing w:before="120" w:beforeLines="50" w:line="276" w:lineRule="auto"/>
        <w:jc w:val="both"/>
        <w:outlineLvl w:val="4"/>
        <w:rPr>
          <w:rFonts w:ascii="宋体" w:hAnsi="宋体" w:eastAsia="宋体" w:cs="宋体"/>
          <w:b/>
          <w:color w:val="auto"/>
          <w:kern w:val="2"/>
          <w:sz w:val="21"/>
          <w:szCs w:val="22"/>
          <w:highlight w:val="none"/>
          <w:lang w:val="en-US" w:eastAsia="zh-CN" w:bidi="ar-SA"/>
        </w:rPr>
      </w:pPr>
      <w:bookmarkStart w:id="397" w:name="_Toc133536966"/>
      <w:bookmarkStart w:id="398" w:name="_Toc445203900"/>
      <w:bookmarkStart w:id="399" w:name="_Toc30768"/>
      <w:bookmarkStart w:id="400" w:name="_Toc509845208"/>
      <w:bookmarkStart w:id="401" w:name="_Toc98194721"/>
      <w:bookmarkStart w:id="402" w:name="_Toc25297"/>
      <w:bookmarkStart w:id="403" w:name="_Toc477764148"/>
      <w:bookmarkStart w:id="404" w:name="_Toc7398"/>
      <w:r>
        <w:rPr>
          <w:rFonts w:hint="eastAsia" w:ascii="宋体" w:hAnsi="宋体" w:eastAsia="宋体" w:cs="宋体"/>
          <w:b/>
          <w:color w:val="auto"/>
          <w:kern w:val="2"/>
          <w:sz w:val="21"/>
          <w:szCs w:val="22"/>
          <w:highlight w:val="none"/>
          <w:lang w:val="en-US" w:eastAsia="zh-CN" w:bidi="ar-SA"/>
        </w:rPr>
        <w:t>4.11 不利物质条件</w:t>
      </w:r>
      <w:bookmarkEnd w:id="391"/>
      <w:bookmarkEnd w:id="397"/>
      <w:bookmarkEnd w:id="398"/>
      <w:bookmarkEnd w:id="399"/>
      <w:bookmarkEnd w:id="400"/>
      <w:bookmarkEnd w:id="401"/>
      <w:bookmarkEnd w:id="402"/>
      <w:bookmarkEnd w:id="403"/>
      <w:bookmarkEnd w:id="404"/>
    </w:p>
    <w:p w14:paraId="489D2179">
      <w:pPr>
        <w:widowControl w:val="0"/>
        <w:tabs>
          <w:tab w:val="left" w:pos="2790"/>
        </w:tabs>
        <w:spacing w:line="400" w:lineRule="exact"/>
        <w:ind w:firstLine="422" w:firstLineChars="200"/>
        <w:jc w:val="both"/>
        <w:rPr>
          <w:rFonts w:ascii="宋体" w:hAnsi="宋体" w:eastAsia="宋体" w:cs="宋体"/>
          <w:b/>
          <w:bCs/>
          <w:color w:val="auto"/>
          <w:kern w:val="2"/>
          <w:sz w:val="21"/>
          <w:szCs w:val="21"/>
          <w:highlight w:val="none"/>
          <w:lang w:val="en-US" w:eastAsia="zh-CN" w:bidi="ar-SA"/>
        </w:rPr>
      </w:pPr>
      <w:r>
        <w:rPr>
          <w:rFonts w:hint="eastAsia" w:ascii="宋体" w:hAnsi="宋体" w:eastAsia="宋体" w:cs="宋体"/>
          <w:b/>
          <w:bCs/>
          <w:color w:val="auto"/>
          <w:kern w:val="2"/>
          <w:sz w:val="21"/>
          <w:szCs w:val="21"/>
          <w:highlight w:val="none"/>
          <w:lang w:val="en-US" w:eastAsia="zh-CN" w:bidi="ar-SA"/>
        </w:rPr>
        <w:t>通用合同条款第4.11.1项约定：</w:t>
      </w:r>
    </w:p>
    <w:p w14:paraId="12FE6E2B">
      <w:pPr>
        <w:widowControl w:val="0"/>
        <w:tabs>
          <w:tab w:val="left" w:pos="2790"/>
        </w:tabs>
        <w:spacing w:line="400" w:lineRule="exact"/>
        <w:ind w:firstLine="420" w:firstLineChars="200"/>
        <w:jc w:val="both"/>
        <w:rPr>
          <w:rFonts w:ascii="宋体" w:hAnsi="宋体" w:eastAsia="宋体" w:cs="宋体"/>
          <w:color w:val="auto"/>
          <w:kern w:val="2"/>
          <w:sz w:val="21"/>
          <w:szCs w:val="22"/>
          <w:highlight w:val="none"/>
          <w:lang w:val="en-US" w:eastAsia="zh-CN" w:bidi="ar-SA"/>
        </w:rPr>
      </w:pPr>
      <w:r>
        <w:rPr>
          <w:rFonts w:hint="eastAsia" w:ascii="宋体" w:hAnsi="宋体" w:eastAsia="宋体" w:cs="宋体"/>
          <w:color w:val="auto"/>
          <w:kern w:val="2"/>
          <w:sz w:val="21"/>
          <w:szCs w:val="22"/>
          <w:highlight w:val="none"/>
          <w:lang w:val="en-US" w:eastAsia="zh-CN" w:bidi="ar-SA"/>
        </w:rPr>
        <w:t>4.11.1 不利物质条件的范围：</w:t>
      </w:r>
      <w:r>
        <w:rPr>
          <w:rFonts w:hint="eastAsia" w:ascii="宋体" w:hAnsi="宋体" w:eastAsia="宋体" w:cs="宋体"/>
          <w:color w:val="auto"/>
          <w:kern w:val="2"/>
          <w:sz w:val="21"/>
          <w:szCs w:val="22"/>
          <w:highlight w:val="none"/>
          <w:u w:val="single"/>
          <w:lang w:val="en-US" w:eastAsia="zh-CN" w:bidi="ar-SA"/>
        </w:rPr>
        <w:t xml:space="preserve">     /    </w:t>
      </w:r>
      <w:r>
        <w:rPr>
          <w:rFonts w:hint="eastAsia" w:ascii="宋体" w:hAnsi="宋体" w:eastAsia="宋体" w:cs="宋体"/>
          <w:color w:val="auto"/>
          <w:kern w:val="2"/>
          <w:sz w:val="21"/>
          <w:szCs w:val="22"/>
          <w:highlight w:val="none"/>
          <w:lang w:val="en-US" w:eastAsia="zh-CN" w:bidi="ar-SA"/>
        </w:rPr>
        <w:t xml:space="preserve"> 。 </w:t>
      </w:r>
    </w:p>
    <w:p w14:paraId="06A22255">
      <w:pPr>
        <w:widowControl w:val="0"/>
        <w:spacing w:before="120" w:beforeLines="50" w:line="276" w:lineRule="auto"/>
        <w:jc w:val="both"/>
        <w:outlineLvl w:val="4"/>
        <w:rPr>
          <w:rFonts w:ascii="宋体" w:hAnsi="宋体" w:eastAsia="宋体" w:cs="宋体"/>
          <w:b/>
          <w:color w:val="auto"/>
          <w:kern w:val="2"/>
          <w:sz w:val="21"/>
          <w:szCs w:val="22"/>
          <w:highlight w:val="none"/>
          <w:lang w:val="en-US" w:eastAsia="zh-CN" w:bidi="ar-SA"/>
        </w:rPr>
      </w:pPr>
      <w:bookmarkStart w:id="405" w:name="_Toc29359"/>
      <w:bookmarkStart w:id="406" w:name="_Toc2600"/>
      <w:bookmarkStart w:id="407" w:name="_Toc133536967"/>
      <w:bookmarkStart w:id="408" w:name="_Toc18580"/>
      <w:bookmarkStart w:id="409" w:name="_Toc98194722"/>
      <w:r>
        <w:rPr>
          <w:rFonts w:hint="eastAsia" w:ascii="宋体" w:hAnsi="宋体" w:eastAsia="宋体" w:cs="宋体"/>
          <w:b/>
          <w:color w:val="auto"/>
          <w:kern w:val="2"/>
          <w:sz w:val="21"/>
          <w:szCs w:val="22"/>
          <w:highlight w:val="none"/>
          <w:lang w:val="en-US" w:eastAsia="zh-CN" w:bidi="ar-SA"/>
        </w:rPr>
        <w:t>4.13 开展党建工作要求</w:t>
      </w:r>
      <w:bookmarkEnd w:id="405"/>
      <w:bookmarkEnd w:id="406"/>
      <w:bookmarkEnd w:id="407"/>
      <w:bookmarkEnd w:id="408"/>
      <w:bookmarkEnd w:id="409"/>
    </w:p>
    <w:p w14:paraId="0A448E56">
      <w:pPr>
        <w:widowControl w:val="0"/>
        <w:tabs>
          <w:tab w:val="left" w:pos="2790"/>
        </w:tabs>
        <w:spacing w:line="400" w:lineRule="exact"/>
        <w:ind w:firstLine="422" w:firstLineChars="200"/>
        <w:jc w:val="both"/>
        <w:rPr>
          <w:rFonts w:ascii="宋体" w:hAnsi="宋体" w:eastAsia="宋体" w:cs="宋体"/>
          <w:b/>
          <w:bCs/>
          <w:color w:val="auto"/>
          <w:kern w:val="2"/>
          <w:sz w:val="21"/>
          <w:szCs w:val="22"/>
          <w:highlight w:val="none"/>
          <w:lang w:val="en-US" w:eastAsia="zh-CN" w:bidi="ar-SA"/>
        </w:rPr>
      </w:pPr>
      <w:r>
        <w:rPr>
          <w:rFonts w:hint="eastAsia" w:ascii="宋体" w:hAnsi="宋体" w:eastAsia="宋体" w:cs="宋体"/>
          <w:b/>
          <w:bCs/>
          <w:color w:val="auto"/>
          <w:kern w:val="2"/>
          <w:sz w:val="21"/>
          <w:szCs w:val="22"/>
          <w:highlight w:val="none"/>
          <w:lang w:val="en-US" w:eastAsia="zh-CN" w:bidi="ar-SA"/>
        </w:rPr>
        <w:t>本款细化为：</w:t>
      </w:r>
    </w:p>
    <w:p w14:paraId="050129C5">
      <w:pPr>
        <w:widowControl w:val="0"/>
        <w:tabs>
          <w:tab w:val="left" w:pos="2790"/>
        </w:tabs>
        <w:spacing w:line="400" w:lineRule="exact"/>
        <w:ind w:firstLine="420" w:firstLineChars="200"/>
        <w:jc w:val="both"/>
        <w:rPr>
          <w:rFonts w:ascii="宋体" w:hAnsi="宋体" w:eastAsia="宋体" w:cs="宋体"/>
          <w:color w:val="auto"/>
          <w:kern w:val="2"/>
          <w:sz w:val="21"/>
          <w:szCs w:val="22"/>
          <w:highlight w:val="none"/>
          <w:lang w:val="en-US" w:eastAsia="zh-CN" w:bidi="ar-SA"/>
        </w:rPr>
      </w:pPr>
      <w:r>
        <w:rPr>
          <w:rFonts w:hint="eastAsia" w:ascii="宋体" w:hAnsi="宋体" w:eastAsia="宋体" w:cs="宋体"/>
          <w:color w:val="auto"/>
          <w:kern w:val="2"/>
          <w:sz w:val="21"/>
          <w:szCs w:val="22"/>
          <w:highlight w:val="none"/>
          <w:lang w:val="en-US" w:eastAsia="zh-CN" w:bidi="ar-SA"/>
        </w:rPr>
        <w:t>承包人应根据有关加强党风廉政建设和反腐败工作实施意见要求，组建党工团、纪检、综治管理组织机构或临时机构，要求项目书记和纪检委员应同步配备，配合发包人做好党建联动工作，并制定相应的管理办法，且符合发包人对工程管理的要求，形成预防工作与工程建设“双向纳入”和“共同负责”的工作局面。</w:t>
      </w:r>
    </w:p>
    <w:p w14:paraId="7A836FCA">
      <w:pPr>
        <w:keepNext/>
        <w:keepLines/>
        <w:widowControl w:val="0"/>
        <w:spacing w:before="120" w:after="0" w:line="360" w:lineRule="auto"/>
        <w:jc w:val="both"/>
        <w:outlineLvl w:val="3"/>
        <w:rPr>
          <w:rFonts w:ascii="宋体" w:hAnsi="宋体" w:eastAsia="宋体" w:cs="宋体"/>
          <w:b/>
          <w:bCs/>
          <w:color w:val="auto"/>
          <w:kern w:val="2"/>
          <w:sz w:val="24"/>
          <w:szCs w:val="24"/>
          <w:highlight w:val="none"/>
          <w:lang w:val="en-US" w:eastAsia="zh-CN" w:bidi="ar-SA"/>
        </w:rPr>
      </w:pPr>
      <w:bookmarkStart w:id="410" w:name="_Toc517356855"/>
      <w:bookmarkStart w:id="411" w:name="_Toc521522293"/>
      <w:bookmarkStart w:id="412" w:name="_Toc86616471"/>
      <w:bookmarkStart w:id="413" w:name="_Toc3899"/>
      <w:bookmarkStart w:id="414" w:name="_Toc497815073"/>
      <w:bookmarkStart w:id="415" w:name="_Toc509090387"/>
      <w:bookmarkStart w:id="416" w:name="_Toc29273"/>
      <w:bookmarkStart w:id="417" w:name="_Toc498612659"/>
      <w:bookmarkStart w:id="418" w:name="_Toc445203901"/>
      <w:bookmarkStart w:id="419" w:name="_Toc509845209"/>
      <w:bookmarkStart w:id="420" w:name="_Toc477764149"/>
      <w:bookmarkStart w:id="421" w:name="_Toc82849583"/>
      <w:bookmarkStart w:id="422" w:name="_Toc83398580"/>
      <w:bookmarkStart w:id="423" w:name="_Toc488333216"/>
      <w:bookmarkStart w:id="424" w:name="_Toc396835974"/>
      <w:bookmarkStart w:id="425" w:name="_Toc98194723"/>
      <w:bookmarkStart w:id="426" w:name="_Toc133536968"/>
      <w:bookmarkStart w:id="427" w:name="_Toc2692955"/>
      <w:bookmarkStart w:id="428" w:name="_Toc16108"/>
      <w:r>
        <w:rPr>
          <w:rFonts w:hint="eastAsia" w:ascii="宋体" w:hAnsi="宋体" w:eastAsia="宋体" w:cs="宋体"/>
          <w:b/>
          <w:bCs/>
          <w:color w:val="auto"/>
          <w:kern w:val="2"/>
          <w:sz w:val="24"/>
          <w:szCs w:val="24"/>
          <w:highlight w:val="none"/>
          <w:lang w:val="en-US" w:eastAsia="zh-CN" w:bidi="ar-SA"/>
        </w:rPr>
        <w:t>5.材料和工程设备</w:t>
      </w:r>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p>
    <w:p w14:paraId="24247DCA">
      <w:pPr>
        <w:widowControl w:val="0"/>
        <w:spacing w:before="120" w:beforeLines="50" w:line="276" w:lineRule="auto"/>
        <w:jc w:val="both"/>
        <w:outlineLvl w:val="4"/>
        <w:rPr>
          <w:rFonts w:ascii="宋体" w:hAnsi="宋体" w:eastAsia="宋体" w:cs="宋体"/>
          <w:b/>
          <w:color w:val="auto"/>
          <w:kern w:val="2"/>
          <w:sz w:val="21"/>
          <w:szCs w:val="22"/>
          <w:highlight w:val="none"/>
          <w:lang w:val="en-US" w:eastAsia="zh-CN" w:bidi="ar-SA"/>
        </w:rPr>
      </w:pPr>
      <w:bookmarkStart w:id="429" w:name="_Toc24302"/>
      <w:bookmarkStart w:id="430" w:name="_Toc509845210"/>
      <w:bookmarkStart w:id="431" w:name="_Toc477764150"/>
      <w:bookmarkStart w:id="432" w:name="_Toc98194724"/>
      <w:bookmarkStart w:id="433" w:name="_Toc15483"/>
      <w:bookmarkStart w:id="434" w:name="_Toc396835975"/>
      <w:bookmarkStart w:id="435" w:name="_Toc133536969"/>
      <w:bookmarkStart w:id="436" w:name="_Toc445203902"/>
      <w:bookmarkStart w:id="437" w:name="_Toc6982"/>
      <w:r>
        <w:rPr>
          <w:rFonts w:hint="eastAsia" w:ascii="宋体" w:hAnsi="宋体" w:eastAsia="宋体" w:cs="宋体"/>
          <w:b/>
          <w:color w:val="auto"/>
          <w:kern w:val="2"/>
          <w:sz w:val="21"/>
          <w:szCs w:val="22"/>
          <w:highlight w:val="none"/>
          <w:lang w:val="en-US" w:eastAsia="zh-CN" w:bidi="ar-SA"/>
        </w:rPr>
        <w:t>5.1 承包人提供的材料和工程设备</w:t>
      </w:r>
      <w:bookmarkEnd w:id="429"/>
      <w:bookmarkEnd w:id="430"/>
      <w:bookmarkEnd w:id="431"/>
      <w:bookmarkEnd w:id="432"/>
      <w:bookmarkEnd w:id="433"/>
      <w:bookmarkEnd w:id="434"/>
      <w:bookmarkEnd w:id="435"/>
      <w:bookmarkEnd w:id="436"/>
      <w:bookmarkEnd w:id="437"/>
    </w:p>
    <w:p w14:paraId="756BD5D8">
      <w:pPr>
        <w:widowControl w:val="0"/>
        <w:tabs>
          <w:tab w:val="left" w:pos="2790"/>
        </w:tabs>
        <w:spacing w:line="400" w:lineRule="exact"/>
        <w:ind w:firstLine="422" w:firstLineChars="200"/>
        <w:jc w:val="both"/>
        <w:rPr>
          <w:rFonts w:ascii="宋体" w:hAnsi="宋体" w:eastAsia="宋体" w:cs="宋体"/>
          <w:b/>
          <w:bCs/>
          <w:color w:val="auto"/>
          <w:kern w:val="2"/>
          <w:sz w:val="21"/>
          <w:szCs w:val="21"/>
          <w:highlight w:val="none"/>
          <w:lang w:val="en-US" w:eastAsia="zh-CN" w:bidi="ar-SA"/>
        </w:rPr>
      </w:pPr>
      <w:bookmarkStart w:id="438" w:name="_Toc477764151"/>
      <w:bookmarkStart w:id="439" w:name="_Toc488333217"/>
      <w:bookmarkStart w:id="440" w:name="_Toc445203903"/>
      <w:r>
        <w:rPr>
          <w:rFonts w:hint="eastAsia" w:ascii="宋体" w:hAnsi="宋体" w:eastAsia="宋体" w:cs="宋体"/>
          <w:b/>
          <w:bCs/>
          <w:color w:val="auto"/>
          <w:kern w:val="2"/>
          <w:sz w:val="21"/>
          <w:szCs w:val="21"/>
          <w:highlight w:val="none"/>
          <w:lang w:val="en-US" w:eastAsia="zh-CN" w:bidi="ar-SA"/>
        </w:rPr>
        <w:t>通用合同条款第 5.1.1 项细化为：</w:t>
      </w:r>
    </w:p>
    <w:p w14:paraId="0BB531B6">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5.1.1承包人提供的材料和工程设备（包括专业分包工程所需的材料和设备）均由承包人负责采购、运输和保管。承包人采购的主要材料设备应满足“技术规范</w:t>
      </w:r>
      <w:r>
        <w:rPr>
          <w:rFonts w:hint="eastAsia" w:ascii="宋体" w:hAnsi="宋体" w:cs="宋体"/>
          <w:color w:val="auto"/>
          <w:kern w:val="2"/>
          <w:sz w:val="21"/>
          <w:szCs w:val="21"/>
          <w:highlight w:val="none"/>
          <w:lang w:val="en-US" w:eastAsia="zh-CN" w:bidi="ar-SA"/>
        </w:rPr>
        <w:t>（见附件）</w:t>
      </w:r>
      <w:r>
        <w:rPr>
          <w:rFonts w:hint="eastAsia" w:ascii="宋体" w:hAnsi="宋体" w:eastAsia="宋体" w:cs="宋体"/>
          <w:color w:val="auto"/>
          <w:kern w:val="2"/>
          <w:sz w:val="21"/>
          <w:szCs w:val="21"/>
          <w:highlight w:val="none"/>
          <w:lang w:val="en-US" w:eastAsia="zh-CN" w:bidi="ar-SA"/>
        </w:rPr>
        <w:t>”中材料和工程设备技术要求的规定。承包人应对其采购的材料和工程设备负责。承包人所采购的钢筋、水泥、沥青、护栏等</w:t>
      </w:r>
      <w:r>
        <w:rPr>
          <w:rFonts w:hint="eastAsia" w:ascii="宋体" w:hAnsi="宋体" w:eastAsia="宋体" w:cs="宋体"/>
          <w:b/>
          <w:bCs/>
          <w:color w:val="auto"/>
          <w:kern w:val="2"/>
          <w:sz w:val="21"/>
          <w:szCs w:val="21"/>
          <w:highlight w:val="none"/>
          <w:lang w:val="en-US" w:eastAsia="zh-CN" w:bidi="ar-SA"/>
        </w:rPr>
        <w:t>主要材料都须事先得到监理人批准后方可使用，发包人有权拒绝使用不符合招标文件规定标准的材料设备，承包人应按发包人要求将上述材料的供货合同等资料提供给监理人备案。</w:t>
      </w:r>
    </w:p>
    <w:p w14:paraId="0FF28B61">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若承包人在投标文件中提交的主要设备材料不能满足招标文件和技术规范的要求，应根据本合同条款和技术规范要求，用符合本条款和技术规范要求的产品替换，但须经监理人及发包人审核同意。</w:t>
      </w:r>
    </w:p>
    <w:p w14:paraId="78807D9C">
      <w:pPr>
        <w:widowControl w:val="0"/>
        <w:tabs>
          <w:tab w:val="left" w:pos="2790"/>
        </w:tabs>
        <w:spacing w:line="400" w:lineRule="exact"/>
        <w:ind w:firstLine="422" w:firstLineChars="200"/>
        <w:jc w:val="both"/>
        <w:rPr>
          <w:rFonts w:ascii="宋体" w:hAnsi="宋体" w:eastAsia="宋体" w:cs="宋体"/>
          <w:b/>
          <w:bCs/>
          <w:color w:val="auto"/>
          <w:kern w:val="2"/>
          <w:sz w:val="21"/>
          <w:szCs w:val="21"/>
          <w:highlight w:val="none"/>
          <w:lang w:val="en-US" w:eastAsia="zh-CN" w:bidi="ar-SA"/>
        </w:rPr>
      </w:pPr>
      <w:r>
        <w:rPr>
          <w:rFonts w:hint="eastAsia" w:ascii="宋体" w:hAnsi="宋体" w:eastAsia="宋体" w:cs="宋体"/>
          <w:b/>
          <w:bCs/>
          <w:color w:val="auto"/>
          <w:kern w:val="2"/>
          <w:sz w:val="21"/>
          <w:szCs w:val="21"/>
          <w:highlight w:val="none"/>
          <w:lang w:val="en-US" w:eastAsia="zh-CN" w:bidi="ar-SA"/>
        </w:rPr>
        <w:t>通用合同条款第5.1.3 项补充：</w:t>
      </w:r>
    </w:p>
    <w:p w14:paraId="40F7CB45">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承包人必须对所有进场材料和设备以及相应质检单进行质量验收，并对其通过验收的材料和设备承担一切责任和后果。</w:t>
      </w:r>
    </w:p>
    <w:p w14:paraId="2AA90E77">
      <w:pPr>
        <w:keepNext/>
        <w:keepLines/>
        <w:widowControl w:val="0"/>
        <w:spacing w:before="120" w:after="0" w:line="360" w:lineRule="auto"/>
        <w:jc w:val="both"/>
        <w:outlineLvl w:val="3"/>
        <w:rPr>
          <w:rFonts w:ascii="宋体" w:hAnsi="宋体" w:eastAsia="宋体" w:cs="宋体"/>
          <w:b/>
          <w:bCs/>
          <w:color w:val="auto"/>
          <w:kern w:val="2"/>
          <w:sz w:val="24"/>
          <w:szCs w:val="24"/>
          <w:highlight w:val="none"/>
          <w:lang w:val="en-US" w:eastAsia="zh-CN" w:bidi="ar-SA"/>
        </w:rPr>
      </w:pPr>
      <w:bookmarkStart w:id="441" w:name="_Toc497815074"/>
      <w:bookmarkStart w:id="442" w:name="_Toc86616472"/>
      <w:bookmarkStart w:id="443" w:name="_Toc2692956"/>
      <w:bookmarkStart w:id="444" w:name="_Toc8829"/>
      <w:bookmarkStart w:id="445" w:name="_Toc24102"/>
      <w:bookmarkStart w:id="446" w:name="_Toc521522294"/>
      <w:bookmarkStart w:id="447" w:name="_Toc98194725"/>
      <w:bookmarkStart w:id="448" w:name="_Toc82849584"/>
      <w:bookmarkStart w:id="449" w:name="_Toc9795"/>
      <w:bookmarkStart w:id="450" w:name="_Toc509845211"/>
      <w:bookmarkStart w:id="451" w:name="_Toc83398581"/>
      <w:bookmarkStart w:id="452" w:name="_Toc133536970"/>
      <w:bookmarkStart w:id="453" w:name="_Toc509090388"/>
      <w:bookmarkStart w:id="454" w:name="_Toc517356856"/>
      <w:bookmarkStart w:id="455" w:name="_Toc498612660"/>
      <w:r>
        <w:rPr>
          <w:rFonts w:hint="eastAsia" w:ascii="宋体" w:hAnsi="宋体" w:eastAsia="宋体" w:cs="宋体"/>
          <w:b/>
          <w:bCs/>
          <w:color w:val="auto"/>
          <w:kern w:val="2"/>
          <w:sz w:val="24"/>
          <w:szCs w:val="24"/>
          <w:highlight w:val="none"/>
          <w:lang w:val="en-US" w:eastAsia="zh-CN" w:bidi="ar-SA"/>
        </w:rPr>
        <w:t>6.施工设备和临时设施</w:t>
      </w:r>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p>
    <w:p w14:paraId="0C655314">
      <w:pPr>
        <w:widowControl w:val="0"/>
        <w:spacing w:before="120" w:beforeLines="50" w:line="276" w:lineRule="auto"/>
        <w:jc w:val="both"/>
        <w:outlineLvl w:val="4"/>
        <w:rPr>
          <w:rFonts w:ascii="宋体" w:hAnsi="宋体" w:eastAsia="宋体" w:cs="宋体"/>
          <w:b/>
          <w:color w:val="auto"/>
          <w:kern w:val="2"/>
          <w:sz w:val="21"/>
          <w:szCs w:val="22"/>
          <w:highlight w:val="none"/>
          <w:lang w:val="en-US" w:eastAsia="zh-CN" w:bidi="ar-SA"/>
        </w:rPr>
      </w:pPr>
      <w:bookmarkStart w:id="456" w:name="_Toc287272884"/>
      <w:bookmarkStart w:id="457" w:name="_Toc9893"/>
      <w:bookmarkStart w:id="458" w:name="_Toc98194726"/>
      <w:bookmarkStart w:id="459" w:name="_Toc133536971"/>
      <w:bookmarkStart w:id="460" w:name="_Toc445203904"/>
      <w:bookmarkStart w:id="461" w:name="_Toc19101"/>
      <w:bookmarkStart w:id="462" w:name="_Toc4487"/>
      <w:bookmarkStart w:id="463" w:name="_Toc477764152"/>
      <w:r>
        <w:rPr>
          <w:rFonts w:hint="eastAsia" w:ascii="宋体" w:hAnsi="宋体" w:eastAsia="宋体" w:cs="宋体"/>
          <w:b/>
          <w:color w:val="auto"/>
          <w:kern w:val="2"/>
          <w:sz w:val="21"/>
          <w:szCs w:val="22"/>
          <w:highlight w:val="none"/>
          <w:lang w:val="en-US" w:eastAsia="zh-CN" w:bidi="ar-SA"/>
        </w:rPr>
        <w:t>6.3 要求承包人增加或更换施工设备</w:t>
      </w:r>
      <w:bookmarkEnd w:id="456"/>
      <w:bookmarkEnd w:id="457"/>
      <w:bookmarkEnd w:id="458"/>
      <w:bookmarkEnd w:id="459"/>
      <w:bookmarkEnd w:id="460"/>
      <w:bookmarkEnd w:id="461"/>
      <w:bookmarkEnd w:id="462"/>
      <w:bookmarkEnd w:id="463"/>
    </w:p>
    <w:p w14:paraId="3AB2B19A">
      <w:pPr>
        <w:widowControl w:val="0"/>
        <w:tabs>
          <w:tab w:val="left" w:pos="2790"/>
        </w:tabs>
        <w:spacing w:line="400" w:lineRule="exact"/>
        <w:ind w:firstLine="422" w:firstLineChars="200"/>
        <w:jc w:val="both"/>
        <w:rPr>
          <w:rFonts w:ascii="宋体" w:hAnsi="宋体" w:eastAsia="宋体" w:cs="宋体"/>
          <w:b/>
          <w:bCs/>
          <w:color w:val="auto"/>
          <w:kern w:val="2"/>
          <w:sz w:val="21"/>
          <w:szCs w:val="21"/>
          <w:highlight w:val="none"/>
          <w:lang w:val="en-US" w:eastAsia="zh-CN" w:bidi="ar-SA"/>
        </w:rPr>
      </w:pPr>
      <w:r>
        <w:rPr>
          <w:rFonts w:hint="eastAsia" w:ascii="宋体" w:hAnsi="宋体" w:eastAsia="宋体" w:cs="宋体"/>
          <w:b/>
          <w:bCs/>
          <w:color w:val="auto"/>
          <w:kern w:val="2"/>
          <w:sz w:val="21"/>
          <w:szCs w:val="21"/>
          <w:highlight w:val="none"/>
          <w:lang w:val="en-US" w:eastAsia="zh-CN" w:bidi="ar-SA"/>
        </w:rPr>
        <w:t>公路工程专用合同条款6.3款细化为：</w:t>
      </w:r>
    </w:p>
    <w:p w14:paraId="5904EE3B">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承包人承诺的施工设备必须按时到达现场，不得拖延、缺短或任意更换。尽管承包人已按承诺提供了上述设备，但若承包人使用的施工设备不能满足合同进度计划和（或）质量要求时，监理人有权要求承包人增加或更换施工设备，承包人应及时增加或更换，由此增加的费用和（或）工期延误由承包人承担。</w:t>
      </w:r>
    </w:p>
    <w:p w14:paraId="227CD440">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承包人应综合考虑本项目施工、政策处理、交通组织等的不确定性的综合因素，根据项目总体进度计划和阶段性计划以及发包人的要求合理安排好施工设备进场，必要时应切实加大施工设备、人力、物力的投入并经监理人、发包人审批认可，由此增加的费用认为已包括在投标价之中，发包人不另行支付。</w:t>
      </w:r>
    </w:p>
    <w:p w14:paraId="21162ECF">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承包人的机械、车辆必须证（照）齐全，三无车辆不得进场。</w:t>
      </w:r>
    </w:p>
    <w:p w14:paraId="3D5C6BAA">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违反本款规定，则按第22.1款承包人违约处理。</w:t>
      </w:r>
    </w:p>
    <w:p w14:paraId="6206D893">
      <w:pPr>
        <w:keepNext/>
        <w:keepLines/>
        <w:widowControl w:val="0"/>
        <w:spacing w:before="120" w:after="0" w:line="360" w:lineRule="auto"/>
        <w:jc w:val="both"/>
        <w:outlineLvl w:val="3"/>
        <w:rPr>
          <w:rFonts w:ascii="宋体" w:hAnsi="宋体" w:eastAsia="宋体" w:cs="宋体"/>
          <w:b/>
          <w:bCs/>
          <w:color w:val="auto"/>
          <w:kern w:val="2"/>
          <w:sz w:val="24"/>
          <w:szCs w:val="24"/>
          <w:highlight w:val="none"/>
          <w:lang w:val="en-US" w:eastAsia="zh-CN" w:bidi="ar-SA"/>
        </w:rPr>
      </w:pPr>
      <w:bookmarkStart w:id="464" w:name="_Toc31635"/>
      <w:bookmarkStart w:id="465" w:name="_Toc509845212"/>
      <w:bookmarkStart w:id="466" w:name="_Toc509090389"/>
      <w:bookmarkStart w:id="467" w:name="_Toc23887"/>
      <w:bookmarkStart w:id="468" w:name="_Toc477764153"/>
      <w:bookmarkStart w:id="469" w:name="_Toc25143"/>
      <w:bookmarkStart w:id="470" w:name="_Toc82849585"/>
      <w:bookmarkStart w:id="471" w:name="_Toc497815075"/>
      <w:bookmarkStart w:id="472" w:name="_Toc86616473"/>
      <w:bookmarkStart w:id="473" w:name="_Toc133536972"/>
      <w:bookmarkStart w:id="474" w:name="_Toc83398582"/>
      <w:bookmarkStart w:id="475" w:name="_Toc498612661"/>
      <w:bookmarkStart w:id="476" w:name="_Toc98194727"/>
      <w:bookmarkStart w:id="477" w:name="_Toc488333218"/>
      <w:bookmarkStart w:id="478" w:name="_Toc445203905"/>
      <w:r>
        <w:rPr>
          <w:rFonts w:hint="eastAsia" w:ascii="宋体" w:hAnsi="宋体" w:eastAsia="宋体" w:cs="宋体"/>
          <w:b/>
          <w:bCs/>
          <w:color w:val="auto"/>
          <w:kern w:val="2"/>
          <w:sz w:val="24"/>
          <w:szCs w:val="24"/>
          <w:highlight w:val="none"/>
          <w:lang w:val="en-US" w:eastAsia="zh-CN" w:bidi="ar-SA"/>
        </w:rPr>
        <w:t>7.交通运输</w:t>
      </w:r>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p>
    <w:p w14:paraId="2F6FCAD8">
      <w:pPr>
        <w:widowControl w:val="0"/>
        <w:spacing w:before="120" w:beforeLines="50" w:line="276" w:lineRule="auto"/>
        <w:jc w:val="both"/>
        <w:outlineLvl w:val="4"/>
        <w:rPr>
          <w:rFonts w:ascii="宋体" w:hAnsi="宋体" w:eastAsia="宋体" w:cs="宋体"/>
          <w:b/>
          <w:color w:val="auto"/>
          <w:kern w:val="2"/>
          <w:sz w:val="21"/>
          <w:szCs w:val="22"/>
          <w:highlight w:val="none"/>
          <w:lang w:val="en-US" w:eastAsia="zh-CN" w:bidi="ar-SA"/>
        </w:rPr>
      </w:pPr>
      <w:bookmarkStart w:id="479" w:name="_Toc343590078"/>
      <w:bookmarkStart w:id="480" w:name="_Toc98194728"/>
      <w:bookmarkStart w:id="481" w:name="_Toc30190"/>
      <w:bookmarkStart w:id="482" w:name="_Toc133536973"/>
      <w:bookmarkStart w:id="483" w:name="_Toc30441"/>
      <w:bookmarkStart w:id="484" w:name="_Toc3251"/>
      <w:bookmarkStart w:id="485" w:name="_Toc82369973"/>
      <w:bookmarkStart w:id="486" w:name="_Toc287272885"/>
      <w:r>
        <w:rPr>
          <w:rFonts w:hint="eastAsia" w:ascii="宋体" w:hAnsi="宋体" w:eastAsia="宋体" w:cs="宋体"/>
          <w:b/>
          <w:color w:val="auto"/>
          <w:kern w:val="2"/>
          <w:sz w:val="21"/>
          <w:szCs w:val="22"/>
          <w:highlight w:val="none"/>
          <w:lang w:val="en-US" w:eastAsia="zh-CN" w:bidi="ar-SA"/>
        </w:rPr>
        <w:t>7.2 场内施工道路</w:t>
      </w:r>
      <w:bookmarkEnd w:id="479"/>
      <w:bookmarkEnd w:id="480"/>
      <w:bookmarkEnd w:id="481"/>
      <w:bookmarkEnd w:id="482"/>
      <w:bookmarkEnd w:id="483"/>
      <w:bookmarkEnd w:id="484"/>
      <w:bookmarkEnd w:id="485"/>
    </w:p>
    <w:p w14:paraId="559DE0C5">
      <w:pPr>
        <w:widowControl w:val="0"/>
        <w:tabs>
          <w:tab w:val="left" w:pos="2790"/>
        </w:tabs>
        <w:snapToGrid w:val="0"/>
        <w:spacing w:line="400" w:lineRule="exact"/>
        <w:ind w:firstLine="422" w:firstLineChars="200"/>
        <w:jc w:val="both"/>
        <w:rPr>
          <w:rFonts w:ascii="宋体" w:hAnsi="宋体" w:eastAsia="宋体" w:cs="宋体"/>
          <w:b/>
          <w:bCs/>
          <w:color w:val="auto"/>
          <w:kern w:val="2"/>
          <w:sz w:val="21"/>
          <w:szCs w:val="21"/>
          <w:highlight w:val="none"/>
          <w:lang w:val="en-US" w:eastAsia="zh-CN" w:bidi="ar-SA"/>
        </w:rPr>
      </w:pPr>
      <w:r>
        <w:rPr>
          <w:rFonts w:hint="eastAsia" w:ascii="宋体" w:hAnsi="宋体" w:eastAsia="宋体" w:cs="宋体"/>
          <w:b/>
          <w:bCs/>
          <w:color w:val="auto"/>
          <w:kern w:val="2"/>
          <w:sz w:val="21"/>
          <w:szCs w:val="21"/>
          <w:highlight w:val="none"/>
          <w:lang w:val="en-US" w:eastAsia="zh-CN" w:bidi="ar-SA"/>
        </w:rPr>
        <w:t>通用合同条款第7.2.2项约定为：</w:t>
      </w:r>
    </w:p>
    <w:p w14:paraId="1077108F">
      <w:pPr>
        <w:widowControl w:val="0"/>
        <w:tabs>
          <w:tab w:val="left" w:pos="2790"/>
        </w:tabs>
        <w:snapToGrid w:val="0"/>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7.2.2 承包人应允许发包人、监理人及发包人安排的其他相关人员无偿使用由承包人修建和维护的临时道路、桥梁等设施。承包人应允许与发包人签订有承包合同的其他承包人或其工作人员使用由承包人修建和维护的临时道路、桥梁等设施；如其他承包人或其工作人员在使用中对临时设施有损坏时，承包人可通过监理人指出由其他承包人给予修复或赔偿的要求。</w:t>
      </w:r>
    </w:p>
    <w:p w14:paraId="04EE87D3">
      <w:pPr>
        <w:widowControl w:val="0"/>
        <w:spacing w:before="120" w:beforeLines="50" w:line="276" w:lineRule="auto"/>
        <w:jc w:val="both"/>
        <w:outlineLvl w:val="4"/>
        <w:rPr>
          <w:rFonts w:ascii="宋体" w:hAnsi="宋体" w:eastAsia="宋体" w:cs="宋体"/>
          <w:b/>
          <w:color w:val="auto"/>
          <w:kern w:val="2"/>
          <w:sz w:val="21"/>
          <w:szCs w:val="22"/>
          <w:highlight w:val="none"/>
          <w:lang w:val="en-US" w:eastAsia="zh-CN" w:bidi="ar-SA"/>
        </w:rPr>
      </w:pPr>
      <w:bookmarkStart w:id="487" w:name="_Toc98194729"/>
      <w:bookmarkStart w:id="488" w:name="_Toc19431"/>
      <w:bookmarkStart w:id="489" w:name="_Toc6154"/>
      <w:bookmarkStart w:id="490" w:name="_Toc568"/>
      <w:bookmarkStart w:id="491" w:name="_Toc133536974"/>
      <w:bookmarkStart w:id="492" w:name="_Toc82369974"/>
      <w:r>
        <w:rPr>
          <w:rFonts w:hint="eastAsia" w:ascii="宋体" w:hAnsi="宋体" w:eastAsia="宋体" w:cs="宋体"/>
          <w:b/>
          <w:color w:val="auto"/>
          <w:kern w:val="2"/>
          <w:sz w:val="21"/>
          <w:szCs w:val="22"/>
          <w:highlight w:val="none"/>
          <w:lang w:val="en-US" w:eastAsia="zh-CN" w:bidi="ar-SA"/>
        </w:rPr>
        <w:t>7.5 道路和桥梁的损坏责任</w:t>
      </w:r>
      <w:bookmarkEnd w:id="487"/>
      <w:bookmarkEnd w:id="488"/>
      <w:bookmarkEnd w:id="489"/>
      <w:bookmarkEnd w:id="490"/>
      <w:bookmarkEnd w:id="491"/>
      <w:bookmarkEnd w:id="492"/>
    </w:p>
    <w:p w14:paraId="78EA976F">
      <w:pPr>
        <w:widowControl w:val="0"/>
        <w:tabs>
          <w:tab w:val="left" w:pos="2790"/>
        </w:tabs>
        <w:snapToGrid w:val="0"/>
        <w:spacing w:line="400" w:lineRule="exact"/>
        <w:ind w:firstLine="422" w:firstLineChars="200"/>
        <w:jc w:val="both"/>
        <w:rPr>
          <w:rFonts w:ascii="宋体" w:hAnsi="宋体" w:eastAsia="宋体" w:cs="宋体"/>
          <w:b/>
          <w:bCs/>
          <w:color w:val="auto"/>
          <w:kern w:val="2"/>
          <w:sz w:val="21"/>
          <w:szCs w:val="21"/>
          <w:highlight w:val="none"/>
          <w:lang w:val="en-US" w:eastAsia="zh-CN" w:bidi="ar-SA"/>
        </w:rPr>
      </w:pPr>
      <w:r>
        <w:rPr>
          <w:rFonts w:hint="eastAsia" w:ascii="宋体" w:hAnsi="宋体" w:eastAsia="宋体" w:cs="宋体"/>
          <w:b/>
          <w:bCs/>
          <w:color w:val="auto"/>
          <w:kern w:val="2"/>
          <w:sz w:val="21"/>
          <w:szCs w:val="21"/>
          <w:highlight w:val="none"/>
          <w:lang w:val="en-US" w:eastAsia="zh-CN" w:bidi="ar-SA"/>
        </w:rPr>
        <w:t>通用合同条款第7.5款补充：</w:t>
      </w:r>
    </w:p>
    <w:p w14:paraId="4513F928">
      <w:pPr>
        <w:widowControl w:val="0"/>
        <w:tabs>
          <w:tab w:val="left" w:pos="2790"/>
        </w:tabs>
        <w:snapToGrid w:val="0"/>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除合同另有规定外，承包人为了出入现场和施工运输，应自费养护维修由他人修建和使用的所有道路和桥梁（包括利用和加固的村镇便道），恢复原貌的费用由承包人负责。并应保证发包人免于承担因上述临时道路和桥梁的使用所引起的补偿费、诉讼费、损害赔偿、指控费及其他开支。</w:t>
      </w:r>
    </w:p>
    <w:p w14:paraId="5BA0CFEE">
      <w:pPr>
        <w:keepNext/>
        <w:keepLines/>
        <w:widowControl w:val="0"/>
        <w:spacing w:before="120" w:after="0" w:line="360" w:lineRule="auto"/>
        <w:jc w:val="both"/>
        <w:outlineLvl w:val="3"/>
        <w:rPr>
          <w:rFonts w:ascii="宋体" w:hAnsi="宋体" w:eastAsia="宋体" w:cs="宋体"/>
          <w:b/>
          <w:bCs/>
          <w:color w:val="auto"/>
          <w:kern w:val="2"/>
          <w:sz w:val="24"/>
          <w:szCs w:val="24"/>
          <w:highlight w:val="none"/>
          <w:lang w:val="en-US" w:eastAsia="zh-CN" w:bidi="ar-SA"/>
        </w:rPr>
      </w:pPr>
      <w:bookmarkStart w:id="493" w:name="_Toc28496"/>
      <w:bookmarkStart w:id="494" w:name="_Toc509845214"/>
      <w:bookmarkStart w:id="495" w:name="_Toc11924"/>
      <w:bookmarkStart w:id="496" w:name="_Toc83398583"/>
      <w:bookmarkStart w:id="497" w:name="_Toc521522295"/>
      <w:bookmarkStart w:id="498" w:name="_Toc2692957"/>
      <w:bookmarkStart w:id="499" w:name="_Toc12391"/>
      <w:bookmarkStart w:id="500" w:name="_Toc82849586"/>
      <w:bookmarkStart w:id="501" w:name="_Toc497815076"/>
      <w:bookmarkStart w:id="502" w:name="_Toc488333219"/>
      <w:bookmarkStart w:id="503" w:name="_Toc477764155"/>
      <w:bookmarkStart w:id="504" w:name="_Toc133536975"/>
      <w:bookmarkStart w:id="505" w:name="_Toc498612662"/>
      <w:bookmarkStart w:id="506" w:name="_Toc98194730"/>
      <w:bookmarkStart w:id="507" w:name="_Toc509090390"/>
      <w:bookmarkStart w:id="508" w:name="_Toc517356857"/>
      <w:bookmarkStart w:id="509" w:name="_Toc86616474"/>
      <w:bookmarkStart w:id="510" w:name="_Toc445203907"/>
      <w:r>
        <w:rPr>
          <w:rFonts w:hint="eastAsia" w:ascii="宋体" w:hAnsi="宋体" w:eastAsia="宋体" w:cs="宋体"/>
          <w:b/>
          <w:bCs/>
          <w:color w:val="auto"/>
          <w:kern w:val="2"/>
          <w:sz w:val="24"/>
          <w:szCs w:val="24"/>
          <w:highlight w:val="none"/>
          <w:lang w:val="en-US" w:eastAsia="zh-CN" w:bidi="ar-SA"/>
        </w:rPr>
        <w:t>9.施工安全、治安保卫和环境保护</w:t>
      </w:r>
      <w:bookmarkEnd w:id="486"/>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p>
    <w:p w14:paraId="3F3901E7">
      <w:pPr>
        <w:widowControl w:val="0"/>
        <w:spacing w:before="120" w:beforeLines="50" w:line="276" w:lineRule="auto"/>
        <w:jc w:val="both"/>
        <w:outlineLvl w:val="4"/>
        <w:rPr>
          <w:rFonts w:ascii="宋体" w:hAnsi="宋体" w:eastAsia="宋体" w:cs="宋体"/>
          <w:b/>
          <w:color w:val="auto"/>
          <w:kern w:val="2"/>
          <w:sz w:val="21"/>
          <w:szCs w:val="22"/>
          <w:highlight w:val="none"/>
          <w:lang w:val="en-US" w:eastAsia="zh-CN" w:bidi="ar-SA"/>
        </w:rPr>
      </w:pPr>
      <w:bookmarkStart w:id="511" w:name="_Toc133536976"/>
      <w:bookmarkStart w:id="512" w:name="_Toc509845215"/>
      <w:bookmarkStart w:id="513" w:name="_Toc27697"/>
      <w:bookmarkStart w:id="514" w:name="_Toc445203908"/>
      <w:bookmarkStart w:id="515" w:name="_Toc19208"/>
      <w:bookmarkStart w:id="516" w:name="_Toc477764157"/>
      <w:bookmarkStart w:id="517" w:name="_Toc9013"/>
      <w:bookmarkStart w:id="518" w:name="_Toc98194731"/>
      <w:r>
        <w:rPr>
          <w:rFonts w:hint="eastAsia" w:ascii="宋体" w:hAnsi="宋体" w:eastAsia="宋体" w:cs="宋体"/>
          <w:b/>
          <w:color w:val="auto"/>
          <w:kern w:val="2"/>
          <w:sz w:val="21"/>
          <w:szCs w:val="22"/>
          <w:highlight w:val="none"/>
          <w:lang w:val="en-US" w:eastAsia="zh-CN" w:bidi="ar-SA"/>
        </w:rPr>
        <w:t>9.2 承包人的施工安全责任</w:t>
      </w:r>
      <w:bookmarkEnd w:id="511"/>
      <w:bookmarkEnd w:id="512"/>
      <w:bookmarkEnd w:id="513"/>
      <w:bookmarkEnd w:id="514"/>
      <w:bookmarkEnd w:id="515"/>
      <w:bookmarkEnd w:id="516"/>
      <w:bookmarkEnd w:id="517"/>
      <w:bookmarkEnd w:id="518"/>
    </w:p>
    <w:p w14:paraId="71E058C3">
      <w:pPr>
        <w:widowControl w:val="0"/>
        <w:tabs>
          <w:tab w:val="left" w:pos="2790"/>
        </w:tabs>
        <w:spacing w:line="400" w:lineRule="exact"/>
        <w:ind w:firstLine="422" w:firstLineChars="200"/>
        <w:jc w:val="both"/>
        <w:rPr>
          <w:rFonts w:ascii="宋体" w:hAnsi="宋体" w:eastAsia="宋体" w:cs="宋体"/>
          <w:b/>
          <w:bCs/>
          <w:color w:val="auto"/>
          <w:kern w:val="2"/>
          <w:sz w:val="21"/>
          <w:szCs w:val="21"/>
          <w:highlight w:val="none"/>
          <w:lang w:val="en-US" w:eastAsia="zh-CN" w:bidi="ar-SA"/>
        </w:rPr>
      </w:pPr>
      <w:r>
        <w:rPr>
          <w:rFonts w:hint="eastAsia" w:ascii="宋体" w:hAnsi="宋体" w:eastAsia="宋体" w:cs="宋体"/>
          <w:b/>
          <w:bCs/>
          <w:color w:val="auto"/>
          <w:kern w:val="2"/>
          <w:sz w:val="21"/>
          <w:szCs w:val="21"/>
          <w:highlight w:val="none"/>
          <w:lang w:val="en-US" w:eastAsia="zh-CN" w:bidi="ar-SA"/>
        </w:rPr>
        <w:t>公路工程专用合同条款第9.2.5项约定为：</w:t>
      </w:r>
    </w:p>
    <w:p w14:paraId="47672782">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 xml:space="preserve">9.2.5 </w:t>
      </w:r>
      <w:r>
        <w:rPr>
          <w:rFonts w:hint="eastAsia" w:ascii="宋体" w:hAnsi="宋体" w:eastAsia="宋体" w:cs="宋体"/>
          <w:b/>
          <w:bCs/>
          <w:color w:val="auto"/>
          <w:kern w:val="2"/>
          <w:sz w:val="21"/>
          <w:szCs w:val="21"/>
          <w:highlight w:val="none"/>
          <w:lang w:val="en-US" w:eastAsia="zh-CN" w:bidi="ar-SA"/>
        </w:rPr>
        <w:t>安全生产费用应为</w:t>
      </w:r>
      <w:r>
        <w:rPr>
          <w:rFonts w:hint="eastAsia" w:ascii="宋体" w:hAnsi="宋体" w:cs="宋体"/>
          <w:b/>
          <w:bCs/>
          <w:color w:val="auto"/>
          <w:kern w:val="2"/>
          <w:sz w:val="21"/>
          <w:szCs w:val="21"/>
          <w:highlight w:val="none"/>
          <w:lang w:val="en-US" w:eastAsia="zh-CN" w:bidi="ar-SA"/>
        </w:rPr>
        <w:t>采购人</w:t>
      </w:r>
      <w:r>
        <w:rPr>
          <w:rFonts w:hint="eastAsia" w:ascii="宋体" w:hAnsi="宋体" w:eastAsia="宋体" w:cs="宋体"/>
          <w:b/>
          <w:bCs/>
          <w:color w:val="auto"/>
          <w:kern w:val="2"/>
          <w:sz w:val="21"/>
          <w:szCs w:val="21"/>
          <w:highlight w:val="none"/>
          <w:lang w:val="en-US" w:eastAsia="zh-CN" w:bidi="ar-SA"/>
        </w:rPr>
        <w:t>公布的工程量清单预算的</w:t>
      </w:r>
      <w:r>
        <w:rPr>
          <w:rFonts w:hint="eastAsia" w:ascii="宋体" w:hAnsi="宋体" w:cs="宋体"/>
          <w:b/>
          <w:bCs/>
          <w:color w:val="auto"/>
          <w:kern w:val="2"/>
          <w:sz w:val="21"/>
          <w:szCs w:val="21"/>
          <w:highlight w:val="none"/>
          <w:lang w:val="en-US" w:eastAsia="zh-CN" w:bidi="ar-SA"/>
        </w:rPr>
        <w:t>1.5</w:t>
      </w:r>
      <w:r>
        <w:rPr>
          <w:rFonts w:hint="eastAsia" w:ascii="宋体" w:hAnsi="宋体" w:eastAsia="宋体" w:cs="宋体"/>
          <w:b/>
          <w:bCs/>
          <w:color w:val="auto"/>
          <w:kern w:val="2"/>
          <w:sz w:val="21"/>
          <w:szCs w:val="21"/>
          <w:highlight w:val="none"/>
          <w:lang w:val="en-US" w:eastAsia="zh-CN" w:bidi="ar-SA"/>
        </w:rPr>
        <w:t>%</w:t>
      </w:r>
      <w:r>
        <w:rPr>
          <w:rFonts w:hint="eastAsia" w:ascii="宋体" w:hAnsi="宋体" w:eastAsia="宋体" w:cs="宋体"/>
          <w:color w:val="auto"/>
          <w:kern w:val="2"/>
          <w:sz w:val="21"/>
          <w:szCs w:val="21"/>
          <w:highlight w:val="none"/>
          <w:lang w:val="en-US" w:eastAsia="zh-CN" w:bidi="ar-SA"/>
        </w:rPr>
        <w:t>。安全生产费用应用于施工安全防护用具及设施的采购和更新、安全施工措施的落实、安全生产条件的改善，不得挪作他用。如承包人在此基础上增加安全生产费用以满足项目施工需要，则承包人应在本项目工程量清单其他相关子目的单价或总额价中予以考虑，发包人不再另行支付。因采取合同未约定的特殊防护措施增加的费用，由监理人按第 3.5 款商定或确定。</w:t>
      </w:r>
    </w:p>
    <w:p w14:paraId="7AD68E4B">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承包人还应执行《浙江省交通建设工程质量和安全生产管理条例》的相关规定和要求。安全生产费的使用和支付按《浙江省交通建设工程安全生产费用管理办法》的相关要求以及相关最新规定办理。</w:t>
      </w:r>
    </w:p>
    <w:p w14:paraId="37C728CF">
      <w:pPr>
        <w:widowControl w:val="0"/>
        <w:tabs>
          <w:tab w:val="left" w:pos="2790"/>
        </w:tabs>
        <w:spacing w:line="400" w:lineRule="exact"/>
        <w:ind w:firstLine="422" w:firstLineChars="200"/>
        <w:jc w:val="both"/>
        <w:rPr>
          <w:rFonts w:ascii="宋体" w:hAnsi="宋体" w:eastAsia="宋体" w:cs="宋体"/>
          <w:b/>
          <w:bCs/>
          <w:color w:val="auto"/>
          <w:kern w:val="2"/>
          <w:sz w:val="21"/>
          <w:szCs w:val="21"/>
          <w:highlight w:val="none"/>
          <w:lang w:val="en-US" w:eastAsia="zh-CN" w:bidi="ar-SA"/>
        </w:rPr>
      </w:pPr>
      <w:r>
        <w:rPr>
          <w:rFonts w:hint="eastAsia" w:ascii="宋体" w:hAnsi="宋体" w:eastAsia="宋体" w:cs="宋体"/>
          <w:b/>
          <w:bCs/>
          <w:color w:val="auto"/>
          <w:kern w:val="2"/>
          <w:sz w:val="21"/>
          <w:szCs w:val="21"/>
          <w:highlight w:val="none"/>
          <w:lang w:val="en-US" w:eastAsia="zh-CN" w:bidi="ar-SA"/>
        </w:rPr>
        <w:t>第9.2.8（1）目细化为：</w:t>
      </w:r>
    </w:p>
    <w:p w14:paraId="5E2E8AE1">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承包人应按《公路水运工程安全生产监督管理办法》、《公路水运工程平安工地建设管理办法》、《浙江省交通建设工程质量和安全生产管理条例》、《浙江省交通建设工程质量和安全生产监督工作实施办法》、《浙江省交通建设工程施工安全十条规定》等等规定配备固定专职安全生产管理人员，履行安全生产管理人员职责，按要求落实安全生产相关工作。</w:t>
      </w:r>
    </w:p>
    <w:p w14:paraId="3DEBAC6A">
      <w:pPr>
        <w:widowControl w:val="0"/>
        <w:tabs>
          <w:tab w:val="left" w:pos="2790"/>
        </w:tabs>
        <w:spacing w:line="400" w:lineRule="exact"/>
        <w:ind w:firstLine="422" w:firstLineChars="200"/>
        <w:jc w:val="both"/>
        <w:rPr>
          <w:rFonts w:ascii="宋体" w:hAnsi="宋体" w:eastAsia="宋体" w:cs="宋体"/>
          <w:b/>
          <w:bCs/>
          <w:color w:val="auto"/>
          <w:kern w:val="2"/>
          <w:sz w:val="21"/>
          <w:szCs w:val="21"/>
          <w:highlight w:val="none"/>
          <w:lang w:val="en-US" w:eastAsia="zh-CN" w:bidi="ar-SA"/>
        </w:rPr>
      </w:pPr>
      <w:r>
        <w:rPr>
          <w:rFonts w:hint="eastAsia" w:ascii="宋体" w:hAnsi="宋体" w:eastAsia="宋体" w:cs="宋体"/>
          <w:b/>
          <w:bCs/>
          <w:color w:val="auto"/>
          <w:kern w:val="2"/>
          <w:sz w:val="21"/>
          <w:szCs w:val="21"/>
          <w:highlight w:val="none"/>
          <w:lang w:val="en-US" w:eastAsia="zh-CN" w:bidi="ar-SA"/>
        </w:rPr>
        <w:t>第 9.2.8（4）目细化为：</w:t>
      </w:r>
    </w:p>
    <w:p w14:paraId="3A2A7B73">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4）根据本合同各单位工程的施工特点，严格执行《公路水运工程安全生产监督管理办法》、《浙江省交通建设工程质量和安全生产管理条例》、《浙江省交通建设工程质量和安全生产监督工作实施办法》、《关于进一步加强全省交通建设工程安全生产管理工作的若干规定》、《省交通运输厅安委办关于印发&lt;浙江省交通建设工程施工安全十条规定&gt;的通知》、《公路工程施工安全技术规范》等有关规定。</w:t>
      </w:r>
    </w:p>
    <w:p w14:paraId="7DE9DE42">
      <w:pPr>
        <w:widowControl w:val="0"/>
        <w:tabs>
          <w:tab w:val="left" w:pos="2790"/>
        </w:tabs>
        <w:spacing w:line="400" w:lineRule="exact"/>
        <w:ind w:firstLine="422" w:firstLineChars="200"/>
        <w:jc w:val="both"/>
        <w:rPr>
          <w:rFonts w:ascii="宋体" w:hAnsi="宋体" w:eastAsia="宋体" w:cs="宋体"/>
          <w:b/>
          <w:bCs/>
          <w:color w:val="auto"/>
          <w:kern w:val="2"/>
          <w:sz w:val="21"/>
          <w:szCs w:val="21"/>
          <w:highlight w:val="none"/>
          <w:lang w:val="en-US" w:eastAsia="zh-CN" w:bidi="ar-SA"/>
        </w:rPr>
      </w:pPr>
      <w:r>
        <w:rPr>
          <w:rFonts w:hint="eastAsia" w:ascii="宋体" w:hAnsi="宋体" w:eastAsia="宋体" w:cs="宋体"/>
          <w:b/>
          <w:bCs/>
          <w:color w:val="auto"/>
          <w:kern w:val="2"/>
          <w:sz w:val="21"/>
          <w:szCs w:val="21"/>
          <w:highlight w:val="none"/>
          <w:lang w:val="en-US" w:eastAsia="zh-CN" w:bidi="ar-SA"/>
        </w:rPr>
        <w:t>第9.2.8项补充第（5）目：</w:t>
      </w:r>
    </w:p>
    <w:p w14:paraId="2795B3D8">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（5）严格按批准的实施性交通安全组织方案做好施工安全相关组织管理工作。</w:t>
      </w:r>
    </w:p>
    <w:p w14:paraId="70D50B44">
      <w:pPr>
        <w:widowControl w:val="0"/>
        <w:tabs>
          <w:tab w:val="left" w:pos="2790"/>
        </w:tabs>
        <w:spacing w:line="400" w:lineRule="exact"/>
        <w:ind w:firstLine="422" w:firstLineChars="200"/>
        <w:jc w:val="both"/>
        <w:rPr>
          <w:rFonts w:ascii="宋体" w:hAnsi="宋体" w:eastAsia="宋体" w:cs="宋体"/>
          <w:b/>
          <w:bCs/>
          <w:color w:val="auto"/>
          <w:kern w:val="2"/>
          <w:sz w:val="21"/>
          <w:szCs w:val="21"/>
          <w:highlight w:val="none"/>
          <w:lang w:val="en-US" w:eastAsia="zh-CN" w:bidi="ar-SA"/>
        </w:rPr>
      </w:pPr>
      <w:r>
        <w:rPr>
          <w:rFonts w:hint="eastAsia" w:ascii="宋体" w:hAnsi="宋体" w:eastAsia="宋体" w:cs="宋体"/>
          <w:b/>
          <w:bCs/>
          <w:color w:val="auto"/>
          <w:kern w:val="2"/>
          <w:sz w:val="21"/>
          <w:szCs w:val="21"/>
          <w:highlight w:val="none"/>
          <w:lang w:val="en-US" w:eastAsia="zh-CN" w:bidi="ar-SA"/>
        </w:rPr>
        <w:t>补充第9.2.12～9.2.21项：</w:t>
      </w:r>
    </w:p>
    <w:p w14:paraId="6A80C519">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9.2.12 在合同执行期间，承包人应执行发包人、行业主管和上级管理部门下发的安全生产管理的相关规定和相关细则。承包人应综合考虑本项目交通组织维护、维护车辆通行等方面的特殊性，严格执行国家、地方政府、发包人等各有关施工安全管理方面的法律、法规及规章制度，同时严格执行本项目安全生产管理方面的规章制度、交通组织维护方案、各项安全应急预案、安全检查程序及施工安全管理要求，以及监理人有关安全工作的指示。</w:t>
      </w:r>
    </w:p>
    <w:p w14:paraId="4A1FB3CF">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9.2.14 根据浙江省交通运输厅《关于进一步加强我省交通建设工程施工安全生产工作的意见》（浙交〔2014〕58号）、省交通运输厅关于印发《关于进一步加强全省交通建设工程安全生产管理工作的若干规定》的通知》（浙交〔2020〕104号）、《浙江省交通建设工程安全生产费用管理办法》（浙交〔2021〕12号）以及国家有关特种设备的相关规定要求，对本项目关键节点及特种设备等实施安全监控系统，承包人应按规定要求落实做好相关工作，承包人因此增加的费用应认为已包含在投标报价之中，发包人不另行支付。</w:t>
      </w:r>
    </w:p>
    <w:p w14:paraId="513942E1">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9.2.15 在合同执行期间，因承包人原因引起的交通事故，其所涉及的停工、索赔、赔偿、诉讼费用及工程拖延或施工费用增加时，应由承包人承担一切责任和费用。</w:t>
      </w:r>
    </w:p>
    <w:p w14:paraId="32BCED15">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9.2.16 承包人要加强源头控制，落实安全管理责任，切实做好施工车辆、施工路段管理。一是强化源头管理，对施工车辆上路条件、安全技术状况和资质进行严格把关。二是加强检查力度，严禁施工车辆超载、违法载人以及遮挡号牌、无牌上路等违法行为。三是做好施工路段管理，严格按照有关标准设置明显的安全警示标志，采取安全防护措施，引导施工路段车辆安全通行，严禁非施工作业车辆进入施工区域。</w:t>
      </w:r>
    </w:p>
    <w:p w14:paraId="08BC5B8B">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9.2.17在工程移交发包人之前，承包人应做好防损坏、防盗等工作，否则因此引起的后果由投标人自行负责。</w:t>
      </w:r>
    </w:p>
    <w:p w14:paraId="0236BDE1">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9.2.18承包人必须与项目部管理人员签订安全生产责任书，并报经监理人、发包人审核备案。承包人须定期对项目部进行安全考核、安全检查和隐患排除，并对检查情况和整改落实上报监理人、发包人。</w:t>
      </w:r>
    </w:p>
    <w:p w14:paraId="2937BDC7">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9.2.19承包人应严格执行中共中央国务院《关于推进安全生产领域改革发展的意见》（2016年12月9日）、《公路水运工程安全生产监督管理办法》（交通运输部令2017年第25号令）、交通运输部工程质量监督局《公路水运工程施工安全标准化指南》、交通运输部《公路水运工程平安工地建设管理办法》、《浙江省交通建设工程质量和安全生产监督工作实施办法》（ZJSP17-2019-0017）、《浙江省交通建设危险性较大的分部分项工程专项施工方案管理办法》（ZJSP17-2019-0018）的相关规定。发包人将依据交通运输部《公路水运工程平安工地建设管理办法》（交安监发〔2018〕43号）、《浙江省交通建设工程平安工地建设管理实施办法》（ZJSP17-2019-0019）及发包人相关规定要求对承包人进行考核评价。</w:t>
      </w:r>
    </w:p>
    <w:p w14:paraId="6D0A38AA">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9.2.20 为加强施工用电安全管理，承包人应引入智慧式用电管理理念，采用信息化手段对配电柜、二级箱柜、末端配电箱等关键节点的导线温度、环境温度、剩余电流等进行监测，及时发现电气线路动态运行中出现的安全隐患，最大程度避免电气火灾等涉电事故的发生。交流点焊机还应安装二次侧空载降压保护装置。</w:t>
      </w:r>
    </w:p>
    <w:p w14:paraId="648FAE80">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9.2.21本工程用工一律采取实名制用工制度，所有参建人员均要求签订用工合同，并向监理人和发包方备案，承包人按照浙江省交通运输厅关于印发《浙江省交通建设领域“浙江无欠薪”行动专项治理方案》的通知浙交〔2017〕145号的文件要求落实“无欠薪工作”。同时施工特种作业人员必须持证上岗，如有违反按照违约处理。</w:t>
      </w:r>
    </w:p>
    <w:p w14:paraId="5E8BBA8C">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违反本款规定，则按第22.1款承包人违约处理。</w:t>
      </w:r>
    </w:p>
    <w:p w14:paraId="377ADA65">
      <w:pPr>
        <w:widowControl w:val="0"/>
        <w:spacing w:before="120" w:beforeLines="50" w:line="276" w:lineRule="auto"/>
        <w:jc w:val="both"/>
        <w:outlineLvl w:val="4"/>
        <w:rPr>
          <w:rFonts w:ascii="宋体" w:hAnsi="宋体" w:eastAsia="宋体" w:cs="宋体"/>
          <w:b/>
          <w:color w:val="auto"/>
          <w:kern w:val="2"/>
          <w:sz w:val="21"/>
          <w:szCs w:val="22"/>
          <w:highlight w:val="none"/>
          <w:lang w:val="en-US" w:eastAsia="zh-CN" w:bidi="ar-SA"/>
        </w:rPr>
      </w:pPr>
      <w:bookmarkStart w:id="519" w:name="_Toc98194732"/>
      <w:bookmarkStart w:id="520" w:name="_Toc449"/>
      <w:bookmarkStart w:id="521" w:name="_Toc482283862"/>
      <w:bookmarkStart w:id="522" w:name="_Toc420012944"/>
      <w:bookmarkStart w:id="523" w:name="_Toc1081"/>
      <w:bookmarkStart w:id="524" w:name="_Toc14016"/>
      <w:bookmarkStart w:id="525" w:name="_Toc133536977"/>
      <w:r>
        <w:rPr>
          <w:rFonts w:hint="eastAsia" w:ascii="宋体" w:hAnsi="宋体" w:eastAsia="宋体" w:cs="宋体"/>
          <w:b/>
          <w:color w:val="auto"/>
          <w:kern w:val="2"/>
          <w:sz w:val="21"/>
          <w:szCs w:val="22"/>
          <w:highlight w:val="none"/>
          <w:lang w:val="en-US" w:eastAsia="zh-CN" w:bidi="ar-SA"/>
        </w:rPr>
        <w:t>9.4 环境保护</w:t>
      </w:r>
      <w:bookmarkEnd w:id="519"/>
      <w:bookmarkEnd w:id="520"/>
      <w:bookmarkEnd w:id="521"/>
      <w:bookmarkEnd w:id="522"/>
      <w:bookmarkEnd w:id="523"/>
      <w:bookmarkEnd w:id="524"/>
      <w:bookmarkEnd w:id="525"/>
    </w:p>
    <w:p w14:paraId="27ECFEB1">
      <w:pPr>
        <w:widowControl w:val="0"/>
        <w:tabs>
          <w:tab w:val="left" w:pos="2790"/>
        </w:tabs>
        <w:spacing w:line="400" w:lineRule="exact"/>
        <w:ind w:firstLine="422" w:firstLineChars="200"/>
        <w:jc w:val="both"/>
        <w:rPr>
          <w:rFonts w:ascii="宋体" w:hAnsi="宋体" w:eastAsia="宋体" w:cs="宋体"/>
          <w:b/>
          <w:bCs/>
          <w:color w:val="auto"/>
          <w:kern w:val="2"/>
          <w:sz w:val="21"/>
          <w:szCs w:val="21"/>
          <w:highlight w:val="none"/>
          <w:lang w:val="en-US" w:eastAsia="zh-CN" w:bidi="ar-SA"/>
        </w:rPr>
      </w:pPr>
      <w:r>
        <w:rPr>
          <w:rFonts w:hint="eastAsia" w:ascii="宋体" w:hAnsi="宋体" w:eastAsia="宋体" w:cs="宋体"/>
          <w:b/>
          <w:bCs/>
          <w:color w:val="auto"/>
          <w:kern w:val="2"/>
          <w:sz w:val="21"/>
          <w:szCs w:val="21"/>
          <w:highlight w:val="none"/>
          <w:lang w:val="en-US" w:eastAsia="zh-CN" w:bidi="ar-SA"/>
        </w:rPr>
        <w:t>公路工程专用合同条款补充第9.4.12～9.4.14项：</w:t>
      </w:r>
    </w:p>
    <w:p w14:paraId="10F4A9AF">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9.4.12 承包人在施工前应该根据本项目的实际情况、因地制宜编制完备的施工方案和文明、环保施工保证措施，充分考虑并严格执行国家、地方政府、发包人等相关文件制定的关于配合实施“五 水共治”的相关规定及后续可能出台的规定、要求，施工前按照相关部门的规定要求，制定完善可行 的环保监控、环保监测、洒水防尘、车辆冲洗、道路清扫、防震、防噪措施，同时减少对 施工周边地区的干扰。承包人为完成上述工作而可能发生的全部费用计入投标报价中，发包人将不另 行支付。如因承包人采取措施不力，造成的一切损失或由于上述原因造成工期的拖延或施工费用的增加，均由承包人自行承担。</w:t>
      </w:r>
    </w:p>
    <w:p w14:paraId="43AFBC44">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9.4.13 承包人应根据国家、浙江省、温州市、泰顺县及发包人有关“蓝天保卫”的要求，落实施工扬尘污染防治工作。施工前按照相关部门的规定要求，制定完善可行的环保监控、洒水防尘、车辆冲洗、道路清扫、防震、防噪措施，同时减少对施工周边地区的干扰。承包人为完成上述工作而可能发生的全部费用计入投标报价中，发包人将不另行支付。如因承包人采取措施不力，造成的一切损失或由于上述原因造成工期的拖延或施工费用的增加，均由承包人自行承担。</w:t>
      </w:r>
    </w:p>
    <w:p w14:paraId="558505A4">
      <w:pPr>
        <w:widowControl w:val="0"/>
        <w:tabs>
          <w:tab w:val="left" w:pos="2790"/>
        </w:tabs>
        <w:spacing w:line="400" w:lineRule="exact"/>
        <w:ind w:firstLine="420" w:firstLineChars="200"/>
        <w:jc w:val="both"/>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9.4.14 在本项目实施过程中承包人应严格执行“关于印发《公路交通建设项目环境保护管理指南》的通知（浙交〔2019〕44号）”、《关于印发施工现场环境保护管理办法（试行）的通知》等相关文件（以上相关文件内容如有更新，以最新内容为准严格执行大气污染防治法律、法规、规章、台州市、各主管部门及发包人制定的建设工地扬尘污染管理办法。承包人在项目实施过程中对照文明程度测评内容做各项预案、措施等所涉及到的所有费用在施工环保费中综合考虑，发包人不再予以单独计量支付。</w:t>
      </w:r>
    </w:p>
    <w:p w14:paraId="56B9A99A">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违反本款规定，则按第22.1款承包人违约处理。</w:t>
      </w:r>
    </w:p>
    <w:p w14:paraId="4085C807">
      <w:pPr>
        <w:widowControl w:val="0"/>
        <w:spacing w:before="120" w:beforeLines="50" w:line="276" w:lineRule="auto"/>
        <w:jc w:val="both"/>
        <w:outlineLvl w:val="4"/>
        <w:rPr>
          <w:rFonts w:ascii="宋体" w:hAnsi="宋体" w:eastAsia="宋体" w:cs="宋体"/>
          <w:b/>
          <w:color w:val="auto"/>
          <w:kern w:val="2"/>
          <w:sz w:val="21"/>
          <w:szCs w:val="22"/>
          <w:highlight w:val="none"/>
          <w:lang w:val="en-US" w:eastAsia="zh-CN" w:bidi="ar-SA"/>
        </w:rPr>
      </w:pPr>
      <w:bookmarkStart w:id="526" w:name="_Toc22792"/>
      <w:bookmarkStart w:id="527" w:name="_Toc6471"/>
      <w:bookmarkStart w:id="528" w:name="_Toc133536978"/>
      <w:bookmarkStart w:id="529" w:name="_Toc21114"/>
      <w:bookmarkStart w:id="530" w:name="_Toc98194733"/>
      <w:r>
        <w:rPr>
          <w:rFonts w:hint="eastAsia" w:ascii="宋体" w:hAnsi="宋体" w:eastAsia="宋体" w:cs="宋体"/>
          <w:b/>
          <w:color w:val="auto"/>
          <w:kern w:val="2"/>
          <w:sz w:val="21"/>
          <w:szCs w:val="22"/>
          <w:highlight w:val="none"/>
          <w:lang w:val="en-US" w:eastAsia="zh-CN" w:bidi="ar-SA"/>
        </w:rPr>
        <w:t>9.5 事故处理</w:t>
      </w:r>
      <w:bookmarkEnd w:id="526"/>
      <w:bookmarkEnd w:id="527"/>
      <w:bookmarkEnd w:id="528"/>
      <w:bookmarkEnd w:id="529"/>
      <w:bookmarkEnd w:id="530"/>
    </w:p>
    <w:p w14:paraId="3EDAE159">
      <w:pPr>
        <w:widowControl w:val="0"/>
        <w:tabs>
          <w:tab w:val="left" w:pos="2790"/>
        </w:tabs>
        <w:spacing w:line="400" w:lineRule="exact"/>
        <w:ind w:firstLine="422" w:firstLineChars="200"/>
        <w:jc w:val="both"/>
        <w:rPr>
          <w:rFonts w:ascii="宋体" w:hAnsi="宋体" w:eastAsia="宋体" w:cs="宋体"/>
          <w:b/>
          <w:bCs/>
          <w:color w:val="auto"/>
          <w:kern w:val="2"/>
          <w:sz w:val="21"/>
          <w:szCs w:val="21"/>
          <w:highlight w:val="none"/>
          <w:lang w:val="en-US" w:eastAsia="zh-CN" w:bidi="ar-SA"/>
        </w:rPr>
      </w:pPr>
      <w:r>
        <w:rPr>
          <w:rFonts w:hint="eastAsia" w:ascii="宋体" w:hAnsi="宋体" w:eastAsia="宋体" w:cs="宋体"/>
          <w:b/>
          <w:bCs/>
          <w:color w:val="auto"/>
          <w:kern w:val="2"/>
          <w:sz w:val="21"/>
          <w:szCs w:val="21"/>
          <w:highlight w:val="none"/>
          <w:lang w:val="en-US" w:eastAsia="zh-CN" w:bidi="ar-SA"/>
        </w:rPr>
        <w:t>通用合同条款本款细化为：</w:t>
      </w:r>
    </w:p>
    <w:p w14:paraId="0C920367">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工程施工过程中发生事故的，承包人应立即通知监理人，监理人应立即通知发包人。发包人和承包人按应急预案规定及时响应，立即组织人员和设备进行紧急抢救和抢修，减少人员伤亡和财产损失，防止事故扩大，并保护事故现场。需要移动现场物品时，应作出标记和书面记录，妥善保管有关证据。发包人和承包人应按交通运输部《交通运输部办公厅关于印发公路水运建设工程质量事故等级划分和报告制度的通知》（交办安监〔2016〕146号）及国家有关规定，及时如实地向有关部门报告事故发生的情况，以及正常采取的紧急措施等。</w:t>
      </w:r>
    </w:p>
    <w:p w14:paraId="467DF823">
      <w:pPr>
        <w:keepNext/>
        <w:keepLines/>
        <w:widowControl w:val="0"/>
        <w:spacing w:before="120" w:after="0" w:line="360" w:lineRule="auto"/>
        <w:jc w:val="both"/>
        <w:outlineLvl w:val="3"/>
        <w:rPr>
          <w:rFonts w:ascii="宋体" w:hAnsi="宋体" w:eastAsia="宋体" w:cs="宋体"/>
          <w:b/>
          <w:bCs/>
          <w:color w:val="auto"/>
          <w:kern w:val="2"/>
          <w:sz w:val="24"/>
          <w:szCs w:val="24"/>
          <w:highlight w:val="none"/>
          <w:lang w:val="en-US" w:eastAsia="zh-CN" w:bidi="ar-SA"/>
        </w:rPr>
      </w:pPr>
      <w:bookmarkStart w:id="531" w:name="_Toc98194734"/>
      <w:bookmarkStart w:id="532" w:name="_Toc497815077"/>
      <w:bookmarkStart w:id="533" w:name="_Toc133536979"/>
      <w:bookmarkStart w:id="534" w:name="_Toc10118"/>
      <w:bookmarkStart w:id="535" w:name="_Toc86616475"/>
      <w:bookmarkStart w:id="536" w:name="_Toc488333220"/>
      <w:bookmarkStart w:id="537" w:name="_Toc1518"/>
      <w:bookmarkStart w:id="538" w:name="_Toc26922"/>
      <w:bookmarkStart w:id="539" w:name="_Toc509090391"/>
      <w:bookmarkStart w:id="540" w:name="_Toc521522296"/>
      <w:bookmarkStart w:id="541" w:name="_Toc498612663"/>
      <w:bookmarkStart w:id="542" w:name="_Toc2692958"/>
      <w:bookmarkStart w:id="543" w:name="_Toc82849587"/>
      <w:bookmarkStart w:id="544" w:name="_Toc509845216"/>
      <w:bookmarkStart w:id="545" w:name="_Toc445203909"/>
      <w:bookmarkStart w:id="546" w:name="_Toc477764158"/>
      <w:bookmarkStart w:id="547" w:name="_Toc517356858"/>
      <w:bookmarkStart w:id="548" w:name="_Toc83398584"/>
      <w:r>
        <w:rPr>
          <w:rFonts w:hint="eastAsia" w:ascii="宋体" w:hAnsi="宋体" w:eastAsia="宋体" w:cs="宋体"/>
          <w:b/>
          <w:bCs/>
          <w:color w:val="auto"/>
          <w:kern w:val="2"/>
          <w:sz w:val="24"/>
          <w:szCs w:val="24"/>
          <w:highlight w:val="none"/>
          <w:lang w:val="en-US" w:eastAsia="zh-CN" w:bidi="ar-SA"/>
        </w:rPr>
        <w:t>10.进度计划</w:t>
      </w:r>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p>
    <w:p w14:paraId="59029E1E">
      <w:pPr>
        <w:widowControl w:val="0"/>
        <w:spacing w:before="120" w:beforeLines="50" w:line="276" w:lineRule="auto"/>
        <w:jc w:val="both"/>
        <w:outlineLvl w:val="4"/>
        <w:rPr>
          <w:rFonts w:ascii="宋体" w:hAnsi="宋体" w:eastAsia="宋体" w:cs="宋体"/>
          <w:b/>
          <w:color w:val="auto"/>
          <w:kern w:val="2"/>
          <w:sz w:val="21"/>
          <w:szCs w:val="22"/>
          <w:highlight w:val="none"/>
          <w:lang w:val="en-US" w:eastAsia="zh-CN" w:bidi="ar-SA"/>
        </w:rPr>
      </w:pPr>
      <w:bookmarkStart w:id="549" w:name="_Toc98194735"/>
      <w:bookmarkStart w:id="550" w:name="_Toc57"/>
      <w:bookmarkStart w:id="551" w:name="_Toc8299"/>
      <w:bookmarkStart w:id="552" w:name="_Toc133536980"/>
      <w:bookmarkStart w:id="553" w:name="_Toc445203910"/>
      <w:bookmarkStart w:id="554" w:name="_Toc477764159"/>
      <w:bookmarkStart w:id="555" w:name="_Toc7684"/>
      <w:r>
        <w:rPr>
          <w:rFonts w:hint="eastAsia" w:ascii="宋体" w:hAnsi="宋体" w:eastAsia="宋体" w:cs="宋体"/>
          <w:b/>
          <w:color w:val="auto"/>
          <w:kern w:val="2"/>
          <w:sz w:val="21"/>
          <w:szCs w:val="22"/>
          <w:highlight w:val="none"/>
          <w:lang w:val="en-US" w:eastAsia="zh-CN" w:bidi="ar-SA"/>
        </w:rPr>
        <w:t>10.1合同进度计划</w:t>
      </w:r>
      <w:bookmarkEnd w:id="549"/>
      <w:bookmarkEnd w:id="550"/>
      <w:bookmarkEnd w:id="551"/>
      <w:bookmarkEnd w:id="552"/>
      <w:bookmarkEnd w:id="553"/>
      <w:bookmarkEnd w:id="554"/>
      <w:bookmarkEnd w:id="555"/>
    </w:p>
    <w:p w14:paraId="736573BD">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bookmarkStart w:id="556" w:name="_Hlk83385282"/>
      <w:bookmarkStart w:id="557" w:name="_Toc287272887"/>
      <w:r>
        <w:rPr>
          <w:rFonts w:hint="eastAsia" w:ascii="宋体" w:hAnsi="宋体" w:eastAsia="宋体" w:cs="宋体"/>
          <w:color w:val="auto"/>
          <w:kern w:val="2"/>
          <w:sz w:val="21"/>
          <w:szCs w:val="21"/>
          <w:highlight w:val="none"/>
          <w:lang w:val="en-US" w:eastAsia="zh-CN" w:bidi="ar-SA"/>
        </w:rPr>
        <w:t>公路工程专用合同条款10.1款承包人编制施工方案的内容细化为（但不限于）：</w:t>
      </w:r>
    </w:p>
    <w:p w14:paraId="197FFB89">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（1）总体施工组织布置及规划；</w:t>
      </w:r>
    </w:p>
    <w:p w14:paraId="154DE77A">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（2）主要工程项目的施工方案、方法与技术措施；</w:t>
      </w:r>
    </w:p>
    <w:p w14:paraId="6CD3BF62">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（3）工期保证体系及保证措施；</w:t>
      </w:r>
    </w:p>
    <w:p w14:paraId="7069BA5A">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（4）工程质量保证体系及保证措施；</w:t>
      </w:r>
    </w:p>
    <w:p w14:paraId="6200DB2B">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（5）安全生产管理体系及保证措施；</w:t>
      </w:r>
    </w:p>
    <w:p w14:paraId="62B99AC2">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（6）环境保护、水土保持、文明施工、文物保护保证体系及保证措施；</w:t>
      </w:r>
    </w:p>
    <w:p w14:paraId="431EE037">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（7）项目风险预测与防范，事故应急预案；</w:t>
      </w:r>
    </w:p>
    <w:p w14:paraId="358BC0A7">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（8）设备采购计划</w:t>
      </w:r>
    </w:p>
    <w:p w14:paraId="566A7419">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（9）培训方案</w:t>
      </w:r>
    </w:p>
    <w:p w14:paraId="0ABF8EFC">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（10）测试及试运行方案</w:t>
      </w:r>
    </w:p>
    <w:p w14:paraId="0ABB8DA3">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（11）售后服务方案</w:t>
      </w:r>
    </w:p>
    <w:p w14:paraId="0DC3A9ED">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（12）其他应说明的事项以及相应的图表。</w:t>
      </w:r>
    </w:p>
    <w:p w14:paraId="7F560DAD">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承包人应在签订合同协议书后14天之内，向监理人提交2份其格式和内容符合监理人规定的工程进度计划和设备采购计划，以及为完成该计划而建议采用的实施性的施工安排和施工方案的说明。设备采购计划应表明拟采购的设备及材料的品牌、生产厂家订货时间、采购时间、运至现场时间等相关内容。监理人应在收到该计划后的7天内审查同意或提出修改意见。工程进度计划应按照关键线路网络图和主要工作横道图两种形式分别编绘，并应包括每周预计完成的工作量和形象进度。</w:t>
      </w:r>
    </w:p>
    <w:p w14:paraId="1F710C7D">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承包人施工进度严重滞后于监理人批准的进度计划及发包人确定的关键工程和某些节点项目的进度要求或项目的施工进度没有明显改善，承包人法人代表或其授权的主要领导必须在工地蹲点，对施工现场进行有效管理，在未征得发包人书面批准前不得擅自离开工地现场。</w:t>
      </w:r>
    </w:p>
    <w:bookmarkEnd w:id="556"/>
    <w:p w14:paraId="3B80C494">
      <w:pPr>
        <w:widowControl w:val="0"/>
        <w:spacing w:before="120" w:beforeLines="50" w:line="276" w:lineRule="auto"/>
        <w:jc w:val="both"/>
        <w:outlineLvl w:val="4"/>
        <w:rPr>
          <w:rFonts w:ascii="宋体" w:hAnsi="宋体" w:eastAsia="宋体" w:cs="宋体"/>
          <w:b/>
          <w:color w:val="auto"/>
          <w:kern w:val="2"/>
          <w:sz w:val="21"/>
          <w:szCs w:val="22"/>
          <w:highlight w:val="none"/>
          <w:lang w:val="en-US" w:eastAsia="zh-CN" w:bidi="ar-SA"/>
        </w:rPr>
      </w:pPr>
      <w:bookmarkStart w:id="558" w:name="_Toc23777"/>
      <w:bookmarkStart w:id="559" w:name="_Toc82369980"/>
      <w:bookmarkStart w:id="560" w:name="_Toc98194736"/>
      <w:bookmarkStart w:id="561" w:name="_Toc6598"/>
      <w:bookmarkStart w:id="562" w:name="_Toc9362"/>
      <w:bookmarkStart w:id="563" w:name="_Toc133536981"/>
      <w:r>
        <w:rPr>
          <w:rFonts w:hint="eastAsia" w:ascii="宋体" w:hAnsi="宋体" w:eastAsia="宋体" w:cs="宋体"/>
          <w:b/>
          <w:color w:val="auto"/>
          <w:kern w:val="2"/>
          <w:sz w:val="21"/>
          <w:szCs w:val="22"/>
          <w:highlight w:val="none"/>
          <w:lang w:val="en-US" w:eastAsia="zh-CN" w:bidi="ar-SA"/>
        </w:rPr>
        <w:t>10.2合同进度计划的修订</w:t>
      </w:r>
      <w:bookmarkEnd w:id="558"/>
      <w:bookmarkEnd w:id="559"/>
      <w:bookmarkEnd w:id="560"/>
      <w:bookmarkEnd w:id="561"/>
      <w:bookmarkEnd w:id="562"/>
      <w:bookmarkEnd w:id="563"/>
    </w:p>
    <w:p w14:paraId="20D8A69D">
      <w:pPr>
        <w:widowControl w:val="0"/>
        <w:tabs>
          <w:tab w:val="left" w:pos="2790"/>
        </w:tabs>
        <w:spacing w:line="400" w:lineRule="exact"/>
        <w:ind w:firstLine="422" w:firstLineChars="200"/>
        <w:jc w:val="both"/>
        <w:rPr>
          <w:rFonts w:ascii="宋体" w:hAnsi="宋体" w:eastAsia="宋体" w:cs="宋体"/>
          <w:b/>
          <w:bCs/>
          <w:color w:val="auto"/>
          <w:kern w:val="2"/>
          <w:sz w:val="21"/>
          <w:szCs w:val="21"/>
          <w:highlight w:val="none"/>
          <w:lang w:val="en-US" w:eastAsia="zh-CN" w:bidi="ar-SA"/>
        </w:rPr>
      </w:pPr>
      <w:r>
        <w:rPr>
          <w:rFonts w:hint="eastAsia" w:ascii="宋体" w:hAnsi="宋体" w:eastAsia="宋体" w:cs="宋体"/>
          <w:b/>
          <w:bCs/>
          <w:color w:val="auto"/>
          <w:kern w:val="2"/>
          <w:sz w:val="21"/>
          <w:szCs w:val="21"/>
          <w:highlight w:val="none"/>
          <w:lang w:val="en-US" w:eastAsia="zh-CN" w:bidi="ar-SA"/>
        </w:rPr>
        <w:t>通用合同条款和公路工程专用合同条款第10.2款细化为：</w:t>
      </w:r>
    </w:p>
    <w:p w14:paraId="760AFA4D">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承包人应在确保合同工期的前提下，每月对进度计划进行一次修订，并应在每月 25日前将下个月的进度计划提交给监理人。施工过程中，如果监理人认为有必要或者工程的实际进度不符合按第10.1款已同意的进度计划，监理人可要求承包人每周提交1次工程进度修订计划，以确保工程在预定工期内交工。在这种情况下，承包人应在接到监理人指令后的3天内将修订后的进度计划提交给监理人。修改后的工程进度计划，仍应保证本合同工程在合同规定的工期内完成。设备采购计划可以根据监理人批准时间的采购进展情况或监理人的要求做出不定期的修订。</w:t>
      </w:r>
    </w:p>
    <w:p w14:paraId="5D00DFC3">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承包人应在确保合同节点工期的前提下，对节点工程的关键线路进度计划进行一次修订，并应在 每月25日前将下个月的进度计划提交给监理人。实施过程中，根据实际进度每周提交1次进度修订计划，以确保节点工程按期完成，进入试运行，并与主体工程同步交工验收。</w:t>
      </w:r>
    </w:p>
    <w:p w14:paraId="03DE4C57">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公路工程专用合同条款补充第10.5款：</w:t>
      </w:r>
    </w:p>
    <w:bookmarkEnd w:id="557"/>
    <w:p w14:paraId="3635C738">
      <w:pPr>
        <w:widowControl w:val="0"/>
        <w:spacing w:before="120" w:beforeLines="50" w:line="276" w:lineRule="auto"/>
        <w:jc w:val="both"/>
        <w:outlineLvl w:val="4"/>
        <w:rPr>
          <w:rFonts w:ascii="宋体" w:hAnsi="宋体" w:eastAsia="宋体" w:cs="宋体"/>
          <w:b/>
          <w:color w:val="auto"/>
          <w:kern w:val="2"/>
          <w:sz w:val="21"/>
          <w:szCs w:val="22"/>
          <w:highlight w:val="none"/>
          <w:lang w:val="en-US" w:eastAsia="zh-CN" w:bidi="ar-SA"/>
        </w:rPr>
      </w:pPr>
      <w:bookmarkStart w:id="564" w:name="_Toc1742"/>
      <w:bookmarkStart w:id="565" w:name="_Toc133536982"/>
      <w:bookmarkStart w:id="566" w:name="_Toc98194737"/>
      <w:bookmarkStart w:id="567" w:name="_Toc8313"/>
      <w:bookmarkStart w:id="568" w:name="_Toc6212"/>
      <w:bookmarkStart w:id="569" w:name="_Toc509845217"/>
      <w:bookmarkStart w:id="570" w:name="_Toc509090392"/>
      <w:bookmarkStart w:id="571" w:name="_Toc521522297"/>
      <w:bookmarkStart w:id="572" w:name="_Toc2692959"/>
      <w:bookmarkStart w:id="573" w:name="_Toc517356859"/>
      <w:bookmarkStart w:id="574" w:name="_Toc488333221"/>
      <w:bookmarkStart w:id="575" w:name="_Toc445203912"/>
      <w:bookmarkStart w:id="576" w:name="_Toc477764161"/>
      <w:bookmarkStart w:id="577" w:name="_Toc497815078"/>
      <w:bookmarkStart w:id="578" w:name="_Toc498612664"/>
      <w:r>
        <w:rPr>
          <w:rFonts w:hint="eastAsia" w:ascii="宋体" w:hAnsi="宋体" w:eastAsia="宋体" w:cs="宋体"/>
          <w:b/>
          <w:color w:val="auto"/>
          <w:kern w:val="2"/>
          <w:sz w:val="21"/>
          <w:szCs w:val="22"/>
          <w:highlight w:val="none"/>
          <w:lang w:val="en-US" w:eastAsia="zh-CN" w:bidi="ar-SA"/>
        </w:rPr>
        <w:t>10.5季度计划、月度计划、旬计划</w:t>
      </w:r>
      <w:bookmarkEnd w:id="564"/>
      <w:bookmarkEnd w:id="565"/>
      <w:bookmarkEnd w:id="566"/>
      <w:bookmarkEnd w:id="567"/>
      <w:bookmarkEnd w:id="568"/>
    </w:p>
    <w:p w14:paraId="21D04AFC">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w:t>
      </w:r>
      <w:r>
        <w:rPr>
          <w:rFonts w:hint="eastAsia" w:ascii="宋体" w:hAnsi="宋体" w:cs="宋体"/>
          <w:color w:val="auto"/>
          <w:kern w:val="2"/>
          <w:sz w:val="21"/>
          <w:szCs w:val="21"/>
          <w:highlight w:val="none"/>
          <w:lang w:val="en-US" w:eastAsia="zh-CN" w:bidi="ar-SA"/>
        </w:rPr>
        <w:t>1</w:t>
      </w:r>
      <w:r>
        <w:rPr>
          <w:rFonts w:hint="eastAsia" w:ascii="宋体" w:hAnsi="宋体" w:eastAsia="宋体" w:cs="宋体"/>
          <w:color w:val="auto"/>
          <w:kern w:val="2"/>
          <w:sz w:val="21"/>
          <w:szCs w:val="21"/>
          <w:highlight w:val="none"/>
          <w:lang w:val="en-US" w:eastAsia="zh-CN" w:bidi="ar-SA"/>
        </w:rPr>
        <w:t>）月度计划</w:t>
      </w:r>
    </w:p>
    <w:p w14:paraId="612499D1">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承包人应在季度计划的要求下编制月度计划，格式统一按发包人批准后下发的填报要求执行。月度计划必须保证季度计划的实现。下月度计划应在本月的25日前报给监理人，月度计划如未能完成，应在文字介绍里详述原因，并在剩余工期中的下一阶段进度计划中补回来，且详述补救措施。</w:t>
      </w:r>
    </w:p>
    <w:p w14:paraId="02DF5AE5">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w:t>
      </w:r>
      <w:r>
        <w:rPr>
          <w:rFonts w:hint="eastAsia" w:ascii="宋体" w:hAnsi="宋体" w:cs="宋体"/>
          <w:color w:val="auto"/>
          <w:kern w:val="2"/>
          <w:sz w:val="21"/>
          <w:szCs w:val="21"/>
          <w:highlight w:val="none"/>
          <w:lang w:val="en-US" w:eastAsia="zh-CN" w:bidi="ar-SA"/>
        </w:rPr>
        <w:t>2</w:t>
      </w:r>
      <w:r>
        <w:rPr>
          <w:rFonts w:hint="eastAsia" w:ascii="宋体" w:hAnsi="宋体" w:eastAsia="宋体" w:cs="宋体"/>
          <w:color w:val="auto"/>
          <w:kern w:val="2"/>
          <w:sz w:val="21"/>
          <w:szCs w:val="21"/>
          <w:highlight w:val="none"/>
          <w:lang w:val="en-US" w:eastAsia="zh-CN" w:bidi="ar-SA"/>
        </w:rPr>
        <w:t>）旬计划</w:t>
      </w:r>
    </w:p>
    <w:p w14:paraId="58DD8AC4">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承包人应根据批复的月度计划编制旬计划，并按要求定期向发包人上报旬计划及完成情况汇报资料。</w:t>
      </w:r>
    </w:p>
    <w:p w14:paraId="74B37616">
      <w:pPr>
        <w:keepNext/>
        <w:keepLines/>
        <w:widowControl w:val="0"/>
        <w:spacing w:before="120" w:after="0" w:line="360" w:lineRule="auto"/>
        <w:jc w:val="both"/>
        <w:outlineLvl w:val="3"/>
        <w:rPr>
          <w:rFonts w:ascii="宋体" w:hAnsi="宋体" w:eastAsia="宋体" w:cs="宋体"/>
          <w:b/>
          <w:bCs/>
          <w:color w:val="auto"/>
          <w:kern w:val="2"/>
          <w:sz w:val="24"/>
          <w:szCs w:val="24"/>
          <w:highlight w:val="none"/>
          <w:lang w:val="en-US" w:eastAsia="zh-CN" w:bidi="ar-SA"/>
        </w:rPr>
      </w:pPr>
      <w:bookmarkStart w:id="579" w:name="_Toc83398585"/>
      <w:bookmarkStart w:id="580" w:name="_Toc86616476"/>
      <w:bookmarkStart w:id="581" w:name="_Toc82849588"/>
      <w:bookmarkStart w:id="582" w:name="_Toc98194738"/>
      <w:bookmarkStart w:id="583" w:name="_Toc133536983"/>
      <w:bookmarkStart w:id="584" w:name="_Toc8822"/>
      <w:bookmarkStart w:id="585" w:name="_Toc19414"/>
      <w:bookmarkStart w:id="586" w:name="_Toc19978"/>
      <w:r>
        <w:rPr>
          <w:rFonts w:hint="eastAsia" w:ascii="宋体" w:hAnsi="宋体" w:eastAsia="宋体" w:cs="宋体"/>
          <w:b/>
          <w:bCs/>
          <w:color w:val="auto"/>
          <w:kern w:val="2"/>
          <w:sz w:val="24"/>
          <w:szCs w:val="24"/>
          <w:highlight w:val="none"/>
          <w:lang w:val="en-US" w:eastAsia="zh-CN" w:bidi="ar-SA"/>
        </w:rPr>
        <w:t>11.开工和交工</w:t>
      </w:r>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p>
    <w:p w14:paraId="3BA25832">
      <w:pPr>
        <w:widowControl w:val="0"/>
        <w:spacing w:before="120" w:beforeLines="50" w:line="276" w:lineRule="auto"/>
        <w:jc w:val="both"/>
        <w:outlineLvl w:val="4"/>
        <w:rPr>
          <w:rFonts w:ascii="宋体" w:hAnsi="宋体" w:eastAsia="宋体" w:cs="宋体"/>
          <w:b/>
          <w:color w:val="auto"/>
          <w:kern w:val="2"/>
          <w:sz w:val="21"/>
          <w:szCs w:val="22"/>
          <w:highlight w:val="none"/>
          <w:lang w:val="en-US" w:eastAsia="zh-CN" w:bidi="ar-SA"/>
        </w:rPr>
      </w:pPr>
      <w:bookmarkStart w:id="587" w:name="_Toc7444"/>
      <w:bookmarkStart w:id="588" w:name="_Toc8421"/>
      <w:bookmarkStart w:id="589" w:name="_Toc17213"/>
      <w:bookmarkStart w:id="590" w:name="_Toc98194739"/>
      <w:bookmarkStart w:id="591" w:name="_Toc477764162"/>
      <w:bookmarkStart w:id="592" w:name="_Toc445203913"/>
      <w:bookmarkStart w:id="593" w:name="_Toc133536984"/>
      <w:r>
        <w:rPr>
          <w:rFonts w:hint="eastAsia" w:ascii="宋体" w:hAnsi="宋体" w:eastAsia="宋体" w:cs="宋体"/>
          <w:b/>
          <w:color w:val="auto"/>
          <w:kern w:val="2"/>
          <w:sz w:val="21"/>
          <w:szCs w:val="22"/>
          <w:highlight w:val="none"/>
          <w:lang w:val="en-US" w:eastAsia="zh-CN" w:bidi="ar-SA"/>
        </w:rPr>
        <w:t>11.4异常恶劣的气候条件</w:t>
      </w:r>
      <w:bookmarkEnd w:id="587"/>
      <w:bookmarkEnd w:id="588"/>
      <w:bookmarkEnd w:id="589"/>
      <w:bookmarkEnd w:id="590"/>
      <w:bookmarkEnd w:id="591"/>
      <w:bookmarkEnd w:id="592"/>
      <w:bookmarkEnd w:id="593"/>
    </w:p>
    <w:p w14:paraId="51D2A34D">
      <w:pPr>
        <w:widowControl w:val="0"/>
        <w:tabs>
          <w:tab w:val="left" w:pos="2790"/>
        </w:tabs>
        <w:spacing w:line="400" w:lineRule="exact"/>
        <w:ind w:firstLine="422" w:firstLineChars="200"/>
        <w:jc w:val="both"/>
        <w:rPr>
          <w:rFonts w:ascii="宋体" w:hAnsi="宋体" w:eastAsia="宋体" w:cs="宋体"/>
          <w:b/>
          <w:bCs/>
          <w:color w:val="auto"/>
          <w:kern w:val="2"/>
          <w:sz w:val="21"/>
          <w:szCs w:val="21"/>
          <w:highlight w:val="none"/>
          <w:lang w:val="en-US" w:eastAsia="zh-CN" w:bidi="ar-SA"/>
        </w:rPr>
      </w:pPr>
      <w:r>
        <w:rPr>
          <w:rFonts w:hint="eastAsia" w:ascii="宋体" w:hAnsi="宋体" w:eastAsia="宋体" w:cs="宋体"/>
          <w:b/>
          <w:bCs/>
          <w:color w:val="auto"/>
          <w:kern w:val="2"/>
          <w:sz w:val="21"/>
          <w:szCs w:val="21"/>
          <w:highlight w:val="none"/>
          <w:lang w:val="en-US" w:eastAsia="zh-CN" w:bidi="ar-SA"/>
        </w:rPr>
        <w:t>公路工程专用合同条款11.4款约定为：</w:t>
      </w:r>
    </w:p>
    <w:p w14:paraId="08DB434F">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（1）异常恶劣的气候条件，对本项目而言，是指发生龙卷风、工地受淹、超过桥梁设计洪水位以及不利降水等引起延误的情况。</w:t>
      </w:r>
    </w:p>
    <w:p w14:paraId="68EB083A">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（2）不利降水的衡量标准为：</w:t>
      </w:r>
    </w:p>
    <w:p w14:paraId="0A6E21C2">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a. 按本省气象部门统计的项目所在地降水资料，取最近二十年的平均降水天数为标准；</w:t>
      </w:r>
    </w:p>
    <w:p w14:paraId="160195F7">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b. 按项目所在地实际统计的年降水天数与（a）所指的年降水天数之差，每年计算一次。</w:t>
      </w:r>
    </w:p>
    <w:p w14:paraId="176DE9C2">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3）异常恶劣气候的时间，监理人将根据承包人的申请和提交的证明予以评定，但在评定时还将考虑按同等标准，用施工期限内其它月份良好的气候的时间予以抵补。恶劣气候在每个月对工程进度影响的评定，应在整个合同期内予以累计。</w:t>
      </w:r>
    </w:p>
    <w:p w14:paraId="6D515CB3">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（4）若恶劣气候只是对局部工程有影响，承包人应采取合同措施予以弥补，而不能推迟工程的总工期。</w:t>
      </w:r>
    </w:p>
    <w:p w14:paraId="4F1C169F">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（5）受本款所述的恶劣气候影响的分项工程，必须在工程施工进度网络计划的关键线路上，监理人方能考虑延长工程总工期。</w:t>
      </w:r>
    </w:p>
    <w:p w14:paraId="23507E1E">
      <w:pPr>
        <w:keepNext/>
        <w:keepLines/>
        <w:widowControl w:val="0"/>
        <w:spacing w:before="120" w:after="0" w:line="360" w:lineRule="auto"/>
        <w:jc w:val="both"/>
        <w:outlineLvl w:val="3"/>
        <w:rPr>
          <w:rFonts w:ascii="宋体" w:hAnsi="宋体" w:eastAsia="宋体" w:cs="宋体"/>
          <w:b/>
          <w:bCs/>
          <w:color w:val="auto"/>
          <w:kern w:val="2"/>
          <w:sz w:val="24"/>
          <w:szCs w:val="24"/>
          <w:highlight w:val="none"/>
          <w:lang w:val="en-US" w:eastAsia="zh-CN" w:bidi="ar-SA"/>
        </w:rPr>
      </w:pPr>
      <w:bookmarkStart w:id="594" w:name="_Toc2692960"/>
      <w:bookmarkStart w:id="595" w:name="_Toc521522298"/>
      <w:bookmarkStart w:id="596" w:name="_Toc83398586"/>
      <w:bookmarkStart w:id="597" w:name="_Toc509845218"/>
      <w:bookmarkStart w:id="598" w:name="_Toc445203914"/>
      <w:bookmarkStart w:id="599" w:name="_Toc133536986"/>
      <w:bookmarkStart w:id="600" w:name="_Toc497815079"/>
      <w:bookmarkStart w:id="601" w:name="_Toc498612665"/>
      <w:bookmarkStart w:id="602" w:name="_Toc98194741"/>
      <w:bookmarkStart w:id="603" w:name="_Toc24354"/>
      <w:bookmarkStart w:id="604" w:name="_Toc488333222"/>
      <w:bookmarkStart w:id="605" w:name="_Toc477764163"/>
      <w:bookmarkStart w:id="606" w:name="_Toc7360"/>
      <w:bookmarkStart w:id="607" w:name="_Toc517356860"/>
      <w:bookmarkStart w:id="608" w:name="_Toc86616477"/>
      <w:bookmarkStart w:id="609" w:name="_Toc18020"/>
      <w:bookmarkStart w:id="610" w:name="_Toc509090393"/>
      <w:bookmarkStart w:id="611" w:name="_Toc82849589"/>
      <w:r>
        <w:rPr>
          <w:rFonts w:hint="eastAsia" w:ascii="宋体" w:hAnsi="宋体" w:eastAsia="宋体" w:cs="宋体"/>
          <w:b/>
          <w:bCs/>
          <w:color w:val="auto"/>
          <w:kern w:val="2"/>
          <w:sz w:val="24"/>
          <w:szCs w:val="24"/>
          <w:highlight w:val="none"/>
          <w:lang w:val="en-US" w:eastAsia="zh-CN" w:bidi="ar-SA"/>
        </w:rPr>
        <w:t>12.暂停施工</w:t>
      </w:r>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p>
    <w:p w14:paraId="3BD2FE8B">
      <w:pPr>
        <w:widowControl w:val="0"/>
        <w:spacing w:before="120" w:beforeLines="50" w:line="276" w:lineRule="auto"/>
        <w:jc w:val="both"/>
        <w:outlineLvl w:val="4"/>
        <w:rPr>
          <w:rFonts w:ascii="宋体" w:hAnsi="宋体" w:eastAsia="宋体" w:cs="宋体"/>
          <w:b/>
          <w:color w:val="auto"/>
          <w:kern w:val="2"/>
          <w:sz w:val="21"/>
          <w:szCs w:val="22"/>
          <w:highlight w:val="none"/>
          <w:lang w:val="en-US" w:eastAsia="zh-CN" w:bidi="ar-SA"/>
        </w:rPr>
      </w:pPr>
      <w:bookmarkStart w:id="612" w:name="_Toc477764164"/>
      <w:bookmarkStart w:id="613" w:name="_Toc14635"/>
      <w:bookmarkStart w:id="614" w:name="_Toc3198"/>
      <w:bookmarkStart w:id="615" w:name="_Toc445203915"/>
      <w:bookmarkStart w:id="616" w:name="_Toc23067"/>
      <w:bookmarkStart w:id="617" w:name="_Toc98194742"/>
      <w:bookmarkStart w:id="618" w:name="_Toc133536987"/>
      <w:r>
        <w:rPr>
          <w:rFonts w:hint="eastAsia" w:ascii="宋体" w:hAnsi="宋体" w:eastAsia="宋体" w:cs="宋体"/>
          <w:b/>
          <w:color w:val="auto"/>
          <w:kern w:val="2"/>
          <w:sz w:val="21"/>
          <w:szCs w:val="22"/>
          <w:highlight w:val="none"/>
          <w:lang w:val="en-US" w:eastAsia="zh-CN" w:bidi="ar-SA"/>
        </w:rPr>
        <w:t>12.1承包人暂停施工的责任</w:t>
      </w:r>
      <w:bookmarkEnd w:id="612"/>
      <w:bookmarkEnd w:id="613"/>
      <w:bookmarkEnd w:id="614"/>
      <w:bookmarkEnd w:id="615"/>
      <w:bookmarkEnd w:id="616"/>
      <w:bookmarkEnd w:id="617"/>
      <w:bookmarkEnd w:id="618"/>
    </w:p>
    <w:p w14:paraId="02CC5F08">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公路工程专用合同条款12.1款（6）项约定：</w:t>
      </w:r>
    </w:p>
    <w:p w14:paraId="493A56ED">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（6）由承包人承担的其他暂停施工：</w:t>
      </w:r>
      <w:r>
        <w:rPr>
          <w:rFonts w:hint="eastAsia" w:ascii="宋体" w:hAnsi="宋体" w:eastAsia="宋体" w:cs="宋体"/>
          <w:color w:val="auto"/>
          <w:kern w:val="2"/>
          <w:sz w:val="21"/>
          <w:szCs w:val="21"/>
          <w:highlight w:val="none"/>
          <w:u w:val="single"/>
          <w:lang w:val="en-US" w:eastAsia="zh-CN" w:bidi="ar-SA"/>
        </w:rPr>
        <w:t xml:space="preserve">    无   </w:t>
      </w:r>
    </w:p>
    <w:p w14:paraId="1030B637">
      <w:pPr>
        <w:keepNext/>
        <w:keepLines/>
        <w:widowControl w:val="0"/>
        <w:spacing w:before="120" w:after="0" w:line="360" w:lineRule="auto"/>
        <w:jc w:val="both"/>
        <w:outlineLvl w:val="3"/>
        <w:rPr>
          <w:rFonts w:ascii="宋体" w:hAnsi="宋体" w:eastAsia="宋体" w:cs="宋体"/>
          <w:b/>
          <w:bCs/>
          <w:color w:val="auto"/>
          <w:kern w:val="2"/>
          <w:sz w:val="24"/>
          <w:szCs w:val="24"/>
          <w:highlight w:val="none"/>
          <w:lang w:val="en-US" w:eastAsia="zh-CN" w:bidi="ar-SA"/>
        </w:rPr>
      </w:pPr>
      <w:bookmarkStart w:id="619" w:name="_Toc2692961"/>
      <w:bookmarkStart w:id="620" w:name="_Toc488333223"/>
      <w:bookmarkStart w:id="621" w:name="_Toc509845220"/>
      <w:bookmarkStart w:id="622" w:name="_Toc498612666"/>
      <w:bookmarkStart w:id="623" w:name="_Toc133536988"/>
      <w:bookmarkStart w:id="624" w:name="_Toc22045"/>
      <w:bookmarkStart w:id="625" w:name="_Toc14067"/>
      <w:bookmarkStart w:id="626" w:name="_Toc83398587"/>
      <w:bookmarkStart w:id="627" w:name="_Toc509090394"/>
      <w:bookmarkStart w:id="628" w:name="_Toc86616478"/>
      <w:bookmarkStart w:id="629" w:name="_Toc521522299"/>
      <w:bookmarkStart w:id="630" w:name="_Toc497815080"/>
      <w:bookmarkStart w:id="631" w:name="_Toc98194743"/>
      <w:bookmarkStart w:id="632" w:name="_Toc445203916"/>
      <w:bookmarkStart w:id="633" w:name="_Toc9765"/>
      <w:bookmarkStart w:id="634" w:name="_Toc517356861"/>
      <w:bookmarkStart w:id="635" w:name="_Toc477764166"/>
      <w:bookmarkStart w:id="636" w:name="_Toc82849590"/>
      <w:r>
        <w:rPr>
          <w:rFonts w:hint="eastAsia" w:ascii="宋体" w:hAnsi="宋体" w:eastAsia="宋体" w:cs="宋体"/>
          <w:b/>
          <w:bCs/>
          <w:color w:val="auto"/>
          <w:kern w:val="2"/>
          <w:sz w:val="24"/>
          <w:szCs w:val="24"/>
          <w:highlight w:val="none"/>
          <w:lang w:val="en-US" w:eastAsia="zh-CN" w:bidi="ar-SA"/>
        </w:rPr>
        <w:t>13.工程质量</w:t>
      </w:r>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p>
    <w:p w14:paraId="19FB8A6A">
      <w:pPr>
        <w:widowControl w:val="0"/>
        <w:spacing w:before="120" w:beforeLines="50" w:line="276" w:lineRule="auto"/>
        <w:jc w:val="both"/>
        <w:outlineLvl w:val="4"/>
        <w:rPr>
          <w:rFonts w:ascii="宋体" w:hAnsi="宋体" w:eastAsia="宋体" w:cs="宋体"/>
          <w:b/>
          <w:color w:val="auto"/>
          <w:kern w:val="2"/>
          <w:sz w:val="21"/>
          <w:szCs w:val="22"/>
          <w:highlight w:val="none"/>
          <w:lang w:val="en-US" w:eastAsia="zh-CN" w:bidi="ar-SA"/>
        </w:rPr>
      </w:pPr>
      <w:bookmarkStart w:id="637" w:name="_Toc445203917"/>
      <w:bookmarkStart w:id="638" w:name="_Toc6904"/>
      <w:bookmarkStart w:id="639" w:name="_Toc28241"/>
      <w:bookmarkStart w:id="640" w:name="_Toc98194744"/>
      <w:bookmarkStart w:id="641" w:name="_Toc477764167"/>
      <w:bookmarkStart w:id="642" w:name="_Toc133536989"/>
      <w:bookmarkStart w:id="643" w:name="_Toc17830"/>
      <w:r>
        <w:rPr>
          <w:rFonts w:hint="eastAsia" w:ascii="宋体" w:hAnsi="宋体" w:eastAsia="宋体" w:cs="宋体"/>
          <w:b/>
          <w:color w:val="auto"/>
          <w:kern w:val="2"/>
          <w:sz w:val="21"/>
          <w:szCs w:val="22"/>
          <w:highlight w:val="none"/>
          <w:lang w:val="en-US" w:eastAsia="zh-CN" w:bidi="ar-SA"/>
        </w:rPr>
        <w:t>13.1工程质量要求</w:t>
      </w:r>
      <w:bookmarkEnd w:id="637"/>
      <w:bookmarkEnd w:id="638"/>
      <w:bookmarkEnd w:id="639"/>
      <w:bookmarkEnd w:id="640"/>
      <w:bookmarkEnd w:id="641"/>
      <w:bookmarkEnd w:id="642"/>
      <w:bookmarkEnd w:id="643"/>
    </w:p>
    <w:p w14:paraId="319B39E4">
      <w:pPr>
        <w:widowControl w:val="0"/>
        <w:tabs>
          <w:tab w:val="left" w:pos="2790"/>
        </w:tabs>
        <w:spacing w:line="400" w:lineRule="exact"/>
        <w:ind w:firstLine="422" w:firstLineChars="200"/>
        <w:jc w:val="both"/>
        <w:rPr>
          <w:rFonts w:ascii="宋体" w:hAnsi="宋体" w:eastAsia="宋体" w:cs="宋体"/>
          <w:b/>
          <w:bCs/>
          <w:color w:val="auto"/>
          <w:kern w:val="2"/>
          <w:sz w:val="21"/>
          <w:szCs w:val="21"/>
          <w:highlight w:val="none"/>
          <w:lang w:val="en-US" w:eastAsia="zh-CN" w:bidi="ar-SA"/>
        </w:rPr>
      </w:pPr>
      <w:r>
        <w:rPr>
          <w:rFonts w:hint="eastAsia" w:ascii="宋体" w:hAnsi="宋体" w:eastAsia="宋体" w:cs="宋体"/>
          <w:b/>
          <w:bCs/>
          <w:color w:val="auto"/>
          <w:kern w:val="2"/>
          <w:sz w:val="21"/>
          <w:szCs w:val="21"/>
          <w:highlight w:val="none"/>
          <w:lang w:val="en-US" w:eastAsia="zh-CN" w:bidi="ar-SA"/>
        </w:rPr>
        <w:t>公路工程专用合同条款第13.1.1项细化为：</w:t>
      </w:r>
    </w:p>
    <w:p w14:paraId="3448AA93">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工程质量验收按技术规范及《公路工程质量检验评定标准》执行。本工程的质量目标为：标段工程交工验收的质量评定：</w:t>
      </w:r>
      <w:r>
        <w:rPr>
          <w:rFonts w:hint="eastAsia" w:ascii="宋体" w:hAnsi="宋体" w:cs="宋体"/>
          <w:b/>
          <w:bCs/>
          <w:color w:val="auto"/>
          <w:kern w:val="2"/>
          <w:sz w:val="21"/>
          <w:szCs w:val="21"/>
          <w:highlight w:val="none"/>
          <w:u w:val="single"/>
          <w:lang w:val="en-US" w:eastAsia="zh-CN" w:bidi="ar-SA"/>
        </w:rPr>
        <w:t>合格</w:t>
      </w:r>
      <w:r>
        <w:rPr>
          <w:rFonts w:hint="eastAsia" w:ascii="宋体" w:hAnsi="宋体" w:eastAsia="宋体" w:cs="宋体"/>
          <w:color w:val="auto"/>
          <w:kern w:val="2"/>
          <w:sz w:val="21"/>
          <w:szCs w:val="21"/>
          <w:highlight w:val="none"/>
          <w:lang w:val="en-US" w:eastAsia="zh-CN" w:bidi="ar-SA"/>
        </w:rPr>
        <w:t>；标段工程竣工验收的质量评定：</w:t>
      </w:r>
      <w:r>
        <w:rPr>
          <w:rFonts w:hint="eastAsia" w:ascii="宋体" w:hAnsi="宋体" w:cs="宋体"/>
          <w:b/>
          <w:bCs/>
          <w:color w:val="auto"/>
          <w:kern w:val="2"/>
          <w:sz w:val="21"/>
          <w:szCs w:val="21"/>
          <w:highlight w:val="none"/>
          <w:u w:val="single"/>
          <w:lang w:val="en-US" w:eastAsia="zh-CN" w:bidi="ar-SA"/>
        </w:rPr>
        <w:t>合格</w:t>
      </w:r>
      <w:r>
        <w:rPr>
          <w:rFonts w:hint="eastAsia" w:ascii="宋体" w:hAnsi="宋体" w:eastAsia="宋体" w:cs="宋体"/>
          <w:color w:val="auto"/>
          <w:kern w:val="2"/>
          <w:sz w:val="21"/>
          <w:szCs w:val="21"/>
          <w:highlight w:val="none"/>
          <w:lang w:val="en-US" w:eastAsia="zh-CN" w:bidi="ar-SA"/>
        </w:rPr>
        <w:t>。</w:t>
      </w:r>
    </w:p>
    <w:p w14:paraId="0F381447">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承包人应为本合同的施工建立强有力的质保系统和质检系统，认真执行国家、交通运输部和住房与城乡建设部等有关加强质量管理的法规与文件，开展全面质量管理，确保工程质量达到目标要求。若由于承包人不重视质量管理，工程验收未能达到目标要求，则按22.1款规定进行违约处理。</w:t>
      </w:r>
    </w:p>
    <w:p w14:paraId="67366370">
      <w:pPr>
        <w:widowControl w:val="0"/>
        <w:spacing w:before="120" w:beforeLines="50" w:line="276" w:lineRule="auto"/>
        <w:jc w:val="both"/>
        <w:outlineLvl w:val="4"/>
        <w:rPr>
          <w:rFonts w:ascii="宋体" w:hAnsi="宋体" w:eastAsia="宋体" w:cs="宋体"/>
          <w:b/>
          <w:color w:val="auto"/>
          <w:kern w:val="2"/>
          <w:sz w:val="21"/>
          <w:szCs w:val="22"/>
          <w:highlight w:val="none"/>
          <w:lang w:val="en-US" w:eastAsia="zh-CN" w:bidi="ar-SA"/>
        </w:rPr>
      </w:pPr>
      <w:bookmarkStart w:id="644" w:name="_Toc133536990"/>
      <w:bookmarkStart w:id="645" w:name="_Toc509845221"/>
      <w:bookmarkStart w:id="646" w:name="_Toc30970"/>
      <w:bookmarkStart w:id="647" w:name="_Toc445203918"/>
      <w:bookmarkStart w:id="648" w:name="_Toc477764168"/>
      <w:bookmarkStart w:id="649" w:name="_Toc3341"/>
      <w:bookmarkStart w:id="650" w:name="_Toc9769"/>
      <w:bookmarkStart w:id="651" w:name="_Toc98194745"/>
      <w:r>
        <w:rPr>
          <w:rFonts w:hint="eastAsia" w:ascii="宋体" w:hAnsi="宋体" w:eastAsia="宋体" w:cs="宋体"/>
          <w:b/>
          <w:color w:val="auto"/>
          <w:kern w:val="2"/>
          <w:sz w:val="21"/>
          <w:szCs w:val="22"/>
          <w:highlight w:val="none"/>
          <w:lang w:val="en-US" w:eastAsia="zh-CN" w:bidi="ar-SA"/>
        </w:rPr>
        <w:t>13.2 承包人的质量管理</w:t>
      </w:r>
      <w:bookmarkEnd w:id="644"/>
      <w:bookmarkEnd w:id="645"/>
      <w:bookmarkEnd w:id="646"/>
      <w:bookmarkEnd w:id="647"/>
      <w:bookmarkEnd w:id="648"/>
      <w:bookmarkEnd w:id="649"/>
      <w:bookmarkEnd w:id="650"/>
      <w:bookmarkEnd w:id="651"/>
    </w:p>
    <w:p w14:paraId="131BA31F">
      <w:pPr>
        <w:widowControl w:val="0"/>
        <w:tabs>
          <w:tab w:val="left" w:pos="2790"/>
        </w:tabs>
        <w:spacing w:line="400" w:lineRule="exact"/>
        <w:ind w:firstLine="422" w:firstLineChars="200"/>
        <w:jc w:val="both"/>
        <w:rPr>
          <w:rFonts w:ascii="宋体" w:hAnsi="宋体" w:eastAsia="宋体" w:cs="宋体"/>
          <w:b/>
          <w:bCs/>
          <w:color w:val="auto"/>
          <w:kern w:val="2"/>
          <w:sz w:val="21"/>
          <w:szCs w:val="21"/>
          <w:highlight w:val="none"/>
          <w:lang w:val="en-US" w:eastAsia="zh-CN" w:bidi="ar-SA"/>
        </w:rPr>
      </w:pPr>
      <w:bookmarkStart w:id="652" w:name="_Hlk82825905"/>
      <w:bookmarkStart w:id="653" w:name="_Toc445203919"/>
      <w:bookmarkStart w:id="654" w:name="_Toc477764170"/>
      <w:r>
        <w:rPr>
          <w:rFonts w:hint="eastAsia" w:ascii="宋体" w:hAnsi="宋体" w:eastAsia="宋体" w:cs="宋体"/>
          <w:b/>
          <w:bCs/>
          <w:color w:val="auto"/>
          <w:kern w:val="2"/>
          <w:sz w:val="21"/>
          <w:szCs w:val="21"/>
          <w:highlight w:val="none"/>
          <w:lang w:val="en-US" w:eastAsia="zh-CN" w:bidi="ar-SA"/>
        </w:rPr>
        <w:t>公路工程专用合同条款第13.2.3项补充：</w:t>
      </w:r>
    </w:p>
    <w:bookmarkEnd w:id="652"/>
    <w:p w14:paraId="3352AF6A">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13.2.3公路工程施行质量责任终身制。承包人应当书面明确相应的项目负责人和质量负责人。承包人必须遵守有关法律、法规、规章和办法，严格执行公路工程强制性技术标准、各类技术规范及《浙江省交通建设工程质量和安全生产管理条例》、浙江省交通运输厅《关于进一步加强浙江省交通建设工程质量安全管理工作的若干意见》（浙交〔2015〕59号），全面履行工程合同义务，依法对公路工程质量负责。</w:t>
      </w:r>
    </w:p>
    <w:p w14:paraId="788782EF">
      <w:pPr>
        <w:widowControl w:val="0"/>
        <w:tabs>
          <w:tab w:val="left" w:pos="2790"/>
        </w:tabs>
        <w:spacing w:line="400" w:lineRule="exact"/>
        <w:ind w:firstLine="422" w:firstLineChars="200"/>
        <w:jc w:val="both"/>
        <w:rPr>
          <w:rFonts w:ascii="宋体" w:hAnsi="宋体" w:eastAsia="宋体" w:cs="宋体"/>
          <w:b/>
          <w:bCs/>
          <w:color w:val="auto"/>
          <w:kern w:val="2"/>
          <w:sz w:val="21"/>
          <w:szCs w:val="21"/>
          <w:highlight w:val="none"/>
          <w:lang w:val="en-US" w:eastAsia="zh-CN" w:bidi="ar-SA"/>
        </w:rPr>
      </w:pPr>
      <w:r>
        <w:rPr>
          <w:rFonts w:hint="eastAsia" w:ascii="宋体" w:hAnsi="宋体" w:eastAsia="宋体" w:cs="宋体"/>
          <w:b/>
          <w:bCs/>
          <w:color w:val="auto"/>
          <w:kern w:val="2"/>
          <w:sz w:val="21"/>
          <w:szCs w:val="21"/>
          <w:highlight w:val="none"/>
          <w:lang w:val="en-US" w:eastAsia="zh-CN" w:bidi="ar-SA"/>
        </w:rPr>
        <w:t>公路工程专用合同条款补充第13.2.7～13.2.10项：</w:t>
      </w:r>
    </w:p>
    <w:p w14:paraId="795B5D87">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13.2.7在合同执行期间，承包人应执行发包人根据本项目建设管理需要制定的工程质量管理办法和相关细则。</w:t>
      </w:r>
    </w:p>
    <w:p w14:paraId="27E18769">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13.2.8 承包人应严格按照工程设计图纸（含补充设计、动态设计）、施工技术标准和合同约定施工，对原材料、混合料、构配件、工程实体、机电设备等进行检验；按规定施行班组自检、工序交接检、专职质检员检验的质量控制程序；对分项工程、分部工程和单位工程进行质量自评。检验或者自评不合格的，不得进入下道工序或者投入使用。</w:t>
      </w:r>
    </w:p>
    <w:p w14:paraId="436C8A23">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13.2.9 承包人应当加强施工过程质量控制，并形成完整、可追溯的施工质量管理资料，主体工程的隐蔽部位施工还应当保留影像资料。对施工中出现的质量问题或者验收不合格的工程，应当负责返工处理；对在保修范围和保修期限内发生质量问题的工程，应当履行保修义务。</w:t>
      </w:r>
    </w:p>
    <w:p w14:paraId="219AC492">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13.2.10 承包人应当依法依规分包行为，并对承担的工程质量负总责，分包单位对分包合同范围内的工程质量负责。</w:t>
      </w:r>
    </w:p>
    <w:p w14:paraId="23A1C38D">
      <w:pPr>
        <w:widowControl w:val="0"/>
        <w:spacing w:before="120" w:beforeLines="50" w:line="276" w:lineRule="auto"/>
        <w:jc w:val="both"/>
        <w:outlineLvl w:val="4"/>
        <w:rPr>
          <w:rFonts w:ascii="宋体" w:hAnsi="宋体" w:eastAsia="宋体" w:cs="宋体"/>
          <w:b/>
          <w:color w:val="auto"/>
          <w:kern w:val="2"/>
          <w:sz w:val="21"/>
          <w:szCs w:val="22"/>
          <w:highlight w:val="none"/>
          <w:lang w:val="en-US" w:eastAsia="zh-CN" w:bidi="ar-SA"/>
        </w:rPr>
      </w:pPr>
      <w:bookmarkStart w:id="655" w:name="_Toc133536991"/>
      <w:bookmarkStart w:id="656" w:name="_Toc98194746"/>
      <w:bookmarkStart w:id="657" w:name="_Toc14179"/>
      <w:bookmarkStart w:id="658" w:name="_Toc12491"/>
      <w:bookmarkStart w:id="659" w:name="_Toc133536992"/>
      <w:bookmarkStart w:id="660" w:name="_Toc20206"/>
      <w:bookmarkStart w:id="661" w:name="_Toc17220"/>
      <w:bookmarkStart w:id="662" w:name="_Toc98194747"/>
      <w:r>
        <w:rPr>
          <w:rFonts w:hint="eastAsia" w:ascii="宋体" w:hAnsi="宋体" w:eastAsia="宋体" w:cs="宋体"/>
          <w:b/>
          <w:color w:val="auto"/>
          <w:kern w:val="2"/>
          <w:sz w:val="21"/>
          <w:szCs w:val="22"/>
          <w:highlight w:val="none"/>
          <w:lang w:val="en-US" w:eastAsia="zh-CN" w:bidi="ar-SA"/>
        </w:rPr>
        <w:t>13.4 监理人的质量检查</w:t>
      </w:r>
      <w:bookmarkEnd w:id="655"/>
      <w:bookmarkEnd w:id="656"/>
      <w:bookmarkEnd w:id="657"/>
      <w:bookmarkEnd w:id="658"/>
    </w:p>
    <w:p w14:paraId="53722D69">
      <w:pPr>
        <w:widowControl w:val="0"/>
        <w:tabs>
          <w:tab w:val="left" w:pos="2790"/>
        </w:tabs>
        <w:spacing w:line="400" w:lineRule="exact"/>
        <w:ind w:firstLine="422" w:firstLineChars="200"/>
        <w:jc w:val="both"/>
        <w:rPr>
          <w:rFonts w:ascii="宋体" w:hAnsi="宋体" w:eastAsia="宋体" w:cs="宋体"/>
          <w:b/>
          <w:bCs/>
          <w:color w:val="auto"/>
          <w:kern w:val="2"/>
          <w:sz w:val="21"/>
          <w:szCs w:val="21"/>
          <w:highlight w:val="none"/>
          <w:lang w:val="en-US" w:eastAsia="zh-CN" w:bidi="ar-SA"/>
        </w:rPr>
      </w:pPr>
      <w:r>
        <w:rPr>
          <w:rFonts w:hint="eastAsia" w:ascii="宋体" w:hAnsi="宋体" w:eastAsia="宋体" w:cs="宋体"/>
          <w:b/>
          <w:bCs/>
          <w:color w:val="auto"/>
          <w:kern w:val="2"/>
          <w:sz w:val="21"/>
          <w:szCs w:val="21"/>
          <w:highlight w:val="none"/>
          <w:lang w:val="en-US" w:eastAsia="zh-CN" w:bidi="ar-SA"/>
        </w:rPr>
        <w:t>通用合同条款及公路工程专用合同条款13.4款补充：第13.4.1～13.4.4项</w:t>
      </w:r>
    </w:p>
    <w:p w14:paraId="1F94FEA3">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13.4.1 分系统检（试）验：承包人进行分系统检（试）验前至少应提前48小时通知监理人，并提交检（试）验大纲，作好相关的一切检（试）验准备，分系统检（试）验应有监理人代表参加，检（试）验结束后承包人应编制检（试）验报告，载明检（试）验状况、存在问题与最后结论，并报监理人认可。</w:t>
      </w:r>
    </w:p>
    <w:p w14:paraId="128A5755">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如果监理人或其正式委派的代表未能在约定的时间到场，也未另外发出指令，承包人可以进行分系统检（试）验，并可以认为这一分系统检（试）验是在监理人在场的情况下完成的。承包人应立即向监理人提出分系统检（试）验报告。如果监理人没有到场参加分系统检（试）验，监理人应对上述报告的准确性给予认可。</w:t>
      </w:r>
    </w:p>
    <w:p w14:paraId="518CE9D1">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上述分系统检（试）验并不能解除承包人对合同所承担的任何责任。</w:t>
      </w:r>
    </w:p>
    <w:p w14:paraId="2BEE7144">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13.4.2 系统检（试）验：承包人进行系统检（试）验前至少应提前72小时通知监理人，并提交检（试）验大纲，确定系统检（试）验的总负责人，作好相关的一切检（试）验准备，系统检（试）验必须有监理人代表和（或）发包人代表参加，检（试）验结束后承包人应编制检（试）验报告，载明检（试）验状况、存在问题与最后结论，并报监理人认可。</w:t>
      </w:r>
    </w:p>
    <w:p w14:paraId="05A696F2">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如果监理人或其正式委派的代表和（或）发包人代表未能在约定的时间到场，也未另外发出指令，为确保系统的安全和可靠投运，承包人不能进行系统检（试）验，应该另行协商确定时间。</w:t>
      </w:r>
    </w:p>
    <w:p w14:paraId="7971B2D0">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上述系统检（试）验并不能解除承包人对合同所承担的任何责任。</w:t>
      </w:r>
    </w:p>
    <w:p w14:paraId="5FDA89A3">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13.4.3完工检（试）验：承包人提交机械完工申请后，应进行机械完工检（试）验工作，机械完工检（试）验由监理人主持，发包人代表参加，机械完工检（试）验是对工程能否投入试运行的全面考核，承包人应根据监理人的指令提供机械完工检（试）验大纲，并作好一切准备工作，监理人应至少提前48小时通知承包人和发包人。检（试）验结束后承包人应编制检（试）验报告，载明检（试）验状况、存在问题与最后结论，报监理人认可。</w:t>
      </w:r>
    </w:p>
    <w:p w14:paraId="76314C5D">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上述机械完工检（试）验并不能解除承包人对合同所承担的任何责任。</w:t>
      </w:r>
    </w:p>
    <w:p w14:paraId="3DF42FBF">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13.4.4  机械完工证书：完工检（试）验合格后，监理人应在7天内批复承包人提交的机械完工申请，并确认工程机械完工日期、签发机械完工证书。</w:t>
      </w:r>
    </w:p>
    <w:p w14:paraId="5D2D35CB">
      <w:pPr>
        <w:widowControl w:val="0"/>
        <w:spacing w:before="120" w:beforeLines="50" w:line="276" w:lineRule="auto"/>
        <w:jc w:val="both"/>
        <w:outlineLvl w:val="4"/>
        <w:rPr>
          <w:rFonts w:ascii="宋体" w:hAnsi="宋体" w:eastAsia="宋体" w:cs="宋体"/>
          <w:b/>
          <w:color w:val="auto"/>
          <w:kern w:val="2"/>
          <w:sz w:val="21"/>
          <w:szCs w:val="22"/>
          <w:highlight w:val="none"/>
          <w:lang w:val="en-US" w:eastAsia="zh-CN" w:bidi="ar-SA"/>
        </w:rPr>
      </w:pPr>
      <w:bookmarkStart w:id="663" w:name="_Toc4274"/>
      <w:r>
        <w:rPr>
          <w:rFonts w:hint="eastAsia" w:ascii="宋体" w:hAnsi="宋体" w:eastAsia="宋体" w:cs="宋体"/>
          <w:b/>
          <w:color w:val="auto"/>
          <w:kern w:val="2"/>
          <w:sz w:val="21"/>
          <w:szCs w:val="22"/>
          <w:highlight w:val="none"/>
          <w:lang w:val="en-US" w:eastAsia="zh-CN" w:bidi="ar-SA"/>
        </w:rPr>
        <w:t>13.5 工程隐蔽部位覆盖前的检查</w:t>
      </w:r>
      <w:bookmarkEnd w:id="653"/>
      <w:bookmarkEnd w:id="654"/>
      <w:bookmarkEnd w:id="659"/>
      <w:bookmarkEnd w:id="660"/>
      <w:bookmarkEnd w:id="661"/>
      <w:bookmarkEnd w:id="662"/>
      <w:bookmarkEnd w:id="663"/>
    </w:p>
    <w:p w14:paraId="0B923AF1">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公路工程专用合同条款第13.5.1项补充：</w:t>
      </w:r>
    </w:p>
    <w:p w14:paraId="621E1775">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隐蔽工程覆盖前应经监理人检查签认，在关键工序施工和检验、进行监理验收时现场应拍摄或照相，并向监理人提供相关影像资料作为计量支付的依据。</w:t>
      </w:r>
    </w:p>
    <w:p w14:paraId="5E298C49">
      <w:pPr>
        <w:widowControl w:val="0"/>
        <w:spacing w:before="120" w:beforeLines="50" w:line="276" w:lineRule="auto"/>
        <w:jc w:val="both"/>
        <w:outlineLvl w:val="4"/>
        <w:rPr>
          <w:rFonts w:ascii="宋体" w:hAnsi="宋体" w:eastAsia="宋体" w:cs="宋体"/>
          <w:b/>
          <w:color w:val="auto"/>
          <w:kern w:val="2"/>
          <w:sz w:val="21"/>
          <w:szCs w:val="22"/>
          <w:highlight w:val="none"/>
          <w:lang w:val="en-US" w:eastAsia="zh-CN" w:bidi="ar-SA"/>
        </w:rPr>
      </w:pPr>
      <w:bookmarkStart w:id="664" w:name="_Toc9285"/>
      <w:bookmarkStart w:id="665" w:name="_Toc1574"/>
      <w:bookmarkStart w:id="666" w:name="_Toc20487"/>
      <w:bookmarkStart w:id="667" w:name="_Toc98194748"/>
      <w:bookmarkStart w:id="668" w:name="_Toc449711643"/>
      <w:bookmarkStart w:id="669" w:name="_Toc133536993"/>
      <w:r>
        <w:rPr>
          <w:rFonts w:hint="eastAsia" w:ascii="宋体" w:hAnsi="宋体" w:eastAsia="宋体" w:cs="宋体"/>
          <w:b/>
          <w:color w:val="auto"/>
          <w:kern w:val="2"/>
          <w:sz w:val="21"/>
          <w:szCs w:val="22"/>
          <w:highlight w:val="none"/>
          <w:lang w:val="en-US" w:eastAsia="zh-CN" w:bidi="ar-SA"/>
        </w:rPr>
        <w:t>13.6 清除不合格工程</w:t>
      </w:r>
      <w:bookmarkEnd w:id="664"/>
      <w:bookmarkEnd w:id="665"/>
      <w:bookmarkEnd w:id="666"/>
      <w:bookmarkEnd w:id="667"/>
      <w:bookmarkEnd w:id="668"/>
      <w:bookmarkEnd w:id="669"/>
    </w:p>
    <w:p w14:paraId="490C0E81">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公路工程专用合同条款第13.6.1项（1）目细化为：</w:t>
      </w:r>
    </w:p>
    <w:p w14:paraId="58482E74">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承包人使用不合格材料、工程设备，或采用不适当的施工工艺，或未按图纸施工，或施工不当，造成工程不合格的，监理人可以随时发出指示，要求承包人立即采取措施进行替换、补救或拆除重建，直至达到合同要求的质量标准，由此增加的费用和（或）工期延误由承包人承担。</w:t>
      </w:r>
    </w:p>
    <w:p w14:paraId="0CAB9CBE">
      <w:pPr>
        <w:widowControl w:val="0"/>
        <w:tabs>
          <w:tab w:val="left" w:pos="2790"/>
        </w:tabs>
        <w:spacing w:line="400" w:lineRule="exact"/>
        <w:ind w:firstLine="422" w:firstLineChars="200"/>
        <w:jc w:val="both"/>
        <w:rPr>
          <w:rFonts w:ascii="宋体" w:hAnsi="宋体" w:eastAsia="宋体" w:cs="宋体"/>
          <w:b/>
          <w:bCs/>
          <w:color w:val="auto"/>
          <w:kern w:val="2"/>
          <w:sz w:val="21"/>
          <w:szCs w:val="21"/>
          <w:highlight w:val="none"/>
          <w:lang w:val="en-US" w:eastAsia="zh-CN" w:bidi="ar-SA"/>
        </w:rPr>
      </w:pPr>
      <w:r>
        <w:rPr>
          <w:rFonts w:hint="eastAsia" w:ascii="宋体" w:hAnsi="宋体" w:eastAsia="宋体" w:cs="宋体"/>
          <w:b/>
          <w:bCs/>
          <w:color w:val="auto"/>
          <w:kern w:val="2"/>
          <w:sz w:val="21"/>
          <w:szCs w:val="21"/>
          <w:highlight w:val="none"/>
          <w:lang w:val="en-US" w:eastAsia="zh-CN" w:bidi="ar-SA"/>
        </w:rPr>
        <w:t>违反本款规定，则按第22.1款承包人违约处理。</w:t>
      </w:r>
    </w:p>
    <w:p w14:paraId="39A04B28">
      <w:pPr>
        <w:widowControl w:val="0"/>
        <w:tabs>
          <w:tab w:val="left" w:pos="2790"/>
        </w:tabs>
        <w:spacing w:line="400" w:lineRule="exact"/>
        <w:ind w:firstLine="422" w:firstLineChars="200"/>
        <w:jc w:val="both"/>
        <w:rPr>
          <w:rFonts w:ascii="宋体" w:hAnsi="宋体" w:eastAsia="宋体" w:cs="宋体"/>
          <w:b/>
          <w:bCs/>
          <w:color w:val="auto"/>
          <w:kern w:val="2"/>
          <w:sz w:val="21"/>
          <w:szCs w:val="21"/>
          <w:highlight w:val="none"/>
          <w:lang w:val="en-US" w:eastAsia="zh-CN" w:bidi="ar-SA"/>
        </w:rPr>
      </w:pPr>
      <w:r>
        <w:rPr>
          <w:rFonts w:hint="eastAsia" w:ascii="宋体" w:hAnsi="宋体" w:eastAsia="宋体" w:cs="宋体"/>
          <w:b/>
          <w:bCs/>
          <w:color w:val="auto"/>
          <w:kern w:val="2"/>
          <w:sz w:val="21"/>
          <w:szCs w:val="21"/>
          <w:highlight w:val="none"/>
          <w:lang w:val="en-US" w:eastAsia="zh-CN" w:bidi="ar-SA"/>
        </w:rPr>
        <w:t>公路工程专用合同条款补充第13.6.1项（3）目：</w:t>
      </w:r>
    </w:p>
    <w:p w14:paraId="286BFC51">
      <w:pPr>
        <w:widowControl w:val="0"/>
        <w:tabs>
          <w:tab w:val="left" w:pos="2790"/>
        </w:tabs>
        <w:spacing w:line="400" w:lineRule="exact"/>
        <w:ind w:firstLine="422" w:firstLineChars="200"/>
        <w:jc w:val="both"/>
        <w:rPr>
          <w:rFonts w:ascii="宋体" w:hAnsi="宋体" w:eastAsia="宋体" w:cs="宋体"/>
          <w:b/>
          <w:bCs/>
          <w:color w:val="auto"/>
          <w:kern w:val="2"/>
          <w:sz w:val="21"/>
          <w:szCs w:val="21"/>
          <w:highlight w:val="none"/>
          <w:lang w:val="en-US" w:eastAsia="zh-CN" w:bidi="ar-SA"/>
        </w:rPr>
      </w:pPr>
      <w:r>
        <w:rPr>
          <w:rFonts w:hint="eastAsia" w:ascii="宋体" w:hAnsi="宋体" w:eastAsia="宋体" w:cs="宋体"/>
          <w:b/>
          <w:bCs/>
          <w:color w:val="auto"/>
          <w:kern w:val="2"/>
          <w:sz w:val="21"/>
          <w:szCs w:val="21"/>
          <w:highlight w:val="none"/>
          <w:lang w:val="en-US" w:eastAsia="zh-CN" w:bidi="ar-SA"/>
        </w:rPr>
        <w:t>（3）承包人应严格按照设计图纸、施工技术规范或规程等技术要求控制各类材料用量，若发现材料实际用量与技术要求的理论用量有偏差时，监理人可以随时发出指示，要求承包人暂停施工，并提供书面的技术说明，一经发现此类问题，发包人有权按第22.1款对承包人采取相应违约处罚。若监理人认为承包人的理由不充分，影响工程质量的，应要求承包人立即采取措施进行补救或整改或拆除重建，直至达到合同要求的质量标准；由此增加的费用和（或）工期延误由承包人承担。</w:t>
      </w:r>
    </w:p>
    <w:p w14:paraId="0071BEDB">
      <w:pPr>
        <w:widowControl w:val="0"/>
        <w:tabs>
          <w:tab w:val="left" w:pos="2790"/>
        </w:tabs>
        <w:spacing w:line="400" w:lineRule="exact"/>
        <w:ind w:firstLine="422"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b/>
          <w:bCs/>
          <w:color w:val="auto"/>
          <w:kern w:val="2"/>
          <w:sz w:val="21"/>
          <w:szCs w:val="21"/>
          <w:highlight w:val="none"/>
          <w:lang w:val="en-US" w:eastAsia="zh-CN" w:bidi="ar-SA"/>
        </w:rPr>
        <w:t>违反本款规定或同类事件再次发生的，则按第22.1款承包人违约处理。</w:t>
      </w:r>
    </w:p>
    <w:p w14:paraId="4F4DEDEE">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公路工程专用合同条款补充第13.7款：</w:t>
      </w:r>
    </w:p>
    <w:p w14:paraId="70889C93">
      <w:pPr>
        <w:widowControl w:val="0"/>
        <w:spacing w:before="120" w:beforeLines="50" w:line="276" w:lineRule="auto"/>
        <w:jc w:val="both"/>
        <w:outlineLvl w:val="4"/>
        <w:rPr>
          <w:rFonts w:ascii="宋体" w:hAnsi="宋体" w:eastAsia="宋体" w:cs="宋体"/>
          <w:b/>
          <w:color w:val="auto"/>
          <w:kern w:val="2"/>
          <w:sz w:val="21"/>
          <w:szCs w:val="22"/>
          <w:highlight w:val="none"/>
          <w:lang w:val="en-US" w:eastAsia="zh-CN" w:bidi="ar-SA"/>
        </w:rPr>
      </w:pPr>
      <w:bookmarkStart w:id="670" w:name="_Toc98194749"/>
      <w:bookmarkStart w:id="671" w:name="_Toc30625"/>
      <w:bookmarkStart w:id="672" w:name="_Toc17509"/>
      <w:bookmarkStart w:id="673" w:name="_Toc477764171"/>
      <w:bookmarkStart w:id="674" w:name="_Toc287272890"/>
      <w:bookmarkStart w:id="675" w:name="_Toc133536994"/>
      <w:bookmarkStart w:id="676" w:name="_Toc445203920"/>
      <w:bookmarkStart w:id="677" w:name="_Toc23927"/>
      <w:r>
        <w:rPr>
          <w:rFonts w:hint="eastAsia" w:ascii="宋体" w:hAnsi="宋体" w:eastAsia="宋体" w:cs="宋体"/>
          <w:b/>
          <w:color w:val="auto"/>
          <w:kern w:val="2"/>
          <w:sz w:val="21"/>
          <w:szCs w:val="22"/>
          <w:highlight w:val="none"/>
          <w:lang w:val="en-US" w:eastAsia="zh-CN" w:bidi="ar-SA"/>
        </w:rPr>
        <w:t>13.7质量抽检</w:t>
      </w:r>
      <w:bookmarkEnd w:id="670"/>
      <w:bookmarkEnd w:id="671"/>
      <w:bookmarkEnd w:id="672"/>
      <w:bookmarkEnd w:id="673"/>
      <w:bookmarkEnd w:id="674"/>
      <w:bookmarkEnd w:id="675"/>
      <w:bookmarkEnd w:id="676"/>
      <w:bookmarkEnd w:id="677"/>
    </w:p>
    <w:p w14:paraId="2B621500">
      <w:pPr>
        <w:widowControl w:val="0"/>
        <w:tabs>
          <w:tab w:val="left" w:pos="2790"/>
        </w:tabs>
        <w:snapToGrid w:val="0"/>
        <w:spacing w:line="400" w:lineRule="exact"/>
        <w:ind w:firstLine="420" w:firstLineChars="200"/>
        <w:jc w:val="both"/>
        <w:rPr>
          <w:rFonts w:ascii="宋体" w:hAnsi="宋体" w:eastAsia="宋体" w:cs="宋体"/>
          <w:color w:val="auto"/>
          <w:kern w:val="2"/>
          <w:sz w:val="21"/>
          <w:szCs w:val="21"/>
          <w:highlight w:val="none"/>
          <w:lang w:val="en-US" w:eastAsia="zh-CN" w:bidi="ar-SA"/>
        </w:rPr>
      </w:pPr>
      <w:bookmarkStart w:id="678" w:name="_Toc488333224"/>
      <w:bookmarkStart w:id="679" w:name="_Toc445203921"/>
      <w:bookmarkStart w:id="680" w:name="_Toc287272891"/>
      <w:bookmarkStart w:id="681" w:name="_Toc477764172"/>
      <w:r>
        <w:rPr>
          <w:rFonts w:hint="eastAsia" w:ascii="宋体" w:hAnsi="宋体" w:eastAsia="宋体" w:cs="宋体"/>
          <w:color w:val="auto"/>
          <w:kern w:val="2"/>
          <w:sz w:val="21"/>
          <w:szCs w:val="21"/>
          <w:highlight w:val="none"/>
          <w:lang w:val="en-US" w:eastAsia="zh-CN" w:bidi="ar-SA"/>
        </w:rPr>
        <w:t>主管交通工程质量监督机构有权对承包人施工质量随时进行抽检，并通过监理人对工程质量实施否决，承包人应积极配合并免费提供试验用的试件。承包人为配合上述工作发生的材料、机械、人员及试验和检验等费用不另行支付。</w:t>
      </w:r>
    </w:p>
    <w:p w14:paraId="209C655E">
      <w:pPr>
        <w:keepNext/>
        <w:keepLines/>
        <w:widowControl w:val="0"/>
        <w:spacing w:before="120" w:after="0" w:line="360" w:lineRule="auto"/>
        <w:jc w:val="both"/>
        <w:outlineLvl w:val="3"/>
        <w:rPr>
          <w:rFonts w:ascii="宋体" w:hAnsi="宋体" w:eastAsia="宋体" w:cs="宋体"/>
          <w:b/>
          <w:bCs/>
          <w:color w:val="auto"/>
          <w:kern w:val="2"/>
          <w:sz w:val="24"/>
          <w:szCs w:val="24"/>
          <w:highlight w:val="none"/>
          <w:lang w:val="en-US" w:eastAsia="zh-CN" w:bidi="ar-SA"/>
        </w:rPr>
      </w:pPr>
      <w:bookmarkStart w:id="682" w:name="_Toc498612667"/>
      <w:bookmarkStart w:id="683" w:name="_Toc521522300"/>
      <w:bookmarkStart w:id="684" w:name="_Toc497815081"/>
      <w:bookmarkStart w:id="685" w:name="_Toc7042"/>
      <w:bookmarkStart w:id="686" w:name="_Toc83398588"/>
      <w:bookmarkStart w:id="687" w:name="_Toc82849591"/>
      <w:bookmarkStart w:id="688" w:name="_Toc133536995"/>
      <w:bookmarkStart w:id="689" w:name="_Toc2692962"/>
      <w:bookmarkStart w:id="690" w:name="_Toc509845222"/>
      <w:bookmarkStart w:id="691" w:name="_Toc5166"/>
      <w:bookmarkStart w:id="692" w:name="_Toc98194750"/>
      <w:bookmarkStart w:id="693" w:name="_Toc1444"/>
      <w:bookmarkStart w:id="694" w:name="_Toc86616479"/>
      <w:bookmarkStart w:id="695" w:name="_Toc517356862"/>
      <w:bookmarkStart w:id="696" w:name="_Toc509090395"/>
      <w:r>
        <w:rPr>
          <w:rFonts w:hint="eastAsia" w:ascii="宋体" w:hAnsi="宋体" w:eastAsia="宋体" w:cs="宋体"/>
          <w:b/>
          <w:bCs/>
          <w:color w:val="auto"/>
          <w:kern w:val="2"/>
          <w:sz w:val="24"/>
          <w:szCs w:val="24"/>
          <w:highlight w:val="none"/>
          <w:lang w:val="en-US" w:eastAsia="zh-CN" w:bidi="ar-SA"/>
        </w:rPr>
        <w:t>14.试验和检验</w:t>
      </w:r>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p>
    <w:p w14:paraId="6C155E20">
      <w:pPr>
        <w:widowControl w:val="0"/>
        <w:spacing w:before="120" w:beforeLines="50" w:line="276" w:lineRule="auto"/>
        <w:jc w:val="both"/>
        <w:outlineLvl w:val="4"/>
        <w:rPr>
          <w:rFonts w:ascii="宋体" w:hAnsi="宋体" w:eastAsia="宋体" w:cs="宋体"/>
          <w:b/>
          <w:color w:val="auto"/>
          <w:kern w:val="2"/>
          <w:sz w:val="21"/>
          <w:szCs w:val="22"/>
          <w:highlight w:val="none"/>
          <w:lang w:val="en-US" w:eastAsia="zh-CN" w:bidi="ar-SA"/>
        </w:rPr>
      </w:pPr>
      <w:bookmarkStart w:id="697" w:name="_Toc15733"/>
      <w:bookmarkStart w:id="698" w:name="_Toc445203922"/>
      <w:bookmarkStart w:id="699" w:name="_Toc98194751"/>
      <w:bookmarkStart w:id="700" w:name="_Toc287272892"/>
      <w:bookmarkStart w:id="701" w:name="_Toc133536996"/>
      <w:bookmarkStart w:id="702" w:name="_Toc9319"/>
      <w:bookmarkStart w:id="703" w:name="_Toc5855"/>
      <w:bookmarkStart w:id="704" w:name="_Toc477764173"/>
      <w:r>
        <w:rPr>
          <w:rFonts w:hint="eastAsia" w:ascii="宋体" w:hAnsi="宋体" w:eastAsia="宋体" w:cs="宋体"/>
          <w:b/>
          <w:color w:val="auto"/>
          <w:kern w:val="2"/>
          <w:sz w:val="21"/>
          <w:szCs w:val="22"/>
          <w:highlight w:val="none"/>
          <w:lang w:val="en-US" w:eastAsia="zh-CN" w:bidi="ar-SA"/>
        </w:rPr>
        <w:t>14.1材料、工程设备和工程的试验和检验</w:t>
      </w:r>
      <w:bookmarkEnd w:id="697"/>
      <w:bookmarkEnd w:id="698"/>
      <w:bookmarkEnd w:id="699"/>
      <w:bookmarkEnd w:id="700"/>
      <w:bookmarkEnd w:id="701"/>
      <w:bookmarkEnd w:id="702"/>
      <w:bookmarkEnd w:id="703"/>
      <w:bookmarkEnd w:id="704"/>
    </w:p>
    <w:p w14:paraId="47B9C198">
      <w:pPr>
        <w:widowControl w:val="0"/>
        <w:tabs>
          <w:tab w:val="left" w:pos="2790"/>
        </w:tabs>
        <w:spacing w:line="400" w:lineRule="exact"/>
        <w:ind w:firstLine="422" w:firstLineChars="200"/>
        <w:jc w:val="both"/>
        <w:rPr>
          <w:rFonts w:ascii="宋体" w:hAnsi="宋体" w:eastAsia="宋体" w:cs="宋体"/>
          <w:b/>
          <w:bCs/>
          <w:color w:val="auto"/>
          <w:kern w:val="2"/>
          <w:sz w:val="21"/>
          <w:szCs w:val="21"/>
          <w:highlight w:val="none"/>
          <w:lang w:val="en-US" w:eastAsia="zh-CN" w:bidi="ar-SA"/>
        </w:rPr>
      </w:pPr>
      <w:bookmarkStart w:id="705" w:name="_Toc509090396"/>
      <w:bookmarkStart w:id="706" w:name="_Toc498612668"/>
      <w:bookmarkStart w:id="707" w:name="_Toc497815082"/>
      <w:bookmarkStart w:id="708" w:name="_Toc445203924"/>
      <w:bookmarkStart w:id="709" w:name="_Toc477764175"/>
      <w:bookmarkStart w:id="710" w:name="_Toc287272893"/>
      <w:bookmarkStart w:id="711" w:name="_Toc488333225"/>
      <w:bookmarkStart w:id="712" w:name="_Toc509845223"/>
      <w:r>
        <w:rPr>
          <w:rFonts w:hint="eastAsia" w:ascii="宋体" w:hAnsi="宋体" w:eastAsia="宋体" w:cs="宋体"/>
          <w:b/>
          <w:bCs/>
          <w:color w:val="auto"/>
          <w:kern w:val="2"/>
          <w:sz w:val="21"/>
          <w:szCs w:val="21"/>
          <w:highlight w:val="none"/>
          <w:lang w:val="en-US" w:eastAsia="zh-CN" w:bidi="ar-SA"/>
        </w:rPr>
        <w:t>通用合同条款第14.1.3项细化为：</w:t>
      </w:r>
    </w:p>
    <w:p w14:paraId="376E75EA">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14.1.3 试验检测工作应执行浙江省交通工程质量监督局《关于进一步加强我省公路水运工程试验检测管理工作的若干意见》（浙交监〔2015〕18号）的规定。监理人对承包人的试验和检验结果有疑问的，或为查清承包人试验和检验成果的可靠性要求承包人重新试验和检验的，可按合同约定由监理人与承包人共同进行，或由监理人委托第三方独立的检测单位，该检测单位必须具有国家技术监督局或专业机构的认证资格。重新试验和检验的结果证明该项材料、工程设备或工程的质量不符合合同要求的，由此增加的费用和（或）工期延误由承包人承担；重新试验和检验结果证明该项材料、工程设备和工程符合合同要求，由发包人承担由此增加的费用和（或）工期延误，并支付承包人合理利润。</w:t>
      </w:r>
    </w:p>
    <w:p w14:paraId="49695203">
      <w:pPr>
        <w:widowControl w:val="0"/>
        <w:tabs>
          <w:tab w:val="left" w:pos="2790"/>
        </w:tabs>
        <w:spacing w:line="400" w:lineRule="exact"/>
        <w:ind w:firstLine="422" w:firstLineChars="200"/>
        <w:jc w:val="both"/>
        <w:rPr>
          <w:rFonts w:ascii="宋体" w:hAnsi="宋体" w:eastAsia="宋体" w:cs="宋体"/>
          <w:b/>
          <w:bCs/>
          <w:color w:val="auto"/>
          <w:kern w:val="2"/>
          <w:sz w:val="21"/>
          <w:szCs w:val="24"/>
          <w:highlight w:val="none"/>
          <w:lang w:val="en-US" w:eastAsia="zh-CN" w:bidi="ar-SA"/>
        </w:rPr>
      </w:pPr>
      <w:r>
        <w:rPr>
          <w:rFonts w:hint="eastAsia" w:ascii="宋体" w:hAnsi="宋体" w:eastAsia="宋体" w:cs="宋体"/>
          <w:b/>
          <w:bCs/>
          <w:color w:val="auto"/>
          <w:kern w:val="2"/>
          <w:sz w:val="21"/>
          <w:szCs w:val="24"/>
          <w:highlight w:val="none"/>
          <w:lang w:val="en-US" w:eastAsia="zh-CN" w:bidi="ar-SA"/>
        </w:rPr>
        <w:t>通用合同条款补充第14.1.4项</w:t>
      </w:r>
    </w:p>
    <w:p w14:paraId="4A242BD4">
      <w:pPr>
        <w:widowControl w:val="0"/>
        <w:tabs>
          <w:tab w:val="left" w:pos="2790"/>
        </w:tabs>
        <w:spacing w:line="400" w:lineRule="exact"/>
        <w:ind w:firstLine="420" w:firstLineChars="200"/>
        <w:jc w:val="both"/>
        <w:rPr>
          <w:rFonts w:ascii="宋体" w:hAnsi="宋体" w:eastAsia="宋体" w:cs="宋体"/>
          <w:color w:val="auto"/>
          <w:kern w:val="2"/>
          <w:sz w:val="21"/>
          <w:szCs w:val="24"/>
          <w:highlight w:val="none"/>
          <w:lang w:val="en-US" w:eastAsia="zh-CN" w:bidi="ar-SA"/>
        </w:rPr>
      </w:pPr>
      <w:r>
        <w:rPr>
          <w:rFonts w:hint="eastAsia" w:ascii="宋体" w:hAnsi="宋体" w:eastAsia="宋体" w:cs="宋体"/>
          <w:color w:val="auto"/>
          <w:kern w:val="2"/>
          <w:sz w:val="21"/>
          <w:szCs w:val="24"/>
          <w:highlight w:val="none"/>
          <w:lang w:val="en-US" w:eastAsia="zh-CN" w:bidi="ar-SA"/>
        </w:rPr>
        <w:t>14.1.4  设备材料的到货检（试）验与拒收</w:t>
      </w:r>
    </w:p>
    <w:p w14:paraId="30F79D21">
      <w:pPr>
        <w:widowControl w:val="0"/>
        <w:tabs>
          <w:tab w:val="left" w:pos="2790"/>
        </w:tabs>
        <w:spacing w:line="400" w:lineRule="exact"/>
        <w:ind w:firstLine="420" w:firstLineChars="200"/>
        <w:jc w:val="both"/>
        <w:rPr>
          <w:rFonts w:ascii="宋体" w:hAnsi="宋体" w:eastAsia="宋体" w:cs="宋体"/>
          <w:color w:val="auto"/>
          <w:kern w:val="2"/>
          <w:sz w:val="21"/>
          <w:szCs w:val="24"/>
          <w:highlight w:val="none"/>
          <w:lang w:val="en-US" w:eastAsia="zh-CN" w:bidi="ar-SA"/>
        </w:rPr>
      </w:pPr>
      <w:r>
        <w:rPr>
          <w:rFonts w:hint="eastAsia" w:ascii="宋体" w:hAnsi="宋体" w:eastAsia="宋体" w:cs="宋体"/>
          <w:color w:val="auto"/>
          <w:kern w:val="2"/>
          <w:sz w:val="21"/>
          <w:szCs w:val="24"/>
          <w:highlight w:val="none"/>
          <w:lang w:val="en-US" w:eastAsia="zh-CN" w:bidi="ar-SA"/>
        </w:rPr>
        <w:t>根据设备材料的供货计划，设备材料到货后，承包人必须及时编制开箱报验单，写明设备材料的名称、规格型号、数量、包装、质量情况、随机备件附件资料等，经自验合格后，请监理人进行设备材料的到货检（试）验，确认合格后，才能用于工程。</w:t>
      </w:r>
    </w:p>
    <w:p w14:paraId="54C13D35">
      <w:pPr>
        <w:widowControl w:val="0"/>
        <w:tabs>
          <w:tab w:val="left" w:pos="2790"/>
        </w:tabs>
        <w:spacing w:line="400" w:lineRule="exact"/>
        <w:ind w:firstLine="420" w:firstLineChars="200"/>
        <w:jc w:val="both"/>
        <w:rPr>
          <w:rFonts w:ascii="宋体" w:hAnsi="宋体" w:eastAsia="宋体" w:cs="宋体"/>
          <w:color w:val="auto"/>
          <w:kern w:val="2"/>
          <w:sz w:val="21"/>
          <w:szCs w:val="24"/>
          <w:highlight w:val="none"/>
          <w:lang w:val="en-US" w:eastAsia="zh-CN" w:bidi="ar-SA"/>
        </w:rPr>
      </w:pPr>
      <w:r>
        <w:rPr>
          <w:rFonts w:hint="eastAsia" w:ascii="宋体" w:hAnsi="宋体" w:eastAsia="宋体" w:cs="宋体"/>
          <w:color w:val="auto"/>
          <w:kern w:val="2"/>
          <w:sz w:val="21"/>
          <w:szCs w:val="24"/>
          <w:highlight w:val="none"/>
          <w:lang w:val="en-US" w:eastAsia="zh-CN" w:bidi="ar-SA"/>
        </w:rPr>
        <w:t>如果监理人根据本条的检查或检验的结果，确定设备或材料有缺陷或不符合合同要求，监理人可以拒收设备或材料，并就此立即通知承包人，说明监理人的拒收与理由。承包人应立即修复所述缺陷，或替换被拒收的设备或材料，使其符合合同的规定，并提交监理人复验。如果监理人要求在相同条件下进行或重做被拒收设备或材料的检验，则重复检验所发生的全部费用由承包人负责，由发包人从承包人相应款项中扣回，监理人应通知承包人，抄送发包人。</w:t>
      </w:r>
    </w:p>
    <w:p w14:paraId="48B5F1CB">
      <w:pPr>
        <w:keepNext/>
        <w:keepLines/>
        <w:widowControl w:val="0"/>
        <w:spacing w:before="120" w:after="0" w:line="360" w:lineRule="auto"/>
        <w:jc w:val="both"/>
        <w:outlineLvl w:val="3"/>
        <w:rPr>
          <w:rFonts w:ascii="宋体" w:hAnsi="宋体" w:eastAsia="宋体" w:cs="宋体"/>
          <w:b/>
          <w:bCs/>
          <w:color w:val="auto"/>
          <w:kern w:val="2"/>
          <w:sz w:val="24"/>
          <w:szCs w:val="24"/>
          <w:highlight w:val="none"/>
          <w:lang w:val="en-US" w:eastAsia="zh-CN" w:bidi="ar-SA"/>
        </w:rPr>
      </w:pPr>
      <w:bookmarkStart w:id="713" w:name="_Toc3906"/>
      <w:bookmarkStart w:id="714" w:name="_Toc8782"/>
      <w:bookmarkStart w:id="715" w:name="_Toc82849592"/>
      <w:bookmarkStart w:id="716" w:name="_Toc133536998"/>
      <w:bookmarkStart w:id="717" w:name="_Toc521522301"/>
      <w:bookmarkStart w:id="718" w:name="_Toc517356863"/>
      <w:bookmarkStart w:id="719" w:name="_Toc14472"/>
      <w:bookmarkStart w:id="720" w:name="_Toc2692963"/>
      <w:bookmarkStart w:id="721" w:name="_Toc98194753"/>
      <w:bookmarkStart w:id="722" w:name="_Toc83398589"/>
      <w:bookmarkStart w:id="723" w:name="_Toc86616480"/>
      <w:r>
        <w:rPr>
          <w:rFonts w:hint="eastAsia" w:ascii="宋体" w:hAnsi="宋体" w:eastAsia="宋体" w:cs="宋体"/>
          <w:b/>
          <w:bCs/>
          <w:color w:val="auto"/>
          <w:kern w:val="2"/>
          <w:sz w:val="24"/>
          <w:szCs w:val="24"/>
          <w:highlight w:val="none"/>
          <w:lang w:val="en-US" w:eastAsia="zh-CN" w:bidi="ar-SA"/>
        </w:rPr>
        <w:t>15.变更</w:t>
      </w:r>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p>
    <w:p w14:paraId="0DC2599E">
      <w:pPr>
        <w:widowControl w:val="0"/>
        <w:spacing w:before="120" w:beforeLines="50" w:line="276" w:lineRule="auto"/>
        <w:jc w:val="both"/>
        <w:outlineLvl w:val="4"/>
        <w:rPr>
          <w:rFonts w:ascii="宋体" w:hAnsi="宋体" w:eastAsia="宋体" w:cs="宋体"/>
          <w:b/>
          <w:color w:val="auto"/>
          <w:kern w:val="2"/>
          <w:sz w:val="21"/>
          <w:szCs w:val="22"/>
          <w:highlight w:val="none"/>
          <w:lang w:val="en-US" w:eastAsia="zh-CN" w:bidi="ar-SA"/>
        </w:rPr>
      </w:pPr>
      <w:bookmarkStart w:id="724" w:name="_Toc13272"/>
      <w:bookmarkStart w:id="725" w:name="_Toc133536999"/>
      <w:bookmarkStart w:id="726" w:name="_Toc477764176"/>
      <w:bookmarkStart w:id="727" w:name="_Toc445203925"/>
      <w:bookmarkStart w:id="728" w:name="_Toc98194754"/>
      <w:bookmarkStart w:id="729" w:name="_Toc18299"/>
      <w:bookmarkStart w:id="730" w:name="_Toc31186"/>
      <w:bookmarkStart w:id="731" w:name="_Toc287272894"/>
      <w:r>
        <w:rPr>
          <w:rFonts w:hint="eastAsia" w:ascii="宋体" w:hAnsi="宋体" w:eastAsia="宋体" w:cs="宋体"/>
          <w:b/>
          <w:color w:val="auto"/>
          <w:kern w:val="2"/>
          <w:sz w:val="21"/>
          <w:szCs w:val="22"/>
          <w:highlight w:val="none"/>
          <w:lang w:val="en-US" w:eastAsia="zh-CN" w:bidi="ar-SA"/>
        </w:rPr>
        <w:t>15.3 变更程序</w:t>
      </w:r>
      <w:bookmarkEnd w:id="724"/>
      <w:bookmarkEnd w:id="725"/>
      <w:bookmarkEnd w:id="726"/>
      <w:bookmarkEnd w:id="727"/>
      <w:bookmarkEnd w:id="728"/>
      <w:bookmarkEnd w:id="729"/>
      <w:bookmarkEnd w:id="730"/>
    </w:p>
    <w:p w14:paraId="6FD12CF8">
      <w:pPr>
        <w:widowControl w:val="0"/>
        <w:tabs>
          <w:tab w:val="left" w:pos="2790"/>
        </w:tabs>
        <w:spacing w:line="400" w:lineRule="exact"/>
        <w:ind w:firstLine="422" w:firstLineChars="200"/>
        <w:jc w:val="both"/>
        <w:rPr>
          <w:rFonts w:ascii="宋体" w:hAnsi="宋体" w:eastAsia="宋体" w:cs="宋体"/>
          <w:b/>
          <w:bCs/>
          <w:color w:val="auto"/>
          <w:kern w:val="2"/>
          <w:sz w:val="21"/>
          <w:szCs w:val="21"/>
          <w:highlight w:val="none"/>
          <w:lang w:val="en-US" w:eastAsia="zh-CN" w:bidi="ar-SA"/>
        </w:rPr>
      </w:pPr>
      <w:bookmarkStart w:id="732" w:name="_Toc445203926"/>
      <w:r>
        <w:rPr>
          <w:rFonts w:hint="eastAsia" w:ascii="宋体" w:hAnsi="宋体" w:eastAsia="宋体" w:cs="宋体"/>
          <w:b/>
          <w:bCs/>
          <w:color w:val="auto"/>
          <w:kern w:val="2"/>
          <w:sz w:val="21"/>
          <w:szCs w:val="21"/>
          <w:highlight w:val="none"/>
          <w:lang w:val="en-US" w:eastAsia="zh-CN" w:bidi="ar-SA"/>
        </w:rPr>
        <w:t>公路工程专用合同条款第15.3.4项细化为：</w:t>
      </w:r>
    </w:p>
    <w:p w14:paraId="2A7848BA">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15.3.4本项目所有工程内容的设计变更程序、方法均执行交通运输部《公路工程设计变更管理办法》（交通运输部令2005年第5号）、浙江省交通运输厅《关于印发&lt;浙江省普通国省道干线公路工程设计变更管理实施细则&gt;的通知》（浙交﹝2017﹞34号）</w:t>
      </w:r>
      <w:r>
        <w:rPr>
          <w:rFonts w:hint="eastAsia" w:ascii="宋体" w:hAnsi="宋体" w:cs="宋体"/>
          <w:color w:val="auto"/>
          <w:kern w:val="2"/>
          <w:sz w:val="21"/>
          <w:szCs w:val="21"/>
          <w:highlight w:val="none"/>
          <w:lang w:val="en-US" w:eastAsia="zh-CN" w:bidi="ar-SA"/>
        </w:rPr>
        <w:t>、泰顺县人民政府《关于印发泰顺县公路工程建设项目设计变更管理办法》（泰政办〔2022〕7号）</w:t>
      </w:r>
      <w:r>
        <w:rPr>
          <w:rFonts w:hint="eastAsia" w:ascii="宋体" w:hAnsi="宋体" w:eastAsia="宋体" w:cs="宋体"/>
          <w:color w:val="auto"/>
          <w:kern w:val="2"/>
          <w:sz w:val="21"/>
          <w:szCs w:val="21"/>
          <w:highlight w:val="none"/>
          <w:lang w:val="en-US" w:eastAsia="zh-CN" w:bidi="ar-SA"/>
        </w:rPr>
        <w:t>等的相关规定和要求。</w:t>
      </w:r>
    </w:p>
    <w:p w14:paraId="60EA87DF">
      <w:pPr>
        <w:widowControl w:val="0"/>
        <w:spacing w:before="120" w:beforeLines="50" w:line="276" w:lineRule="auto"/>
        <w:jc w:val="both"/>
        <w:outlineLvl w:val="4"/>
        <w:rPr>
          <w:rFonts w:ascii="宋体" w:hAnsi="宋体" w:eastAsia="宋体" w:cs="宋体"/>
          <w:b/>
          <w:color w:val="auto"/>
          <w:kern w:val="2"/>
          <w:sz w:val="21"/>
          <w:szCs w:val="22"/>
          <w:highlight w:val="none"/>
          <w:lang w:val="en-US" w:eastAsia="zh-CN" w:bidi="ar-SA"/>
        </w:rPr>
      </w:pPr>
      <w:bookmarkStart w:id="733" w:name="_Toc98194755"/>
      <w:bookmarkStart w:id="734" w:name="_Toc29007"/>
      <w:bookmarkStart w:id="735" w:name="_Toc133537000"/>
      <w:bookmarkStart w:id="736" w:name="_Toc10445"/>
      <w:bookmarkStart w:id="737" w:name="_Toc30761"/>
      <w:bookmarkStart w:id="738" w:name="_Toc509845224"/>
      <w:r>
        <w:rPr>
          <w:rFonts w:hint="eastAsia" w:ascii="宋体" w:hAnsi="宋体" w:eastAsia="宋体" w:cs="宋体"/>
          <w:b/>
          <w:color w:val="auto"/>
          <w:kern w:val="2"/>
          <w:sz w:val="21"/>
          <w:szCs w:val="22"/>
          <w:highlight w:val="none"/>
          <w:lang w:val="en-US" w:eastAsia="zh-CN" w:bidi="ar-SA"/>
        </w:rPr>
        <w:t>15.4 变更的估价原则</w:t>
      </w:r>
      <w:bookmarkEnd w:id="731"/>
      <w:bookmarkEnd w:id="732"/>
      <w:bookmarkEnd w:id="733"/>
      <w:bookmarkEnd w:id="734"/>
      <w:bookmarkEnd w:id="735"/>
      <w:bookmarkEnd w:id="736"/>
      <w:bookmarkEnd w:id="737"/>
      <w:bookmarkEnd w:id="738"/>
    </w:p>
    <w:p w14:paraId="43DB7A29">
      <w:pPr>
        <w:widowControl w:val="0"/>
        <w:tabs>
          <w:tab w:val="left" w:pos="2790"/>
        </w:tabs>
        <w:spacing w:line="400" w:lineRule="exact"/>
        <w:ind w:firstLine="422" w:firstLineChars="200"/>
        <w:jc w:val="both"/>
        <w:rPr>
          <w:rFonts w:ascii="宋体" w:hAnsi="宋体" w:eastAsia="宋体" w:cs="宋体"/>
          <w:b/>
          <w:bCs/>
          <w:color w:val="auto"/>
          <w:kern w:val="2"/>
          <w:sz w:val="21"/>
          <w:szCs w:val="21"/>
          <w:highlight w:val="none"/>
          <w:lang w:val="en-US" w:eastAsia="zh-CN" w:bidi="ar-SA"/>
        </w:rPr>
      </w:pPr>
      <w:r>
        <w:rPr>
          <w:rFonts w:hint="eastAsia" w:ascii="宋体" w:hAnsi="宋体" w:eastAsia="宋体" w:cs="宋体"/>
          <w:b/>
          <w:bCs/>
          <w:color w:val="auto"/>
          <w:kern w:val="2"/>
          <w:sz w:val="21"/>
          <w:szCs w:val="21"/>
          <w:highlight w:val="none"/>
          <w:lang w:val="en-US" w:eastAsia="zh-CN" w:bidi="ar-SA"/>
        </w:rPr>
        <w:t>公路工程专用合同条款第15.4.2项细化为：</w:t>
      </w:r>
    </w:p>
    <w:p w14:paraId="5DF5EE73">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15.4.2 已标价的工程量清单中有适用于变更工作的子目的，采用该子目的单价。但是，如果合同的工程量清单中某一个支付子目所列的“合价”（含变更后的“合价”）超过签约合同价的2%，而且该支付子目变更后的工程实际增（或减）数量超过工程量清单中所列数量的25％，则该支付子目的单价发包人有权予以调整，新单价的确定原则适用15.4.4项的规定。当支付子目变更后的工程实际增加数量超过工程量清单中所列数量的25％的，调整后的新单价适用于该支付子目超过工程量清单中所列数量的工程数量；当支付子目变更后的工程实际减少数量超过工程量清单中所列数量的25％的，调整后的新单价适用于该支付子目全部工程数量。</w:t>
      </w:r>
    </w:p>
    <w:p w14:paraId="5E6409A8">
      <w:pPr>
        <w:widowControl w:val="0"/>
        <w:tabs>
          <w:tab w:val="left" w:pos="2790"/>
        </w:tabs>
        <w:spacing w:line="400" w:lineRule="exact"/>
        <w:ind w:firstLine="422" w:firstLineChars="200"/>
        <w:jc w:val="both"/>
        <w:rPr>
          <w:rFonts w:ascii="宋体" w:hAnsi="宋体" w:eastAsia="宋体" w:cs="宋体"/>
          <w:b/>
          <w:bCs/>
          <w:color w:val="auto"/>
          <w:kern w:val="2"/>
          <w:sz w:val="21"/>
          <w:szCs w:val="21"/>
          <w:highlight w:val="none"/>
          <w:lang w:val="en-US" w:eastAsia="zh-CN" w:bidi="ar-SA"/>
        </w:rPr>
      </w:pPr>
      <w:r>
        <w:rPr>
          <w:rFonts w:hint="eastAsia" w:ascii="宋体" w:hAnsi="宋体" w:eastAsia="宋体" w:cs="宋体"/>
          <w:b/>
          <w:bCs/>
          <w:color w:val="auto"/>
          <w:kern w:val="2"/>
          <w:sz w:val="21"/>
          <w:szCs w:val="21"/>
          <w:highlight w:val="none"/>
          <w:lang w:val="en-US" w:eastAsia="zh-CN" w:bidi="ar-SA"/>
        </w:rPr>
        <w:t>公路工程专用合同条款15.4.4项细化为：</w:t>
      </w:r>
    </w:p>
    <w:p w14:paraId="5A237040">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15.4.4 已标价工程量清单中无适用或类似子目的单价，按以下原则进行组价：</w:t>
      </w:r>
    </w:p>
    <w:p w14:paraId="36C1B769">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按交通运输部《公路工程建设项目概算预算编制办法》（JTG3830—2018）、《公路工程预算定额》（JTG/T3832-2018）、《公路工程机械台班费用定额》（JTG/T3833-2018）、浙江省交通运输厅《转发交通部2018年第86号公告的通知》、《财政部税务总局海关总署关于深化增值税改革有关政策的公告》等有关文件及浙江省补充定额进行组价；取费时施工场地建设费和安全生产费不得计取。</w:t>
      </w:r>
    </w:p>
    <w:p w14:paraId="73FD6E59">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2）无法套用上述定额和取费标准的，借用水运、市政、水利、铁路、建筑定额消耗，参照公路组价办法进行组价。上述定额有区域性的，优先适用浙江定额与取费标准。无法套用现行任何定额的，则由承包人提出组价方案，由监理人审核，并经发包人审批同意后计取。</w:t>
      </w:r>
    </w:p>
    <w:p w14:paraId="2862D8E2">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（3）组价时，材料、机械台班单价按温州市交通工程管理中心发布的《温州市公路水运工程材料价格信息》2025年5月的</w:t>
      </w:r>
      <w:r>
        <w:rPr>
          <w:rFonts w:hint="eastAsia" w:ascii="宋体" w:hAnsi="宋体" w:cs="宋体"/>
          <w:color w:val="auto"/>
          <w:kern w:val="2"/>
          <w:sz w:val="21"/>
          <w:szCs w:val="21"/>
          <w:highlight w:val="none"/>
          <w:lang w:val="en-US" w:eastAsia="zh-CN" w:bidi="ar-SA"/>
        </w:rPr>
        <w:t>泰顺</w:t>
      </w:r>
      <w:r>
        <w:rPr>
          <w:rFonts w:hint="eastAsia" w:ascii="宋体" w:hAnsi="宋体" w:eastAsia="宋体" w:cs="宋体"/>
          <w:color w:val="auto"/>
          <w:kern w:val="2"/>
          <w:sz w:val="21"/>
          <w:szCs w:val="21"/>
          <w:highlight w:val="none"/>
          <w:lang w:val="en-US" w:eastAsia="zh-CN" w:bidi="ar-SA"/>
        </w:rPr>
        <w:t>县除税信息价计入，其中外购材料采用温州市除税信息价；沥青混凝土采用《温州工程造价信息》（2025年第5期）除税信息价；《温州市公路水运工程材料价格信息》中无信息价的，参考《温州工程造价信息》（2025年第5期）中的除税信息价；《温州工程造价信息》中也无信息价的，由承包人、监理人、发包人询价确定。</w:t>
      </w:r>
    </w:p>
    <w:p w14:paraId="0C505AD1">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（4）根据上述原则组价的综合单价，乘以承包人的投标价与招标时公布的工程量清单预算价的比例，作为该子目的单价。</w:t>
      </w:r>
    </w:p>
    <w:p w14:paraId="0DC0F3C2">
      <w:pPr>
        <w:keepNext/>
        <w:keepLines/>
        <w:widowControl w:val="0"/>
        <w:spacing w:before="120" w:after="0" w:line="360" w:lineRule="auto"/>
        <w:jc w:val="both"/>
        <w:outlineLvl w:val="3"/>
        <w:rPr>
          <w:rFonts w:ascii="宋体" w:hAnsi="宋体" w:eastAsia="宋体" w:cs="宋体"/>
          <w:b/>
          <w:bCs/>
          <w:color w:val="auto"/>
          <w:kern w:val="2"/>
          <w:sz w:val="24"/>
          <w:szCs w:val="24"/>
          <w:highlight w:val="none"/>
          <w:lang w:val="en-US" w:eastAsia="zh-CN" w:bidi="ar-SA"/>
        </w:rPr>
      </w:pPr>
      <w:bookmarkStart w:id="739" w:name="_Toc82849593"/>
      <w:bookmarkStart w:id="740" w:name="_Toc2692964"/>
      <w:bookmarkStart w:id="741" w:name="_Toc133537001"/>
      <w:bookmarkStart w:id="742" w:name="_Toc16311"/>
      <w:bookmarkStart w:id="743" w:name="_Toc521522302"/>
      <w:bookmarkStart w:id="744" w:name="_Toc6443"/>
      <w:bookmarkStart w:id="745" w:name="_Toc86616481"/>
      <w:bookmarkStart w:id="746" w:name="_Toc109080667"/>
      <w:bookmarkStart w:id="747" w:name="_Toc10815"/>
      <w:bookmarkStart w:id="748" w:name="_Toc83398590"/>
      <w:r>
        <w:rPr>
          <w:rFonts w:hint="eastAsia" w:ascii="宋体" w:hAnsi="宋体" w:eastAsia="宋体" w:cs="宋体"/>
          <w:b/>
          <w:bCs/>
          <w:color w:val="auto"/>
          <w:kern w:val="2"/>
          <w:sz w:val="24"/>
          <w:szCs w:val="24"/>
          <w:highlight w:val="none"/>
          <w:lang w:val="en-US" w:eastAsia="zh-CN" w:bidi="ar-SA"/>
        </w:rPr>
        <w:t>16.价格调整</w:t>
      </w:r>
      <w:bookmarkEnd w:id="107"/>
      <w:bookmarkEnd w:id="108"/>
      <w:bookmarkEnd w:id="109"/>
      <w:bookmarkEnd w:id="110"/>
      <w:bookmarkEnd w:id="111"/>
      <w:bookmarkEnd w:id="112"/>
      <w:bookmarkEnd w:id="113"/>
      <w:bookmarkEnd w:id="114"/>
      <w:bookmarkEnd w:id="115"/>
      <w:bookmarkEnd w:id="739"/>
      <w:bookmarkEnd w:id="740"/>
      <w:bookmarkEnd w:id="741"/>
      <w:bookmarkEnd w:id="742"/>
      <w:bookmarkEnd w:id="743"/>
      <w:bookmarkEnd w:id="744"/>
      <w:bookmarkEnd w:id="745"/>
      <w:bookmarkEnd w:id="746"/>
      <w:bookmarkEnd w:id="747"/>
      <w:bookmarkEnd w:id="748"/>
    </w:p>
    <w:p w14:paraId="4E48B7E0">
      <w:pPr>
        <w:widowControl w:val="0"/>
        <w:spacing w:before="120" w:beforeLines="50" w:line="276" w:lineRule="auto"/>
        <w:jc w:val="both"/>
        <w:outlineLvl w:val="4"/>
        <w:rPr>
          <w:rFonts w:ascii="宋体" w:hAnsi="宋体" w:eastAsia="宋体" w:cs="宋体"/>
          <w:b/>
          <w:color w:val="auto"/>
          <w:kern w:val="2"/>
          <w:sz w:val="21"/>
          <w:szCs w:val="22"/>
          <w:highlight w:val="none"/>
          <w:lang w:val="en-US" w:eastAsia="zh-CN" w:bidi="ar-SA"/>
        </w:rPr>
      </w:pPr>
      <w:bookmarkStart w:id="749" w:name="_Toc8115"/>
      <w:bookmarkStart w:id="750" w:name="_Toc133537002"/>
      <w:bookmarkStart w:id="751" w:name="_Toc27864"/>
      <w:bookmarkStart w:id="752" w:name="_Toc109080668"/>
      <w:bookmarkStart w:id="753" w:name="_Toc530"/>
      <w:bookmarkStart w:id="754" w:name="_Toc477764178"/>
      <w:bookmarkStart w:id="755" w:name="_Toc445203928"/>
      <w:bookmarkStart w:id="756" w:name="_Toc287428543"/>
      <w:r>
        <w:rPr>
          <w:rFonts w:hint="eastAsia" w:ascii="宋体" w:hAnsi="宋体" w:eastAsia="宋体" w:cs="宋体"/>
          <w:b/>
          <w:color w:val="auto"/>
          <w:kern w:val="2"/>
          <w:sz w:val="21"/>
          <w:szCs w:val="22"/>
          <w:highlight w:val="none"/>
          <w:lang w:val="en-US" w:eastAsia="zh-CN" w:bidi="ar-SA"/>
        </w:rPr>
        <w:t>16.1 物价波动引起的价格调整</w:t>
      </w:r>
      <w:bookmarkEnd w:id="749"/>
      <w:bookmarkEnd w:id="750"/>
      <w:bookmarkEnd w:id="751"/>
      <w:bookmarkEnd w:id="752"/>
      <w:bookmarkEnd w:id="753"/>
    </w:p>
    <w:p w14:paraId="2A50A9EF">
      <w:pPr>
        <w:spacing w:line="360" w:lineRule="exact"/>
        <w:textAlignment w:val="baseline"/>
        <w:rPr>
          <w:rFonts w:ascii="宋体" w:hAnsi="宋体" w:eastAsia="宋体" w:cs="宋体"/>
          <w:color w:val="auto"/>
          <w:sz w:val="24"/>
          <w:highlight w:val="none"/>
        </w:rPr>
      </w:pPr>
      <w:r>
        <w:rPr>
          <w:rFonts w:hint="eastAsia" w:ascii="宋体" w:hAnsi="宋体" w:eastAsia="宋体" w:cs="宋体"/>
          <w:b/>
          <w:color w:val="auto"/>
          <w:highlight w:val="none"/>
        </w:rPr>
        <w:t xml:space="preserve">  第16.1.2项约定为：</w:t>
      </w:r>
    </w:p>
    <w:p w14:paraId="2A744322">
      <w:pPr>
        <w:widowControl w:val="0"/>
        <w:tabs>
          <w:tab w:val="left" w:pos="2790"/>
        </w:tabs>
        <w:spacing w:line="400" w:lineRule="exact"/>
        <w:ind w:firstLine="422" w:firstLineChars="200"/>
        <w:jc w:val="both"/>
        <w:rPr>
          <w:rFonts w:ascii="宋体" w:hAnsi="宋体" w:eastAsia="宋体" w:cs="宋体"/>
          <w:b/>
          <w:bCs/>
          <w:color w:val="auto"/>
          <w:kern w:val="2"/>
          <w:sz w:val="21"/>
          <w:szCs w:val="21"/>
          <w:highlight w:val="none"/>
          <w:lang w:val="en-US" w:eastAsia="zh-CN" w:bidi="ar-SA"/>
        </w:rPr>
      </w:pPr>
      <w:r>
        <w:rPr>
          <w:rFonts w:hint="eastAsia" w:ascii="宋体" w:hAnsi="宋体" w:eastAsia="宋体" w:cs="宋体"/>
          <w:b/>
          <w:bCs/>
          <w:color w:val="auto"/>
          <w:kern w:val="2"/>
          <w:sz w:val="21"/>
          <w:szCs w:val="21"/>
          <w:highlight w:val="none"/>
          <w:lang w:val="en-US" w:eastAsia="zh-CN" w:bidi="ar-SA"/>
        </w:rPr>
        <w:t>第16.1.2项约定为：</w:t>
      </w:r>
    </w:p>
    <w:p w14:paraId="69182924">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16.1.2  采用造价信息调整价格差额</w:t>
      </w:r>
    </w:p>
    <w:p w14:paraId="6619550C">
      <w:pPr>
        <w:spacing w:line="400" w:lineRule="exact"/>
        <w:ind w:firstLine="420" w:firstLineChars="200"/>
        <w:textAlignment w:val="baseline"/>
        <w:rPr>
          <w:rFonts w:ascii="宋体" w:hAnsi="宋体" w:eastAsia="宋体" w:cs="宋体"/>
          <w:color w:val="auto"/>
          <w:szCs w:val="21"/>
          <w:highlight w:val="none"/>
        </w:rPr>
      </w:pPr>
      <w:r>
        <w:rPr>
          <w:rFonts w:hint="eastAsia" w:ascii="宋体" w:hAnsi="宋体" w:eastAsia="宋体" w:cs="宋体"/>
          <w:color w:val="auto"/>
          <w:szCs w:val="21"/>
          <w:highlight w:val="none"/>
        </w:rPr>
        <w:t>本项目在合同实施期间，对物价波动不进行价格调整。</w:t>
      </w:r>
    </w:p>
    <w:p w14:paraId="43865321">
      <w:pPr>
        <w:widowControl w:val="0"/>
        <w:spacing w:before="120" w:beforeLines="50" w:line="276" w:lineRule="auto"/>
        <w:jc w:val="both"/>
        <w:outlineLvl w:val="4"/>
        <w:rPr>
          <w:rFonts w:ascii="宋体" w:hAnsi="宋体" w:eastAsia="宋体" w:cs="宋体"/>
          <w:b/>
          <w:color w:val="auto"/>
          <w:kern w:val="2"/>
          <w:sz w:val="21"/>
          <w:szCs w:val="22"/>
          <w:highlight w:val="none"/>
          <w:lang w:val="en-US" w:eastAsia="zh-CN" w:bidi="ar-SA"/>
        </w:rPr>
      </w:pPr>
      <w:bookmarkStart w:id="757" w:name="_Toc133537003"/>
      <w:bookmarkStart w:id="758" w:name="_Toc98194758"/>
      <w:bookmarkStart w:id="759" w:name="_Toc27325"/>
      <w:bookmarkStart w:id="760" w:name="_Toc29985"/>
      <w:bookmarkStart w:id="761" w:name="_Toc3494"/>
      <w:r>
        <w:rPr>
          <w:rFonts w:hint="eastAsia" w:ascii="宋体" w:hAnsi="宋体" w:eastAsia="宋体" w:cs="宋体"/>
          <w:b/>
          <w:color w:val="auto"/>
          <w:kern w:val="2"/>
          <w:sz w:val="21"/>
          <w:szCs w:val="22"/>
          <w:highlight w:val="none"/>
          <w:lang w:val="en-US" w:eastAsia="zh-CN" w:bidi="ar-SA"/>
        </w:rPr>
        <w:t>16.2 法律变化引起的价格调整</w:t>
      </w:r>
      <w:bookmarkEnd w:id="757"/>
      <w:bookmarkEnd w:id="758"/>
      <w:bookmarkEnd w:id="759"/>
      <w:bookmarkEnd w:id="760"/>
      <w:bookmarkEnd w:id="761"/>
    </w:p>
    <w:p w14:paraId="6A280820">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通用合同条款第 16.2 款修改为：</w:t>
      </w:r>
    </w:p>
    <w:p w14:paraId="22309E94">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在基准日后，因法律变化导致承包人在合同履行中所需要的工程费用发生除第16.1款约定以外的增减时，监理人应根据法律、国家或省、自治区、直辖市有关部门的规定，按第3.5款商定或确定需调整的合同价款。</w:t>
      </w:r>
    </w:p>
    <w:p w14:paraId="7829AC26">
      <w:pPr>
        <w:widowControl w:val="0"/>
        <w:tabs>
          <w:tab w:val="left" w:pos="2790"/>
        </w:tabs>
        <w:spacing w:line="400" w:lineRule="exact"/>
        <w:ind w:firstLine="422" w:firstLineChars="200"/>
        <w:jc w:val="both"/>
        <w:rPr>
          <w:rFonts w:ascii="宋体" w:hAnsi="宋体" w:eastAsia="宋体" w:cs="宋体"/>
          <w:color w:val="auto"/>
          <w:kern w:val="2"/>
          <w:sz w:val="22"/>
          <w:szCs w:val="22"/>
          <w:highlight w:val="none"/>
          <w:lang w:val="en-US" w:eastAsia="zh-CN" w:bidi="ar-SA"/>
        </w:rPr>
      </w:pPr>
      <w:r>
        <w:rPr>
          <w:rFonts w:hint="eastAsia" w:ascii="宋体" w:hAnsi="宋体" w:eastAsia="宋体" w:cs="宋体"/>
          <w:b/>
          <w:bCs/>
          <w:color w:val="auto"/>
          <w:kern w:val="2"/>
          <w:sz w:val="21"/>
          <w:szCs w:val="21"/>
          <w:highlight w:val="none"/>
          <w:lang w:val="en-US" w:eastAsia="zh-CN" w:bidi="ar-SA"/>
        </w:rPr>
        <w:t>其中税金按国家最新的政策执行，以文件发布执行日为界限，已经计量的按老政策执行（差价不予调整），未计量的按新政策执行。</w:t>
      </w:r>
    </w:p>
    <w:bookmarkEnd w:id="754"/>
    <w:bookmarkEnd w:id="755"/>
    <w:bookmarkEnd w:id="756"/>
    <w:p w14:paraId="29EB3B61">
      <w:pPr>
        <w:keepNext/>
        <w:keepLines/>
        <w:widowControl w:val="0"/>
        <w:spacing w:before="120" w:after="0" w:line="360" w:lineRule="auto"/>
        <w:jc w:val="both"/>
        <w:outlineLvl w:val="3"/>
        <w:rPr>
          <w:rFonts w:ascii="宋体" w:hAnsi="宋体" w:eastAsia="宋体" w:cs="宋体"/>
          <w:b/>
          <w:bCs/>
          <w:color w:val="auto"/>
          <w:kern w:val="2"/>
          <w:sz w:val="24"/>
          <w:szCs w:val="24"/>
          <w:highlight w:val="none"/>
          <w:lang w:val="en-US" w:eastAsia="zh-CN" w:bidi="ar-SA"/>
        </w:rPr>
      </w:pPr>
      <w:bookmarkStart w:id="762" w:name="_Toc31534"/>
      <w:bookmarkStart w:id="763" w:name="_Toc509845228"/>
      <w:bookmarkStart w:id="764" w:name="_Toc517356865"/>
      <w:bookmarkStart w:id="765" w:name="_Toc497815084"/>
      <w:bookmarkStart w:id="766" w:name="_Toc83398591"/>
      <w:bookmarkStart w:id="767" w:name="_Toc109080669"/>
      <w:bookmarkStart w:id="768" w:name="_Toc509090398"/>
      <w:bookmarkStart w:id="769" w:name="_Toc521522303"/>
      <w:bookmarkStart w:id="770" w:name="_Toc498612670"/>
      <w:bookmarkStart w:id="771" w:name="_Toc445203929"/>
      <w:bookmarkStart w:id="772" w:name="_Toc488333227"/>
      <w:bookmarkStart w:id="773" w:name="_Toc82849594"/>
      <w:bookmarkStart w:id="774" w:name="_Toc86616482"/>
      <w:bookmarkStart w:id="775" w:name="_Toc133537004"/>
      <w:bookmarkStart w:id="776" w:name="_Toc2692965"/>
      <w:bookmarkStart w:id="777" w:name="_Toc477764180"/>
      <w:bookmarkStart w:id="778" w:name="_Toc13873"/>
      <w:bookmarkStart w:id="779" w:name="_Toc2226"/>
      <w:r>
        <w:rPr>
          <w:rFonts w:hint="eastAsia" w:ascii="宋体" w:hAnsi="宋体" w:eastAsia="宋体" w:cs="宋体"/>
          <w:b/>
          <w:bCs/>
          <w:color w:val="auto"/>
          <w:kern w:val="2"/>
          <w:sz w:val="24"/>
          <w:szCs w:val="24"/>
          <w:highlight w:val="none"/>
          <w:lang w:val="en-US" w:eastAsia="zh-CN" w:bidi="ar-SA"/>
        </w:rPr>
        <w:t>17 计量与支付</w:t>
      </w:r>
      <w:bookmarkEnd w:id="116"/>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p>
    <w:p w14:paraId="7D6B40CE">
      <w:pPr>
        <w:widowControl w:val="0"/>
        <w:spacing w:line="400" w:lineRule="exact"/>
        <w:jc w:val="both"/>
        <w:outlineLvl w:val="4"/>
        <w:rPr>
          <w:rFonts w:ascii="宋体" w:hAnsi="宋体" w:eastAsia="宋体" w:cs="宋体"/>
          <w:b/>
          <w:snapToGrid w:val="0"/>
          <w:color w:val="auto"/>
          <w:kern w:val="0"/>
          <w:sz w:val="21"/>
          <w:szCs w:val="22"/>
          <w:highlight w:val="none"/>
          <w:lang w:val="en-US" w:eastAsia="zh-CN" w:bidi="ar-SA"/>
        </w:rPr>
      </w:pPr>
      <w:bookmarkStart w:id="780" w:name="_Toc82370004"/>
      <w:bookmarkStart w:id="781" w:name="_Toc483"/>
      <w:bookmarkStart w:id="782" w:name="_Toc10556"/>
      <w:bookmarkStart w:id="783" w:name="_Toc133537005"/>
      <w:bookmarkStart w:id="784" w:name="_Toc19758"/>
      <w:bookmarkStart w:id="785" w:name="_Toc509845229"/>
      <w:bookmarkStart w:id="786" w:name="_Toc26016"/>
      <w:bookmarkStart w:id="787" w:name="_Toc445203930"/>
      <w:bookmarkStart w:id="788" w:name="_Toc477764182"/>
      <w:bookmarkStart w:id="789" w:name="_Toc98194760"/>
      <w:bookmarkStart w:id="790" w:name="_Toc509845244"/>
      <w:bookmarkStart w:id="791" w:name="_Toc477764199"/>
      <w:bookmarkStart w:id="792" w:name="_Toc498612676"/>
      <w:bookmarkStart w:id="793" w:name="_Toc509090404"/>
      <w:bookmarkStart w:id="794" w:name="_Toc86616488"/>
      <w:bookmarkStart w:id="795" w:name="_Toc521522309"/>
      <w:bookmarkStart w:id="796" w:name="_Toc83398597"/>
      <w:bookmarkStart w:id="797" w:name="_Toc287428556"/>
      <w:bookmarkStart w:id="798" w:name="_Toc416"/>
      <w:bookmarkStart w:id="799" w:name="_Toc445203945"/>
      <w:bookmarkStart w:id="800" w:name="_Toc497815090"/>
      <w:bookmarkStart w:id="801" w:name="_Toc517356871"/>
      <w:bookmarkStart w:id="802" w:name="_Toc82849600"/>
      <w:bookmarkStart w:id="803" w:name="_Toc488333234"/>
      <w:bookmarkStart w:id="804" w:name="_Toc2692971"/>
      <w:r>
        <w:rPr>
          <w:rFonts w:hint="eastAsia" w:ascii="宋体" w:hAnsi="宋体" w:eastAsia="宋体" w:cs="宋体"/>
          <w:b/>
          <w:snapToGrid w:val="0"/>
          <w:color w:val="auto"/>
          <w:kern w:val="0"/>
          <w:sz w:val="21"/>
          <w:szCs w:val="22"/>
          <w:highlight w:val="none"/>
          <w:lang w:val="en-US" w:eastAsia="zh-CN" w:bidi="ar-SA"/>
        </w:rPr>
        <w:t>17.1 计量</w:t>
      </w:r>
      <w:bookmarkEnd w:id="780"/>
      <w:bookmarkEnd w:id="781"/>
      <w:bookmarkEnd w:id="782"/>
      <w:bookmarkEnd w:id="783"/>
      <w:bookmarkEnd w:id="784"/>
    </w:p>
    <w:p w14:paraId="042376ED">
      <w:pPr>
        <w:widowControl w:val="0"/>
        <w:tabs>
          <w:tab w:val="left" w:pos="2790"/>
        </w:tabs>
        <w:spacing w:line="400" w:lineRule="exact"/>
        <w:ind w:firstLine="420" w:firstLineChars="200"/>
        <w:jc w:val="both"/>
        <w:rPr>
          <w:rFonts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17.1.5 总价子目的计量。</w:t>
      </w:r>
    </w:p>
    <w:p w14:paraId="6CB8DB32">
      <w:pPr>
        <w:widowControl w:val="0"/>
        <w:tabs>
          <w:tab w:val="left" w:pos="2790"/>
        </w:tabs>
        <w:spacing w:line="400" w:lineRule="exact"/>
        <w:ind w:firstLine="420" w:firstLineChars="200"/>
        <w:jc w:val="both"/>
        <w:rPr>
          <w:rFonts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本项目工程量清单中以总额为计量单位的总价子目，除安全生产费外，实行总价包干，合同履行过程中不予调整。</w:t>
      </w:r>
    </w:p>
    <w:p w14:paraId="09A1D209">
      <w:pPr>
        <w:widowControl w:val="0"/>
        <w:tabs>
          <w:tab w:val="left" w:pos="2790"/>
        </w:tabs>
        <w:spacing w:line="400" w:lineRule="exact"/>
        <w:ind w:firstLine="420" w:firstLineChars="200"/>
        <w:jc w:val="both"/>
        <w:rPr>
          <w:rFonts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总价子目的支付原则和支付进度见《第八章 工程量清单计量规则》。</w:t>
      </w:r>
    </w:p>
    <w:p w14:paraId="27131B09">
      <w:pPr>
        <w:widowControl w:val="0"/>
        <w:spacing w:before="120" w:beforeLines="50" w:line="276" w:lineRule="auto"/>
        <w:jc w:val="both"/>
        <w:outlineLvl w:val="4"/>
        <w:rPr>
          <w:rFonts w:ascii="宋体" w:hAnsi="宋体" w:eastAsia="宋体" w:cs="宋体"/>
          <w:b/>
          <w:color w:val="auto"/>
          <w:kern w:val="2"/>
          <w:sz w:val="21"/>
          <w:szCs w:val="22"/>
          <w:highlight w:val="none"/>
          <w:lang w:val="en-US" w:eastAsia="zh-CN" w:bidi="ar-SA"/>
        </w:rPr>
      </w:pPr>
      <w:bookmarkStart w:id="805" w:name="_Toc133537006"/>
      <w:bookmarkStart w:id="806" w:name="_Toc1230"/>
      <w:bookmarkStart w:id="807" w:name="_Toc23633"/>
      <w:r>
        <w:rPr>
          <w:rFonts w:hint="eastAsia" w:ascii="宋体" w:hAnsi="宋体" w:eastAsia="宋体" w:cs="宋体"/>
          <w:b/>
          <w:color w:val="auto"/>
          <w:kern w:val="2"/>
          <w:sz w:val="21"/>
          <w:szCs w:val="22"/>
          <w:highlight w:val="none"/>
          <w:lang w:val="en-US" w:eastAsia="zh-CN" w:bidi="ar-SA"/>
        </w:rPr>
        <w:t>17.2 预付款</w:t>
      </w:r>
      <w:bookmarkEnd w:id="785"/>
      <w:bookmarkEnd w:id="786"/>
      <w:bookmarkEnd w:id="787"/>
      <w:bookmarkEnd w:id="788"/>
      <w:bookmarkEnd w:id="789"/>
      <w:bookmarkEnd w:id="805"/>
      <w:bookmarkEnd w:id="806"/>
      <w:bookmarkEnd w:id="807"/>
    </w:p>
    <w:p w14:paraId="5DE6F7DC">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bookmarkStart w:id="808" w:name="_Toc234382907"/>
      <w:r>
        <w:rPr>
          <w:rFonts w:hint="eastAsia" w:ascii="宋体" w:hAnsi="宋体" w:eastAsia="宋体" w:cs="宋体"/>
          <w:color w:val="auto"/>
          <w:kern w:val="2"/>
          <w:sz w:val="21"/>
          <w:szCs w:val="21"/>
          <w:highlight w:val="none"/>
          <w:lang w:val="en-US" w:eastAsia="zh-CN" w:bidi="ar-SA"/>
        </w:rPr>
        <w:t>17.2.1 预付款</w:t>
      </w:r>
    </w:p>
    <w:p w14:paraId="39C03E2F">
      <w:pPr>
        <w:widowControl w:val="0"/>
        <w:tabs>
          <w:tab w:val="left" w:pos="2790"/>
        </w:tabs>
        <w:spacing w:line="400" w:lineRule="exact"/>
        <w:ind w:firstLine="422" w:firstLineChars="200"/>
        <w:jc w:val="both"/>
        <w:rPr>
          <w:rFonts w:ascii="宋体" w:hAnsi="宋体" w:eastAsia="宋体" w:cs="宋体"/>
          <w:color w:val="auto"/>
          <w:kern w:val="2"/>
          <w:sz w:val="21"/>
          <w:szCs w:val="21"/>
          <w:highlight w:val="none"/>
          <w:lang w:val="en-US" w:eastAsia="zh-CN" w:bidi="ar-SA"/>
        </w:rPr>
      </w:pPr>
      <w:r>
        <w:rPr>
          <w:rFonts w:hint="eastAsia" w:ascii="宋体" w:hAnsi="宋体" w:cs="宋体"/>
          <w:b/>
          <w:bCs/>
          <w:color w:val="auto"/>
          <w:kern w:val="2"/>
          <w:sz w:val="21"/>
          <w:szCs w:val="21"/>
          <w:highlight w:val="none"/>
          <w:lang w:val="en-US" w:eastAsia="zh-CN" w:bidi="ar-SA"/>
        </w:rPr>
        <w:t>本项目不适用</w:t>
      </w:r>
      <w:r>
        <w:rPr>
          <w:rFonts w:hint="eastAsia" w:ascii="宋体" w:hAnsi="宋体" w:eastAsia="宋体" w:cs="宋体"/>
          <w:color w:val="auto"/>
          <w:kern w:val="2"/>
          <w:sz w:val="21"/>
          <w:szCs w:val="21"/>
          <w:highlight w:val="none"/>
          <w:lang w:val="en-US" w:eastAsia="zh-CN" w:bidi="ar-SA"/>
        </w:rPr>
        <w:t>。</w:t>
      </w:r>
    </w:p>
    <w:p w14:paraId="06275ADC">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17.2.2 预付款保函</w:t>
      </w:r>
    </w:p>
    <w:p w14:paraId="2297C13B">
      <w:pPr>
        <w:widowControl w:val="0"/>
        <w:tabs>
          <w:tab w:val="left" w:pos="2790"/>
        </w:tabs>
        <w:spacing w:line="400" w:lineRule="exact"/>
        <w:ind w:firstLine="422" w:firstLineChars="200"/>
        <w:jc w:val="both"/>
        <w:rPr>
          <w:rFonts w:ascii="宋体" w:hAnsi="宋体" w:eastAsia="宋体" w:cs="宋体"/>
          <w:b/>
          <w:bCs/>
          <w:color w:val="auto"/>
          <w:kern w:val="2"/>
          <w:sz w:val="21"/>
          <w:szCs w:val="21"/>
          <w:highlight w:val="none"/>
          <w:lang w:val="en-US" w:eastAsia="zh-CN" w:bidi="ar-SA"/>
        </w:rPr>
      </w:pPr>
      <w:r>
        <w:rPr>
          <w:rFonts w:hint="eastAsia" w:ascii="宋体" w:hAnsi="宋体" w:eastAsia="宋体" w:cs="宋体"/>
          <w:b/>
          <w:bCs/>
          <w:color w:val="auto"/>
          <w:kern w:val="2"/>
          <w:sz w:val="21"/>
          <w:szCs w:val="21"/>
          <w:highlight w:val="none"/>
          <w:lang w:val="en-US" w:eastAsia="zh-CN" w:bidi="ar-SA"/>
        </w:rPr>
        <w:t>公路工程专用合同条款17.2.2修改为：</w:t>
      </w:r>
    </w:p>
    <w:p w14:paraId="7EBAE185">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承包人无需向发包人提交开工预付款保函。</w:t>
      </w:r>
    </w:p>
    <w:p w14:paraId="56764AE2">
      <w:pPr>
        <w:widowControl w:val="0"/>
        <w:spacing w:before="120" w:beforeLines="50" w:line="276" w:lineRule="auto"/>
        <w:jc w:val="both"/>
        <w:outlineLvl w:val="4"/>
        <w:rPr>
          <w:rFonts w:ascii="宋体" w:hAnsi="宋体" w:eastAsia="宋体" w:cs="宋体"/>
          <w:b/>
          <w:color w:val="auto"/>
          <w:kern w:val="2"/>
          <w:sz w:val="21"/>
          <w:szCs w:val="22"/>
          <w:highlight w:val="none"/>
          <w:lang w:val="en-US" w:eastAsia="zh-CN" w:bidi="ar-SA"/>
        </w:rPr>
      </w:pPr>
      <w:bookmarkStart w:id="809" w:name="_Toc32101"/>
      <w:bookmarkStart w:id="810" w:name="_Toc133537007"/>
      <w:bookmarkStart w:id="811" w:name="_Toc9172"/>
      <w:bookmarkStart w:id="812" w:name="_Toc20073"/>
      <w:bookmarkStart w:id="813" w:name="_Toc338772130"/>
      <w:bookmarkStart w:id="814" w:name="_Toc98194761"/>
      <w:r>
        <w:rPr>
          <w:rFonts w:hint="eastAsia" w:ascii="宋体" w:hAnsi="宋体" w:eastAsia="宋体" w:cs="宋体"/>
          <w:b/>
          <w:color w:val="auto"/>
          <w:kern w:val="2"/>
          <w:sz w:val="21"/>
          <w:szCs w:val="22"/>
          <w:highlight w:val="none"/>
          <w:lang w:val="en-US" w:eastAsia="zh-CN" w:bidi="ar-SA"/>
        </w:rPr>
        <w:t>17.3 工程进度付款</w:t>
      </w:r>
      <w:bookmarkEnd w:id="809"/>
      <w:bookmarkEnd w:id="810"/>
      <w:bookmarkEnd w:id="811"/>
      <w:bookmarkEnd w:id="812"/>
      <w:bookmarkEnd w:id="813"/>
      <w:bookmarkEnd w:id="814"/>
    </w:p>
    <w:p w14:paraId="122435EF">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17.3.2 进度付款申请单</w:t>
      </w:r>
    </w:p>
    <w:p w14:paraId="500EC31D">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将通用合同条款第17.3.2项中的“承包人应在每个付款周期末”修改为“</w:t>
      </w:r>
      <w:r>
        <w:rPr>
          <w:rFonts w:hint="eastAsia" w:ascii="宋体" w:hAnsi="宋体" w:eastAsia="宋体" w:cs="宋体"/>
          <w:b/>
          <w:bCs/>
          <w:color w:val="auto"/>
          <w:kern w:val="2"/>
          <w:sz w:val="21"/>
          <w:szCs w:val="21"/>
          <w:highlight w:val="none"/>
          <w:lang w:val="en-US" w:eastAsia="zh-CN" w:bidi="ar-SA"/>
        </w:rPr>
        <w:t>承包人应在每月25 日</w:t>
      </w:r>
      <w:r>
        <w:rPr>
          <w:rFonts w:hint="eastAsia" w:ascii="宋体" w:hAnsi="宋体" w:eastAsia="宋体" w:cs="宋体"/>
          <w:color w:val="auto"/>
          <w:kern w:val="2"/>
          <w:sz w:val="21"/>
          <w:szCs w:val="21"/>
          <w:highlight w:val="none"/>
          <w:lang w:val="en-US" w:eastAsia="zh-CN" w:bidi="ar-SA"/>
        </w:rPr>
        <w:t>”。</w:t>
      </w:r>
    </w:p>
    <w:p w14:paraId="26A72E58">
      <w:pPr>
        <w:widowControl w:val="0"/>
        <w:tabs>
          <w:tab w:val="left" w:pos="2790"/>
        </w:tabs>
        <w:spacing w:line="400" w:lineRule="exact"/>
        <w:ind w:firstLine="422"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b/>
          <w:bCs/>
          <w:color w:val="auto"/>
          <w:kern w:val="2"/>
          <w:sz w:val="21"/>
          <w:szCs w:val="21"/>
          <w:highlight w:val="none"/>
          <w:lang w:val="en-US" w:eastAsia="zh-CN" w:bidi="ar-SA"/>
        </w:rPr>
        <w:t>当工程主要采购设备进场后，支付至合同总价款的50%；工程竣工验收合格后支付至合同总额70%的工程进度款；竣工结算完成后，付至结算价（以最终审价为准）的90%，同时无息退还履约保证金或保险，剩余10%（含工程质保金）待缺陷责任期满通过竣工验收并移交资料后退回，不计利息。</w:t>
      </w:r>
    </w:p>
    <w:p w14:paraId="79D1E56E">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17.3.5 公路工程专用合同条款第17.3.5项补充第（4）、（5）目：</w:t>
      </w:r>
    </w:p>
    <w:p w14:paraId="49DC4F98">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（4）承包人应严格按照按照《关于印发《温州市工程建设领域农民工工资支付监管工作指引(一)》的通知》（温人社发〔2023〕36号）及其他现行有关文件规定执行。</w:t>
      </w:r>
    </w:p>
    <w:p w14:paraId="6DDF8EA7">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（5）农民工工资支付：工程开工后，发包人于次月开始，每月30日前，将上月结算价款总额的</w:t>
      </w:r>
      <w:r>
        <w:rPr>
          <w:rFonts w:hint="eastAsia" w:ascii="宋体" w:hAnsi="宋体" w:eastAsia="宋体" w:cs="宋体"/>
          <w:b/>
          <w:bCs/>
          <w:color w:val="auto"/>
          <w:kern w:val="2"/>
          <w:sz w:val="21"/>
          <w:szCs w:val="21"/>
          <w:highlight w:val="none"/>
          <w:u w:val="single"/>
          <w:lang w:val="en-US" w:eastAsia="zh-CN" w:bidi="ar-SA"/>
        </w:rPr>
        <w:t>10%（暂定）</w:t>
      </w:r>
      <w:r>
        <w:rPr>
          <w:rFonts w:hint="eastAsia" w:ascii="宋体" w:hAnsi="宋体" w:eastAsia="宋体" w:cs="宋体"/>
          <w:color w:val="auto"/>
          <w:kern w:val="2"/>
          <w:sz w:val="21"/>
          <w:szCs w:val="21"/>
          <w:highlight w:val="none"/>
          <w:lang w:val="en-US" w:eastAsia="zh-CN" w:bidi="ar-SA"/>
        </w:rPr>
        <w:t>作为人工费用汇入承包人开设的农民工工资专户，承包人每月25日前将上月农民工工资支付完成。</w:t>
      </w:r>
    </w:p>
    <w:p w14:paraId="6D40BB80">
      <w:pPr>
        <w:widowControl w:val="0"/>
        <w:spacing w:before="120" w:beforeLines="50" w:line="276" w:lineRule="auto"/>
        <w:jc w:val="both"/>
        <w:outlineLvl w:val="4"/>
        <w:rPr>
          <w:rFonts w:ascii="宋体" w:hAnsi="宋体" w:eastAsia="宋体" w:cs="宋体"/>
          <w:b/>
          <w:color w:val="auto"/>
          <w:kern w:val="2"/>
          <w:sz w:val="21"/>
          <w:szCs w:val="22"/>
          <w:highlight w:val="none"/>
          <w:lang w:val="en-US" w:eastAsia="zh-CN" w:bidi="ar-SA"/>
        </w:rPr>
      </w:pPr>
      <w:bookmarkStart w:id="815" w:name="_Toc515"/>
      <w:bookmarkStart w:id="816" w:name="_Toc133537008"/>
      <w:bookmarkStart w:id="817" w:name="_Toc485385448"/>
      <w:bookmarkStart w:id="818" w:name="_Toc98194762"/>
      <w:bookmarkStart w:id="819" w:name="_Toc18624"/>
      <w:bookmarkStart w:id="820" w:name="_Toc3643"/>
      <w:r>
        <w:rPr>
          <w:rFonts w:hint="eastAsia" w:ascii="宋体" w:hAnsi="宋体" w:eastAsia="宋体" w:cs="宋体"/>
          <w:b/>
          <w:color w:val="auto"/>
          <w:kern w:val="2"/>
          <w:sz w:val="21"/>
          <w:szCs w:val="22"/>
          <w:highlight w:val="none"/>
          <w:lang w:val="en-US" w:eastAsia="zh-CN" w:bidi="ar-SA"/>
        </w:rPr>
        <w:t>17.4 质量保证金</w:t>
      </w:r>
      <w:bookmarkEnd w:id="815"/>
      <w:bookmarkEnd w:id="816"/>
      <w:bookmarkEnd w:id="817"/>
      <w:bookmarkEnd w:id="818"/>
      <w:bookmarkEnd w:id="819"/>
      <w:bookmarkEnd w:id="820"/>
    </w:p>
    <w:p w14:paraId="064AA3D9">
      <w:pPr>
        <w:widowControl w:val="0"/>
        <w:tabs>
          <w:tab w:val="left" w:pos="2790"/>
        </w:tabs>
        <w:spacing w:line="400" w:lineRule="exact"/>
        <w:ind w:firstLine="422" w:firstLineChars="200"/>
        <w:jc w:val="both"/>
        <w:rPr>
          <w:rFonts w:ascii="宋体" w:hAnsi="宋体" w:eastAsia="宋体" w:cs="宋体"/>
          <w:b/>
          <w:bCs/>
          <w:color w:val="auto"/>
          <w:kern w:val="2"/>
          <w:sz w:val="21"/>
          <w:szCs w:val="21"/>
          <w:highlight w:val="none"/>
          <w:lang w:val="en-US" w:eastAsia="zh-CN" w:bidi="ar-SA"/>
        </w:rPr>
      </w:pPr>
      <w:r>
        <w:rPr>
          <w:rFonts w:hint="eastAsia" w:ascii="宋体" w:hAnsi="宋体" w:eastAsia="宋体" w:cs="宋体"/>
          <w:b/>
          <w:bCs/>
          <w:color w:val="auto"/>
          <w:kern w:val="2"/>
          <w:sz w:val="21"/>
          <w:szCs w:val="21"/>
          <w:highlight w:val="none"/>
          <w:lang w:val="en-US" w:eastAsia="zh-CN" w:bidi="ar-SA"/>
        </w:rPr>
        <w:t>通用合同条款和公路工程专用合同条款第 17.4.1 项、第 17.4.2 项细化为：</w:t>
      </w:r>
    </w:p>
    <w:p w14:paraId="070E0003">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 xml:space="preserve">17.4.1 质量保证金包含在最终需支付金额的10%中，约定期满后退回，发包人不予计息。 </w:t>
      </w:r>
    </w:p>
    <w:p w14:paraId="3C813477">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17.4.2 在第 1.1.4.5 目约定的缺陷责任期满，且已按规定完成竣工质量验收或已完成质量专项验收，承包人向发包人申请到期应返还承包人剩余的质量保证金金额，发包人应在 14 天内会同承包人按照合同约定的内容核实承包人是否完成缺陷责任。如无异议，发包人应当在核实后将剩余保证金返还承包人。</w:t>
      </w:r>
    </w:p>
    <w:p w14:paraId="1A0903C3">
      <w:pPr>
        <w:widowControl w:val="0"/>
        <w:spacing w:before="120" w:beforeLines="50" w:line="276" w:lineRule="auto"/>
        <w:jc w:val="both"/>
        <w:outlineLvl w:val="4"/>
        <w:rPr>
          <w:rFonts w:ascii="宋体" w:hAnsi="宋体" w:eastAsia="宋体" w:cs="宋体"/>
          <w:b/>
          <w:color w:val="auto"/>
          <w:kern w:val="2"/>
          <w:sz w:val="21"/>
          <w:szCs w:val="22"/>
          <w:highlight w:val="none"/>
          <w:lang w:val="en-US" w:eastAsia="zh-CN" w:bidi="ar-SA"/>
        </w:rPr>
      </w:pPr>
      <w:bookmarkStart w:id="821" w:name="_Toc338772133"/>
      <w:bookmarkStart w:id="822" w:name="_Toc5955"/>
      <w:bookmarkStart w:id="823" w:name="_Toc12277"/>
      <w:bookmarkStart w:id="824" w:name="_Toc482283885"/>
      <w:bookmarkStart w:id="825" w:name="_Toc133537009"/>
      <w:bookmarkStart w:id="826" w:name="_Toc98194763"/>
      <w:bookmarkStart w:id="827" w:name="_Toc333848071"/>
      <w:bookmarkStart w:id="828" w:name="_Toc20088"/>
      <w:r>
        <w:rPr>
          <w:rFonts w:hint="eastAsia" w:ascii="宋体" w:hAnsi="宋体" w:eastAsia="宋体" w:cs="宋体"/>
          <w:b/>
          <w:color w:val="auto"/>
          <w:kern w:val="2"/>
          <w:sz w:val="21"/>
          <w:szCs w:val="22"/>
          <w:highlight w:val="none"/>
          <w:lang w:val="en-US" w:eastAsia="zh-CN" w:bidi="ar-SA"/>
        </w:rPr>
        <w:t>17.6 最终结清</w:t>
      </w:r>
      <w:bookmarkEnd w:id="821"/>
      <w:bookmarkEnd w:id="822"/>
      <w:bookmarkEnd w:id="823"/>
      <w:bookmarkEnd w:id="824"/>
      <w:bookmarkEnd w:id="825"/>
      <w:bookmarkEnd w:id="826"/>
      <w:bookmarkEnd w:id="827"/>
      <w:bookmarkEnd w:id="828"/>
    </w:p>
    <w:p w14:paraId="1ACF0E84">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17.6.2  最终结清证书和支付时间</w:t>
      </w:r>
    </w:p>
    <w:p w14:paraId="79956966">
      <w:pPr>
        <w:widowControl w:val="0"/>
        <w:tabs>
          <w:tab w:val="left" w:pos="2790"/>
        </w:tabs>
        <w:spacing w:line="400" w:lineRule="exact"/>
        <w:ind w:firstLine="422" w:firstLineChars="200"/>
        <w:jc w:val="both"/>
        <w:rPr>
          <w:rFonts w:ascii="宋体" w:hAnsi="宋体" w:eastAsia="宋体" w:cs="宋体"/>
          <w:b/>
          <w:bCs/>
          <w:color w:val="auto"/>
          <w:kern w:val="2"/>
          <w:sz w:val="21"/>
          <w:szCs w:val="21"/>
          <w:highlight w:val="none"/>
          <w:lang w:val="en-US" w:eastAsia="zh-CN" w:bidi="ar-SA"/>
        </w:rPr>
      </w:pPr>
      <w:r>
        <w:rPr>
          <w:rFonts w:hint="eastAsia" w:ascii="宋体" w:hAnsi="宋体" w:eastAsia="宋体" w:cs="宋体"/>
          <w:b/>
          <w:bCs/>
          <w:color w:val="auto"/>
          <w:kern w:val="2"/>
          <w:sz w:val="21"/>
          <w:szCs w:val="21"/>
          <w:highlight w:val="none"/>
          <w:lang w:val="en-US" w:eastAsia="zh-CN" w:bidi="ar-SA"/>
        </w:rPr>
        <w:t>通用合同条款本项（2）目细化为：</w:t>
      </w:r>
    </w:p>
    <w:p w14:paraId="67B5F1EE">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2）发包人应在财政、审计部门完成项目竣工决算审计并在竣工验收完毕后，根据监理人出具最终结清证书后的14天内，将应支付款支付给承包人。发包人不按期支付的，按第17.3.3（2）目的约定，将逾期付款违约金支付给承包人。</w:t>
      </w:r>
    </w:p>
    <w:p w14:paraId="3B9BA8D5">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最终结清申请证书中的总金额应认为是代表了根据合同规定应付给承包人的全部款项的最后结算。</w:t>
      </w:r>
    </w:p>
    <w:bookmarkEnd w:id="808"/>
    <w:p w14:paraId="4053F52D">
      <w:pPr>
        <w:keepNext/>
        <w:keepLines/>
        <w:widowControl w:val="0"/>
        <w:spacing w:before="120" w:after="0" w:line="360" w:lineRule="auto"/>
        <w:jc w:val="both"/>
        <w:outlineLvl w:val="3"/>
        <w:rPr>
          <w:rFonts w:ascii="宋体" w:hAnsi="宋体" w:eastAsia="宋体" w:cs="宋体"/>
          <w:b/>
          <w:bCs/>
          <w:color w:val="auto"/>
          <w:kern w:val="2"/>
          <w:sz w:val="24"/>
          <w:szCs w:val="24"/>
          <w:highlight w:val="none"/>
          <w:lang w:val="en-US" w:eastAsia="zh-CN" w:bidi="ar-SA"/>
        </w:rPr>
      </w:pPr>
      <w:bookmarkStart w:id="829" w:name="_Toc477764183"/>
      <w:bookmarkStart w:id="830" w:name="_Toc82849595"/>
      <w:bookmarkStart w:id="831" w:name="_Toc12427"/>
      <w:bookmarkStart w:id="832" w:name="_Toc497815085"/>
      <w:bookmarkStart w:id="833" w:name="_Toc488333228"/>
      <w:bookmarkStart w:id="834" w:name="_Toc517356866"/>
      <w:bookmarkStart w:id="835" w:name="_Toc2692966"/>
      <w:bookmarkStart w:id="836" w:name="_Toc445203931"/>
      <w:bookmarkStart w:id="837" w:name="_Toc31941"/>
      <w:bookmarkStart w:id="838" w:name="_Toc498612671"/>
      <w:bookmarkStart w:id="839" w:name="_Toc509090399"/>
      <w:bookmarkStart w:id="840" w:name="_Toc83398592"/>
      <w:bookmarkStart w:id="841" w:name="_Toc521522304"/>
      <w:bookmarkStart w:id="842" w:name="_Toc98194764"/>
      <w:bookmarkStart w:id="843" w:name="_Toc86616483"/>
      <w:bookmarkStart w:id="844" w:name="_Toc509845231"/>
      <w:bookmarkStart w:id="845" w:name="_Toc6535"/>
      <w:bookmarkStart w:id="846" w:name="_Toc133537010"/>
      <w:r>
        <w:rPr>
          <w:rFonts w:hint="eastAsia" w:ascii="宋体" w:hAnsi="宋体" w:eastAsia="宋体" w:cs="宋体"/>
          <w:b/>
          <w:bCs/>
          <w:color w:val="auto"/>
          <w:kern w:val="2"/>
          <w:sz w:val="24"/>
          <w:szCs w:val="24"/>
          <w:highlight w:val="none"/>
          <w:lang w:val="en-US" w:eastAsia="zh-CN" w:bidi="ar-SA"/>
        </w:rPr>
        <w:t>18.交工验收</w:t>
      </w:r>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p>
    <w:p w14:paraId="7FE3A65A">
      <w:pPr>
        <w:widowControl w:val="0"/>
        <w:spacing w:before="120" w:beforeLines="50" w:line="276" w:lineRule="auto"/>
        <w:jc w:val="both"/>
        <w:outlineLvl w:val="4"/>
        <w:rPr>
          <w:rFonts w:ascii="宋体" w:hAnsi="宋体" w:eastAsia="宋体" w:cs="宋体"/>
          <w:b/>
          <w:color w:val="auto"/>
          <w:kern w:val="2"/>
          <w:sz w:val="21"/>
          <w:szCs w:val="22"/>
          <w:highlight w:val="none"/>
          <w:lang w:val="en-US" w:eastAsia="zh-CN" w:bidi="ar-SA"/>
        </w:rPr>
      </w:pPr>
      <w:bookmarkStart w:id="847" w:name="_Toc32400"/>
      <w:bookmarkStart w:id="848" w:name="_Toc5666"/>
      <w:bookmarkStart w:id="849" w:name="_Toc98194765"/>
      <w:bookmarkStart w:id="850" w:name="_Toc13392"/>
      <w:bookmarkStart w:id="851" w:name="_Toc449711656"/>
      <w:bookmarkStart w:id="852" w:name="_Toc133537011"/>
      <w:bookmarkStart w:id="853" w:name="_Toc477764185"/>
      <w:bookmarkStart w:id="854" w:name="_Toc509845232"/>
      <w:bookmarkStart w:id="855" w:name="_Toc445203932"/>
      <w:r>
        <w:rPr>
          <w:rFonts w:hint="eastAsia" w:ascii="宋体" w:hAnsi="宋体" w:eastAsia="宋体" w:cs="宋体"/>
          <w:b/>
          <w:color w:val="auto"/>
          <w:kern w:val="2"/>
          <w:sz w:val="21"/>
          <w:szCs w:val="22"/>
          <w:highlight w:val="none"/>
          <w:lang w:val="en-US" w:eastAsia="zh-CN" w:bidi="ar-SA"/>
        </w:rPr>
        <w:t>18.3 验收</w:t>
      </w:r>
      <w:bookmarkEnd w:id="847"/>
      <w:bookmarkEnd w:id="848"/>
      <w:bookmarkEnd w:id="849"/>
      <w:bookmarkEnd w:id="850"/>
      <w:bookmarkEnd w:id="851"/>
      <w:bookmarkEnd w:id="852"/>
    </w:p>
    <w:p w14:paraId="025146DC">
      <w:pPr>
        <w:widowControl w:val="0"/>
        <w:tabs>
          <w:tab w:val="left" w:pos="2790"/>
        </w:tabs>
        <w:spacing w:line="400" w:lineRule="exact"/>
        <w:ind w:firstLine="422" w:firstLineChars="200"/>
        <w:jc w:val="both"/>
        <w:rPr>
          <w:rFonts w:ascii="宋体" w:hAnsi="宋体" w:eastAsia="宋体" w:cs="宋体"/>
          <w:b/>
          <w:bCs/>
          <w:color w:val="auto"/>
          <w:kern w:val="2"/>
          <w:sz w:val="21"/>
          <w:szCs w:val="21"/>
          <w:highlight w:val="none"/>
          <w:lang w:val="en-US" w:eastAsia="zh-CN" w:bidi="ar-SA"/>
        </w:rPr>
      </w:pPr>
      <w:r>
        <w:rPr>
          <w:rFonts w:hint="eastAsia" w:ascii="宋体" w:hAnsi="宋体" w:eastAsia="宋体" w:cs="宋体"/>
          <w:b/>
          <w:bCs/>
          <w:color w:val="auto"/>
          <w:kern w:val="2"/>
          <w:sz w:val="21"/>
          <w:szCs w:val="21"/>
          <w:highlight w:val="none"/>
          <w:lang w:val="en-US" w:eastAsia="zh-CN" w:bidi="ar-SA"/>
        </w:rPr>
        <w:t xml:space="preserve">公路工程专用合同条款第 18.3.2 项细化为：  </w:t>
      </w:r>
    </w:p>
    <w:p w14:paraId="19BD6AB5">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18.3.2</w:t>
      </w:r>
      <w:r>
        <w:rPr>
          <w:rFonts w:hint="eastAsia" w:ascii="宋体" w:hAnsi="宋体" w:cs="宋体"/>
          <w:color w:val="auto"/>
          <w:kern w:val="2"/>
          <w:sz w:val="21"/>
          <w:szCs w:val="21"/>
          <w:highlight w:val="none"/>
          <w:lang w:val="en-US" w:eastAsia="zh-CN" w:bidi="ar-SA"/>
        </w:rPr>
        <w:t xml:space="preserve">  </w:t>
      </w:r>
      <w:r>
        <w:rPr>
          <w:rFonts w:hint="eastAsia" w:ascii="宋体" w:hAnsi="宋体" w:eastAsia="宋体" w:cs="宋体"/>
          <w:color w:val="auto"/>
          <w:kern w:val="2"/>
          <w:sz w:val="21"/>
          <w:szCs w:val="21"/>
          <w:highlight w:val="none"/>
          <w:lang w:val="en-US" w:eastAsia="zh-CN" w:bidi="ar-SA"/>
        </w:rPr>
        <w:t>6个月的试运行期满，监理人审查后认为已具备缺陷责任期条件的，应在收到试运行结束申请报告后的14天内提请发包人</w:t>
      </w:r>
      <w:r>
        <w:rPr>
          <w:rFonts w:hint="eastAsia" w:ascii="宋体" w:hAnsi="宋体" w:cs="宋体"/>
          <w:color w:val="auto"/>
          <w:kern w:val="2"/>
          <w:sz w:val="21"/>
          <w:szCs w:val="21"/>
          <w:highlight w:val="none"/>
          <w:lang w:val="en-US" w:eastAsia="zh-CN" w:bidi="ar-SA"/>
        </w:rPr>
        <w:t>，</w:t>
      </w:r>
      <w:r>
        <w:rPr>
          <w:rFonts w:hint="eastAsia" w:ascii="宋体" w:hAnsi="宋体" w:eastAsia="宋体" w:cs="宋体"/>
          <w:color w:val="auto"/>
          <w:kern w:val="2"/>
          <w:sz w:val="21"/>
          <w:szCs w:val="21"/>
          <w:highlight w:val="none"/>
          <w:lang w:val="en-US" w:eastAsia="zh-CN" w:bidi="ar-SA"/>
        </w:rPr>
        <w:t>监理人审查后认为已具备交工验收条件的，应在收到交工验收申请报告后的28天内提请发包人进行工程验收。</w:t>
      </w:r>
    </w:p>
    <w:p w14:paraId="6F77CD13">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cs="宋体"/>
          <w:color w:val="auto"/>
          <w:kern w:val="2"/>
          <w:sz w:val="21"/>
          <w:szCs w:val="21"/>
          <w:highlight w:val="none"/>
          <w:lang w:val="en-US" w:eastAsia="zh-CN" w:bidi="ar-SA"/>
        </w:rPr>
        <w:t>竣工</w:t>
      </w:r>
      <w:r>
        <w:rPr>
          <w:rFonts w:hint="eastAsia" w:ascii="宋体" w:hAnsi="宋体" w:eastAsia="宋体" w:cs="宋体"/>
          <w:color w:val="auto"/>
          <w:kern w:val="2"/>
          <w:sz w:val="21"/>
          <w:szCs w:val="21"/>
          <w:highlight w:val="none"/>
          <w:lang w:val="en-US" w:eastAsia="zh-CN" w:bidi="ar-SA"/>
        </w:rPr>
        <w:t>验收按《公路工程竣（交）工验收办法》、《公路工程竣（交）工验收办法实施细则》（交通运输部交公路发〔2010〕65号）和《浙江省公路工程竣（交）工验收管理办法》（浙交〔2019〕184号）及发包人的相关规定执行。承包人应按发包人的要求提交资料，完成</w:t>
      </w:r>
      <w:r>
        <w:rPr>
          <w:rFonts w:hint="eastAsia" w:ascii="宋体" w:hAnsi="宋体" w:cs="宋体"/>
          <w:color w:val="auto"/>
          <w:kern w:val="2"/>
          <w:sz w:val="21"/>
          <w:szCs w:val="21"/>
          <w:highlight w:val="none"/>
          <w:lang w:val="en-US" w:eastAsia="zh-CN" w:bidi="ar-SA"/>
        </w:rPr>
        <w:t>竣工</w:t>
      </w:r>
      <w:r>
        <w:rPr>
          <w:rFonts w:hint="eastAsia" w:ascii="宋体" w:hAnsi="宋体" w:eastAsia="宋体" w:cs="宋体"/>
          <w:color w:val="auto"/>
          <w:kern w:val="2"/>
          <w:sz w:val="21"/>
          <w:szCs w:val="21"/>
          <w:highlight w:val="none"/>
          <w:lang w:val="en-US" w:eastAsia="zh-CN" w:bidi="ar-SA"/>
        </w:rPr>
        <w:t>验收准备工作。</w:t>
      </w:r>
    </w:p>
    <w:p w14:paraId="73E73608">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cs="宋体"/>
          <w:color w:val="auto"/>
          <w:kern w:val="2"/>
          <w:sz w:val="21"/>
          <w:szCs w:val="21"/>
          <w:highlight w:val="none"/>
          <w:lang w:val="en-US" w:eastAsia="zh-CN" w:bidi="ar-SA"/>
        </w:rPr>
        <w:t>竣工验收由业主主持</w:t>
      </w:r>
      <w:r>
        <w:rPr>
          <w:rFonts w:hint="eastAsia" w:ascii="宋体" w:hAnsi="宋体" w:eastAsia="宋体" w:cs="宋体"/>
          <w:color w:val="auto"/>
          <w:kern w:val="2"/>
          <w:sz w:val="21"/>
          <w:szCs w:val="21"/>
          <w:highlight w:val="none"/>
          <w:lang w:val="en-US" w:eastAsia="zh-CN" w:bidi="ar-SA"/>
        </w:rPr>
        <w:t>，由发包人、监理人、</w:t>
      </w:r>
      <w:r>
        <w:rPr>
          <w:rFonts w:hint="eastAsia" w:ascii="宋体" w:hAnsi="宋体" w:eastAsia="宋体" w:cs="宋体"/>
          <w:b/>
          <w:bCs/>
          <w:color w:val="auto"/>
          <w:kern w:val="2"/>
          <w:sz w:val="21"/>
          <w:szCs w:val="21"/>
          <w:highlight w:val="none"/>
          <w:lang w:val="en-US" w:eastAsia="zh-CN" w:bidi="ar-SA"/>
        </w:rPr>
        <w:t>质监、运营、管理养护</w:t>
      </w:r>
      <w:r>
        <w:rPr>
          <w:rFonts w:hint="eastAsia" w:ascii="宋体" w:hAnsi="宋体" w:eastAsia="宋体" w:cs="宋体"/>
          <w:color w:val="auto"/>
          <w:kern w:val="2"/>
          <w:sz w:val="21"/>
          <w:szCs w:val="21"/>
          <w:highlight w:val="none"/>
          <w:lang w:val="en-US" w:eastAsia="zh-CN" w:bidi="ar-SA"/>
        </w:rPr>
        <w:t>、设计、施工等有关部门代表组成交工验收小组，对本项目的工程质量进行评定，并写出交工验收报告报交通运输主管部门备案。承包人应按发包人的要求提交竣工资料，完成交工验收准备工作。</w:t>
      </w:r>
    </w:p>
    <w:p w14:paraId="2D89C5E3">
      <w:pPr>
        <w:widowControl w:val="0"/>
        <w:tabs>
          <w:tab w:val="left" w:pos="2790"/>
        </w:tabs>
        <w:spacing w:line="400" w:lineRule="exact"/>
        <w:ind w:firstLine="422" w:firstLineChars="200"/>
        <w:jc w:val="both"/>
        <w:rPr>
          <w:rFonts w:ascii="宋体" w:hAnsi="宋体" w:eastAsia="宋体" w:cs="宋体"/>
          <w:b/>
          <w:bCs/>
          <w:color w:val="auto"/>
          <w:kern w:val="2"/>
          <w:sz w:val="21"/>
          <w:szCs w:val="21"/>
          <w:highlight w:val="none"/>
          <w:lang w:val="en-US" w:eastAsia="zh-CN" w:bidi="ar-SA"/>
        </w:rPr>
      </w:pPr>
      <w:r>
        <w:rPr>
          <w:rFonts w:hint="eastAsia" w:ascii="宋体" w:hAnsi="宋体" w:eastAsia="宋体" w:cs="宋体"/>
          <w:b/>
          <w:bCs/>
          <w:color w:val="auto"/>
          <w:kern w:val="2"/>
          <w:sz w:val="21"/>
          <w:szCs w:val="21"/>
          <w:highlight w:val="none"/>
          <w:lang w:val="en-US" w:eastAsia="zh-CN" w:bidi="ar-SA"/>
        </w:rPr>
        <w:t>删除公路工程专用合同条款第 18.3.7项内容。</w:t>
      </w:r>
    </w:p>
    <w:p w14:paraId="7256CC22">
      <w:pPr>
        <w:widowControl w:val="0"/>
        <w:spacing w:before="120" w:beforeLines="50" w:line="276" w:lineRule="auto"/>
        <w:jc w:val="both"/>
        <w:outlineLvl w:val="4"/>
        <w:rPr>
          <w:rFonts w:ascii="宋体" w:hAnsi="宋体" w:eastAsia="宋体" w:cs="宋体"/>
          <w:b/>
          <w:color w:val="auto"/>
          <w:kern w:val="2"/>
          <w:sz w:val="21"/>
          <w:szCs w:val="22"/>
          <w:highlight w:val="none"/>
          <w:lang w:val="en-US" w:eastAsia="zh-CN" w:bidi="ar-SA"/>
        </w:rPr>
      </w:pPr>
      <w:bookmarkStart w:id="856" w:name="_Toc31185"/>
      <w:bookmarkStart w:id="857" w:name="_Toc22507"/>
      <w:bookmarkStart w:id="858" w:name="_Toc98194766"/>
      <w:bookmarkStart w:id="859" w:name="_Toc133537012"/>
      <w:r>
        <w:rPr>
          <w:rFonts w:hint="eastAsia" w:ascii="宋体" w:hAnsi="宋体" w:eastAsia="宋体" w:cs="宋体"/>
          <w:b/>
          <w:color w:val="auto"/>
          <w:kern w:val="2"/>
          <w:sz w:val="21"/>
          <w:szCs w:val="22"/>
          <w:highlight w:val="none"/>
          <w:lang w:val="en-US" w:eastAsia="zh-CN" w:bidi="ar-SA"/>
        </w:rPr>
        <w:t>18.6 试运行</w:t>
      </w:r>
      <w:bookmarkEnd w:id="856"/>
      <w:bookmarkEnd w:id="857"/>
      <w:bookmarkEnd w:id="858"/>
      <w:bookmarkEnd w:id="859"/>
    </w:p>
    <w:p w14:paraId="4F721E8B">
      <w:pPr>
        <w:widowControl w:val="0"/>
        <w:tabs>
          <w:tab w:val="left" w:pos="2790"/>
        </w:tabs>
        <w:spacing w:line="400" w:lineRule="exact"/>
        <w:ind w:firstLine="422" w:firstLineChars="200"/>
        <w:jc w:val="both"/>
        <w:rPr>
          <w:rFonts w:ascii="宋体" w:hAnsi="宋体" w:eastAsia="宋体" w:cs="宋体"/>
          <w:b/>
          <w:bCs/>
          <w:color w:val="auto"/>
          <w:kern w:val="2"/>
          <w:sz w:val="21"/>
          <w:szCs w:val="21"/>
          <w:highlight w:val="none"/>
          <w:lang w:val="en-US" w:eastAsia="zh-CN" w:bidi="ar-SA"/>
        </w:rPr>
      </w:pPr>
      <w:r>
        <w:rPr>
          <w:rFonts w:hint="eastAsia" w:ascii="宋体" w:hAnsi="宋体" w:eastAsia="宋体" w:cs="宋体"/>
          <w:b/>
          <w:bCs/>
          <w:color w:val="auto"/>
          <w:kern w:val="2"/>
          <w:sz w:val="21"/>
          <w:szCs w:val="21"/>
          <w:highlight w:val="none"/>
          <w:lang w:val="en-US" w:eastAsia="zh-CN" w:bidi="ar-SA"/>
        </w:rPr>
        <w:t>通用合同条款第18.6.1项细化为：</w:t>
      </w:r>
    </w:p>
    <w:p w14:paraId="2C17A4D0">
      <w:pPr>
        <w:widowControl w:val="0"/>
        <w:tabs>
          <w:tab w:val="left" w:pos="2790"/>
        </w:tabs>
        <w:spacing w:line="400" w:lineRule="exact"/>
        <w:ind w:firstLine="420" w:firstLineChars="200"/>
        <w:jc w:val="both"/>
        <w:rPr>
          <w:rFonts w:ascii="宋体" w:hAnsi="宋体" w:eastAsia="宋体" w:cs="宋体"/>
          <w:b/>
          <w:bCs/>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机电工程在机械完工并经联网测试后，为考核设备和系统的运行技术性能、稳定性、可靠性，在工程进行交工质量检测鉴定前，需进行为期6个月的试运行。承包人应进行工程及工程设备试运行，并负责提供试运行所需的人员、器材和必要的条件，同时承担全部试运行费用。在试运行期间，承包人应对系统和所有设备的缺陷负有全部责任。</w:t>
      </w:r>
    </w:p>
    <w:p w14:paraId="6E0F22EA">
      <w:pPr>
        <w:widowControl w:val="0"/>
        <w:spacing w:before="120" w:beforeLines="50" w:line="276" w:lineRule="auto"/>
        <w:jc w:val="both"/>
        <w:outlineLvl w:val="4"/>
        <w:rPr>
          <w:rFonts w:ascii="宋体" w:hAnsi="宋体" w:eastAsia="宋体" w:cs="宋体"/>
          <w:b/>
          <w:color w:val="auto"/>
          <w:kern w:val="2"/>
          <w:sz w:val="21"/>
          <w:szCs w:val="22"/>
          <w:highlight w:val="none"/>
          <w:lang w:val="en-US" w:eastAsia="zh-CN" w:bidi="ar-SA"/>
        </w:rPr>
      </w:pPr>
      <w:bookmarkStart w:id="860" w:name="_Toc22322"/>
      <w:bookmarkStart w:id="861" w:name="_Toc3570"/>
      <w:bookmarkStart w:id="862" w:name="_Toc98194767"/>
      <w:bookmarkStart w:id="863" w:name="_Toc25041"/>
      <w:bookmarkStart w:id="864" w:name="_Toc133537013"/>
      <w:r>
        <w:rPr>
          <w:rFonts w:hint="eastAsia" w:ascii="宋体" w:hAnsi="宋体" w:eastAsia="宋体" w:cs="宋体"/>
          <w:b/>
          <w:color w:val="auto"/>
          <w:kern w:val="2"/>
          <w:sz w:val="21"/>
          <w:szCs w:val="22"/>
          <w:highlight w:val="none"/>
          <w:lang w:val="en-US" w:eastAsia="zh-CN" w:bidi="ar-SA"/>
        </w:rPr>
        <w:t>18.9 竣工文件</w:t>
      </w:r>
      <w:bookmarkEnd w:id="853"/>
      <w:bookmarkEnd w:id="854"/>
      <w:bookmarkEnd w:id="855"/>
      <w:bookmarkEnd w:id="860"/>
      <w:bookmarkEnd w:id="861"/>
      <w:bookmarkEnd w:id="862"/>
      <w:bookmarkEnd w:id="863"/>
      <w:bookmarkEnd w:id="864"/>
    </w:p>
    <w:p w14:paraId="7BD97C2B">
      <w:pPr>
        <w:widowControl w:val="0"/>
        <w:tabs>
          <w:tab w:val="left" w:pos="2790"/>
        </w:tabs>
        <w:spacing w:line="400" w:lineRule="exact"/>
        <w:ind w:firstLine="422" w:firstLineChars="200"/>
        <w:jc w:val="both"/>
        <w:rPr>
          <w:rFonts w:ascii="宋体" w:hAnsi="宋体" w:eastAsia="宋体" w:cs="宋体"/>
          <w:b/>
          <w:bCs/>
          <w:color w:val="auto"/>
          <w:kern w:val="2"/>
          <w:sz w:val="21"/>
          <w:szCs w:val="21"/>
          <w:highlight w:val="none"/>
          <w:lang w:val="en-US" w:eastAsia="zh-CN" w:bidi="ar-SA"/>
        </w:rPr>
      </w:pPr>
      <w:bookmarkStart w:id="865" w:name="_Toc240015925"/>
      <w:bookmarkStart w:id="866" w:name="_Toc287272896"/>
      <w:bookmarkStart w:id="867" w:name="_Toc239492824"/>
      <w:r>
        <w:rPr>
          <w:rFonts w:hint="eastAsia" w:ascii="宋体" w:hAnsi="宋体" w:eastAsia="宋体" w:cs="宋体"/>
          <w:b/>
          <w:bCs/>
          <w:color w:val="auto"/>
          <w:kern w:val="2"/>
          <w:sz w:val="21"/>
          <w:szCs w:val="21"/>
          <w:highlight w:val="none"/>
          <w:lang w:val="en-US" w:eastAsia="zh-CN" w:bidi="ar-SA"/>
        </w:rPr>
        <w:t>公路工程专用合同条款18.9款细化为：</w:t>
      </w:r>
    </w:p>
    <w:p w14:paraId="4187185A">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竣工文件应按交通运输部2004年第3号令颁布的《公路工程竣（交）工验收办法》、交通运输部交公路发〔2010〕65号文《关于印发公路工程竣（交）工验收办法实施细则的通知》、交通运输部交办发〔2010〕382号文《关于印发公路建设项目文件材料立卷归档管理办法的通知》、浙江省交通运输厅《浙江省公路工程竣工文件编制办法》和《浙江省公路工程竣（交）工验收办法》（浙交〔2019〕184号）等编制。在缺陷责任期内应为竣工验收补充竣工资料，并在缺陷责任期满45天之前提交。承包人还应按交通运输部交财发〔2000〕207号《交通基本建设项目竣工决算报告编制办法》的规定和要求编制（由承包人实施的部分）竣工决算一式六套，提交监理人审核，同时应提交全套竣工资料的电子文档刻录光盘或其他电子存储介质，费用由承包人承担。</w:t>
      </w:r>
    </w:p>
    <w:p w14:paraId="27CC9CFA">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竣工文件中涉及施工文件的有关表式，应按《浙江省公路建设项目施工统一用表管理系统（2023年版）》（光盘）和浙江省交通工程管理中心（原浙江省交通建设工程监督管理局）检测中心规定的统一试验用表（光盘）选用。光盘由承包人自备。</w:t>
      </w:r>
    </w:p>
    <w:p w14:paraId="2C09DFDE">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承包人要做好档案资料的三同步（同步管理、同步检查、同步验收），工程交（竣）工后6个月移交项目交（竣）工资料（除缺陷责任期内形成的材料）。</w:t>
      </w:r>
    </w:p>
    <w:p w14:paraId="7160E714">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违反本款规定，则按第22.1款承包人违约处理。</w:t>
      </w:r>
    </w:p>
    <w:p w14:paraId="08CE4564">
      <w:pPr>
        <w:widowControl w:val="0"/>
        <w:tabs>
          <w:tab w:val="left" w:pos="2790"/>
        </w:tabs>
        <w:spacing w:line="400" w:lineRule="exact"/>
        <w:ind w:firstLine="422" w:firstLineChars="200"/>
        <w:jc w:val="both"/>
        <w:rPr>
          <w:rFonts w:ascii="宋体" w:hAnsi="宋体" w:eastAsia="宋体" w:cs="宋体"/>
          <w:b/>
          <w:bCs/>
          <w:color w:val="auto"/>
          <w:kern w:val="2"/>
          <w:sz w:val="21"/>
          <w:szCs w:val="21"/>
          <w:highlight w:val="none"/>
          <w:lang w:val="en-US" w:eastAsia="zh-CN" w:bidi="ar-SA"/>
        </w:rPr>
      </w:pPr>
      <w:r>
        <w:rPr>
          <w:rFonts w:hint="eastAsia" w:ascii="宋体" w:hAnsi="宋体" w:eastAsia="宋体" w:cs="宋体"/>
          <w:b/>
          <w:bCs/>
          <w:color w:val="auto"/>
          <w:kern w:val="2"/>
          <w:sz w:val="21"/>
          <w:szCs w:val="21"/>
          <w:highlight w:val="none"/>
          <w:lang w:val="en-US" w:eastAsia="zh-CN" w:bidi="ar-SA"/>
        </w:rPr>
        <w:t>公路工程专用合同条款补充第18.10款：</w:t>
      </w:r>
    </w:p>
    <w:p w14:paraId="323C7E3B">
      <w:pPr>
        <w:widowControl w:val="0"/>
        <w:spacing w:before="120" w:beforeLines="50" w:line="276" w:lineRule="auto"/>
        <w:jc w:val="both"/>
        <w:outlineLvl w:val="4"/>
        <w:rPr>
          <w:rFonts w:ascii="宋体" w:hAnsi="宋体" w:eastAsia="宋体" w:cs="宋体"/>
          <w:b/>
          <w:color w:val="auto"/>
          <w:kern w:val="2"/>
          <w:sz w:val="21"/>
          <w:szCs w:val="22"/>
          <w:highlight w:val="none"/>
          <w:lang w:val="en-US" w:eastAsia="zh-CN" w:bidi="ar-SA"/>
        </w:rPr>
      </w:pPr>
      <w:bookmarkStart w:id="868" w:name="_Toc133537014"/>
      <w:bookmarkStart w:id="869" w:name="_Toc12523"/>
      <w:bookmarkStart w:id="870" w:name="_Toc477764186"/>
      <w:bookmarkStart w:id="871" w:name="_Toc445203933"/>
      <w:bookmarkStart w:id="872" w:name="_Toc11181"/>
      <w:bookmarkStart w:id="873" w:name="_Toc98194768"/>
      <w:bookmarkStart w:id="874" w:name="_Toc9972"/>
      <w:r>
        <w:rPr>
          <w:rFonts w:hint="eastAsia" w:ascii="宋体" w:hAnsi="宋体" w:eastAsia="宋体" w:cs="宋体"/>
          <w:b/>
          <w:color w:val="auto"/>
          <w:kern w:val="2"/>
          <w:sz w:val="21"/>
          <w:szCs w:val="22"/>
          <w:highlight w:val="none"/>
          <w:lang w:val="en-US" w:eastAsia="zh-CN" w:bidi="ar-SA"/>
        </w:rPr>
        <w:t>18.10 工程档案管理</w:t>
      </w:r>
      <w:bookmarkEnd w:id="868"/>
      <w:bookmarkEnd w:id="869"/>
      <w:bookmarkEnd w:id="870"/>
      <w:bookmarkEnd w:id="871"/>
      <w:bookmarkEnd w:id="872"/>
      <w:bookmarkEnd w:id="873"/>
      <w:bookmarkEnd w:id="874"/>
    </w:p>
    <w:p w14:paraId="58F0B94B">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承包人必须确保工程施工原始资料与工程进度同步完成，并由专人负责档案管理工作，同时按照《中华人民共和国档案法》、《建设项目档案管理规范》（DA/T28-2018），《科学技术档案案卷构成的一般要求》（GB/T1182-2008）、交通运输部《关于印发公路建设项目文件材料立卷归档管理办法的通知》（交办发〔2010〕382号）、《浙江省公路工程竣工文件编制办法》（浙交〔2002〕138号）、《重大建设项目档案验收办法》（档发〔2006〕2号）以及交通运输部《公路工程竣（交）工验收办法》（2004年第3号令）等有关规定做好工程竣工资料的编制，必须配备具有档案资质的专职人员负责竣工档案编制，且人员应稳定，未经发包人同意不得变更。承包人在工程施工结束并在发包人要求的规定时间内，通过档案专项验收，并移交所有工程档案资料、工程竣工结算报告给发包人。</w:t>
      </w:r>
    </w:p>
    <w:p w14:paraId="13743FE5">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为保证项目交（竣）工文件的有效、及时、完整、真实、规范，承包人应积极参与发包人或上级部门组织的档案管理培训。按照档案部门的编制要求做好基础资料的编制，承包人应积极配合，并承担相应的整理、编制费用。</w:t>
      </w:r>
    </w:p>
    <w:p w14:paraId="6EE2FAC5">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承包人还应将结构物的隐蔽工程，在关键工序施工和检验、进行监理验收时现场记录的影像资料纳入工程档案中。</w:t>
      </w:r>
    </w:p>
    <w:p w14:paraId="31524CC2">
      <w:pPr>
        <w:keepNext/>
        <w:keepLines/>
        <w:widowControl w:val="0"/>
        <w:spacing w:before="120" w:after="0" w:line="360" w:lineRule="auto"/>
        <w:jc w:val="both"/>
        <w:outlineLvl w:val="3"/>
        <w:rPr>
          <w:rFonts w:ascii="宋体" w:hAnsi="宋体" w:eastAsia="宋体" w:cs="宋体"/>
          <w:b/>
          <w:bCs/>
          <w:color w:val="auto"/>
          <w:kern w:val="2"/>
          <w:sz w:val="24"/>
          <w:szCs w:val="24"/>
          <w:highlight w:val="none"/>
          <w:lang w:val="en-US" w:eastAsia="zh-CN" w:bidi="ar-SA"/>
        </w:rPr>
      </w:pPr>
      <w:bookmarkStart w:id="875" w:name="_Toc508978671"/>
      <w:bookmarkStart w:id="876" w:name="_Toc530659581"/>
      <w:bookmarkStart w:id="877" w:name="_Toc98194769"/>
      <w:bookmarkStart w:id="878" w:name="_Toc529437555"/>
      <w:bookmarkStart w:id="879" w:name="_Toc133537015"/>
      <w:bookmarkStart w:id="880" w:name="_Toc496643691"/>
      <w:bookmarkStart w:id="881" w:name="_Toc82849596"/>
      <w:bookmarkStart w:id="882" w:name="_Toc23636"/>
      <w:bookmarkStart w:id="883" w:name="_Toc83398593"/>
      <w:bookmarkStart w:id="884" w:name="_Toc1628"/>
      <w:bookmarkStart w:id="885" w:name="_Toc15471"/>
      <w:bookmarkStart w:id="886" w:name="_Toc86616484"/>
      <w:bookmarkStart w:id="887" w:name="_Toc477764187"/>
      <w:bookmarkStart w:id="888" w:name="_Toc488333229"/>
      <w:r>
        <w:rPr>
          <w:rFonts w:hint="eastAsia" w:ascii="宋体" w:hAnsi="宋体" w:eastAsia="宋体" w:cs="宋体"/>
          <w:b/>
          <w:bCs/>
          <w:color w:val="auto"/>
          <w:kern w:val="2"/>
          <w:sz w:val="24"/>
          <w:szCs w:val="24"/>
          <w:highlight w:val="none"/>
          <w:lang w:val="en-US" w:eastAsia="zh-CN" w:bidi="ar-SA"/>
        </w:rPr>
        <w:t>19. 缺陷责任与保修责任</w:t>
      </w:r>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p>
    <w:p w14:paraId="299EC04A">
      <w:pPr>
        <w:widowControl w:val="0"/>
        <w:spacing w:before="120" w:beforeLines="50" w:line="276" w:lineRule="auto"/>
        <w:jc w:val="both"/>
        <w:outlineLvl w:val="4"/>
        <w:rPr>
          <w:rFonts w:ascii="宋体" w:hAnsi="宋体" w:eastAsia="宋体" w:cs="宋体"/>
          <w:b/>
          <w:color w:val="auto"/>
          <w:kern w:val="2"/>
          <w:sz w:val="21"/>
          <w:szCs w:val="22"/>
          <w:highlight w:val="none"/>
          <w:lang w:val="en-US" w:eastAsia="zh-CN" w:bidi="ar-SA"/>
        </w:rPr>
      </w:pPr>
      <w:bookmarkStart w:id="889" w:name="_Toc16568"/>
      <w:bookmarkStart w:id="890" w:name="_Toc133537016"/>
      <w:bookmarkStart w:id="891" w:name="_Toc17930"/>
      <w:bookmarkStart w:id="892" w:name="_Toc30821"/>
      <w:bookmarkStart w:id="893" w:name="_Toc98194770"/>
      <w:bookmarkStart w:id="894" w:name="_Toc529437557"/>
      <w:bookmarkStart w:id="895" w:name="_Toc530659583"/>
      <w:bookmarkStart w:id="896" w:name="_Toc477764189"/>
      <w:r>
        <w:rPr>
          <w:rFonts w:hint="eastAsia" w:ascii="宋体" w:hAnsi="宋体" w:eastAsia="宋体" w:cs="宋体"/>
          <w:b/>
          <w:color w:val="auto"/>
          <w:kern w:val="2"/>
          <w:sz w:val="21"/>
          <w:szCs w:val="22"/>
          <w:highlight w:val="none"/>
          <w:lang w:val="en-US" w:eastAsia="zh-CN" w:bidi="ar-SA"/>
        </w:rPr>
        <w:t>19.2 缺陷责任</w:t>
      </w:r>
      <w:bookmarkEnd w:id="889"/>
      <w:bookmarkEnd w:id="890"/>
      <w:bookmarkEnd w:id="891"/>
      <w:bookmarkEnd w:id="892"/>
      <w:bookmarkEnd w:id="893"/>
    </w:p>
    <w:p w14:paraId="2C172D08">
      <w:pPr>
        <w:widowControl w:val="0"/>
        <w:tabs>
          <w:tab w:val="left" w:pos="2790"/>
        </w:tabs>
        <w:spacing w:line="400" w:lineRule="exact"/>
        <w:ind w:firstLine="422" w:firstLineChars="200"/>
        <w:jc w:val="both"/>
        <w:rPr>
          <w:rFonts w:ascii="宋体" w:hAnsi="宋体" w:eastAsia="宋体" w:cs="宋体"/>
          <w:b/>
          <w:bCs/>
          <w:color w:val="auto"/>
          <w:kern w:val="2"/>
          <w:sz w:val="21"/>
          <w:szCs w:val="21"/>
          <w:highlight w:val="none"/>
          <w:lang w:val="en-US" w:eastAsia="zh-CN" w:bidi="ar-SA"/>
        </w:rPr>
      </w:pPr>
      <w:r>
        <w:rPr>
          <w:rFonts w:hint="eastAsia" w:ascii="宋体" w:hAnsi="宋体" w:eastAsia="宋体" w:cs="宋体"/>
          <w:b/>
          <w:bCs/>
          <w:color w:val="auto"/>
          <w:kern w:val="2"/>
          <w:sz w:val="21"/>
          <w:szCs w:val="21"/>
          <w:highlight w:val="none"/>
          <w:lang w:val="en-US" w:eastAsia="zh-CN" w:bidi="ar-SA"/>
        </w:rPr>
        <w:t>公路工程专用合同条款第19.2.2 项补充：</w:t>
      </w:r>
    </w:p>
    <w:p w14:paraId="51E300C4">
      <w:pPr>
        <w:widowControl w:val="0"/>
        <w:tabs>
          <w:tab w:val="left" w:pos="2790"/>
        </w:tabs>
        <w:spacing w:line="400" w:lineRule="exact"/>
        <w:ind w:firstLine="420" w:firstLineChars="200"/>
        <w:jc w:val="both"/>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若承包人未能按上述要求，及时修复存在的缺陷、病害或不合格之处，则发包人会同监理人，指令承包人延长缺陷责任期，如果只是工程的一部分，则责任期的延长只适用于那一部分。在缺陷责任期内，属于工程的设计使用寿命内的常规使用造成的损坏，承包人应在48小时内负责工程的缺陷修复，其所提供的产品、材料、设备、人员以及车辆、差旅等辅助工作均由承包人自行承担，同时负责更换后设备产品的日常保养和缺陷修复；特殊情况下造成损坏的，由承包人、监理人、发包人三方协商。</w:t>
      </w:r>
    </w:p>
    <w:p w14:paraId="4D67C309">
      <w:pPr>
        <w:widowControl w:val="0"/>
        <w:tabs>
          <w:tab w:val="left" w:pos="2790"/>
        </w:tabs>
        <w:spacing w:line="400" w:lineRule="exact"/>
        <w:ind w:firstLine="422" w:firstLineChars="200"/>
        <w:jc w:val="both"/>
        <w:rPr>
          <w:rFonts w:hint="eastAsia" w:ascii="宋体" w:hAnsi="宋体" w:eastAsia="宋体" w:cs="宋体"/>
          <w:b/>
          <w:bCs/>
          <w:color w:val="auto"/>
          <w:kern w:val="2"/>
          <w:sz w:val="21"/>
          <w:szCs w:val="21"/>
          <w:highlight w:val="none"/>
          <w:lang w:val="en-US" w:eastAsia="zh-CN" w:bidi="ar-SA"/>
        </w:rPr>
      </w:pPr>
      <w:r>
        <w:rPr>
          <w:rFonts w:hint="eastAsia" w:ascii="宋体" w:hAnsi="宋体" w:eastAsia="宋体" w:cs="宋体"/>
          <w:b/>
          <w:bCs/>
          <w:color w:val="auto"/>
          <w:kern w:val="2"/>
          <w:sz w:val="21"/>
          <w:szCs w:val="21"/>
          <w:highlight w:val="none"/>
          <w:lang w:val="en-US" w:eastAsia="zh-CN" w:bidi="ar-SA"/>
        </w:rPr>
        <w:t>公路工程专用合同条款第19.2.</w:t>
      </w:r>
      <w:r>
        <w:rPr>
          <w:rFonts w:hint="eastAsia" w:ascii="宋体" w:hAnsi="宋体" w:cs="宋体"/>
          <w:b/>
          <w:bCs/>
          <w:color w:val="auto"/>
          <w:kern w:val="2"/>
          <w:sz w:val="21"/>
          <w:szCs w:val="21"/>
          <w:highlight w:val="none"/>
          <w:lang w:val="en-US" w:eastAsia="zh-CN" w:bidi="ar-SA"/>
        </w:rPr>
        <w:t>3</w:t>
      </w:r>
      <w:r>
        <w:rPr>
          <w:rFonts w:hint="eastAsia" w:ascii="宋体" w:hAnsi="宋体" w:eastAsia="宋体" w:cs="宋体"/>
          <w:b/>
          <w:bCs/>
          <w:color w:val="auto"/>
          <w:kern w:val="2"/>
          <w:sz w:val="21"/>
          <w:szCs w:val="21"/>
          <w:highlight w:val="none"/>
          <w:lang w:val="en-US" w:eastAsia="zh-CN" w:bidi="ar-SA"/>
        </w:rPr>
        <w:t xml:space="preserve"> 项补充：</w:t>
      </w:r>
    </w:p>
    <w:p w14:paraId="4728886A">
      <w:pPr>
        <w:pStyle w:val="2"/>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监理人和承包人应共同查清缺陷和（或）损坏的原因。经查明属承包人原因造成的，应由承包人承担修复和查验的费用。经查验属发包人原因造成的，发包人应承担修复和查验的费用，并支付承包人合理利润</w:t>
      </w:r>
      <w:r>
        <w:rPr>
          <w:rFonts w:hint="eastAsia" w:ascii="宋体" w:hAnsi="宋体" w:cs="宋体"/>
          <w:color w:val="auto"/>
          <w:kern w:val="2"/>
          <w:sz w:val="21"/>
          <w:szCs w:val="21"/>
          <w:highlight w:val="none"/>
          <w:lang w:val="en-US" w:eastAsia="zh-CN" w:bidi="ar-SA"/>
        </w:rPr>
        <w:t>。</w:t>
      </w:r>
    </w:p>
    <w:p w14:paraId="0128F25F">
      <w:pPr>
        <w:widowControl w:val="0"/>
        <w:tabs>
          <w:tab w:val="left" w:pos="2790"/>
        </w:tabs>
        <w:spacing w:line="400" w:lineRule="exact"/>
        <w:ind w:firstLine="422" w:firstLineChars="200"/>
        <w:jc w:val="both"/>
        <w:rPr>
          <w:rFonts w:ascii="宋体" w:hAnsi="宋体" w:eastAsia="宋体" w:cs="宋体"/>
          <w:b/>
          <w:bCs/>
          <w:color w:val="auto"/>
          <w:kern w:val="2"/>
          <w:sz w:val="21"/>
          <w:szCs w:val="21"/>
          <w:highlight w:val="none"/>
          <w:lang w:val="en-US" w:eastAsia="zh-CN" w:bidi="ar-SA"/>
        </w:rPr>
      </w:pPr>
      <w:r>
        <w:rPr>
          <w:rFonts w:hint="eastAsia" w:ascii="宋体" w:hAnsi="宋体" w:eastAsia="宋体" w:cs="宋体"/>
          <w:b/>
          <w:bCs/>
          <w:color w:val="auto"/>
          <w:kern w:val="2"/>
          <w:sz w:val="21"/>
          <w:szCs w:val="21"/>
          <w:highlight w:val="none"/>
          <w:lang w:val="en-US" w:eastAsia="zh-CN" w:bidi="ar-SA"/>
        </w:rPr>
        <w:t>公路工程专用合同条款第19.2.</w:t>
      </w:r>
      <w:r>
        <w:rPr>
          <w:rFonts w:hint="eastAsia" w:ascii="宋体" w:hAnsi="宋体" w:cs="宋体"/>
          <w:b/>
          <w:bCs/>
          <w:color w:val="auto"/>
          <w:kern w:val="2"/>
          <w:sz w:val="21"/>
          <w:szCs w:val="21"/>
          <w:highlight w:val="none"/>
          <w:lang w:val="en-US" w:eastAsia="zh-CN" w:bidi="ar-SA"/>
        </w:rPr>
        <w:t>4</w:t>
      </w:r>
      <w:r>
        <w:rPr>
          <w:rFonts w:hint="eastAsia" w:ascii="宋体" w:hAnsi="宋体" w:eastAsia="宋体" w:cs="宋体"/>
          <w:b/>
          <w:bCs/>
          <w:color w:val="auto"/>
          <w:kern w:val="2"/>
          <w:sz w:val="21"/>
          <w:szCs w:val="21"/>
          <w:highlight w:val="none"/>
          <w:lang w:val="en-US" w:eastAsia="zh-CN" w:bidi="ar-SA"/>
        </w:rPr>
        <w:t>项补充：</w:t>
      </w:r>
    </w:p>
    <w:p w14:paraId="3B8CA8E8">
      <w:pPr>
        <w:pStyle w:val="2"/>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承包人不能在合理时间内修复缺陷的，发包人可自行修复或委托其他人修复，所需费用和利润的承担，按第19.2.3项约定办理</w:t>
      </w:r>
      <w:r>
        <w:rPr>
          <w:rFonts w:hint="eastAsia" w:ascii="宋体" w:hAnsi="宋体" w:cs="宋体"/>
          <w:color w:val="auto"/>
          <w:kern w:val="2"/>
          <w:sz w:val="21"/>
          <w:szCs w:val="21"/>
          <w:highlight w:val="none"/>
          <w:lang w:val="en-US" w:eastAsia="zh-CN" w:bidi="ar-SA"/>
        </w:rPr>
        <w:t>。</w:t>
      </w:r>
    </w:p>
    <w:bookmarkEnd w:id="894"/>
    <w:bookmarkEnd w:id="895"/>
    <w:bookmarkEnd w:id="896"/>
    <w:p w14:paraId="7AEE0021">
      <w:pPr>
        <w:keepNext/>
        <w:keepLines/>
        <w:widowControl w:val="0"/>
        <w:spacing w:before="120" w:after="0" w:line="360" w:lineRule="auto"/>
        <w:jc w:val="both"/>
        <w:outlineLvl w:val="3"/>
        <w:rPr>
          <w:rFonts w:ascii="宋体" w:hAnsi="宋体" w:eastAsia="宋体" w:cs="宋体"/>
          <w:b/>
          <w:bCs/>
          <w:color w:val="auto"/>
          <w:kern w:val="2"/>
          <w:sz w:val="24"/>
          <w:szCs w:val="24"/>
          <w:highlight w:val="none"/>
          <w:lang w:val="en-US" w:eastAsia="zh-CN" w:bidi="ar-SA"/>
        </w:rPr>
      </w:pPr>
      <w:bookmarkStart w:id="897" w:name="_Toc86616485"/>
      <w:bookmarkStart w:id="898" w:name="_Toc2692967"/>
      <w:bookmarkStart w:id="899" w:name="_Toc27317"/>
      <w:bookmarkStart w:id="900" w:name="_Toc324338209"/>
      <w:bookmarkStart w:id="901" w:name="_Toc2631"/>
      <w:bookmarkStart w:id="902" w:name="_Toc6367"/>
      <w:bookmarkStart w:id="903" w:name="_Toc333848074"/>
      <w:bookmarkStart w:id="904" w:name="_Toc328991169"/>
      <w:bookmarkStart w:id="905" w:name="_Toc98194772"/>
      <w:bookmarkStart w:id="906" w:name="_Toc82849597"/>
      <w:bookmarkStart w:id="907" w:name="_Toc527969918"/>
      <w:bookmarkStart w:id="908" w:name="_Toc343590110"/>
      <w:bookmarkStart w:id="909" w:name="_Toc83398594"/>
      <w:bookmarkStart w:id="910" w:name="_Toc507768238"/>
      <w:bookmarkStart w:id="911" w:name="_Toc322076182"/>
      <w:bookmarkStart w:id="912" w:name="_Toc133537018"/>
      <w:r>
        <w:rPr>
          <w:rFonts w:hint="eastAsia" w:ascii="宋体" w:hAnsi="宋体" w:eastAsia="宋体" w:cs="宋体"/>
          <w:b/>
          <w:bCs/>
          <w:color w:val="auto"/>
          <w:kern w:val="2"/>
          <w:sz w:val="24"/>
          <w:szCs w:val="24"/>
          <w:highlight w:val="none"/>
          <w:lang w:val="en-US" w:eastAsia="zh-CN" w:bidi="ar-SA"/>
        </w:rPr>
        <w:t>20. 保险</w:t>
      </w:r>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p>
    <w:p w14:paraId="3FD7B2A7">
      <w:pPr>
        <w:widowControl w:val="0"/>
        <w:spacing w:before="120" w:beforeLines="50" w:line="276" w:lineRule="auto"/>
        <w:jc w:val="both"/>
        <w:outlineLvl w:val="4"/>
        <w:rPr>
          <w:rFonts w:ascii="宋体" w:hAnsi="宋体" w:eastAsia="宋体" w:cs="宋体"/>
          <w:b/>
          <w:color w:val="auto"/>
          <w:kern w:val="2"/>
          <w:sz w:val="21"/>
          <w:szCs w:val="22"/>
          <w:highlight w:val="none"/>
          <w:lang w:val="en-US" w:eastAsia="zh-CN" w:bidi="ar-SA"/>
        </w:rPr>
      </w:pPr>
      <w:bookmarkStart w:id="913" w:name="_Toc10717"/>
      <w:bookmarkStart w:id="914" w:name="_Toc98194773"/>
      <w:bookmarkStart w:id="915" w:name="_Toc507768239"/>
      <w:bookmarkStart w:id="916" w:name="_Toc527969919"/>
      <w:bookmarkStart w:id="917" w:name="_Toc133537019"/>
      <w:bookmarkStart w:id="918" w:name="_Toc1894"/>
      <w:bookmarkStart w:id="919" w:name="_Toc30651"/>
      <w:bookmarkStart w:id="920" w:name="_Toc343590111"/>
      <w:bookmarkStart w:id="921" w:name="_Toc328991170"/>
      <w:bookmarkStart w:id="922" w:name="_Toc333848075"/>
      <w:bookmarkStart w:id="923" w:name="_Toc324338210"/>
      <w:r>
        <w:rPr>
          <w:rFonts w:hint="eastAsia" w:ascii="宋体" w:hAnsi="宋体" w:eastAsia="宋体" w:cs="宋体"/>
          <w:b/>
          <w:color w:val="auto"/>
          <w:kern w:val="2"/>
          <w:sz w:val="21"/>
          <w:szCs w:val="22"/>
          <w:highlight w:val="none"/>
          <w:lang w:val="en-US" w:eastAsia="zh-CN" w:bidi="ar-SA"/>
        </w:rPr>
        <w:t>20.1 工程保险</w:t>
      </w:r>
      <w:bookmarkEnd w:id="913"/>
      <w:bookmarkEnd w:id="914"/>
      <w:bookmarkEnd w:id="915"/>
      <w:bookmarkEnd w:id="916"/>
      <w:bookmarkEnd w:id="917"/>
      <w:bookmarkEnd w:id="918"/>
      <w:bookmarkEnd w:id="919"/>
    </w:p>
    <w:p w14:paraId="7F9378D0">
      <w:pPr>
        <w:widowControl w:val="0"/>
        <w:tabs>
          <w:tab w:val="left" w:pos="2790"/>
        </w:tabs>
        <w:spacing w:line="400" w:lineRule="exact"/>
        <w:ind w:firstLine="422" w:firstLineChars="200"/>
        <w:jc w:val="both"/>
        <w:rPr>
          <w:rFonts w:ascii="宋体" w:hAnsi="宋体" w:eastAsia="宋体" w:cs="宋体"/>
          <w:b/>
          <w:bCs/>
          <w:color w:val="auto"/>
          <w:kern w:val="2"/>
          <w:sz w:val="21"/>
          <w:szCs w:val="21"/>
          <w:highlight w:val="none"/>
          <w:lang w:val="en-US" w:eastAsia="zh-CN" w:bidi="ar-SA"/>
        </w:rPr>
      </w:pPr>
      <w:r>
        <w:rPr>
          <w:rFonts w:hint="eastAsia" w:ascii="宋体" w:hAnsi="宋体" w:eastAsia="宋体" w:cs="宋体"/>
          <w:b/>
          <w:bCs/>
          <w:color w:val="auto"/>
          <w:kern w:val="2"/>
          <w:sz w:val="21"/>
          <w:szCs w:val="21"/>
          <w:highlight w:val="none"/>
          <w:lang w:val="en-US" w:eastAsia="zh-CN" w:bidi="ar-SA"/>
        </w:rPr>
        <w:t>通用合同条款和公路工程专用合同条款20.1款细化为：</w:t>
      </w:r>
    </w:p>
    <w:p w14:paraId="224DD34D">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20.1建筑工程一切险的投保内容：为本合同工程的永久工程、临时工程和设备及已运至施工工地用于永久工程的材料和设备所投的保险。</w:t>
      </w:r>
    </w:p>
    <w:p w14:paraId="22B88771">
      <w:pPr>
        <w:widowControl w:val="0"/>
        <w:tabs>
          <w:tab w:val="left" w:pos="2790"/>
        </w:tabs>
        <w:spacing w:line="400" w:lineRule="exact"/>
        <w:ind w:firstLine="420" w:firstLineChars="200"/>
        <w:jc w:val="both"/>
        <w:rPr>
          <w:rFonts w:ascii="宋体" w:hAnsi="宋体" w:eastAsia="宋体" w:cs="宋体"/>
          <w:b/>
          <w:bCs/>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建筑工程一切险发包人已按中标合同额足额购买，此项不再单独计量支付。</w:t>
      </w:r>
    </w:p>
    <w:p w14:paraId="110FD27E">
      <w:pPr>
        <w:widowControl w:val="0"/>
        <w:spacing w:before="120" w:beforeLines="50" w:line="276" w:lineRule="auto"/>
        <w:jc w:val="both"/>
        <w:outlineLvl w:val="4"/>
        <w:rPr>
          <w:rFonts w:ascii="宋体" w:hAnsi="宋体" w:eastAsia="宋体" w:cs="宋体"/>
          <w:b/>
          <w:color w:val="auto"/>
          <w:kern w:val="2"/>
          <w:sz w:val="21"/>
          <w:szCs w:val="22"/>
          <w:highlight w:val="none"/>
          <w:lang w:val="en-US" w:eastAsia="zh-CN" w:bidi="ar-SA"/>
        </w:rPr>
      </w:pPr>
      <w:bookmarkStart w:id="924" w:name="_Toc13332"/>
      <w:bookmarkStart w:id="925" w:name="_Toc28874"/>
      <w:bookmarkStart w:id="926" w:name="_Toc29929"/>
      <w:bookmarkStart w:id="927" w:name="_Toc133537020"/>
      <w:bookmarkStart w:id="928" w:name="_Toc98194774"/>
      <w:r>
        <w:rPr>
          <w:rFonts w:hint="eastAsia" w:ascii="宋体" w:hAnsi="宋体" w:eastAsia="宋体" w:cs="宋体"/>
          <w:b/>
          <w:color w:val="auto"/>
          <w:kern w:val="2"/>
          <w:sz w:val="21"/>
          <w:szCs w:val="22"/>
          <w:highlight w:val="none"/>
          <w:lang w:val="en-US" w:eastAsia="zh-CN" w:bidi="ar-SA"/>
        </w:rPr>
        <w:t>20.2 人员工伤事故的保险</w:t>
      </w:r>
      <w:bookmarkEnd w:id="924"/>
      <w:bookmarkEnd w:id="925"/>
      <w:bookmarkEnd w:id="926"/>
      <w:bookmarkEnd w:id="927"/>
      <w:bookmarkEnd w:id="928"/>
    </w:p>
    <w:p w14:paraId="15FFD9CB">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20.2.1 承包人员工伤事故的保险</w:t>
      </w:r>
    </w:p>
    <w:p w14:paraId="060B9D55">
      <w:pPr>
        <w:widowControl w:val="0"/>
        <w:tabs>
          <w:tab w:val="left" w:pos="2790"/>
        </w:tabs>
        <w:spacing w:line="400" w:lineRule="exact"/>
        <w:ind w:firstLine="422" w:firstLineChars="200"/>
        <w:jc w:val="both"/>
        <w:rPr>
          <w:rFonts w:ascii="宋体" w:hAnsi="宋体" w:eastAsia="宋体" w:cs="宋体"/>
          <w:b/>
          <w:bCs/>
          <w:color w:val="auto"/>
          <w:kern w:val="2"/>
          <w:sz w:val="21"/>
          <w:szCs w:val="21"/>
          <w:highlight w:val="none"/>
          <w:lang w:val="en-US" w:eastAsia="zh-CN" w:bidi="ar-SA"/>
        </w:rPr>
      </w:pPr>
      <w:r>
        <w:rPr>
          <w:rFonts w:hint="eastAsia" w:ascii="宋体" w:hAnsi="宋体" w:eastAsia="宋体" w:cs="宋体"/>
          <w:b/>
          <w:bCs/>
          <w:color w:val="auto"/>
          <w:kern w:val="2"/>
          <w:sz w:val="21"/>
          <w:szCs w:val="21"/>
          <w:highlight w:val="none"/>
          <w:lang w:val="en-US" w:eastAsia="zh-CN" w:bidi="ar-SA"/>
        </w:rPr>
        <w:t>通用合同条款20.2.1项细化为：</w:t>
      </w:r>
    </w:p>
    <w:p w14:paraId="58A4678D">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承包人应依照有关法律规定参加工伤保险，为其履行合同所雇佣的全部人员，缴纳工伤保险。其中农民工工伤保险按《浙江省人力资源和社会保障厅等六部门转发人力资源社会保障部等六部门关于铁路、公路、水运、水利、能源、机场工程建设项目参加工伤保险工作的通知》（浙人社发〔2018〕29号）规定办理，并要求其分包人也应进行此项保险。承包人办理该保险的费用由承包人负担，发包人不另行支付。</w:t>
      </w:r>
    </w:p>
    <w:p w14:paraId="3745B70A">
      <w:pPr>
        <w:widowControl w:val="0"/>
        <w:spacing w:before="120" w:beforeLines="50" w:line="276" w:lineRule="auto"/>
        <w:jc w:val="both"/>
        <w:outlineLvl w:val="4"/>
        <w:rPr>
          <w:rFonts w:ascii="宋体" w:hAnsi="宋体" w:eastAsia="宋体" w:cs="宋体"/>
          <w:b/>
          <w:color w:val="auto"/>
          <w:kern w:val="2"/>
          <w:sz w:val="21"/>
          <w:szCs w:val="22"/>
          <w:highlight w:val="none"/>
          <w:lang w:val="en-US" w:eastAsia="zh-CN" w:bidi="ar-SA"/>
        </w:rPr>
      </w:pPr>
      <w:bookmarkStart w:id="929" w:name="_Toc28602"/>
      <w:bookmarkStart w:id="930" w:name="_Toc98194775"/>
      <w:bookmarkStart w:id="931" w:name="_Toc2638"/>
      <w:bookmarkStart w:id="932" w:name="_Toc133537021"/>
      <w:bookmarkStart w:id="933" w:name="_Toc2026"/>
      <w:r>
        <w:rPr>
          <w:rFonts w:hint="eastAsia" w:ascii="宋体" w:hAnsi="宋体" w:eastAsia="宋体" w:cs="宋体"/>
          <w:b/>
          <w:color w:val="auto"/>
          <w:kern w:val="2"/>
          <w:sz w:val="21"/>
          <w:szCs w:val="22"/>
          <w:highlight w:val="none"/>
          <w:lang w:val="en-US" w:eastAsia="zh-CN" w:bidi="ar-SA"/>
        </w:rPr>
        <w:t>20.3</w:t>
      </w:r>
      <w:bookmarkStart w:id="934" w:name="_Toc456442263"/>
      <w:r>
        <w:rPr>
          <w:rFonts w:hint="eastAsia" w:ascii="宋体" w:hAnsi="宋体" w:eastAsia="宋体" w:cs="宋体"/>
          <w:b/>
          <w:color w:val="auto"/>
          <w:kern w:val="2"/>
          <w:sz w:val="21"/>
          <w:szCs w:val="22"/>
          <w:highlight w:val="none"/>
          <w:lang w:val="en-US" w:eastAsia="zh-CN" w:bidi="ar-SA"/>
        </w:rPr>
        <w:t xml:space="preserve"> 人身意外伤害险</w:t>
      </w:r>
      <w:bookmarkEnd w:id="929"/>
      <w:bookmarkEnd w:id="930"/>
      <w:bookmarkEnd w:id="931"/>
      <w:bookmarkEnd w:id="932"/>
      <w:bookmarkEnd w:id="933"/>
      <w:bookmarkEnd w:id="934"/>
    </w:p>
    <w:p w14:paraId="6F589FF8">
      <w:pPr>
        <w:widowControl w:val="0"/>
        <w:tabs>
          <w:tab w:val="left" w:pos="2790"/>
        </w:tabs>
        <w:spacing w:line="400" w:lineRule="exact"/>
        <w:ind w:firstLine="422" w:firstLineChars="200"/>
        <w:jc w:val="both"/>
        <w:rPr>
          <w:rFonts w:ascii="宋体" w:hAnsi="宋体" w:eastAsia="宋体" w:cs="宋体"/>
          <w:b/>
          <w:bCs/>
          <w:color w:val="auto"/>
          <w:kern w:val="2"/>
          <w:sz w:val="21"/>
          <w:szCs w:val="21"/>
          <w:highlight w:val="none"/>
          <w:lang w:val="en-US" w:eastAsia="zh-CN" w:bidi="ar-SA"/>
        </w:rPr>
      </w:pPr>
      <w:r>
        <w:rPr>
          <w:rFonts w:hint="eastAsia" w:ascii="宋体" w:hAnsi="宋体" w:eastAsia="宋体" w:cs="宋体"/>
          <w:b/>
          <w:bCs/>
          <w:color w:val="auto"/>
          <w:kern w:val="2"/>
          <w:sz w:val="21"/>
          <w:szCs w:val="21"/>
          <w:highlight w:val="none"/>
          <w:lang w:val="en-US" w:eastAsia="zh-CN" w:bidi="ar-SA"/>
        </w:rPr>
        <w:t>通用合同条款20.3.2项补充：</w:t>
      </w:r>
    </w:p>
    <w:p w14:paraId="2D0956D8">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承包人在整个施工期间（包括缺陷责任期）对其为本工程工作的全体雇员投保人身意外伤害险，单人保险额不得低于150万元。在本合同工程的施工和缺陷修复过程中，发包人对承包人雇员的人身死亡或伤残，或财产（设备）的损失或损害不予赔偿；发包人也不对承包人与此有关的索赔、损害、赔偿及诉讼等费用和其他开支承担任何责任，不再单独计量支付。</w:t>
      </w:r>
    </w:p>
    <w:p w14:paraId="58D5EC27">
      <w:pPr>
        <w:widowControl w:val="0"/>
        <w:spacing w:before="120" w:beforeLines="50" w:line="276" w:lineRule="auto"/>
        <w:jc w:val="both"/>
        <w:outlineLvl w:val="4"/>
        <w:rPr>
          <w:rFonts w:ascii="宋体" w:hAnsi="宋体" w:eastAsia="宋体" w:cs="宋体"/>
          <w:b/>
          <w:color w:val="auto"/>
          <w:kern w:val="2"/>
          <w:sz w:val="21"/>
          <w:szCs w:val="22"/>
          <w:highlight w:val="none"/>
          <w:lang w:val="en-US" w:eastAsia="zh-CN" w:bidi="ar-SA"/>
        </w:rPr>
      </w:pPr>
      <w:bookmarkStart w:id="935" w:name="_Toc507768240"/>
      <w:bookmarkStart w:id="936" w:name="_Toc98194776"/>
      <w:bookmarkStart w:id="937" w:name="_Toc19117"/>
      <w:bookmarkStart w:id="938" w:name="_Toc133537022"/>
      <w:bookmarkStart w:id="939" w:name="_Toc12822"/>
      <w:bookmarkStart w:id="940" w:name="_Toc23012"/>
      <w:bookmarkStart w:id="941" w:name="_Toc527969920"/>
      <w:r>
        <w:rPr>
          <w:rFonts w:hint="eastAsia" w:ascii="宋体" w:hAnsi="宋体" w:eastAsia="宋体" w:cs="宋体"/>
          <w:b/>
          <w:color w:val="auto"/>
          <w:kern w:val="2"/>
          <w:sz w:val="21"/>
          <w:szCs w:val="22"/>
          <w:highlight w:val="none"/>
          <w:lang w:val="en-US" w:eastAsia="zh-CN" w:bidi="ar-SA"/>
        </w:rPr>
        <w:t>20.4 第三者责任险</w:t>
      </w:r>
      <w:bookmarkEnd w:id="935"/>
      <w:bookmarkEnd w:id="936"/>
      <w:bookmarkEnd w:id="937"/>
      <w:bookmarkEnd w:id="938"/>
      <w:bookmarkEnd w:id="939"/>
      <w:bookmarkEnd w:id="940"/>
      <w:bookmarkEnd w:id="941"/>
    </w:p>
    <w:p w14:paraId="7F87F79C">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第20.4.2项细化为：</w:t>
      </w:r>
    </w:p>
    <w:p w14:paraId="469A96E7">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20.4.2 在缺陷责任期终止证书颁发前，承包人应以承包人和发包人的共同名义，投保第三者责任险，第三者责任险已包含在安全生产责任保险中，不再单独计量。</w:t>
      </w:r>
    </w:p>
    <w:p w14:paraId="0AF20F90">
      <w:pPr>
        <w:widowControl w:val="0"/>
        <w:spacing w:before="120" w:beforeLines="50" w:line="276" w:lineRule="auto"/>
        <w:jc w:val="both"/>
        <w:outlineLvl w:val="4"/>
        <w:rPr>
          <w:rFonts w:ascii="宋体" w:hAnsi="宋体" w:eastAsia="宋体" w:cs="宋体"/>
          <w:b/>
          <w:color w:val="auto"/>
          <w:kern w:val="2"/>
          <w:sz w:val="21"/>
          <w:szCs w:val="22"/>
          <w:highlight w:val="none"/>
          <w:lang w:val="en-US" w:eastAsia="zh-CN" w:bidi="ar-SA"/>
        </w:rPr>
      </w:pPr>
      <w:bookmarkStart w:id="942" w:name="_Toc133537023"/>
      <w:bookmarkStart w:id="943" w:name="_Toc6999"/>
      <w:bookmarkStart w:id="944" w:name="_Toc13961"/>
      <w:bookmarkStart w:id="945" w:name="_Toc26778"/>
      <w:bookmarkStart w:id="946" w:name="_Toc98194777"/>
      <w:bookmarkStart w:id="947" w:name="_Toc527969921"/>
      <w:bookmarkStart w:id="948" w:name="_Toc507768241"/>
      <w:r>
        <w:rPr>
          <w:rFonts w:hint="eastAsia" w:ascii="宋体" w:hAnsi="宋体" w:eastAsia="宋体" w:cs="宋体"/>
          <w:b/>
          <w:color w:val="auto"/>
          <w:kern w:val="2"/>
          <w:sz w:val="21"/>
          <w:szCs w:val="22"/>
          <w:highlight w:val="none"/>
          <w:lang w:val="en-US" w:eastAsia="zh-CN" w:bidi="ar-SA"/>
        </w:rPr>
        <w:t>20.5 其他保险</w:t>
      </w:r>
      <w:bookmarkEnd w:id="942"/>
      <w:bookmarkEnd w:id="943"/>
      <w:bookmarkEnd w:id="944"/>
      <w:bookmarkEnd w:id="945"/>
      <w:bookmarkEnd w:id="946"/>
    </w:p>
    <w:p w14:paraId="47A9A773">
      <w:pPr>
        <w:widowControl w:val="0"/>
        <w:tabs>
          <w:tab w:val="left" w:pos="2790"/>
        </w:tabs>
        <w:spacing w:line="400" w:lineRule="exact"/>
        <w:ind w:firstLine="420" w:firstLineChars="200"/>
        <w:jc w:val="both"/>
        <w:rPr>
          <w:rFonts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本款约定为：</w:t>
      </w:r>
    </w:p>
    <w:p w14:paraId="6337D699">
      <w:pPr>
        <w:widowControl w:val="0"/>
        <w:tabs>
          <w:tab w:val="left" w:pos="2790"/>
        </w:tabs>
        <w:spacing w:line="400" w:lineRule="exact"/>
        <w:ind w:firstLine="420" w:firstLineChars="200"/>
        <w:jc w:val="both"/>
        <w:rPr>
          <w:rFonts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20.5.1承包人应为其施工设备等办理保险，其投保金额应足以现场重置。</w:t>
      </w:r>
    </w:p>
    <w:p w14:paraId="35D48790">
      <w:pPr>
        <w:widowControl w:val="0"/>
        <w:tabs>
          <w:tab w:val="left" w:pos="2790"/>
        </w:tabs>
        <w:spacing w:line="400" w:lineRule="exact"/>
        <w:ind w:firstLine="420" w:firstLineChars="200"/>
        <w:jc w:val="both"/>
        <w:rPr>
          <w:rFonts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20.5.2 根据《中华人民共和国安全生产法》（2021修订版）、浙政办发《浙江省人民政府办公厅转发省安监局等部门关于在高危行业全面推进安全生产责任保险的通知》〔2017〕146号文件、《关于进一步推进我省安全生产责任保险规范化工作的通知》浙应急法〔2020〕9号文件要求，承包人在整个项目实施期间对本标段工程投保安全生产责任保险。安全生产责任保险的保险金额为</w:t>
      </w:r>
      <w:r>
        <w:rPr>
          <w:rFonts w:hint="eastAsia" w:ascii="宋体" w:hAnsi="宋体" w:eastAsia="宋体" w:cs="宋体"/>
          <w:b/>
          <w:bCs/>
          <w:color w:val="auto"/>
          <w:kern w:val="2"/>
          <w:sz w:val="21"/>
          <w:szCs w:val="21"/>
          <w:highlight w:val="none"/>
          <w:lang w:val="en-US" w:eastAsia="zh-CN" w:bidi="ar-SA"/>
        </w:rPr>
        <w:t>工程量清单第100章（不含建筑工程一切险的保险费、安全生产费）至800章的合计金额</w:t>
      </w:r>
      <w:r>
        <w:rPr>
          <w:rFonts w:hint="eastAsia" w:ascii="宋体" w:hAnsi="宋体" w:eastAsia="宋体" w:cs="宋体"/>
          <w:b/>
          <w:bCs/>
          <w:snapToGrid w:val="0"/>
          <w:color w:val="auto"/>
          <w:kern w:val="0"/>
          <w:sz w:val="21"/>
          <w:szCs w:val="21"/>
          <w:highlight w:val="none"/>
          <w:lang w:val="en-US" w:eastAsia="zh-CN" w:bidi="ar-SA"/>
        </w:rPr>
        <w:t>，</w:t>
      </w:r>
      <w:r>
        <w:rPr>
          <w:rFonts w:hint="eastAsia" w:ascii="宋体" w:hAnsi="宋体" w:eastAsia="宋体" w:cs="宋体"/>
          <w:snapToGrid w:val="0"/>
          <w:color w:val="auto"/>
          <w:kern w:val="0"/>
          <w:sz w:val="21"/>
          <w:szCs w:val="21"/>
          <w:highlight w:val="none"/>
          <w:lang w:val="en-US" w:eastAsia="zh-CN" w:bidi="ar-SA"/>
        </w:rPr>
        <w:t>保险费率在项目专用合同条款数据表中约定，安全生产责任保险保障内容已覆盖第三者责任险，第三者责任险不另行计量，第三者责任险的最低投保金额不得少于300万元，事故免赔次数不限。</w:t>
      </w:r>
    </w:p>
    <w:p w14:paraId="78520FC1">
      <w:pPr>
        <w:widowControl w:val="0"/>
        <w:tabs>
          <w:tab w:val="left" w:pos="2790"/>
        </w:tabs>
        <w:spacing w:line="400" w:lineRule="exact"/>
        <w:ind w:firstLine="420" w:firstLineChars="200"/>
        <w:jc w:val="both"/>
        <w:rPr>
          <w:rFonts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在缺陷责任期终止证书颁发前，承包人应以承包人和发包人的共同名义，投保本项约定的安全生产责任保险，其保险费率、保险金额等有关内容投标人在报价时暂按项目专用合同条款数据表中约定的费率报价，实际保险费率按发包人按有关规定确定的保险公司约定的保险费率办理。发包人在接到保险单后，将按照实际保险单的费用直接向承包人支付，承包人应以发包人和承包人的共同名义投保安全生产责任保险。</w:t>
      </w:r>
    </w:p>
    <w:p w14:paraId="51C6DF3C">
      <w:pPr>
        <w:widowControl w:val="0"/>
        <w:tabs>
          <w:tab w:val="left" w:pos="2790"/>
        </w:tabs>
        <w:spacing w:line="400" w:lineRule="exact"/>
        <w:ind w:firstLine="420" w:firstLineChars="200"/>
        <w:jc w:val="both"/>
        <w:rPr>
          <w:rFonts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安全生产责任保险的保险期限：保险合同签订日起直至本合同工程签发缺陷责任期终止证书止。</w:t>
      </w:r>
    </w:p>
    <w:p w14:paraId="35C1624E">
      <w:pPr>
        <w:widowControl w:val="0"/>
        <w:tabs>
          <w:tab w:val="left" w:pos="2790"/>
        </w:tabs>
        <w:spacing w:line="400" w:lineRule="exact"/>
        <w:ind w:firstLine="420" w:firstLineChars="200"/>
        <w:jc w:val="both"/>
        <w:rPr>
          <w:rFonts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安全生产责任保险的保险机构的确定应事先征得发包人同意，相关保险投保应服从发包人统一实施要求。</w:t>
      </w:r>
    </w:p>
    <w:p w14:paraId="14318B7A">
      <w:pPr>
        <w:widowControl w:val="0"/>
        <w:tabs>
          <w:tab w:val="left" w:pos="2790"/>
        </w:tabs>
        <w:spacing w:line="400" w:lineRule="exact"/>
        <w:ind w:firstLine="420" w:firstLineChars="200"/>
        <w:jc w:val="both"/>
        <w:rPr>
          <w:rFonts w:ascii="宋体" w:hAnsi="宋体" w:eastAsia="宋体" w:cs="宋体"/>
          <w:snapToGrid w:val="0"/>
          <w:color w:val="auto"/>
          <w:kern w:val="0"/>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安全生产责任保险包含在安全生产费中，不再单独计量支付。</w:t>
      </w:r>
    </w:p>
    <w:p w14:paraId="674FE6A5">
      <w:pPr>
        <w:widowControl w:val="0"/>
        <w:spacing w:before="120" w:beforeLines="50" w:line="276" w:lineRule="auto"/>
        <w:jc w:val="both"/>
        <w:outlineLvl w:val="4"/>
        <w:rPr>
          <w:rFonts w:ascii="宋体" w:hAnsi="宋体" w:eastAsia="宋体" w:cs="宋体"/>
          <w:b/>
          <w:color w:val="auto"/>
          <w:kern w:val="2"/>
          <w:sz w:val="21"/>
          <w:szCs w:val="22"/>
          <w:highlight w:val="none"/>
          <w:lang w:val="en-US" w:eastAsia="zh-CN" w:bidi="ar-SA"/>
        </w:rPr>
      </w:pPr>
      <w:bookmarkStart w:id="949" w:name="_Toc98194778"/>
      <w:bookmarkStart w:id="950" w:name="_Toc23270"/>
      <w:bookmarkStart w:id="951" w:name="_Toc133537024"/>
      <w:bookmarkStart w:id="952" w:name="_Toc31160"/>
      <w:bookmarkStart w:id="953" w:name="_Toc14306"/>
      <w:r>
        <w:rPr>
          <w:rFonts w:hint="eastAsia" w:ascii="宋体" w:hAnsi="宋体" w:eastAsia="宋体" w:cs="宋体"/>
          <w:b/>
          <w:color w:val="auto"/>
          <w:kern w:val="2"/>
          <w:sz w:val="21"/>
          <w:szCs w:val="22"/>
          <w:highlight w:val="none"/>
          <w:lang w:val="en-US" w:eastAsia="zh-CN" w:bidi="ar-SA"/>
        </w:rPr>
        <w:t>20.6 对各项保险的一般要求</w:t>
      </w:r>
      <w:bookmarkEnd w:id="920"/>
      <w:bookmarkEnd w:id="921"/>
      <w:bookmarkEnd w:id="922"/>
      <w:bookmarkEnd w:id="923"/>
      <w:bookmarkEnd w:id="947"/>
      <w:bookmarkEnd w:id="948"/>
      <w:bookmarkEnd w:id="949"/>
      <w:bookmarkEnd w:id="950"/>
      <w:bookmarkEnd w:id="951"/>
      <w:bookmarkEnd w:id="952"/>
      <w:bookmarkEnd w:id="953"/>
    </w:p>
    <w:p w14:paraId="39361441">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20.6.4  保险金不足的补偿</w:t>
      </w:r>
    </w:p>
    <w:p w14:paraId="68BCE0E7">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公路工程专用合同条款20.6.4项细化为：</w:t>
      </w:r>
    </w:p>
    <w:p w14:paraId="24308847">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保险金的赔偿金额以有资质的公估单位确定的金额为准，免赔额和超过赔偿限额的部分由承包人承担。</w:t>
      </w:r>
    </w:p>
    <w:bookmarkEnd w:id="865"/>
    <w:bookmarkEnd w:id="866"/>
    <w:bookmarkEnd w:id="867"/>
    <w:p w14:paraId="1B05D9F7">
      <w:pPr>
        <w:keepNext/>
        <w:keepLines/>
        <w:widowControl w:val="0"/>
        <w:spacing w:before="120" w:after="0" w:line="360" w:lineRule="auto"/>
        <w:jc w:val="both"/>
        <w:outlineLvl w:val="3"/>
        <w:rPr>
          <w:rFonts w:ascii="宋体" w:hAnsi="宋体" w:eastAsia="宋体" w:cs="宋体"/>
          <w:b/>
          <w:bCs/>
          <w:color w:val="auto"/>
          <w:kern w:val="2"/>
          <w:sz w:val="24"/>
          <w:szCs w:val="24"/>
          <w:highlight w:val="none"/>
          <w:lang w:val="en-US" w:eastAsia="zh-CN" w:bidi="ar-SA"/>
        </w:rPr>
      </w:pPr>
      <w:bookmarkStart w:id="954" w:name="_Toc477764192"/>
      <w:bookmarkStart w:id="955" w:name="_Toc83398595"/>
      <w:bookmarkStart w:id="956" w:name="_Toc445203938"/>
      <w:bookmarkStart w:id="957" w:name="_Toc82849598"/>
      <w:bookmarkStart w:id="958" w:name="_Toc497815087"/>
      <w:bookmarkStart w:id="959" w:name="_Toc25518"/>
      <w:bookmarkStart w:id="960" w:name="_Toc98194779"/>
      <w:bookmarkStart w:id="961" w:name="_Toc521522306"/>
      <w:bookmarkStart w:id="962" w:name="_Toc29678"/>
      <w:bookmarkStart w:id="963" w:name="_Toc2692968"/>
      <w:bookmarkStart w:id="964" w:name="_Toc86616486"/>
      <w:bookmarkStart w:id="965" w:name="_Toc509845237"/>
      <w:bookmarkStart w:id="966" w:name="_Toc133537025"/>
      <w:bookmarkStart w:id="967" w:name="_Toc509090401"/>
      <w:bookmarkStart w:id="968" w:name="_Toc287272898"/>
      <w:bookmarkStart w:id="969" w:name="_Toc517356868"/>
      <w:bookmarkStart w:id="970" w:name="_Toc498612673"/>
      <w:bookmarkStart w:id="971" w:name="_Toc7273"/>
      <w:bookmarkStart w:id="972" w:name="_Toc488333231"/>
      <w:r>
        <w:rPr>
          <w:rFonts w:hint="eastAsia" w:ascii="宋体" w:hAnsi="宋体" w:eastAsia="宋体" w:cs="宋体"/>
          <w:b/>
          <w:bCs/>
          <w:color w:val="auto"/>
          <w:kern w:val="2"/>
          <w:sz w:val="24"/>
          <w:szCs w:val="24"/>
          <w:highlight w:val="none"/>
          <w:lang w:val="en-US" w:eastAsia="zh-CN" w:bidi="ar-SA"/>
        </w:rPr>
        <w:t>21.不可抗力</w:t>
      </w:r>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p>
    <w:p w14:paraId="0BA1922E">
      <w:pPr>
        <w:widowControl w:val="0"/>
        <w:spacing w:before="120" w:beforeLines="50" w:line="276" w:lineRule="auto"/>
        <w:jc w:val="both"/>
        <w:outlineLvl w:val="4"/>
        <w:rPr>
          <w:rFonts w:ascii="宋体" w:hAnsi="宋体" w:eastAsia="宋体" w:cs="宋体"/>
          <w:b/>
          <w:color w:val="auto"/>
          <w:kern w:val="2"/>
          <w:sz w:val="21"/>
          <w:szCs w:val="22"/>
          <w:highlight w:val="none"/>
          <w:lang w:val="en-US" w:eastAsia="zh-CN" w:bidi="ar-SA"/>
        </w:rPr>
      </w:pPr>
      <w:bookmarkStart w:id="973" w:name="_Toc11787"/>
      <w:bookmarkStart w:id="974" w:name="_Toc133537026"/>
      <w:bookmarkStart w:id="975" w:name="_Toc98194780"/>
      <w:bookmarkStart w:id="976" w:name="_Toc445203939"/>
      <w:bookmarkStart w:id="977" w:name="_Toc1727"/>
      <w:bookmarkStart w:id="978" w:name="_Toc11704"/>
      <w:bookmarkStart w:id="979" w:name="_Toc477764193"/>
      <w:r>
        <w:rPr>
          <w:rFonts w:hint="eastAsia" w:ascii="宋体" w:hAnsi="宋体" w:eastAsia="宋体" w:cs="宋体"/>
          <w:b/>
          <w:color w:val="auto"/>
          <w:kern w:val="2"/>
          <w:sz w:val="21"/>
          <w:szCs w:val="22"/>
          <w:highlight w:val="none"/>
          <w:lang w:val="en-US" w:eastAsia="zh-CN" w:bidi="ar-SA"/>
        </w:rPr>
        <w:t>21.1不可抗力的确认</w:t>
      </w:r>
      <w:bookmarkEnd w:id="973"/>
      <w:bookmarkEnd w:id="974"/>
      <w:bookmarkEnd w:id="975"/>
      <w:bookmarkEnd w:id="976"/>
      <w:bookmarkEnd w:id="977"/>
      <w:bookmarkEnd w:id="978"/>
      <w:bookmarkEnd w:id="979"/>
    </w:p>
    <w:p w14:paraId="1943C473">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公路工程专用合同条款21.1.1（6）目约定为：</w:t>
      </w:r>
    </w:p>
    <w:p w14:paraId="1C27079F">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（6）不可抗力的其他情形：</w:t>
      </w:r>
      <w:r>
        <w:rPr>
          <w:rFonts w:hint="eastAsia" w:ascii="宋体" w:hAnsi="宋体" w:eastAsia="宋体" w:cs="宋体"/>
          <w:color w:val="auto"/>
          <w:kern w:val="2"/>
          <w:sz w:val="21"/>
          <w:szCs w:val="21"/>
          <w:highlight w:val="none"/>
          <w:u w:val="single"/>
          <w:lang w:val="en-US" w:eastAsia="zh-CN" w:bidi="ar-SA"/>
        </w:rPr>
        <w:t xml:space="preserve">     /     </w:t>
      </w:r>
      <w:r>
        <w:rPr>
          <w:rFonts w:hint="eastAsia" w:ascii="宋体" w:hAnsi="宋体" w:eastAsia="宋体" w:cs="宋体"/>
          <w:color w:val="auto"/>
          <w:kern w:val="2"/>
          <w:sz w:val="21"/>
          <w:szCs w:val="21"/>
          <w:highlight w:val="none"/>
          <w:lang w:val="en-US" w:eastAsia="zh-CN" w:bidi="ar-SA"/>
        </w:rPr>
        <w:t xml:space="preserve"> 。</w:t>
      </w:r>
    </w:p>
    <w:p w14:paraId="783D4229">
      <w:pPr>
        <w:keepNext/>
        <w:keepLines/>
        <w:widowControl w:val="0"/>
        <w:spacing w:before="120" w:after="0" w:line="360" w:lineRule="auto"/>
        <w:jc w:val="both"/>
        <w:outlineLvl w:val="3"/>
        <w:rPr>
          <w:rFonts w:ascii="宋体" w:hAnsi="宋体" w:eastAsia="宋体" w:cs="宋体"/>
          <w:b/>
          <w:bCs/>
          <w:color w:val="auto"/>
          <w:kern w:val="2"/>
          <w:sz w:val="24"/>
          <w:szCs w:val="24"/>
          <w:highlight w:val="none"/>
          <w:lang w:val="en-US" w:eastAsia="zh-CN" w:bidi="ar-SA"/>
        </w:rPr>
      </w:pPr>
      <w:bookmarkStart w:id="980" w:name="_Toc488333232"/>
      <w:bookmarkStart w:id="981" w:name="_Toc498612674"/>
      <w:bookmarkStart w:id="982" w:name="_Toc4092"/>
      <w:bookmarkStart w:id="983" w:name="_Toc509845238"/>
      <w:bookmarkStart w:id="984" w:name="_Toc12915"/>
      <w:bookmarkStart w:id="985" w:name="_Toc445203940"/>
      <w:bookmarkStart w:id="986" w:name="_Toc517356869"/>
      <w:bookmarkStart w:id="987" w:name="_Toc86616487"/>
      <w:bookmarkStart w:id="988" w:name="_Toc2692969"/>
      <w:bookmarkStart w:id="989" w:name="_Toc82849599"/>
      <w:bookmarkStart w:id="990" w:name="_Toc133537027"/>
      <w:bookmarkStart w:id="991" w:name="_Toc27645"/>
      <w:bookmarkStart w:id="992" w:name="_Toc521522307"/>
      <w:bookmarkStart w:id="993" w:name="_Toc509090402"/>
      <w:bookmarkStart w:id="994" w:name="_Toc497815088"/>
      <w:bookmarkStart w:id="995" w:name="_Toc98194781"/>
      <w:bookmarkStart w:id="996" w:name="_Toc477764194"/>
      <w:bookmarkStart w:id="997" w:name="_Toc83398596"/>
      <w:bookmarkStart w:id="998" w:name="_Toc98194784"/>
      <w:r>
        <w:rPr>
          <w:rFonts w:hint="eastAsia" w:ascii="宋体" w:hAnsi="宋体" w:eastAsia="宋体" w:cs="宋体"/>
          <w:b/>
          <w:bCs/>
          <w:color w:val="auto"/>
          <w:kern w:val="2"/>
          <w:sz w:val="24"/>
          <w:szCs w:val="24"/>
          <w:highlight w:val="none"/>
          <w:lang w:val="en-US" w:eastAsia="zh-CN" w:bidi="ar-SA"/>
        </w:rPr>
        <w:t>22.违约</w:t>
      </w:r>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p>
    <w:p w14:paraId="4AF93C1A">
      <w:pPr>
        <w:widowControl w:val="0"/>
        <w:spacing w:before="120" w:beforeLines="50" w:line="380" w:lineRule="exact"/>
        <w:jc w:val="both"/>
        <w:outlineLvl w:val="4"/>
        <w:rPr>
          <w:rFonts w:ascii="宋体" w:hAnsi="宋体" w:eastAsia="宋体" w:cs="宋体"/>
          <w:b/>
          <w:color w:val="auto"/>
          <w:kern w:val="2"/>
          <w:sz w:val="21"/>
          <w:szCs w:val="22"/>
          <w:highlight w:val="none"/>
          <w:lang w:val="en-US" w:eastAsia="zh-CN" w:bidi="ar-SA"/>
        </w:rPr>
      </w:pPr>
      <w:bookmarkStart w:id="999" w:name="_Toc477764195"/>
      <w:bookmarkStart w:id="1000" w:name="_Toc133537028"/>
      <w:bookmarkStart w:id="1001" w:name="_Toc23785"/>
      <w:bookmarkStart w:id="1002" w:name="_Toc445203941"/>
      <w:bookmarkStart w:id="1003" w:name="_Toc98194782"/>
      <w:bookmarkStart w:id="1004" w:name="_Toc17928"/>
      <w:bookmarkStart w:id="1005" w:name="_Toc3569"/>
      <w:r>
        <w:rPr>
          <w:rFonts w:hint="eastAsia" w:ascii="宋体" w:hAnsi="宋体" w:eastAsia="宋体" w:cs="宋体"/>
          <w:b/>
          <w:color w:val="auto"/>
          <w:kern w:val="2"/>
          <w:sz w:val="21"/>
          <w:szCs w:val="22"/>
          <w:highlight w:val="none"/>
          <w:lang w:val="en-US" w:eastAsia="zh-CN" w:bidi="ar-SA"/>
        </w:rPr>
        <w:t>22.1承包人违约</w:t>
      </w:r>
      <w:bookmarkEnd w:id="999"/>
      <w:bookmarkEnd w:id="1000"/>
      <w:bookmarkEnd w:id="1001"/>
      <w:bookmarkEnd w:id="1002"/>
      <w:bookmarkEnd w:id="1003"/>
      <w:bookmarkEnd w:id="1004"/>
      <w:bookmarkEnd w:id="1005"/>
    </w:p>
    <w:p w14:paraId="1DF1985A">
      <w:pPr>
        <w:widowControl w:val="0"/>
        <w:tabs>
          <w:tab w:val="left" w:pos="2790"/>
        </w:tabs>
        <w:spacing w:line="380" w:lineRule="exact"/>
        <w:ind w:firstLine="420" w:firstLineChars="200"/>
        <w:jc w:val="both"/>
        <w:rPr>
          <w:rFonts w:ascii="宋体" w:hAnsi="宋体" w:eastAsia="宋体" w:cs="宋体"/>
          <w:color w:val="auto"/>
          <w:kern w:val="2"/>
          <w:sz w:val="21"/>
          <w:szCs w:val="21"/>
          <w:highlight w:val="none"/>
          <w:lang w:val="en-US" w:eastAsia="zh-CN" w:bidi="ar-SA"/>
        </w:rPr>
      </w:pPr>
      <w:bookmarkStart w:id="1006" w:name="_Toc287272905"/>
      <w:r>
        <w:rPr>
          <w:rFonts w:hint="eastAsia" w:ascii="宋体" w:hAnsi="宋体" w:eastAsia="宋体" w:cs="宋体"/>
          <w:color w:val="auto"/>
          <w:kern w:val="2"/>
          <w:sz w:val="21"/>
          <w:szCs w:val="21"/>
          <w:highlight w:val="none"/>
          <w:lang w:val="en-US" w:eastAsia="zh-CN" w:bidi="ar-SA"/>
        </w:rPr>
        <w:t>22.1.1  承包人违约的情形</w:t>
      </w:r>
    </w:p>
    <w:p w14:paraId="6D53F19B">
      <w:pPr>
        <w:widowControl w:val="0"/>
        <w:tabs>
          <w:tab w:val="left" w:pos="2790"/>
        </w:tabs>
        <w:spacing w:line="380" w:lineRule="exact"/>
        <w:ind w:firstLine="422" w:firstLineChars="200"/>
        <w:jc w:val="both"/>
        <w:rPr>
          <w:rFonts w:ascii="宋体" w:hAnsi="宋体" w:eastAsia="宋体" w:cs="宋体"/>
          <w:b/>
          <w:bCs/>
          <w:color w:val="auto"/>
          <w:kern w:val="2"/>
          <w:sz w:val="21"/>
          <w:szCs w:val="21"/>
          <w:highlight w:val="none"/>
          <w:lang w:val="en-US" w:eastAsia="zh-CN" w:bidi="ar-SA"/>
        </w:rPr>
      </w:pPr>
      <w:r>
        <w:rPr>
          <w:rFonts w:hint="eastAsia" w:ascii="宋体" w:hAnsi="宋体" w:eastAsia="宋体" w:cs="宋体"/>
          <w:b/>
          <w:bCs/>
          <w:color w:val="auto"/>
          <w:kern w:val="2"/>
          <w:sz w:val="21"/>
          <w:szCs w:val="21"/>
          <w:highlight w:val="none"/>
          <w:lang w:val="en-US" w:eastAsia="zh-CN" w:bidi="ar-SA"/>
        </w:rPr>
        <w:t>通用合同条款及公路工程专用合同条款22.1.1项细化为：</w:t>
      </w:r>
    </w:p>
    <w:p w14:paraId="5B404CA0">
      <w:pPr>
        <w:widowControl w:val="0"/>
        <w:tabs>
          <w:tab w:val="left" w:pos="2790"/>
        </w:tabs>
        <w:spacing w:line="380" w:lineRule="exact"/>
        <w:ind w:firstLine="420" w:firstLineChars="200"/>
        <w:jc w:val="both"/>
        <w:rPr>
          <w:rFonts w:ascii="宋体" w:hAnsi="宋体" w:eastAsia="宋体" w:cs="宋体"/>
          <w:color w:val="auto"/>
          <w:kern w:val="2"/>
          <w:sz w:val="21"/>
          <w:szCs w:val="21"/>
          <w:highlight w:val="none"/>
          <w:lang w:val="en-US" w:eastAsia="zh-CN" w:bidi="ar-SA"/>
        </w:rPr>
      </w:pPr>
      <w:bookmarkStart w:id="1007" w:name="_Toc445203942"/>
      <w:r>
        <w:rPr>
          <w:rFonts w:hint="eastAsia" w:ascii="宋体" w:hAnsi="宋体" w:eastAsia="宋体" w:cs="宋体"/>
          <w:color w:val="auto"/>
          <w:kern w:val="2"/>
          <w:sz w:val="21"/>
          <w:szCs w:val="21"/>
          <w:highlight w:val="none"/>
          <w:lang w:val="en-US" w:eastAsia="zh-CN" w:bidi="ar-SA"/>
        </w:rPr>
        <w:t>在履行合同过程中发生的下列情形属承包人违约：</w:t>
      </w:r>
    </w:p>
    <w:p w14:paraId="577ABCB2">
      <w:pPr>
        <w:widowControl w:val="0"/>
        <w:tabs>
          <w:tab w:val="left" w:pos="2790"/>
        </w:tabs>
        <w:spacing w:line="38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（1）承包人违反第1.8 款或第4.3 款的约定，私自将合同的全部或部分权利转让给其他人，或私自将合同的全部或部分义务转移给其他人；</w:t>
      </w:r>
    </w:p>
    <w:p w14:paraId="32207273">
      <w:pPr>
        <w:widowControl w:val="0"/>
        <w:tabs>
          <w:tab w:val="left" w:pos="2790"/>
        </w:tabs>
        <w:spacing w:line="38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（2）承包人违反第5.3 款或第6.4 款的约定，未经监理人批准，私自将己按合同约定进入施工场地的施工设备、临时设施、材料或工程设备撤离施工场地；</w:t>
      </w:r>
    </w:p>
    <w:p w14:paraId="669F2D6E">
      <w:pPr>
        <w:widowControl w:val="0"/>
        <w:tabs>
          <w:tab w:val="left" w:pos="2790"/>
        </w:tabs>
        <w:spacing w:line="38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（3）承包人违反第5.4 款的约定使用了不合格材料或工程设备，工程质量达不到标准要求；或进场材料与设计不相符合，未经设计同意变更，擅自将该材料投入主体工程使用。</w:t>
      </w:r>
    </w:p>
    <w:p w14:paraId="79D8A320">
      <w:pPr>
        <w:widowControl w:val="0"/>
        <w:tabs>
          <w:tab w:val="left" w:pos="2790"/>
        </w:tabs>
        <w:spacing w:line="38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（4）承包人未能按合同进度计划、节点工程计划及时完成合同约定的工作，已造成或预期造成工期延误；</w:t>
      </w:r>
    </w:p>
    <w:p w14:paraId="5D64AC5B">
      <w:pPr>
        <w:widowControl w:val="0"/>
        <w:tabs>
          <w:tab w:val="left" w:pos="2790"/>
        </w:tabs>
        <w:spacing w:line="38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（5）承包人在缺陷责任期内，未能对工程接收证书所列的缺陷清单的内容或缺陷责任期内发生的缺陷进行修复，而又拒绝按监理人指示再进行修补；</w:t>
      </w:r>
    </w:p>
    <w:p w14:paraId="43F72101">
      <w:pPr>
        <w:widowControl w:val="0"/>
        <w:tabs>
          <w:tab w:val="left" w:pos="2790"/>
        </w:tabs>
        <w:spacing w:line="38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（6）承包人无法继续履行或明确表示不履行或实质上己停止履行合同；</w:t>
      </w:r>
    </w:p>
    <w:p w14:paraId="6C74AA8D">
      <w:pPr>
        <w:widowControl w:val="0"/>
        <w:tabs>
          <w:tab w:val="left" w:pos="2790"/>
        </w:tabs>
        <w:spacing w:line="38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（7）项目已具备开工条件，因承包人原因，承包人未能按期开工；</w:t>
      </w:r>
    </w:p>
    <w:p w14:paraId="5D9B2D37">
      <w:pPr>
        <w:widowControl w:val="0"/>
        <w:tabs>
          <w:tab w:val="left" w:pos="2790"/>
        </w:tabs>
        <w:spacing w:line="38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（8）承包人违反第6.3款，未按承诺或未按监理人的要求及时配备合同约定的关键施工设备；</w:t>
      </w:r>
    </w:p>
    <w:p w14:paraId="68C9001B">
      <w:pPr>
        <w:widowControl w:val="0"/>
        <w:tabs>
          <w:tab w:val="left" w:pos="2790"/>
        </w:tabs>
        <w:spacing w:line="38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（9）经监理人和发包人检查，发现承包人违反第 9.2 款、19.2 款规定，发生生成安全责任事故、违法违规行为、存在安全隐患等安全问题或有安全问题或有违反安全管理规章制度的情形；</w:t>
      </w:r>
    </w:p>
    <w:p w14:paraId="4DA0F475">
      <w:pPr>
        <w:widowControl w:val="0"/>
        <w:tabs>
          <w:tab w:val="left" w:pos="2790"/>
        </w:tabs>
        <w:spacing w:line="38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（10）承包人违反第13.1.1项的约定，工程质量未达到标段竣工验收的质量评定要求的；</w:t>
      </w:r>
    </w:p>
    <w:p w14:paraId="718F4294">
      <w:pPr>
        <w:widowControl w:val="0"/>
        <w:tabs>
          <w:tab w:val="left" w:pos="2790"/>
        </w:tabs>
        <w:spacing w:line="38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（11）承包人违反第4.9款的约定，将发包人支付给承包人的各项价款转移或用于其他工程；</w:t>
      </w:r>
    </w:p>
    <w:p w14:paraId="72468840">
      <w:pPr>
        <w:widowControl w:val="0"/>
        <w:tabs>
          <w:tab w:val="left" w:pos="2790"/>
        </w:tabs>
        <w:spacing w:line="38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（12）承包人违反第4.6款的约定，未按承诺或未按监理人的要求及时配备称职的主要管理人员、技术骨干，或未按规定替换，或擅离职守的；</w:t>
      </w:r>
    </w:p>
    <w:p w14:paraId="68A067C8">
      <w:pPr>
        <w:widowControl w:val="0"/>
        <w:tabs>
          <w:tab w:val="left" w:pos="2790"/>
        </w:tabs>
        <w:spacing w:line="38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（13）承包人违反投标人须知第3.5款的规定，在合同实施期间发现承包人在投标时提供了虚假资料的；</w:t>
      </w:r>
    </w:p>
    <w:p w14:paraId="3382607B">
      <w:pPr>
        <w:widowControl w:val="0"/>
        <w:tabs>
          <w:tab w:val="left" w:pos="2790"/>
        </w:tabs>
        <w:spacing w:line="38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（14）承包人未在第18.9款规定期限内提交竣（交）工资料；</w:t>
      </w:r>
    </w:p>
    <w:p w14:paraId="511224A6">
      <w:pPr>
        <w:widowControl w:val="0"/>
        <w:tabs>
          <w:tab w:val="left" w:pos="2790"/>
        </w:tabs>
        <w:spacing w:line="38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（15）承包人违反第4.1.10（6）目的规定，在合同实施期间发现承包人交通组织维护不力、保证车辆通行措施不到位等对分流道路及现状公路产生影响的；</w:t>
      </w:r>
    </w:p>
    <w:p w14:paraId="281B6041">
      <w:pPr>
        <w:widowControl w:val="0"/>
        <w:tabs>
          <w:tab w:val="left" w:pos="2790"/>
        </w:tabs>
        <w:spacing w:line="38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（16）承包人违反10.1款规定，承包人法人代表或其授权的主要领导未在工地蹲点，或未征得发包人书面批准擅自离开工地现场的；</w:t>
      </w:r>
    </w:p>
    <w:p w14:paraId="542F37AE">
      <w:pPr>
        <w:widowControl w:val="0"/>
        <w:tabs>
          <w:tab w:val="left" w:pos="2790"/>
        </w:tabs>
        <w:spacing w:line="38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（17）承包人违反第13.6.1（1）目或第13.2.5项的规定，未按监理人或发包人发出的指示及时进行整改或逾期整改或产生恶劣影响的。</w:t>
      </w:r>
    </w:p>
    <w:p w14:paraId="448223B2">
      <w:pPr>
        <w:widowControl w:val="0"/>
        <w:tabs>
          <w:tab w:val="left" w:pos="2790"/>
        </w:tabs>
        <w:spacing w:line="38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（18）承包人发生9.2.1项的任一情形的。</w:t>
      </w:r>
    </w:p>
    <w:p w14:paraId="1F1BCB1C">
      <w:pPr>
        <w:widowControl w:val="0"/>
        <w:tabs>
          <w:tab w:val="left" w:pos="2790"/>
        </w:tabs>
        <w:spacing w:line="38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（19）承包人未按图纸及有关规范要求施工，或主要管理人员和技术人员在工作中不负责、玩忽职守，被发包人或监理人及其他相关管理部门下发书面整改意见，未在规定期限内整改到位的。</w:t>
      </w:r>
    </w:p>
    <w:p w14:paraId="49B888DB">
      <w:pPr>
        <w:widowControl w:val="0"/>
        <w:tabs>
          <w:tab w:val="left" w:pos="2790"/>
        </w:tabs>
        <w:spacing w:line="38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（20）承包人未按发包人或监理人及其他相关管理部门要求的时间内上报资料的。</w:t>
      </w:r>
    </w:p>
    <w:p w14:paraId="417E594B">
      <w:pPr>
        <w:widowControl w:val="0"/>
        <w:tabs>
          <w:tab w:val="left" w:pos="2790"/>
        </w:tabs>
        <w:spacing w:line="38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21）承包人对上报的计量自审不严，发生超、少、错、漏计量，附件填报、审签有误等，或者工程变更编制存在较多错误，或者人员变更上报不及时或提供的材料存在虚假等。上述任一种情形被发包人发现并指出，第一次给予警告并退回整改后重报，第二次仍然被查到存在上述任一种情形的。</w:t>
      </w:r>
    </w:p>
    <w:p w14:paraId="6ED688A7">
      <w:pPr>
        <w:widowControl w:val="0"/>
        <w:tabs>
          <w:tab w:val="left" w:pos="2790"/>
        </w:tabs>
        <w:spacing w:line="38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（22）承包人未按发包人或监理人及相关管理部门要求移交或资料移交不全的。</w:t>
      </w:r>
    </w:p>
    <w:p w14:paraId="63464FFD">
      <w:pPr>
        <w:widowControl w:val="0"/>
        <w:tabs>
          <w:tab w:val="left" w:pos="2790"/>
        </w:tabs>
        <w:spacing w:line="380" w:lineRule="exact"/>
        <w:ind w:firstLine="422" w:firstLineChars="200"/>
        <w:jc w:val="both"/>
        <w:rPr>
          <w:rFonts w:ascii="宋体" w:hAnsi="宋体" w:eastAsia="宋体" w:cs="宋体"/>
          <w:b/>
          <w:bCs/>
          <w:color w:val="auto"/>
          <w:kern w:val="2"/>
          <w:sz w:val="21"/>
          <w:szCs w:val="21"/>
          <w:highlight w:val="none"/>
          <w:lang w:val="en-US" w:eastAsia="zh-CN" w:bidi="ar-SA"/>
        </w:rPr>
      </w:pPr>
      <w:r>
        <w:rPr>
          <w:rFonts w:hint="eastAsia" w:ascii="宋体" w:hAnsi="宋体" w:eastAsia="宋体" w:cs="宋体"/>
          <w:b/>
          <w:bCs/>
          <w:color w:val="auto"/>
          <w:kern w:val="2"/>
          <w:sz w:val="21"/>
          <w:szCs w:val="21"/>
          <w:highlight w:val="none"/>
          <w:lang w:val="en-US" w:eastAsia="zh-CN" w:bidi="ar-SA"/>
        </w:rPr>
        <w:t>（23）承包人未严格按照设计图纸、施工技术规范或规程等技术要求控制各类材料用量，且材料实际用量与技术要求的理论用量有偏差的；或承包人违反第13.6.1（3）目的规定，未按监理人或发包人发出的指示及时进行整改或逾期整改或产生恶劣影响的。</w:t>
      </w:r>
    </w:p>
    <w:p w14:paraId="6BC9858F">
      <w:pPr>
        <w:widowControl w:val="0"/>
        <w:tabs>
          <w:tab w:val="left" w:pos="2790"/>
        </w:tabs>
        <w:spacing w:line="380" w:lineRule="exact"/>
        <w:ind w:firstLine="422" w:firstLineChars="200"/>
        <w:jc w:val="both"/>
        <w:rPr>
          <w:rFonts w:ascii="宋体" w:hAnsi="宋体" w:eastAsia="宋体" w:cs="宋体"/>
          <w:b/>
          <w:bCs/>
          <w:color w:val="auto"/>
          <w:kern w:val="2"/>
          <w:sz w:val="21"/>
          <w:szCs w:val="21"/>
          <w:highlight w:val="none"/>
          <w:lang w:val="en-US" w:eastAsia="zh-CN" w:bidi="ar-SA"/>
        </w:rPr>
      </w:pPr>
      <w:r>
        <w:rPr>
          <w:rFonts w:hint="eastAsia" w:ascii="宋体" w:hAnsi="宋体" w:eastAsia="宋体" w:cs="宋体"/>
          <w:b/>
          <w:bCs/>
          <w:color w:val="auto"/>
          <w:kern w:val="2"/>
          <w:sz w:val="21"/>
          <w:szCs w:val="21"/>
          <w:highlight w:val="none"/>
          <w:lang w:val="en-US" w:eastAsia="zh-CN" w:bidi="ar-SA"/>
        </w:rPr>
        <w:t>（24）经监理人和发包人检查，发现承包人违反第9.4款规定，有违反环境保护管理的情形。</w:t>
      </w:r>
    </w:p>
    <w:p w14:paraId="6E600A2F">
      <w:pPr>
        <w:widowControl w:val="0"/>
        <w:tabs>
          <w:tab w:val="left" w:pos="2790"/>
        </w:tabs>
        <w:spacing w:line="380" w:lineRule="exact"/>
        <w:ind w:firstLine="422" w:firstLineChars="200"/>
        <w:jc w:val="both"/>
        <w:rPr>
          <w:rFonts w:ascii="宋体" w:hAnsi="宋体" w:eastAsia="宋体" w:cs="宋体"/>
          <w:b/>
          <w:bCs/>
          <w:color w:val="auto"/>
          <w:kern w:val="2"/>
          <w:sz w:val="21"/>
          <w:szCs w:val="21"/>
          <w:highlight w:val="none"/>
          <w:lang w:val="en-US" w:eastAsia="zh-CN" w:bidi="ar-SA"/>
        </w:rPr>
      </w:pPr>
      <w:r>
        <w:rPr>
          <w:rFonts w:hint="eastAsia" w:ascii="宋体" w:hAnsi="宋体" w:eastAsia="宋体" w:cs="宋体"/>
          <w:b/>
          <w:bCs/>
          <w:color w:val="auto"/>
          <w:kern w:val="2"/>
          <w:sz w:val="21"/>
          <w:szCs w:val="21"/>
          <w:highlight w:val="none"/>
          <w:lang w:val="en-US" w:eastAsia="zh-CN" w:bidi="ar-SA"/>
        </w:rPr>
        <w:t>（25）承包人违反第4.1.10（3）目的规定，发生拖欠农民工工资情形的。</w:t>
      </w:r>
    </w:p>
    <w:p w14:paraId="0F3C85BA">
      <w:pPr>
        <w:widowControl w:val="0"/>
        <w:tabs>
          <w:tab w:val="left" w:pos="2790"/>
        </w:tabs>
        <w:spacing w:line="380" w:lineRule="exact"/>
        <w:ind w:firstLine="422" w:firstLineChars="200"/>
        <w:jc w:val="both"/>
        <w:rPr>
          <w:rFonts w:ascii="宋体" w:hAnsi="宋体" w:eastAsia="宋体" w:cs="宋体"/>
          <w:b/>
          <w:bCs/>
          <w:color w:val="auto"/>
          <w:kern w:val="2"/>
          <w:sz w:val="21"/>
          <w:szCs w:val="21"/>
          <w:highlight w:val="none"/>
          <w:lang w:val="en-US" w:eastAsia="zh-CN" w:bidi="ar-SA"/>
        </w:rPr>
      </w:pPr>
      <w:r>
        <w:rPr>
          <w:rFonts w:hint="eastAsia" w:ascii="宋体" w:hAnsi="宋体" w:eastAsia="宋体" w:cs="宋体"/>
          <w:b/>
          <w:bCs/>
          <w:color w:val="auto"/>
          <w:kern w:val="2"/>
          <w:sz w:val="21"/>
          <w:szCs w:val="21"/>
          <w:highlight w:val="none"/>
          <w:lang w:val="en-US" w:eastAsia="zh-CN" w:bidi="ar-SA"/>
        </w:rPr>
        <w:t>（26）承包人违反第4.8.3项的规定，未按要求落实公共卫生安全措施或措施不到位的。</w:t>
      </w:r>
    </w:p>
    <w:p w14:paraId="6749A4ED">
      <w:pPr>
        <w:widowControl w:val="0"/>
        <w:tabs>
          <w:tab w:val="left" w:pos="2790"/>
        </w:tabs>
        <w:spacing w:line="380" w:lineRule="exact"/>
        <w:ind w:firstLine="422" w:firstLineChars="200"/>
        <w:jc w:val="both"/>
        <w:rPr>
          <w:rFonts w:ascii="宋体" w:hAnsi="宋体" w:eastAsia="宋体" w:cs="宋体"/>
          <w:b/>
          <w:bCs/>
          <w:color w:val="auto"/>
          <w:kern w:val="2"/>
          <w:sz w:val="21"/>
          <w:szCs w:val="21"/>
          <w:highlight w:val="none"/>
          <w:lang w:val="en-US" w:eastAsia="zh-CN" w:bidi="ar-SA"/>
        </w:rPr>
      </w:pPr>
      <w:r>
        <w:rPr>
          <w:rFonts w:hint="eastAsia" w:ascii="宋体" w:hAnsi="宋体" w:eastAsia="宋体" w:cs="宋体"/>
          <w:b/>
          <w:bCs/>
          <w:color w:val="auto"/>
          <w:kern w:val="2"/>
          <w:sz w:val="21"/>
          <w:szCs w:val="21"/>
          <w:highlight w:val="none"/>
          <w:lang w:val="en-US" w:eastAsia="zh-CN" w:bidi="ar-SA"/>
        </w:rPr>
        <w:t>22.1.2 对承包人违约的处理</w:t>
      </w:r>
    </w:p>
    <w:p w14:paraId="3391A000">
      <w:pPr>
        <w:widowControl w:val="0"/>
        <w:tabs>
          <w:tab w:val="left" w:pos="2790"/>
        </w:tabs>
        <w:spacing w:line="380" w:lineRule="exact"/>
        <w:ind w:firstLine="422" w:firstLineChars="200"/>
        <w:jc w:val="both"/>
        <w:rPr>
          <w:rFonts w:ascii="宋体" w:hAnsi="宋体" w:eastAsia="宋体" w:cs="宋体"/>
          <w:b/>
          <w:bCs/>
          <w:color w:val="auto"/>
          <w:kern w:val="2"/>
          <w:sz w:val="21"/>
          <w:szCs w:val="21"/>
          <w:highlight w:val="none"/>
          <w:lang w:val="en-US" w:eastAsia="zh-CN" w:bidi="ar-SA"/>
        </w:rPr>
      </w:pPr>
      <w:r>
        <w:rPr>
          <w:rFonts w:hint="eastAsia" w:ascii="宋体" w:hAnsi="宋体" w:eastAsia="宋体" w:cs="宋体"/>
          <w:b/>
          <w:bCs/>
          <w:color w:val="auto"/>
          <w:kern w:val="2"/>
          <w:sz w:val="21"/>
          <w:szCs w:val="21"/>
          <w:highlight w:val="none"/>
          <w:lang w:val="en-US" w:eastAsia="zh-CN" w:bidi="ar-SA"/>
        </w:rPr>
        <w:t>通用合同条款及公路工程专用合同条款22.1.2项细化为：</w:t>
      </w:r>
    </w:p>
    <w:p w14:paraId="68095574">
      <w:pPr>
        <w:widowControl w:val="0"/>
        <w:tabs>
          <w:tab w:val="left" w:pos="2790"/>
        </w:tabs>
        <w:spacing w:line="38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（1）承包人发生第22.1.1（6）目约定的违约情形时，发包人可通知承包人立即解除合同，并按有关法律处理。</w:t>
      </w:r>
    </w:p>
    <w:p w14:paraId="452F9356">
      <w:pPr>
        <w:widowControl w:val="0"/>
        <w:tabs>
          <w:tab w:val="left" w:pos="2790"/>
        </w:tabs>
        <w:spacing w:line="38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（2）承包人发生除第22.1.1（6）目约定以外的其他违约情形时，监理人可向承包人发出整改通知，要求其在指定的期限内改正。承包人应承担其违约所引起的费用增加和（或）工期延误。</w:t>
      </w:r>
    </w:p>
    <w:p w14:paraId="76BF4B6B">
      <w:pPr>
        <w:widowControl w:val="0"/>
        <w:tabs>
          <w:tab w:val="left" w:pos="2790"/>
        </w:tabs>
        <w:spacing w:line="38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（3）经检查证明承包人已采取了有效措施纠正违约行为，具备复工条件的，可由监理人签发复工通知复工。</w:t>
      </w:r>
    </w:p>
    <w:p w14:paraId="54548E9B">
      <w:pPr>
        <w:widowControl w:val="0"/>
        <w:tabs>
          <w:tab w:val="left" w:pos="2790"/>
        </w:tabs>
        <w:spacing w:line="38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4）承包人发生第22.1.1项约定的违约情形时，无论发包人是否解除合同，发包人均有权向承包人课以违约金，并由发包人将其违约行为上报省级交通主管部门，作为不良记录纳入浙江省交通运输厅建设市场诚信信息系统和信用评价管理系统。</w:t>
      </w:r>
    </w:p>
    <w:p w14:paraId="07A2D960">
      <w:pPr>
        <w:widowControl w:val="0"/>
        <w:tabs>
          <w:tab w:val="left" w:pos="2790"/>
        </w:tabs>
        <w:spacing w:line="38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当承包人发生第22.1.1项约定的违约情形时，发包人有权向承包人课以违约金，具体约定如下：</w:t>
      </w:r>
    </w:p>
    <w:p w14:paraId="103A8044">
      <w:pPr>
        <w:widowControl w:val="0"/>
        <w:tabs>
          <w:tab w:val="left" w:pos="2790"/>
        </w:tabs>
        <w:spacing w:line="38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a. 承包人发生第22.1.1项（1）目中违反第1.8款约定的情形，除责令立即纠正外，并课以不超过1％签约合同价的违约金；发生第22.1.1项（1）目违反第4.3款约定的情形，在发包人向承包人发出书面通知的14天内未见纠正后，发包人将酌情向承包人课以1％签约合同价的违约金。即使缴纳了违约金，承包人仍应按合同规定继续实施和完成本合同工程及其缺陷修复；</w:t>
      </w:r>
    </w:p>
    <w:p w14:paraId="2E377538">
      <w:pPr>
        <w:widowControl w:val="0"/>
        <w:tabs>
          <w:tab w:val="left" w:pos="2790"/>
        </w:tabs>
        <w:spacing w:line="38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b. 承包人发生第22.1.1项（2）目违反第5.3款约定的情形，在发包人向承包人发出书面通知的14天内未见纠正后，发包人将向承包人课以不超过材料和工程设备价值两倍的违约金；发生第22.1.1项（2）目违反第6.4款约定的情形，在发包人向承包人发出书面通知的14天内未见纠正后，发包人向承包人课以不超过其台班费两倍的违约金；</w:t>
      </w:r>
    </w:p>
    <w:p w14:paraId="7CEF99D7">
      <w:pPr>
        <w:widowControl w:val="0"/>
        <w:tabs>
          <w:tab w:val="left" w:pos="2790"/>
        </w:tabs>
        <w:spacing w:line="38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c. 承包人发生第22.1.1项（3）目情形，在发包人向承包人发出书面通知的14天内未见纠正后，发包人将按每一情形酌情向承包人课以不超过0.5％签约合同价的违约金。即使缴纳了违约金，承包人仍应按合同规定继续实施和完成本合同工程及其缺陷修复；</w:t>
      </w:r>
    </w:p>
    <w:p w14:paraId="792DD162">
      <w:pPr>
        <w:widowControl w:val="0"/>
        <w:tabs>
          <w:tab w:val="left" w:pos="2790"/>
        </w:tabs>
        <w:spacing w:line="38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d. 承包人发生第22.1.1项（4）目情形，则按第11.5款规定处理；</w:t>
      </w:r>
    </w:p>
    <w:p w14:paraId="6925275A">
      <w:pPr>
        <w:widowControl w:val="0"/>
        <w:tabs>
          <w:tab w:val="left" w:pos="2790"/>
        </w:tabs>
        <w:spacing w:line="38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e. 承包人发生第22.1.1项（5）目情形，则按第19.2.4项规定处理；</w:t>
      </w:r>
    </w:p>
    <w:p w14:paraId="68E26EF5">
      <w:pPr>
        <w:widowControl w:val="0"/>
        <w:tabs>
          <w:tab w:val="left" w:pos="2790"/>
        </w:tabs>
        <w:spacing w:line="38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f. 承包人发生第22.1.1项（7）目情形，发包人有权按第11.5款规定的逾期交工违约金金额的二分之一乘以未按期开工天数处以违约金；</w:t>
      </w:r>
    </w:p>
    <w:p w14:paraId="6AB70D45">
      <w:pPr>
        <w:widowControl w:val="0"/>
        <w:tabs>
          <w:tab w:val="left" w:pos="2790"/>
        </w:tabs>
        <w:spacing w:line="38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g. 承包人发生第22.1.1项（8）目情形，在发包人向承包人发出书面通知的14天内未见纠正后，发包人将向承包人课以不超过0.5%签约合同价的违约金；</w:t>
      </w:r>
    </w:p>
    <w:p w14:paraId="0BE51356">
      <w:pPr>
        <w:widowControl w:val="0"/>
        <w:tabs>
          <w:tab w:val="left" w:pos="2790"/>
        </w:tabs>
        <w:spacing w:line="38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h. 承包人发生第22.1.1项（9）目情况，发包人将责令整改；情节严重的，将停工整顿，并酌情扣除安全生产费；</w:t>
      </w:r>
    </w:p>
    <w:p w14:paraId="6AB95843">
      <w:pPr>
        <w:widowControl w:val="0"/>
        <w:tabs>
          <w:tab w:val="left" w:pos="2790"/>
        </w:tabs>
        <w:spacing w:line="38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i. 承包人发生第22.1.1项（10）目情形，则课以不超过1％签约合同价的违约金；</w:t>
      </w:r>
    </w:p>
    <w:p w14:paraId="5860E3A1">
      <w:pPr>
        <w:widowControl w:val="0"/>
        <w:tabs>
          <w:tab w:val="left" w:pos="2790"/>
        </w:tabs>
        <w:spacing w:line="38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j. 承包人发生第22.1.1项（11）目情形，则课以转移（挪用）资金等额的违约金；</w:t>
      </w:r>
    </w:p>
    <w:p w14:paraId="5AC2E826">
      <w:pPr>
        <w:widowControl w:val="0"/>
        <w:tabs>
          <w:tab w:val="left" w:pos="2790"/>
        </w:tabs>
        <w:spacing w:line="38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k.承包人发生第22.1.1 项（12）目情形，项目经理或项目技术负责人未经发包人同意擅自离开工地，每天课以违约金5000元／人；若每月在工地天数不足20天（特殊情形经监理人批准报发包人同意例外）者，每不足一天课以违约金3000元／人，每月在工地天数不足10天（特殊情形经监理人批准报发包人同意例外）者，按未经发包人书面同意更换项目经理、项目技术负责人处理；施工员、安全员、质量员未经发包人同意擅自离开工地，每天课以违约金2000元／人；若每月在工地天数不足20天（特殊情形经监理人批准报发包人同意例外）者，每不足一天课以违约金1000元／人，每月在工地天数不足10天（特殊情形经监理人批准报发包人同意例外）者，按未经发包人书面同意更换施工员、安全员、质量员处理。</w:t>
      </w:r>
    </w:p>
    <w:p w14:paraId="59365DDF">
      <w:pPr>
        <w:widowControl w:val="0"/>
        <w:tabs>
          <w:tab w:val="left" w:pos="2790"/>
        </w:tabs>
        <w:spacing w:line="38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承包人未经发包人书面同意更换项目经理、项目技术负责人的，课以每人次3万元的违约金，更换施工员、安全员、质量员课以每人次1万元的违约金；承包人经发包人书面同意更换项目经理、项目技术负责人的，课以每人次1万元的违约金，更换施工员、安全员、质量员课以每人次5000元的违约金；（符合专用合同条款第4.6.8情形的除外）</w:t>
      </w:r>
      <w:r>
        <w:rPr>
          <w:rFonts w:hint="eastAsia" w:ascii="宋体" w:hAnsi="宋体" w:cs="宋体"/>
          <w:color w:val="auto"/>
          <w:kern w:val="2"/>
          <w:sz w:val="21"/>
          <w:szCs w:val="21"/>
          <w:highlight w:val="none"/>
          <w:lang w:val="en-US" w:eastAsia="zh-CN" w:bidi="ar-SA"/>
        </w:rPr>
        <w:t>。</w:t>
      </w:r>
    </w:p>
    <w:p w14:paraId="611AF87F">
      <w:pPr>
        <w:widowControl w:val="0"/>
        <w:tabs>
          <w:tab w:val="left" w:pos="2790"/>
        </w:tabs>
        <w:spacing w:line="38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注：项目经理、项目技术负责人、施工员、安全员、质量员应按发包人要求每日进行考勤，漏考或考勤造假均按擅自离开工地处理；如因工作原因未考勤，应由发包人现场管理人员证实并于7 日内提交书面证明材料，否则按擅自离开工地处理；项目经理、项目技术负责人、施工员、安全员、质量员即使按发包人要求进行了考勤，但在工作时间迟到、早退，仍按擅自离开工地处理。</w:t>
      </w:r>
    </w:p>
    <w:p w14:paraId="11259739">
      <w:pPr>
        <w:widowControl w:val="0"/>
        <w:tabs>
          <w:tab w:val="left" w:pos="2790"/>
        </w:tabs>
        <w:spacing w:line="38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l. 承包人发生第22.1.1项（13）目情形，在合同实施期间发现承包人在投标时提供了虚假材料的，课以不超过2.5%签约合同价的违约金；</w:t>
      </w:r>
    </w:p>
    <w:p w14:paraId="76C81130">
      <w:pPr>
        <w:widowControl w:val="0"/>
        <w:tabs>
          <w:tab w:val="left" w:pos="2790"/>
        </w:tabs>
        <w:spacing w:line="38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m.承包人发生第22.1.1项（14）目情形，课以不超过0.5%签约合同价的违约金；</w:t>
      </w:r>
    </w:p>
    <w:p w14:paraId="33E05E68">
      <w:pPr>
        <w:widowControl w:val="0"/>
        <w:tabs>
          <w:tab w:val="left" w:pos="2790"/>
        </w:tabs>
        <w:spacing w:line="38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n.承包人发生第 22.1.1 项（15）目情形，每发生一次视影响情况课以5万元至30万元的违约金，即使缴纳了违约金，承包人仍应按合同规定继续实施和完成交通组织维护、保证车辆通行等各项工作；</w:t>
      </w:r>
    </w:p>
    <w:p w14:paraId="09311D4D">
      <w:pPr>
        <w:widowControl w:val="0"/>
        <w:tabs>
          <w:tab w:val="left" w:pos="2790"/>
        </w:tabs>
        <w:spacing w:line="38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o. 承包人发生第 22.1.1 项（16）目情形，课以1万元/天的违约金；</w:t>
      </w:r>
    </w:p>
    <w:p w14:paraId="10F26A56">
      <w:pPr>
        <w:widowControl w:val="0"/>
        <w:tabs>
          <w:tab w:val="left" w:pos="2790"/>
        </w:tabs>
        <w:spacing w:line="38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p. 承包人发生第 22.1.1 项（17）目情形，未按监理人或发包人发出的指示及时进行整改的，课以2万元/次的违约金；逾期整改的，每延迟一天课以1万元/天的违约金；产生恶劣影响的，课以20万元/次的违约金。</w:t>
      </w:r>
    </w:p>
    <w:p w14:paraId="0C189298">
      <w:pPr>
        <w:widowControl w:val="0"/>
        <w:tabs>
          <w:tab w:val="left" w:pos="2790"/>
        </w:tabs>
        <w:spacing w:line="38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每发生一次课以20万元的违约金，累计不超过0.2%签约合同价的违约金；</w:t>
      </w:r>
    </w:p>
    <w:p w14:paraId="654F8570">
      <w:pPr>
        <w:widowControl w:val="0"/>
        <w:tabs>
          <w:tab w:val="left" w:pos="2790"/>
        </w:tabs>
        <w:spacing w:line="38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q. 承包人发生第22.1.1项（18）目情形，则课以2万元/次的违约金。</w:t>
      </w:r>
    </w:p>
    <w:p w14:paraId="569C81BD">
      <w:pPr>
        <w:widowControl w:val="0"/>
        <w:tabs>
          <w:tab w:val="left" w:pos="2790"/>
        </w:tabs>
        <w:spacing w:line="38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r. 承包人发生第22.1.1项（19）目情形，则课以2万元/次的违约金。</w:t>
      </w:r>
    </w:p>
    <w:p w14:paraId="2BF72A85">
      <w:pPr>
        <w:widowControl w:val="0"/>
        <w:tabs>
          <w:tab w:val="left" w:pos="2790"/>
        </w:tabs>
        <w:spacing w:line="38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s. 承包人发生第22.1.1项（20）目情形，则课以2万元/次的违约金。</w:t>
      </w:r>
    </w:p>
    <w:p w14:paraId="0CCB5175">
      <w:pPr>
        <w:widowControl w:val="0"/>
        <w:tabs>
          <w:tab w:val="left" w:pos="2790"/>
        </w:tabs>
        <w:spacing w:line="38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t. 承包人发生第22.1.1项（21）目情形，则课以2万元/次的违约金。</w:t>
      </w:r>
    </w:p>
    <w:p w14:paraId="5D499C54">
      <w:pPr>
        <w:widowControl w:val="0"/>
        <w:tabs>
          <w:tab w:val="left" w:pos="2790"/>
        </w:tabs>
        <w:spacing w:line="38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u. 承包人发生第22.1.1项（22）目情形，则课以2万元/次的违约金。</w:t>
      </w:r>
    </w:p>
    <w:p w14:paraId="47BC952B">
      <w:pPr>
        <w:widowControl w:val="0"/>
        <w:tabs>
          <w:tab w:val="left" w:pos="2790"/>
        </w:tabs>
        <w:spacing w:line="380" w:lineRule="exact"/>
        <w:ind w:firstLine="422" w:firstLineChars="200"/>
        <w:jc w:val="both"/>
        <w:rPr>
          <w:rFonts w:ascii="宋体" w:hAnsi="宋体" w:eastAsia="宋体" w:cs="宋体"/>
          <w:b/>
          <w:bCs/>
          <w:color w:val="auto"/>
          <w:kern w:val="2"/>
          <w:sz w:val="21"/>
          <w:szCs w:val="21"/>
          <w:highlight w:val="none"/>
          <w:lang w:val="en-US" w:eastAsia="zh-CN" w:bidi="ar-SA"/>
        </w:rPr>
      </w:pPr>
      <w:r>
        <w:rPr>
          <w:rFonts w:hint="eastAsia" w:ascii="宋体" w:hAnsi="宋体" w:eastAsia="宋体" w:cs="宋体"/>
          <w:b/>
          <w:bCs/>
          <w:color w:val="auto"/>
          <w:kern w:val="2"/>
          <w:sz w:val="21"/>
          <w:szCs w:val="21"/>
          <w:highlight w:val="none"/>
          <w:lang w:val="en-US" w:eastAsia="zh-CN" w:bidi="ar-SA"/>
        </w:rPr>
        <w:t>v. 承包人发生第 22.1.1 项（23）目情形，使用的材料实际用量与相关技术要求的理论用量有偏差的，课以每次不超过0.5％签约合同价的违约金；未按监理人或发包人发出的指示及时进行整改的，课以1万元/次的违约金；逾期整改的，每延迟一天课以5000元/天的违约金；产生恶劣影响的，课以10万元/次的违约金。</w:t>
      </w:r>
    </w:p>
    <w:p w14:paraId="0B5AC0FE">
      <w:pPr>
        <w:widowControl w:val="0"/>
        <w:tabs>
          <w:tab w:val="left" w:pos="2790"/>
        </w:tabs>
        <w:spacing w:line="380" w:lineRule="exact"/>
        <w:ind w:firstLine="422" w:firstLineChars="200"/>
        <w:jc w:val="both"/>
        <w:rPr>
          <w:rFonts w:ascii="宋体" w:hAnsi="宋体" w:eastAsia="宋体" w:cs="宋体"/>
          <w:b/>
          <w:bCs/>
          <w:color w:val="auto"/>
          <w:kern w:val="2"/>
          <w:sz w:val="21"/>
          <w:szCs w:val="21"/>
          <w:highlight w:val="none"/>
          <w:lang w:val="en-US" w:eastAsia="zh-CN" w:bidi="ar-SA"/>
        </w:rPr>
      </w:pPr>
      <w:r>
        <w:rPr>
          <w:rFonts w:hint="eastAsia" w:ascii="宋体" w:hAnsi="宋体" w:eastAsia="宋体" w:cs="宋体"/>
          <w:b/>
          <w:bCs/>
          <w:color w:val="auto"/>
          <w:kern w:val="2"/>
          <w:sz w:val="21"/>
          <w:szCs w:val="21"/>
          <w:highlight w:val="none"/>
          <w:lang w:val="en-US" w:eastAsia="zh-CN" w:bidi="ar-SA"/>
        </w:rPr>
        <w:t>w.承包人发生第22.1.1项(24)目情形，发包人将责令整改，情节严重的（如排查治理、整改不到位，环保措施落实不到位，对环保问题拒不整改、发生环境保护责任事故等情况），将停工整顿，发包人将按每一情形酌情每次向承包人课以不超过0.5％签约合同价的违约金。</w:t>
      </w:r>
    </w:p>
    <w:p w14:paraId="3209CA7E">
      <w:pPr>
        <w:widowControl w:val="0"/>
        <w:tabs>
          <w:tab w:val="left" w:pos="2790"/>
        </w:tabs>
        <w:spacing w:line="380" w:lineRule="exact"/>
        <w:ind w:firstLine="422" w:firstLineChars="200"/>
        <w:jc w:val="both"/>
        <w:rPr>
          <w:rFonts w:ascii="宋体" w:hAnsi="宋体" w:eastAsia="宋体" w:cs="宋体"/>
          <w:b/>
          <w:bCs/>
          <w:color w:val="auto"/>
          <w:kern w:val="2"/>
          <w:sz w:val="21"/>
          <w:szCs w:val="21"/>
          <w:highlight w:val="none"/>
          <w:lang w:val="en-US" w:eastAsia="zh-CN" w:bidi="ar-SA"/>
        </w:rPr>
      </w:pPr>
      <w:r>
        <w:rPr>
          <w:rFonts w:hint="eastAsia" w:ascii="宋体" w:hAnsi="宋体" w:eastAsia="宋体" w:cs="宋体"/>
          <w:b/>
          <w:bCs/>
          <w:color w:val="auto"/>
          <w:kern w:val="2"/>
          <w:sz w:val="21"/>
          <w:szCs w:val="21"/>
          <w:highlight w:val="none"/>
          <w:lang w:val="en-US" w:eastAsia="zh-CN" w:bidi="ar-SA"/>
        </w:rPr>
        <w:t>x.承包人发生第22.1.1项(25)目情形，发包人将责令整改，视情节严重情况课以10000元/次的违约金。</w:t>
      </w:r>
    </w:p>
    <w:p w14:paraId="6E16C6AE">
      <w:pPr>
        <w:widowControl w:val="0"/>
        <w:tabs>
          <w:tab w:val="left" w:pos="2790"/>
        </w:tabs>
        <w:spacing w:line="380" w:lineRule="exact"/>
        <w:ind w:firstLine="422" w:firstLineChars="200"/>
        <w:jc w:val="both"/>
        <w:rPr>
          <w:rFonts w:ascii="宋体" w:hAnsi="宋体" w:eastAsia="宋体" w:cs="宋体"/>
          <w:b/>
          <w:bCs/>
          <w:color w:val="auto"/>
          <w:kern w:val="2"/>
          <w:sz w:val="21"/>
          <w:szCs w:val="21"/>
          <w:highlight w:val="none"/>
          <w:lang w:val="en-US" w:eastAsia="zh-CN" w:bidi="ar-SA"/>
        </w:rPr>
      </w:pPr>
      <w:r>
        <w:rPr>
          <w:rFonts w:hint="eastAsia" w:ascii="宋体" w:hAnsi="宋体" w:eastAsia="宋体" w:cs="宋体"/>
          <w:b/>
          <w:bCs/>
          <w:color w:val="auto"/>
          <w:kern w:val="2"/>
          <w:sz w:val="21"/>
          <w:szCs w:val="21"/>
          <w:highlight w:val="none"/>
          <w:lang w:val="en-US" w:eastAsia="zh-CN" w:bidi="ar-SA"/>
        </w:rPr>
        <w:t>y.承包人发生第22.1.1项(26)目情形，发包人将责令整改；发生未按要求落实相关措施或措施不到位的，课以1000元/次的违约金；因承包人原因发生传染病事件的，课以50000元/次的违约金。</w:t>
      </w:r>
    </w:p>
    <w:p w14:paraId="4E58FF1D">
      <w:pPr>
        <w:widowControl w:val="0"/>
        <w:tabs>
          <w:tab w:val="left" w:pos="2790"/>
        </w:tabs>
        <w:spacing w:line="38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若承包人同时存在以上多项违约行为的，将进行累加违约处理。</w:t>
      </w:r>
    </w:p>
    <w:p w14:paraId="067E90FE">
      <w:pPr>
        <w:widowControl w:val="0"/>
        <w:tabs>
          <w:tab w:val="left" w:pos="2790"/>
        </w:tabs>
        <w:spacing w:line="38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上述违约金将在应支付的工程款项或履约担保中扣除。即使缴纳了违约金，承包人仍应按合同规定继续实施和完成本合同工程及其缺陷修复。</w:t>
      </w:r>
    </w:p>
    <w:p w14:paraId="0135E091">
      <w:pPr>
        <w:widowControl w:val="0"/>
        <w:spacing w:before="120" w:beforeLines="50" w:line="276" w:lineRule="auto"/>
        <w:jc w:val="both"/>
        <w:outlineLvl w:val="4"/>
        <w:rPr>
          <w:rFonts w:ascii="宋体" w:hAnsi="宋体" w:eastAsia="宋体" w:cs="宋体"/>
          <w:b/>
          <w:color w:val="auto"/>
          <w:kern w:val="2"/>
          <w:sz w:val="21"/>
          <w:szCs w:val="22"/>
          <w:highlight w:val="none"/>
          <w:lang w:val="en-US" w:eastAsia="zh-CN" w:bidi="ar-SA"/>
        </w:rPr>
      </w:pPr>
      <w:bookmarkStart w:id="1008" w:name="_Toc133537029"/>
      <w:bookmarkStart w:id="1009" w:name="_Toc718"/>
      <w:bookmarkStart w:id="1010" w:name="_Toc98194783"/>
      <w:bookmarkStart w:id="1011" w:name="_Toc29370"/>
      <w:bookmarkStart w:id="1012" w:name="_Toc15466"/>
      <w:bookmarkStart w:id="1013" w:name="_Toc509845240"/>
      <w:bookmarkStart w:id="1014" w:name="_Toc477764196"/>
      <w:r>
        <w:rPr>
          <w:rFonts w:hint="eastAsia" w:ascii="宋体" w:hAnsi="宋体" w:eastAsia="宋体" w:cs="宋体"/>
          <w:b/>
          <w:color w:val="auto"/>
          <w:kern w:val="2"/>
          <w:sz w:val="21"/>
          <w:szCs w:val="22"/>
          <w:highlight w:val="none"/>
          <w:lang w:val="en-US" w:eastAsia="zh-CN" w:bidi="ar-SA"/>
        </w:rPr>
        <w:t>22.2发包人违约</w:t>
      </w:r>
      <w:bookmarkEnd w:id="1006"/>
      <w:bookmarkEnd w:id="1007"/>
      <w:bookmarkEnd w:id="1008"/>
      <w:bookmarkEnd w:id="1009"/>
      <w:bookmarkEnd w:id="1010"/>
      <w:bookmarkEnd w:id="1011"/>
      <w:bookmarkEnd w:id="1012"/>
      <w:bookmarkEnd w:id="1013"/>
      <w:bookmarkEnd w:id="1014"/>
    </w:p>
    <w:p w14:paraId="693F57D9">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22.2.1  发包人违约的情形</w:t>
      </w:r>
    </w:p>
    <w:p w14:paraId="099DDA60">
      <w:pPr>
        <w:widowControl w:val="0"/>
        <w:tabs>
          <w:tab w:val="left" w:pos="2790"/>
        </w:tabs>
        <w:spacing w:line="400" w:lineRule="exact"/>
        <w:ind w:firstLine="422" w:firstLineChars="200"/>
        <w:jc w:val="both"/>
        <w:rPr>
          <w:rFonts w:ascii="宋体" w:hAnsi="宋体" w:eastAsia="宋体" w:cs="宋体"/>
          <w:b/>
          <w:bCs/>
          <w:color w:val="auto"/>
          <w:kern w:val="2"/>
          <w:sz w:val="21"/>
          <w:szCs w:val="21"/>
          <w:highlight w:val="none"/>
          <w:lang w:val="en-US" w:eastAsia="zh-CN" w:bidi="ar-SA"/>
        </w:rPr>
      </w:pPr>
      <w:r>
        <w:rPr>
          <w:rFonts w:hint="eastAsia" w:ascii="宋体" w:hAnsi="宋体" w:eastAsia="宋体" w:cs="宋体"/>
          <w:b/>
          <w:bCs/>
          <w:color w:val="auto"/>
          <w:kern w:val="2"/>
          <w:sz w:val="21"/>
          <w:szCs w:val="21"/>
          <w:highlight w:val="none"/>
          <w:lang w:val="en-US" w:eastAsia="zh-CN" w:bidi="ar-SA"/>
        </w:rPr>
        <w:t>通用合同条款22.2.1项细化为：</w:t>
      </w:r>
    </w:p>
    <w:p w14:paraId="3C4FA3D8">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在履行合同过程中发生的下列情形，属发包人违约：</w:t>
      </w:r>
    </w:p>
    <w:p w14:paraId="2169D1F8">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（l）发包人未能按合同约定支付预付款或合同价款，或拖延、拒绝批准付款申请和支付凭证，导致付款延误的（包括未按照第17.4.2项规定及时退还质量保证金的）；</w:t>
      </w:r>
    </w:p>
    <w:p w14:paraId="6903E7DE">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（2）由于发包人征地拆迁不到位、开工的正常条件不具备，导致承包人无法按合同约定如期开工的；</w:t>
      </w:r>
    </w:p>
    <w:p w14:paraId="4A8F582A">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（3）由于发包人下列原因造成停工的：</w:t>
      </w:r>
    </w:p>
    <w:p w14:paraId="53490A69">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a. 合同约定应由发包人提供的材料、设备未能按时交货或质量不符合要求或变更交货地点导致承包人停工；</w:t>
      </w:r>
    </w:p>
    <w:p w14:paraId="44AD0A4F">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b. 发包人提供的施工图纸延误或施工图纸存在差错影响施工，工程变更通知未及时下达导致承包人停工的；</w:t>
      </w:r>
    </w:p>
    <w:p w14:paraId="7F2EF202">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c. 非承包人原因发生第三方阻工，而发包人未及时协调处理导致承包人停工的；</w:t>
      </w:r>
    </w:p>
    <w:p w14:paraId="5849D5EA">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d. 监理人无正当理由没有在约定期限内发出复工指示，导致承包人无法复工的；</w:t>
      </w:r>
    </w:p>
    <w:p w14:paraId="6E91CD8E">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（4）发包人无法继续履行或明确表示不履行或实质上已停止履行合同的；</w:t>
      </w:r>
    </w:p>
    <w:p w14:paraId="4CD6D8F7">
      <w:pPr>
        <w:widowControl w:val="0"/>
        <w:tabs>
          <w:tab w:val="left" w:pos="2790"/>
        </w:tabs>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（5）发包人不履行合同约定其他义务的。</w:t>
      </w:r>
    </w:p>
    <w:p w14:paraId="59494DEC">
      <w:pPr>
        <w:keepNext/>
        <w:keepLines/>
        <w:widowControl w:val="0"/>
        <w:spacing w:before="120" w:after="0" w:line="360" w:lineRule="auto"/>
        <w:jc w:val="both"/>
        <w:outlineLvl w:val="3"/>
        <w:rPr>
          <w:rFonts w:ascii="宋体" w:hAnsi="宋体" w:eastAsia="宋体" w:cs="宋体"/>
          <w:b/>
          <w:bCs/>
          <w:color w:val="auto"/>
          <w:kern w:val="2"/>
          <w:sz w:val="24"/>
          <w:szCs w:val="24"/>
          <w:highlight w:val="none"/>
          <w:lang w:val="en-US" w:eastAsia="zh-CN" w:bidi="ar-SA"/>
        </w:rPr>
      </w:pPr>
      <w:bookmarkStart w:id="1015" w:name="_Toc6169"/>
      <w:bookmarkStart w:id="1016" w:name="_Toc133537030"/>
      <w:bookmarkStart w:id="1017" w:name="_Toc2684"/>
      <w:r>
        <w:rPr>
          <w:rFonts w:hint="eastAsia" w:ascii="宋体" w:hAnsi="宋体" w:eastAsia="宋体" w:cs="宋体"/>
          <w:b/>
          <w:bCs/>
          <w:color w:val="auto"/>
          <w:kern w:val="2"/>
          <w:sz w:val="24"/>
          <w:szCs w:val="24"/>
          <w:highlight w:val="none"/>
          <w:lang w:val="en-US" w:eastAsia="zh-CN" w:bidi="ar-SA"/>
        </w:rPr>
        <w:t>24.争议的解决</w:t>
      </w:r>
      <w:bookmarkEnd w:id="998"/>
      <w:bookmarkEnd w:id="1015"/>
      <w:bookmarkEnd w:id="1016"/>
      <w:bookmarkEnd w:id="1017"/>
    </w:p>
    <w:p w14:paraId="6B2219E8">
      <w:pPr>
        <w:widowControl w:val="0"/>
        <w:spacing w:before="120" w:beforeLines="50" w:line="276" w:lineRule="auto"/>
        <w:jc w:val="both"/>
        <w:outlineLvl w:val="4"/>
        <w:rPr>
          <w:rFonts w:ascii="宋体" w:hAnsi="宋体" w:eastAsia="宋体" w:cs="宋体"/>
          <w:b/>
          <w:color w:val="auto"/>
          <w:kern w:val="2"/>
          <w:sz w:val="21"/>
          <w:szCs w:val="22"/>
          <w:highlight w:val="none"/>
          <w:lang w:val="en-US" w:eastAsia="zh-CN" w:bidi="ar-SA"/>
        </w:rPr>
      </w:pPr>
      <w:bookmarkStart w:id="1018" w:name="_Toc98194785"/>
      <w:bookmarkStart w:id="1019" w:name="_Toc133537031"/>
      <w:bookmarkStart w:id="1020" w:name="_Toc1438"/>
      <w:bookmarkStart w:id="1021" w:name="_Toc23608"/>
      <w:bookmarkStart w:id="1022" w:name="_Toc7893"/>
      <w:bookmarkStart w:id="1023" w:name="_Toc509090405"/>
      <w:bookmarkStart w:id="1024" w:name="_Toc509845245"/>
      <w:bookmarkStart w:id="1025" w:name="_Toc477764201"/>
      <w:bookmarkStart w:id="1026" w:name="_Toc287428558"/>
      <w:bookmarkStart w:id="1027" w:name="_Toc445203947"/>
      <w:r>
        <w:rPr>
          <w:rFonts w:hint="eastAsia" w:ascii="宋体" w:hAnsi="宋体" w:eastAsia="宋体" w:cs="宋体"/>
          <w:b/>
          <w:color w:val="auto"/>
          <w:kern w:val="2"/>
          <w:sz w:val="21"/>
          <w:szCs w:val="22"/>
          <w:highlight w:val="none"/>
          <w:lang w:val="en-US" w:eastAsia="zh-CN" w:bidi="ar-SA"/>
        </w:rPr>
        <w:t>23.1 承包人索赔的提出</w:t>
      </w:r>
      <w:bookmarkEnd w:id="1018"/>
      <w:bookmarkEnd w:id="1019"/>
      <w:bookmarkEnd w:id="1020"/>
      <w:bookmarkEnd w:id="1021"/>
      <w:bookmarkEnd w:id="1022"/>
    </w:p>
    <w:p w14:paraId="08C56AA0">
      <w:pPr>
        <w:widowControl w:val="0"/>
        <w:spacing w:line="400" w:lineRule="exact"/>
        <w:ind w:firstLine="422" w:firstLineChars="200"/>
        <w:jc w:val="both"/>
        <w:rPr>
          <w:rFonts w:ascii="宋体" w:hAnsi="宋体" w:eastAsia="宋体" w:cs="宋体"/>
          <w:b/>
          <w:bCs/>
          <w:color w:val="auto"/>
          <w:kern w:val="2"/>
          <w:sz w:val="21"/>
          <w:szCs w:val="22"/>
          <w:highlight w:val="none"/>
          <w:lang w:val="en-US" w:eastAsia="zh-CN" w:bidi="ar-SA"/>
        </w:rPr>
      </w:pPr>
      <w:r>
        <w:rPr>
          <w:rFonts w:hint="eastAsia" w:ascii="宋体" w:hAnsi="宋体" w:eastAsia="宋体" w:cs="宋体"/>
          <w:b/>
          <w:bCs/>
          <w:color w:val="auto"/>
          <w:kern w:val="2"/>
          <w:sz w:val="21"/>
          <w:szCs w:val="22"/>
          <w:highlight w:val="none"/>
          <w:lang w:val="en-US" w:eastAsia="zh-CN" w:bidi="ar-SA"/>
        </w:rPr>
        <w:t>通用合同条款第23.1款（3）项细化为：</w:t>
      </w:r>
    </w:p>
    <w:p w14:paraId="1A98C652">
      <w:pPr>
        <w:widowControl w:val="0"/>
        <w:spacing w:line="400" w:lineRule="exact"/>
        <w:ind w:firstLine="420" w:firstLineChars="200"/>
        <w:jc w:val="both"/>
        <w:rPr>
          <w:rFonts w:ascii="宋体" w:hAnsi="宋体" w:eastAsia="宋体" w:cs="宋体"/>
          <w:color w:val="auto"/>
          <w:kern w:val="2"/>
          <w:sz w:val="21"/>
          <w:szCs w:val="22"/>
          <w:highlight w:val="none"/>
          <w:lang w:val="en-US" w:eastAsia="zh-CN" w:bidi="ar-SA"/>
        </w:rPr>
      </w:pPr>
      <w:r>
        <w:rPr>
          <w:rFonts w:hint="eastAsia" w:ascii="宋体" w:hAnsi="宋体" w:eastAsia="宋体" w:cs="宋体"/>
          <w:color w:val="auto"/>
          <w:kern w:val="2"/>
          <w:sz w:val="21"/>
          <w:szCs w:val="22"/>
          <w:highlight w:val="none"/>
          <w:lang w:val="en-US" w:eastAsia="zh-CN" w:bidi="ar-SA"/>
        </w:rPr>
        <w:t>（3）索赔事件具有连续影响的，承包人应每隔7天继续递交延续索赔通知，说明连续影响的实际情况和记录，列出累计的追加付款金额和（或）工期延长天数。</w:t>
      </w:r>
    </w:p>
    <w:p w14:paraId="1F17FF8A">
      <w:pPr>
        <w:widowControl w:val="0"/>
        <w:spacing w:before="120" w:beforeLines="50" w:line="276" w:lineRule="auto"/>
        <w:jc w:val="both"/>
        <w:outlineLvl w:val="4"/>
        <w:rPr>
          <w:rFonts w:ascii="宋体" w:hAnsi="宋体" w:eastAsia="宋体" w:cs="宋体"/>
          <w:b/>
          <w:color w:val="auto"/>
          <w:kern w:val="2"/>
          <w:sz w:val="21"/>
          <w:szCs w:val="22"/>
          <w:highlight w:val="none"/>
          <w:lang w:val="en-US" w:eastAsia="zh-CN" w:bidi="ar-SA"/>
        </w:rPr>
      </w:pPr>
      <w:bookmarkStart w:id="1028" w:name="_Toc133537032"/>
      <w:bookmarkStart w:id="1029" w:name="_Toc28190"/>
      <w:bookmarkStart w:id="1030" w:name="_Toc98194786"/>
      <w:bookmarkStart w:id="1031" w:name="_Toc31352"/>
      <w:bookmarkStart w:id="1032" w:name="_Toc28224"/>
      <w:r>
        <w:rPr>
          <w:rFonts w:hint="eastAsia" w:ascii="宋体" w:hAnsi="宋体" w:eastAsia="宋体" w:cs="宋体"/>
          <w:b/>
          <w:color w:val="auto"/>
          <w:kern w:val="2"/>
          <w:sz w:val="21"/>
          <w:szCs w:val="22"/>
          <w:highlight w:val="none"/>
          <w:lang w:val="en-US" w:eastAsia="zh-CN" w:bidi="ar-SA"/>
        </w:rPr>
        <w:t>24.1 争议的解决方式</w:t>
      </w:r>
      <w:bookmarkEnd w:id="1023"/>
      <w:bookmarkEnd w:id="1024"/>
      <w:bookmarkEnd w:id="1028"/>
      <w:bookmarkEnd w:id="1029"/>
      <w:bookmarkEnd w:id="1030"/>
      <w:bookmarkEnd w:id="1031"/>
      <w:bookmarkEnd w:id="1032"/>
    </w:p>
    <w:p w14:paraId="14D326E0">
      <w:pPr>
        <w:widowControl w:val="0"/>
        <w:spacing w:line="420" w:lineRule="exact"/>
        <w:ind w:firstLine="422" w:firstLineChars="200"/>
        <w:jc w:val="both"/>
        <w:rPr>
          <w:rFonts w:ascii="Calibri" w:hAnsi="Calibri" w:eastAsia="宋体" w:cs="Times New Roman"/>
          <w:b/>
          <w:color w:val="auto"/>
          <w:kern w:val="0"/>
          <w:sz w:val="21"/>
          <w:szCs w:val="21"/>
          <w:highlight w:val="none"/>
          <w:lang w:val="en-US" w:eastAsia="zh-CN" w:bidi="ar-SA"/>
        </w:rPr>
      </w:pPr>
      <w:r>
        <w:rPr>
          <w:rFonts w:hint="eastAsia" w:ascii="宋体" w:hAnsi="宋体" w:eastAsia="宋体" w:cs="Times New Roman"/>
          <w:b/>
          <w:color w:val="auto"/>
          <w:kern w:val="0"/>
          <w:sz w:val="21"/>
          <w:szCs w:val="22"/>
          <w:highlight w:val="none"/>
          <w:lang w:val="en-US" w:eastAsia="zh-CN" w:bidi="ar-SA"/>
        </w:rPr>
        <w:t>通</w:t>
      </w:r>
      <w:r>
        <w:rPr>
          <w:rFonts w:hint="eastAsia" w:ascii="宋体" w:hAnsi="宋体" w:eastAsia="宋体" w:cs="宋体"/>
          <w:b/>
          <w:color w:val="auto"/>
          <w:kern w:val="0"/>
          <w:sz w:val="21"/>
          <w:szCs w:val="22"/>
          <w:highlight w:val="none"/>
          <w:lang w:val="en-US" w:eastAsia="zh-CN" w:bidi="ar-SA"/>
        </w:rPr>
        <w:t>用合同条款 24.1 款约定</w:t>
      </w:r>
      <w:r>
        <w:rPr>
          <w:rFonts w:hint="eastAsia" w:ascii="宋体" w:hAnsi="宋体" w:eastAsia="宋体" w:cs="Times New Roman"/>
          <w:b/>
          <w:color w:val="auto"/>
          <w:kern w:val="0"/>
          <w:sz w:val="21"/>
          <w:szCs w:val="22"/>
          <w:highlight w:val="none"/>
          <w:lang w:val="en-US" w:eastAsia="zh-CN" w:bidi="ar-SA"/>
        </w:rPr>
        <w:t>为：</w:t>
      </w:r>
    </w:p>
    <w:p w14:paraId="2712F18D">
      <w:pPr>
        <w:widowControl w:val="0"/>
        <w:spacing w:line="400" w:lineRule="exact"/>
        <w:ind w:firstLine="420" w:firstLineChars="200"/>
        <w:jc w:val="both"/>
        <w:rPr>
          <w:rFonts w:ascii="宋体" w:hAnsi="宋体" w:eastAsia="宋体" w:cs="宋体"/>
          <w:color w:val="auto"/>
          <w:kern w:val="2"/>
          <w:sz w:val="21"/>
          <w:szCs w:val="22"/>
          <w:highlight w:val="none"/>
          <w:lang w:val="en-US" w:eastAsia="zh-CN" w:bidi="ar-SA"/>
        </w:rPr>
      </w:pPr>
      <w:r>
        <w:rPr>
          <w:rFonts w:hint="eastAsia" w:ascii="Times New Roman" w:hAnsi="Times New Roman" w:eastAsia="宋体" w:cs="Times New Roman"/>
          <w:color w:val="auto"/>
          <w:kern w:val="2"/>
          <w:sz w:val="21"/>
          <w:szCs w:val="22"/>
          <w:highlight w:val="none"/>
          <w:lang w:val="en-US" w:eastAsia="zh-CN" w:bidi="ar-SA"/>
        </w:rPr>
        <w:t xml:space="preserve">24.1 </w:t>
      </w:r>
      <w:r>
        <w:rPr>
          <w:rFonts w:hint="eastAsia" w:ascii="宋体" w:hAnsi="宋体" w:eastAsia="宋体" w:cs="Times New Roman"/>
          <w:color w:val="auto"/>
          <w:kern w:val="2"/>
          <w:sz w:val="21"/>
          <w:szCs w:val="22"/>
          <w:highlight w:val="none"/>
          <w:lang w:val="en-US" w:eastAsia="zh-CN" w:bidi="ar-SA"/>
        </w:rPr>
        <w:t>发包人和承包人在履行合同中发生争议的，可以友好协商解决。合同当事人友好协商解决不成，争议的最终解决方式向项目所在地法院诉讼。</w:t>
      </w:r>
    </w:p>
    <w:bookmarkEnd w:id="1025"/>
    <w:bookmarkEnd w:id="1026"/>
    <w:bookmarkEnd w:id="1027"/>
    <w:p w14:paraId="1AC965BE">
      <w:pPr>
        <w:widowControl w:val="0"/>
        <w:jc w:val="both"/>
        <w:rPr>
          <w:rFonts w:ascii="宋体" w:hAnsi="宋体" w:eastAsia="宋体" w:cs="宋体"/>
          <w:color w:val="auto"/>
          <w:kern w:val="2"/>
          <w:sz w:val="21"/>
          <w:szCs w:val="21"/>
          <w:highlight w:val="none"/>
          <w:lang w:val="en-US" w:eastAsia="zh-CN" w:bidi="ar-SA"/>
        </w:rPr>
      </w:pPr>
    </w:p>
    <w:p w14:paraId="70F9459C">
      <w:pPr>
        <w:widowControl w:val="0"/>
        <w:tabs>
          <w:tab w:val="left" w:pos="2790"/>
        </w:tabs>
        <w:spacing w:line="380" w:lineRule="exact"/>
        <w:ind w:firstLine="420" w:firstLineChars="200"/>
        <w:jc w:val="both"/>
        <w:rPr>
          <w:rFonts w:ascii="宋体" w:hAnsi="宋体" w:eastAsia="宋体" w:cs="宋体"/>
          <w:color w:val="auto"/>
          <w:kern w:val="2"/>
          <w:sz w:val="21"/>
          <w:szCs w:val="21"/>
          <w:highlight w:val="none"/>
          <w:lang w:val="en-US" w:eastAsia="zh-CN" w:bidi="ar-SA"/>
        </w:rPr>
      </w:pPr>
    </w:p>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p w14:paraId="5853735F">
      <w:pPr>
        <w:widowControl w:val="0"/>
        <w:jc w:val="both"/>
        <w:rPr>
          <w:rFonts w:ascii="宋体" w:hAnsi="宋体" w:eastAsia="宋体" w:cs="宋体"/>
          <w:color w:val="auto"/>
          <w:kern w:val="2"/>
          <w:sz w:val="21"/>
          <w:szCs w:val="21"/>
          <w:highlight w:val="none"/>
          <w:lang w:val="en-US" w:eastAsia="zh-CN" w:bidi="ar-SA"/>
        </w:rPr>
      </w:pPr>
      <w:bookmarkStart w:id="1033" w:name="_Toc2692972"/>
      <w:bookmarkStart w:id="1034" w:name="_Toc521522310"/>
    </w:p>
    <w:p w14:paraId="72ACC94B">
      <w:pPr>
        <w:keepNext/>
        <w:keepLines/>
        <w:widowControl w:val="0"/>
        <w:spacing w:before="260" w:after="260" w:line="360" w:lineRule="exact"/>
        <w:jc w:val="center"/>
        <w:outlineLvl w:val="1"/>
        <w:rPr>
          <w:rFonts w:ascii="宋体" w:hAnsi="宋体" w:eastAsia="宋体" w:cs="宋体"/>
          <w:b/>
          <w:bCs/>
          <w:color w:val="auto"/>
          <w:kern w:val="2"/>
          <w:sz w:val="28"/>
          <w:szCs w:val="36"/>
          <w:highlight w:val="none"/>
          <w:lang w:val="en-US" w:eastAsia="zh-CN" w:bidi="ar-SA"/>
        </w:rPr>
      </w:pPr>
      <w:r>
        <w:rPr>
          <w:rFonts w:hint="eastAsia" w:ascii="宋体" w:hAnsi="宋体" w:eastAsia="宋体" w:cs="宋体"/>
          <w:b/>
          <w:bCs/>
          <w:color w:val="auto"/>
          <w:kern w:val="2"/>
          <w:sz w:val="24"/>
          <w:szCs w:val="32"/>
          <w:highlight w:val="none"/>
          <w:lang w:val="en-US" w:eastAsia="zh-CN" w:bidi="ar-SA"/>
        </w:rPr>
        <w:br w:type="page"/>
      </w:r>
      <w:bookmarkStart w:id="1035" w:name="_Toc133537033"/>
      <w:bookmarkStart w:id="1036" w:name="_Toc83398598"/>
      <w:bookmarkStart w:id="1037" w:name="_Toc82849601"/>
      <w:bookmarkStart w:id="1038" w:name="_Toc86616489"/>
      <w:bookmarkStart w:id="1039" w:name="_Toc3320"/>
      <w:bookmarkStart w:id="1040" w:name="_Toc636"/>
      <w:bookmarkStart w:id="1041" w:name="_Toc12878"/>
      <w:r>
        <w:rPr>
          <w:rFonts w:hint="eastAsia" w:ascii="宋体" w:hAnsi="宋体" w:eastAsia="宋体" w:cs="宋体"/>
          <w:b/>
          <w:bCs/>
          <w:color w:val="auto"/>
          <w:kern w:val="2"/>
          <w:sz w:val="28"/>
          <w:szCs w:val="36"/>
          <w:highlight w:val="none"/>
          <w:lang w:val="en-US" w:eastAsia="zh-CN" w:bidi="ar-SA"/>
        </w:rPr>
        <w:t>第三节  合同附件格式</w:t>
      </w:r>
      <w:bookmarkEnd w:id="1033"/>
      <w:bookmarkEnd w:id="1034"/>
      <w:bookmarkEnd w:id="1035"/>
      <w:bookmarkEnd w:id="1036"/>
      <w:bookmarkEnd w:id="1037"/>
      <w:bookmarkEnd w:id="1038"/>
      <w:bookmarkEnd w:id="1039"/>
      <w:bookmarkEnd w:id="1040"/>
      <w:bookmarkEnd w:id="1041"/>
    </w:p>
    <w:p w14:paraId="16CADE4E">
      <w:pPr>
        <w:keepNext/>
        <w:keepLines/>
        <w:widowControl w:val="0"/>
        <w:spacing w:line="360" w:lineRule="auto"/>
        <w:jc w:val="both"/>
        <w:outlineLvl w:val="3"/>
        <w:rPr>
          <w:rFonts w:ascii="宋体" w:hAnsi="宋体" w:eastAsia="宋体" w:cs="宋体"/>
          <w:b/>
          <w:bCs/>
          <w:color w:val="auto"/>
          <w:kern w:val="2"/>
          <w:sz w:val="28"/>
          <w:szCs w:val="40"/>
          <w:highlight w:val="none"/>
          <w:lang w:val="en-US" w:eastAsia="zh-CN" w:bidi="ar-SA"/>
        </w:rPr>
      </w:pPr>
      <w:bookmarkStart w:id="1042" w:name="_Toc18036"/>
      <w:bookmarkStart w:id="1043" w:name="_Toc109080687"/>
      <w:bookmarkStart w:id="1044" w:name="_Toc133537034"/>
      <w:bookmarkStart w:id="1045" w:name="_Toc2692973"/>
      <w:bookmarkStart w:id="1046" w:name="_Toc2696"/>
      <w:bookmarkStart w:id="1047" w:name="_Toc6035"/>
      <w:r>
        <w:rPr>
          <w:rFonts w:hint="eastAsia" w:ascii="宋体" w:hAnsi="宋体" w:eastAsia="宋体" w:cs="宋体"/>
          <w:b/>
          <w:bCs/>
          <w:color w:val="auto"/>
          <w:kern w:val="2"/>
          <w:sz w:val="28"/>
          <w:szCs w:val="40"/>
          <w:highlight w:val="none"/>
          <w:lang w:val="en-US" w:eastAsia="zh-CN" w:bidi="ar-SA"/>
        </w:rPr>
        <w:t>附件一  合同协议书</w:t>
      </w:r>
      <w:bookmarkEnd w:id="1042"/>
      <w:bookmarkEnd w:id="1043"/>
      <w:bookmarkEnd w:id="1044"/>
      <w:bookmarkEnd w:id="1045"/>
      <w:bookmarkEnd w:id="1046"/>
      <w:bookmarkEnd w:id="1047"/>
    </w:p>
    <w:p w14:paraId="7873EC10">
      <w:pPr>
        <w:widowControl w:val="0"/>
        <w:tabs>
          <w:tab w:val="left" w:pos="2790"/>
        </w:tabs>
        <w:spacing w:line="420" w:lineRule="exact"/>
        <w:jc w:val="center"/>
        <w:rPr>
          <w:rFonts w:ascii="宋体" w:hAnsi="宋体" w:eastAsia="宋体" w:cs="宋体"/>
          <w:color w:val="auto"/>
          <w:kern w:val="2"/>
          <w:sz w:val="28"/>
          <w:szCs w:val="28"/>
          <w:highlight w:val="none"/>
          <w:lang w:val="en-US" w:eastAsia="zh-CN" w:bidi="ar-SA"/>
        </w:rPr>
      </w:pPr>
      <w:r>
        <w:rPr>
          <w:rFonts w:hint="eastAsia" w:ascii="宋体" w:hAnsi="宋体" w:eastAsia="宋体" w:cs="宋体"/>
          <w:b/>
          <w:bCs/>
          <w:color w:val="auto"/>
          <w:kern w:val="2"/>
          <w:sz w:val="28"/>
          <w:szCs w:val="28"/>
          <w:highlight w:val="none"/>
          <w:lang w:val="en-US" w:eastAsia="zh-CN" w:bidi="ar-SA"/>
        </w:rPr>
        <w:t>合同协议书</w:t>
      </w:r>
    </w:p>
    <w:p w14:paraId="2080817D">
      <w:pPr>
        <w:widowControl w:val="0"/>
        <w:tabs>
          <w:tab w:val="left" w:pos="2790"/>
        </w:tabs>
        <w:spacing w:line="420" w:lineRule="exact"/>
        <w:jc w:val="center"/>
        <w:rPr>
          <w:rFonts w:ascii="宋体" w:hAnsi="宋体" w:eastAsia="宋体" w:cs="宋体"/>
          <w:color w:val="auto"/>
          <w:kern w:val="2"/>
          <w:sz w:val="24"/>
          <w:szCs w:val="22"/>
          <w:highlight w:val="none"/>
          <w:lang w:val="en-US" w:eastAsia="zh-CN" w:bidi="ar-SA"/>
        </w:rPr>
      </w:pPr>
    </w:p>
    <w:p w14:paraId="5DCBE748">
      <w:pPr>
        <w:tabs>
          <w:tab w:val="left" w:pos="2790"/>
        </w:tabs>
        <w:spacing w:line="460" w:lineRule="exact"/>
        <w:ind w:firstLine="420" w:firstLineChars="200"/>
        <w:rPr>
          <w:rFonts w:ascii="宋体" w:hAnsi="宋体" w:eastAsia="宋体" w:cs="宋体"/>
          <w:color w:val="auto"/>
          <w:szCs w:val="21"/>
          <w:highlight w:val="none"/>
          <w:u w:val="single"/>
        </w:rPr>
      </w:pP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 xml:space="preserve"> （发包人名称，以下简称“发包人”）</w:t>
      </w:r>
      <w:r>
        <w:rPr>
          <w:rFonts w:hint="eastAsia" w:ascii="宋体" w:hAnsi="宋体" w:eastAsia="宋体" w:cs="宋体"/>
          <w:color w:val="auto"/>
          <w:highlight w:val="none"/>
        </w:rPr>
        <w:t xml:space="preserve">、 </w:t>
      </w:r>
      <w:r>
        <w:rPr>
          <w:rFonts w:hint="eastAsia" w:ascii="宋体" w:hAnsi="宋体" w:eastAsia="宋体" w:cs="宋体"/>
          <w:color w:val="auto"/>
          <w:highlight w:val="none"/>
          <w:u w:val="single"/>
        </w:rPr>
        <w:t xml:space="preserve">（项目业主全称） </w:t>
      </w:r>
      <w:r>
        <w:rPr>
          <w:rFonts w:hint="eastAsia" w:ascii="宋体" w:hAnsi="宋体" w:eastAsia="宋体" w:cs="宋体"/>
          <w:color w:val="auto"/>
          <w:highlight w:val="none"/>
        </w:rPr>
        <w:t xml:space="preserve">（下称“项目业主”）、 </w:t>
      </w:r>
      <w:r>
        <w:rPr>
          <w:rFonts w:hint="eastAsia" w:ascii="宋体" w:hAnsi="宋体" w:eastAsia="宋体" w:cs="宋体"/>
          <w:color w:val="auto"/>
          <w:highlight w:val="none"/>
          <w:u w:val="single"/>
        </w:rPr>
        <w:t xml:space="preserve">（建设单位（发包人）全称） </w:t>
      </w:r>
      <w:r>
        <w:rPr>
          <w:rFonts w:hint="eastAsia" w:ascii="宋体" w:hAnsi="宋体" w:eastAsia="宋体" w:cs="宋体"/>
          <w:color w:val="auto"/>
          <w:highlight w:val="none"/>
        </w:rPr>
        <w:t>（下称“</w:t>
      </w:r>
      <w:r>
        <w:rPr>
          <w:rFonts w:hint="eastAsia" w:ascii="宋体" w:hAnsi="宋体" w:eastAsia="宋体" w:cs="宋体"/>
          <w:color w:val="auto"/>
          <w:highlight w:val="none"/>
          <w:u w:val="single"/>
        </w:rPr>
        <w:t>发包人</w:t>
      </w:r>
      <w:r>
        <w:rPr>
          <w:rFonts w:hint="eastAsia" w:ascii="宋体" w:hAnsi="宋体" w:eastAsia="宋体" w:cs="宋体"/>
          <w:color w:val="auto"/>
          <w:highlight w:val="none"/>
        </w:rPr>
        <w:t>”）</w:t>
      </w:r>
      <w:r>
        <w:rPr>
          <w:rFonts w:hint="eastAsia" w:ascii="宋体" w:hAnsi="宋体" w:eastAsia="宋体" w:cs="宋体"/>
          <w:color w:val="auto"/>
          <w:szCs w:val="21"/>
          <w:highlight w:val="none"/>
        </w:rPr>
        <w:t>为实施</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（项目名称），已接受</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（承包人名称，以下简称“承包人”）对该项目</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标段施工的投标。发包人和承包人共同达成如下协议。</w:t>
      </w:r>
    </w:p>
    <w:p w14:paraId="5E951523">
      <w:pPr>
        <w:tabs>
          <w:tab w:val="left" w:pos="2790"/>
        </w:tabs>
        <w:spacing w:line="460" w:lineRule="exact"/>
        <w:ind w:firstLine="420" w:firstLineChars="200"/>
        <w:rPr>
          <w:rFonts w:ascii="宋体" w:hAnsi="宋体" w:eastAsia="宋体" w:cs="宋体"/>
          <w:color w:val="auto"/>
          <w:szCs w:val="21"/>
          <w:highlight w:val="none"/>
        </w:rPr>
      </w:pPr>
      <w:r>
        <w:rPr>
          <w:rFonts w:hint="eastAsia" w:ascii="宋体" w:hAnsi="宋体" w:eastAsia="宋体" w:cs="宋体"/>
          <w:color w:val="auto"/>
          <w:szCs w:val="21"/>
          <w:highlight w:val="none"/>
        </w:rPr>
        <w:t>1. 第</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标段由K</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至K</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，长约</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km，公路等级为</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，设计时速为</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有</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立交</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处；隧道</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座，计长</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m以及其他构造物工程等的施工完成、缺陷责任期缺陷修复及保修期保修责任等。</w:t>
      </w:r>
    </w:p>
    <w:p w14:paraId="51D60984">
      <w:pPr>
        <w:tabs>
          <w:tab w:val="left" w:pos="2790"/>
        </w:tabs>
        <w:spacing w:line="460" w:lineRule="exact"/>
        <w:ind w:firstLine="420" w:firstLineChars="200"/>
        <w:rPr>
          <w:rFonts w:ascii="宋体" w:hAnsi="宋体" w:eastAsia="宋体" w:cs="宋体"/>
          <w:color w:val="auto"/>
          <w:szCs w:val="21"/>
          <w:highlight w:val="none"/>
        </w:rPr>
      </w:pPr>
      <w:r>
        <w:rPr>
          <w:rFonts w:hint="eastAsia" w:ascii="宋体" w:hAnsi="宋体" w:eastAsia="宋体" w:cs="宋体"/>
          <w:color w:val="auto"/>
          <w:szCs w:val="21"/>
          <w:highlight w:val="none"/>
        </w:rPr>
        <w:t>2.下列文件应视为构成合同文件的组成部分：</w:t>
      </w:r>
    </w:p>
    <w:p w14:paraId="28289514">
      <w:pPr>
        <w:tabs>
          <w:tab w:val="left" w:pos="2790"/>
        </w:tabs>
        <w:snapToGrid w:val="0"/>
        <w:spacing w:line="400" w:lineRule="exact"/>
        <w:ind w:firstLine="420" w:firstLineChars="200"/>
        <w:rPr>
          <w:rFonts w:ascii="宋体" w:hAnsi="宋体" w:eastAsia="宋体" w:cs="宋体"/>
          <w:color w:val="auto"/>
          <w:szCs w:val="21"/>
          <w:highlight w:val="none"/>
        </w:rPr>
      </w:pPr>
      <w:r>
        <w:rPr>
          <w:rFonts w:hint="eastAsia" w:ascii="宋体" w:hAnsi="宋体" w:eastAsia="宋体" w:cs="宋体"/>
          <w:color w:val="auto"/>
          <w:szCs w:val="21"/>
          <w:highlight w:val="none"/>
        </w:rPr>
        <w:t xml:space="preserve">（1）合同协议书及各种合同附件（含廉政合同、安全生产合同、工程质量责任合同、工程资金监管 协议及评标期间和合同谈判过程中的澄清文件和补充资料）； </w:t>
      </w:r>
    </w:p>
    <w:p w14:paraId="7C62DDCB">
      <w:pPr>
        <w:tabs>
          <w:tab w:val="left" w:pos="2790"/>
        </w:tabs>
        <w:snapToGrid w:val="0"/>
        <w:spacing w:line="400" w:lineRule="exact"/>
        <w:ind w:firstLine="420" w:firstLineChars="200"/>
        <w:rPr>
          <w:rFonts w:ascii="宋体" w:hAnsi="宋体" w:eastAsia="宋体" w:cs="宋体"/>
          <w:color w:val="auto"/>
          <w:szCs w:val="21"/>
          <w:highlight w:val="none"/>
        </w:rPr>
      </w:pPr>
      <w:r>
        <w:rPr>
          <w:rFonts w:hint="eastAsia" w:ascii="宋体" w:hAnsi="宋体" w:eastAsia="宋体" w:cs="宋体"/>
          <w:color w:val="auto"/>
          <w:szCs w:val="21"/>
          <w:highlight w:val="none"/>
        </w:rPr>
        <w:t xml:space="preserve">（2）中标通知书； </w:t>
      </w:r>
    </w:p>
    <w:p w14:paraId="457F3D66">
      <w:pPr>
        <w:tabs>
          <w:tab w:val="left" w:pos="2790"/>
        </w:tabs>
        <w:snapToGrid w:val="0"/>
        <w:spacing w:line="400" w:lineRule="exact"/>
        <w:ind w:firstLine="420" w:firstLineChars="200"/>
        <w:rPr>
          <w:rFonts w:ascii="宋体" w:hAnsi="宋体" w:eastAsia="宋体" w:cs="宋体"/>
          <w:color w:val="auto"/>
          <w:szCs w:val="21"/>
          <w:highlight w:val="none"/>
        </w:rPr>
      </w:pPr>
      <w:r>
        <w:rPr>
          <w:rFonts w:hint="eastAsia" w:ascii="宋体" w:hAnsi="宋体" w:eastAsia="宋体" w:cs="宋体"/>
          <w:color w:val="auto"/>
          <w:szCs w:val="21"/>
          <w:highlight w:val="none"/>
        </w:rPr>
        <w:t xml:space="preserve">（3）投标函及投标函附录； </w:t>
      </w:r>
    </w:p>
    <w:p w14:paraId="57C3FE7E">
      <w:pPr>
        <w:tabs>
          <w:tab w:val="left" w:pos="2790"/>
        </w:tabs>
        <w:snapToGrid w:val="0"/>
        <w:spacing w:line="400" w:lineRule="exact"/>
        <w:ind w:firstLine="420" w:firstLineChars="200"/>
        <w:rPr>
          <w:rFonts w:ascii="宋体" w:hAnsi="宋体" w:eastAsia="宋体" w:cs="宋体"/>
          <w:color w:val="auto"/>
          <w:szCs w:val="21"/>
          <w:highlight w:val="none"/>
        </w:rPr>
      </w:pPr>
      <w:r>
        <w:rPr>
          <w:rFonts w:hint="eastAsia" w:ascii="宋体" w:hAnsi="宋体" w:eastAsia="宋体" w:cs="宋体"/>
          <w:color w:val="auto"/>
          <w:szCs w:val="21"/>
          <w:highlight w:val="none"/>
        </w:rPr>
        <w:t xml:space="preserve">（4）项目专用合同条款（含招标文件补遗书中与此有关的部分）； </w:t>
      </w:r>
    </w:p>
    <w:p w14:paraId="09DDB517">
      <w:pPr>
        <w:tabs>
          <w:tab w:val="left" w:pos="2790"/>
        </w:tabs>
        <w:snapToGrid w:val="0"/>
        <w:spacing w:line="400" w:lineRule="exact"/>
        <w:ind w:firstLine="420" w:firstLineChars="200"/>
        <w:rPr>
          <w:rFonts w:ascii="宋体" w:hAnsi="宋体" w:eastAsia="宋体" w:cs="宋体"/>
          <w:color w:val="auto"/>
          <w:szCs w:val="21"/>
          <w:highlight w:val="none"/>
        </w:rPr>
      </w:pPr>
      <w:r>
        <w:rPr>
          <w:rFonts w:hint="eastAsia" w:ascii="宋体" w:hAnsi="宋体" w:eastAsia="宋体" w:cs="宋体"/>
          <w:color w:val="auto"/>
          <w:szCs w:val="21"/>
          <w:highlight w:val="none"/>
        </w:rPr>
        <w:t>（5）公路工程专用合同条款；</w:t>
      </w:r>
    </w:p>
    <w:p w14:paraId="6D2B4181">
      <w:pPr>
        <w:tabs>
          <w:tab w:val="left" w:pos="2790"/>
        </w:tabs>
        <w:snapToGrid w:val="0"/>
        <w:spacing w:line="400" w:lineRule="exact"/>
        <w:ind w:firstLine="420" w:firstLineChars="200"/>
        <w:rPr>
          <w:rFonts w:ascii="宋体" w:hAnsi="宋体" w:eastAsia="宋体" w:cs="宋体"/>
          <w:color w:val="auto"/>
          <w:szCs w:val="21"/>
          <w:highlight w:val="none"/>
        </w:rPr>
      </w:pPr>
      <w:r>
        <w:rPr>
          <w:rFonts w:hint="eastAsia" w:ascii="宋体" w:hAnsi="宋体" w:eastAsia="宋体" w:cs="宋体"/>
          <w:color w:val="auto"/>
          <w:szCs w:val="21"/>
          <w:highlight w:val="none"/>
        </w:rPr>
        <w:t>（6）通用合同条款；</w:t>
      </w:r>
    </w:p>
    <w:p w14:paraId="602EF19F">
      <w:pPr>
        <w:tabs>
          <w:tab w:val="left" w:pos="2790"/>
        </w:tabs>
        <w:snapToGrid w:val="0"/>
        <w:spacing w:line="400" w:lineRule="exact"/>
        <w:ind w:firstLine="420" w:firstLineChars="200"/>
        <w:rPr>
          <w:rFonts w:ascii="宋体" w:hAnsi="宋体" w:eastAsia="宋体" w:cs="宋体"/>
          <w:color w:val="auto"/>
          <w:szCs w:val="21"/>
          <w:highlight w:val="none"/>
        </w:rPr>
      </w:pPr>
      <w:r>
        <w:rPr>
          <w:rFonts w:hint="eastAsia" w:ascii="宋体" w:hAnsi="宋体" w:eastAsia="宋体" w:cs="宋体"/>
          <w:color w:val="auto"/>
          <w:szCs w:val="21"/>
          <w:highlight w:val="none"/>
        </w:rPr>
        <w:t xml:space="preserve">（7）工程量清单计量规则（含招标文件补遗书中与此有关的部分）； </w:t>
      </w:r>
    </w:p>
    <w:p w14:paraId="55F875C2">
      <w:pPr>
        <w:tabs>
          <w:tab w:val="left" w:pos="2790"/>
        </w:tabs>
        <w:snapToGrid w:val="0"/>
        <w:spacing w:line="400" w:lineRule="exact"/>
        <w:ind w:firstLine="420" w:firstLineChars="200"/>
        <w:rPr>
          <w:rFonts w:ascii="宋体" w:hAnsi="宋体" w:eastAsia="宋体" w:cs="宋体"/>
          <w:color w:val="auto"/>
          <w:szCs w:val="21"/>
          <w:highlight w:val="none"/>
        </w:rPr>
      </w:pPr>
      <w:r>
        <w:rPr>
          <w:rFonts w:hint="eastAsia" w:ascii="宋体" w:hAnsi="宋体" w:eastAsia="宋体" w:cs="宋体"/>
          <w:color w:val="auto"/>
          <w:szCs w:val="21"/>
          <w:highlight w:val="none"/>
        </w:rPr>
        <w:t xml:space="preserve">（8）项目专用技术规范（含招标文件补遗书中与此有关的部分）； </w:t>
      </w:r>
    </w:p>
    <w:p w14:paraId="5670816F">
      <w:pPr>
        <w:tabs>
          <w:tab w:val="left" w:pos="2790"/>
        </w:tabs>
        <w:snapToGrid w:val="0"/>
        <w:spacing w:line="400" w:lineRule="exact"/>
        <w:ind w:firstLine="420" w:firstLineChars="200"/>
        <w:rPr>
          <w:rFonts w:ascii="宋体" w:hAnsi="宋体" w:eastAsia="宋体" w:cs="宋体"/>
          <w:color w:val="auto"/>
          <w:szCs w:val="21"/>
          <w:highlight w:val="none"/>
        </w:rPr>
      </w:pPr>
      <w:r>
        <w:rPr>
          <w:rFonts w:hint="eastAsia" w:ascii="宋体" w:hAnsi="宋体" w:eastAsia="宋体" w:cs="宋体"/>
          <w:color w:val="auto"/>
          <w:szCs w:val="21"/>
          <w:highlight w:val="none"/>
        </w:rPr>
        <w:t xml:space="preserve">（9）通用技术规范； </w:t>
      </w:r>
    </w:p>
    <w:p w14:paraId="3DC52FE4">
      <w:pPr>
        <w:tabs>
          <w:tab w:val="left" w:pos="2790"/>
        </w:tabs>
        <w:snapToGrid w:val="0"/>
        <w:spacing w:line="400" w:lineRule="exact"/>
        <w:ind w:firstLine="420" w:firstLineChars="200"/>
        <w:rPr>
          <w:rFonts w:ascii="宋体" w:hAnsi="宋体" w:eastAsia="宋体" w:cs="宋体"/>
          <w:color w:val="auto"/>
          <w:szCs w:val="21"/>
          <w:highlight w:val="none"/>
        </w:rPr>
      </w:pPr>
      <w:r>
        <w:rPr>
          <w:rFonts w:hint="eastAsia" w:ascii="宋体" w:hAnsi="宋体" w:eastAsia="宋体" w:cs="宋体"/>
          <w:color w:val="auto"/>
          <w:szCs w:val="21"/>
          <w:highlight w:val="none"/>
        </w:rPr>
        <w:t xml:space="preserve">（10）图纸（含招标文件补遗书中与此有关的部分）； </w:t>
      </w:r>
    </w:p>
    <w:p w14:paraId="1A86DC29">
      <w:pPr>
        <w:tabs>
          <w:tab w:val="left" w:pos="2790"/>
        </w:tabs>
        <w:snapToGrid w:val="0"/>
        <w:spacing w:line="400" w:lineRule="exact"/>
        <w:ind w:firstLine="420" w:firstLineChars="200"/>
        <w:rPr>
          <w:rFonts w:ascii="宋体" w:hAnsi="宋体" w:eastAsia="宋体" w:cs="宋体"/>
          <w:color w:val="auto"/>
          <w:szCs w:val="21"/>
          <w:highlight w:val="none"/>
        </w:rPr>
      </w:pPr>
      <w:r>
        <w:rPr>
          <w:rFonts w:hint="eastAsia" w:ascii="宋体" w:hAnsi="宋体" w:eastAsia="宋体" w:cs="宋体"/>
          <w:color w:val="auto"/>
          <w:szCs w:val="21"/>
          <w:highlight w:val="none"/>
        </w:rPr>
        <w:t xml:space="preserve">（11）已标价工程量清单； </w:t>
      </w:r>
    </w:p>
    <w:p w14:paraId="608A6994">
      <w:pPr>
        <w:tabs>
          <w:tab w:val="left" w:pos="2790"/>
        </w:tabs>
        <w:snapToGrid w:val="0"/>
        <w:spacing w:line="400" w:lineRule="exact"/>
        <w:ind w:firstLine="420" w:firstLineChars="200"/>
        <w:rPr>
          <w:rFonts w:ascii="宋体" w:hAnsi="宋体" w:eastAsia="宋体" w:cs="宋体"/>
          <w:color w:val="auto"/>
          <w:szCs w:val="21"/>
          <w:highlight w:val="none"/>
        </w:rPr>
      </w:pPr>
      <w:r>
        <w:rPr>
          <w:rFonts w:hint="eastAsia" w:ascii="宋体" w:hAnsi="宋体" w:eastAsia="宋体" w:cs="宋体"/>
          <w:color w:val="auto"/>
          <w:szCs w:val="21"/>
          <w:highlight w:val="none"/>
        </w:rPr>
        <w:t xml:space="preserve">（12）承包人有关人员、设备投入的承诺及投标文件中的施工组织设计； </w:t>
      </w:r>
    </w:p>
    <w:p w14:paraId="4FA8BC83">
      <w:pPr>
        <w:tabs>
          <w:tab w:val="left" w:pos="2790"/>
        </w:tabs>
        <w:snapToGrid w:val="0"/>
        <w:spacing w:line="400" w:lineRule="exact"/>
        <w:ind w:firstLine="420" w:firstLineChars="200"/>
        <w:rPr>
          <w:rFonts w:ascii="宋体" w:hAnsi="宋体" w:eastAsia="宋体" w:cs="宋体"/>
          <w:color w:val="auto"/>
          <w:szCs w:val="21"/>
          <w:highlight w:val="none"/>
        </w:rPr>
      </w:pPr>
      <w:r>
        <w:rPr>
          <w:rFonts w:hint="eastAsia" w:ascii="宋体" w:hAnsi="宋体" w:eastAsia="宋体" w:cs="宋体"/>
          <w:color w:val="auto"/>
          <w:szCs w:val="21"/>
          <w:highlight w:val="none"/>
        </w:rPr>
        <w:t>（13）其他合同文件。</w:t>
      </w:r>
    </w:p>
    <w:p w14:paraId="0B3F6986">
      <w:pPr>
        <w:tabs>
          <w:tab w:val="left" w:pos="2790"/>
        </w:tabs>
        <w:spacing w:line="460" w:lineRule="exact"/>
        <w:ind w:firstLine="420" w:firstLineChars="200"/>
        <w:rPr>
          <w:rFonts w:ascii="宋体" w:hAnsi="宋体" w:eastAsia="宋体" w:cs="宋体"/>
          <w:color w:val="auto"/>
          <w:szCs w:val="21"/>
          <w:highlight w:val="none"/>
        </w:rPr>
      </w:pPr>
      <w:r>
        <w:rPr>
          <w:rFonts w:hint="eastAsia" w:ascii="宋体" w:hAnsi="宋体" w:eastAsia="宋体" w:cs="宋体"/>
          <w:color w:val="auto"/>
          <w:szCs w:val="21"/>
          <w:highlight w:val="none"/>
        </w:rPr>
        <w:t>上述合同文件互相补充和解释。如果合同文件之间存在矛盾或不一致之处，以上述排列顺序在先者为准。</w:t>
      </w:r>
    </w:p>
    <w:p w14:paraId="5D20EC35">
      <w:pPr>
        <w:tabs>
          <w:tab w:val="left" w:pos="2790"/>
        </w:tabs>
        <w:spacing w:line="460" w:lineRule="exact"/>
        <w:ind w:firstLine="420" w:firstLineChars="200"/>
        <w:rPr>
          <w:rFonts w:ascii="宋体" w:hAnsi="宋体" w:eastAsia="宋体" w:cs="宋体"/>
          <w:color w:val="auto"/>
          <w:szCs w:val="21"/>
          <w:highlight w:val="none"/>
        </w:rPr>
      </w:pPr>
      <w:r>
        <w:rPr>
          <w:rFonts w:hint="eastAsia" w:ascii="宋体" w:hAnsi="宋体" w:eastAsia="宋体" w:cs="宋体"/>
          <w:color w:val="auto"/>
          <w:szCs w:val="21"/>
          <w:highlight w:val="none"/>
        </w:rPr>
        <w:t>3.根据工程量清单所列的预计数量和单价或总额价计算的签约合同价：人民币（大写）</w:t>
      </w:r>
      <w:r>
        <w:rPr>
          <w:rFonts w:hint="eastAsia" w:ascii="宋体" w:hAnsi="宋体" w:eastAsia="宋体" w:cs="宋体"/>
          <w:color w:val="auto"/>
          <w:szCs w:val="21"/>
          <w:highlight w:val="none"/>
          <w:u w:val="single"/>
        </w:rPr>
        <w:t>______ __________________</w:t>
      </w:r>
      <w:r>
        <w:rPr>
          <w:rFonts w:hint="eastAsia" w:ascii="宋体" w:hAnsi="宋体" w:eastAsia="宋体" w:cs="宋体"/>
          <w:color w:val="auto"/>
          <w:szCs w:val="21"/>
          <w:highlight w:val="none"/>
        </w:rPr>
        <w:t>元（￥</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w:t>
      </w:r>
    </w:p>
    <w:p w14:paraId="4E6EC908">
      <w:pPr>
        <w:tabs>
          <w:tab w:val="left" w:pos="2790"/>
        </w:tabs>
        <w:spacing w:line="460" w:lineRule="exact"/>
        <w:ind w:firstLine="420" w:firstLineChars="200"/>
        <w:rPr>
          <w:rFonts w:ascii="宋体" w:hAnsi="宋体" w:eastAsia="宋体" w:cs="宋体"/>
          <w:color w:val="auto"/>
          <w:szCs w:val="21"/>
          <w:highlight w:val="none"/>
        </w:rPr>
      </w:pPr>
      <w:r>
        <w:rPr>
          <w:rFonts w:hint="eastAsia" w:ascii="宋体" w:hAnsi="宋体" w:eastAsia="宋体" w:cs="宋体"/>
          <w:color w:val="auto"/>
          <w:szCs w:val="21"/>
          <w:highlight w:val="none"/>
        </w:rPr>
        <w:t>4.承包人项目经理：</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。承包人项目技术负责人：</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。安全负责人：</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w:t>
      </w:r>
    </w:p>
    <w:p w14:paraId="1DF16AD6">
      <w:pPr>
        <w:tabs>
          <w:tab w:val="left" w:pos="2790"/>
        </w:tabs>
        <w:spacing w:line="460" w:lineRule="exact"/>
        <w:ind w:firstLine="420" w:firstLineChars="200"/>
        <w:rPr>
          <w:rFonts w:ascii="宋体" w:hAnsi="宋体" w:eastAsia="宋体" w:cs="宋体"/>
          <w:color w:val="auto"/>
          <w:szCs w:val="21"/>
          <w:highlight w:val="none"/>
        </w:rPr>
      </w:pPr>
      <w:r>
        <w:rPr>
          <w:rFonts w:hint="eastAsia" w:ascii="宋体" w:hAnsi="宋体" w:eastAsia="宋体" w:cs="宋体"/>
          <w:color w:val="auto"/>
          <w:szCs w:val="21"/>
          <w:highlight w:val="none"/>
        </w:rPr>
        <w:t>5.工程质量符合</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标准。工程安全目标：</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w:t>
      </w:r>
    </w:p>
    <w:p w14:paraId="2877AAE6">
      <w:pPr>
        <w:tabs>
          <w:tab w:val="left" w:pos="2790"/>
        </w:tabs>
        <w:spacing w:line="460" w:lineRule="exact"/>
        <w:ind w:firstLine="420" w:firstLineChars="200"/>
        <w:rPr>
          <w:rFonts w:ascii="宋体" w:hAnsi="宋体" w:eastAsia="宋体" w:cs="宋体"/>
          <w:color w:val="auto"/>
          <w:szCs w:val="21"/>
          <w:highlight w:val="none"/>
        </w:rPr>
      </w:pPr>
      <w:r>
        <w:rPr>
          <w:rFonts w:hint="eastAsia" w:ascii="宋体" w:hAnsi="宋体" w:eastAsia="宋体" w:cs="宋体"/>
          <w:color w:val="auto"/>
          <w:szCs w:val="21"/>
          <w:highlight w:val="none"/>
        </w:rPr>
        <w:t>6.承包人承诺按合同约定承担工程的实施、完成及缺陷责任期缺陷修复。</w:t>
      </w:r>
    </w:p>
    <w:p w14:paraId="3DAAE2EE">
      <w:pPr>
        <w:tabs>
          <w:tab w:val="left" w:pos="2790"/>
        </w:tabs>
        <w:spacing w:line="460" w:lineRule="exact"/>
        <w:ind w:firstLine="420" w:firstLineChars="200"/>
        <w:rPr>
          <w:rFonts w:ascii="宋体" w:hAnsi="宋体" w:eastAsia="宋体" w:cs="宋体"/>
          <w:color w:val="auto"/>
          <w:szCs w:val="21"/>
          <w:highlight w:val="none"/>
        </w:rPr>
      </w:pPr>
      <w:r>
        <w:rPr>
          <w:rFonts w:hint="eastAsia" w:ascii="宋体" w:hAnsi="宋体" w:eastAsia="宋体" w:cs="宋体"/>
          <w:color w:val="auto"/>
          <w:szCs w:val="21"/>
          <w:highlight w:val="none"/>
        </w:rPr>
        <w:t>7.发包人承诺按合同约定的条件、时间和方式向承包人支付合同价款。</w:t>
      </w:r>
    </w:p>
    <w:p w14:paraId="59B61ACB">
      <w:pPr>
        <w:tabs>
          <w:tab w:val="left" w:pos="2790"/>
        </w:tabs>
        <w:spacing w:line="460" w:lineRule="exact"/>
        <w:ind w:firstLine="420" w:firstLineChars="200"/>
        <w:rPr>
          <w:rFonts w:ascii="宋体" w:hAnsi="宋体" w:eastAsia="宋体" w:cs="宋体"/>
          <w:color w:val="auto"/>
          <w:szCs w:val="21"/>
          <w:highlight w:val="none"/>
        </w:rPr>
      </w:pPr>
      <w:r>
        <w:rPr>
          <w:rFonts w:hint="eastAsia" w:ascii="宋体" w:hAnsi="宋体" w:eastAsia="宋体" w:cs="宋体"/>
          <w:color w:val="auto"/>
          <w:szCs w:val="21"/>
          <w:highlight w:val="none"/>
        </w:rPr>
        <w:t>8.承包人应按照监理人指示开工，工期为</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highlight w:val="none"/>
        </w:rPr>
        <w:t>日历天</w:t>
      </w:r>
      <w:r>
        <w:rPr>
          <w:rFonts w:hint="eastAsia" w:ascii="宋体" w:hAnsi="宋体" w:eastAsia="宋体" w:cs="宋体"/>
          <w:color w:val="auto"/>
          <w:szCs w:val="21"/>
          <w:highlight w:val="none"/>
        </w:rPr>
        <w:t>。</w:t>
      </w:r>
    </w:p>
    <w:p w14:paraId="5091AC64">
      <w:pPr>
        <w:tabs>
          <w:tab w:val="left" w:pos="2790"/>
        </w:tabs>
        <w:spacing w:line="460" w:lineRule="exact"/>
        <w:ind w:firstLine="420" w:firstLineChars="200"/>
        <w:rPr>
          <w:rFonts w:ascii="宋体" w:hAnsi="宋体" w:eastAsia="宋体" w:cs="宋体"/>
          <w:color w:val="auto"/>
          <w:szCs w:val="21"/>
          <w:highlight w:val="none"/>
        </w:rPr>
      </w:pPr>
      <w:r>
        <w:rPr>
          <w:rFonts w:hint="eastAsia" w:ascii="宋体" w:hAnsi="宋体" w:eastAsia="宋体" w:cs="宋体"/>
          <w:color w:val="auto"/>
          <w:szCs w:val="21"/>
          <w:highlight w:val="none"/>
        </w:rPr>
        <w:t>9.本协议书在承包人提供履约担保后，由三方法定代表人或其委托代理人签署并加盖单位章后生效。全部工程完工后经交工验收合格、缺陷责任期满签发缺陷责任终止证书后失效。</w:t>
      </w:r>
    </w:p>
    <w:p w14:paraId="717ACEA9">
      <w:pPr>
        <w:tabs>
          <w:tab w:val="left" w:pos="2790"/>
        </w:tabs>
        <w:spacing w:line="460" w:lineRule="exact"/>
        <w:ind w:firstLine="420" w:firstLineChars="200"/>
        <w:rPr>
          <w:rFonts w:ascii="宋体" w:hAnsi="宋体" w:eastAsia="宋体" w:cs="宋体"/>
          <w:color w:val="auto"/>
          <w:szCs w:val="21"/>
          <w:highlight w:val="none"/>
        </w:rPr>
      </w:pPr>
      <w:r>
        <w:rPr>
          <w:rFonts w:hint="eastAsia" w:ascii="宋体" w:hAnsi="宋体" w:eastAsia="宋体" w:cs="宋体"/>
          <w:color w:val="auto"/>
          <w:szCs w:val="21"/>
          <w:highlight w:val="none"/>
        </w:rPr>
        <w:t>10.本协议书正本三份、副本</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份，合同三方各执正本一份，副本</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份，当正本与副本的内容不一致时，以正本为准。</w:t>
      </w:r>
    </w:p>
    <w:p w14:paraId="248E8830">
      <w:pPr>
        <w:tabs>
          <w:tab w:val="left" w:pos="2790"/>
        </w:tabs>
        <w:spacing w:line="460" w:lineRule="exact"/>
        <w:ind w:firstLine="420" w:firstLineChars="200"/>
        <w:rPr>
          <w:rFonts w:ascii="宋体" w:hAnsi="宋体" w:eastAsia="宋体" w:cs="宋体"/>
          <w:color w:val="auto"/>
          <w:szCs w:val="21"/>
          <w:highlight w:val="none"/>
        </w:rPr>
      </w:pPr>
      <w:r>
        <w:rPr>
          <w:rFonts w:hint="eastAsia" w:ascii="宋体" w:hAnsi="宋体" w:eastAsia="宋体" w:cs="宋体"/>
          <w:color w:val="auto"/>
          <w:szCs w:val="21"/>
          <w:highlight w:val="none"/>
        </w:rPr>
        <w:t>11.合同未尽事宜，三方另行签订补充协议。补充协议是合同的组成部分。</w:t>
      </w:r>
    </w:p>
    <w:p w14:paraId="0CB9A700">
      <w:pPr>
        <w:tabs>
          <w:tab w:val="left" w:pos="2790"/>
        </w:tabs>
        <w:spacing w:line="460" w:lineRule="exact"/>
        <w:ind w:firstLine="420" w:firstLineChars="200"/>
        <w:rPr>
          <w:rFonts w:ascii="宋体" w:hAnsi="宋体" w:eastAsia="宋体" w:cs="宋体"/>
          <w:color w:val="auto"/>
          <w:szCs w:val="21"/>
          <w:highlight w:val="none"/>
        </w:rPr>
      </w:pPr>
    </w:p>
    <w:p w14:paraId="5C73C134">
      <w:pPr>
        <w:tabs>
          <w:tab w:val="left" w:pos="2790"/>
        </w:tabs>
        <w:spacing w:line="460" w:lineRule="exact"/>
        <w:rPr>
          <w:rFonts w:ascii="宋体" w:hAnsi="宋体" w:eastAsia="宋体" w:cs="宋体"/>
          <w:color w:val="auto"/>
          <w:szCs w:val="21"/>
          <w:highlight w:val="none"/>
        </w:rPr>
      </w:pPr>
      <w:r>
        <w:rPr>
          <w:rFonts w:hint="eastAsia" w:ascii="宋体" w:hAnsi="宋体" w:eastAsia="宋体" w:cs="宋体"/>
          <w:color w:val="auto"/>
          <w:highlight w:val="none"/>
        </w:rPr>
        <w:t>项目业主：</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 xml:space="preserve"> （盖单位章）</w:t>
      </w:r>
    </w:p>
    <w:p w14:paraId="41248640">
      <w:pPr>
        <w:tabs>
          <w:tab w:val="left" w:pos="2790"/>
        </w:tabs>
        <w:spacing w:line="460" w:lineRule="exact"/>
        <w:rPr>
          <w:rFonts w:ascii="宋体" w:hAnsi="宋体" w:eastAsia="宋体" w:cs="宋体"/>
          <w:color w:val="auto"/>
          <w:szCs w:val="21"/>
          <w:highlight w:val="none"/>
        </w:rPr>
      </w:pPr>
      <w:r>
        <w:rPr>
          <w:rFonts w:hint="eastAsia" w:ascii="宋体" w:hAnsi="宋体" w:eastAsia="宋体" w:cs="宋体"/>
          <w:color w:val="auto"/>
          <w:szCs w:val="21"/>
          <w:highlight w:val="none"/>
        </w:rPr>
        <w:t>法定代表人或其委托代理人：</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（签字）</w:t>
      </w:r>
    </w:p>
    <w:p w14:paraId="01BD46D4">
      <w:pPr>
        <w:tabs>
          <w:tab w:val="left" w:pos="2790"/>
        </w:tabs>
        <w:spacing w:line="460" w:lineRule="exact"/>
        <w:ind w:firstLine="1890" w:firstLineChars="900"/>
        <w:rPr>
          <w:rFonts w:ascii="宋体" w:hAnsi="宋体" w:eastAsia="宋体" w:cs="宋体"/>
          <w:color w:val="auto"/>
          <w:szCs w:val="21"/>
          <w:highlight w:val="none"/>
        </w:rPr>
      </w:pP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年</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月</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日</w:t>
      </w:r>
    </w:p>
    <w:p w14:paraId="79200FA6">
      <w:pPr>
        <w:tabs>
          <w:tab w:val="left" w:pos="2790"/>
        </w:tabs>
        <w:spacing w:line="460" w:lineRule="exact"/>
        <w:ind w:firstLine="420" w:firstLineChars="200"/>
        <w:rPr>
          <w:rFonts w:ascii="宋体" w:hAnsi="宋体" w:eastAsia="宋体" w:cs="宋体"/>
          <w:color w:val="auto"/>
          <w:szCs w:val="21"/>
          <w:highlight w:val="none"/>
        </w:rPr>
      </w:pPr>
    </w:p>
    <w:p w14:paraId="68D39075">
      <w:pPr>
        <w:tabs>
          <w:tab w:val="left" w:pos="2790"/>
        </w:tabs>
        <w:spacing w:line="460" w:lineRule="exact"/>
        <w:rPr>
          <w:rFonts w:ascii="宋体" w:hAnsi="宋体" w:eastAsia="宋体" w:cs="宋体"/>
          <w:color w:val="auto"/>
          <w:szCs w:val="21"/>
          <w:highlight w:val="none"/>
        </w:rPr>
      </w:pPr>
      <w:r>
        <w:rPr>
          <w:rFonts w:hint="eastAsia" w:ascii="宋体" w:hAnsi="宋体" w:eastAsia="宋体" w:cs="宋体"/>
          <w:color w:val="auto"/>
          <w:szCs w:val="21"/>
          <w:highlight w:val="none"/>
        </w:rPr>
        <w:t>发包人：</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 xml:space="preserve"> （盖单位章）</w:t>
      </w:r>
    </w:p>
    <w:p w14:paraId="0CBEC1E6">
      <w:pPr>
        <w:tabs>
          <w:tab w:val="left" w:pos="2790"/>
        </w:tabs>
        <w:spacing w:line="460" w:lineRule="exact"/>
        <w:rPr>
          <w:rFonts w:ascii="宋体" w:hAnsi="宋体" w:eastAsia="宋体" w:cs="宋体"/>
          <w:color w:val="auto"/>
          <w:szCs w:val="21"/>
          <w:highlight w:val="none"/>
        </w:rPr>
      </w:pPr>
      <w:r>
        <w:rPr>
          <w:rFonts w:hint="eastAsia" w:ascii="宋体" w:hAnsi="宋体" w:eastAsia="宋体" w:cs="宋体"/>
          <w:color w:val="auto"/>
          <w:szCs w:val="21"/>
          <w:highlight w:val="none"/>
        </w:rPr>
        <w:t>法定代表人或其委托代理人：</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（签字）</w:t>
      </w:r>
    </w:p>
    <w:p w14:paraId="2EDD483E">
      <w:pPr>
        <w:tabs>
          <w:tab w:val="left" w:pos="2790"/>
        </w:tabs>
        <w:spacing w:line="460" w:lineRule="exact"/>
        <w:ind w:firstLine="1890" w:firstLineChars="900"/>
        <w:rPr>
          <w:rFonts w:ascii="宋体" w:hAnsi="宋体" w:eastAsia="宋体" w:cs="宋体"/>
          <w:color w:val="auto"/>
          <w:szCs w:val="21"/>
          <w:highlight w:val="none"/>
        </w:rPr>
      </w:pP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年</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月</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日</w:t>
      </w:r>
    </w:p>
    <w:p w14:paraId="5739EFE1">
      <w:pPr>
        <w:widowControl w:val="0"/>
        <w:tabs>
          <w:tab w:val="left" w:pos="2790"/>
        </w:tabs>
        <w:spacing w:line="460" w:lineRule="exact"/>
        <w:ind w:firstLine="2310" w:firstLineChars="1100"/>
        <w:jc w:val="both"/>
        <w:rPr>
          <w:rFonts w:ascii="宋体" w:hAnsi="宋体" w:eastAsia="宋体" w:cs="宋体"/>
          <w:color w:val="auto"/>
          <w:kern w:val="2"/>
          <w:sz w:val="21"/>
          <w:szCs w:val="21"/>
          <w:highlight w:val="none"/>
          <w:lang w:val="en-US" w:eastAsia="zh-CN" w:bidi="ar-SA"/>
        </w:rPr>
      </w:pPr>
    </w:p>
    <w:p w14:paraId="6053A969">
      <w:pPr>
        <w:tabs>
          <w:tab w:val="left" w:pos="2790"/>
        </w:tabs>
        <w:spacing w:line="460" w:lineRule="exact"/>
        <w:rPr>
          <w:rFonts w:ascii="宋体" w:hAnsi="宋体" w:eastAsia="宋体" w:cs="宋体"/>
          <w:color w:val="auto"/>
          <w:szCs w:val="21"/>
          <w:highlight w:val="none"/>
        </w:rPr>
      </w:pPr>
      <w:r>
        <w:rPr>
          <w:rFonts w:hint="eastAsia" w:ascii="宋体" w:hAnsi="宋体" w:eastAsia="宋体" w:cs="宋体"/>
          <w:color w:val="auto"/>
          <w:szCs w:val="21"/>
          <w:highlight w:val="none"/>
        </w:rPr>
        <w:t>承包人：</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 xml:space="preserve"> （盖单位章）</w:t>
      </w:r>
    </w:p>
    <w:p w14:paraId="769F1DE7">
      <w:pPr>
        <w:tabs>
          <w:tab w:val="left" w:pos="2790"/>
        </w:tabs>
        <w:spacing w:line="460" w:lineRule="exact"/>
        <w:rPr>
          <w:rFonts w:ascii="宋体" w:hAnsi="宋体" w:eastAsia="宋体" w:cs="宋体"/>
          <w:color w:val="auto"/>
          <w:szCs w:val="21"/>
          <w:highlight w:val="none"/>
        </w:rPr>
      </w:pPr>
      <w:r>
        <w:rPr>
          <w:rFonts w:hint="eastAsia" w:ascii="宋体" w:hAnsi="宋体" w:eastAsia="宋体" w:cs="宋体"/>
          <w:color w:val="auto"/>
          <w:szCs w:val="21"/>
          <w:highlight w:val="none"/>
        </w:rPr>
        <w:t>法定代表人或其委托代理人：</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（签字）</w:t>
      </w:r>
    </w:p>
    <w:p w14:paraId="7A6E895A">
      <w:pPr>
        <w:tabs>
          <w:tab w:val="left" w:pos="2790"/>
        </w:tabs>
        <w:spacing w:line="460" w:lineRule="exact"/>
        <w:ind w:firstLine="1890" w:firstLineChars="900"/>
        <w:rPr>
          <w:rFonts w:ascii="宋体" w:hAnsi="宋体" w:eastAsia="宋体" w:cs="宋体"/>
          <w:color w:val="auto"/>
          <w:szCs w:val="21"/>
          <w:highlight w:val="none"/>
        </w:rPr>
      </w:pP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年</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月</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日</w:t>
      </w:r>
    </w:p>
    <w:p w14:paraId="373BCF6E">
      <w:pPr>
        <w:widowControl w:val="0"/>
        <w:tabs>
          <w:tab w:val="left" w:pos="2790"/>
        </w:tabs>
        <w:spacing w:line="460" w:lineRule="exact"/>
        <w:ind w:firstLine="2310" w:firstLineChars="1100"/>
        <w:jc w:val="both"/>
        <w:rPr>
          <w:rFonts w:ascii="宋体" w:hAnsi="宋体" w:eastAsia="宋体" w:cs="宋体"/>
          <w:color w:val="auto"/>
          <w:kern w:val="2"/>
          <w:sz w:val="21"/>
          <w:szCs w:val="21"/>
          <w:highlight w:val="none"/>
          <w:lang w:val="en-US" w:eastAsia="zh-CN" w:bidi="ar-SA"/>
        </w:rPr>
      </w:pPr>
    </w:p>
    <w:p w14:paraId="13A036E2">
      <w:pPr>
        <w:keepNext/>
        <w:keepLines/>
        <w:widowControl w:val="0"/>
        <w:spacing w:line="360" w:lineRule="auto"/>
        <w:jc w:val="both"/>
        <w:outlineLvl w:val="3"/>
        <w:rPr>
          <w:rFonts w:ascii="宋体" w:hAnsi="宋体" w:eastAsia="宋体" w:cs="宋体"/>
          <w:b/>
          <w:bCs/>
          <w:color w:val="auto"/>
          <w:kern w:val="2"/>
          <w:sz w:val="28"/>
          <w:szCs w:val="40"/>
          <w:highlight w:val="none"/>
          <w:lang w:val="en-US" w:eastAsia="zh-CN" w:bidi="ar-SA"/>
        </w:rPr>
      </w:pPr>
      <w:r>
        <w:rPr>
          <w:rFonts w:hint="eastAsia" w:ascii="宋体" w:hAnsi="宋体" w:eastAsia="宋体" w:cs="宋体"/>
          <w:b/>
          <w:bCs/>
          <w:color w:val="auto"/>
          <w:kern w:val="2"/>
          <w:sz w:val="21"/>
          <w:szCs w:val="21"/>
          <w:highlight w:val="none"/>
          <w:lang w:val="en-US" w:eastAsia="zh-CN" w:bidi="ar-SA"/>
        </w:rPr>
        <w:br w:type="page"/>
      </w:r>
      <w:bookmarkStart w:id="1048" w:name="_Toc133537035"/>
      <w:bookmarkStart w:id="1049" w:name="_Toc2692974"/>
      <w:bookmarkStart w:id="1050" w:name="_Toc109080688"/>
      <w:bookmarkStart w:id="1051" w:name="_Toc25466"/>
      <w:bookmarkStart w:id="1052" w:name="_Toc7209"/>
      <w:bookmarkStart w:id="1053" w:name="_Toc28250"/>
      <w:r>
        <w:rPr>
          <w:rFonts w:hint="eastAsia" w:ascii="宋体" w:hAnsi="宋体" w:eastAsia="宋体" w:cs="宋体"/>
          <w:b/>
          <w:bCs/>
          <w:color w:val="auto"/>
          <w:kern w:val="2"/>
          <w:sz w:val="28"/>
          <w:szCs w:val="40"/>
          <w:highlight w:val="none"/>
          <w:lang w:val="en-US" w:eastAsia="zh-CN" w:bidi="ar-SA"/>
        </w:rPr>
        <w:t>附件二  廉政合同</w:t>
      </w:r>
      <w:bookmarkEnd w:id="1048"/>
      <w:bookmarkEnd w:id="1049"/>
      <w:bookmarkEnd w:id="1050"/>
      <w:bookmarkEnd w:id="1051"/>
      <w:bookmarkEnd w:id="1052"/>
      <w:bookmarkEnd w:id="1053"/>
    </w:p>
    <w:p w14:paraId="46A86779">
      <w:pPr>
        <w:widowControl w:val="0"/>
        <w:tabs>
          <w:tab w:val="left" w:pos="2790"/>
        </w:tabs>
        <w:spacing w:line="420" w:lineRule="exact"/>
        <w:jc w:val="center"/>
        <w:rPr>
          <w:rFonts w:ascii="宋体" w:hAnsi="宋体" w:eastAsia="宋体" w:cs="宋体"/>
          <w:color w:val="auto"/>
          <w:kern w:val="2"/>
          <w:sz w:val="28"/>
          <w:szCs w:val="28"/>
          <w:highlight w:val="none"/>
          <w:lang w:val="en-US" w:eastAsia="zh-CN" w:bidi="ar-SA"/>
        </w:rPr>
      </w:pPr>
      <w:r>
        <w:rPr>
          <w:rFonts w:hint="eastAsia" w:ascii="宋体" w:hAnsi="宋体" w:eastAsia="宋体" w:cs="宋体"/>
          <w:color w:val="auto"/>
          <w:kern w:val="2"/>
          <w:sz w:val="28"/>
          <w:szCs w:val="28"/>
          <w:highlight w:val="none"/>
          <w:lang w:val="en-US" w:eastAsia="zh-CN" w:bidi="ar-SA"/>
        </w:rPr>
        <w:t>廉政合同</w:t>
      </w:r>
    </w:p>
    <w:p w14:paraId="342E81FD">
      <w:pPr>
        <w:widowControl w:val="0"/>
        <w:tabs>
          <w:tab w:val="left" w:pos="2790"/>
        </w:tabs>
        <w:spacing w:line="420" w:lineRule="exact"/>
        <w:jc w:val="center"/>
        <w:rPr>
          <w:rFonts w:ascii="宋体" w:hAnsi="宋体" w:eastAsia="宋体" w:cs="宋体"/>
          <w:color w:val="auto"/>
          <w:kern w:val="2"/>
          <w:sz w:val="28"/>
          <w:szCs w:val="28"/>
          <w:highlight w:val="none"/>
          <w:lang w:val="en-US" w:eastAsia="zh-CN" w:bidi="ar-SA"/>
        </w:rPr>
      </w:pPr>
    </w:p>
    <w:p w14:paraId="25050B88">
      <w:pPr>
        <w:widowControl w:val="0"/>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根据《关于在交通基础设施建设中加强廉政建设的若干意见》以及有关工程建设、廉政建设的规定，为做好工程建设中的党风廉政建设，保证工程建设高效优质，保证建设资金的安全和有效使用以及投资效益，</w:t>
      </w:r>
      <w:r>
        <w:rPr>
          <w:rFonts w:hint="eastAsia" w:ascii="宋体" w:hAnsi="宋体" w:eastAsia="宋体" w:cs="宋体"/>
          <w:color w:val="auto"/>
          <w:kern w:val="2"/>
          <w:sz w:val="21"/>
          <w:szCs w:val="21"/>
          <w:highlight w:val="none"/>
          <w:u w:val="single"/>
          <w:lang w:val="en-US" w:eastAsia="zh-CN" w:bidi="ar-SA"/>
        </w:rPr>
        <w:t xml:space="preserve">               </w:t>
      </w:r>
      <w:r>
        <w:rPr>
          <w:rFonts w:hint="eastAsia" w:ascii="宋体" w:hAnsi="宋体" w:eastAsia="宋体" w:cs="宋体"/>
          <w:color w:val="auto"/>
          <w:kern w:val="2"/>
          <w:sz w:val="21"/>
          <w:szCs w:val="21"/>
          <w:highlight w:val="none"/>
          <w:lang w:val="en-US" w:eastAsia="zh-CN" w:bidi="ar-SA"/>
        </w:rPr>
        <w:t>（项目名称）的</w:t>
      </w:r>
      <w:r>
        <w:rPr>
          <w:rFonts w:hint="eastAsia" w:ascii="宋体" w:hAnsi="宋体" w:eastAsia="宋体" w:cs="宋体"/>
          <w:color w:val="auto"/>
          <w:kern w:val="2"/>
          <w:sz w:val="21"/>
          <w:szCs w:val="22"/>
          <w:highlight w:val="none"/>
          <w:lang w:val="en-US" w:eastAsia="zh-CN" w:bidi="ar-SA"/>
        </w:rPr>
        <w:t xml:space="preserve"> </w:t>
      </w:r>
      <w:r>
        <w:rPr>
          <w:rFonts w:hint="eastAsia" w:ascii="宋体" w:hAnsi="宋体" w:eastAsia="宋体" w:cs="宋体"/>
          <w:color w:val="auto"/>
          <w:kern w:val="2"/>
          <w:sz w:val="21"/>
          <w:szCs w:val="22"/>
          <w:highlight w:val="none"/>
          <w:u w:val="single"/>
          <w:lang w:val="en-US" w:eastAsia="zh-CN" w:bidi="ar-SA"/>
        </w:rPr>
        <w:t xml:space="preserve">（建设单位（发包人）） </w:t>
      </w:r>
      <w:r>
        <w:rPr>
          <w:rFonts w:hint="eastAsia" w:ascii="宋体" w:hAnsi="宋体" w:eastAsia="宋体" w:cs="宋体"/>
          <w:color w:val="auto"/>
          <w:kern w:val="2"/>
          <w:sz w:val="21"/>
          <w:szCs w:val="22"/>
          <w:highlight w:val="none"/>
          <w:lang w:val="en-US" w:eastAsia="zh-CN" w:bidi="ar-SA"/>
        </w:rPr>
        <w:t>（下称“发包人”）</w:t>
      </w:r>
      <w:r>
        <w:rPr>
          <w:rFonts w:hint="eastAsia" w:ascii="宋体" w:hAnsi="宋体" w:eastAsia="宋体" w:cs="宋体"/>
          <w:color w:val="auto"/>
          <w:kern w:val="2"/>
          <w:sz w:val="21"/>
          <w:szCs w:val="21"/>
          <w:highlight w:val="none"/>
          <w:lang w:val="en-US" w:eastAsia="zh-CN" w:bidi="ar-SA"/>
        </w:rPr>
        <w:t>与该项目</w:t>
      </w:r>
      <w:r>
        <w:rPr>
          <w:rFonts w:hint="eastAsia" w:ascii="宋体" w:hAnsi="宋体" w:eastAsia="宋体" w:cs="宋体"/>
          <w:color w:val="auto"/>
          <w:kern w:val="2"/>
          <w:sz w:val="21"/>
          <w:szCs w:val="21"/>
          <w:highlight w:val="none"/>
          <w:u w:val="single"/>
          <w:lang w:val="en-US" w:eastAsia="zh-CN" w:bidi="ar-SA"/>
        </w:rPr>
        <w:t xml:space="preserve">     </w:t>
      </w:r>
      <w:r>
        <w:rPr>
          <w:rFonts w:hint="eastAsia" w:ascii="宋体" w:hAnsi="宋体" w:eastAsia="宋体" w:cs="宋体"/>
          <w:color w:val="auto"/>
          <w:kern w:val="2"/>
          <w:sz w:val="21"/>
          <w:szCs w:val="21"/>
          <w:highlight w:val="none"/>
          <w:lang w:val="en-US" w:eastAsia="zh-CN" w:bidi="ar-SA"/>
        </w:rPr>
        <w:t>标段的施工单位</w:t>
      </w:r>
      <w:r>
        <w:rPr>
          <w:rFonts w:hint="eastAsia" w:ascii="宋体" w:hAnsi="宋体" w:eastAsia="宋体" w:cs="宋体"/>
          <w:color w:val="auto"/>
          <w:kern w:val="2"/>
          <w:sz w:val="21"/>
          <w:szCs w:val="21"/>
          <w:highlight w:val="none"/>
          <w:u w:val="single"/>
          <w:lang w:val="en-US" w:eastAsia="zh-CN" w:bidi="ar-SA"/>
        </w:rPr>
        <w:t xml:space="preserve">                     </w:t>
      </w:r>
      <w:r>
        <w:rPr>
          <w:rFonts w:hint="eastAsia" w:ascii="宋体" w:hAnsi="宋体" w:eastAsia="宋体" w:cs="宋体"/>
          <w:color w:val="auto"/>
          <w:kern w:val="2"/>
          <w:sz w:val="21"/>
          <w:szCs w:val="21"/>
          <w:highlight w:val="none"/>
          <w:lang w:val="en-US" w:eastAsia="zh-CN" w:bidi="ar-SA"/>
        </w:rPr>
        <w:t xml:space="preserve"> （施工单位名称，以下简称“承包人”），特订立如下合同。</w:t>
      </w:r>
    </w:p>
    <w:p w14:paraId="6F8FB2AA">
      <w:pPr>
        <w:widowControl w:val="0"/>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1.发包人和承包人双方的权利和义务</w:t>
      </w:r>
    </w:p>
    <w:p w14:paraId="06293C73">
      <w:pPr>
        <w:widowControl w:val="0"/>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（1）严格遵守党的政策规定和国家有关法律法规及交通运输部、浙江省交通运输厅的有关规定。</w:t>
      </w:r>
    </w:p>
    <w:p w14:paraId="5B36E265">
      <w:pPr>
        <w:widowControl w:val="0"/>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（2）严格执行</w:t>
      </w:r>
      <w:r>
        <w:rPr>
          <w:rFonts w:hint="eastAsia" w:ascii="宋体" w:hAnsi="宋体" w:eastAsia="宋体" w:cs="宋体"/>
          <w:color w:val="auto"/>
          <w:kern w:val="2"/>
          <w:sz w:val="21"/>
          <w:szCs w:val="21"/>
          <w:highlight w:val="none"/>
          <w:u w:val="single"/>
          <w:lang w:val="en-US" w:eastAsia="zh-CN" w:bidi="ar-SA"/>
        </w:rPr>
        <w:t xml:space="preserve">            </w:t>
      </w:r>
      <w:r>
        <w:rPr>
          <w:rFonts w:hint="eastAsia" w:ascii="宋体" w:hAnsi="宋体" w:eastAsia="宋体" w:cs="宋体"/>
          <w:color w:val="auto"/>
          <w:kern w:val="2"/>
          <w:sz w:val="21"/>
          <w:szCs w:val="21"/>
          <w:highlight w:val="none"/>
          <w:lang w:val="en-US" w:eastAsia="zh-CN" w:bidi="ar-SA"/>
        </w:rPr>
        <w:t>（项目名称）</w:t>
      </w:r>
      <w:r>
        <w:rPr>
          <w:rFonts w:hint="eastAsia" w:ascii="宋体" w:hAnsi="宋体" w:eastAsia="宋体" w:cs="宋体"/>
          <w:color w:val="auto"/>
          <w:kern w:val="2"/>
          <w:sz w:val="21"/>
          <w:szCs w:val="21"/>
          <w:highlight w:val="none"/>
          <w:u w:val="single"/>
          <w:lang w:val="en-US" w:eastAsia="zh-CN" w:bidi="ar-SA"/>
        </w:rPr>
        <w:t xml:space="preserve">     </w:t>
      </w:r>
      <w:r>
        <w:rPr>
          <w:rFonts w:hint="eastAsia" w:ascii="宋体" w:hAnsi="宋体" w:eastAsia="宋体" w:cs="宋体"/>
          <w:color w:val="auto"/>
          <w:kern w:val="2"/>
          <w:sz w:val="21"/>
          <w:szCs w:val="21"/>
          <w:highlight w:val="none"/>
          <w:lang w:val="en-US" w:eastAsia="zh-CN" w:bidi="ar-SA"/>
        </w:rPr>
        <w:t>标段施工合同文件，自觉按合同办事。</w:t>
      </w:r>
    </w:p>
    <w:p w14:paraId="05E67F17">
      <w:pPr>
        <w:widowControl w:val="0"/>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（3）双方的业务活动坚持公开、公正、诚信、透明的原则（法律认定的商业秘密和合同文件另有规定除外），不得损害国家和集体利益，不得违反工程建设管理规章制度。</w:t>
      </w:r>
    </w:p>
    <w:p w14:paraId="03C4CA4F">
      <w:pPr>
        <w:widowControl w:val="0"/>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（4）建立健全廉政制度，开展廉政教育，设立廉政告示牌，公布举报电话，监督并认真查处违法违纪行为。</w:t>
      </w:r>
    </w:p>
    <w:p w14:paraId="618FDC2D">
      <w:pPr>
        <w:widowControl w:val="0"/>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（5）发现对方在业务活动中有违反廉政规定的行为，有及时提醒对方纠正的权利和义务。</w:t>
      </w:r>
    </w:p>
    <w:p w14:paraId="69776896">
      <w:pPr>
        <w:widowControl w:val="0"/>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（6）发现对方严重违反本合同义务条款的行为，有向其上级有关部门举报、建议给予处理并要求告知处理结果的权利。</w:t>
      </w:r>
    </w:p>
    <w:p w14:paraId="2E4701B0">
      <w:pPr>
        <w:widowControl w:val="0"/>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（7）项目建立合同公示制。在合同实施阶段，及时在“阳光监管平台系统”对分包合同等信息进行公示。</w:t>
      </w:r>
    </w:p>
    <w:p w14:paraId="16E51BED">
      <w:pPr>
        <w:widowControl w:val="0"/>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（8）项目建立廉政监督制。廉政分包监督要求，明确监督单位或部门及廉政监督电话。</w:t>
      </w:r>
    </w:p>
    <w:p w14:paraId="6A1CBA51">
      <w:pPr>
        <w:widowControl w:val="0"/>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（9）项目建立信用管理制。廉政、合同履约及分包管理等行为纳入承包人信用评价制度。</w:t>
      </w:r>
    </w:p>
    <w:p w14:paraId="768680FE">
      <w:pPr>
        <w:widowControl w:val="0"/>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2.发包人的义务</w:t>
      </w:r>
    </w:p>
    <w:p w14:paraId="3A9CECCF">
      <w:pPr>
        <w:widowControl w:val="0"/>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（1）发包人及其工作人员不得索要或接受承包人的礼金、有价证券和物品，不得让承包人报销任何应由发包人或发包人工作人员个人支付的费用等。</w:t>
      </w:r>
    </w:p>
    <w:p w14:paraId="68C6DCD3">
      <w:pPr>
        <w:widowControl w:val="0"/>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（2）发包人工作人员不得参加承包人安排的宴请和娱乐活动；不得接受承包人提供的通讯工具、交通工具和办公用品等。</w:t>
      </w:r>
    </w:p>
    <w:p w14:paraId="7623DDB4">
      <w:pPr>
        <w:widowControl w:val="0"/>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（3）发包人及其工作人员不得要求或者接受承包人为其住房装修、婚丧嫁娶活动、配偶子女的工作安排以及出国出境、旅游等提供方便等。</w:t>
      </w:r>
    </w:p>
    <w:p w14:paraId="2267925A">
      <w:pPr>
        <w:widowControl w:val="0"/>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（4）发包人工作人员及其配偶、子女不得从事与发包人工程有关的材料设备供应、工程分包、劳务等经济活动等。</w:t>
      </w:r>
    </w:p>
    <w:p w14:paraId="5AED9B2B">
      <w:pPr>
        <w:widowControl w:val="0"/>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（5）发包人及其工作人员不得以任何理由向承包人推荐分包单位或推销材料，不得要求承包人购买合同规定外的材料和设备。</w:t>
      </w:r>
    </w:p>
    <w:p w14:paraId="2245F87E">
      <w:pPr>
        <w:widowControl w:val="0"/>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（6）发包人工作人员要秉公办事，不准营私舞弊，不准利用职权从事各种个人有偿中介活动和安排个人施工队伍。</w:t>
      </w:r>
    </w:p>
    <w:p w14:paraId="407BCF3E">
      <w:pPr>
        <w:widowControl w:val="0"/>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3.承包人的义务</w:t>
      </w:r>
    </w:p>
    <w:p w14:paraId="32748FBD">
      <w:pPr>
        <w:widowControl w:val="0"/>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（1）承包人不得以任何理由向发包人及其工作人员行贿或馈赠礼金、有价证券、礼品。</w:t>
      </w:r>
    </w:p>
    <w:p w14:paraId="789A3095">
      <w:pPr>
        <w:widowControl w:val="0"/>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（2）承包人不得以任何名义为发包人及其工作人员报销应由发包人单位或个人支付的任何费用。</w:t>
      </w:r>
    </w:p>
    <w:p w14:paraId="6B8D045F">
      <w:pPr>
        <w:widowControl w:val="0"/>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（3）承包人不得以任何理由安排发包人工作人员参加宴请及娱乐活动。</w:t>
      </w:r>
    </w:p>
    <w:p w14:paraId="27F034B9">
      <w:pPr>
        <w:widowControl w:val="0"/>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（4）承包人不得为发包人单位和个人购置或提供通讯工具、交通工具和办公用品等。</w:t>
      </w:r>
    </w:p>
    <w:p w14:paraId="6B93FA46">
      <w:pPr>
        <w:widowControl w:val="0"/>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4.违约责任</w:t>
      </w:r>
    </w:p>
    <w:p w14:paraId="0D8EE9E4">
      <w:pPr>
        <w:widowControl w:val="0"/>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（1）发包人及其工作人员违反本合同第1、2条，按管理权限，依据有关规定给予党纪、政纪或组织处理；涉嫌犯罪的，移交司法机关追究刑事责任；给承包人单位造成经济损失的，应予以赔偿。</w:t>
      </w:r>
    </w:p>
    <w:p w14:paraId="0832C073">
      <w:pPr>
        <w:widowControl w:val="0"/>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2）承包人及其工作人员违反本合同第1、3条，按管理权限，依据有关规定给予党纪、政纪或组织处理；给发包人单位造成经济损失的，应予以赔偿；情节严重的，发包人建议交通主管部门给予承包人一至三年内不得进入其主管的公路建设市场的处罚。</w:t>
      </w:r>
    </w:p>
    <w:p w14:paraId="08D801BD">
      <w:pPr>
        <w:widowControl w:val="0"/>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5.双方约定：本合同由双方或双方上级单位的纪检监察部门负责监督执行。由发包人或发包人上级单位的纪检监察部门约请承包人或承包人上级单位纪检监察部门对本合同执行情况进行检查，提出在本合同规定范围内的裁定意见。</w:t>
      </w:r>
    </w:p>
    <w:p w14:paraId="6167F1FA">
      <w:pPr>
        <w:widowControl w:val="0"/>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6.本合同有效期为发包人和承包人签署之日起至该工程项目竣工验收后止。</w:t>
      </w:r>
    </w:p>
    <w:p w14:paraId="4AB14E87">
      <w:pPr>
        <w:widowControl w:val="0"/>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7.本合同作为</w:t>
      </w:r>
      <w:r>
        <w:rPr>
          <w:rFonts w:hint="eastAsia" w:ascii="宋体" w:hAnsi="宋体" w:eastAsia="宋体" w:cs="宋体"/>
          <w:color w:val="auto"/>
          <w:kern w:val="2"/>
          <w:sz w:val="21"/>
          <w:szCs w:val="21"/>
          <w:highlight w:val="none"/>
          <w:u w:val="single"/>
          <w:lang w:val="en-US" w:eastAsia="zh-CN" w:bidi="ar-SA"/>
        </w:rPr>
        <w:t xml:space="preserve">                     </w:t>
      </w:r>
      <w:r>
        <w:rPr>
          <w:rFonts w:hint="eastAsia" w:ascii="宋体" w:hAnsi="宋体" w:eastAsia="宋体" w:cs="宋体"/>
          <w:color w:val="auto"/>
          <w:kern w:val="2"/>
          <w:sz w:val="21"/>
          <w:szCs w:val="21"/>
          <w:highlight w:val="none"/>
          <w:lang w:val="en-US" w:eastAsia="zh-CN" w:bidi="ar-SA"/>
        </w:rPr>
        <w:t xml:space="preserve"> （项目名称）</w:t>
      </w:r>
      <w:r>
        <w:rPr>
          <w:rFonts w:hint="eastAsia" w:ascii="宋体" w:hAnsi="宋体" w:eastAsia="宋体" w:cs="宋体"/>
          <w:color w:val="auto"/>
          <w:kern w:val="2"/>
          <w:sz w:val="21"/>
          <w:szCs w:val="21"/>
          <w:highlight w:val="none"/>
          <w:u w:val="single"/>
          <w:lang w:val="en-US" w:eastAsia="zh-CN" w:bidi="ar-SA"/>
        </w:rPr>
        <w:t xml:space="preserve">     </w:t>
      </w:r>
      <w:r>
        <w:rPr>
          <w:rFonts w:hint="eastAsia" w:ascii="宋体" w:hAnsi="宋体" w:eastAsia="宋体" w:cs="宋体"/>
          <w:color w:val="auto"/>
          <w:kern w:val="2"/>
          <w:sz w:val="21"/>
          <w:szCs w:val="21"/>
          <w:highlight w:val="none"/>
          <w:lang w:val="en-US" w:eastAsia="zh-CN" w:bidi="ar-SA"/>
        </w:rPr>
        <w:t>标段施工合同的附件，与工程施工合同具有同等的法律效力，经合同双方签署后立即生效。</w:t>
      </w:r>
    </w:p>
    <w:p w14:paraId="4DA9652C">
      <w:pPr>
        <w:widowControl w:val="0"/>
        <w:spacing w:line="40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8. 合同一式八份，由发包人和承包人各执一份，送交发包人和承包人的监督单位各一份。</w:t>
      </w:r>
    </w:p>
    <w:p w14:paraId="0E67A3A4">
      <w:pPr>
        <w:widowControl w:val="0"/>
        <w:spacing w:line="440" w:lineRule="exact"/>
        <w:ind w:firstLine="420" w:firstLineChars="2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 xml:space="preserve"> </w:t>
      </w:r>
    </w:p>
    <w:p w14:paraId="539F69C6">
      <w:pPr>
        <w:widowControl w:val="0"/>
        <w:spacing w:line="440" w:lineRule="exact"/>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发包人：</w:t>
      </w:r>
      <w:r>
        <w:rPr>
          <w:rFonts w:hint="eastAsia" w:ascii="宋体" w:hAnsi="宋体" w:eastAsia="宋体" w:cs="宋体"/>
          <w:color w:val="auto"/>
          <w:kern w:val="2"/>
          <w:sz w:val="21"/>
          <w:szCs w:val="21"/>
          <w:highlight w:val="none"/>
          <w:u w:val="single"/>
          <w:lang w:val="en-US" w:eastAsia="zh-CN" w:bidi="ar-SA"/>
        </w:rPr>
        <w:t xml:space="preserve">                  </w:t>
      </w:r>
      <w:r>
        <w:rPr>
          <w:rFonts w:hint="eastAsia" w:ascii="宋体" w:hAnsi="宋体" w:eastAsia="宋体" w:cs="宋体"/>
          <w:color w:val="auto"/>
          <w:kern w:val="2"/>
          <w:sz w:val="21"/>
          <w:szCs w:val="21"/>
          <w:highlight w:val="none"/>
          <w:lang w:val="en-US" w:eastAsia="zh-CN" w:bidi="ar-SA"/>
        </w:rPr>
        <w:t xml:space="preserve"> （盖单位章）</w:t>
      </w:r>
    </w:p>
    <w:p w14:paraId="496CE8BD">
      <w:pPr>
        <w:widowControl w:val="0"/>
        <w:spacing w:line="440" w:lineRule="exact"/>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法定代表人或其委托代理人：</w:t>
      </w:r>
      <w:r>
        <w:rPr>
          <w:rFonts w:hint="eastAsia" w:ascii="宋体" w:hAnsi="宋体" w:eastAsia="宋体" w:cs="宋体"/>
          <w:color w:val="auto"/>
          <w:kern w:val="2"/>
          <w:sz w:val="21"/>
          <w:szCs w:val="21"/>
          <w:highlight w:val="none"/>
          <w:u w:val="single"/>
          <w:lang w:val="en-US" w:eastAsia="zh-CN" w:bidi="ar-SA"/>
        </w:rPr>
        <w:t xml:space="preserve">     </w:t>
      </w:r>
      <w:r>
        <w:rPr>
          <w:rFonts w:hint="eastAsia" w:ascii="宋体" w:hAnsi="宋体" w:eastAsia="宋体" w:cs="宋体"/>
          <w:color w:val="auto"/>
          <w:kern w:val="2"/>
          <w:sz w:val="21"/>
          <w:szCs w:val="21"/>
          <w:highlight w:val="none"/>
          <w:lang w:val="en-US" w:eastAsia="zh-CN" w:bidi="ar-SA"/>
        </w:rPr>
        <w:t>（签字）</w:t>
      </w:r>
    </w:p>
    <w:p w14:paraId="6AE8EE5A">
      <w:pPr>
        <w:widowControl w:val="0"/>
        <w:spacing w:line="440" w:lineRule="exact"/>
        <w:ind w:firstLine="1890" w:firstLineChars="9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u w:val="single"/>
          <w:lang w:val="en-US" w:eastAsia="zh-CN" w:bidi="ar-SA"/>
        </w:rPr>
        <w:t xml:space="preserve">     </w:t>
      </w:r>
      <w:r>
        <w:rPr>
          <w:rFonts w:hint="eastAsia" w:ascii="宋体" w:hAnsi="宋体" w:eastAsia="宋体" w:cs="宋体"/>
          <w:color w:val="auto"/>
          <w:kern w:val="2"/>
          <w:sz w:val="21"/>
          <w:szCs w:val="21"/>
          <w:highlight w:val="none"/>
          <w:lang w:val="en-US" w:eastAsia="zh-CN" w:bidi="ar-SA"/>
        </w:rPr>
        <w:t>年</w:t>
      </w:r>
      <w:r>
        <w:rPr>
          <w:rFonts w:hint="eastAsia" w:ascii="宋体" w:hAnsi="宋体" w:eastAsia="宋体" w:cs="宋体"/>
          <w:color w:val="auto"/>
          <w:kern w:val="2"/>
          <w:sz w:val="21"/>
          <w:szCs w:val="21"/>
          <w:highlight w:val="none"/>
          <w:u w:val="single"/>
          <w:lang w:val="en-US" w:eastAsia="zh-CN" w:bidi="ar-SA"/>
        </w:rPr>
        <w:t xml:space="preserve">   </w:t>
      </w:r>
      <w:r>
        <w:rPr>
          <w:rFonts w:hint="eastAsia" w:ascii="宋体" w:hAnsi="宋体" w:eastAsia="宋体" w:cs="宋体"/>
          <w:color w:val="auto"/>
          <w:kern w:val="2"/>
          <w:sz w:val="21"/>
          <w:szCs w:val="21"/>
          <w:highlight w:val="none"/>
          <w:lang w:val="en-US" w:eastAsia="zh-CN" w:bidi="ar-SA"/>
        </w:rPr>
        <w:t>月</w:t>
      </w:r>
      <w:r>
        <w:rPr>
          <w:rFonts w:hint="eastAsia" w:ascii="宋体" w:hAnsi="宋体" w:eastAsia="宋体" w:cs="宋体"/>
          <w:color w:val="auto"/>
          <w:kern w:val="2"/>
          <w:sz w:val="21"/>
          <w:szCs w:val="21"/>
          <w:highlight w:val="none"/>
          <w:u w:val="single"/>
          <w:lang w:val="en-US" w:eastAsia="zh-CN" w:bidi="ar-SA"/>
        </w:rPr>
        <w:t xml:space="preserve">    </w:t>
      </w:r>
      <w:r>
        <w:rPr>
          <w:rFonts w:hint="eastAsia" w:ascii="宋体" w:hAnsi="宋体" w:eastAsia="宋体" w:cs="宋体"/>
          <w:color w:val="auto"/>
          <w:kern w:val="2"/>
          <w:sz w:val="21"/>
          <w:szCs w:val="21"/>
          <w:highlight w:val="none"/>
          <w:lang w:val="en-US" w:eastAsia="zh-CN" w:bidi="ar-SA"/>
        </w:rPr>
        <w:t>日</w:t>
      </w:r>
    </w:p>
    <w:p w14:paraId="1F4B652F">
      <w:pPr>
        <w:widowControl w:val="0"/>
        <w:spacing w:line="440" w:lineRule="exact"/>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发包人监督单位：</w:t>
      </w:r>
      <w:r>
        <w:rPr>
          <w:rFonts w:hint="eastAsia" w:ascii="宋体" w:hAnsi="宋体" w:eastAsia="宋体" w:cs="宋体"/>
          <w:color w:val="auto"/>
          <w:kern w:val="2"/>
          <w:sz w:val="21"/>
          <w:szCs w:val="21"/>
          <w:highlight w:val="none"/>
          <w:u w:val="single"/>
          <w:lang w:val="en-US" w:eastAsia="zh-CN" w:bidi="ar-SA"/>
        </w:rPr>
        <w:t>（全称）    （盖单位章）</w:t>
      </w:r>
    </w:p>
    <w:p w14:paraId="6A72D6A4">
      <w:pPr>
        <w:widowControl w:val="0"/>
        <w:spacing w:line="440" w:lineRule="exact"/>
        <w:jc w:val="both"/>
        <w:rPr>
          <w:rFonts w:ascii="宋体" w:hAnsi="宋体" w:eastAsia="宋体" w:cs="宋体"/>
          <w:color w:val="auto"/>
          <w:kern w:val="2"/>
          <w:sz w:val="21"/>
          <w:szCs w:val="21"/>
          <w:highlight w:val="none"/>
          <w:lang w:val="en-US" w:eastAsia="zh-CN" w:bidi="ar-SA"/>
        </w:rPr>
      </w:pPr>
    </w:p>
    <w:p w14:paraId="78C68F47">
      <w:pPr>
        <w:widowControl w:val="0"/>
        <w:spacing w:line="440" w:lineRule="exact"/>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承包人：</w:t>
      </w:r>
      <w:r>
        <w:rPr>
          <w:rFonts w:hint="eastAsia" w:ascii="宋体" w:hAnsi="宋体" w:eastAsia="宋体" w:cs="宋体"/>
          <w:color w:val="auto"/>
          <w:kern w:val="2"/>
          <w:sz w:val="21"/>
          <w:szCs w:val="21"/>
          <w:highlight w:val="none"/>
          <w:u w:val="single"/>
          <w:lang w:val="en-US" w:eastAsia="zh-CN" w:bidi="ar-SA"/>
        </w:rPr>
        <w:t xml:space="preserve">                  </w:t>
      </w:r>
      <w:r>
        <w:rPr>
          <w:rFonts w:hint="eastAsia" w:ascii="宋体" w:hAnsi="宋体" w:eastAsia="宋体" w:cs="宋体"/>
          <w:color w:val="auto"/>
          <w:kern w:val="2"/>
          <w:sz w:val="21"/>
          <w:szCs w:val="21"/>
          <w:highlight w:val="none"/>
          <w:lang w:val="en-US" w:eastAsia="zh-CN" w:bidi="ar-SA"/>
        </w:rPr>
        <w:t xml:space="preserve"> （盖单位章）</w:t>
      </w:r>
    </w:p>
    <w:p w14:paraId="590D7B49">
      <w:pPr>
        <w:widowControl w:val="0"/>
        <w:spacing w:line="440" w:lineRule="exact"/>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法定代表人或其委托代理人：</w:t>
      </w:r>
      <w:r>
        <w:rPr>
          <w:rFonts w:hint="eastAsia" w:ascii="宋体" w:hAnsi="宋体" w:eastAsia="宋体" w:cs="宋体"/>
          <w:color w:val="auto"/>
          <w:kern w:val="2"/>
          <w:sz w:val="21"/>
          <w:szCs w:val="21"/>
          <w:highlight w:val="none"/>
          <w:u w:val="single"/>
          <w:lang w:val="en-US" w:eastAsia="zh-CN" w:bidi="ar-SA"/>
        </w:rPr>
        <w:t xml:space="preserve">     </w:t>
      </w:r>
      <w:r>
        <w:rPr>
          <w:rFonts w:hint="eastAsia" w:ascii="宋体" w:hAnsi="宋体" w:eastAsia="宋体" w:cs="宋体"/>
          <w:color w:val="auto"/>
          <w:kern w:val="2"/>
          <w:sz w:val="21"/>
          <w:szCs w:val="21"/>
          <w:highlight w:val="none"/>
          <w:lang w:val="en-US" w:eastAsia="zh-CN" w:bidi="ar-SA"/>
        </w:rPr>
        <w:t>（签字）</w:t>
      </w:r>
    </w:p>
    <w:p w14:paraId="3D8D1B7F">
      <w:pPr>
        <w:widowControl w:val="0"/>
        <w:spacing w:line="440" w:lineRule="exact"/>
        <w:ind w:firstLine="1890" w:firstLineChars="90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u w:val="single"/>
          <w:lang w:val="en-US" w:eastAsia="zh-CN" w:bidi="ar-SA"/>
        </w:rPr>
        <w:t xml:space="preserve">     </w:t>
      </w:r>
      <w:r>
        <w:rPr>
          <w:rFonts w:hint="eastAsia" w:ascii="宋体" w:hAnsi="宋体" w:eastAsia="宋体" w:cs="宋体"/>
          <w:color w:val="auto"/>
          <w:kern w:val="2"/>
          <w:sz w:val="21"/>
          <w:szCs w:val="21"/>
          <w:highlight w:val="none"/>
          <w:lang w:val="en-US" w:eastAsia="zh-CN" w:bidi="ar-SA"/>
        </w:rPr>
        <w:t>年</w:t>
      </w:r>
      <w:r>
        <w:rPr>
          <w:rFonts w:hint="eastAsia" w:ascii="宋体" w:hAnsi="宋体" w:eastAsia="宋体" w:cs="宋体"/>
          <w:color w:val="auto"/>
          <w:kern w:val="2"/>
          <w:sz w:val="21"/>
          <w:szCs w:val="21"/>
          <w:highlight w:val="none"/>
          <w:u w:val="single"/>
          <w:lang w:val="en-US" w:eastAsia="zh-CN" w:bidi="ar-SA"/>
        </w:rPr>
        <w:t xml:space="preserve">   </w:t>
      </w:r>
      <w:r>
        <w:rPr>
          <w:rFonts w:hint="eastAsia" w:ascii="宋体" w:hAnsi="宋体" w:eastAsia="宋体" w:cs="宋体"/>
          <w:color w:val="auto"/>
          <w:kern w:val="2"/>
          <w:sz w:val="21"/>
          <w:szCs w:val="21"/>
          <w:highlight w:val="none"/>
          <w:lang w:val="en-US" w:eastAsia="zh-CN" w:bidi="ar-SA"/>
        </w:rPr>
        <w:t>月</w:t>
      </w:r>
      <w:r>
        <w:rPr>
          <w:rFonts w:hint="eastAsia" w:ascii="宋体" w:hAnsi="宋体" w:eastAsia="宋体" w:cs="宋体"/>
          <w:color w:val="auto"/>
          <w:kern w:val="2"/>
          <w:sz w:val="21"/>
          <w:szCs w:val="21"/>
          <w:highlight w:val="none"/>
          <w:u w:val="single"/>
          <w:lang w:val="en-US" w:eastAsia="zh-CN" w:bidi="ar-SA"/>
        </w:rPr>
        <w:t xml:space="preserve">    </w:t>
      </w:r>
      <w:r>
        <w:rPr>
          <w:rFonts w:hint="eastAsia" w:ascii="宋体" w:hAnsi="宋体" w:eastAsia="宋体" w:cs="宋体"/>
          <w:color w:val="auto"/>
          <w:kern w:val="2"/>
          <w:sz w:val="21"/>
          <w:szCs w:val="21"/>
          <w:highlight w:val="none"/>
          <w:lang w:val="en-US" w:eastAsia="zh-CN" w:bidi="ar-SA"/>
        </w:rPr>
        <w:t>日</w:t>
      </w:r>
    </w:p>
    <w:p w14:paraId="006880B5">
      <w:pPr>
        <w:widowControl w:val="0"/>
        <w:spacing w:line="440" w:lineRule="exact"/>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承包人监督单位：</w:t>
      </w:r>
      <w:r>
        <w:rPr>
          <w:rFonts w:hint="eastAsia" w:ascii="宋体" w:hAnsi="宋体" w:eastAsia="宋体" w:cs="宋体"/>
          <w:color w:val="auto"/>
          <w:kern w:val="2"/>
          <w:sz w:val="21"/>
          <w:szCs w:val="21"/>
          <w:highlight w:val="none"/>
          <w:u w:val="single"/>
          <w:lang w:val="en-US" w:eastAsia="zh-CN" w:bidi="ar-SA"/>
        </w:rPr>
        <w:t>（全称）    （盖单位章）</w:t>
      </w:r>
    </w:p>
    <w:p w14:paraId="6D10A28F">
      <w:pPr>
        <w:widowControl w:val="0"/>
        <w:tabs>
          <w:tab w:val="left" w:pos="2790"/>
        </w:tabs>
        <w:spacing w:line="440" w:lineRule="exact"/>
        <w:jc w:val="both"/>
        <w:rPr>
          <w:rFonts w:ascii="宋体" w:hAnsi="宋体" w:eastAsia="宋体" w:cs="宋体"/>
          <w:color w:val="auto"/>
          <w:kern w:val="2"/>
          <w:sz w:val="21"/>
          <w:szCs w:val="21"/>
          <w:highlight w:val="none"/>
          <w:lang w:val="en-US" w:eastAsia="zh-CN" w:bidi="ar-SA"/>
        </w:rPr>
      </w:pPr>
    </w:p>
    <w:p w14:paraId="3F167CAC">
      <w:pPr>
        <w:keepNext/>
        <w:keepLines/>
        <w:widowControl w:val="0"/>
        <w:spacing w:line="360" w:lineRule="auto"/>
        <w:jc w:val="both"/>
        <w:outlineLvl w:val="3"/>
        <w:rPr>
          <w:rFonts w:ascii="宋体" w:hAnsi="宋体" w:eastAsia="宋体" w:cs="宋体"/>
          <w:b/>
          <w:bCs/>
          <w:color w:val="auto"/>
          <w:kern w:val="2"/>
          <w:sz w:val="28"/>
          <w:szCs w:val="40"/>
          <w:highlight w:val="none"/>
          <w:lang w:val="en-US" w:eastAsia="zh-CN" w:bidi="ar-SA"/>
        </w:rPr>
      </w:pPr>
      <w:r>
        <w:rPr>
          <w:rFonts w:hint="eastAsia" w:ascii="宋体" w:hAnsi="宋体" w:eastAsia="宋体" w:cs="宋体"/>
          <w:b/>
          <w:bCs/>
          <w:color w:val="auto"/>
          <w:kern w:val="2"/>
          <w:sz w:val="24"/>
          <w:szCs w:val="28"/>
          <w:highlight w:val="none"/>
          <w:lang w:val="en-US" w:eastAsia="zh-CN" w:bidi="ar-SA"/>
        </w:rPr>
        <w:br w:type="page"/>
      </w:r>
      <w:bookmarkStart w:id="1054" w:name="_Toc109080689"/>
      <w:bookmarkStart w:id="1055" w:name="_Toc17810"/>
      <w:bookmarkStart w:id="1056" w:name="_Toc133537036"/>
      <w:bookmarkStart w:id="1057" w:name="_Toc6824"/>
      <w:bookmarkStart w:id="1058" w:name="_Toc15940"/>
      <w:bookmarkStart w:id="1059" w:name="_Toc2692975"/>
      <w:r>
        <w:rPr>
          <w:rFonts w:hint="eastAsia" w:ascii="宋体" w:hAnsi="宋体" w:eastAsia="宋体" w:cs="宋体"/>
          <w:b/>
          <w:bCs/>
          <w:color w:val="auto"/>
          <w:kern w:val="2"/>
          <w:sz w:val="28"/>
          <w:szCs w:val="40"/>
          <w:highlight w:val="none"/>
          <w:lang w:val="en-US" w:eastAsia="zh-CN" w:bidi="ar-SA"/>
        </w:rPr>
        <w:t>附件三  安全生产合同</w:t>
      </w:r>
      <w:bookmarkEnd w:id="1054"/>
      <w:bookmarkEnd w:id="1055"/>
      <w:bookmarkEnd w:id="1056"/>
      <w:bookmarkEnd w:id="1057"/>
      <w:bookmarkEnd w:id="1058"/>
      <w:bookmarkEnd w:id="1059"/>
    </w:p>
    <w:p w14:paraId="52BA9F4D">
      <w:pPr>
        <w:widowControl w:val="0"/>
        <w:tabs>
          <w:tab w:val="left" w:pos="2790"/>
        </w:tabs>
        <w:spacing w:line="420" w:lineRule="exact"/>
        <w:jc w:val="center"/>
        <w:rPr>
          <w:rFonts w:ascii="宋体" w:hAnsi="宋体" w:eastAsia="宋体" w:cs="宋体"/>
          <w:color w:val="auto"/>
          <w:kern w:val="2"/>
          <w:sz w:val="28"/>
          <w:szCs w:val="28"/>
          <w:highlight w:val="none"/>
          <w:lang w:val="en-US" w:eastAsia="zh-CN" w:bidi="ar-SA"/>
        </w:rPr>
      </w:pPr>
      <w:r>
        <w:rPr>
          <w:rFonts w:hint="eastAsia" w:ascii="宋体" w:hAnsi="宋体" w:eastAsia="宋体" w:cs="宋体"/>
          <w:color w:val="auto"/>
          <w:kern w:val="2"/>
          <w:sz w:val="28"/>
          <w:szCs w:val="28"/>
          <w:highlight w:val="none"/>
          <w:lang w:val="en-US" w:eastAsia="zh-CN" w:bidi="ar-SA"/>
        </w:rPr>
        <w:t>安全生产合同</w:t>
      </w:r>
    </w:p>
    <w:p w14:paraId="411E91EE">
      <w:pPr>
        <w:widowControl w:val="0"/>
        <w:tabs>
          <w:tab w:val="left" w:pos="2790"/>
        </w:tabs>
        <w:spacing w:line="240" w:lineRule="exact"/>
        <w:jc w:val="center"/>
        <w:rPr>
          <w:rFonts w:ascii="宋体" w:hAnsi="宋体" w:eastAsia="宋体" w:cs="宋体"/>
          <w:color w:val="auto"/>
          <w:kern w:val="2"/>
          <w:sz w:val="28"/>
          <w:szCs w:val="28"/>
          <w:highlight w:val="none"/>
          <w:lang w:val="en-US" w:eastAsia="zh-CN" w:bidi="ar-SA"/>
        </w:rPr>
      </w:pPr>
    </w:p>
    <w:p w14:paraId="20E7F19B">
      <w:pPr>
        <w:tabs>
          <w:tab w:val="left" w:pos="2790"/>
        </w:tabs>
        <w:spacing w:line="320" w:lineRule="exact"/>
        <w:ind w:firstLine="420" w:firstLineChars="200"/>
        <w:rPr>
          <w:rFonts w:ascii="宋体" w:hAnsi="宋体" w:eastAsia="宋体" w:cs="宋体"/>
          <w:color w:val="auto"/>
          <w:szCs w:val="21"/>
          <w:highlight w:val="none"/>
        </w:rPr>
      </w:pPr>
      <w:r>
        <w:rPr>
          <w:rFonts w:hint="eastAsia" w:ascii="宋体" w:hAnsi="宋体" w:eastAsia="宋体" w:cs="宋体"/>
          <w:color w:val="auto"/>
          <w:szCs w:val="21"/>
          <w:highlight w:val="none"/>
        </w:rPr>
        <w:t>为在</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（项目名称）</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标段施工合同的实施过程中创造安全、高效的施工环境，切实搞好本项目的安全管理工作，本项目发包人</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 xml:space="preserve"> （发包人名称，以下简称“发包人”）与承包人</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 xml:space="preserve"> （承包人名称，以下简称“承包人”）特此签订安全生产合同：</w:t>
      </w:r>
    </w:p>
    <w:p w14:paraId="728E30A8">
      <w:pPr>
        <w:spacing w:line="320" w:lineRule="exact"/>
        <w:ind w:firstLine="200"/>
        <w:rPr>
          <w:rFonts w:ascii="宋体" w:hAnsi="宋体" w:eastAsia="宋体" w:cs="宋体"/>
          <w:color w:val="auto"/>
          <w:szCs w:val="21"/>
          <w:highlight w:val="none"/>
        </w:rPr>
      </w:pPr>
      <w:r>
        <w:rPr>
          <w:rFonts w:hint="eastAsia" w:ascii="宋体" w:hAnsi="宋体" w:eastAsia="宋体" w:cs="宋体"/>
          <w:color w:val="auto"/>
          <w:szCs w:val="21"/>
          <w:highlight w:val="none"/>
        </w:rPr>
        <w:t>1. 发包人职责</w:t>
      </w:r>
    </w:p>
    <w:p w14:paraId="3827535A">
      <w:pPr>
        <w:tabs>
          <w:tab w:val="left" w:pos="2790"/>
        </w:tabs>
        <w:spacing w:line="320" w:lineRule="exact"/>
        <w:ind w:firstLine="420" w:firstLineChars="200"/>
        <w:rPr>
          <w:rFonts w:ascii="宋体" w:hAnsi="宋体" w:eastAsia="宋体" w:cs="宋体"/>
          <w:color w:val="auto"/>
          <w:szCs w:val="21"/>
          <w:highlight w:val="none"/>
        </w:rPr>
      </w:pPr>
      <w:r>
        <w:rPr>
          <w:rFonts w:hint="eastAsia" w:ascii="宋体" w:hAnsi="宋体" w:eastAsia="宋体" w:cs="宋体"/>
          <w:color w:val="auto"/>
          <w:szCs w:val="21"/>
          <w:highlight w:val="none"/>
        </w:rPr>
        <w:t>（1）严格遵守国家有关安全生产的法律法规，认真执行工程承包合同中的有关安全要求。</w:t>
      </w:r>
    </w:p>
    <w:p w14:paraId="4DE460C3">
      <w:pPr>
        <w:tabs>
          <w:tab w:val="left" w:pos="2790"/>
        </w:tabs>
        <w:spacing w:line="320" w:lineRule="exact"/>
        <w:ind w:firstLine="420" w:firstLineChars="200"/>
        <w:rPr>
          <w:rFonts w:ascii="宋体" w:hAnsi="宋体" w:eastAsia="宋体" w:cs="宋体"/>
          <w:color w:val="auto"/>
          <w:szCs w:val="21"/>
          <w:highlight w:val="none"/>
        </w:rPr>
      </w:pPr>
      <w:r>
        <w:rPr>
          <w:rFonts w:hint="eastAsia" w:ascii="宋体" w:hAnsi="宋体" w:eastAsia="宋体" w:cs="宋体"/>
          <w:color w:val="auto"/>
          <w:szCs w:val="21"/>
          <w:highlight w:val="none"/>
        </w:rPr>
        <w:t>（2）安全生产工作应当以人为本，坚持人民至上、生命至上，把保护人民生命安全摆在首位，树牢安全发展理念，坚持安全第一、预防为主、综合治理的方针，从源头上防范化解重大安全风险。做到生产与安全工作同时计划、布置、检查、总结和评比。</w:t>
      </w:r>
    </w:p>
    <w:p w14:paraId="2236EBAB">
      <w:pPr>
        <w:tabs>
          <w:tab w:val="left" w:pos="2790"/>
        </w:tabs>
        <w:spacing w:line="320" w:lineRule="exact"/>
        <w:ind w:firstLine="420" w:firstLineChars="200"/>
        <w:rPr>
          <w:rFonts w:ascii="宋体" w:hAnsi="宋体" w:eastAsia="宋体" w:cs="宋体"/>
          <w:color w:val="auto"/>
          <w:szCs w:val="21"/>
          <w:highlight w:val="none"/>
        </w:rPr>
      </w:pPr>
      <w:r>
        <w:rPr>
          <w:rFonts w:hint="eastAsia" w:ascii="宋体" w:hAnsi="宋体" w:eastAsia="宋体" w:cs="宋体"/>
          <w:color w:val="auto"/>
          <w:szCs w:val="21"/>
          <w:highlight w:val="none"/>
        </w:rPr>
        <w:t>（3）重要的安全设施必须坚持与主体工程“三同时”的原则，即：新建、改建、扩建工程项目的安全设施，必须与主体工程同时设计、同时施工、同时投入生产和使用。安全设施投资应当纳入项目概算。</w:t>
      </w:r>
    </w:p>
    <w:p w14:paraId="40189DA8">
      <w:pPr>
        <w:tabs>
          <w:tab w:val="left" w:pos="2790"/>
        </w:tabs>
        <w:spacing w:line="320" w:lineRule="exact"/>
        <w:ind w:firstLine="420" w:firstLineChars="200"/>
        <w:rPr>
          <w:rFonts w:ascii="宋体" w:hAnsi="宋体" w:eastAsia="宋体" w:cs="宋体"/>
          <w:color w:val="auto"/>
          <w:szCs w:val="21"/>
          <w:highlight w:val="none"/>
        </w:rPr>
      </w:pPr>
      <w:r>
        <w:rPr>
          <w:rFonts w:hint="eastAsia" w:ascii="宋体" w:hAnsi="宋体" w:eastAsia="宋体" w:cs="宋体"/>
          <w:color w:val="auto"/>
          <w:szCs w:val="21"/>
          <w:highlight w:val="none"/>
        </w:rPr>
        <w:t>（4）定期召开安全生产调度会，及时传达中央及地方有关安全生产的精神。</w:t>
      </w:r>
    </w:p>
    <w:p w14:paraId="6F46FEE2">
      <w:pPr>
        <w:tabs>
          <w:tab w:val="left" w:pos="2790"/>
        </w:tabs>
        <w:spacing w:line="320" w:lineRule="exact"/>
        <w:ind w:firstLine="420" w:firstLineChars="200"/>
        <w:rPr>
          <w:rFonts w:ascii="宋体" w:hAnsi="宋体" w:eastAsia="宋体" w:cs="宋体"/>
          <w:color w:val="auto"/>
          <w:szCs w:val="21"/>
          <w:highlight w:val="none"/>
        </w:rPr>
      </w:pPr>
      <w:r>
        <w:rPr>
          <w:rFonts w:hint="eastAsia" w:ascii="宋体" w:hAnsi="宋体" w:eastAsia="宋体" w:cs="宋体"/>
          <w:color w:val="auto"/>
          <w:szCs w:val="21"/>
          <w:highlight w:val="none"/>
        </w:rPr>
        <w:t>（5）发包人对安全生产承担全面管理责任，督促承包人加强安全生产管理，按照规定要求开展施工安全总体风险评估和安全生产条件检查以及日常检查，发现生产安全事故隐患的，及时组织整改。</w:t>
      </w:r>
    </w:p>
    <w:p w14:paraId="7DA8DF3B">
      <w:pPr>
        <w:tabs>
          <w:tab w:val="left" w:pos="2790"/>
        </w:tabs>
        <w:spacing w:line="320" w:lineRule="exact"/>
        <w:ind w:firstLine="420" w:firstLineChars="200"/>
        <w:rPr>
          <w:rFonts w:ascii="宋体" w:hAnsi="宋体" w:eastAsia="宋体" w:cs="宋体"/>
          <w:color w:val="auto"/>
          <w:szCs w:val="21"/>
          <w:highlight w:val="none"/>
        </w:rPr>
      </w:pPr>
      <w:r>
        <w:rPr>
          <w:rFonts w:hint="eastAsia" w:ascii="宋体" w:hAnsi="宋体" w:eastAsia="宋体" w:cs="宋体"/>
          <w:color w:val="auto"/>
          <w:szCs w:val="21"/>
          <w:highlight w:val="none"/>
        </w:rPr>
        <w:t>（6）若项目为PPP建设管理模式的，项目实施机构必须设置安全生产管理机构，配备专职安全生产管理人员，加强对项目公司安全生产管理监督考核。项目公司对项目安全生产负总责，加强安全生产管理，督促承包人做好安全生产工作。</w:t>
      </w:r>
    </w:p>
    <w:p w14:paraId="75CB017B">
      <w:pPr>
        <w:tabs>
          <w:tab w:val="left" w:pos="2790"/>
        </w:tabs>
        <w:spacing w:line="320" w:lineRule="exact"/>
        <w:ind w:firstLine="420" w:firstLineChars="200"/>
        <w:rPr>
          <w:rFonts w:ascii="宋体" w:hAnsi="宋体" w:eastAsia="宋体" w:cs="宋体"/>
          <w:color w:val="auto"/>
          <w:szCs w:val="21"/>
          <w:highlight w:val="none"/>
        </w:rPr>
      </w:pPr>
      <w:r>
        <w:rPr>
          <w:rFonts w:hint="eastAsia" w:ascii="宋体" w:hAnsi="宋体" w:eastAsia="宋体" w:cs="宋体"/>
          <w:color w:val="auto"/>
          <w:szCs w:val="21"/>
          <w:highlight w:val="none"/>
        </w:rPr>
        <w:t>（7）两个以上承包人在同一作业区域内进行施工作业，可能危及对方生产安全的，发包人应当牵头协调承包人签订安全生产管理协议。</w:t>
      </w:r>
    </w:p>
    <w:p w14:paraId="75709218">
      <w:pPr>
        <w:spacing w:line="320" w:lineRule="exact"/>
        <w:ind w:firstLine="200"/>
        <w:rPr>
          <w:rFonts w:ascii="宋体" w:hAnsi="宋体" w:eastAsia="宋体" w:cs="宋体"/>
          <w:color w:val="auto"/>
          <w:szCs w:val="21"/>
          <w:highlight w:val="none"/>
        </w:rPr>
      </w:pPr>
      <w:r>
        <w:rPr>
          <w:rFonts w:hint="eastAsia" w:ascii="宋体" w:hAnsi="宋体" w:eastAsia="宋体" w:cs="宋体"/>
          <w:color w:val="auto"/>
          <w:szCs w:val="21"/>
          <w:highlight w:val="none"/>
        </w:rPr>
        <w:t>2. 承包人职责</w:t>
      </w:r>
    </w:p>
    <w:p w14:paraId="02B7F4AF">
      <w:pPr>
        <w:tabs>
          <w:tab w:val="left" w:pos="2790"/>
        </w:tabs>
        <w:spacing w:line="320" w:lineRule="exact"/>
        <w:ind w:firstLine="420" w:firstLineChars="200"/>
        <w:rPr>
          <w:rFonts w:ascii="宋体" w:hAnsi="宋体" w:eastAsia="宋体" w:cs="宋体"/>
          <w:color w:val="auto"/>
          <w:szCs w:val="21"/>
          <w:highlight w:val="none"/>
        </w:rPr>
      </w:pPr>
      <w:r>
        <w:rPr>
          <w:rFonts w:hint="eastAsia" w:ascii="宋体" w:hAnsi="宋体" w:eastAsia="宋体" w:cs="宋体"/>
          <w:color w:val="auto"/>
          <w:szCs w:val="21"/>
          <w:highlight w:val="none"/>
        </w:rPr>
        <w:t>（1）严格遵守《中华人民共和国安全生产法》、《建设工程安全生产管理条例》等国家有关安全生产的法律法规、《公路水运工程安全生产监督管理办法》、《公路工程施工安全技术规范》、《公路筑养路机械操作规程》和《浙江省交通建设工程质量和安全生产管理条例》等有关安全生产的规定。认真执行工程承包合同中的有关安全要求。</w:t>
      </w:r>
    </w:p>
    <w:p w14:paraId="1C6A0C9A">
      <w:pPr>
        <w:tabs>
          <w:tab w:val="left" w:pos="2790"/>
        </w:tabs>
        <w:spacing w:line="320" w:lineRule="exact"/>
        <w:ind w:firstLine="420" w:firstLineChars="200"/>
        <w:rPr>
          <w:rFonts w:ascii="宋体" w:hAnsi="宋体" w:eastAsia="宋体" w:cs="宋体"/>
          <w:color w:val="auto"/>
          <w:szCs w:val="21"/>
          <w:highlight w:val="none"/>
        </w:rPr>
      </w:pPr>
      <w:r>
        <w:rPr>
          <w:rFonts w:hint="eastAsia" w:ascii="宋体" w:hAnsi="宋体" w:eastAsia="宋体" w:cs="宋体"/>
          <w:color w:val="auto"/>
          <w:szCs w:val="21"/>
          <w:highlight w:val="none"/>
        </w:rPr>
        <w:t>（2）坚持“安全第一、预防为主、综合治理”和“管生产必须管安全”的原则，加强安全生产宣传教育，增强全员安全生产意识，建立健全各项安全生产的管理机构和安全生产管理制度，配备专职及兼职安全检查人员，有组织有领导地开展安全生产活动。各级领导、工程技术人员、生产管理人员和具体操作人员，必须熟悉和遵守本合同的各项规定，做到生产与安全工作同时计划、布置、检查、总结和评比。</w:t>
      </w:r>
    </w:p>
    <w:p w14:paraId="5605F323">
      <w:pPr>
        <w:tabs>
          <w:tab w:val="left" w:pos="2790"/>
        </w:tabs>
        <w:spacing w:line="320" w:lineRule="exact"/>
        <w:ind w:firstLine="420" w:firstLineChars="200"/>
        <w:rPr>
          <w:rFonts w:ascii="宋体" w:hAnsi="宋体" w:eastAsia="宋体" w:cs="宋体"/>
          <w:color w:val="auto"/>
          <w:szCs w:val="21"/>
          <w:highlight w:val="none"/>
        </w:rPr>
      </w:pPr>
      <w:r>
        <w:rPr>
          <w:rFonts w:hint="eastAsia" w:ascii="宋体" w:hAnsi="宋体" w:eastAsia="宋体" w:cs="宋体"/>
          <w:color w:val="auto"/>
          <w:szCs w:val="21"/>
          <w:highlight w:val="none"/>
        </w:rPr>
        <w:t>（3）建立健全安全生产责任制。从派往项目实施的项目经理到生产工人（包括临时雇请的民工）的安全生产管理系统必须做到纵向到底，一环不漏；各职能部门、人员的安全生产责任制做到横向到边，人人有责。项目经理是安全生产的第一责任人。现场设置的安全机构，应按《公路水运工程安全生产监督管理办法》、《浙江省交通建设工程质量和安全生产监督工作实施办法》、《浙江省交通运输厅关于进一步加强全省交通建设工程安全生产管理工作的若干规定》、《省交通运输厅安委办关于印发&lt;浙江省交通建设工程施工安全十条规定&gt;的通知》规定的最低数量和资质条件配备专职安全生产管理人员，专职负责所有员工的安全和治安保卫工作及预防事故的发生。安全机构人员有权按有关规定发布指令，并采取保护性措施防止事故发生。</w:t>
      </w:r>
    </w:p>
    <w:p w14:paraId="7A0016E8">
      <w:pPr>
        <w:tabs>
          <w:tab w:val="left" w:pos="2790"/>
        </w:tabs>
        <w:spacing w:line="320" w:lineRule="exact"/>
        <w:ind w:firstLine="420" w:firstLineChars="200"/>
        <w:rPr>
          <w:rFonts w:ascii="宋体" w:hAnsi="宋体" w:eastAsia="宋体" w:cs="宋体"/>
          <w:color w:val="auto"/>
          <w:szCs w:val="21"/>
          <w:highlight w:val="none"/>
        </w:rPr>
      </w:pPr>
      <w:r>
        <w:rPr>
          <w:rFonts w:hint="eastAsia" w:ascii="宋体" w:hAnsi="宋体" w:eastAsia="宋体" w:cs="宋体"/>
          <w:color w:val="auto"/>
          <w:szCs w:val="21"/>
          <w:highlight w:val="none"/>
        </w:rPr>
        <w:t>（4）承包人在任何时候都应采取各种合理的预防措施，防止其员工发生任何违法、违禁、暴力或妨碍治安的行为。</w:t>
      </w:r>
    </w:p>
    <w:p w14:paraId="0C73BFE2">
      <w:pPr>
        <w:tabs>
          <w:tab w:val="left" w:pos="2790"/>
        </w:tabs>
        <w:spacing w:line="320" w:lineRule="exact"/>
        <w:ind w:firstLine="420" w:firstLineChars="200"/>
        <w:rPr>
          <w:rFonts w:ascii="宋体" w:hAnsi="宋体" w:eastAsia="宋体" w:cs="宋体"/>
          <w:color w:val="auto"/>
          <w:szCs w:val="21"/>
          <w:highlight w:val="none"/>
        </w:rPr>
      </w:pPr>
      <w:r>
        <w:rPr>
          <w:rFonts w:hint="eastAsia" w:ascii="宋体" w:hAnsi="宋体" w:eastAsia="宋体" w:cs="宋体"/>
          <w:color w:val="auto"/>
          <w:szCs w:val="21"/>
          <w:highlight w:val="none"/>
        </w:rPr>
        <w:t>（5）承包人必须按国家有关规定取得安全生产许可证。施工作业人员必须按规定接受安全教育培训，未经安全生产教育和培训合格的施工作业人员，不得上岗作业。电工、焊工、架子工等特种作业人员，以及特种设备作业人员必须按照国家有关规定经专门的安全作业培训，取得相应资格，方可上岗作业。</w:t>
      </w:r>
    </w:p>
    <w:p w14:paraId="64D855D7">
      <w:pPr>
        <w:tabs>
          <w:tab w:val="left" w:pos="2790"/>
        </w:tabs>
        <w:spacing w:line="320" w:lineRule="exact"/>
        <w:ind w:firstLine="420" w:firstLineChars="200"/>
        <w:rPr>
          <w:rFonts w:ascii="宋体" w:hAnsi="宋体" w:eastAsia="宋体" w:cs="宋体"/>
          <w:color w:val="auto"/>
          <w:szCs w:val="21"/>
          <w:highlight w:val="none"/>
        </w:rPr>
      </w:pPr>
      <w:r>
        <w:rPr>
          <w:rFonts w:hint="eastAsia" w:ascii="宋体" w:hAnsi="宋体" w:eastAsia="宋体" w:cs="宋体"/>
          <w:color w:val="auto"/>
          <w:szCs w:val="21"/>
          <w:highlight w:val="none"/>
        </w:rPr>
        <w:t>（6）对于易燃易爆的材料除应专门妥善保管之外，还应配备有足够的消防设施，所有施工人员都应熟悉消防设备的性能和使用方法；承包人不得将任何种类的爆炸物给予、易货或以其他方式转让给任何其他人，或允许、容忍上述同样行为。</w:t>
      </w:r>
    </w:p>
    <w:p w14:paraId="1FE90B15">
      <w:pPr>
        <w:tabs>
          <w:tab w:val="left" w:pos="2790"/>
        </w:tabs>
        <w:spacing w:line="320" w:lineRule="exact"/>
        <w:ind w:firstLine="420" w:firstLineChars="200"/>
        <w:rPr>
          <w:rFonts w:ascii="宋体" w:hAnsi="宋体" w:eastAsia="宋体" w:cs="宋体"/>
          <w:color w:val="auto"/>
          <w:szCs w:val="21"/>
          <w:highlight w:val="none"/>
        </w:rPr>
      </w:pPr>
      <w:r>
        <w:rPr>
          <w:rFonts w:hint="eastAsia" w:ascii="宋体" w:hAnsi="宋体" w:eastAsia="宋体" w:cs="宋体"/>
          <w:color w:val="auto"/>
          <w:szCs w:val="21"/>
          <w:highlight w:val="none"/>
        </w:rPr>
        <w:t>（7）操作人员上岗，必须按规定穿戴防护用品。施工负责人和安全检查员应随时检查劳动防护用品的穿戴情况，不按规定穿戴防护用品的人员不得上岗。</w:t>
      </w:r>
    </w:p>
    <w:p w14:paraId="27E0E353">
      <w:pPr>
        <w:tabs>
          <w:tab w:val="left" w:pos="2790"/>
        </w:tabs>
        <w:spacing w:line="320" w:lineRule="exact"/>
        <w:ind w:firstLine="420" w:firstLineChars="200"/>
        <w:rPr>
          <w:rFonts w:ascii="宋体" w:hAnsi="宋体" w:eastAsia="宋体" w:cs="宋体"/>
          <w:color w:val="auto"/>
          <w:szCs w:val="21"/>
          <w:highlight w:val="none"/>
        </w:rPr>
      </w:pPr>
      <w:r>
        <w:rPr>
          <w:rFonts w:hint="eastAsia" w:ascii="宋体" w:hAnsi="宋体" w:eastAsia="宋体" w:cs="宋体"/>
          <w:color w:val="auto"/>
          <w:szCs w:val="21"/>
          <w:highlight w:val="none"/>
        </w:rPr>
        <w:t>（8）所有施工机具设备和高空作业的设备均应定期检查，并有安全员的签字记录，保证其经常处于完好状态；不合格的机具、设备和劳动保护用品严禁使用。</w:t>
      </w:r>
    </w:p>
    <w:p w14:paraId="278B4362">
      <w:pPr>
        <w:tabs>
          <w:tab w:val="left" w:pos="2790"/>
        </w:tabs>
        <w:spacing w:line="320" w:lineRule="exact"/>
        <w:ind w:firstLine="420" w:firstLineChars="200"/>
        <w:rPr>
          <w:rFonts w:ascii="宋体" w:hAnsi="宋体" w:eastAsia="宋体" w:cs="宋体"/>
          <w:color w:val="auto"/>
          <w:szCs w:val="21"/>
          <w:highlight w:val="none"/>
        </w:rPr>
      </w:pPr>
      <w:r>
        <w:rPr>
          <w:rFonts w:hint="eastAsia" w:ascii="宋体" w:hAnsi="宋体" w:eastAsia="宋体" w:cs="宋体"/>
          <w:color w:val="auto"/>
          <w:szCs w:val="21"/>
          <w:highlight w:val="none"/>
        </w:rPr>
        <w:t>（9）施工中采用新技术、新工艺、新设备、新材料时，必须制定相应的安全技术措施，施工现场必须具有相关的安全标志牌。</w:t>
      </w:r>
    </w:p>
    <w:p w14:paraId="2A6C451F">
      <w:pPr>
        <w:tabs>
          <w:tab w:val="left" w:pos="2790"/>
        </w:tabs>
        <w:spacing w:line="320" w:lineRule="exact"/>
        <w:ind w:firstLine="420" w:firstLineChars="200"/>
        <w:rPr>
          <w:rFonts w:ascii="宋体" w:hAnsi="宋体" w:eastAsia="宋体" w:cs="宋体"/>
          <w:color w:val="auto"/>
          <w:szCs w:val="21"/>
          <w:highlight w:val="none"/>
        </w:rPr>
      </w:pPr>
      <w:r>
        <w:rPr>
          <w:rFonts w:hint="eastAsia" w:ascii="宋体" w:hAnsi="宋体" w:eastAsia="宋体" w:cs="宋体"/>
          <w:color w:val="auto"/>
          <w:szCs w:val="21"/>
          <w:highlight w:val="none"/>
        </w:rPr>
        <w:t>（10）承包人必须按照本工程项目特点，组织制定本工程实施中的生产安全事故应急救援预案；如果发生安全事故，应按照《生产安全事故报告和调查处理条例》、《浙江省生产安全事故报告和调查处理规定》以及其他有关规定，及时上报有关部门，并坚持“四不放过”的原则，严肃处理相关责任人。</w:t>
      </w:r>
    </w:p>
    <w:p w14:paraId="75AE5CD0">
      <w:pPr>
        <w:tabs>
          <w:tab w:val="left" w:pos="2790"/>
        </w:tabs>
        <w:spacing w:line="320" w:lineRule="exact"/>
        <w:ind w:firstLine="420" w:firstLineChars="200"/>
        <w:rPr>
          <w:rFonts w:ascii="宋体" w:hAnsi="宋体" w:eastAsia="宋体" w:cs="宋体"/>
          <w:color w:val="auto"/>
          <w:szCs w:val="21"/>
          <w:highlight w:val="none"/>
        </w:rPr>
      </w:pPr>
      <w:r>
        <w:rPr>
          <w:rFonts w:hint="eastAsia" w:ascii="宋体" w:hAnsi="宋体" w:eastAsia="宋体" w:cs="宋体"/>
          <w:color w:val="auto"/>
          <w:szCs w:val="21"/>
          <w:highlight w:val="none"/>
        </w:rPr>
        <w:t>（11）安全生产费用按照《浙江省交通建设工程安全生产费用管理办法》的相关要求以及相关最新规定使用和管理。</w:t>
      </w:r>
    </w:p>
    <w:p w14:paraId="12AE498E">
      <w:pPr>
        <w:tabs>
          <w:tab w:val="left" w:pos="2790"/>
        </w:tabs>
        <w:spacing w:line="320" w:lineRule="exact"/>
        <w:ind w:firstLine="420" w:firstLineChars="200"/>
        <w:rPr>
          <w:rFonts w:ascii="宋体" w:hAnsi="宋体" w:eastAsia="宋体" w:cs="宋体"/>
          <w:color w:val="auto"/>
          <w:szCs w:val="21"/>
          <w:highlight w:val="none"/>
        </w:rPr>
      </w:pPr>
      <w:r>
        <w:rPr>
          <w:rFonts w:hint="eastAsia" w:ascii="宋体" w:hAnsi="宋体" w:eastAsia="宋体" w:cs="宋体"/>
          <w:color w:val="auto"/>
          <w:szCs w:val="21"/>
          <w:highlight w:val="none"/>
        </w:rPr>
        <w:t>（12）承包人在施工期间应当服从发包人及交通等行业主管部门的监督、检查、指令，并积极做好相关配合工作。</w:t>
      </w:r>
    </w:p>
    <w:p w14:paraId="32680220">
      <w:pPr>
        <w:tabs>
          <w:tab w:val="left" w:pos="2790"/>
        </w:tabs>
        <w:spacing w:line="320" w:lineRule="exact"/>
        <w:ind w:firstLine="420" w:firstLineChars="200"/>
        <w:rPr>
          <w:rFonts w:ascii="宋体" w:hAnsi="宋体" w:eastAsia="宋体" w:cs="宋体"/>
          <w:color w:val="auto"/>
          <w:szCs w:val="21"/>
          <w:highlight w:val="none"/>
        </w:rPr>
      </w:pPr>
      <w:r>
        <w:rPr>
          <w:rFonts w:hint="eastAsia" w:ascii="宋体" w:hAnsi="宋体" w:eastAsia="宋体" w:cs="宋体"/>
          <w:color w:val="auto"/>
          <w:szCs w:val="21"/>
          <w:highlight w:val="none"/>
        </w:rPr>
        <w:t>3.违约责任</w:t>
      </w:r>
    </w:p>
    <w:p w14:paraId="6D638248">
      <w:pPr>
        <w:tabs>
          <w:tab w:val="left" w:pos="2790"/>
        </w:tabs>
        <w:spacing w:line="320" w:lineRule="exact"/>
        <w:ind w:firstLine="420" w:firstLineChars="200"/>
        <w:rPr>
          <w:rFonts w:ascii="宋体" w:hAnsi="宋体" w:eastAsia="宋体" w:cs="宋体"/>
          <w:color w:val="auto"/>
          <w:szCs w:val="21"/>
          <w:highlight w:val="none"/>
        </w:rPr>
      </w:pPr>
      <w:r>
        <w:rPr>
          <w:rFonts w:hint="eastAsia" w:ascii="宋体" w:hAnsi="宋体" w:eastAsia="宋体" w:cs="宋体"/>
          <w:color w:val="auto"/>
          <w:szCs w:val="21"/>
          <w:highlight w:val="none"/>
        </w:rPr>
        <w:t>如因发包人或承包人违约造成安全事故，将依法追究责任。</w:t>
      </w:r>
    </w:p>
    <w:p w14:paraId="26A28428">
      <w:pPr>
        <w:tabs>
          <w:tab w:val="left" w:pos="2790"/>
        </w:tabs>
        <w:spacing w:line="320" w:lineRule="exact"/>
        <w:ind w:firstLine="420" w:firstLineChars="200"/>
        <w:rPr>
          <w:rFonts w:ascii="宋体" w:hAnsi="宋体" w:eastAsia="宋体" w:cs="宋体"/>
          <w:color w:val="auto"/>
          <w:szCs w:val="21"/>
          <w:highlight w:val="none"/>
        </w:rPr>
      </w:pPr>
      <w:r>
        <w:rPr>
          <w:rFonts w:hint="eastAsia" w:ascii="宋体" w:hAnsi="宋体" w:eastAsia="宋体" w:cs="宋体"/>
          <w:color w:val="auto"/>
          <w:szCs w:val="21"/>
          <w:highlight w:val="none"/>
        </w:rPr>
        <w:t>4.本合同由双方法定代表人或其授权的代理人签署并加盖单位章后生效，全部工程竣工验收后失效。</w:t>
      </w:r>
    </w:p>
    <w:p w14:paraId="59A73190">
      <w:pPr>
        <w:tabs>
          <w:tab w:val="left" w:pos="2790"/>
        </w:tabs>
        <w:spacing w:line="320" w:lineRule="exact"/>
        <w:ind w:firstLine="420" w:firstLineChars="200"/>
        <w:rPr>
          <w:rFonts w:ascii="宋体" w:hAnsi="宋体" w:eastAsia="宋体" w:cs="宋体"/>
          <w:color w:val="auto"/>
          <w:szCs w:val="21"/>
          <w:highlight w:val="none"/>
        </w:rPr>
      </w:pPr>
      <w:r>
        <w:rPr>
          <w:rFonts w:hint="eastAsia" w:ascii="宋体" w:hAnsi="宋体" w:eastAsia="宋体" w:cs="宋体"/>
          <w:color w:val="auto"/>
          <w:szCs w:val="21"/>
          <w:highlight w:val="none"/>
        </w:rPr>
        <w:t>5.本合同正本四份、副本</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份，合同双方各执正本一份，副本</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份，当正本与副本的内容不一致时，以正本为准。</w:t>
      </w:r>
    </w:p>
    <w:p w14:paraId="513F37FD">
      <w:pPr>
        <w:tabs>
          <w:tab w:val="left" w:pos="2790"/>
        </w:tabs>
        <w:spacing w:line="420" w:lineRule="exact"/>
        <w:ind w:firstLine="420" w:firstLineChars="200"/>
        <w:rPr>
          <w:rFonts w:ascii="宋体" w:hAnsi="宋体" w:eastAsia="宋体" w:cs="宋体"/>
          <w:color w:val="auto"/>
          <w:szCs w:val="21"/>
          <w:highlight w:val="none"/>
        </w:rPr>
      </w:pPr>
    </w:p>
    <w:p w14:paraId="2FC389A0">
      <w:pPr>
        <w:tabs>
          <w:tab w:val="left" w:pos="2790"/>
        </w:tabs>
        <w:spacing w:line="460" w:lineRule="exact"/>
        <w:rPr>
          <w:rFonts w:ascii="宋体" w:hAnsi="宋体" w:eastAsia="宋体" w:cs="宋体"/>
          <w:color w:val="auto"/>
          <w:szCs w:val="21"/>
          <w:highlight w:val="none"/>
        </w:rPr>
      </w:pPr>
      <w:r>
        <w:rPr>
          <w:rFonts w:hint="eastAsia" w:ascii="宋体" w:hAnsi="宋体" w:eastAsia="宋体" w:cs="宋体"/>
          <w:color w:val="auto"/>
          <w:szCs w:val="21"/>
          <w:highlight w:val="none"/>
        </w:rPr>
        <w:t>发包人：</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 xml:space="preserve"> （盖单位章）</w:t>
      </w:r>
    </w:p>
    <w:p w14:paraId="60B1969C">
      <w:pPr>
        <w:tabs>
          <w:tab w:val="left" w:pos="2790"/>
        </w:tabs>
        <w:spacing w:line="460" w:lineRule="exact"/>
        <w:rPr>
          <w:rFonts w:ascii="宋体" w:hAnsi="宋体" w:eastAsia="宋体" w:cs="宋体"/>
          <w:color w:val="auto"/>
          <w:szCs w:val="21"/>
          <w:highlight w:val="none"/>
        </w:rPr>
      </w:pPr>
      <w:r>
        <w:rPr>
          <w:rFonts w:hint="eastAsia" w:ascii="宋体" w:hAnsi="宋体" w:eastAsia="宋体" w:cs="宋体"/>
          <w:color w:val="auto"/>
          <w:szCs w:val="21"/>
          <w:highlight w:val="none"/>
        </w:rPr>
        <w:t>法定代表人或其委托代理人：</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（签字）</w:t>
      </w:r>
    </w:p>
    <w:p w14:paraId="370C2216">
      <w:pPr>
        <w:tabs>
          <w:tab w:val="left" w:pos="2790"/>
        </w:tabs>
        <w:spacing w:line="460" w:lineRule="exact"/>
        <w:ind w:firstLine="1890" w:firstLineChars="900"/>
        <w:rPr>
          <w:rFonts w:ascii="宋体" w:hAnsi="宋体" w:eastAsia="宋体" w:cs="宋体"/>
          <w:color w:val="auto"/>
          <w:szCs w:val="21"/>
          <w:highlight w:val="none"/>
        </w:rPr>
      </w:pP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年</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月</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日</w:t>
      </w:r>
    </w:p>
    <w:p w14:paraId="4569FDB1">
      <w:pPr>
        <w:widowControl w:val="0"/>
        <w:tabs>
          <w:tab w:val="left" w:pos="2790"/>
        </w:tabs>
        <w:spacing w:line="460" w:lineRule="exact"/>
        <w:ind w:firstLine="2310" w:firstLineChars="1100"/>
        <w:jc w:val="both"/>
        <w:rPr>
          <w:rFonts w:ascii="宋体" w:hAnsi="宋体" w:eastAsia="宋体" w:cs="宋体"/>
          <w:color w:val="auto"/>
          <w:kern w:val="2"/>
          <w:sz w:val="21"/>
          <w:szCs w:val="21"/>
          <w:highlight w:val="none"/>
          <w:lang w:val="en-US" w:eastAsia="zh-CN" w:bidi="ar-SA"/>
        </w:rPr>
      </w:pPr>
    </w:p>
    <w:p w14:paraId="1E67BBD6">
      <w:pPr>
        <w:tabs>
          <w:tab w:val="left" w:pos="2790"/>
        </w:tabs>
        <w:spacing w:line="460" w:lineRule="exact"/>
        <w:rPr>
          <w:rFonts w:ascii="宋体" w:hAnsi="宋体" w:eastAsia="宋体" w:cs="宋体"/>
          <w:color w:val="auto"/>
          <w:szCs w:val="21"/>
          <w:highlight w:val="none"/>
        </w:rPr>
      </w:pPr>
      <w:r>
        <w:rPr>
          <w:rFonts w:hint="eastAsia" w:ascii="宋体" w:hAnsi="宋体" w:eastAsia="宋体" w:cs="宋体"/>
          <w:color w:val="auto"/>
          <w:szCs w:val="21"/>
          <w:highlight w:val="none"/>
        </w:rPr>
        <w:t>承包人：</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 xml:space="preserve"> （盖单位章）</w:t>
      </w:r>
    </w:p>
    <w:p w14:paraId="137B73AF">
      <w:pPr>
        <w:tabs>
          <w:tab w:val="left" w:pos="2790"/>
        </w:tabs>
        <w:spacing w:line="460" w:lineRule="exact"/>
        <w:rPr>
          <w:rFonts w:ascii="宋体" w:hAnsi="宋体" w:eastAsia="宋体" w:cs="宋体"/>
          <w:color w:val="auto"/>
          <w:szCs w:val="21"/>
          <w:highlight w:val="none"/>
        </w:rPr>
      </w:pPr>
      <w:r>
        <w:rPr>
          <w:rFonts w:hint="eastAsia" w:ascii="宋体" w:hAnsi="宋体" w:eastAsia="宋体" w:cs="宋体"/>
          <w:color w:val="auto"/>
          <w:szCs w:val="21"/>
          <w:highlight w:val="none"/>
        </w:rPr>
        <w:t>法定代表人或其委托代理人：</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（签字）</w:t>
      </w:r>
    </w:p>
    <w:p w14:paraId="16CA18B8">
      <w:pPr>
        <w:tabs>
          <w:tab w:val="left" w:pos="2790"/>
        </w:tabs>
        <w:spacing w:line="460" w:lineRule="exact"/>
        <w:ind w:firstLine="1890" w:firstLineChars="900"/>
        <w:rPr>
          <w:rFonts w:ascii="宋体" w:hAnsi="宋体" w:eastAsia="宋体" w:cs="宋体"/>
          <w:color w:val="auto"/>
          <w:szCs w:val="21"/>
          <w:highlight w:val="none"/>
        </w:rPr>
      </w:pP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年</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月</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日</w:t>
      </w:r>
    </w:p>
    <w:p w14:paraId="21B91CEE">
      <w:pPr>
        <w:spacing w:line="440" w:lineRule="exact"/>
        <w:ind w:firstLine="440" w:firstLineChars="200"/>
        <w:rPr>
          <w:rFonts w:hint="eastAsia" w:ascii="宋体" w:hAnsi="宋体" w:cs="宋体"/>
          <w:bCs/>
          <w:sz w:val="22"/>
          <w:szCs w:val="22"/>
        </w:rPr>
      </w:pPr>
    </w:p>
    <w:p w14:paraId="5919D01C">
      <w:pPr>
        <w:spacing w:line="440" w:lineRule="exact"/>
        <w:ind w:firstLine="440" w:firstLineChars="200"/>
        <w:rPr>
          <w:rFonts w:hint="eastAsia" w:ascii="宋体" w:hAnsi="宋体" w:cs="宋体"/>
          <w:bCs/>
          <w:sz w:val="22"/>
          <w:szCs w:val="22"/>
        </w:rPr>
      </w:pPr>
    </w:p>
    <w:p w14:paraId="267B306A">
      <w:pPr>
        <w:rPr>
          <w:rFonts w:ascii="宋体"/>
          <w:b/>
          <w:bCs/>
          <w:sz w:val="32"/>
          <w:szCs w:val="32"/>
          <w:lang w:val="zh-CN"/>
        </w:rPr>
      </w:pPr>
    </w:p>
    <w:p w14:paraId="42601F9D">
      <w:pPr>
        <w:rPr>
          <w:rFonts w:ascii="宋体"/>
          <w:b/>
          <w:bCs/>
          <w:sz w:val="32"/>
          <w:szCs w:val="32"/>
          <w:lang w:val="zh-CN"/>
        </w:rPr>
      </w:pPr>
      <w:r>
        <w:rPr>
          <w:rFonts w:hint="eastAsia" w:ascii="宋体"/>
          <w:b/>
          <w:bCs/>
          <w:sz w:val="32"/>
          <w:szCs w:val="32"/>
          <w:lang w:val="zh-CN"/>
        </w:rPr>
        <w:br w:type="page"/>
      </w:r>
    </w:p>
    <w:p w14:paraId="4EE9D69F">
      <w:pPr>
        <w:autoSpaceDE w:val="0"/>
        <w:autoSpaceDN w:val="0"/>
        <w:adjustRightInd w:val="0"/>
        <w:spacing w:line="360" w:lineRule="exact"/>
        <w:jc w:val="center"/>
        <w:outlineLvl w:val="0"/>
        <w:rPr>
          <w:rFonts w:ascii="宋体"/>
          <w:b/>
          <w:bCs/>
          <w:sz w:val="32"/>
          <w:szCs w:val="32"/>
          <w:lang w:val="zh-CN"/>
        </w:rPr>
      </w:pPr>
      <w:r>
        <w:rPr>
          <w:rFonts w:hint="eastAsia" w:ascii="宋体"/>
          <w:b/>
          <w:bCs/>
          <w:sz w:val="32"/>
          <w:szCs w:val="32"/>
          <w:lang w:val="zh-CN"/>
        </w:rPr>
        <w:t>第</w:t>
      </w:r>
      <w:r>
        <w:rPr>
          <w:rFonts w:hint="eastAsia" w:ascii="宋体"/>
          <w:b/>
          <w:bCs/>
          <w:sz w:val="32"/>
          <w:szCs w:val="32"/>
        </w:rPr>
        <w:t>六</w:t>
      </w:r>
      <w:r>
        <w:rPr>
          <w:rFonts w:hint="eastAsia" w:ascii="宋体"/>
          <w:b/>
          <w:bCs/>
          <w:sz w:val="32"/>
          <w:szCs w:val="32"/>
          <w:lang w:val="zh-CN"/>
        </w:rPr>
        <w:t>部分磋商（响应）文件格式</w:t>
      </w:r>
    </w:p>
    <w:p w14:paraId="05D19A56">
      <w:pPr>
        <w:autoSpaceDE w:val="0"/>
        <w:autoSpaceDN w:val="0"/>
        <w:adjustRightInd w:val="0"/>
        <w:spacing w:line="360" w:lineRule="exact"/>
        <w:rPr>
          <w:rFonts w:ascii="宋体"/>
          <w:sz w:val="36"/>
          <w:lang w:val="zh-CN"/>
        </w:rPr>
      </w:pPr>
    </w:p>
    <w:p w14:paraId="21C70E9F">
      <w:pPr>
        <w:pStyle w:val="22"/>
        <w:outlineLvl w:val="1"/>
        <w:rPr>
          <w:rFonts w:hint="eastAsia" w:ascii="宋体" w:hAnsi="宋体"/>
        </w:rPr>
      </w:pPr>
      <w:bookmarkStart w:id="1060" w:name="_Toc23481"/>
      <w:bookmarkStart w:id="1061" w:name="_Toc44607647"/>
      <w:bookmarkStart w:id="1062" w:name="_Toc509485348"/>
      <w:bookmarkStart w:id="1063" w:name="_Toc493682332"/>
      <w:r>
        <w:rPr>
          <w:rFonts w:hint="eastAsia" w:ascii="宋体" w:hAnsi="宋体"/>
        </w:rPr>
        <w:t>一、资格文件格式</w:t>
      </w:r>
      <w:bookmarkEnd w:id="1060"/>
      <w:bookmarkEnd w:id="1061"/>
    </w:p>
    <w:p w14:paraId="14765FB9">
      <w:pPr>
        <w:pStyle w:val="21"/>
        <w:snapToGrid w:val="0"/>
        <w:spacing w:beforeAutospacing="0" w:afterAutospacing="0"/>
        <w:ind w:firstLine="442"/>
        <w:jc w:val="both"/>
        <w:rPr>
          <w:rFonts w:hint="eastAsia" w:ascii="宋体" w:hAnsi="宋体" w:cs="宋体"/>
          <w:sz w:val="22"/>
          <w:szCs w:val="22"/>
        </w:rPr>
      </w:pPr>
      <w:bookmarkStart w:id="1064" w:name="_Toc44607648"/>
      <w:bookmarkStart w:id="1065" w:name="_Toc4296"/>
      <w:r>
        <w:rPr>
          <w:rFonts w:hint="eastAsia" w:ascii="宋体" w:hAnsi="宋体" w:cs="宋体"/>
          <w:b/>
          <w:bCs/>
          <w:sz w:val="22"/>
          <w:szCs w:val="22"/>
        </w:rPr>
        <w:t>资格文件投标文件</w:t>
      </w:r>
      <w:r>
        <w:rPr>
          <w:rFonts w:hint="eastAsia" w:ascii="宋体" w:hAnsi="宋体" w:cs="宋体"/>
          <w:sz w:val="22"/>
          <w:szCs w:val="22"/>
        </w:rPr>
        <w:t>封面参考：</w:t>
      </w:r>
    </w:p>
    <w:p w14:paraId="4A184C68">
      <w:pPr>
        <w:snapToGrid w:val="0"/>
        <w:spacing w:line="440" w:lineRule="exact"/>
        <w:jc w:val="center"/>
        <w:rPr>
          <w:rFonts w:hint="eastAsia" w:ascii="宋体" w:hAnsi="宋体" w:cs="宋体"/>
          <w:b/>
          <w:sz w:val="32"/>
          <w:szCs w:val="32"/>
        </w:rPr>
      </w:pPr>
    </w:p>
    <w:p w14:paraId="0D67501F">
      <w:pPr>
        <w:snapToGrid w:val="0"/>
        <w:spacing w:line="440" w:lineRule="exact"/>
        <w:jc w:val="center"/>
        <w:rPr>
          <w:rFonts w:hint="eastAsia" w:ascii="宋体" w:hAnsi="宋体" w:cs="宋体"/>
          <w:b/>
          <w:sz w:val="84"/>
          <w:szCs w:val="84"/>
        </w:rPr>
      </w:pPr>
    </w:p>
    <w:p w14:paraId="6B4753DD">
      <w:pPr>
        <w:pStyle w:val="13"/>
        <w:rPr>
          <w:rFonts w:hint="eastAsia" w:ascii="宋体" w:hAnsi="宋体" w:cs="宋体"/>
          <w:b/>
          <w:sz w:val="84"/>
          <w:szCs w:val="84"/>
        </w:rPr>
      </w:pPr>
    </w:p>
    <w:p w14:paraId="74F9576C">
      <w:pPr>
        <w:pStyle w:val="24"/>
      </w:pPr>
    </w:p>
    <w:p w14:paraId="7A68BAD9">
      <w:pPr>
        <w:snapToGrid w:val="0"/>
        <w:spacing w:line="480" w:lineRule="auto"/>
        <w:jc w:val="center"/>
        <w:rPr>
          <w:rFonts w:hint="eastAsia" w:ascii="宋体" w:hAnsi="宋体" w:cs="宋体"/>
          <w:b/>
          <w:sz w:val="84"/>
          <w:szCs w:val="84"/>
        </w:rPr>
      </w:pPr>
      <w:r>
        <w:rPr>
          <w:rFonts w:hint="eastAsia" w:ascii="宋体" w:hAnsi="宋体" w:cs="宋体"/>
          <w:b/>
          <w:sz w:val="84"/>
          <w:szCs w:val="84"/>
        </w:rPr>
        <w:t>资 格 文 件</w:t>
      </w:r>
    </w:p>
    <w:p w14:paraId="267285ED">
      <w:pPr>
        <w:snapToGrid w:val="0"/>
        <w:spacing w:line="480" w:lineRule="auto"/>
        <w:jc w:val="center"/>
        <w:rPr>
          <w:rFonts w:hint="eastAsia" w:ascii="宋体" w:hAnsi="宋体" w:cs="宋体"/>
          <w:b/>
          <w:sz w:val="84"/>
          <w:szCs w:val="84"/>
        </w:rPr>
      </w:pPr>
      <w:r>
        <w:rPr>
          <w:rFonts w:hint="eastAsia" w:ascii="宋体" w:hAnsi="宋体" w:cs="宋体"/>
          <w:b/>
          <w:sz w:val="84"/>
          <w:szCs w:val="84"/>
        </w:rPr>
        <w:t>磋商（响应）文件</w:t>
      </w:r>
    </w:p>
    <w:p w14:paraId="28C92788">
      <w:pPr>
        <w:snapToGrid w:val="0"/>
        <w:spacing w:line="600" w:lineRule="atLeast"/>
        <w:ind w:firstLine="1044" w:firstLineChars="400"/>
        <w:rPr>
          <w:rFonts w:hint="eastAsia" w:ascii="宋体" w:hAnsi="宋体" w:eastAsia="宋体" w:cs="宋体"/>
          <w:b/>
          <w:sz w:val="26"/>
          <w:szCs w:val="26"/>
          <w:lang w:eastAsia="zh-CN"/>
        </w:rPr>
      </w:pPr>
      <w:r>
        <w:rPr>
          <w:rFonts w:hint="eastAsia" w:ascii="宋体" w:hAnsi="宋体" w:cs="宋体"/>
          <w:b/>
          <w:sz w:val="26"/>
          <w:szCs w:val="26"/>
        </w:rPr>
        <w:t>项目名称：</w:t>
      </w:r>
      <w:r>
        <w:rPr>
          <w:rFonts w:hint="eastAsia" w:ascii="宋体" w:hAnsi="宋体" w:cs="宋体"/>
          <w:b/>
          <w:sz w:val="26"/>
          <w:szCs w:val="26"/>
          <w:lang w:eastAsia="zh-CN"/>
        </w:rPr>
        <w:t>时尚体育旅游基础设施提升工程(叶岸山特大桥工程）供配电照明系统(二次)</w:t>
      </w:r>
    </w:p>
    <w:p w14:paraId="63E69147">
      <w:pPr>
        <w:snapToGrid w:val="0"/>
        <w:spacing w:line="600" w:lineRule="atLeast"/>
        <w:ind w:firstLine="1044" w:firstLineChars="400"/>
        <w:rPr>
          <w:rFonts w:hint="eastAsia" w:ascii="宋体" w:hAnsi="宋体" w:eastAsia="宋体" w:cs="宋体"/>
          <w:b/>
          <w:sz w:val="26"/>
          <w:szCs w:val="26"/>
          <w:lang w:eastAsia="zh-CN"/>
        </w:rPr>
      </w:pPr>
      <w:r>
        <w:rPr>
          <w:rFonts w:hint="eastAsia" w:ascii="宋体" w:hAnsi="宋体" w:cs="宋体"/>
          <w:b/>
          <w:sz w:val="26"/>
          <w:szCs w:val="26"/>
        </w:rPr>
        <w:t>项目编号：</w:t>
      </w:r>
      <w:r>
        <w:rPr>
          <w:rFonts w:hint="eastAsia" w:ascii="宋体" w:hAnsi="宋体" w:cs="宋体"/>
          <w:b/>
          <w:sz w:val="26"/>
          <w:szCs w:val="26"/>
          <w:lang w:eastAsia="zh-CN"/>
        </w:rPr>
        <w:t>TSCG202509006</w:t>
      </w:r>
    </w:p>
    <w:p w14:paraId="208A0D9D">
      <w:pPr>
        <w:snapToGrid w:val="0"/>
        <w:spacing w:line="600" w:lineRule="atLeast"/>
        <w:ind w:firstLine="1044" w:firstLineChars="400"/>
        <w:rPr>
          <w:rFonts w:hint="eastAsia" w:ascii="宋体" w:hAnsi="宋体" w:eastAsia="宋体" w:cs="宋体"/>
          <w:b/>
          <w:sz w:val="26"/>
          <w:szCs w:val="26"/>
          <w:lang w:eastAsia="zh-CN"/>
        </w:rPr>
      </w:pPr>
      <w:r>
        <w:rPr>
          <w:rFonts w:hint="eastAsia" w:ascii="宋体" w:hAnsi="宋体" w:cs="宋体"/>
          <w:b/>
          <w:sz w:val="26"/>
          <w:szCs w:val="26"/>
        </w:rPr>
        <w:t>采购单位：</w:t>
      </w:r>
      <w:r>
        <w:rPr>
          <w:rFonts w:hint="eastAsia" w:ascii="宋体" w:hAnsi="宋体" w:cs="宋体"/>
          <w:b/>
          <w:sz w:val="26"/>
          <w:szCs w:val="26"/>
          <w:lang w:eastAsia="zh-CN"/>
        </w:rPr>
        <w:t>泰顺县文旅集团有限公司</w:t>
      </w:r>
    </w:p>
    <w:p w14:paraId="36EB6D03">
      <w:pPr>
        <w:snapToGrid w:val="0"/>
        <w:spacing w:line="600" w:lineRule="atLeast"/>
        <w:ind w:firstLine="1044" w:firstLineChars="400"/>
        <w:rPr>
          <w:rFonts w:hint="eastAsia" w:ascii="宋体" w:hAnsi="宋体" w:cs="宋体"/>
          <w:b/>
          <w:sz w:val="26"/>
          <w:szCs w:val="26"/>
        </w:rPr>
      </w:pPr>
      <w:r>
        <w:rPr>
          <w:rFonts w:hint="eastAsia" w:ascii="宋体" w:hAnsi="宋体" w:cs="宋体"/>
          <w:b/>
          <w:sz w:val="26"/>
          <w:szCs w:val="26"/>
        </w:rPr>
        <w:t xml:space="preserve">供应商名称： </w:t>
      </w:r>
    </w:p>
    <w:p w14:paraId="59BA7B03">
      <w:pPr>
        <w:snapToGrid w:val="0"/>
        <w:spacing w:line="600" w:lineRule="atLeast"/>
        <w:ind w:firstLine="1044" w:firstLineChars="400"/>
        <w:rPr>
          <w:rFonts w:hint="eastAsia" w:ascii="宋体" w:hAnsi="宋体" w:cs="宋体"/>
          <w:b/>
          <w:sz w:val="26"/>
          <w:szCs w:val="26"/>
        </w:rPr>
      </w:pPr>
      <w:r>
        <w:rPr>
          <w:rFonts w:hint="eastAsia" w:ascii="宋体" w:hAnsi="宋体" w:cs="宋体"/>
          <w:b/>
          <w:sz w:val="26"/>
          <w:szCs w:val="26"/>
        </w:rPr>
        <w:t xml:space="preserve">供应商地址： </w:t>
      </w:r>
    </w:p>
    <w:p w14:paraId="3D9E8335">
      <w:pPr>
        <w:snapToGrid w:val="0"/>
        <w:spacing w:line="600" w:lineRule="atLeast"/>
        <w:ind w:firstLine="1044" w:firstLineChars="400"/>
        <w:rPr>
          <w:rFonts w:hint="eastAsia" w:ascii="宋体" w:hAnsi="宋体" w:cs="宋体"/>
          <w:b/>
          <w:sz w:val="26"/>
          <w:szCs w:val="26"/>
        </w:rPr>
      </w:pPr>
      <w:r>
        <w:rPr>
          <w:rFonts w:hint="eastAsia" w:ascii="宋体" w:hAnsi="宋体" w:cs="宋体"/>
          <w:b/>
          <w:sz w:val="26"/>
          <w:szCs w:val="26"/>
        </w:rPr>
        <w:t>法定代表人或授权代表（签字或盖章）：</w:t>
      </w:r>
    </w:p>
    <w:p w14:paraId="667CEB76">
      <w:pPr>
        <w:snapToGrid w:val="0"/>
        <w:spacing w:line="600" w:lineRule="atLeast"/>
        <w:ind w:firstLine="1044" w:firstLineChars="400"/>
        <w:rPr>
          <w:rFonts w:hint="eastAsia" w:ascii="宋体" w:hAnsi="宋体" w:cs="宋体"/>
          <w:b/>
          <w:sz w:val="26"/>
          <w:szCs w:val="26"/>
        </w:rPr>
      </w:pPr>
      <w:r>
        <w:rPr>
          <w:rFonts w:hint="eastAsia" w:ascii="宋体" w:hAnsi="宋体" w:cs="宋体"/>
          <w:b/>
          <w:sz w:val="26"/>
          <w:szCs w:val="26"/>
        </w:rPr>
        <w:t>日期：  年  月  日</w:t>
      </w:r>
    </w:p>
    <w:p w14:paraId="5D58F16A">
      <w:pPr>
        <w:rPr>
          <w:rFonts w:hint="eastAsia" w:ascii="宋体" w:hAnsi="宋体"/>
          <w:sz w:val="28"/>
          <w:szCs w:val="18"/>
          <w:lang w:val="zh-CN"/>
        </w:rPr>
      </w:pPr>
    </w:p>
    <w:p w14:paraId="0FCC5AC9">
      <w:pPr>
        <w:autoSpaceDE w:val="0"/>
        <w:autoSpaceDN w:val="0"/>
        <w:adjustRightInd w:val="0"/>
        <w:spacing w:line="360" w:lineRule="exact"/>
        <w:rPr>
          <w:rFonts w:hint="eastAsia" w:ascii="宋体" w:hAnsi="宋体"/>
          <w:sz w:val="28"/>
          <w:szCs w:val="18"/>
          <w:lang w:val="zh-CN"/>
        </w:rPr>
      </w:pPr>
    </w:p>
    <w:p w14:paraId="11D8BB0F">
      <w:pPr>
        <w:rPr>
          <w:rFonts w:hint="eastAsia" w:ascii="宋体" w:hAnsi="宋体"/>
          <w:sz w:val="28"/>
          <w:szCs w:val="18"/>
          <w:lang w:val="zh-CN"/>
        </w:rPr>
      </w:pPr>
      <w:r>
        <w:rPr>
          <w:rFonts w:hint="eastAsia" w:ascii="宋体" w:hAnsi="宋体"/>
          <w:sz w:val="28"/>
          <w:szCs w:val="18"/>
          <w:lang w:val="zh-CN"/>
        </w:rPr>
        <w:br w:type="page"/>
      </w:r>
    </w:p>
    <w:p w14:paraId="6F78249B">
      <w:pPr>
        <w:pStyle w:val="22"/>
        <w:outlineLvl w:val="2"/>
        <w:rPr>
          <w:rFonts w:hint="eastAsia" w:ascii="宋体" w:hAnsi="宋体"/>
          <w:sz w:val="28"/>
          <w:szCs w:val="18"/>
          <w:lang w:val="zh-CN"/>
        </w:rPr>
      </w:pPr>
      <w:r>
        <w:rPr>
          <w:rFonts w:hint="eastAsia" w:ascii="宋体" w:hAnsi="宋体"/>
          <w:sz w:val="28"/>
          <w:szCs w:val="18"/>
          <w:lang w:val="zh-CN"/>
        </w:rPr>
        <w:t>附件一</w:t>
      </w:r>
      <w:r>
        <w:rPr>
          <w:rFonts w:hint="eastAsia" w:ascii="宋体" w:hAnsi="宋体"/>
          <w:sz w:val="28"/>
          <w:szCs w:val="18"/>
        </w:rPr>
        <w:t xml:space="preserve"> </w:t>
      </w:r>
      <w:r>
        <w:rPr>
          <w:rFonts w:hint="eastAsia" w:ascii="宋体" w:hAnsi="宋体"/>
          <w:sz w:val="28"/>
          <w:szCs w:val="18"/>
          <w:lang w:val="zh-CN"/>
        </w:rPr>
        <w:t>具有履行合同所必需的设备和专业技术能力的承诺函</w:t>
      </w:r>
      <w:bookmarkEnd w:id="1064"/>
      <w:bookmarkEnd w:id="1065"/>
    </w:p>
    <w:p w14:paraId="1A169BEB">
      <w:pPr>
        <w:spacing w:line="460" w:lineRule="exact"/>
        <w:rPr>
          <w:rFonts w:ascii="宋体"/>
          <w:sz w:val="22"/>
          <w:szCs w:val="22"/>
          <w:u w:val="single"/>
        </w:rPr>
      </w:pPr>
    </w:p>
    <w:p w14:paraId="2B8C43F6">
      <w:pPr>
        <w:spacing w:line="460" w:lineRule="exact"/>
        <w:rPr>
          <w:rFonts w:ascii="宋体"/>
          <w:sz w:val="22"/>
          <w:szCs w:val="22"/>
          <w:u w:val="single"/>
        </w:rPr>
      </w:pPr>
      <w:r>
        <w:rPr>
          <w:rFonts w:hint="eastAsia" w:ascii="宋体"/>
          <w:sz w:val="22"/>
          <w:szCs w:val="22"/>
          <w:u w:val="single"/>
          <w:lang w:eastAsia="zh-CN"/>
        </w:rPr>
        <w:t>泰顺县文旅集团有限公司</w:t>
      </w:r>
      <w:r>
        <w:rPr>
          <w:rFonts w:hint="eastAsia" w:ascii="宋体"/>
          <w:sz w:val="22"/>
          <w:szCs w:val="22"/>
          <w:u w:val="single"/>
        </w:rPr>
        <w:t>：</w:t>
      </w:r>
    </w:p>
    <w:p w14:paraId="5A2098D8">
      <w:pPr>
        <w:widowControl/>
        <w:snapToGrid w:val="0"/>
        <w:spacing w:line="460" w:lineRule="exact"/>
        <w:ind w:firstLine="440" w:firstLineChars="200"/>
        <w:jc w:val="left"/>
        <w:rPr>
          <w:rFonts w:ascii="宋体" w:cs="Courier New"/>
          <w:sz w:val="22"/>
          <w:szCs w:val="22"/>
        </w:rPr>
      </w:pPr>
    </w:p>
    <w:p w14:paraId="3644BE8F">
      <w:pPr>
        <w:widowControl/>
        <w:snapToGrid w:val="0"/>
        <w:spacing w:line="460" w:lineRule="exact"/>
        <w:ind w:firstLine="440" w:firstLineChars="200"/>
        <w:jc w:val="left"/>
        <w:rPr>
          <w:rFonts w:ascii="宋体" w:cs="Courier New"/>
          <w:sz w:val="22"/>
          <w:szCs w:val="22"/>
        </w:rPr>
      </w:pPr>
      <w:r>
        <w:rPr>
          <w:rFonts w:hint="eastAsia" w:ascii="宋体" w:cs="Courier New"/>
          <w:sz w:val="22"/>
          <w:szCs w:val="22"/>
        </w:rPr>
        <w:t>我方</w:t>
      </w:r>
      <w:r>
        <w:rPr>
          <w:rFonts w:hint="eastAsia" w:ascii="宋体" w:cs="Courier New"/>
          <w:sz w:val="22"/>
          <w:szCs w:val="22"/>
          <w:u w:val="single"/>
        </w:rPr>
        <w:t xml:space="preserve"> （供应商）</w:t>
      </w:r>
      <w:r>
        <w:rPr>
          <w:rFonts w:hint="eastAsia" w:ascii="宋体" w:cs="Courier New"/>
          <w:sz w:val="22"/>
          <w:szCs w:val="22"/>
        </w:rPr>
        <w:t>承诺具有履行合同所必需的设备和专业技术能力。如有虚假，采购人可取消我方任何资格（投标/中标/签订合同），我方对此无任何异议。</w:t>
      </w:r>
    </w:p>
    <w:p w14:paraId="0F665322">
      <w:pPr>
        <w:widowControl/>
        <w:snapToGrid w:val="0"/>
        <w:spacing w:line="460" w:lineRule="exact"/>
        <w:ind w:firstLine="440" w:firstLineChars="200"/>
        <w:jc w:val="left"/>
        <w:rPr>
          <w:rFonts w:ascii="宋体" w:cs="Courier New"/>
          <w:sz w:val="22"/>
          <w:szCs w:val="22"/>
        </w:rPr>
      </w:pPr>
    </w:p>
    <w:p w14:paraId="1CDE7B22">
      <w:pPr>
        <w:widowControl/>
        <w:snapToGrid w:val="0"/>
        <w:spacing w:line="460" w:lineRule="exact"/>
        <w:ind w:firstLine="440" w:firstLineChars="200"/>
        <w:jc w:val="left"/>
        <w:rPr>
          <w:rFonts w:ascii="宋体" w:cs="Courier New"/>
          <w:sz w:val="22"/>
          <w:szCs w:val="22"/>
        </w:rPr>
      </w:pPr>
      <w:r>
        <w:rPr>
          <w:rFonts w:hint="eastAsia" w:ascii="宋体" w:cs="Courier New"/>
          <w:sz w:val="22"/>
          <w:szCs w:val="22"/>
        </w:rPr>
        <w:t>特此承诺！</w:t>
      </w:r>
    </w:p>
    <w:p w14:paraId="49275DB5">
      <w:pPr>
        <w:widowControl/>
        <w:snapToGrid w:val="0"/>
        <w:spacing w:line="460" w:lineRule="exact"/>
        <w:ind w:firstLine="440" w:firstLineChars="200"/>
        <w:jc w:val="left"/>
        <w:rPr>
          <w:rFonts w:ascii="宋体" w:cs="Courier New"/>
          <w:sz w:val="22"/>
          <w:szCs w:val="22"/>
        </w:rPr>
      </w:pPr>
    </w:p>
    <w:p w14:paraId="5F0795F7">
      <w:pPr>
        <w:widowControl/>
        <w:snapToGrid w:val="0"/>
        <w:spacing w:line="460" w:lineRule="exact"/>
        <w:ind w:firstLine="440" w:firstLineChars="200"/>
        <w:jc w:val="left"/>
        <w:rPr>
          <w:rFonts w:ascii="宋体" w:cs="Courier New"/>
          <w:sz w:val="22"/>
          <w:szCs w:val="22"/>
        </w:rPr>
      </w:pPr>
      <w:r>
        <w:rPr>
          <w:rFonts w:hint="eastAsia" w:ascii="宋体" w:cs="Courier New"/>
          <w:sz w:val="22"/>
          <w:szCs w:val="22"/>
        </w:rPr>
        <w:t>投标供应商（盖章） ：</w:t>
      </w:r>
    </w:p>
    <w:p w14:paraId="7B7C88EA">
      <w:pPr>
        <w:widowControl/>
        <w:snapToGrid w:val="0"/>
        <w:spacing w:line="460" w:lineRule="exact"/>
        <w:ind w:firstLine="440" w:firstLineChars="200"/>
        <w:jc w:val="left"/>
        <w:rPr>
          <w:rFonts w:ascii="宋体" w:cs="Courier New"/>
          <w:sz w:val="22"/>
          <w:szCs w:val="22"/>
        </w:rPr>
      </w:pPr>
      <w:r>
        <w:rPr>
          <w:rFonts w:hint="eastAsia" w:ascii="宋体" w:cs="Courier New"/>
          <w:sz w:val="22"/>
          <w:szCs w:val="22"/>
        </w:rPr>
        <w:t>法定代表人或其授权代表（签字或盖章）：</w:t>
      </w:r>
    </w:p>
    <w:p w14:paraId="6D500738">
      <w:pPr>
        <w:widowControl/>
        <w:snapToGrid w:val="0"/>
        <w:spacing w:line="460" w:lineRule="exact"/>
        <w:ind w:firstLine="440" w:firstLineChars="200"/>
        <w:jc w:val="left"/>
        <w:rPr>
          <w:rFonts w:ascii="宋体" w:cs="Courier New"/>
          <w:sz w:val="22"/>
          <w:szCs w:val="22"/>
        </w:rPr>
      </w:pPr>
      <w:r>
        <w:rPr>
          <w:rFonts w:hint="eastAsia" w:ascii="宋体" w:cs="Courier New"/>
          <w:sz w:val="22"/>
          <w:szCs w:val="22"/>
        </w:rPr>
        <w:t>日期：</w:t>
      </w:r>
    </w:p>
    <w:p w14:paraId="3DC988B9">
      <w:pPr>
        <w:widowControl/>
        <w:snapToGrid w:val="0"/>
        <w:spacing w:line="460" w:lineRule="exact"/>
        <w:ind w:firstLine="440" w:firstLineChars="200"/>
        <w:jc w:val="left"/>
        <w:rPr>
          <w:rFonts w:ascii="宋体" w:cs="Courier New"/>
          <w:sz w:val="22"/>
          <w:szCs w:val="22"/>
        </w:rPr>
      </w:pPr>
    </w:p>
    <w:p w14:paraId="4C065255">
      <w:pPr>
        <w:pStyle w:val="22"/>
        <w:outlineLvl w:val="2"/>
        <w:rPr>
          <w:rFonts w:hint="eastAsia" w:ascii="宋体" w:hAnsi="宋体"/>
          <w:sz w:val="28"/>
          <w:szCs w:val="18"/>
          <w:lang w:val="zh-CN"/>
        </w:rPr>
      </w:pPr>
      <w:r>
        <w:rPr>
          <w:rFonts w:ascii="宋体" w:hAnsi="宋体"/>
          <w:b w:val="0"/>
          <w:sz w:val="36"/>
        </w:rPr>
        <w:br w:type="page"/>
      </w:r>
      <w:bookmarkStart w:id="1066" w:name="_Toc30615"/>
      <w:bookmarkStart w:id="1067" w:name="_Toc44607649"/>
      <w:r>
        <w:rPr>
          <w:rFonts w:hint="eastAsia" w:ascii="宋体" w:hAnsi="宋体"/>
          <w:sz w:val="28"/>
          <w:szCs w:val="18"/>
          <w:lang w:val="zh-CN"/>
        </w:rPr>
        <w:t>附件二 依法缴纳税收和社会保障资金的承诺函</w:t>
      </w:r>
      <w:bookmarkEnd w:id="1066"/>
      <w:bookmarkEnd w:id="1067"/>
    </w:p>
    <w:p w14:paraId="3EB50E09">
      <w:pPr>
        <w:spacing w:line="460" w:lineRule="exact"/>
        <w:rPr>
          <w:rFonts w:ascii="宋体"/>
          <w:sz w:val="22"/>
          <w:szCs w:val="22"/>
          <w:u w:val="single"/>
        </w:rPr>
      </w:pPr>
      <w:r>
        <w:rPr>
          <w:rFonts w:hint="eastAsia" w:ascii="宋体"/>
          <w:sz w:val="22"/>
          <w:szCs w:val="22"/>
          <w:u w:val="single"/>
          <w:lang w:eastAsia="zh-CN"/>
        </w:rPr>
        <w:t>泰顺县文旅集团有限公司</w:t>
      </w:r>
      <w:r>
        <w:rPr>
          <w:rFonts w:hint="eastAsia" w:ascii="宋体"/>
          <w:sz w:val="22"/>
          <w:szCs w:val="22"/>
          <w:u w:val="single"/>
        </w:rPr>
        <w:t>：</w:t>
      </w:r>
    </w:p>
    <w:p w14:paraId="6100EA3E">
      <w:pPr>
        <w:spacing w:line="460" w:lineRule="exact"/>
        <w:ind w:firstLine="440" w:firstLineChars="200"/>
        <w:rPr>
          <w:rFonts w:ascii="宋体"/>
          <w:sz w:val="22"/>
          <w:szCs w:val="22"/>
        </w:rPr>
      </w:pPr>
    </w:p>
    <w:p w14:paraId="47262649">
      <w:pPr>
        <w:spacing w:line="460" w:lineRule="exact"/>
        <w:ind w:firstLine="440" w:firstLineChars="200"/>
        <w:rPr>
          <w:rFonts w:ascii="宋体"/>
          <w:sz w:val="22"/>
          <w:szCs w:val="22"/>
        </w:rPr>
      </w:pPr>
      <w:r>
        <w:rPr>
          <w:rFonts w:hint="eastAsia" w:ascii="宋体"/>
          <w:sz w:val="22"/>
          <w:szCs w:val="22"/>
        </w:rPr>
        <w:t>我公司郑重声明，我公司严格依法缴纳税收和社会保障资金，本文件中所提供的相关材料均真实有效，不存在虚假、造假行为。如有违反，愿承担一切责任。</w:t>
      </w:r>
    </w:p>
    <w:p w14:paraId="1C66ACF8">
      <w:pPr>
        <w:spacing w:line="460" w:lineRule="exact"/>
        <w:ind w:firstLine="440" w:firstLineChars="200"/>
        <w:rPr>
          <w:rFonts w:ascii="宋体"/>
          <w:sz w:val="22"/>
          <w:szCs w:val="22"/>
        </w:rPr>
      </w:pPr>
    </w:p>
    <w:p w14:paraId="489BCA26">
      <w:pPr>
        <w:spacing w:line="460" w:lineRule="exact"/>
        <w:ind w:firstLine="440" w:firstLineChars="200"/>
        <w:rPr>
          <w:rFonts w:ascii="宋体"/>
          <w:sz w:val="22"/>
          <w:szCs w:val="22"/>
        </w:rPr>
      </w:pPr>
      <w:r>
        <w:rPr>
          <w:rFonts w:hint="eastAsia" w:ascii="宋体"/>
          <w:sz w:val="22"/>
          <w:szCs w:val="22"/>
        </w:rPr>
        <w:t>特此承诺！</w:t>
      </w:r>
    </w:p>
    <w:p w14:paraId="196ABDB1">
      <w:pPr>
        <w:widowControl/>
        <w:snapToGrid w:val="0"/>
        <w:spacing w:line="460" w:lineRule="exact"/>
        <w:ind w:firstLine="440" w:firstLineChars="200"/>
        <w:jc w:val="left"/>
        <w:rPr>
          <w:rFonts w:ascii="宋体" w:cs="Courier New"/>
          <w:sz w:val="22"/>
          <w:szCs w:val="22"/>
        </w:rPr>
      </w:pPr>
    </w:p>
    <w:p w14:paraId="2B83A354">
      <w:pPr>
        <w:widowControl/>
        <w:snapToGrid w:val="0"/>
        <w:spacing w:line="460" w:lineRule="exact"/>
        <w:ind w:firstLine="440" w:firstLineChars="200"/>
        <w:jc w:val="left"/>
        <w:rPr>
          <w:rFonts w:ascii="宋体" w:cs="Courier New"/>
          <w:sz w:val="22"/>
          <w:szCs w:val="22"/>
        </w:rPr>
      </w:pPr>
      <w:r>
        <w:rPr>
          <w:rFonts w:hint="eastAsia" w:ascii="宋体" w:cs="Courier New"/>
          <w:sz w:val="22"/>
          <w:szCs w:val="22"/>
        </w:rPr>
        <w:t>投标供应商（盖章） ：</w:t>
      </w:r>
    </w:p>
    <w:p w14:paraId="578B4E2D">
      <w:pPr>
        <w:widowControl/>
        <w:snapToGrid w:val="0"/>
        <w:spacing w:line="460" w:lineRule="exact"/>
        <w:ind w:firstLine="440" w:firstLineChars="200"/>
        <w:jc w:val="left"/>
        <w:rPr>
          <w:rFonts w:ascii="宋体" w:cs="Courier New"/>
          <w:sz w:val="22"/>
          <w:szCs w:val="22"/>
        </w:rPr>
      </w:pPr>
      <w:r>
        <w:rPr>
          <w:rFonts w:hint="eastAsia" w:ascii="宋体" w:cs="Courier New"/>
          <w:sz w:val="22"/>
          <w:szCs w:val="22"/>
        </w:rPr>
        <w:t>法定代表人或其授权代表（签字或盖章）：</w:t>
      </w:r>
    </w:p>
    <w:p w14:paraId="3253F1E8">
      <w:pPr>
        <w:widowControl/>
        <w:snapToGrid w:val="0"/>
        <w:spacing w:line="460" w:lineRule="exact"/>
        <w:ind w:firstLine="440" w:firstLineChars="200"/>
        <w:jc w:val="left"/>
        <w:rPr>
          <w:rFonts w:ascii="宋体" w:cs="Courier New"/>
          <w:sz w:val="22"/>
          <w:szCs w:val="22"/>
        </w:rPr>
      </w:pPr>
      <w:r>
        <w:rPr>
          <w:rFonts w:hint="eastAsia" w:ascii="宋体" w:cs="Courier New"/>
          <w:sz w:val="22"/>
          <w:szCs w:val="22"/>
        </w:rPr>
        <w:t xml:space="preserve">日期： </w:t>
      </w:r>
    </w:p>
    <w:p w14:paraId="4A4D05F9">
      <w:pPr>
        <w:widowControl/>
        <w:snapToGrid w:val="0"/>
        <w:spacing w:line="460" w:lineRule="exact"/>
        <w:ind w:firstLine="440" w:firstLineChars="200"/>
        <w:jc w:val="left"/>
        <w:rPr>
          <w:rFonts w:ascii="宋体" w:cs="Courier New"/>
          <w:sz w:val="22"/>
          <w:szCs w:val="22"/>
        </w:rPr>
      </w:pPr>
    </w:p>
    <w:p w14:paraId="2AB3144D">
      <w:pPr>
        <w:pStyle w:val="22"/>
        <w:outlineLvl w:val="2"/>
        <w:rPr>
          <w:rFonts w:hint="eastAsia" w:ascii="宋体" w:hAnsi="宋体"/>
          <w:sz w:val="28"/>
          <w:szCs w:val="18"/>
          <w:lang w:val="zh-CN"/>
        </w:rPr>
      </w:pPr>
      <w:bookmarkStart w:id="1068" w:name="_Toc11360"/>
      <w:bookmarkStart w:id="1069" w:name="_Toc28957"/>
      <w:bookmarkStart w:id="1070" w:name="_Toc6606"/>
      <w:bookmarkStart w:id="1071" w:name="_Toc33194406"/>
      <w:bookmarkStart w:id="1072" w:name="_Toc31784"/>
      <w:bookmarkStart w:id="1073" w:name="_Toc13669"/>
      <w:bookmarkStart w:id="1074" w:name="_Toc27119255"/>
      <w:bookmarkStart w:id="1075" w:name="_Toc31544"/>
      <w:bookmarkStart w:id="1076" w:name="_Toc10630"/>
      <w:bookmarkStart w:id="1077" w:name="_Toc14589"/>
      <w:bookmarkStart w:id="1078" w:name="_Toc14988"/>
      <w:bookmarkStart w:id="1079" w:name="_Toc18304"/>
      <w:r>
        <w:rPr>
          <w:rFonts w:ascii="宋体" w:hAnsi="宋体"/>
          <w:b w:val="0"/>
          <w:sz w:val="30"/>
          <w:lang w:val="zh-CN"/>
        </w:rPr>
        <w:br w:type="page"/>
      </w:r>
      <w:bookmarkStart w:id="1080" w:name="_Toc16491"/>
      <w:bookmarkStart w:id="1081" w:name="_Toc44607650"/>
      <w:r>
        <w:rPr>
          <w:rFonts w:hint="eastAsia" w:ascii="宋体" w:hAnsi="宋体"/>
          <w:sz w:val="28"/>
          <w:szCs w:val="18"/>
          <w:lang w:val="zh-CN"/>
        </w:rPr>
        <w:t>附件三 参加</w:t>
      </w:r>
      <w:r>
        <w:rPr>
          <w:rFonts w:hint="eastAsia" w:ascii="宋体" w:hAnsi="宋体"/>
          <w:sz w:val="28"/>
          <w:szCs w:val="18"/>
        </w:rPr>
        <w:t>国企</w:t>
      </w:r>
      <w:r>
        <w:rPr>
          <w:rFonts w:hint="eastAsia" w:ascii="宋体" w:hAnsi="宋体"/>
          <w:sz w:val="28"/>
          <w:szCs w:val="18"/>
          <w:lang w:val="zh-CN"/>
        </w:rPr>
        <w:t>采购活动前3年内在经营活动中没有重大违法记录的声明函</w:t>
      </w:r>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p>
    <w:p w14:paraId="259CE627">
      <w:pPr>
        <w:spacing w:line="460" w:lineRule="exact"/>
        <w:jc w:val="left"/>
        <w:rPr>
          <w:rFonts w:ascii="宋体"/>
          <w:sz w:val="22"/>
          <w:szCs w:val="22"/>
          <w:u w:val="single"/>
        </w:rPr>
      </w:pPr>
      <w:r>
        <w:rPr>
          <w:rFonts w:hint="eastAsia" w:ascii="宋体"/>
          <w:sz w:val="22"/>
          <w:szCs w:val="22"/>
          <w:u w:val="single"/>
          <w:lang w:eastAsia="zh-CN"/>
        </w:rPr>
        <w:t>泰顺县文旅集团有限公司</w:t>
      </w:r>
      <w:r>
        <w:rPr>
          <w:rFonts w:hint="eastAsia" w:ascii="宋体"/>
          <w:sz w:val="22"/>
          <w:szCs w:val="22"/>
          <w:u w:val="single"/>
        </w:rPr>
        <w:t>：</w:t>
      </w:r>
    </w:p>
    <w:p w14:paraId="3FE1CECC">
      <w:pPr>
        <w:widowControl/>
        <w:snapToGrid w:val="0"/>
        <w:spacing w:line="460" w:lineRule="exact"/>
        <w:ind w:firstLine="440" w:firstLineChars="200"/>
        <w:jc w:val="left"/>
        <w:rPr>
          <w:rFonts w:ascii="宋体" w:cs="Courier New"/>
          <w:sz w:val="22"/>
          <w:szCs w:val="22"/>
        </w:rPr>
      </w:pPr>
      <w:r>
        <w:rPr>
          <w:rFonts w:hint="eastAsia" w:ascii="宋体" w:cs="Courier New"/>
          <w:sz w:val="22"/>
          <w:szCs w:val="22"/>
        </w:rPr>
        <w:t>我方</w:t>
      </w:r>
      <w:r>
        <w:rPr>
          <w:rFonts w:hint="eastAsia" w:ascii="宋体" w:cs="Courier New"/>
          <w:b/>
          <w:bCs/>
          <w:sz w:val="22"/>
          <w:szCs w:val="22"/>
          <w:u w:val="single"/>
        </w:rPr>
        <w:t xml:space="preserve">（供应商） </w:t>
      </w:r>
      <w:r>
        <w:rPr>
          <w:rFonts w:hint="eastAsia" w:ascii="宋体" w:cs="Courier New"/>
          <w:sz w:val="22"/>
          <w:szCs w:val="22"/>
        </w:rPr>
        <w:t>具有良好的商业信誉，依法缴纳税收和社会保障资金，未被列入失信被执行人名单、重大税收违法案件当事人名单、国企采购严重违法失信行为记录名单，参加本次国企采购活动前3年内在经营活动中没有重大违法记录（没有因违法经营受到刑事处罚，没有被责令停产停业、被吊销许可证或者执照、被处以较大数额罚款等行政处罚，没有因违法经营被禁止参加国企采购活动的期限未满情形）。如有虚假，采购人可取消我方任何资格（投标/中标/签订合同），我方对此无任何异议。</w:t>
      </w:r>
    </w:p>
    <w:p w14:paraId="2655180D">
      <w:pPr>
        <w:widowControl/>
        <w:snapToGrid w:val="0"/>
        <w:spacing w:line="460" w:lineRule="exact"/>
        <w:ind w:firstLine="440" w:firstLineChars="200"/>
        <w:jc w:val="left"/>
        <w:rPr>
          <w:rFonts w:ascii="宋体" w:cs="Courier New"/>
          <w:sz w:val="22"/>
          <w:szCs w:val="22"/>
        </w:rPr>
      </w:pPr>
    </w:p>
    <w:p w14:paraId="64AE4DC2">
      <w:pPr>
        <w:widowControl/>
        <w:snapToGrid w:val="0"/>
        <w:spacing w:line="460" w:lineRule="exact"/>
        <w:ind w:firstLine="440" w:firstLineChars="200"/>
        <w:jc w:val="left"/>
        <w:rPr>
          <w:rFonts w:ascii="宋体" w:cs="Courier New"/>
          <w:sz w:val="22"/>
          <w:szCs w:val="22"/>
        </w:rPr>
      </w:pPr>
      <w:r>
        <w:rPr>
          <w:rFonts w:hint="eastAsia" w:ascii="宋体" w:cs="Courier New"/>
          <w:sz w:val="22"/>
          <w:szCs w:val="22"/>
        </w:rPr>
        <w:t>特此承诺！</w:t>
      </w:r>
    </w:p>
    <w:p w14:paraId="21ECDD00">
      <w:pPr>
        <w:widowControl/>
        <w:snapToGrid w:val="0"/>
        <w:spacing w:line="460" w:lineRule="exact"/>
        <w:ind w:firstLine="440" w:firstLineChars="200"/>
        <w:jc w:val="left"/>
        <w:rPr>
          <w:rFonts w:ascii="宋体" w:cs="Courier New"/>
          <w:sz w:val="22"/>
          <w:szCs w:val="22"/>
        </w:rPr>
      </w:pPr>
    </w:p>
    <w:p w14:paraId="6611B14E">
      <w:pPr>
        <w:widowControl/>
        <w:snapToGrid w:val="0"/>
        <w:spacing w:line="460" w:lineRule="exact"/>
        <w:ind w:firstLine="440" w:firstLineChars="200"/>
        <w:jc w:val="left"/>
        <w:rPr>
          <w:rFonts w:ascii="宋体" w:cs="Courier New"/>
          <w:sz w:val="22"/>
          <w:szCs w:val="22"/>
        </w:rPr>
      </w:pPr>
      <w:r>
        <w:rPr>
          <w:rFonts w:hint="eastAsia" w:ascii="宋体" w:cs="Courier New"/>
          <w:sz w:val="22"/>
          <w:szCs w:val="22"/>
        </w:rPr>
        <w:t>投标供应商（盖章） ：</w:t>
      </w:r>
    </w:p>
    <w:p w14:paraId="4EF1B42B">
      <w:pPr>
        <w:widowControl/>
        <w:snapToGrid w:val="0"/>
        <w:spacing w:line="460" w:lineRule="exact"/>
        <w:ind w:firstLine="440" w:firstLineChars="200"/>
        <w:jc w:val="left"/>
        <w:rPr>
          <w:rFonts w:ascii="宋体" w:cs="Courier New"/>
          <w:sz w:val="22"/>
          <w:szCs w:val="22"/>
        </w:rPr>
      </w:pPr>
      <w:r>
        <w:rPr>
          <w:rFonts w:hint="eastAsia" w:ascii="宋体" w:cs="Courier New"/>
          <w:sz w:val="22"/>
          <w:szCs w:val="22"/>
        </w:rPr>
        <w:t>法定代表人或其授权代表（签字或盖章）：</w:t>
      </w:r>
    </w:p>
    <w:p w14:paraId="5E1C6828">
      <w:pPr>
        <w:widowControl/>
        <w:snapToGrid w:val="0"/>
        <w:spacing w:line="460" w:lineRule="exact"/>
        <w:ind w:firstLine="440" w:firstLineChars="200"/>
        <w:jc w:val="left"/>
        <w:rPr>
          <w:rFonts w:ascii="宋体" w:cs="Courier New"/>
          <w:sz w:val="22"/>
          <w:szCs w:val="22"/>
        </w:rPr>
      </w:pPr>
      <w:r>
        <w:rPr>
          <w:rFonts w:hint="eastAsia" w:ascii="宋体" w:cs="Courier New"/>
          <w:sz w:val="22"/>
          <w:szCs w:val="22"/>
        </w:rPr>
        <w:t xml:space="preserve">日期：  </w:t>
      </w:r>
    </w:p>
    <w:p w14:paraId="2E8C1914">
      <w:pPr>
        <w:widowControl/>
        <w:snapToGrid w:val="0"/>
        <w:spacing w:line="460" w:lineRule="exact"/>
        <w:ind w:firstLine="440" w:firstLineChars="200"/>
        <w:jc w:val="left"/>
        <w:rPr>
          <w:rFonts w:ascii="宋体" w:cs="Courier New"/>
          <w:sz w:val="22"/>
          <w:szCs w:val="22"/>
        </w:rPr>
      </w:pPr>
    </w:p>
    <w:p w14:paraId="4163C446">
      <w:pPr>
        <w:pStyle w:val="22"/>
        <w:outlineLvl w:val="9"/>
        <w:rPr>
          <w:rFonts w:hint="eastAsia" w:ascii="宋体" w:hAnsi="宋体"/>
        </w:rPr>
      </w:pPr>
    </w:p>
    <w:p w14:paraId="6B05F3B3">
      <w:pPr>
        <w:pStyle w:val="22"/>
        <w:outlineLvl w:val="9"/>
        <w:rPr>
          <w:rFonts w:hint="eastAsia" w:ascii="宋体" w:hAnsi="宋体"/>
        </w:rPr>
      </w:pPr>
    </w:p>
    <w:p w14:paraId="6A0321B1">
      <w:pPr>
        <w:pStyle w:val="22"/>
        <w:outlineLvl w:val="9"/>
        <w:rPr>
          <w:rFonts w:hint="eastAsia" w:ascii="宋体" w:hAnsi="宋体"/>
        </w:rPr>
      </w:pPr>
    </w:p>
    <w:p w14:paraId="5A7893D3">
      <w:pPr>
        <w:pStyle w:val="22"/>
        <w:outlineLvl w:val="9"/>
        <w:rPr>
          <w:rFonts w:hint="eastAsia" w:ascii="宋体" w:hAnsi="宋体"/>
        </w:rPr>
      </w:pPr>
    </w:p>
    <w:p w14:paraId="7A30FA41">
      <w:pPr>
        <w:pStyle w:val="22"/>
        <w:outlineLvl w:val="9"/>
        <w:rPr>
          <w:rFonts w:hint="eastAsia" w:ascii="宋体" w:hAnsi="宋体"/>
        </w:rPr>
      </w:pPr>
    </w:p>
    <w:p w14:paraId="43D28145">
      <w:pPr>
        <w:pStyle w:val="22"/>
        <w:outlineLvl w:val="9"/>
        <w:rPr>
          <w:rFonts w:hint="eastAsia" w:ascii="宋体" w:hAnsi="宋体"/>
        </w:rPr>
      </w:pPr>
    </w:p>
    <w:p w14:paraId="79E1B0FE">
      <w:pPr>
        <w:pStyle w:val="22"/>
        <w:outlineLvl w:val="9"/>
        <w:rPr>
          <w:rFonts w:hint="eastAsia" w:ascii="宋体" w:hAnsi="宋体"/>
        </w:rPr>
      </w:pPr>
    </w:p>
    <w:p w14:paraId="7A44949A">
      <w:pPr>
        <w:pStyle w:val="22"/>
        <w:outlineLvl w:val="9"/>
        <w:rPr>
          <w:rFonts w:hint="eastAsia" w:ascii="宋体" w:hAnsi="宋体"/>
        </w:rPr>
      </w:pPr>
    </w:p>
    <w:p w14:paraId="7592BBB6">
      <w:pPr>
        <w:pStyle w:val="22"/>
        <w:outlineLvl w:val="9"/>
        <w:rPr>
          <w:rFonts w:hint="eastAsia" w:ascii="宋体" w:hAnsi="宋体"/>
        </w:rPr>
      </w:pPr>
    </w:p>
    <w:p w14:paraId="33D7A7D2"/>
    <w:p w14:paraId="3D816F6A">
      <w:pPr>
        <w:pStyle w:val="22"/>
        <w:outlineLvl w:val="2"/>
        <w:rPr>
          <w:rFonts w:hint="eastAsia" w:ascii="宋体" w:hAnsi="宋体"/>
          <w:sz w:val="28"/>
          <w:szCs w:val="18"/>
          <w:lang w:val="zh-CN"/>
        </w:rPr>
      </w:pPr>
      <w:bookmarkStart w:id="1082" w:name="_Toc153"/>
      <w:bookmarkStart w:id="1083" w:name="_Toc44607651"/>
      <w:r>
        <w:rPr>
          <w:rFonts w:hint="eastAsia" w:ascii="宋体" w:hAnsi="宋体"/>
          <w:sz w:val="28"/>
          <w:szCs w:val="18"/>
          <w:lang w:val="zh-CN"/>
        </w:rPr>
        <w:t>附件四 供应商参与</w:t>
      </w:r>
      <w:r>
        <w:rPr>
          <w:rFonts w:hint="eastAsia" w:ascii="宋体" w:hAnsi="宋体"/>
          <w:sz w:val="28"/>
          <w:szCs w:val="18"/>
        </w:rPr>
        <w:t>国企</w:t>
      </w:r>
      <w:r>
        <w:rPr>
          <w:rFonts w:hint="eastAsia" w:ascii="宋体" w:hAnsi="宋体"/>
          <w:sz w:val="28"/>
          <w:szCs w:val="18"/>
          <w:lang w:val="zh-CN"/>
        </w:rPr>
        <w:t>采购活动投标资格声明函</w:t>
      </w:r>
      <w:bookmarkEnd w:id="1082"/>
      <w:bookmarkEnd w:id="1083"/>
    </w:p>
    <w:tbl>
      <w:tblPr>
        <w:tblStyle w:val="25"/>
        <w:tblW w:w="8841" w:type="dxa"/>
        <w:tblInd w:w="108"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620"/>
        <w:gridCol w:w="7221"/>
      </w:tblGrid>
      <w:tr w14:paraId="36D25FE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1620" w:type="dxa"/>
            <w:vAlign w:val="center"/>
          </w:tcPr>
          <w:p w14:paraId="6C5BE947">
            <w:pPr>
              <w:pStyle w:val="14"/>
              <w:adjustRightInd w:val="0"/>
              <w:snapToGrid w:val="0"/>
              <w:jc w:val="center"/>
              <w:rPr>
                <w:rFonts w:hint="eastAsia" w:hAnsi="宋体"/>
              </w:rPr>
            </w:pPr>
            <w:r>
              <w:rPr>
                <w:rFonts w:hint="eastAsia" w:hAnsi="宋体"/>
              </w:rPr>
              <w:t>项目名称</w:t>
            </w:r>
          </w:p>
        </w:tc>
        <w:tc>
          <w:tcPr>
            <w:tcW w:w="7221" w:type="dxa"/>
            <w:vAlign w:val="center"/>
          </w:tcPr>
          <w:p w14:paraId="6642C43A">
            <w:pPr>
              <w:pStyle w:val="14"/>
              <w:adjustRightInd w:val="0"/>
              <w:snapToGrid w:val="0"/>
              <w:jc w:val="left"/>
              <w:rPr>
                <w:rFonts w:hint="eastAsia" w:hAnsi="宋体"/>
              </w:rPr>
            </w:pPr>
          </w:p>
        </w:tc>
      </w:tr>
      <w:tr w14:paraId="3EBF276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1620" w:type="dxa"/>
            <w:tcBorders>
              <w:top w:val="single" w:color="auto" w:sz="4" w:space="0"/>
              <w:left w:val="single" w:color="auto" w:sz="12" w:space="0"/>
              <w:right w:val="single" w:color="auto" w:sz="4" w:space="0"/>
            </w:tcBorders>
            <w:vAlign w:val="center"/>
          </w:tcPr>
          <w:p w14:paraId="624967E0">
            <w:pPr>
              <w:pStyle w:val="14"/>
              <w:adjustRightInd w:val="0"/>
              <w:snapToGrid w:val="0"/>
              <w:jc w:val="center"/>
              <w:rPr>
                <w:rFonts w:hint="eastAsia" w:hAnsi="宋体"/>
              </w:rPr>
            </w:pPr>
            <w:r>
              <w:rPr>
                <w:rFonts w:hint="eastAsia" w:hAnsi="宋体"/>
              </w:rPr>
              <w:t>项目采购编号</w:t>
            </w:r>
          </w:p>
        </w:tc>
        <w:tc>
          <w:tcPr>
            <w:tcW w:w="7221" w:type="dxa"/>
            <w:tcBorders>
              <w:top w:val="single" w:color="auto" w:sz="4" w:space="0"/>
              <w:left w:val="single" w:color="auto" w:sz="4" w:space="0"/>
              <w:right w:val="single" w:color="auto" w:sz="12" w:space="0"/>
            </w:tcBorders>
            <w:vAlign w:val="center"/>
          </w:tcPr>
          <w:p w14:paraId="531AC4BB">
            <w:pPr>
              <w:pStyle w:val="14"/>
              <w:adjustRightInd w:val="0"/>
              <w:snapToGrid w:val="0"/>
              <w:jc w:val="left"/>
              <w:rPr>
                <w:rFonts w:hint="eastAsia" w:hAnsi="宋体"/>
              </w:rPr>
            </w:pPr>
          </w:p>
        </w:tc>
      </w:tr>
      <w:tr w14:paraId="4051174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1620" w:type="dxa"/>
            <w:tcBorders>
              <w:top w:val="single" w:color="auto" w:sz="4" w:space="0"/>
              <w:left w:val="single" w:color="auto" w:sz="12" w:space="0"/>
              <w:right w:val="single" w:color="auto" w:sz="4" w:space="0"/>
            </w:tcBorders>
            <w:vAlign w:val="center"/>
          </w:tcPr>
          <w:p w14:paraId="503D59A9">
            <w:pPr>
              <w:pStyle w:val="14"/>
              <w:adjustRightInd w:val="0"/>
              <w:snapToGrid w:val="0"/>
              <w:jc w:val="center"/>
              <w:rPr>
                <w:rFonts w:hint="eastAsia" w:hAnsi="宋体"/>
              </w:rPr>
            </w:pPr>
            <w:r>
              <w:rPr>
                <w:rFonts w:hint="eastAsia" w:hAnsi="宋体"/>
              </w:rPr>
              <w:t>时    间</w:t>
            </w:r>
          </w:p>
        </w:tc>
        <w:tc>
          <w:tcPr>
            <w:tcW w:w="7221" w:type="dxa"/>
            <w:tcBorders>
              <w:top w:val="single" w:color="auto" w:sz="4" w:space="0"/>
              <w:left w:val="single" w:color="auto" w:sz="4" w:space="0"/>
              <w:right w:val="single" w:color="auto" w:sz="12" w:space="0"/>
            </w:tcBorders>
            <w:vAlign w:val="center"/>
          </w:tcPr>
          <w:p w14:paraId="1C6517CD">
            <w:pPr>
              <w:pStyle w:val="14"/>
              <w:adjustRightInd w:val="0"/>
              <w:snapToGrid w:val="0"/>
              <w:jc w:val="left"/>
              <w:rPr>
                <w:rFonts w:hint="eastAsia" w:hAnsi="宋体"/>
              </w:rPr>
            </w:pPr>
            <w:r>
              <w:rPr>
                <w:rFonts w:hint="eastAsia" w:hAnsi="宋体"/>
              </w:rPr>
              <w:t>投标截止时间：</w:t>
            </w:r>
          </w:p>
        </w:tc>
      </w:tr>
      <w:tr w14:paraId="171D716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197" w:hRule="atLeast"/>
        </w:trPr>
        <w:tc>
          <w:tcPr>
            <w:tcW w:w="8841" w:type="dxa"/>
            <w:gridSpan w:val="2"/>
            <w:tcBorders>
              <w:top w:val="single" w:color="auto" w:sz="4" w:space="0"/>
              <w:left w:val="single" w:color="auto" w:sz="12" w:space="0"/>
              <w:right w:val="single" w:color="auto" w:sz="12" w:space="0"/>
            </w:tcBorders>
          </w:tcPr>
          <w:p w14:paraId="00BD2D67">
            <w:pPr>
              <w:pStyle w:val="14"/>
              <w:adjustRightInd w:val="0"/>
              <w:snapToGrid w:val="0"/>
              <w:spacing w:line="360" w:lineRule="exact"/>
              <w:ind w:firstLine="450"/>
              <w:rPr>
                <w:rFonts w:hint="eastAsia" w:hAnsi="宋体"/>
              </w:rPr>
            </w:pPr>
            <w:r>
              <w:rPr>
                <w:rFonts w:hint="eastAsia" w:hAnsi="宋体"/>
              </w:rPr>
              <w:t>1、我单位满足以下条件，并已经在磋商（响应）文件中提供了相应的证明材料：</w:t>
            </w:r>
          </w:p>
          <w:p w14:paraId="1474E53E">
            <w:pPr>
              <w:pStyle w:val="14"/>
              <w:adjustRightInd w:val="0"/>
              <w:snapToGrid w:val="0"/>
              <w:spacing w:line="360" w:lineRule="exact"/>
              <w:ind w:firstLine="450"/>
              <w:rPr>
                <w:rFonts w:hint="eastAsia" w:hAnsi="宋体"/>
              </w:rPr>
            </w:pPr>
            <w:r>
              <w:rPr>
                <w:rFonts w:hint="eastAsia" w:hAnsi="宋体"/>
              </w:rPr>
              <w:t xml:space="preserve">（一）具有独立承担民事责任的能力； </w:t>
            </w:r>
          </w:p>
          <w:p w14:paraId="2710269B">
            <w:pPr>
              <w:pStyle w:val="14"/>
              <w:adjustRightInd w:val="0"/>
              <w:snapToGrid w:val="0"/>
              <w:spacing w:line="360" w:lineRule="exact"/>
              <w:ind w:firstLine="450"/>
              <w:rPr>
                <w:rFonts w:hint="eastAsia" w:hAnsi="宋体"/>
              </w:rPr>
            </w:pPr>
            <w:r>
              <w:rPr>
                <w:rFonts w:hint="eastAsia" w:hAnsi="宋体"/>
              </w:rPr>
              <w:t xml:space="preserve">（二）具有良好的商业信誉和健全的财务会计制度； </w:t>
            </w:r>
          </w:p>
          <w:p w14:paraId="131133E2">
            <w:pPr>
              <w:pStyle w:val="14"/>
              <w:adjustRightInd w:val="0"/>
              <w:snapToGrid w:val="0"/>
              <w:spacing w:line="360" w:lineRule="exact"/>
              <w:ind w:firstLine="450"/>
              <w:rPr>
                <w:rFonts w:hint="eastAsia" w:hAnsi="宋体"/>
              </w:rPr>
            </w:pPr>
            <w:r>
              <w:rPr>
                <w:rFonts w:hint="eastAsia" w:hAnsi="宋体"/>
              </w:rPr>
              <w:t xml:space="preserve">（三）具有履行合同所必需的设备和专业技术能力； </w:t>
            </w:r>
          </w:p>
          <w:p w14:paraId="5193E5A9">
            <w:pPr>
              <w:pStyle w:val="14"/>
              <w:adjustRightInd w:val="0"/>
              <w:snapToGrid w:val="0"/>
              <w:spacing w:line="360" w:lineRule="exact"/>
              <w:ind w:firstLine="450"/>
              <w:rPr>
                <w:rFonts w:hint="eastAsia" w:hAnsi="宋体"/>
              </w:rPr>
            </w:pPr>
            <w:r>
              <w:rPr>
                <w:rFonts w:hint="eastAsia" w:hAnsi="宋体"/>
              </w:rPr>
              <w:t xml:space="preserve">（四）有依法缴纳税收和社会保障资金的良好记录； </w:t>
            </w:r>
          </w:p>
          <w:p w14:paraId="614510BE">
            <w:pPr>
              <w:pStyle w:val="14"/>
              <w:adjustRightInd w:val="0"/>
              <w:snapToGrid w:val="0"/>
              <w:spacing w:line="360" w:lineRule="exact"/>
              <w:ind w:firstLine="450"/>
              <w:rPr>
                <w:rFonts w:hint="eastAsia" w:hAnsi="宋体"/>
              </w:rPr>
            </w:pPr>
            <w:r>
              <w:rPr>
                <w:rFonts w:hint="eastAsia" w:hAnsi="宋体"/>
              </w:rPr>
              <w:t xml:space="preserve">（五）参加国企采购活动前三年内，在经营活动中没有重大违法记录； </w:t>
            </w:r>
          </w:p>
          <w:p w14:paraId="0FE7B2FD">
            <w:pPr>
              <w:pStyle w:val="14"/>
              <w:adjustRightInd w:val="0"/>
              <w:snapToGrid w:val="0"/>
              <w:spacing w:line="360" w:lineRule="exact"/>
              <w:ind w:firstLine="450"/>
              <w:rPr>
                <w:rFonts w:hint="eastAsia" w:hAnsi="宋体"/>
              </w:rPr>
            </w:pPr>
            <w:r>
              <w:rPr>
                <w:rFonts w:hint="eastAsia" w:hAnsi="宋体"/>
              </w:rPr>
              <w:t xml:space="preserve">（六）法律、行政法规规定的其他条件。 </w:t>
            </w:r>
          </w:p>
          <w:p w14:paraId="2B92D1FF">
            <w:pPr>
              <w:pStyle w:val="14"/>
              <w:adjustRightInd w:val="0"/>
              <w:snapToGrid w:val="0"/>
              <w:spacing w:line="360" w:lineRule="exact"/>
              <w:ind w:firstLine="450"/>
              <w:rPr>
                <w:rFonts w:hint="eastAsia" w:hAnsi="宋体"/>
              </w:rPr>
            </w:pPr>
            <w:r>
              <w:rPr>
                <w:rFonts w:hAnsi="宋体"/>
              </w:rPr>
              <w:t>2</w:t>
            </w:r>
            <w:r>
              <w:rPr>
                <w:rFonts w:hint="eastAsia" w:hAnsi="宋体"/>
              </w:rPr>
              <w:t>、根据</w:t>
            </w:r>
            <w:r>
              <w:rPr>
                <w:rFonts w:hAnsi="宋体"/>
              </w:rPr>
              <w:t>财政部与有关部门联合签署了《关于对重大税收违法案件当事人实施联合惩戒措施的合作备忘录》(发改财金〔2014〕3062号)、《失信企业协同监管和联合惩戒合作备忘录》(发改财金〔2015〕2045号)、《关于对违法失信上市公司相关责任主体实施联合惩戒的合作备忘录》(发改财金〔2015〕3062号)、《关于对失信被执行人实施联合惩戒的合作备忘录》(发改财金〔2016〕141号)、《关于对安全生产领域失信生产经营单位及其有关人员开展联合惩戒的合作备忘录》(发改财金〔2016〕1001号)，依法限制相关失信主体参与</w:t>
            </w:r>
            <w:r>
              <w:rPr>
                <w:rFonts w:hint="eastAsia" w:hAnsi="宋体"/>
              </w:rPr>
              <w:t>国企</w:t>
            </w:r>
            <w:r>
              <w:rPr>
                <w:rFonts w:hAnsi="宋体"/>
              </w:rPr>
              <w:t>采购活动。</w:t>
            </w:r>
            <w:r>
              <w:rPr>
                <w:rFonts w:hint="eastAsia" w:hAnsi="宋体"/>
              </w:rPr>
              <w:t>我单位</w:t>
            </w:r>
            <w:r>
              <w:rPr>
                <w:rFonts w:hint="eastAsia" w:hAnsi="宋体" w:cs="宋体"/>
                <w:b/>
                <w:bCs/>
                <w:szCs w:val="20"/>
                <w:u w:val="single"/>
              </w:rPr>
              <w:t>□存在/□不存在</w:t>
            </w:r>
            <w:r>
              <w:rPr>
                <w:rFonts w:hint="eastAsia" w:hAnsi="宋体"/>
              </w:rPr>
              <w:t>上述文件规定依法限制参与国企采购的情况，并提供“信用中国”、 “中国政府采购网”查询网页截图（公告发布之日至投标截止时间）。（说明：在□上打√。）</w:t>
            </w:r>
          </w:p>
          <w:p w14:paraId="7E8E2E28">
            <w:pPr>
              <w:tabs>
                <w:tab w:val="center" w:pos="4483"/>
              </w:tabs>
              <w:adjustRightInd w:val="0"/>
              <w:spacing w:line="360" w:lineRule="exact"/>
              <w:ind w:firstLine="400"/>
              <w:rPr>
                <w:rFonts w:ascii="宋体"/>
                <w:u w:val="single"/>
              </w:rPr>
            </w:pPr>
            <w:r>
              <w:rPr>
                <w:rFonts w:hint="eastAsia" w:hAnsi="宋体"/>
                <w:sz w:val="20"/>
                <w:szCs w:val="20"/>
              </w:rPr>
              <w:t>3、</w:t>
            </w:r>
            <w:r>
              <w:rPr>
                <w:rFonts w:hint="eastAsia" w:ascii="宋体" w:hAnsi="宋体" w:cs="宋体"/>
                <w:sz w:val="20"/>
                <w:szCs w:val="20"/>
              </w:rPr>
              <w:t>我单位</w:t>
            </w:r>
            <w:r>
              <w:rPr>
                <w:rFonts w:hint="eastAsia" w:ascii="宋体" w:hAnsi="宋体" w:cs="宋体"/>
                <w:b/>
                <w:bCs/>
                <w:sz w:val="20"/>
                <w:szCs w:val="20"/>
                <w:u w:val="single"/>
              </w:rPr>
              <w:t>□没有被限制参加国企采购活动/□在参加国企采购活动前3年内</w:t>
            </w:r>
            <w:r>
              <w:rPr>
                <w:rFonts w:hint="eastAsia" w:ascii="宋体" w:hAnsi="宋体" w:cs="宋体"/>
                <w:sz w:val="20"/>
                <w:szCs w:val="20"/>
              </w:rPr>
              <w:t>因违法经营被禁止在一定期限内参加国企采购活动，但期限届满，已可以参加国企采购活动。（说明：在□上打√。）</w:t>
            </w:r>
          </w:p>
          <w:p w14:paraId="7D858F5C">
            <w:pPr>
              <w:tabs>
                <w:tab w:val="center" w:pos="4483"/>
              </w:tabs>
              <w:adjustRightInd w:val="0"/>
              <w:spacing w:line="360" w:lineRule="exact"/>
              <w:ind w:firstLine="400"/>
              <w:rPr>
                <w:rFonts w:ascii="宋体"/>
                <w:u w:val="single"/>
              </w:rPr>
            </w:pPr>
            <w:r>
              <w:rPr>
                <w:rFonts w:hint="eastAsia" w:ascii="宋体" w:hAnsi="宋体" w:cs="宋体"/>
                <w:sz w:val="20"/>
                <w:szCs w:val="20"/>
              </w:rPr>
              <w:t>4、我单位参与本项目国企采购活动3年内其它重大违法记录（重大违法记录，是指投标供应商因违法经营受到刑事处罚或者责令停产停业、吊销许可证或者执照、较大数额罚款等行政处罚）情况声明：</w:t>
            </w:r>
          </w:p>
          <w:p w14:paraId="7C7E6AEC">
            <w:pPr>
              <w:tabs>
                <w:tab w:val="center" w:pos="4483"/>
              </w:tabs>
              <w:adjustRightInd w:val="0"/>
              <w:spacing w:line="360" w:lineRule="exact"/>
              <w:ind w:firstLine="400"/>
              <w:rPr>
                <w:rFonts w:ascii="宋体"/>
                <w:sz w:val="20"/>
                <w:szCs w:val="20"/>
              </w:rPr>
            </w:pPr>
            <w:r>
              <w:rPr>
                <w:rFonts w:ascii="宋体"/>
                <w:sz w:val="20"/>
                <w:szCs w:val="20"/>
              </w:rPr>
              <w:t>5</w:t>
            </w:r>
            <w:r>
              <w:rPr>
                <w:rFonts w:hint="eastAsia" w:ascii="宋体"/>
                <w:sz w:val="20"/>
                <w:szCs w:val="20"/>
              </w:rPr>
              <w:t>、我单位符合本项目特定资格条件：的要求，并在</w:t>
            </w:r>
            <w:r>
              <w:rPr>
                <w:rFonts w:hint="eastAsia" w:hAnsi="宋体"/>
              </w:rPr>
              <w:t>磋商（响应）文件</w:t>
            </w:r>
            <w:r>
              <w:rPr>
                <w:rFonts w:hint="eastAsia" w:ascii="宋体"/>
                <w:sz w:val="20"/>
                <w:szCs w:val="20"/>
              </w:rPr>
              <w:t>件中提供了相应的证明材料（磋商文件没有要求特定资格条件的，本条款空格处可以空白）。</w:t>
            </w:r>
          </w:p>
          <w:p w14:paraId="6E4172BE">
            <w:pPr>
              <w:tabs>
                <w:tab w:val="center" w:pos="4483"/>
              </w:tabs>
              <w:adjustRightInd w:val="0"/>
              <w:spacing w:line="360" w:lineRule="exact"/>
              <w:ind w:firstLine="400" w:firstLineChars="200"/>
              <w:rPr>
                <w:rFonts w:ascii="宋体"/>
              </w:rPr>
            </w:pPr>
            <w:r>
              <w:rPr>
                <w:rFonts w:hint="eastAsia" w:ascii="宋体"/>
                <w:sz w:val="20"/>
                <w:szCs w:val="20"/>
                <w:u w:val="single"/>
              </w:rPr>
              <w:t>本公司所提交的本声明和陈述均是真实的、准确的。若与真实情况不符，本公司愿意承担由此而产生的一切后果。我方提供了全部能提供的资料和数据，我们同意遵照贵方要求出示有关证明文件。</w:t>
            </w:r>
          </w:p>
        </w:tc>
      </w:tr>
      <w:tr w14:paraId="6B519B1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19" w:hRule="atLeast"/>
        </w:trPr>
        <w:tc>
          <w:tcPr>
            <w:tcW w:w="8841" w:type="dxa"/>
            <w:gridSpan w:val="2"/>
            <w:tcBorders>
              <w:top w:val="single" w:color="auto" w:sz="4" w:space="0"/>
              <w:left w:val="single" w:color="auto" w:sz="12" w:space="0"/>
              <w:right w:val="single" w:color="auto" w:sz="12" w:space="0"/>
            </w:tcBorders>
            <w:vAlign w:val="center"/>
          </w:tcPr>
          <w:p w14:paraId="164B797E">
            <w:pPr>
              <w:pStyle w:val="14"/>
              <w:adjustRightInd w:val="0"/>
              <w:snapToGrid w:val="0"/>
              <w:spacing w:line="400" w:lineRule="exact"/>
              <w:ind w:left="422" w:firstLine="331"/>
              <w:rPr>
                <w:rFonts w:hint="eastAsia" w:hAnsi="宋体"/>
              </w:rPr>
            </w:pPr>
            <w:r>
              <w:rPr>
                <w:rFonts w:hint="eastAsia" w:hAnsi="宋体"/>
              </w:rPr>
              <w:t>供应商名称（加盖盖章）：</w:t>
            </w:r>
          </w:p>
        </w:tc>
      </w:tr>
      <w:tr w14:paraId="28F5E0B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19" w:hRule="atLeast"/>
        </w:trPr>
        <w:tc>
          <w:tcPr>
            <w:tcW w:w="8841" w:type="dxa"/>
            <w:gridSpan w:val="2"/>
            <w:tcBorders>
              <w:top w:val="single" w:color="auto" w:sz="4" w:space="0"/>
              <w:left w:val="single" w:color="auto" w:sz="12" w:space="0"/>
              <w:right w:val="single" w:color="auto" w:sz="12" w:space="0"/>
            </w:tcBorders>
            <w:vAlign w:val="center"/>
          </w:tcPr>
          <w:p w14:paraId="3AC55BDF">
            <w:pPr>
              <w:pStyle w:val="14"/>
              <w:adjustRightInd w:val="0"/>
              <w:snapToGrid w:val="0"/>
              <w:spacing w:line="400" w:lineRule="exact"/>
              <w:ind w:left="422" w:firstLine="316"/>
              <w:rPr>
                <w:rFonts w:hint="eastAsia" w:hAnsi="宋体"/>
              </w:rPr>
            </w:pPr>
            <w:r>
              <w:rPr>
                <w:rFonts w:hint="eastAsia" w:hAnsi="宋体"/>
              </w:rPr>
              <w:t>法定代表人或授权代表（签字或盖章）：</w:t>
            </w:r>
          </w:p>
        </w:tc>
      </w:tr>
      <w:tr w14:paraId="313D37C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19" w:hRule="atLeast"/>
        </w:trPr>
        <w:tc>
          <w:tcPr>
            <w:tcW w:w="8841" w:type="dxa"/>
            <w:gridSpan w:val="2"/>
            <w:tcBorders>
              <w:top w:val="single" w:color="auto" w:sz="4" w:space="0"/>
              <w:left w:val="single" w:color="auto" w:sz="12" w:space="0"/>
              <w:right w:val="single" w:color="auto" w:sz="12" w:space="0"/>
            </w:tcBorders>
            <w:vAlign w:val="center"/>
          </w:tcPr>
          <w:p w14:paraId="4DF3BCD1">
            <w:pPr>
              <w:pStyle w:val="14"/>
              <w:adjustRightInd w:val="0"/>
              <w:snapToGrid w:val="0"/>
              <w:spacing w:line="400" w:lineRule="exact"/>
              <w:ind w:left="422" w:firstLine="331"/>
              <w:rPr>
                <w:rFonts w:hint="eastAsia" w:hAnsi="宋体"/>
              </w:rPr>
            </w:pPr>
            <w:r>
              <w:rPr>
                <w:rFonts w:hint="eastAsia" w:hAnsi="宋体"/>
              </w:rPr>
              <w:t>签署日期：</w:t>
            </w:r>
          </w:p>
        </w:tc>
      </w:tr>
    </w:tbl>
    <w:p w14:paraId="14DDF91A">
      <w:pPr>
        <w:spacing w:line="360" w:lineRule="exact"/>
        <w:jc w:val="left"/>
        <w:rPr>
          <w:rFonts w:ascii="宋体"/>
          <w:u w:val="single"/>
        </w:rPr>
      </w:pPr>
      <w:r>
        <w:rPr>
          <w:rFonts w:hint="eastAsia" w:ascii="宋体"/>
          <w:u w:val="single"/>
        </w:rPr>
        <w:t>备注：▲投标供应商必须提供本声明，不提供按无效投标处理。</w:t>
      </w:r>
    </w:p>
    <w:p w14:paraId="54BD7C8F">
      <w:pPr>
        <w:widowControl/>
        <w:snapToGrid w:val="0"/>
        <w:spacing w:line="460" w:lineRule="exact"/>
        <w:ind w:firstLine="440" w:firstLineChars="200"/>
        <w:jc w:val="left"/>
        <w:rPr>
          <w:rFonts w:ascii="宋体" w:cs="Courier New"/>
          <w:sz w:val="22"/>
          <w:szCs w:val="22"/>
        </w:rPr>
      </w:pPr>
    </w:p>
    <w:p w14:paraId="2EEDD6C7">
      <w:pPr>
        <w:autoSpaceDE w:val="0"/>
        <w:autoSpaceDN w:val="0"/>
        <w:adjustRightInd w:val="0"/>
        <w:spacing w:line="460" w:lineRule="atLeast"/>
        <w:rPr>
          <w:rFonts w:ascii="宋体"/>
          <w:sz w:val="30"/>
        </w:rPr>
      </w:pPr>
    </w:p>
    <w:p w14:paraId="60888BFB">
      <w:pPr>
        <w:pStyle w:val="22"/>
        <w:jc w:val="both"/>
        <w:outlineLvl w:val="2"/>
        <w:rPr>
          <w:rFonts w:hint="eastAsia" w:ascii="宋体" w:hAnsi="宋体"/>
          <w:sz w:val="28"/>
          <w:szCs w:val="18"/>
          <w:lang w:val="zh-CN"/>
        </w:rPr>
      </w:pPr>
      <w:bookmarkStart w:id="1084" w:name="_Toc30910"/>
      <w:bookmarkStart w:id="1085" w:name="_Toc44607652"/>
      <w:r>
        <w:rPr>
          <w:rFonts w:hint="eastAsia" w:ascii="宋体" w:hAnsi="宋体"/>
          <w:sz w:val="24"/>
          <w:szCs w:val="16"/>
          <w:lang w:val="zh-CN"/>
        </w:rPr>
        <w:t>附件五 与参加本次项目同一合同项下国企采购活动的其他供应商不存在单位负责人为同一人或者直接控股、管理关系的承诺函</w:t>
      </w:r>
      <w:bookmarkEnd w:id="1084"/>
      <w:bookmarkEnd w:id="1085"/>
    </w:p>
    <w:p w14:paraId="0EE155DB">
      <w:pPr>
        <w:spacing w:line="460" w:lineRule="exact"/>
        <w:rPr>
          <w:rFonts w:ascii="宋体"/>
          <w:sz w:val="22"/>
          <w:szCs w:val="22"/>
          <w:u w:val="single"/>
        </w:rPr>
      </w:pPr>
    </w:p>
    <w:p w14:paraId="4C0424F3">
      <w:pPr>
        <w:autoSpaceDE w:val="0"/>
        <w:autoSpaceDN w:val="0"/>
        <w:adjustRightInd w:val="0"/>
        <w:spacing w:line="460" w:lineRule="atLeast"/>
        <w:rPr>
          <w:rFonts w:ascii="宋体"/>
          <w:sz w:val="36"/>
        </w:rPr>
      </w:pPr>
      <w:r>
        <w:rPr>
          <w:rFonts w:hint="eastAsia" w:ascii="宋体"/>
          <w:sz w:val="22"/>
          <w:szCs w:val="22"/>
          <w:u w:val="single"/>
          <w:lang w:eastAsia="zh-CN"/>
        </w:rPr>
        <w:t>泰顺县文旅集团有限公司</w:t>
      </w:r>
      <w:r>
        <w:rPr>
          <w:rFonts w:hint="eastAsia" w:ascii="宋体"/>
          <w:sz w:val="22"/>
          <w:szCs w:val="22"/>
          <w:u w:val="single"/>
        </w:rPr>
        <w:t>：</w:t>
      </w:r>
    </w:p>
    <w:p w14:paraId="31CCCA1B">
      <w:pPr>
        <w:widowControl/>
        <w:snapToGrid w:val="0"/>
        <w:spacing w:line="460" w:lineRule="exact"/>
        <w:ind w:firstLine="440" w:firstLineChars="200"/>
        <w:jc w:val="left"/>
        <w:rPr>
          <w:rFonts w:ascii="宋体" w:cs="Courier New"/>
          <w:sz w:val="22"/>
          <w:szCs w:val="22"/>
        </w:rPr>
      </w:pPr>
      <w:r>
        <w:rPr>
          <w:rFonts w:hint="eastAsia" w:ascii="宋体" w:cs="Courier New"/>
          <w:sz w:val="22"/>
          <w:szCs w:val="22"/>
        </w:rPr>
        <w:t>我方郑重承诺，我方此次参加</w:t>
      </w:r>
      <w:r>
        <w:rPr>
          <w:rFonts w:hint="eastAsia" w:ascii="宋体" w:cs="Courier New"/>
          <w:b/>
          <w:bCs/>
          <w:sz w:val="22"/>
          <w:szCs w:val="22"/>
          <w:u w:val="single"/>
          <w:lang w:eastAsia="zh-CN"/>
        </w:rPr>
        <w:t>时尚体育旅游基础设施提升工程(叶岸山特大桥工程）供配电照明系统(二次)</w:t>
      </w:r>
      <w:r>
        <w:rPr>
          <w:rFonts w:hint="eastAsia" w:ascii="宋体" w:cs="Courier New"/>
          <w:sz w:val="22"/>
          <w:szCs w:val="22"/>
        </w:rPr>
        <w:t>的投标，与参加本次项目同一合同项下国企采购活动的其他供应商不存在单位负责人为同一人或者直接控股、管理关系。如有虚假或隐瞒，愿意承担一切后果。</w:t>
      </w:r>
    </w:p>
    <w:p w14:paraId="52B83116">
      <w:pPr>
        <w:pStyle w:val="61"/>
        <w:ind w:firstLine="210"/>
        <w:rPr>
          <w:rFonts w:hint="eastAsia" w:ascii="宋体" w:hAnsi="宋体" w:eastAsia="宋体"/>
        </w:rPr>
      </w:pPr>
    </w:p>
    <w:p w14:paraId="1CD753A0">
      <w:pPr>
        <w:widowControl/>
        <w:snapToGrid w:val="0"/>
        <w:spacing w:line="460" w:lineRule="exact"/>
        <w:ind w:firstLine="440" w:firstLineChars="200"/>
        <w:jc w:val="left"/>
        <w:rPr>
          <w:rFonts w:ascii="宋体" w:cs="Courier New"/>
          <w:sz w:val="22"/>
          <w:szCs w:val="22"/>
        </w:rPr>
      </w:pPr>
      <w:r>
        <w:rPr>
          <w:rFonts w:hint="eastAsia" w:ascii="宋体" w:cs="Courier New"/>
          <w:sz w:val="22"/>
          <w:szCs w:val="22"/>
        </w:rPr>
        <w:t>特此承诺！</w:t>
      </w:r>
    </w:p>
    <w:p w14:paraId="49C37550">
      <w:pPr>
        <w:widowControl/>
        <w:snapToGrid w:val="0"/>
        <w:spacing w:line="460" w:lineRule="exact"/>
        <w:ind w:firstLine="440" w:firstLineChars="200"/>
        <w:jc w:val="left"/>
        <w:rPr>
          <w:rFonts w:ascii="宋体" w:cs="Courier New"/>
          <w:sz w:val="22"/>
          <w:szCs w:val="22"/>
        </w:rPr>
      </w:pPr>
    </w:p>
    <w:p w14:paraId="584B9EF4">
      <w:pPr>
        <w:widowControl/>
        <w:snapToGrid w:val="0"/>
        <w:spacing w:line="460" w:lineRule="exact"/>
        <w:ind w:firstLine="440" w:firstLineChars="200"/>
        <w:jc w:val="left"/>
        <w:rPr>
          <w:rFonts w:ascii="宋体" w:cs="Courier New"/>
          <w:sz w:val="22"/>
          <w:szCs w:val="22"/>
        </w:rPr>
      </w:pPr>
      <w:r>
        <w:rPr>
          <w:rFonts w:hint="eastAsia" w:ascii="宋体" w:cs="Courier New"/>
          <w:sz w:val="22"/>
          <w:szCs w:val="22"/>
        </w:rPr>
        <w:t>投标供应商（盖章） ：</w:t>
      </w:r>
    </w:p>
    <w:p w14:paraId="2CAE78EB">
      <w:pPr>
        <w:widowControl/>
        <w:snapToGrid w:val="0"/>
        <w:spacing w:line="460" w:lineRule="exact"/>
        <w:ind w:firstLine="440" w:firstLineChars="200"/>
        <w:jc w:val="left"/>
        <w:rPr>
          <w:rFonts w:ascii="宋体" w:cs="Courier New"/>
          <w:sz w:val="22"/>
          <w:szCs w:val="22"/>
        </w:rPr>
      </w:pPr>
      <w:r>
        <w:rPr>
          <w:rFonts w:hint="eastAsia" w:ascii="宋体" w:cs="Courier New"/>
          <w:sz w:val="22"/>
          <w:szCs w:val="22"/>
        </w:rPr>
        <w:t>法定代表人或其授权代表（签字或盖章）：</w:t>
      </w:r>
    </w:p>
    <w:p w14:paraId="2FDF89C2">
      <w:pPr>
        <w:autoSpaceDE w:val="0"/>
        <w:autoSpaceDN w:val="0"/>
        <w:adjustRightInd w:val="0"/>
        <w:spacing w:line="460" w:lineRule="atLeast"/>
        <w:ind w:firstLine="440" w:firstLineChars="200"/>
        <w:rPr>
          <w:rFonts w:ascii="宋体"/>
          <w:sz w:val="36"/>
        </w:rPr>
      </w:pPr>
      <w:r>
        <w:rPr>
          <w:rFonts w:hint="eastAsia" w:ascii="宋体" w:cs="Courier New"/>
          <w:sz w:val="22"/>
          <w:szCs w:val="22"/>
        </w:rPr>
        <w:t>日期：</w:t>
      </w:r>
    </w:p>
    <w:p w14:paraId="74F265E9">
      <w:pPr>
        <w:pStyle w:val="22"/>
        <w:outlineLvl w:val="9"/>
        <w:rPr>
          <w:rFonts w:hint="eastAsia" w:ascii="宋体" w:hAnsi="宋体"/>
        </w:rPr>
      </w:pPr>
    </w:p>
    <w:p w14:paraId="21A2B950">
      <w:pPr>
        <w:widowControl/>
        <w:snapToGrid w:val="0"/>
        <w:spacing w:line="460" w:lineRule="exact"/>
        <w:ind w:firstLine="440" w:firstLineChars="200"/>
        <w:jc w:val="left"/>
        <w:rPr>
          <w:rFonts w:ascii="宋体" w:cs="Courier New"/>
          <w:sz w:val="22"/>
          <w:szCs w:val="22"/>
        </w:rPr>
      </w:pPr>
    </w:p>
    <w:p w14:paraId="1A3E4290">
      <w:pPr>
        <w:pStyle w:val="22"/>
        <w:outlineLvl w:val="9"/>
        <w:rPr>
          <w:rFonts w:hint="eastAsia" w:ascii="宋体" w:hAnsi="宋体"/>
        </w:rPr>
      </w:pPr>
    </w:p>
    <w:p w14:paraId="5F1C2038">
      <w:pPr>
        <w:pStyle w:val="22"/>
        <w:outlineLvl w:val="9"/>
        <w:rPr>
          <w:rFonts w:hint="eastAsia" w:ascii="宋体" w:hAnsi="宋体"/>
        </w:rPr>
      </w:pPr>
    </w:p>
    <w:p w14:paraId="378A0963">
      <w:pPr>
        <w:pStyle w:val="22"/>
        <w:outlineLvl w:val="9"/>
        <w:rPr>
          <w:rFonts w:hint="eastAsia" w:ascii="宋体" w:hAnsi="宋体"/>
        </w:rPr>
      </w:pPr>
    </w:p>
    <w:p w14:paraId="6AD6F3EE">
      <w:pPr>
        <w:pStyle w:val="22"/>
        <w:outlineLvl w:val="9"/>
        <w:rPr>
          <w:rFonts w:hint="eastAsia" w:ascii="宋体" w:hAnsi="宋体"/>
        </w:rPr>
      </w:pPr>
    </w:p>
    <w:p w14:paraId="031347DD">
      <w:pPr>
        <w:pStyle w:val="22"/>
        <w:outlineLvl w:val="9"/>
        <w:rPr>
          <w:rFonts w:hint="eastAsia" w:ascii="宋体" w:hAnsi="宋体"/>
        </w:rPr>
      </w:pPr>
    </w:p>
    <w:p w14:paraId="07FD02D4">
      <w:pPr>
        <w:pStyle w:val="22"/>
        <w:outlineLvl w:val="9"/>
        <w:rPr>
          <w:rFonts w:hint="eastAsia" w:ascii="宋体" w:hAnsi="宋体"/>
        </w:rPr>
      </w:pPr>
    </w:p>
    <w:p w14:paraId="4611426B">
      <w:pPr>
        <w:pStyle w:val="22"/>
        <w:outlineLvl w:val="9"/>
        <w:rPr>
          <w:rFonts w:hint="eastAsia" w:ascii="宋体" w:hAnsi="宋体"/>
        </w:rPr>
      </w:pPr>
    </w:p>
    <w:p w14:paraId="4677ACAF">
      <w:pPr>
        <w:pStyle w:val="22"/>
        <w:outlineLvl w:val="9"/>
        <w:rPr>
          <w:rFonts w:hint="eastAsia" w:ascii="宋体" w:hAnsi="宋体"/>
        </w:rPr>
      </w:pPr>
    </w:p>
    <w:p w14:paraId="59C0B75F">
      <w:pPr>
        <w:pStyle w:val="22"/>
        <w:outlineLvl w:val="9"/>
        <w:rPr>
          <w:rFonts w:hint="eastAsia" w:ascii="宋体" w:hAnsi="宋体"/>
        </w:rPr>
      </w:pPr>
    </w:p>
    <w:bookmarkEnd w:id="1062"/>
    <w:bookmarkEnd w:id="1063"/>
    <w:p w14:paraId="25A5D484">
      <w:pPr>
        <w:rPr>
          <w:rFonts w:hint="eastAsia" w:ascii="宋体" w:hAnsi="宋体"/>
        </w:rPr>
      </w:pPr>
      <w:bookmarkStart w:id="1086" w:name="_Toc44607653"/>
      <w:bookmarkStart w:id="1087" w:name="_Toc11383"/>
      <w:bookmarkStart w:id="1088" w:name="_Toc413747701"/>
      <w:r>
        <w:rPr>
          <w:rFonts w:hint="eastAsia" w:ascii="宋体" w:hAnsi="宋体"/>
        </w:rPr>
        <w:br w:type="page"/>
      </w:r>
    </w:p>
    <w:p w14:paraId="40FA2732">
      <w:pPr>
        <w:pStyle w:val="22"/>
        <w:outlineLvl w:val="1"/>
        <w:rPr>
          <w:rFonts w:hint="eastAsia" w:ascii="宋体" w:hAnsi="宋体"/>
          <w:lang w:val="zh-CN"/>
        </w:rPr>
      </w:pPr>
      <w:r>
        <w:rPr>
          <w:rFonts w:hint="eastAsia" w:ascii="宋体" w:hAnsi="宋体"/>
        </w:rPr>
        <w:t>二</w:t>
      </w:r>
      <w:r>
        <w:rPr>
          <w:rFonts w:hint="eastAsia" w:ascii="宋体" w:hAnsi="宋体"/>
          <w:lang w:val="zh-CN"/>
        </w:rPr>
        <w:t>、报价</w:t>
      </w:r>
      <w:r>
        <w:rPr>
          <w:rFonts w:hint="eastAsia" w:ascii="宋体" w:hAnsi="宋体"/>
        </w:rPr>
        <w:t>文件格</w:t>
      </w:r>
      <w:r>
        <w:rPr>
          <w:rFonts w:hint="eastAsia" w:ascii="宋体" w:hAnsi="宋体"/>
          <w:lang w:val="zh-CN"/>
        </w:rPr>
        <w:t>式</w:t>
      </w:r>
      <w:bookmarkEnd w:id="1086"/>
      <w:bookmarkEnd w:id="1087"/>
    </w:p>
    <w:p w14:paraId="0BA97F45">
      <w:pPr>
        <w:pStyle w:val="21"/>
        <w:snapToGrid w:val="0"/>
        <w:spacing w:beforeAutospacing="0" w:afterAutospacing="0"/>
        <w:ind w:firstLine="442"/>
        <w:jc w:val="both"/>
        <w:rPr>
          <w:rFonts w:hint="eastAsia" w:ascii="宋体" w:hAnsi="宋体" w:cs="宋体"/>
          <w:sz w:val="22"/>
          <w:szCs w:val="22"/>
        </w:rPr>
      </w:pPr>
      <w:bookmarkStart w:id="1089" w:name="_Toc44607654"/>
      <w:r>
        <w:rPr>
          <w:rFonts w:hint="eastAsia" w:ascii="宋体" w:hAnsi="宋体" w:cs="宋体"/>
          <w:b/>
          <w:bCs/>
          <w:sz w:val="22"/>
          <w:szCs w:val="22"/>
        </w:rPr>
        <w:t>报价部分投标文件</w:t>
      </w:r>
      <w:r>
        <w:rPr>
          <w:rFonts w:hint="eastAsia" w:ascii="宋体" w:hAnsi="宋体" w:cs="宋体"/>
          <w:sz w:val="22"/>
          <w:szCs w:val="22"/>
        </w:rPr>
        <w:t>封面参考：</w:t>
      </w:r>
    </w:p>
    <w:p w14:paraId="0F30FBC7">
      <w:pPr>
        <w:snapToGrid w:val="0"/>
        <w:spacing w:line="440" w:lineRule="exact"/>
        <w:jc w:val="center"/>
        <w:rPr>
          <w:rFonts w:hint="eastAsia" w:ascii="宋体" w:hAnsi="宋体" w:cs="宋体"/>
          <w:b/>
          <w:sz w:val="32"/>
          <w:szCs w:val="32"/>
        </w:rPr>
      </w:pPr>
    </w:p>
    <w:p w14:paraId="611A6530">
      <w:pPr>
        <w:snapToGrid w:val="0"/>
        <w:spacing w:line="440" w:lineRule="exact"/>
        <w:jc w:val="center"/>
        <w:rPr>
          <w:rFonts w:hint="eastAsia" w:ascii="宋体" w:hAnsi="宋体" w:cs="宋体"/>
          <w:b/>
          <w:sz w:val="84"/>
          <w:szCs w:val="84"/>
        </w:rPr>
      </w:pPr>
      <w:bookmarkStart w:id="1090" w:name="_Toc8854_WPSOffice_Level2"/>
      <w:bookmarkEnd w:id="1090"/>
    </w:p>
    <w:p w14:paraId="3D751EB8">
      <w:pPr>
        <w:pStyle w:val="13"/>
        <w:rPr>
          <w:rFonts w:hint="eastAsia" w:ascii="宋体" w:hAnsi="宋体" w:cs="宋体"/>
          <w:b/>
          <w:sz w:val="84"/>
          <w:szCs w:val="84"/>
        </w:rPr>
      </w:pPr>
    </w:p>
    <w:p w14:paraId="1E3217E2">
      <w:pPr>
        <w:pStyle w:val="24"/>
      </w:pPr>
    </w:p>
    <w:p w14:paraId="04AFCF0E">
      <w:pPr>
        <w:snapToGrid w:val="0"/>
        <w:spacing w:line="480" w:lineRule="auto"/>
        <w:jc w:val="center"/>
        <w:rPr>
          <w:rFonts w:hint="eastAsia" w:ascii="宋体" w:hAnsi="宋体" w:cs="宋体"/>
          <w:b/>
          <w:sz w:val="84"/>
          <w:szCs w:val="84"/>
        </w:rPr>
      </w:pPr>
      <w:r>
        <w:rPr>
          <w:rFonts w:hint="eastAsia" w:ascii="宋体" w:hAnsi="宋体" w:cs="宋体"/>
          <w:b/>
          <w:sz w:val="84"/>
          <w:szCs w:val="84"/>
        </w:rPr>
        <w:t>报 价 文 件</w:t>
      </w:r>
    </w:p>
    <w:p w14:paraId="4C494B2E">
      <w:pPr>
        <w:snapToGrid w:val="0"/>
        <w:spacing w:line="480" w:lineRule="auto"/>
        <w:jc w:val="center"/>
        <w:rPr>
          <w:rFonts w:hint="eastAsia" w:ascii="宋体" w:hAnsi="宋体" w:cs="宋体"/>
          <w:b/>
          <w:sz w:val="84"/>
          <w:szCs w:val="84"/>
        </w:rPr>
      </w:pPr>
      <w:r>
        <w:rPr>
          <w:rFonts w:hint="eastAsia" w:ascii="宋体" w:hAnsi="宋体" w:cs="宋体"/>
          <w:b/>
          <w:sz w:val="84"/>
          <w:szCs w:val="84"/>
        </w:rPr>
        <w:t>磋商（响应）文件</w:t>
      </w:r>
    </w:p>
    <w:p w14:paraId="5BC99695">
      <w:pPr>
        <w:snapToGrid w:val="0"/>
        <w:spacing w:line="600" w:lineRule="atLeast"/>
        <w:ind w:firstLine="1044" w:firstLineChars="400"/>
        <w:rPr>
          <w:rFonts w:hint="eastAsia" w:ascii="宋体" w:hAnsi="宋体" w:eastAsia="宋体" w:cs="宋体"/>
          <w:b/>
          <w:sz w:val="26"/>
          <w:szCs w:val="26"/>
          <w:lang w:eastAsia="zh-CN"/>
        </w:rPr>
      </w:pPr>
      <w:r>
        <w:rPr>
          <w:rFonts w:hint="eastAsia" w:ascii="宋体" w:hAnsi="宋体" w:cs="宋体"/>
          <w:b/>
          <w:sz w:val="26"/>
          <w:szCs w:val="26"/>
        </w:rPr>
        <w:t>项目名称：</w:t>
      </w:r>
      <w:r>
        <w:rPr>
          <w:rFonts w:hint="eastAsia" w:ascii="宋体" w:hAnsi="宋体" w:cs="宋体"/>
          <w:b/>
          <w:sz w:val="26"/>
          <w:szCs w:val="26"/>
          <w:lang w:eastAsia="zh-CN"/>
        </w:rPr>
        <w:t>时尚体育旅游基础设施提升工程(叶岸山特大桥工程）供配电照明系统(二次)</w:t>
      </w:r>
    </w:p>
    <w:p w14:paraId="1A4A0785">
      <w:pPr>
        <w:snapToGrid w:val="0"/>
        <w:spacing w:line="600" w:lineRule="atLeast"/>
        <w:ind w:firstLine="1044" w:firstLineChars="400"/>
        <w:rPr>
          <w:rFonts w:hint="eastAsia" w:ascii="宋体" w:hAnsi="宋体" w:eastAsia="宋体" w:cs="宋体"/>
          <w:b/>
          <w:sz w:val="26"/>
          <w:szCs w:val="26"/>
          <w:lang w:eastAsia="zh-CN"/>
        </w:rPr>
      </w:pPr>
      <w:r>
        <w:rPr>
          <w:rFonts w:hint="eastAsia" w:ascii="宋体" w:hAnsi="宋体" w:cs="宋体"/>
          <w:b/>
          <w:sz w:val="26"/>
          <w:szCs w:val="26"/>
        </w:rPr>
        <w:t>项目编号：</w:t>
      </w:r>
      <w:r>
        <w:rPr>
          <w:rFonts w:hint="eastAsia" w:ascii="宋体" w:hAnsi="宋体" w:cs="宋体"/>
          <w:b/>
          <w:sz w:val="26"/>
          <w:szCs w:val="26"/>
          <w:lang w:eastAsia="zh-CN"/>
        </w:rPr>
        <w:t>TSCG202509006</w:t>
      </w:r>
    </w:p>
    <w:p w14:paraId="449752E3">
      <w:pPr>
        <w:snapToGrid w:val="0"/>
        <w:spacing w:line="600" w:lineRule="atLeast"/>
        <w:ind w:firstLine="1044" w:firstLineChars="400"/>
        <w:rPr>
          <w:rFonts w:hint="eastAsia" w:ascii="宋体" w:hAnsi="宋体" w:eastAsia="宋体" w:cs="宋体"/>
          <w:b/>
          <w:sz w:val="26"/>
          <w:szCs w:val="26"/>
          <w:lang w:eastAsia="zh-CN"/>
        </w:rPr>
      </w:pPr>
      <w:r>
        <w:rPr>
          <w:rFonts w:hint="eastAsia" w:ascii="宋体" w:hAnsi="宋体" w:cs="宋体"/>
          <w:b/>
          <w:sz w:val="26"/>
          <w:szCs w:val="26"/>
        </w:rPr>
        <w:t>采购单位：</w:t>
      </w:r>
      <w:r>
        <w:rPr>
          <w:rFonts w:hint="eastAsia" w:ascii="宋体" w:hAnsi="宋体" w:cs="宋体"/>
          <w:b/>
          <w:sz w:val="26"/>
          <w:szCs w:val="26"/>
          <w:lang w:eastAsia="zh-CN"/>
        </w:rPr>
        <w:t>泰顺县文旅集团有限公司</w:t>
      </w:r>
    </w:p>
    <w:p w14:paraId="0D0AB0EC">
      <w:pPr>
        <w:snapToGrid w:val="0"/>
        <w:spacing w:line="600" w:lineRule="atLeast"/>
        <w:ind w:firstLine="1044" w:firstLineChars="400"/>
        <w:rPr>
          <w:rFonts w:hint="eastAsia" w:ascii="宋体" w:hAnsi="宋体" w:cs="宋体"/>
          <w:b/>
          <w:sz w:val="26"/>
          <w:szCs w:val="26"/>
        </w:rPr>
      </w:pPr>
      <w:r>
        <w:rPr>
          <w:rFonts w:hint="eastAsia" w:ascii="宋体" w:hAnsi="宋体" w:cs="宋体"/>
          <w:b/>
          <w:sz w:val="26"/>
          <w:szCs w:val="26"/>
        </w:rPr>
        <w:t xml:space="preserve">供应商名称： </w:t>
      </w:r>
    </w:p>
    <w:p w14:paraId="0F338E4A">
      <w:pPr>
        <w:snapToGrid w:val="0"/>
        <w:spacing w:line="600" w:lineRule="atLeast"/>
        <w:ind w:firstLine="1044" w:firstLineChars="400"/>
        <w:rPr>
          <w:rFonts w:hint="eastAsia" w:ascii="宋体" w:hAnsi="宋体" w:cs="宋体"/>
          <w:b/>
          <w:sz w:val="26"/>
          <w:szCs w:val="26"/>
        </w:rPr>
      </w:pPr>
      <w:r>
        <w:rPr>
          <w:rFonts w:hint="eastAsia" w:ascii="宋体" w:hAnsi="宋体" w:cs="宋体"/>
          <w:b/>
          <w:sz w:val="26"/>
          <w:szCs w:val="26"/>
        </w:rPr>
        <w:t xml:space="preserve">供应商地址： </w:t>
      </w:r>
    </w:p>
    <w:p w14:paraId="4C08B6ED">
      <w:pPr>
        <w:snapToGrid w:val="0"/>
        <w:spacing w:line="600" w:lineRule="atLeast"/>
        <w:ind w:firstLine="1044" w:firstLineChars="400"/>
        <w:rPr>
          <w:rFonts w:hint="eastAsia" w:ascii="宋体" w:hAnsi="宋体" w:cs="宋体"/>
          <w:b/>
          <w:sz w:val="26"/>
          <w:szCs w:val="26"/>
        </w:rPr>
      </w:pPr>
      <w:r>
        <w:rPr>
          <w:rFonts w:hint="eastAsia" w:ascii="宋体" w:hAnsi="宋体" w:cs="宋体"/>
          <w:b/>
          <w:sz w:val="26"/>
          <w:szCs w:val="26"/>
        </w:rPr>
        <w:t>法定代表人或授权代表（签字或盖章）：</w:t>
      </w:r>
    </w:p>
    <w:p w14:paraId="6B7AFE81">
      <w:pPr>
        <w:snapToGrid w:val="0"/>
        <w:spacing w:line="600" w:lineRule="atLeast"/>
        <w:ind w:firstLine="1044" w:firstLineChars="400"/>
        <w:rPr>
          <w:rFonts w:hint="eastAsia" w:ascii="宋体" w:hAnsi="宋体" w:cs="宋体"/>
          <w:b/>
          <w:sz w:val="26"/>
          <w:szCs w:val="26"/>
        </w:rPr>
      </w:pPr>
      <w:r>
        <w:rPr>
          <w:rFonts w:hint="eastAsia" w:ascii="宋体" w:hAnsi="宋体" w:cs="宋体"/>
          <w:b/>
          <w:sz w:val="26"/>
          <w:szCs w:val="26"/>
        </w:rPr>
        <w:t>日期：  年  月  日</w:t>
      </w:r>
    </w:p>
    <w:p w14:paraId="58227232">
      <w:pPr>
        <w:pStyle w:val="22"/>
        <w:outlineLvl w:val="9"/>
        <w:rPr>
          <w:rFonts w:hint="eastAsia" w:ascii="宋体" w:hAnsi="宋体"/>
          <w:sz w:val="28"/>
          <w:szCs w:val="18"/>
          <w:lang w:val="zh-CN"/>
        </w:rPr>
      </w:pPr>
    </w:p>
    <w:p w14:paraId="4AB71B36">
      <w:pPr>
        <w:rPr>
          <w:rFonts w:hint="eastAsia" w:ascii="宋体" w:hAnsi="宋体"/>
          <w:sz w:val="28"/>
          <w:szCs w:val="18"/>
          <w:lang w:val="zh-CN"/>
        </w:rPr>
      </w:pPr>
      <w:r>
        <w:rPr>
          <w:rFonts w:hint="eastAsia" w:ascii="宋体" w:hAnsi="宋体"/>
          <w:sz w:val="28"/>
          <w:szCs w:val="18"/>
          <w:lang w:val="zh-CN"/>
        </w:rPr>
        <w:br w:type="page"/>
      </w:r>
    </w:p>
    <w:p w14:paraId="48957A3F">
      <w:pPr>
        <w:pStyle w:val="22"/>
        <w:outlineLvl w:val="2"/>
        <w:rPr>
          <w:rFonts w:hint="eastAsia" w:ascii="宋体" w:hAnsi="宋体"/>
          <w:sz w:val="28"/>
          <w:szCs w:val="18"/>
          <w:lang w:val="zh-CN"/>
        </w:rPr>
      </w:pPr>
      <w:r>
        <w:rPr>
          <w:rFonts w:hint="eastAsia" w:ascii="宋体" w:hAnsi="宋体"/>
          <w:sz w:val="28"/>
          <w:szCs w:val="18"/>
          <w:lang w:val="zh-CN"/>
        </w:rPr>
        <w:t>附件</w:t>
      </w:r>
      <w:r>
        <w:rPr>
          <w:rFonts w:hint="eastAsia" w:ascii="宋体" w:hAnsi="宋体"/>
          <w:sz w:val="28"/>
          <w:szCs w:val="18"/>
        </w:rPr>
        <w:t>七</w:t>
      </w:r>
      <w:r>
        <w:rPr>
          <w:rFonts w:hint="eastAsia" w:ascii="宋体" w:hAnsi="宋体"/>
          <w:sz w:val="28"/>
          <w:szCs w:val="18"/>
          <w:lang w:val="zh-CN"/>
        </w:rPr>
        <w:t xml:space="preserve"> </w:t>
      </w:r>
      <w:r>
        <w:rPr>
          <w:rFonts w:hint="eastAsia" w:ascii="宋体" w:hAnsi="宋体"/>
          <w:sz w:val="28"/>
          <w:szCs w:val="18"/>
        </w:rPr>
        <w:t>开标（报价）</w:t>
      </w:r>
      <w:r>
        <w:rPr>
          <w:rFonts w:hint="eastAsia" w:ascii="宋体" w:hAnsi="宋体"/>
          <w:sz w:val="28"/>
          <w:szCs w:val="18"/>
          <w:lang w:val="zh-CN"/>
        </w:rPr>
        <w:t>一览表</w:t>
      </w:r>
      <w:bookmarkEnd w:id="1088"/>
      <w:bookmarkEnd w:id="1089"/>
    </w:p>
    <w:p w14:paraId="566B4B44">
      <w:pPr>
        <w:autoSpaceDE w:val="0"/>
        <w:autoSpaceDN w:val="0"/>
        <w:adjustRightInd w:val="0"/>
        <w:rPr>
          <w:rFonts w:ascii="宋体"/>
          <w:sz w:val="22"/>
          <w:szCs w:val="22"/>
          <w:lang w:val="zh-CN"/>
        </w:rPr>
      </w:pPr>
    </w:p>
    <w:p w14:paraId="1E5050CB">
      <w:pPr>
        <w:autoSpaceDE w:val="0"/>
        <w:autoSpaceDN w:val="0"/>
        <w:adjustRightInd w:val="0"/>
        <w:rPr>
          <w:rFonts w:ascii="宋体"/>
          <w:sz w:val="22"/>
          <w:szCs w:val="22"/>
          <w:lang w:val="zh-CN"/>
        </w:rPr>
      </w:pPr>
      <w:r>
        <w:rPr>
          <w:rFonts w:hint="eastAsia" w:ascii="宋体"/>
          <w:sz w:val="22"/>
          <w:szCs w:val="22"/>
          <w:lang w:val="zh-CN"/>
        </w:rPr>
        <w:t>投标人名称：采购编号：  报价单位：</w:t>
      </w:r>
      <w:r>
        <w:rPr>
          <w:rFonts w:hint="eastAsia" w:ascii="宋体"/>
          <w:sz w:val="22"/>
          <w:szCs w:val="22"/>
          <w:u w:val="single"/>
          <w:lang w:val="zh-CN"/>
        </w:rPr>
        <w:t>人民币元</w:t>
      </w:r>
    </w:p>
    <w:tbl>
      <w:tblPr>
        <w:tblStyle w:val="25"/>
        <w:tblW w:w="8548" w:type="dxa"/>
        <w:tblInd w:w="0" w:type="dxa"/>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828"/>
        <w:gridCol w:w="3794"/>
        <w:gridCol w:w="2926"/>
      </w:tblGrid>
      <w:tr w14:paraId="403835BA">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941" w:hRule="atLeast"/>
        </w:trPr>
        <w:tc>
          <w:tcPr>
            <w:tcW w:w="1828" w:type="dxa"/>
            <w:tcBorders>
              <w:right w:val="single" w:color="auto" w:sz="4" w:space="0"/>
            </w:tcBorders>
            <w:vAlign w:val="center"/>
          </w:tcPr>
          <w:p w14:paraId="4A8AC369">
            <w:pPr>
              <w:pStyle w:val="14"/>
              <w:jc w:val="center"/>
              <w:rPr>
                <w:rFonts w:hint="eastAsia" w:hAnsi="宋体"/>
                <w:sz w:val="22"/>
                <w:szCs w:val="22"/>
              </w:rPr>
            </w:pPr>
            <w:r>
              <w:rPr>
                <w:rFonts w:hint="eastAsia" w:hAnsi="宋体"/>
                <w:sz w:val="22"/>
                <w:szCs w:val="22"/>
              </w:rPr>
              <w:t>项目名称</w:t>
            </w:r>
          </w:p>
        </w:tc>
        <w:tc>
          <w:tcPr>
            <w:tcW w:w="3794" w:type="dxa"/>
            <w:tcBorders>
              <w:left w:val="single" w:color="auto" w:sz="4" w:space="0"/>
              <w:right w:val="single" w:color="auto" w:sz="4" w:space="0"/>
            </w:tcBorders>
            <w:vAlign w:val="center"/>
          </w:tcPr>
          <w:p w14:paraId="3D7B80E6">
            <w:pPr>
              <w:pStyle w:val="14"/>
              <w:jc w:val="center"/>
              <w:rPr>
                <w:rFonts w:hint="eastAsia" w:hAnsi="宋体"/>
                <w:sz w:val="22"/>
                <w:szCs w:val="22"/>
              </w:rPr>
            </w:pPr>
            <w:r>
              <w:rPr>
                <w:rFonts w:hint="eastAsia" w:hAnsi="宋体"/>
                <w:sz w:val="22"/>
                <w:szCs w:val="22"/>
              </w:rPr>
              <w:t>投标报价</w:t>
            </w:r>
          </w:p>
        </w:tc>
        <w:tc>
          <w:tcPr>
            <w:tcW w:w="2926" w:type="dxa"/>
            <w:tcBorders>
              <w:left w:val="single" w:color="auto" w:sz="4" w:space="0"/>
            </w:tcBorders>
            <w:vAlign w:val="center"/>
          </w:tcPr>
          <w:p w14:paraId="1BA70CA8">
            <w:pPr>
              <w:jc w:val="center"/>
              <w:rPr>
                <w:rFonts w:hint="eastAsia" w:hAnsi="宋体"/>
                <w:sz w:val="22"/>
                <w:szCs w:val="22"/>
              </w:rPr>
            </w:pPr>
            <w:r>
              <w:rPr>
                <w:rFonts w:hint="eastAsia" w:ascii="宋体" w:cs="宋体"/>
                <w:b/>
                <w:bCs/>
                <w:sz w:val="22"/>
                <w:szCs w:val="22"/>
              </w:rPr>
              <w:t>最高限价（元）</w:t>
            </w:r>
          </w:p>
        </w:tc>
      </w:tr>
      <w:tr w14:paraId="2CCC51A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2257" w:hRule="atLeast"/>
        </w:trPr>
        <w:tc>
          <w:tcPr>
            <w:tcW w:w="1828" w:type="dxa"/>
            <w:tcBorders>
              <w:right w:val="single" w:color="auto" w:sz="4" w:space="0"/>
            </w:tcBorders>
            <w:vAlign w:val="center"/>
          </w:tcPr>
          <w:p w14:paraId="6E196CE5">
            <w:pPr>
              <w:jc w:val="center"/>
              <w:rPr>
                <w:rFonts w:hint="eastAsia" w:ascii="宋体" w:eastAsia="宋体"/>
                <w:sz w:val="22"/>
                <w:szCs w:val="22"/>
                <w:lang w:eastAsia="zh-CN"/>
              </w:rPr>
            </w:pPr>
            <w:r>
              <w:rPr>
                <w:rFonts w:hint="eastAsia" w:ascii="宋体" w:cs="Times New Roman"/>
                <w:sz w:val="22"/>
                <w:szCs w:val="22"/>
                <w:lang w:eastAsia="zh-CN"/>
              </w:rPr>
              <w:t>时尚体育旅游基础设施提升工程(叶岸山特大桥工程）供配电照明系统(二次)</w:t>
            </w:r>
          </w:p>
        </w:tc>
        <w:tc>
          <w:tcPr>
            <w:tcW w:w="3794" w:type="dxa"/>
            <w:tcBorders>
              <w:left w:val="single" w:color="auto" w:sz="4" w:space="0"/>
              <w:right w:val="single" w:color="auto" w:sz="4" w:space="0"/>
            </w:tcBorders>
            <w:vAlign w:val="center"/>
          </w:tcPr>
          <w:p w14:paraId="2CDB9C96">
            <w:pPr>
              <w:pStyle w:val="14"/>
              <w:spacing w:line="460" w:lineRule="atLeast"/>
              <w:rPr>
                <w:rFonts w:hint="eastAsia" w:hAnsi="宋体" w:cs="宋体"/>
                <w:sz w:val="22"/>
                <w:szCs w:val="22"/>
              </w:rPr>
            </w:pPr>
            <w:r>
              <w:rPr>
                <w:rFonts w:hint="eastAsia" w:hAnsi="宋体" w:cs="宋体"/>
                <w:sz w:val="22"/>
                <w:szCs w:val="22"/>
              </w:rPr>
              <w:t>大写：</w:t>
            </w:r>
          </w:p>
          <w:p w14:paraId="496291ED">
            <w:r>
              <w:rPr>
                <w:rFonts w:hint="eastAsia" w:hAnsi="宋体" w:cs="宋体"/>
                <w:sz w:val="22"/>
                <w:szCs w:val="22"/>
              </w:rPr>
              <w:t>小写：</w:t>
            </w:r>
          </w:p>
        </w:tc>
        <w:tc>
          <w:tcPr>
            <w:tcW w:w="2926" w:type="dxa"/>
            <w:tcBorders>
              <w:left w:val="single" w:color="auto" w:sz="4" w:space="0"/>
            </w:tcBorders>
            <w:vAlign w:val="center"/>
          </w:tcPr>
          <w:p w14:paraId="72B89D77">
            <w:pPr>
              <w:jc w:val="center"/>
              <w:rPr>
                <w:rFonts w:hint="eastAsia" w:ascii="宋体" w:eastAsia="宋体"/>
                <w:sz w:val="22"/>
                <w:szCs w:val="22"/>
                <w:lang w:eastAsia="zh-CN"/>
              </w:rPr>
            </w:pPr>
            <w:r>
              <w:rPr>
                <w:rFonts w:hint="eastAsia" w:ascii="宋体" w:cs="宋体"/>
                <w:kern w:val="0"/>
                <w:sz w:val="22"/>
                <w:szCs w:val="22"/>
                <w:lang w:eastAsia="zh-CN"/>
              </w:rPr>
              <w:t>502199</w:t>
            </w:r>
          </w:p>
        </w:tc>
      </w:tr>
    </w:tbl>
    <w:p w14:paraId="4A5794DE">
      <w:pPr>
        <w:pStyle w:val="14"/>
        <w:spacing w:line="460" w:lineRule="atLeast"/>
        <w:rPr>
          <w:rFonts w:hint="eastAsia" w:hAnsi="宋体"/>
          <w:sz w:val="22"/>
          <w:szCs w:val="22"/>
        </w:rPr>
      </w:pPr>
      <w:r>
        <w:rPr>
          <w:rFonts w:hint="eastAsia" w:hAnsi="宋体"/>
          <w:sz w:val="22"/>
          <w:szCs w:val="22"/>
        </w:rPr>
        <w:t>★开标（报价）一览表中投标价为符合竞争性磋商文件要求的综合单价。</w:t>
      </w:r>
    </w:p>
    <w:p w14:paraId="391EA3A7">
      <w:pPr>
        <w:pStyle w:val="14"/>
        <w:spacing w:line="460" w:lineRule="atLeast"/>
        <w:rPr>
          <w:rFonts w:hint="eastAsia" w:hAnsi="宋体"/>
          <w:sz w:val="22"/>
          <w:szCs w:val="22"/>
        </w:rPr>
      </w:pPr>
      <w:r>
        <w:rPr>
          <w:rFonts w:hint="eastAsia" w:hAnsi="宋体"/>
          <w:sz w:val="22"/>
          <w:szCs w:val="22"/>
        </w:rPr>
        <w:t>★不提供此表格的将视为没有实质性响应竞争性磋商文件。</w:t>
      </w:r>
    </w:p>
    <w:p w14:paraId="5C0ABA6E">
      <w:pPr>
        <w:pStyle w:val="14"/>
        <w:spacing w:line="460" w:lineRule="atLeast"/>
        <w:rPr>
          <w:rFonts w:hint="eastAsia" w:hAnsi="宋体"/>
          <w:sz w:val="22"/>
          <w:szCs w:val="22"/>
        </w:rPr>
      </w:pPr>
      <w:r>
        <w:rPr>
          <w:rFonts w:hint="eastAsia" w:hAnsi="宋体"/>
          <w:sz w:val="22"/>
          <w:szCs w:val="22"/>
        </w:rPr>
        <w:t>此表不得自行增减内容。</w:t>
      </w:r>
    </w:p>
    <w:p w14:paraId="06DA26CC">
      <w:pPr>
        <w:pStyle w:val="22"/>
        <w:outlineLvl w:val="9"/>
        <w:rPr>
          <w:rFonts w:hint="eastAsia" w:ascii="宋体" w:hAnsi="宋体"/>
          <w:lang w:val="zh-CN"/>
        </w:rPr>
      </w:pPr>
    </w:p>
    <w:p w14:paraId="32AC1760">
      <w:pPr>
        <w:widowControl/>
        <w:snapToGrid w:val="0"/>
        <w:spacing w:line="460" w:lineRule="exact"/>
        <w:ind w:firstLine="440" w:firstLineChars="200"/>
        <w:jc w:val="left"/>
        <w:rPr>
          <w:rFonts w:ascii="宋体" w:cs="Courier New"/>
          <w:sz w:val="22"/>
          <w:szCs w:val="22"/>
        </w:rPr>
      </w:pPr>
      <w:r>
        <w:rPr>
          <w:rFonts w:hint="eastAsia" w:ascii="宋体" w:cs="Courier New"/>
          <w:sz w:val="22"/>
          <w:szCs w:val="22"/>
        </w:rPr>
        <w:t>投标供应商（盖章） ：</w:t>
      </w:r>
    </w:p>
    <w:p w14:paraId="187A887C">
      <w:pPr>
        <w:widowControl/>
        <w:snapToGrid w:val="0"/>
        <w:spacing w:line="460" w:lineRule="exact"/>
        <w:ind w:firstLine="440" w:firstLineChars="200"/>
        <w:jc w:val="left"/>
        <w:rPr>
          <w:rFonts w:ascii="宋体" w:cs="Courier New"/>
          <w:sz w:val="22"/>
          <w:szCs w:val="22"/>
        </w:rPr>
      </w:pPr>
      <w:r>
        <w:rPr>
          <w:rFonts w:hint="eastAsia" w:ascii="宋体" w:cs="Courier New"/>
          <w:sz w:val="22"/>
          <w:szCs w:val="22"/>
        </w:rPr>
        <w:t>法定代表人或其授权代表（签字或盖章）：</w:t>
      </w:r>
    </w:p>
    <w:p w14:paraId="56573052">
      <w:pPr>
        <w:autoSpaceDE w:val="0"/>
        <w:autoSpaceDN w:val="0"/>
        <w:adjustRightInd w:val="0"/>
        <w:spacing w:line="460" w:lineRule="atLeast"/>
        <w:ind w:firstLine="440" w:firstLineChars="200"/>
        <w:rPr>
          <w:rFonts w:ascii="宋体"/>
          <w:sz w:val="36"/>
        </w:rPr>
      </w:pPr>
      <w:r>
        <w:rPr>
          <w:rFonts w:hint="eastAsia" w:ascii="宋体" w:cs="Courier New"/>
          <w:sz w:val="22"/>
          <w:szCs w:val="22"/>
        </w:rPr>
        <w:t>日期：</w:t>
      </w:r>
    </w:p>
    <w:p w14:paraId="6107D518">
      <w:pPr>
        <w:pStyle w:val="22"/>
        <w:outlineLvl w:val="9"/>
        <w:rPr>
          <w:rFonts w:hint="eastAsia" w:ascii="宋体" w:hAnsi="宋体"/>
          <w:lang w:val="zh-CN"/>
        </w:rPr>
      </w:pPr>
    </w:p>
    <w:p w14:paraId="6C3D135B">
      <w:pPr>
        <w:pStyle w:val="22"/>
        <w:outlineLvl w:val="9"/>
        <w:rPr>
          <w:rFonts w:hint="eastAsia" w:ascii="宋体" w:hAnsi="宋体"/>
          <w:lang w:val="zh-CN"/>
        </w:rPr>
      </w:pPr>
    </w:p>
    <w:p w14:paraId="089293A1">
      <w:pPr>
        <w:pStyle w:val="22"/>
        <w:outlineLvl w:val="9"/>
        <w:rPr>
          <w:rFonts w:hint="eastAsia" w:ascii="宋体" w:hAnsi="宋体"/>
          <w:lang w:val="zh-CN"/>
        </w:rPr>
      </w:pPr>
    </w:p>
    <w:p w14:paraId="43523356">
      <w:pPr>
        <w:pStyle w:val="22"/>
        <w:outlineLvl w:val="9"/>
        <w:rPr>
          <w:rFonts w:hint="eastAsia" w:ascii="宋体" w:hAnsi="宋体"/>
          <w:lang w:val="zh-CN"/>
        </w:rPr>
      </w:pPr>
    </w:p>
    <w:p w14:paraId="7A6C20FE">
      <w:pPr>
        <w:pStyle w:val="22"/>
        <w:outlineLvl w:val="9"/>
        <w:rPr>
          <w:rFonts w:hint="eastAsia" w:ascii="宋体" w:hAnsi="宋体"/>
          <w:lang w:val="zh-CN"/>
        </w:rPr>
      </w:pPr>
    </w:p>
    <w:p w14:paraId="0E864D85">
      <w:pPr>
        <w:pStyle w:val="22"/>
        <w:outlineLvl w:val="9"/>
        <w:rPr>
          <w:rFonts w:hint="eastAsia" w:ascii="宋体" w:hAnsi="宋体"/>
          <w:lang w:val="zh-CN"/>
        </w:rPr>
      </w:pPr>
    </w:p>
    <w:p w14:paraId="58AA0048">
      <w:pPr>
        <w:rPr>
          <w:rFonts w:hint="eastAsia" w:ascii="宋体" w:hAnsi="宋体"/>
          <w:sz w:val="28"/>
          <w:szCs w:val="18"/>
          <w:lang w:val="zh-CN"/>
        </w:rPr>
      </w:pPr>
      <w:r>
        <w:rPr>
          <w:rFonts w:hint="eastAsia" w:ascii="宋体" w:hAnsi="宋体"/>
          <w:sz w:val="28"/>
          <w:szCs w:val="18"/>
          <w:lang w:val="zh-CN"/>
        </w:rPr>
        <w:br w:type="page"/>
      </w:r>
    </w:p>
    <w:p w14:paraId="11F63C1F">
      <w:pPr>
        <w:pStyle w:val="22"/>
        <w:outlineLvl w:val="2"/>
        <w:rPr>
          <w:rFonts w:hint="eastAsia" w:ascii="宋体" w:hAnsi="宋体"/>
          <w:sz w:val="28"/>
          <w:szCs w:val="18"/>
          <w:lang w:val="zh-CN"/>
        </w:rPr>
      </w:pPr>
      <w:r>
        <w:rPr>
          <w:rFonts w:hint="eastAsia" w:ascii="宋体" w:hAnsi="宋体"/>
          <w:sz w:val="28"/>
          <w:szCs w:val="18"/>
          <w:lang w:val="zh-CN"/>
        </w:rPr>
        <w:t>附件</w:t>
      </w:r>
      <w:r>
        <w:rPr>
          <w:rFonts w:hint="eastAsia" w:ascii="宋体" w:hAnsi="宋体"/>
          <w:sz w:val="28"/>
          <w:szCs w:val="18"/>
        </w:rPr>
        <w:t>八</w:t>
      </w:r>
      <w:r>
        <w:rPr>
          <w:rFonts w:hint="eastAsia" w:ascii="宋体" w:hAnsi="宋体"/>
          <w:sz w:val="28"/>
          <w:szCs w:val="18"/>
          <w:lang w:val="zh-CN"/>
        </w:rPr>
        <w:t xml:space="preserve"> 已标价工程量清单</w:t>
      </w:r>
    </w:p>
    <w:tbl>
      <w:tblPr>
        <w:tblStyle w:val="25"/>
        <w:tblW w:w="8850" w:type="dxa"/>
        <w:tblInd w:w="98"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36"/>
        <w:gridCol w:w="3891"/>
        <w:gridCol w:w="731"/>
        <w:gridCol w:w="1097"/>
        <w:gridCol w:w="1098"/>
        <w:gridCol w:w="1097"/>
      </w:tblGrid>
      <w:tr w14:paraId="267117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8850" w:type="dxa"/>
            <w:gridSpan w:val="6"/>
            <w:tcBorders>
              <w:top w:val="nil"/>
              <w:left w:val="nil"/>
              <w:bottom w:val="nil"/>
              <w:right w:val="nil"/>
            </w:tcBorders>
            <w:shd w:val="clear" w:color="auto" w:fill="FFFFFF"/>
          </w:tcPr>
          <w:p w14:paraId="17B7130F">
            <w:pPr>
              <w:keepNext w:val="0"/>
              <w:keepLines w:val="0"/>
              <w:widowControl/>
              <w:suppressLineNumbers w:val="0"/>
              <w:jc w:val="center"/>
              <w:textAlignment w:val="top"/>
              <w:rPr>
                <w:rFonts w:hint="eastAsia" w:ascii="宋体" w:hAnsi="宋体" w:eastAsia="宋体" w:cs="宋体"/>
                <w:b/>
                <w:bCs/>
                <w:i w:val="0"/>
                <w:iCs w:val="0"/>
                <w:color w:val="000000"/>
                <w:sz w:val="36"/>
                <w:szCs w:val="36"/>
                <w:u w:val="none"/>
              </w:rPr>
            </w:pPr>
            <w:r>
              <w:rPr>
                <w:rStyle w:val="133"/>
                <w:lang w:val="en-US" w:eastAsia="zh-CN"/>
              </w:rPr>
              <w:t>工程量清单表</w:t>
            </w:r>
          </w:p>
        </w:tc>
      </w:tr>
      <w:tr w14:paraId="28B4FD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4827" w:type="dxa"/>
            <w:gridSpan w:val="2"/>
            <w:tcBorders>
              <w:top w:val="nil"/>
              <w:left w:val="nil"/>
              <w:bottom w:val="nil"/>
              <w:right w:val="nil"/>
            </w:tcBorders>
            <w:shd w:val="clear" w:color="auto" w:fill="FFFFFF"/>
            <w:vAlign w:val="center"/>
          </w:tcPr>
          <w:p w14:paraId="537D3F7C">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Style w:val="131"/>
                <w:lang w:val="en-US" w:eastAsia="zh-CN"/>
              </w:rPr>
              <w:t>合同段：第LD01标段（路灯）</w:t>
            </w:r>
          </w:p>
        </w:tc>
        <w:tc>
          <w:tcPr>
            <w:tcW w:w="2926" w:type="dxa"/>
            <w:gridSpan w:val="3"/>
            <w:tcBorders>
              <w:top w:val="nil"/>
              <w:left w:val="nil"/>
              <w:bottom w:val="nil"/>
              <w:right w:val="nil"/>
            </w:tcBorders>
            <w:shd w:val="clear" w:color="auto" w:fill="FFFFFF"/>
            <w:vAlign w:val="center"/>
          </w:tcPr>
          <w:p w14:paraId="029B24F9">
            <w:pPr>
              <w:jc w:val="right"/>
              <w:rPr>
                <w:rFonts w:hint="eastAsia" w:ascii="宋体" w:hAnsi="宋体" w:eastAsia="宋体" w:cs="宋体"/>
                <w:i w:val="0"/>
                <w:iCs w:val="0"/>
                <w:color w:val="000000"/>
                <w:sz w:val="16"/>
                <w:szCs w:val="16"/>
                <w:u w:val="none"/>
              </w:rPr>
            </w:pPr>
          </w:p>
        </w:tc>
        <w:tc>
          <w:tcPr>
            <w:tcW w:w="1097" w:type="dxa"/>
            <w:tcBorders>
              <w:top w:val="nil"/>
              <w:left w:val="nil"/>
              <w:bottom w:val="nil"/>
              <w:right w:val="nil"/>
            </w:tcBorders>
            <w:shd w:val="clear" w:color="auto" w:fill="FFFFFF"/>
            <w:vAlign w:val="center"/>
          </w:tcPr>
          <w:p w14:paraId="25F8A0BC">
            <w:pPr>
              <w:keepNext w:val="0"/>
              <w:keepLines w:val="0"/>
              <w:widowControl/>
              <w:suppressLineNumbers w:val="0"/>
              <w:jc w:val="right"/>
              <w:textAlignment w:val="center"/>
              <w:rPr>
                <w:rFonts w:hint="eastAsia" w:ascii="宋体" w:hAnsi="宋体" w:eastAsia="宋体" w:cs="宋体"/>
                <w:i w:val="0"/>
                <w:iCs w:val="0"/>
                <w:color w:val="000000"/>
                <w:sz w:val="16"/>
                <w:szCs w:val="16"/>
                <w:u w:val="none"/>
              </w:rPr>
            </w:pPr>
            <w:r>
              <w:rPr>
                <w:rStyle w:val="131"/>
                <w:lang w:val="en-US" w:eastAsia="zh-CN"/>
              </w:rPr>
              <w:t>标表2</w:t>
            </w:r>
          </w:p>
        </w:tc>
      </w:tr>
      <w:tr w14:paraId="5BCCD6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0" w:hRule="atLeast"/>
        </w:trPr>
        <w:tc>
          <w:tcPr>
            <w:tcW w:w="8850" w:type="dxa"/>
            <w:gridSpan w:val="6"/>
            <w:tcBorders>
              <w:top w:val="single" w:color="000000" w:sz="8" w:space="0"/>
              <w:left w:val="single" w:color="000000" w:sz="8" w:space="0"/>
              <w:bottom w:val="single" w:color="000000" w:sz="4" w:space="0"/>
              <w:right w:val="single" w:color="000000" w:sz="8" w:space="0"/>
            </w:tcBorders>
            <w:shd w:val="clear" w:color="auto" w:fill="FFFFFF"/>
            <w:vAlign w:val="center"/>
          </w:tcPr>
          <w:p w14:paraId="488F1392">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rPr>
              <w:t>清单  第100章   总则</w:t>
            </w:r>
          </w:p>
        </w:tc>
      </w:tr>
      <w:tr w14:paraId="26CCE0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936" w:type="dxa"/>
            <w:tcBorders>
              <w:top w:val="nil"/>
              <w:left w:val="single" w:color="000000" w:sz="8" w:space="0"/>
              <w:bottom w:val="single" w:color="000000" w:sz="4" w:space="0"/>
              <w:right w:val="single" w:color="000000" w:sz="4" w:space="0"/>
            </w:tcBorders>
            <w:shd w:val="clear" w:color="auto" w:fill="FFFFFF"/>
            <w:vAlign w:val="center"/>
          </w:tcPr>
          <w:p w14:paraId="43FC11D4">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Style w:val="132"/>
                <w:lang w:val="en-US" w:eastAsia="zh-CN"/>
              </w:rPr>
              <w:t>子目号</w:t>
            </w:r>
          </w:p>
        </w:tc>
        <w:tc>
          <w:tcPr>
            <w:tcW w:w="3891" w:type="dxa"/>
            <w:tcBorders>
              <w:top w:val="nil"/>
              <w:left w:val="nil"/>
              <w:bottom w:val="single" w:color="000000" w:sz="4" w:space="0"/>
              <w:right w:val="single" w:color="000000" w:sz="4" w:space="0"/>
            </w:tcBorders>
            <w:shd w:val="clear" w:color="auto" w:fill="FFFFFF"/>
            <w:vAlign w:val="center"/>
          </w:tcPr>
          <w:p w14:paraId="7C06FA77">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Style w:val="132"/>
                <w:lang w:val="en-US" w:eastAsia="zh-CN"/>
              </w:rPr>
              <w:t>子目名称</w:t>
            </w:r>
          </w:p>
        </w:tc>
        <w:tc>
          <w:tcPr>
            <w:tcW w:w="731" w:type="dxa"/>
            <w:tcBorders>
              <w:top w:val="nil"/>
              <w:left w:val="nil"/>
              <w:bottom w:val="single" w:color="000000" w:sz="4" w:space="0"/>
              <w:right w:val="single" w:color="000000" w:sz="4" w:space="0"/>
            </w:tcBorders>
            <w:shd w:val="clear" w:color="auto" w:fill="FFFFFF"/>
            <w:vAlign w:val="center"/>
          </w:tcPr>
          <w:p w14:paraId="38C29FF1">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Style w:val="132"/>
                <w:lang w:val="en-US" w:eastAsia="zh-CN"/>
              </w:rPr>
              <w:t>单位</w:t>
            </w:r>
          </w:p>
        </w:tc>
        <w:tc>
          <w:tcPr>
            <w:tcW w:w="1097" w:type="dxa"/>
            <w:tcBorders>
              <w:top w:val="nil"/>
              <w:left w:val="nil"/>
              <w:bottom w:val="single" w:color="000000" w:sz="4" w:space="0"/>
              <w:right w:val="single" w:color="000000" w:sz="4" w:space="0"/>
            </w:tcBorders>
            <w:shd w:val="clear" w:color="auto" w:fill="FFFFFF"/>
            <w:vAlign w:val="center"/>
          </w:tcPr>
          <w:p w14:paraId="1C63E694">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Style w:val="132"/>
                <w:lang w:val="en-US" w:eastAsia="zh-CN"/>
              </w:rPr>
              <w:t>数量</w:t>
            </w:r>
          </w:p>
        </w:tc>
        <w:tc>
          <w:tcPr>
            <w:tcW w:w="1098" w:type="dxa"/>
            <w:tcBorders>
              <w:top w:val="nil"/>
              <w:left w:val="nil"/>
              <w:bottom w:val="single" w:color="000000" w:sz="4" w:space="0"/>
              <w:right w:val="single" w:color="000000" w:sz="4" w:space="0"/>
            </w:tcBorders>
            <w:shd w:val="clear" w:color="auto" w:fill="FFFFFF"/>
            <w:vAlign w:val="center"/>
          </w:tcPr>
          <w:p w14:paraId="494F901E">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Style w:val="132"/>
                <w:lang w:val="en-US" w:eastAsia="zh-CN"/>
              </w:rPr>
              <w:t>单价</w:t>
            </w:r>
          </w:p>
        </w:tc>
        <w:tc>
          <w:tcPr>
            <w:tcW w:w="1097" w:type="dxa"/>
            <w:tcBorders>
              <w:top w:val="nil"/>
              <w:left w:val="nil"/>
              <w:bottom w:val="single" w:color="000000" w:sz="4" w:space="0"/>
              <w:right w:val="single" w:color="000000" w:sz="8" w:space="0"/>
            </w:tcBorders>
            <w:shd w:val="clear" w:color="auto" w:fill="FFFFFF"/>
            <w:vAlign w:val="center"/>
          </w:tcPr>
          <w:p w14:paraId="755CEB2E">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Style w:val="132"/>
                <w:lang w:val="en-US" w:eastAsia="zh-CN"/>
              </w:rPr>
              <w:t>合价</w:t>
            </w:r>
          </w:p>
        </w:tc>
      </w:tr>
      <w:tr w14:paraId="0D0BF6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36" w:type="dxa"/>
            <w:tcBorders>
              <w:top w:val="nil"/>
              <w:left w:val="single" w:color="000000" w:sz="8" w:space="0"/>
              <w:bottom w:val="single" w:color="000000" w:sz="4" w:space="0"/>
              <w:right w:val="single" w:color="000000" w:sz="4" w:space="0"/>
            </w:tcBorders>
            <w:shd w:val="clear" w:color="auto" w:fill="FFFFFF"/>
            <w:vAlign w:val="center"/>
          </w:tcPr>
          <w:p w14:paraId="1FCDE29B">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Style w:val="131"/>
                <w:lang w:val="en-US" w:eastAsia="zh-CN"/>
              </w:rPr>
              <w:t>101</w:t>
            </w:r>
          </w:p>
        </w:tc>
        <w:tc>
          <w:tcPr>
            <w:tcW w:w="3891" w:type="dxa"/>
            <w:tcBorders>
              <w:top w:val="nil"/>
              <w:left w:val="nil"/>
              <w:bottom w:val="single" w:color="000000" w:sz="4" w:space="0"/>
              <w:right w:val="single" w:color="000000" w:sz="4" w:space="0"/>
            </w:tcBorders>
            <w:shd w:val="clear" w:color="auto" w:fill="FFFFFF"/>
            <w:vAlign w:val="center"/>
          </w:tcPr>
          <w:p w14:paraId="30C877DE">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Style w:val="131"/>
                <w:lang w:val="en-US" w:eastAsia="zh-CN"/>
              </w:rPr>
              <w:t>工程保险费</w:t>
            </w:r>
          </w:p>
        </w:tc>
        <w:tc>
          <w:tcPr>
            <w:tcW w:w="731" w:type="dxa"/>
            <w:tcBorders>
              <w:top w:val="nil"/>
              <w:left w:val="nil"/>
              <w:bottom w:val="single" w:color="000000" w:sz="4" w:space="0"/>
              <w:right w:val="single" w:color="000000" w:sz="4" w:space="0"/>
            </w:tcBorders>
            <w:shd w:val="clear" w:color="auto" w:fill="FFFFFF"/>
            <w:vAlign w:val="center"/>
          </w:tcPr>
          <w:p w14:paraId="5E907B9B">
            <w:pPr>
              <w:jc w:val="center"/>
              <w:rPr>
                <w:rFonts w:hint="eastAsia" w:ascii="宋体" w:hAnsi="宋体" w:eastAsia="宋体" w:cs="宋体"/>
                <w:i w:val="0"/>
                <w:iCs w:val="0"/>
                <w:color w:val="000000"/>
                <w:sz w:val="16"/>
                <w:szCs w:val="16"/>
                <w:u w:val="none"/>
              </w:rPr>
            </w:pPr>
          </w:p>
        </w:tc>
        <w:tc>
          <w:tcPr>
            <w:tcW w:w="1097" w:type="dxa"/>
            <w:tcBorders>
              <w:top w:val="nil"/>
              <w:left w:val="nil"/>
              <w:bottom w:val="single" w:color="000000" w:sz="4" w:space="0"/>
              <w:right w:val="single" w:color="000000" w:sz="4" w:space="0"/>
            </w:tcBorders>
            <w:shd w:val="clear" w:color="auto" w:fill="FFFFFF"/>
            <w:vAlign w:val="center"/>
          </w:tcPr>
          <w:p w14:paraId="3FF6D121">
            <w:pPr>
              <w:jc w:val="right"/>
              <w:rPr>
                <w:rFonts w:hint="eastAsia" w:ascii="Arial Narrow" w:hAnsi="Arial Narrow" w:eastAsia="Arial Narrow" w:cs="Arial Narrow"/>
                <w:i w:val="0"/>
                <w:iCs w:val="0"/>
                <w:color w:val="000000"/>
                <w:sz w:val="16"/>
                <w:szCs w:val="16"/>
                <w:u w:val="none"/>
              </w:rPr>
            </w:pPr>
          </w:p>
        </w:tc>
        <w:tc>
          <w:tcPr>
            <w:tcW w:w="1098" w:type="dxa"/>
            <w:tcBorders>
              <w:top w:val="nil"/>
              <w:left w:val="nil"/>
              <w:bottom w:val="single" w:color="000000" w:sz="4" w:space="0"/>
              <w:right w:val="single" w:color="000000" w:sz="4" w:space="0"/>
            </w:tcBorders>
            <w:shd w:val="clear" w:color="auto" w:fill="FFFFFF"/>
            <w:vAlign w:val="center"/>
          </w:tcPr>
          <w:p w14:paraId="5DF7E038">
            <w:pPr>
              <w:jc w:val="right"/>
              <w:rPr>
                <w:rFonts w:ascii="Arial Narrow" w:hAnsi="Arial Narrow" w:eastAsia="Arial Narrow" w:cs="Arial Narrow"/>
                <w:i w:val="0"/>
                <w:iCs w:val="0"/>
                <w:color w:val="000000"/>
                <w:sz w:val="16"/>
                <w:szCs w:val="16"/>
                <w:u w:val="none"/>
              </w:rPr>
            </w:pPr>
          </w:p>
        </w:tc>
        <w:tc>
          <w:tcPr>
            <w:tcW w:w="1097" w:type="dxa"/>
            <w:tcBorders>
              <w:top w:val="nil"/>
              <w:left w:val="nil"/>
              <w:bottom w:val="single" w:color="000000" w:sz="4" w:space="0"/>
              <w:right w:val="single" w:color="000000" w:sz="8" w:space="0"/>
            </w:tcBorders>
            <w:shd w:val="clear" w:color="auto" w:fill="FFFFFF"/>
            <w:vAlign w:val="center"/>
          </w:tcPr>
          <w:p w14:paraId="4CC55E39">
            <w:pPr>
              <w:jc w:val="right"/>
              <w:rPr>
                <w:rFonts w:ascii="Arial Narrow" w:hAnsi="Arial Narrow" w:eastAsia="Arial Narrow" w:cs="Arial Narrow"/>
                <w:i w:val="0"/>
                <w:iCs w:val="0"/>
                <w:color w:val="000000"/>
                <w:sz w:val="16"/>
                <w:szCs w:val="16"/>
                <w:u w:val="none"/>
              </w:rPr>
            </w:pPr>
          </w:p>
        </w:tc>
      </w:tr>
      <w:tr w14:paraId="5FB2C4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36" w:type="dxa"/>
            <w:tcBorders>
              <w:top w:val="nil"/>
              <w:left w:val="single" w:color="000000" w:sz="8" w:space="0"/>
              <w:bottom w:val="single" w:color="000000" w:sz="4" w:space="0"/>
              <w:right w:val="single" w:color="000000" w:sz="4" w:space="0"/>
            </w:tcBorders>
            <w:shd w:val="clear" w:color="auto" w:fill="FFFFFF"/>
            <w:vAlign w:val="center"/>
          </w:tcPr>
          <w:p w14:paraId="2B3580B2">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Style w:val="131"/>
                <w:lang w:val="en-US" w:eastAsia="zh-CN"/>
              </w:rPr>
              <w:t>101-1</w:t>
            </w:r>
          </w:p>
        </w:tc>
        <w:tc>
          <w:tcPr>
            <w:tcW w:w="3891" w:type="dxa"/>
            <w:tcBorders>
              <w:top w:val="nil"/>
              <w:left w:val="nil"/>
              <w:bottom w:val="single" w:color="000000" w:sz="4" w:space="0"/>
              <w:right w:val="single" w:color="000000" w:sz="4" w:space="0"/>
            </w:tcBorders>
            <w:shd w:val="clear" w:color="auto" w:fill="FFFFFF"/>
            <w:vAlign w:val="center"/>
          </w:tcPr>
          <w:p w14:paraId="476A4CBF">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Style w:val="131"/>
                <w:lang w:val="en-US" w:eastAsia="zh-CN"/>
              </w:rPr>
              <w:t>保险费</w:t>
            </w:r>
          </w:p>
        </w:tc>
        <w:tc>
          <w:tcPr>
            <w:tcW w:w="731" w:type="dxa"/>
            <w:tcBorders>
              <w:top w:val="nil"/>
              <w:left w:val="nil"/>
              <w:bottom w:val="single" w:color="000000" w:sz="4" w:space="0"/>
              <w:right w:val="single" w:color="000000" w:sz="4" w:space="0"/>
            </w:tcBorders>
            <w:shd w:val="clear" w:color="auto" w:fill="FFFFFF"/>
            <w:vAlign w:val="center"/>
          </w:tcPr>
          <w:p w14:paraId="40AC02B1">
            <w:pPr>
              <w:jc w:val="center"/>
              <w:rPr>
                <w:rFonts w:hint="eastAsia" w:ascii="宋体" w:hAnsi="宋体" w:eastAsia="宋体" w:cs="宋体"/>
                <w:i w:val="0"/>
                <w:iCs w:val="0"/>
                <w:color w:val="000000"/>
                <w:sz w:val="16"/>
                <w:szCs w:val="16"/>
                <w:u w:val="none"/>
              </w:rPr>
            </w:pPr>
          </w:p>
        </w:tc>
        <w:tc>
          <w:tcPr>
            <w:tcW w:w="1097" w:type="dxa"/>
            <w:tcBorders>
              <w:top w:val="nil"/>
              <w:left w:val="nil"/>
              <w:bottom w:val="single" w:color="000000" w:sz="4" w:space="0"/>
              <w:right w:val="single" w:color="000000" w:sz="4" w:space="0"/>
            </w:tcBorders>
            <w:shd w:val="clear" w:color="auto" w:fill="FFFFFF"/>
            <w:vAlign w:val="center"/>
          </w:tcPr>
          <w:p w14:paraId="6182B545">
            <w:pPr>
              <w:jc w:val="right"/>
              <w:rPr>
                <w:rFonts w:ascii="Arial Narrow" w:hAnsi="Arial Narrow" w:eastAsia="Arial Narrow" w:cs="Arial Narrow"/>
                <w:i w:val="0"/>
                <w:iCs w:val="0"/>
                <w:color w:val="000000"/>
                <w:sz w:val="16"/>
                <w:szCs w:val="16"/>
                <w:u w:val="none"/>
              </w:rPr>
            </w:pPr>
          </w:p>
        </w:tc>
        <w:tc>
          <w:tcPr>
            <w:tcW w:w="1098" w:type="dxa"/>
            <w:tcBorders>
              <w:top w:val="nil"/>
              <w:left w:val="nil"/>
              <w:bottom w:val="single" w:color="000000" w:sz="4" w:space="0"/>
              <w:right w:val="single" w:color="000000" w:sz="4" w:space="0"/>
            </w:tcBorders>
            <w:shd w:val="clear" w:color="auto" w:fill="FFFFFF"/>
            <w:vAlign w:val="center"/>
          </w:tcPr>
          <w:p w14:paraId="19D04D2A">
            <w:pPr>
              <w:jc w:val="right"/>
              <w:rPr>
                <w:rFonts w:ascii="Arial Narrow" w:hAnsi="Arial Narrow" w:eastAsia="Arial Narrow" w:cs="Arial Narrow"/>
                <w:i w:val="0"/>
                <w:iCs w:val="0"/>
                <w:color w:val="000000"/>
                <w:sz w:val="16"/>
                <w:szCs w:val="16"/>
                <w:u w:val="none"/>
              </w:rPr>
            </w:pPr>
          </w:p>
        </w:tc>
        <w:tc>
          <w:tcPr>
            <w:tcW w:w="1097" w:type="dxa"/>
            <w:tcBorders>
              <w:top w:val="nil"/>
              <w:left w:val="nil"/>
              <w:bottom w:val="single" w:color="000000" w:sz="4" w:space="0"/>
              <w:right w:val="single" w:color="000000" w:sz="8" w:space="0"/>
            </w:tcBorders>
            <w:shd w:val="clear" w:color="auto" w:fill="FFFFFF"/>
            <w:vAlign w:val="center"/>
          </w:tcPr>
          <w:p w14:paraId="284F9CF4">
            <w:pPr>
              <w:jc w:val="right"/>
              <w:rPr>
                <w:rFonts w:ascii="Arial Narrow" w:hAnsi="Arial Narrow" w:eastAsia="Arial Narrow" w:cs="Arial Narrow"/>
                <w:i w:val="0"/>
                <w:iCs w:val="0"/>
                <w:color w:val="000000"/>
                <w:sz w:val="16"/>
                <w:szCs w:val="16"/>
                <w:u w:val="none"/>
              </w:rPr>
            </w:pPr>
          </w:p>
        </w:tc>
      </w:tr>
      <w:tr w14:paraId="636BA0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36" w:type="dxa"/>
            <w:tcBorders>
              <w:top w:val="nil"/>
              <w:left w:val="single" w:color="000000" w:sz="8" w:space="0"/>
              <w:bottom w:val="single" w:color="000000" w:sz="4" w:space="0"/>
              <w:right w:val="single" w:color="000000" w:sz="4" w:space="0"/>
            </w:tcBorders>
            <w:shd w:val="clear" w:color="auto" w:fill="FFFFFF"/>
            <w:vAlign w:val="center"/>
          </w:tcPr>
          <w:p w14:paraId="0865D9AC">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Style w:val="131"/>
                <w:lang w:val="en-US" w:eastAsia="zh-CN"/>
              </w:rPr>
              <w:t>101-1-1</w:t>
            </w:r>
          </w:p>
        </w:tc>
        <w:tc>
          <w:tcPr>
            <w:tcW w:w="3891" w:type="dxa"/>
            <w:tcBorders>
              <w:top w:val="nil"/>
              <w:left w:val="nil"/>
              <w:bottom w:val="single" w:color="000000" w:sz="4" w:space="0"/>
              <w:right w:val="single" w:color="000000" w:sz="4" w:space="0"/>
            </w:tcBorders>
            <w:shd w:val="clear" w:color="auto" w:fill="FFFFFF"/>
            <w:vAlign w:val="center"/>
          </w:tcPr>
          <w:p w14:paraId="250C46B7">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Style w:val="131"/>
                <w:rFonts w:hint="eastAsia"/>
                <w:lang w:val="en-US" w:eastAsia="zh-CN"/>
              </w:rPr>
              <w:t>按合同条款规定，提供建筑工程一切险（含第三方责任险）</w:t>
            </w:r>
          </w:p>
        </w:tc>
        <w:tc>
          <w:tcPr>
            <w:tcW w:w="731" w:type="dxa"/>
            <w:tcBorders>
              <w:top w:val="nil"/>
              <w:left w:val="nil"/>
              <w:bottom w:val="single" w:color="000000" w:sz="4" w:space="0"/>
              <w:right w:val="single" w:color="000000" w:sz="4" w:space="0"/>
            </w:tcBorders>
            <w:shd w:val="clear" w:color="auto" w:fill="FFFFFF"/>
            <w:vAlign w:val="center"/>
          </w:tcPr>
          <w:p w14:paraId="3A9E01BD">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Style w:val="131"/>
                <w:lang w:val="en-US" w:eastAsia="zh-CN"/>
              </w:rPr>
              <w:t>总额</w:t>
            </w:r>
          </w:p>
        </w:tc>
        <w:tc>
          <w:tcPr>
            <w:tcW w:w="1097" w:type="dxa"/>
            <w:tcBorders>
              <w:top w:val="nil"/>
              <w:left w:val="nil"/>
              <w:bottom w:val="single" w:color="000000" w:sz="4" w:space="0"/>
              <w:right w:val="single" w:color="000000" w:sz="4" w:space="0"/>
            </w:tcBorders>
            <w:shd w:val="clear" w:color="auto" w:fill="FFFFFF"/>
            <w:vAlign w:val="center"/>
          </w:tcPr>
          <w:p w14:paraId="26D14EF3">
            <w:pPr>
              <w:keepNext w:val="0"/>
              <w:keepLines w:val="0"/>
              <w:widowControl/>
              <w:suppressLineNumbers w:val="0"/>
              <w:jc w:val="right"/>
              <w:textAlignment w:val="center"/>
              <w:rPr>
                <w:rFonts w:ascii="Arial Narrow" w:hAnsi="Arial Narrow" w:eastAsia="Arial Narrow" w:cs="Arial Narrow"/>
                <w:i w:val="0"/>
                <w:iCs w:val="0"/>
                <w:color w:val="000000"/>
                <w:sz w:val="16"/>
                <w:szCs w:val="16"/>
                <w:u w:val="none"/>
              </w:rPr>
            </w:pPr>
            <w:r>
              <w:rPr>
                <w:rFonts w:ascii="Arial Narrow" w:hAnsi="Arial Narrow" w:eastAsia="Arial Narrow" w:cs="Arial Narrow"/>
                <w:i w:val="0"/>
                <w:iCs w:val="0"/>
                <w:color w:val="000000"/>
                <w:kern w:val="0"/>
                <w:sz w:val="16"/>
                <w:szCs w:val="16"/>
                <w:u w:val="none"/>
                <w:lang w:val="en-US" w:eastAsia="zh-CN"/>
              </w:rPr>
              <w:t>1</w:t>
            </w:r>
          </w:p>
        </w:tc>
        <w:tc>
          <w:tcPr>
            <w:tcW w:w="1098" w:type="dxa"/>
            <w:tcBorders>
              <w:top w:val="nil"/>
              <w:left w:val="nil"/>
              <w:bottom w:val="single" w:color="000000" w:sz="4" w:space="0"/>
              <w:right w:val="single" w:color="000000" w:sz="4" w:space="0"/>
            </w:tcBorders>
            <w:shd w:val="clear" w:color="auto" w:fill="FFFFFF"/>
            <w:vAlign w:val="center"/>
          </w:tcPr>
          <w:p w14:paraId="3A99E0DB">
            <w:pPr>
              <w:keepNext w:val="0"/>
              <w:keepLines w:val="0"/>
              <w:widowControl/>
              <w:suppressLineNumbers w:val="0"/>
              <w:jc w:val="right"/>
              <w:textAlignment w:val="center"/>
              <w:rPr>
                <w:rFonts w:ascii="Arial Narrow" w:hAnsi="Arial Narrow" w:eastAsia="Arial Narrow" w:cs="Arial Narrow"/>
                <w:i w:val="0"/>
                <w:iCs w:val="0"/>
                <w:color w:val="000000"/>
                <w:sz w:val="16"/>
                <w:szCs w:val="16"/>
                <w:u w:val="none"/>
              </w:rPr>
            </w:pPr>
          </w:p>
        </w:tc>
        <w:tc>
          <w:tcPr>
            <w:tcW w:w="1097" w:type="dxa"/>
            <w:tcBorders>
              <w:top w:val="nil"/>
              <w:left w:val="nil"/>
              <w:bottom w:val="single" w:color="000000" w:sz="4" w:space="0"/>
              <w:right w:val="single" w:color="000000" w:sz="8" w:space="0"/>
            </w:tcBorders>
            <w:shd w:val="clear" w:color="auto" w:fill="FFFFFF"/>
            <w:vAlign w:val="center"/>
          </w:tcPr>
          <w:p w14:paraId="70C79C7B">
            <w:pPr>
              <w:keepNext w:val="0"/>
              <w:keepLines w:val="0"/>
              <w:widowControl/>
              <w:suppressLineNumbers w:val="0"/>
              <w:jc w:val="right"/>
              <w:textAlignment w:val="center"/>
              <w:rPr>
                <w:rFonts w:ascii="Arial Narrow" w:hAnsi="Arial Narrow" w:eastAsia="Arial Narrow" w:cs="Arial Narrow"/>
                <w:i w:val="0"/>
                <w:iCs w:val="0"/>
                <w:color w:val="000000"/>
                <w:sz w:val="16"/>
                <w:szCs w:val="16"/>
                <w:u w:val="none"/>
              </w:rPr>
            </w:pPr>
          </w:p>
        </w:tc>
      </w:tr>
      <w:tr w14:paraId="6A115C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36" w:type="dxa"/>
            <w:tcBorders>
              <w:top w:val="nil"/>
              <w:left w:val="single" w:color="000000" w:sz="8" w:space="0"/>
              <w:bottom w:val="single" w:color="000000" w:sz="4" w:space="0"/>
              <w:right w:val="single" w:color="000000" w:sz="4" w:space="0"/>
            </w:tcBorders>
            <w:shd w:val="clear" w:color="auto" w:fill="FFFFFF"/>
            <w:vAlign w:val="center"/>
          </w:tcPr>
          <w:p w14:paraId="38F4FD06">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Style w:val="131"/>
                <w:lang w:val="en-US" w:eastAsia="zh-CN"/>
              </w:rPr>
              <w:t>102</w:t>
            </w:r>
          </w:p>
        </w:tc>
        <w:tc>
          <w:tcPr>
            <w:tcW w:w="3891" w:type="dxa"/>
            <w:tcBorders>
              <w:top w:val="nil"/>
              <w:left w:val="nil"/>
              <w:bottom w:val="single" w:color="000000" w:sz="4" w:space="0"/>
              <w:right w:val="single" w:color="000000" w:sz="4" w:space="0"/>
            </w:tcBorders>
            <w:shd w:val="clear" w:color="auto" w:fill="FFFFFF"/>
            <w:vAlign w:val="center"/>
          </w:tcPr>
          <w:p w14:paraId="32E8A8FC">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Style w:val="131"/>
                <w:lang w:val="en-US" w:eastAsia="zh-CN"/>
              </w:rPr>
              <w:t>工程管理</w:t>
            </w:r>
          </w:p>
        </w:tc>
        <w:tc>
          <w:tcPr>
            <w:tcW w:w="731" w:type="dxa"/>
            <w:tcBorders>
              <w:top w:val="nil"/>
              <w:left w:val="nil"/>
              <w:bottom w:val="single" w:color="000000" w:sz="4" w:space="0"/>
              <w:right w:val="single" w:color="000000" w:sz="4" w:space="0"/>
            </w:tcBorders>
            <w:shd w:val="clear" w:color="auto" w:fill="FFFFFF"/>
            <w:vAlign w:val="center"/>
          </w:tcPr>
          <w:p w14:paraId="32CE1B45">
            <w:pPr>
              <w:jc w:val="center"/>
              <w:rPr>
                <w:rFonts w:hint="eastAsia" w:ascii="宋体" w:hAnsi="宋体" w:eastAsia="宋体" w:cs="宋体"/>
                <w:i w:val="0"/>
                <w:iCs w:val="0"/>
                <w:color w:val="000000"/>
                <w:sz w:val="16"/>
                <w:szCs w:val="16"/>
                <w:u w:val="none"/>
              </w:rPr>
            </w:pPr>
          </w:p>
        </w:tc>
        <w:tc>
          <w:tcPr>
            <w:tcW w:w="1097" w:type="dxa"/>
            <w:tcBorders>
              <w:top w:val="nil"/>
              <w:left w:val="nil"/>
              <w:bottom w:val="single" w:color="000000" w:sz="4" w:space="0"/>
              <w:right w:val="single" w:color="000000" w:sz="4" w:space="0"/>
            </w:tcBorders>
            <w:shd w:val="clear" w:color="auto" w:fill="FFFFFF"/>
            <w:vAlign w:val="center"/>
          </w:tcPr>
          <w:p w14:paraId="3F72E0C4">
            <w:pPr>
              <w:jc w:val="right"/>
              <w:rPr>
                <w:rFonts w:ascii="Arial Narrow" w:hAnsi="Arial Narrow" w:eastAsia="Arial Narrow" w:cs="Arial Narrow"/>
                <w:i w:val="0"/>
                <w:iCs w:val="0"/>
                <w:color w:val="000000"/>
                <w:sz w:val="16"/>
                <w:szCs w:val="16"/>
                <w:u w:val="none"/>
              </w:rPr>
            </w:pPr>
          </w:p>
        </w:tc>
        <w:tc>
          <w:tcPr>
            <w:tcW w:w="1098" w:type="dxa"/>
            <w:tcBorders>
              <w:top w:val="nil"/>
              <w:left w:val="nil"/>
              <w:bottom w:val="single" w:color="000000" w:sz="4" w:space="0"/>
              <w:right w:val="single" w:color="000000" w:sz="4" w:space="0"/>
            </w:tcBorders>
            <w:shd w:val="clear" w:color="auto" w:fill="FFFFFF"/>
            <w:vAlign w:val="center"/>
          </w:tcPr>
          <w:p w14:paraId="487AC107">
            <w:pPr>
              <w:jc w:val="right"/>
              <w:rPr>
                <w:rFonts w:ascii="Arial Narrow" w:hAnsi="Arial Narrow" w:eastAsia="Arial Narrow" w:cs="Arial Narrow"/>
                <w:i w:val="0"/>
                <w:iCs w:val="0"/>
                <w:color w:val="000000"/>
                <w:sz w:val="16"/>
                <w:szCs w:val="16"/>
                <w:u w:val="none"/>
              </w:rPr>
            </w:pPr>
          </w:p>
        </w:tc>
        <w:tc>
          <w:tcPr>
            <w:tcW w:w="1097" w:type="dxa"/>
            <w:tcBorders>
              <w:top w:val="nil"/>
              <w:left w:val="nil"/>
              <w:bottom w:val="single" w:color="000000" w:sz="4" w:space="0"/>
              <w:right w:val="single" w:color="000000" w:sz="8" w:space="0"/>
            </w:tcBorders>
            <w:shd w:val="clear" w:color="auto" w:fill="FFFFFF"/>
            <w:vAlign w:val="center"/>
          </w:tcPr>
          <w:p w14:paraId="1D764B96">
            <w:pPr>
              <w:jc w:val="right"/>
              <w:rPr>
                <w:rFonts w:ascii="Arial Narrow" w:hAnsi="Arial Narrow" w:eastAsia="Arial Narrow" w:cs="Arial Narrow"/>
                <w:i w:val="0"/>
                <w:iCs w:val="0"/>
                <w:color w:val="000000"/>
                <w:sz w:val="16"/>
                <w:szCs w:val="16"/>
                <w:u w:val="none"/>
              </w:rPr>
            </w:pPr>
          </w:p>
        </w:tc>
      </w:tr>
      <w:tr w14:paraId="51073A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36" w:type="dxa"/>
            <w:tcBorders>
              <w:top w:val="nil"/>
              <w:left w:val="single" w:color="000000" w:sz="8" w:space="0"/>
              <w:bottom w:val="single" w:color="000000" w:sz="4" w:space="0"/>
              <w:right w:val="single" w:color="000000" w:sz="4" w:space="0"/>
            </w:tcBorders>
            <w:shd w:val="clear" w:color="auto" w:fill="FFFFFF"/>
            <w:vAlign w:val="center"/>
          </w:tcPr>
          <w:p w14:paraId="5D05287B">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Style w:val="131"/>
                <w:lang w:val="en-US" w:eastAsia="zh-CN"/>
              </w:rPr>
              <w:t>102-1</w:t>
            </w:r>
          </w:p>
        </w:tc>
        <w:tc>
          <w:tcPr>
            <w:tcW w:w="3891" w:type="dxa"/>
            <w:tcBorders>
              <w:top w:val="nil"/>
              <w:left w:val="nil"/>
              <w:bottom w:val="single" w:color="000000" w:sz="4" w:space="0"/>
              <w:right w:val="single" w:color="000000" w:sz="4" w:space="0"/>
            </w:tcBorders>
            <w:shd w:val="clear" w:color="auto" w:fill="FFFFFF"/>
            <w:vAlign w:val="center"/>
          </w:tcPr>
          <w:p w14:paraId="62D7800F">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Style w:val="131"/>
                <w:lang w:val="en-US" w:eastAsia="zh-CN"/>
              </w:rPr>
              <w:t>竣工文件</w:t>
            </w:r>
          </w:p>
        </w:tc>
        <w:tc>
          <w:tcPr>
            <w:tcW w:w="731" w:type="dxa"/>
            <w:tcBorders>
              <w:top w:val="nil"/>
              <w:left w:val="nil"/>
              <w:bottom w:val="single" w:color="000000" w:sz="4" w:space="0"/>
              <w:right w:val="single" w:color="000000" w:sz="4" w:space="0"/>
            </w:tcBorders>
            <w:shd w:val="clear" w:color="auto" w:fill="FFFFFF"/>
            <w:vAlign w:val="center"/>
          </w:tcPr>
          <w:p w14:paraId="157F0008">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Style w:val="131"/>
                <w:lang w:val="en-US" w:eastAsia="zh-CN"/>
              </w:rPr>
              <w:t>总额</w:t>
            </w:r>
          </w:p>
        </w:tc>
        <w:tc>
          <w:tcPr>
            <w:tcW w:w="1097" w:type="dxa"/>
            <w:tcBorders>
              <w:top w:val="nil"/>
              <w:left w:val="nil"/>
              <w:bottom w:val="single" w:color="000000" w:sz="4" w:space="0"/>
              <w:right w:val="single" w:color="000000" w:sz="4" w:space="0"/>
            </w:tcBorders>
            <w:shd w:val="clear" w:color="auto" w:fill="FFFFFF"/>
            <w:vAlign w:val="center"/>
          </w:tcPr>
          <w:p w14:paraId="6944C046">
            <w:pPr>
              <w:keepNext w:val="0"/>
              <w:keepLines w:val="0"/>
              <w:widowControl/>
              <w:suppressLineNumbers w:val="0"/>
              <w:jc w:val="right"/>
              <w:textAlignment w:val="center"/>
              <w:rPr>
                <w:rFonts w:ascii="Arial Narrow" w:hAnsi="Arial Narrow" w:eastAsia="Arial Narrow" w:cs="Arial Narrow"/>
                <w:i w:val="0"/>
                <w:iCs w:val="0"/>
                <w:color w:val="000000"/>
                <w:sz w:val="16"/>
                <w:szCs w:val="16"/>
                <w:u w:val="none"/>
              </w:rPr>
            </w:pPr>
            <w:r>
              <w:rPr>
                <w:rFonts w:ascii="Arial Narrow" w:hAnsi="Arial Narrow" w:eastAsia="Arial Narrow" w:cs="Arial Narrow"/>
                <w:i w:val="0"/>
                <w:iCs w:val="0"/>
                <w:color w:val="000000"/>
                <w:kern w:val="0"/>
                <w:sz w:val="16"/>
                <w:szCs w:val="16"/>
                <w:u w:val="none"/>
                <w:lang w:val="en-US" w:eastAsia="zh-CN"/>
              </w:rPr>
              <w:t>1</w:t>
            </w:r>
          </w:p>
        </w:tc>
        <w:tc>
          <w:tcPr>
            <w:tcW w:w="1098" w:type="dxa"/>
            <w:tcBorders>
              <w:top w:val="nil"/>
              <w:left w:val="nil"/>
              <w:bottom w:val="single" w:color="000000" w:sz="4" w:space="0"/>
              <w:right w:val="single" w:color="000000" w:sz="4" w:space="0"/>
            </w:tcBorders>
            <w:shd w:val="clear" w:color="auto" w:fill="FFFFFF"/>
            <w:vAlign w:val="center"/>
          </w:tcPr>
          <w:p w14:paraId="5DB0498C">
            <w:pPr>
              <w:jc w:val="right"/>
              <w:rPr>
                <w:rFonts w:ascii="Arial Narrow" w:hAnsi="Arial Narrow" w:eastAsia="Arial Narrow" w:cs="Arial Narrow"/>
                <w:i w:val="0"/>
                <w:iCs w:val="0"/>
                <w:color w:val="000000"/>
                <w:sz w:val="16"/>
                <w:szCs w:val="16"/>
                <w:u w:val="none"/>
              </w:rPr>
            </w:pPr>
          </w:p>
        </w:tc>
        <w:tc>
          <w:tcPr>
            <w:tcW w:w="1097" w:type="dxa"/>
            <w:tcBorders>
              <w:top w:val="nil"/>
              <w:left w:val="nil"/>
              <w:bottom w:val="single" w:color="000000" w:sz="4" w:space="0"/>
              <w:right w:val="single" w:color="000000" w:sz="8" w:space="0"/>
            </w:tcBorders>
            <w:shd w:val="clear" w:color="auto" w:fill="FFFFFF"/>
            <w:vAlign w:val="center"/>
          </w:tcPr>
          <w:p w14:paraId="02DE2674">
            <w:pPr>
              <w:jc w:val="right"/>
              <w:rPr>
                <w:rFonts w:ascii="Arial Narrow" w:hAnsi="Arial Narrow" w:eastAsia="Arial Narrow" w:cs="Arial Narrow"/>
                <w:i w:val="0"/>
                <w:iCs w:val="0"/>
                <w:color w:val="000000"/>
                <w:sz w:val="16"/>
                <w:szCs w:val="16"/>
                <w:u w:val="none"/>
              </w:rPr>
            </w:pPr>
          </w:p>
        </w:tc>
      </w:tr>
      <w:tr w14:paraId="63D2D3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36" w:type="dxa"/>
            <w:tcBorders>
              <w:top w:val="nil"/>
              <w:left w:val="single" w:color="000000" w:sz="8" w:space="0"/>
              <w:bottom w:val="single" w:color="000000" w:sz="4" w:space="0"/>
              <w:right w:val="single" w:color="000000" w:sz="4" w:space="0"/>
            </w:tcBorders>
            <w:shd w:val="clear" w:color="auto" w:fill="FFFFFF"/>
            <w:vAlign w:val="center"/>
          </w:tcPr>
          <w:p w14:paraId="07289341">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Style w:val="131"/>
                <w:lang w:val="en-US" w:eastAsia="zh-CN"/>
              </w:rPr>
              <w:t>102-2</w:t>
            </w:r>
          </w:p>
        </w:tc>
        <w:tc>
          <w:tcPr>
            <w:tcW w:w="3891" w:type="dxa"/>
            <w:tcBorders>
              <w:top w:val="nil"/>
              <w:left w:val="nil"/>
              <w:bottom w:val="single" w:color="000000" w:sz="4" w:space="0"/>
              <w:right w:val="single" w:color="000000" w:sz="4" w:space="0"/>
            </w:tcBorders>
            <w:shd w:val="clear" w:color="auto" w:fill="FFFFFF"/>
            <w:vAlign w:val="center"/>
          </w:tcPr>
          <w:p w14:paraId="1B02D2A0">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Style w:val="131"/>
                <w:lang w:val="en-US" w:eastAsia="zh-CN"/>
              </w:rPr>
              <w:t>施工环保费</w:t>
            </w:r>
          </w:p>
        </w:tc>
        <w:tc>
          <w:tcPr>
            <w:tcW w:w="731" w:type="dxa"/>
            <w:tcBorders>
              <w:top w:val="nil"/>
              <w:left w:val="nil"/>
              <w:bottom w:val="single" w:color="000000" w:sz="4" w:space="0"/>
              <w:right w:val="single" w:color="000000" w:sz="4" w:space="0"/>
            </w:tcBorders>
            <w:shd w:val="clear" w:color="auto" w:fill="FFFFFF"/>
            <w:vAlign w:val="center"/>
          </w:tcPr>
          <w:p w14:paraId="0B2B21BE">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Style w:val="131"/>
                <w:lang w:val="en-US" w:eastAsia="zh-CN"/>
              </w:rPr>
              <w:t>总额</w:t>
            </w:r>
          </w:p>
        </w:tc>
        <w:tc>
          <w:tcPr>
            <w:tcW w:w="1097" w:type="dxa"/>
            <w:tcBorders>
              <w:top w:val="nil"/>
              <w:left w:val="nil"/>
              <w:bottom w:val="single" w:color="000000" w:sz="4" w:space="0"/>
              <w:right w:val="single" w:color="000000" w:sz="4" w:space="0"/>
            </w:tcBorders>
            <w:shd w:val="clear" w:color="auto" w:fill="FFFFFF"/>
            <w:vAlign w:val="center"/>
          </w:tcPr>
          <w:p w14:paraId="75F0D06B">
            <w:pPr>
              <w:keepNext w:val="0"/>
              <w:keepLines w:val="0"/>
              <w:widowControl/>
              <w:suppressLineNumbers w:val="0"/>
              <w:jc w:val="right"/>
              <w:textAlignment w:val="center"/>
              <w:rPr>
                <w:rFonts w:ascii="Arial Narrow" w:hAnsi="Arial Narrow" w:eastAsia="Arial Narrow" w:cs="Arial Narrow"/>
                <w:i w:val="0"/>
                <w:iCs w:val="0"/>
                <w:color w:val="000000"/>
                <w:sz w:val="16"/>
                <w:szCs w:val="16"/>
                <w:u w:val="none"/>
              </w:rPr>
            </w:pPr>
            <w:r>
              <w:rPr>
                <w:rFonts w:ascii="Arial Narrow" w:hAnsi="Arial Narrow" w:eastAsia="Arial Narrow" w:cs="Arial Narrow"/>
                <w:i w:val="0"/>
                <w:iCs w:val="0"/>
                <w:color w:val="000000"/>
                <w:kern w:val="0"/>
                <w:sz w:val="16"/>
                <w:szCs w:val="16"/>
                <w:u w:val="none"/>
                <w:lang w:val="en-US" w:eastAsia="zh-CN"/>
              </w:rPr>
              <w:t>1</w:t>
            </w:r>
          </w:p>
        </w:tc>
        <w:tc>
          <w:tcPr>
            <w:tcW w:w="1098" w:type="dxa"/>
            <w:tcBorders>
              <w:top w:val="nil"/>
              <w:left w:val="nil"/>
              <w:bottom w:val="single" w:color="000000" w:sz="4" w:space="0"/>
              <w:right w:val="single" w:color="000000" w:sz="4" w:space="0"/>
            </w:tcBorders>
            <w:shd w:val="clear" w:color="auto" w:fill="FFFFFF"/>
            <w:vAlign w:val="center"/>
          </w:tcPr>
          <w:p w14:paraId="34ADCC89">
            <w:pPr>
              <w:keepNext w:val="0"/>
              <w:keepLines w:val="0"/>
              <w:widowControl/>
              <w:suppressLineNumbers w:val="0"/>
              <w:jc w:val="right"/>
              <w:textAlignment w:val="center"/>
              <w:rPr>
                <w:rFonts w:ascii="Arial Narrow" w:hAnsi="Arial Narrow" w:eastAsia="Arial Narrow" w:cs="Arial Narrow"/>
                <w:i w:val="0"/>
                <w:iCs w:val="0"/>
                <w:color w:val="000000"/>
                <w:sz w:val="16"/>
                <w:szCs w:val="16"/>
                <w:u w:val="none"/>
              </w:rPr>
            </w:pPr>
          </w:p>
        </w:tc>
        <w:tc>
          <w:tcPr>
            <w:tcW w:w="1097" w:type="dxa"/>
            <w:tcBorders>
              <w:top w:val="nil"/>
              <w:left w:val="nil"/>
              <w:bottom w:val="single" w:color="000000" w:sz="4" w:space="0"/>
              <w:right w:val="single" w:color="000000" w:sz="8" w:space="0"/>
            </w:tcBorders>
            <w:shd w:val="clear" w:color="auto" w:fill="FFFFFF"/>
            <w:vAlign w:val="center"/>
          </w:tcPr>
          <w:p w14:paraId="641D01AC">
            <w:pPr>
              <w:keepNext w:val="0"/>
              <w:keepLines w:val="0"/>
              <w:widowControl/>
              <w:suppressLineNumbers w:val="0"/>
              <w:jc w:val="right"/>
              <w:textAlignment w:val="center"/>
              <w:rPr>
                <w:rFonts w:ascii="Arial Narrow" w:hAnsi="Arial Narrow" w:eastAsia="Arial Narrow" w:cs="Arial Narrow"/>
                <w:i w:val="0"/>
                <w:iCs w:val="0"/>
                <w:color w:val="000000"/>
                <w:sz w:val="16"/>
                <w:szCs w:val="16"/>
                <w:u w:val="none"/>
              </w:rPr>
            </w:pPr>
          </w:p>
        </w:tc>
      </w:tr>
      <w:tr w14:paraId="1C3BAB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36" w:type="dxa"/>
            <w:tcBorders>
              <w:top w:val="nil"/>
              <w:left w:val="single" w:color="000000" w:sz="8" w:space="0"/>
              <w:bottom w:val="single" w:color="000000" w:sz="4" w:space="0"/>
              <w:right w:val="single" w:color="000000" w:sz="4" w:space="0"/>
            </w:tcBorders>
            <w:shd w:val="clear" w:color="auto" w:fill="FFFFFF"/>
            <w:vAlign w:val="center"/>
          </w:tcPr>
          <w:p w14:paraId="5A4FCBC3">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Style w:val="131"/>
                <w:lang w:val="en-US" w:eastAsia="zh-CN"/>
              </w:rPr>
              <w:t>102-3</w:t>
            </w:r>
          </w:p>
        </w:tc>
        <w:tc>
          <w:tcPr>
            <w:tcW w:w="3891" w:type="dxa"/>
            <w:tcBorders>
              <w:top w:val="nil"/>
              <w:left w:val="nil"/>
              <w:bottom w:val="single" w:color="000000" w:sz="4" w:space="0"/>
              <w:right w:val="single" w:color="000000" w:sz="4" w:space="0"/>
            </w:tcBorders>
            <w:shd w:val="clear" w:color="auto" w:fill="FFFFFF"/>
            <w:vAlign w:val="center"/>
          </w:tcPr>
          <w:p w14:paraId="34DE9DAF">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Style w:val="131"/>
                <w:lang w:val="en-US" w:eastAsia="zh-CN"/>
              </w:rPr>
              <w:t>安全生产费</w:t>
            </w:r>
          </w:p>
        </w:tc>
        <w:tc>
          <w:tcPr>
            <w:tcW w:w="731" w:type="dxa"/>
            <w:tcBorders>
              <w:top w:val="nil"/>
              <w:left w:val="nil"/>
              <w:bottom w:val="single" w:color="000000" w:sz="4" w:space="0"/>
              <w:right w:val="single" w:color="000000" w:sz="4" w:space="0"/>
            </w:tcBorders>
            <w:shd w:val="clear" w:color="auto" w:fill="FFFFFF"/>
            <w:vAlign w:val="center"/>
          </w:tcPr>
          <w:p w14:paraId="25310A60">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Style w:val="131"/>
                <w:lang w:val="en-US" w:eastAsia="zh-CN"/>
              </w:rPr>
              <w:t>总额</w:t>
            </w:r>
          </w:p>
        </w:tc>
        <w:tc>
          <w:tcPr>
            <w:tcW w:w="1097" w:type="dxa"/>
            <w:tcBorders>
              <w:top w:val="nil"/>
              <w:left w:val="nil"/>
              <w:bottom w:val="single" w:color="000000" w:sz="4" w:space="0"/>
              <w:right w:val="single" w:color="000000" w:sz="4" w:space="0"/>
            </w:tcBorders>
            <w:shd w:val="clear" w:color="auto" w:fill="FFFFFF"/>
            <w:vAlign w:val="center"/>
          </w:tcPr>
          <w:p w14:paraId="4B0042F8">
            <w:pPr>
              <w:keepNext w:val="0"/>
              <w:keepLines w:val="0"/>
              <w:widowControl/>
              <w:suppressLineNumbers w:val="0"/>
              <w:jc w:val="right"/>
              <w:textAlignment w:val="center"/>
              <w:rPr>
                <w:rFonts w:ascii="Arial Narrow" w:hAnsi="Arial Narrow" w:eastAsia="Arial Narrow" w:cs="Arial Narrow"/>
                <w:i w:val="0"/>
                <w:iCs w:val="0"/>
                <w:color w:val="000000"/>
                <w:sz w:val="16"/>
                <w:szCs w:val="16"/>
                <w:u w:val="none"/>
              </w:rPr>
            </w:pPr>
            <w:r>
              <w:rPr>
                <w:rFonts w:ascii="Arial Narrow" w:hAnsi="Arial Narrow" w:eastAsia="Arial Narrow" w:cs="Arial Narrow"/>
                <w:i w:val="0"/>
                <w:iCs w:val="0"/>
                <w:color w:val="000000"/>
                <w:kern w:val="0"/>
                <w:sz w:val="16"/>
                <w:szCs w:val="16"/>
                <w:u w:val="none"/>
                <w:lang w:val="en-US" w:eastAsia="zh-CN"/>
              </w:rPr>
              <w:t>1</w:t>
            </w:r>
          </w:p>
        </w:tc>
        <w:tc>
          <w:tcPr>
            <w:tcW w:w="1098" w:type="dxa"/>
            <w:tcBorders>
              <w:top w:val="nil"/>
              <w:left w:val="nil"/>
              <w:bottom w:val="single" w:color="000000" w:sz="4" w:space="0"/>
              <w:right w:val="single" w:color="000000" w:sz="4" w:space="0"/>
            </w:tcBorders>
            <w:shd w:val="clear" w:color="auto" w:fill="FFFFFF"/>
            <w:vAlign w:val="center"/>
          </w:tcPr>
          <w:p w14:paraId="1E2CF4A6">
            <w:pPr>
              <w:keepNext w:val="0"/>
              <w:keepLines w:val="0"/>
              <w:widowControl/>
              <w:suppressLineNumbers w:val="0"/>
              <w:jc w:val="right"/>
              <w:textAlignment w:val="center"/>
              <w:rPr>
                <w:rFonts w:ascii="Arial Narrow" w:hAnsi="Arial Narrow" w:eastAsia="Arial Narrow" w:cs="Arial Narrow"/>
                <w:i w:val="0"/>
                <w:iCs w:val="0"/>
                <w:color w:val="000000"/>
                <w:sz w:val="16"/>
                <w:szCs w:val="16"/>
                <w:u w:val="none"/>
              </w:rPr>
            </w:pPr>
          </w:p>
        </w:tc>
        <w:tc>
          <w:tcPr>
            <w:tcW w:w="1097" w:type="dxa"/>
            <w:tcBorders>
              <w:top w:val="nil"/>
              <w:left w:val="nil"/>
              <w:bottom w:val="single" w:color="000000" w:sz="4" w:space="0"/>
              <w:right w:val="single" w:color="000000" w:sz="8" w:space="0"/>
            </w:tcBorders>
            <w:shd w:val="clear" w:color="auto" w:fill="FFFFFF"/>
            <w:vAlign w:val="center"/>
          </w:tcPr>
          <w:p w14:paraId="0B402EDF">
            <w:pPr>
              <w:keepNext w:val="0"/>
              <w:keepLines w:val="0"/>
              <w:widowControl/>
              <w:suppressLineNumbers w:val="0"/>
              <w:jc w:val="right"/>
              <w:textAlignment w:val="center"/>
              <w:rPr>
                <w:rFonts w:ascii="Arial Narrow" w:hAnsi="Arial Narrow" w:eastAsia="Arial Narrow" w:cs="Arial Narrow"/>
                <w:i w:val="0"/>
                <w:iCs w:val="0"/>
                <w:color w:val="000000"/>
                <w:sz w:val="16"/>
                <w:szCs w:val="16"/>
                <w:u w:val="none"/>
              </w:rPr>
            </w:pPr>
          </w:p>
        </w:tc>
      </w:tr>
      <w:tr w14:paraId="6FB52E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36" w:type="dxa"/>
            <w:tcBorders>
              <w:top w:val="nil"/>
              <w:left w:val="single" w:color="000000" w:sz="8" w:space="0"/>
              <w:bottom w:val="single" w:color="000000" w:sz="4" w:space="0"/>
              <w:right w:val="single" w:color="000000" w:sz="4" w:space="0"/>
            </w:tcBorders>
            <w:shd w:val="clear" w:color="auto" w:fill="FFFFFF"/>
            <w:vAlign w:val="center"/>
          </w:tcPr>
          <w:p w14:paraId="394361E2">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Style w:val="131"/>
                <w:lang w:val="en-US" w:eastAsia="zh-CN"/>
              </w:rPr>
              <w:t>103</w:t>
            </w:r>
          </w:p>
        </w:tc>
        <w:tc>
          <w:tcPr>
            <w:tcW w:w="3891" w:type="dxa"/>
            <w:tcBorders>
              <w:top w:val="nil"/>
              <w:left w:val="nil"/>
              <w:bottom w:val="single" w:color="000000" w:sz="4" w:space="0"/>
              <w:right w:val="single" w:color="000000" w:sz="4" w:space="0"/>
            </w:tcBorders>
            <w:shd w:val="clear" w:color="auto" w:fill="FFFFFF"/>
            <w:vAlign w:val="center"/>
          </w:tcPr>
          <w:p w14:paraId="1D83E3F0">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Style w:val="131"/>
                <w:lang w:val="en-US" w:eastAsia="zh-CN"/>
              </w:rPr>
              <w:t>临时工程与设施</w:t>
            </w:r>
          </w:p>
        </w:tc>
        <w:tc>
          <w:tcPr>
            <w:tcW w:w="731" w:type="dxa"/>
            <w:tcBorders>
              <w:top w:val="nil"/>
              <w:left w:val="nil"/>
              <w:bottom w:val="single" w:color="000000" w:sz="4" w:space="0"/>
              <w:right w:val="single" w:color="000000" w:sz="4" w:space="0"/>
            </w:tcBorders>
            <w:shd w:val="clear" w:color="auto" w:fill="FFFFFF"/>
            <w:vAlign w:val="center"/>
          </w:tcPr>
          <w:p w14:paraId="25C3B489">
            <w:pPr>
              <w:jc w:val="center"/>
              <w:rPr>
                <w:rFonts w:hint="eastAsia" w:ascii="宋体" w:hAnsi="宋体" w:eastAsia="宋体" w:cs="宋体"/>
                <w:i w:val="0"/>
                <w:iCs w:val="0"/>
                <w:color w:val="000000"/>
                <w:sz w:val="16"/>
                <w:szCs w:val="16"/>
                <w:u w:val="none"/>
              </w:rPr>
            </w:pPr>
          </w:p>
        </w:tc>
        <w:tc>
          <w:tcPr>
            <w:tcW w:w="1097" w:type="dxa"/>
            <w:tcBorders>
              <w:top w:val="nil"/>
              <w:left w:val="nil"/>
              <w:bottom w:val="single" w:color="000000" w:sz="4" w:space="0"/>
              <w:right w:val="single" w:color="000000" w:sz="4" w:space="0"/>
            </w:tcBorders>
            <w:shd w:val="clear" w:color="auto" w:fill="FFFFFF"/>
            <w:vAlign w:val="center"/>
          </w:tcPr>
          <w:p w14:paraId="1E569D16">
            <w:pPr>
              <w:jc w:val="right"/>
              <w:rPr>
                <w:rFonts w:ascii="Arial Narrow" w:hAnsi="Arial Narrow" w:eastAsia="Arial Narrow" w:cs="Arial Narrow"/>
                <w:i w:val="0"/>
                <w:iCs w:val="0"/>
                <w:color w:val="000000"/>
                <w:sz w:val="16"/>
                <w:szCs w:val="16"/>
                <w:u w:val="none"/>
              </w:rPr>
            </w:pPr>
          </w:p>
        </w:tc>
        <w:tc>
          <w:tcPr>
            <w:tcW w:w="1098" w:type="dxa"/>
            <w:tcBorders>
              <w:top w:val="nil"/>
              <w:left w:val="nil"/>
              <w:bottom w:val="single" w:color="000000" w:sz="4" w:space="0"/>
              <w:right w:val="single" w:color="000000" w:sz="4" w:space="0"/>
            </w:tcBorders>
            <w:shd w:val="clear" w:color="auto" w:fill="FFFFFF"/>
            <w:vAlign w:val="center"/>
          </w:tcPr>
          <w:p w14:paraId="19204F49">
            <w:pPr>
              <w:jc w:val="right"/>
              <w:rPr>
                <w:rFonts w:ascii="Arial Narrow" w:hAnsi="Arial Narrow" w:eastAsia="Arial Narrow" w:cs="Arial Narrow"/>
                <w:i w:val="0"/>
                <w:iCs w:val="0"/>
                <w:color w:val="000000"/>
                <w:sz w:val="16"/>
                <w:szCs w:val="16"/>
                <w:u w:val="none"/>
              </w:rPr>
            </w:pPr>
          </w:p>
        </w:tc>
        <w:tc>
          <w:tcPr>
            <w:tcW w:w="1097" w:type="dxa"/>
            <w:tcBorders>
              <w:top w:val="nil"/>
              <w:left w:val="nil"/>
              <w:bottom w:val="single" w:color="000000" w:sz="4" w:space="0"/>
              <w:right w:val="single" w:color="000000" w:sz="8" w:space="0"/>
            </w:tcBorders>
            <w:shd w:val="clear" w:color="auto" w:fill="FFFFFF"/>
            <w:vAlign w:val="center"/>
          </w:tcPr>
          <w:p w14:paraId="3993E1AF">
            <w:pPr>
              <w:jc w:val="right"/>
              <w:rPr>
                <w:rFonts w:ascii="Arial Narrow" w:hAnsi="Arial Narrow" w:eastAsia="Arial Narrow" w:cs="Arial Narrow"/>
                <w:i w:val="0"/>
                <w:iCs w:val="0"/>
                <w:color w:val="000000"/>
                <w:sz w:val="16"/>
                <w:szCs w:val="16"/>
                <w:u w:val="none"/>
              </w:rPr>
            </w:pPr>
          </w:p>
        </w:tc>
      </w:tr>
      <w:tr w14:paraId="7AF3C1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36" w:type="dxa"/>
            <w:tcBorders>
              <w:top w:val="nil"/>
              <w:left w:val="single" w:color="000000" w:sz="8" w:space="0"/>
              <w:bottom w:val="single" w:color="000000" w:sz="4" w:space="0"/>
              <w:right w:val="single" w:color="000000" w:sz="4" w:space="0"/>
            </w:tcBorders>
            <w:shd w:val="clear" w:color="auto" w:fill="FFFFFF"/>
            <w:vAlign w:val="center"/>
          </w:tcPr>
          <w:p w14:paraId="7723F25E">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Style w:val="131"/>
                <w:lang w:val="en-US" w:eastAsia="zh-CN"/>
              </w:rPr>
              <w:t>103-3</w:t>
            </w:r>
          </w:p>
        </w:tc>
        <w:tc>
          <w:tcPr>
            <w:tcW w:w="3891" w:type="dxa"/>
            <w:tcBorders>
              <w:top w:val="nil"/>
              <w:left w:val="nil"/>
              <w:bottom w:val="single" w:color="000000" w:sz="4" w:space="0"/>
              <w:right w:val="single" w:color="000000" w:sz="4" w:space="0"/>
            </w:tcBorders>
            <w:shd w:val="clear" w:color="auto" w:fill="FFFFFF"/>
            <w:vAlign w:val="center"/>
          </w:tcPr>
          <w:p w14:paraId="652705D9">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Style w:val="131"/>
                <w:lang w:val="en-US" w:eastAsia="zh-CN"/>
              </w:rPr>
              <w:t>临时供电设施架设、维护与拆除（含场外、场内）</w:t>
            </w:r>
          </w:p>
        </w:tc>
        <w:tc>
          <w:tcPr>
            <w:tcW w:w="731" w:type="dxa"/>
            <w:tcBorders>
              <w:top w:val="nil"/>
              <w:left w:val="nil"/>
              <w:bottom w:val="single" w:color="000000" w:sz="4" w:space="0"/>
              <w:right w:val="single" w:color="000000" w:sz="4" w:space="0"/>
            </w:tcBorders>
            <w:shd w:val="clear" w:color="auto" w:fill="FFFFFF"/>
            <w:vAlign w:val="center"/>
          </w:tcPr>
          <w:p w14:paraId="74DA5104">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Style w:val="131"/>
                <w:lang w:val="en-US" w:eastAsia="zh-CN"/>
              </w:rPr>
              <w:t>总额</w:t>
            </w:r>
          </w:p>
        </w:tc>
        <w:tc>
          <w:tcPr>
            <w:tcW w:w="1097" w:type="dxa"/>
            <w:tcBorders>
              <w:top w:val="nil"/>
              <w:left w:val="nil"/>
              <w:bottom w:val="single" w:color="000000" w:sz="4" w:space="0"/>
              <w:right w:val="single" w:color="000000" w:sz="4" w:space="0"/>
            </w:tcBorders>
            <w:shd w:val="clear" w:color="auto" w:fill="FFFFFF"/>
            <w:vAlign w:val="center"/>
          </w:tcPr>
          <w:p w14:paraId="5AC7E673">
            <w:pPr>
              <w:keepNext w:val="0"/>
              <w:keepLines w:val="0"/>
              <w:widowControl/>
              <w:suppressLineNumbers w:val="0"/>
              <w:jc w:val="right"/>
              <w:textAlignment w:val="center"/>
              <w:rPr>
                <w:rFonts w:ascii="Arial Narrow" w:hAnsi="Arial Narrow" w:eastAsia="Arial Narrow" w:cs="Arial Narrow"/>
                <w:i w:val="0"/>
                <w:iCs w:val="0"/>
                <w:color w:val="000000"/>
                <w:sz w:val="16"/>
                <w:szCs w:val="16"/>
                <w:u w:val="none"/>
              </w:rPr>
            </w:pPr>
            <w:r>
              <w:rPr>
                <w:rFonts w:ascii="Arial Narrow" w:hAnsi="Arial Narrow" w:eastAsia="Arial Narrow" w:cs="Arial Narrow"/>
                <w:i w:val="0"/>
                <w:iCs w:val="0"/>
                <w:color w:val="000000"/>
                <w:kern w:val="0"/>
                <w:sz w:val="16"/>
                <w:szCs w:val="16"/>
                <w:u w:val="none"/>
                <w:lang w:val="en-US" w:eastAsia="zh-CN"/>
              </w:rPr>
              <w:t>1</w:t>
            </w:r>
          </w:p>
        </w:tc>
        <w:tc>
          <w:tcPr>
            <w:tcW w:w="1098" w:type="dxa"/>
            <w:tcBorders>
              <w:top w:val="nil"/>
              <w:left w:val="nil"/>
              <w:bottom w:val="single" w:color="000000" w:sz="4" w:space="0"/>
              <w:right w:val="single" w:color="000000" w:sz="4" w:space="0"/>
            </w:tcBorders>
            <w:shd w:val="clear" w:color="auto" w:fill="FFFFFF"/>
            <w:vAlign w:val="center"/>
          </w:tcPr>
          <w:p w14:paraId="7AA66BA5">
            <w:pPr>
              <w:keepNext w:val="0"/>
              <w:keepLines w:val="0"/>
              <w:widowControl/>
              <w:suppressLineNumbers w:val="0"/>
              <w:jc w:val="right"/>
              <w:textAlignment w:val="center"/>
              <w:rPr>
                <w:rFonts w:ascii="Arial Narrow" w:hAnsi="Arial Narrow" w:eastAsia="Arial Narrow" w:cs="Arial Narrow"/>
                <w:i w:val="0"/>
                <w:iCs w:val="0"/>
                <w:color w:val="000000"/>
                <w:sz w:val="16"/>
                <w:szCs w:val="16"/>
                <w:u w:val="none"/>
              </w:rPr>
            </w:pPr>
          </w:p>
        </w:tc>
        <w:tc>
          <w:tcPr>
            <w:tcW w:w="1097" w:type="dxa"/>
            <w:tcBorders>
              <w:top w:val="nil"/>
              <w:left w:val="nil"/>
              <w:bottom w:val="single" w:color="000000" w:sz="4" w:space="0"/>
              <w:right w:val="single" w:color="000000" w:sz="8" w:space="0"/>
            </w:tcBorders>
            <w:shd w:val="clear" w:color="auto" w:fill="FFFFFF"/>
            <w:vAlign w:val="center"/>
          </w:tcPr>
          <w:p w14:paraId="1FBAE8EA">
            <w:pPr>
              <w:keepNext w:val="0"/>
              <w:keepLines w:val="0"/>
              <w:widowControl/>
              <w:suppressLineNumbers w:val="0"/>
              <w:jc w:val="right"/>
              <w:textAlignment w:val="center"/>
              <w:rPr>
                <w:rFonts w:ascii="Arial Narrow" w:hAnsi="Arial Narrow" w:eastAsia="Arial Narrow" w:cs="Arial Narrow"/>
                <w:i w:val="0"/>
                <w:iCs w:val="0"/>
                <w:color w:val="000000"/>
                <w:sz w:val="16"/>
                <w:szCs w:val="16"/>
                <w:u w:val="none"/>
              </w:rPr>
            </w:pPr>
          </w:p>
        </w:tc>
      </w:tr>
      <w:tr w14:paraId="40D8BD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36" w:type="dxa"/>
            <w:tcBorders>
              <w:top w:val="nil"/>
              <w:left w:val="single" w:color="000000" w:sz="8" w:space="0"/>
              <w:bottom w:val="single" w:color="000000" w:sz="4" w:space="0"/>
              <w:right w:val="single" w:color="000000" w:sz="4" w:space="0"/>
            </w:tcBorders>
            <w:shd w:val="clear" w:color="auto" w:fill="FFFFFF"/>
            <w:vAlign w:val="center"/>
          </w:tcPr>
          <w:p w14:paraId="59B6D5A1">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Style w:val="131"/>
                <w:lang w:val="en-US" w:eastAsia="zh-CN"/>
              </w:rPr>
              <w:t>103-4</w:t>
            </w:r>
          </w:p>
        </w:tc>
        <w:tc>
          <w:tcPr>
            <w:tcW w:w="3891" w:type="dxa"/>
            <w:tcBorders>
              <w:top w:val="nil"/>
              <w:left w:val="nil"/>
              <w:bottom w:val="single" w:color="000000" w:sz="4" w:space="0"/>
              <w:right w:val="single" w:color="000000" w:sz="4" w:space="0"/>
            </w:tcBorders>
            <w:shd w:val="clear" w:color="auto" w:fill="FFFFFF"/>
            <w:vAlign w:val="center"/>
          </w:tcPr>
          <w:p w14:paraId="1F4D8726">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Style w:val="131"/>
                <w:lang w:val="en-US" w:eastAsia="zh-CN"/>
              </w:rPr>
              <w:t>临时供水与排污设施</w:t>
            </w:r>
          </w:p>
        </w:tc>
        <w:tc>
          <w:tcPr>
            <w:tcW w:w="731" w:type="dxa"/>
            <w:tcBorders>
              <w:top w:val="nil"/>
              <w:left w:val="nil"/>
              <w:bottom w:val="single" w:color="000000" w:sz="4" w:space="0"/>
              <w:right w:val="single" w:color="000000" w:sz="4" w:space="0"/>
            </w:tcBorders>
            <w:shd w:val="clear" w:color="auto" w:fill="FFFFFF"/>
            <w:vAlign w:val="center"/>
          </w:tcPr>
          <w:p w14:paraId="10F11F67">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Style w:val="131"/>
                <w:lang w:val="en-US" w:eastAsia="zh-CN"/>
              </w:rPr>
              <w:t>总额</w:t>
            </w:r>
          </w:p>
        </w:tc>
        <w:tc>
          <w:tcPr>
            <w:tcW w:w="1097" w:type="dxa"/>
            <w:tcBorders>
              <w:top w:val="nil"/>
              <w:left w:val="nil"/>
              <w:bottom w:val="single" w:color="000000" w:sz="4" w:space="0"/>
              <w:right w:val="single" w:color="000000" w:sz="4" w:space="0"/>
            </w:tcBorders>
            <w:shd w:val="clear" w:color="auto" w:fill="FFFFFF"/>
            <w:vAlign w:val="center"/>
          </w:tcPr>
          <w:p w14:paraId="25F9B0E0">
            <w:pPr>
              <w:keepNext w:val="0"/>
              <w:keepLines w:val="0"/>
              <w:widowControl/>
              <w:suppressLineNumbers w:val="0"/>
              <w:jc w:val="right"/>
              <w:textAlignment w:val="center"/>
              <w:rPr>
                <w:rFonts w:ascii="Arial Narrow" w:hAnsi="Arial Narrow" w:eastAsia="Arial Narrow" w:cs="Arial Narrow"/>
                <w:i w:val="0"/>
                <w:iCs w:val="0"/>
                <w:color w:val="000000"/>
                <w:sz w:val="16"/>
                <w:szCs w:val="16"/>
                <w:u w:val="none"/>
              </w:rPr>
            </w:pPr>
            <w:r>
              <w:rPr>
                <w:rFonts w:ascii="Arial Narrow" w:hAnsi="Arial Narrow" w:eastAsia="Arial Narrow" w:cs="Arial Narrow"/>
                <w:i w:val="0"/>
                <w:iCs w:val="0"/>
                <w:color w:val="000000"/>
                <w:kern w:val="0"/>
                <w:sz w:val="16"/>
                <w:szCs w:val="16"/>
                <w:u w:val="none"/>
                <w:lang w:val="en-US" w:eastAsia="zh-CN"/>
              </w:rPr>
              <w:t>1</w:t>
            </w:r>
          </w:p>
        </w:tc>
        <w:tc>
          <w:tcPr>
            <w:tcW w:w="1098" w:type="dxa"/>
            <w:tcBorders>
              <w:top w:val="nil"/>
              <w:left w:val="nil"/>
              <w:bottom w:val="single" w:color="000000" w:sz="4" w:space="0"/>
              <w:right w:val="single" w:color="000000" w:sz="4" w:space="0"/>
            </w:tcBorders>
            <w:shd w:val="clear" w:color="auto" w:fill="FFFFFF"/>
            <w:vAlign w:val="center"/>
          </w:tcPr>
          <w:p w14:paraId="208AAD69">
            <w:pPr>
              <w:keepNext w:val="0"/>
              <w:keepLines w:val="0"/>
              <w:widowControl/>
              <w:suppressLineNumbers w:val="0"/>
              <w:jc w:val="right"/>
              <w:textAlignment w:val="center"/>
              <w:rPr>
                <w:rFonts w:ascii="Arial Narrow" w:hAnsi="Arial Narrow" w:eastAsia="Arial Narrow" w:cs="Arial Narrow"/>
                <w:i w:val="0"/>
                <w:iCs w:val="0"/>
                <w:color w:val="000000"/>
                <w:sz w:val="16"/>
                <w:szCs w:val="16"/>
                <w:u w:val="none"/>
              </w:rPr>
            </w:pPr>
          </w:p>
        </w:tc>
        <w:tc>
          <w:tcPr>
            <w:tcW w:w="1097" w:type="dxa"/>
            <w:tcBorders>
              <w:top w:val="nil"/>
              <w:left w:val="nil"/>
              <w:bottom w:val="single" w:color="000000" w:sz="4" w:space="0"/>
              <w:right w:val="single" w:color="000000" w:sz="8" w:space="0"/>
            </w:tcBorders>
            <w:shd w:val="clear" w:color="auto" w:fill="FFFFFF"/>
            <w:vAlign w:val="center"/>
          </w:tcPr>
          <w:p w14:paraId="2BF7B1E0">
            <w:pPr>
              <w:keepNext w:val="0"/>
              <w:keepLines w:val="0"/>
              <w:widowControl/>
              <w:suppressLineNumbers w:val="0"/>
              <w:jc w:val="right"/>
              <w:textAlignment w:val="center"/>
              <w:rPr>
                <w:rFonts w:ascii="Arial Narrow" w:hAnsi="Arial Narrow" w:eastAsia="Arial Narrow" w:cs="Arial Narrow"/>
                <w:i w:val="0"/>
                <w:iCs w:val="0"/>
                <w:color w:val="000000"/>
                <w:sz w:val="16"/>
                <w:szCs w:val="16"/>
                <w:u w:val="none"/>
              </w:rPr>
            </w:pPr>
          </w:p>
        </w:tc>
      </w:tr>
      <w:tr w14:paraId="340275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36" w:type="dxa"/>
            <w:tcBorders>
              <w:top w:val="nil"/>
              <w:left w:val="single" w:color="000000" w:sz="8" w:space="0"/>
              <w:bottom w:val="single" w:color="000000" w:sz="4" w:space="0"/>
              <w:right w:val="single" w:color="000000" w:sz="4" w:space="0"/>
            </w:tcBorders>
            <w:shd w:val="clear" w:color="auto" w:fill="FFFFFF"/>
            <w:vAlign w:val="center"/>
          </w:tcPr>
          <w:p w14:paraId="00A721EC">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Style w:val="131"/>
                <w:lang w:val="en-US" w:eastAsia="zh-CN"/>
              </w:rPr>
              <w:t>104</w:t>
            </w:r>
          </w:p>
        </w:tc>
        <w:tc>
          <w:tcPr>
            <w:tcW w:w="3891" w:type="dxa"/>
            <w:tcBorders>
              <w:top w:val="nil"/>
              <w:left w:val="nil"/>
              <w:bottom w:val="single" w:color="000000" w:sz="4" w:space="0"/>
              <w:right w:val="single" w:color="000000" w:sz="4" w:space="0"/>
            </w:tcBorders>
            <w:shd w:val="clear" w:color="auto" w:fill="FFFFFF"/>
            <w:vAlign w:val="center"/>
          </w:tcPr>
          <w:p w14:paraId="20004351">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Style w:val="131"/>
                <w:lang w:val="en-US" w:eastAsia="zh-CN"/>
              </w:rPr>
              <w:t>承包人驻地建设</w:t>
            </w:r>
          </w:p>
        </w:tc>
        <w:tc>
          <w:tcPr>
            <w:tcW w:w="731" w:type="dxa"/>
            <w:tcBorders>
              <w:top w:val="nil"/>
              <w:left w:val="nil"/>
              <w:bottom w:val="single" w:color="000000" w:sz="4" w:space="0"/>
              <w:right w:val="single" w:color="000000" w:sz="4" w:space="0"/>
            </w:tcBorders>
            <w:shd w:val="clear" w:color="auto" w:fill="FFFFFF"/>
            <w:vAlign w:val="center"/>
          </w:tcPr>
          <w:p w14:paraId="7D247A96">
            <w:pPr>
              <w:jc w:val="center"/>
              <w:rPr>
                <w:rFonts w:hint="eastAsia" w:ascii="宋体" w:hAnsi="宋体" w:eastAsia="宋体" w:cs="宋体"/>
                <w:i w:val="0"/>
                <w:iCs w:val="0"/>
                <w:color w:val="000000"/>
                <w:sz w:val="16"/>
                <w:szCs w:val="16"/>
                <w:u w:val="none"/>
              </w:rPr>
            </w:pPr>
          </w:p>
        </w:tc>
        <w:tc>
          <w:tcPr>
            <w:tcW w:w="1097" w:type="dxa"/>
            <w:tcBorders>
              <w:top w:val="nil"/>
              <w:left w:val="nil"/>
              <w:bottom w:val="single" w:color="000000" w:sz="4" w:space="0"/>
              <w:right w:val="single" w:color="000000" w:sz="4" w:space="0"/>
            </w:tcBorders>
            <w:shd w:val="clear" w:color="auto" w:fill="FFFFFF"/>
            <w:vAlign w:val="center"/>
          </w:tcPr>
          <w:p w14:paraId="4538725B">
            <w:pPr>
              <w:jc w:val="right"/>
              <w:rPr>
                <w:rFonts w:ascii="Arial Narrow" w:hAnsi="Arial Narrow" w:eastAsia="Arial Narrow" w:cs="Arial Narrow"/>
                <w:i w:val="0"/>
                <w:iCs w:val="0"/>
                <w:color w:val="000000"/>
                <w:sz w:val="16"/>
                <w:szCs w:val="16"/>
                <w:u w:val="none"/>
              </w:rPr>
            </w:pPr>
          </w:p>
        </w:tc>
        <w:tc>
          <w:tcPr>
            <w:tcW w:w="1098" w:type="dxa"/>
            <w:tcBorders>
              <w:top w:val="nil"/>
              <w:left w:val="nil"/>
              <w:bottom w:val="single" w:color="000000" w:sz="4" w:space="0"/>
              <w:right w:val="single" w:color="000000" w:sz="4" w:space="0"/>
            </w:tcBorders>
            <w:shd w:val="clear" w:color="auto" w:fill="FFFFFF"/>
            <w:vAlign w:val="center"/>
          </w:tcPr>
          <w:p w14:paraId="4528C012">
            <w:pPr>
              <w:jc w:val="right"/>
              <w:rPr>
                <w:rFonts w:ascii="Arial Narrow" w:hAnsi="Arial Narrow" w:eastAsia="Arial Narrow" w:cs="Arial Narrow"/>
                <w:i w:val="0"/>
                <w:iCs w:val="0"/>
                <w:color w:val="000000"/>
                <w:sz w:val="16"/>
                <w:szCs w:val="16"/>
                <w:u w:val="none"/>
              </w:rPr>
            </w:pPr>
          </w:p>
        </w:tc>
        <w:tc>
          <w:tcPr>
            <w:tcW w:w="1097" w:type="dxa"/>
            <w:tcBorders>
              <w:top w:val="nil"/>
              <w:left w:val="nil"/>
              <w:bottom w:val="single" w:color="000000" w:sz="4" w:space="0"/>
              <w:right w:val="single" w:color="000000" w:sz="8" w:space="0"/>
            </w:tcBorders>
            <w:shd w:val="clear" w:color="auto" w:fill="FFFFFF"/>
            <w:vAlign w:val="center"/>
          </w:tcPr>
          <w:p w14:paraId="26F2D067">
            <w:pPr>
              <w:jc w:val="right"/>
              <w:rPr>
                <w:rFonts w:ascii="Arial Narrow" w:hAnsi="Arial Narrow" w:eastAsia="Arial Narrow" w:cs="Arial Narrow"/>
                <w:i w:val="0"/>
                <w:iCs w:val="0"/>
                <w:color w:val="000000"/>
                <w:sz w:val="16"/>
                <w:szCs w:val="16"/>
                <w:u w:val="none"/>
              </w:rPr>
            </w:pPr>
          </w:p>
        </w:tc>
      </w:tr>
      <w:tr w14:paraId="554464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36" w:type="dxa"/>
            <w:tcBorders>
              <w:top w:val="nil"/>
              <w:left w:val="single" w:color="000000" w:sz="8" w:space="0"/>
              <w:bottom w:val="single" w:color="000000" w:sz="4" w:space="0"/>
              <w:right w:val="single" w:color="000000" w:sz="4" w:space="0"/>
            </w:tcBorders>
            <w:shd w:val="clear" w:color="auto" w:fill="FFFFFF"/>
            <w:vAlign w:val="center"/>
          </w:tcPr>
          <w:p w14:paraId="50F1B608">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Style w:val="131"/>
                <w:lang w:val="en-US" w:eastAsia="zh-CN"/>
              </w:rPr>
              <w:t>104-1</w:t>
            </w:r>
          </w:p>
        </w:tc>
        <w:tc>
          <w:tcPr>
            <w:tcW w:w="3891" w:type="dxa"/>
            <w:tcBorders>
              <w:top w:val="nil"/>
              <w:left w:val="nil"/>
              <w:bottom w:val="single" w:color="000000" w:sz="4" w:space="0"/>
              <w:right w:val="single" w:color="000000" w:sz="4" w:space="0"/>
            </w:tcBorders>
            <w:shd w:val="clear" w:color="auto" w:fill="FFFFFF"/>
            <w:vAlign w:val="center"/>
          </w:tcPr>
          <w:p w14:paraId="5539C25E">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Style w:val="131"/>
                <w:lang w:val="en-US" w:eastAsia="zh-CN"/>
              </w:rPr>
              <w:t>承包人驻地建设（含标准化工地建设）</w:t>
            </w:r>
          </w:p>
        </w:tc>
        <w:tc>
          <w:tcPr>
            <w:tcW w:w="731" w:type="dxa"/>
            <w:tcBorders>
              <w:top w:val="nil"/>
              <w:left w:val="nil"/>
              <w:bottom w:val="single" w:color="000000" w:sz="4" w:space="0"/>
              <w:right w:val="single" w:color="000000" w:sz="4" w:space="0"/>
            </w:tcBorders>
            <w:shd w:val="clear" w:color="auto" w:fill="FFFFFF"/>
            <w:vAlign w:val="center"/>
          </w:tcPr>
          <w:p w14:paraId="6FACCF38">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Style w:val="131"/>
                <w:lang w:val="en-US" w:eastAsia="zh-CN"/>
              </w:rPr>
              <w:t>总额</w:t>
            </w:r>
          </w:p>
        </w:tc>
        <w:tc>
          <w:tcPr>
            <w:tcW w:w="1097" w:type="dxa"/>
            <w:tcBorders>
              <w:top w:val="nil"/>
              <w:left w:val="nil"/>
              <w:bottom w:val="single" w:color="000000" w:sz="4" w:space="0"/>
              <w:right w:val="single" w:color="000000" w:sz="4" w:space="0"/>
            </w:tcBorders>
            <w:shd w:val="clear" w:color="auto" w:fill="FFFFFF"/>
            <w:vAlign w:val="center"/>
          </w:tcPr>
          <w:p w14:paraId="0F36FFCC">
            <w:pPr>
              <w:keepNext w:val="0"/>
              <w:keepLines w:val="0"/>
              <w:widowControl/>
              <w:suppressLineNumbers w:val="0"/>
              <w:jc w:val="right"/>
              <w:textAlignment w:val="center"/>
              <w:rPr>
                <w:rFonts w:ascii="Arial Narrow" w:hAnsi="Arial Narrow" w:eastAsia="Arial Narrow" w:cs="Arial Narrow"/>
                <w:i w:val="0"/>
                <w:iCs w:val="0"/>
                <w:color w:val="000000"/>
                <w:sz w:val="16"/>
                <w:szCs w:val="16"/>
                <w:u w:val="none"/>
              </w:rPr>
            </w:pPr>
            <w:r>
              <w:rPr>
                <w:rFonts w:ascii="Arial Narrow" w:hAnsi="Arial Narrow" w:eastAsia="Arial Narrow" w:cs="Arial Narrow"/>
                <w:i w:val="0"/>
                <w:iCs w:val="0"/>
                <w:color w:val="000000"/>
                <w:kern w:val="0"/>
                <w:sz w:val="16"/>
                <w:szCs w:val="16"/>
                <w:u w:val="none"/>
                <w:lang w:val="en-US" w:eastAsia="zh-CN"/>
              </w:rPr>
              <w:t>1</w:t>
            </w:r>
          </w:p>
        </w:tc>
        <w:tc>
          <w:tcPr>
            <w:tcW w:w="1098" w:type="dxa"/>
            <w:tcBorders>
              <w:top w:val="nil"/>
              <w:left w:val="nil"/>
              <w:bottom w:val="single" w:color="000000" w:sz="4" w:space="0"/>
              <w:right w:val="single" w:color="000000" w:sz="4" w:space="0"/>
            </w:tcBorders>
            <w:shd w:val="clear" w:color="auto" w:fill="FFFFFF"/>
            <w:vAlign w:val="center"/>
          </w:tcPr>
          <w:p w14:paraId="07086BF7">
            <w:pPr>
              <w:keepNext w:val="0"/>
              <w:keepLines w:val="0"/>
              <w:widowControl/>
              <w:suppressLineNumbers w:val="0"/>
              <w:jc w:val="right"/>
              <w:textAlignment w:val="center"/>
              <w:rPr>
                <w:rFonts w:ascii="Arial Narrow" w:hAnsi="Arial Narrow" w:eastAsia="Arial Narrow" w:cs="Arial Narrow"/>
                <w:i w:val="0"/>
                <w:iCs w:val="0"/>
                <w:color w:val="000000"/>
                <w:sz w:val="16"/>
                <w:szCs w:val="16"/>
                <w:u w:val="none"/>
              </w:rPr>
            </w:pPr>
          </w:p>
        </w:tc>
        <w:tc>
          <w:tcPr>
            <w:tcW w:w="1097" w:type="dxa"/>
            <w:tcBorders>
              <w:top w:val="nil"/>
              <w:left w:val="nil"/>
              <w:bottom w:val="single" w:color="000000" w:sz="4" w:space="0"/>
              <w:right w:val="single" w:color="000000" w:sz="8" w:space="0"/>
            </w:tcBorders>
            <w:shd w:val="clear" w:color="auto" w:fill="FFFFFF"/>
            <w:vAlign w:val="center"/>
          </w:tcPr>
          <w:p w14:paraId="4F46A606">
            <w:pPr>
              <w:keepNext w:val="0"/>
              <w:keepLines w:val="0"/>
              <w:widowControl/>
              <w:suppressLineNumbers w:val="0"/>
              <w:jc w:val="right"/>
              <w:textAlignment w:val="center"/>
              <w:rPr>
                <w:rFonts w:ascii="Arial Narrow" w:hAnsi="Arial Narrow" w:eastAsia="Arial Narrow" w:cs="Arial Narrow"/>
                <w:i w:val="0"/>
                <w:iCs w:val="0"/>
                <w:color w:val="000000"/>
                <w:sz w:val="16"/>
                <w:szCs w:val="16"/>
                <w:u w:val="none"/>
              </w:rPr>
            </w:pPr>
          </w:p>
        </w:tc>
      </w:tr>
      <w:tr w14:paraId="4B6B5F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8850" w:type="dxa"/>
            <w:gridSpan w:val="6"/>
            <w:tcBorders>
              <w:top w:val="nil"/>
              <w:left w:val="single" w:color="000000" w:sz="8" w:space="0"/>
              <w:bottom w:val="single" w:color="000000" w:sz="8" w:space="0"/>
              <w:right w:val="single" w:color="000000" w:sz="8" w:space="0"/>
            </w:tcBorders>
            <w:shd w:val="clear" w:color="auto" w:fill="FFFFFF"/>
            <w:vAlign w:val="center"/>
          </w:tcPr>
          <w:p w14:paraId="243C7DD0">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Style w:val="131"/>
                <w:lang w:val="en-US" w:eastAsia="zh-CN"/>
              </w:rPr>
              <w:t xml:space="preserve">清单  第100章  合计   人民币 </w:t>
            </w:r>
            <w:r>
              <w:rPr>
                <w:rStyle w:val="131"/>
                <w:rFonts w:hint="eastAsia"/>
                <w:lang w:val="en-US" w:eastAsia="zh-CN"/>
              </w:rPr>
              <w:t xml:space="preserve"> </w:t>
            </w:r>
            <w:r>
              <w:rPr>
                <w:rStyle w:val="131"/>
                <w:lang w:val="en-US" w:eastAsia="zh-CN"/>
              </w:rPr>
              <w:t xml:space="preserve"> 元</w:t>
            </w:r>
          </w:p>
        </w:tc>
      </w:tr>
      <w:tr w14:paraId="60B0B4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7753" w:type="dxa"/>
            <w:gridSpan w:val="5"/>
            <w:tcBorders>
              <w:top w:val="single" w:color="000000" w:sz="8" w:space="0"/>
              <w:left w:val="nil"/>
              <w:bottom w:val="nil"/>
              <w:right w:val="nil"/>
            </w:tcBorders>
            <w:shd w:val="clear" w:color="auto" w:fill="FFFFFF"/>
            <w:vAlign w:val="center"/>
          </w:tcPr>
          <w:p w14:paraId="0BC526B7">
            <w:pPr>
              <w:keepNext w:val="0"/>
              <w:keepLines w:val="0"/>
              <w:widowControl/>
              <w:suppressLineNumbers w:val="0"/>
              <w:jc w:val="right"/>
              <w:textAlignment w:val="center"/>
              <w:rPr>
                <w:rFonts w:hint="eastAsia" w:ascii="宋体" w:hAnsi="宋体" w:eastAsia="宋体" w:cs="宋体"/>
                <w:i w:val="0"/>
                <w:iCs w:val="0"/>
                <w:color w:val="000000"/>
                <w:sz w:val="16"/>
                <w:szCs w:val="16"/>
                <w:u w:val="none"/>
              </w:rPr>
            </w:pPr>
          </w:p>
        </w:tc>
        <w:tc>
          <w:tcPr>
            <w:tcW w:w="1097" w:type="dxa"/>
            <w:tcBorders>
              <w:top w:val="single" w:color="000000" w:sz="8" w:space="0"/>
              <w:left w:val="nil"/>
              <w:bottom w:val="nil"/>
              <w:right w:val="nil"/>
            </w:tcBorders>
            <w:shd w:val="clear" w:color="auto" w:fill="FFFFFF"/>
            <w:vAlign w:val="center"/>
          </w:tcPr>
          <w:p w14:paraId="6520D265">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p>
        </w:tc>
      </w:tr>
      <w:tr w14:paraId="3CA770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trPr>
        <w:tc>
          <w:tcPr>
            <w:tcW w:w="936" w:type="dxa"/>
            <w:tcBorders>
              <w:top w:val="nil"/>
              <w:left w:val="nil"/>
              <w:bottom w:val="nil"/>
              <w:right w:val="nil"/>
            </w:tcBorders>
            <w:shd w:val="clear" w:color="auto" w:fill="FFFFFF"/>
            <w:vAlign w:val="bottom"/>
          </w:tcPr>
          <w:p w14:paraId="1E9B06C9">
            <w:pPr>
              <w:rPr>
                <w:rFonts w:hint="eastAsia" w:ascii="宋体" w:hAnsi="宋体" w:eastAsia="宋体" w:cs="宋体"/>
                <w:i w:val="0"/>
                <w:iCs w:val="0"/>
                <w:color w:val="000000"/>
                <w:sz w:val="22"/>
                <w:szCs w:val="22"/>
                <w:u w:val="none"/>
              </w:rPr>
            </w:pPr>
          </w:p>
        </w:tc>
        <w:tc>
          <w:tcPr>
            <w:tcW w:w="3891" w:type="dxa"/>
            <w:tcBorders>
              <w:top w:val="nil"/>
              <w:left w:val="nil"/>
              <w:bottom w:val="nil"/>
              <w:right w:val="nil"/>
            </w:tcBorders>
            <w:shd w:val="clear" w:color="auto" w:fill="FFFFFF"/>
            <w:vAlign w:val="bottom"/>
          </w:tcPr>
          <w:p w14:paraId="7694EECA">
            <w:pPr>
              <w:rPr>
                <w:rFonts w:hint="eastAsia" w:ascii="宋体" w:hAnsi="宋体" w:eastAsia="宋体" w:cs="宋体"/>
                <w:i w:val="0"/>
                <w:iCs w:val="0"/>
                <w:color w:val="000000"/>
                <w:sz w:val="22"/>
                <w:szCs w:val="22"/>
                <w:u w:val="none"/>
              </w:rPr>
            </w:pPr>
          </w:p>
        </w:tc>
        <w:tc>
          <w:tcPr>
            <w:tcW w:w="731" w:type="dxa"/>
            <w:tcBorders>
              <w:top w:val="nil"/>
              <w:left w:val="nil"/>
              <w:bottom w:val="nil"/>
              <w:right w:val="nil"/>
            </w:tcBorders>
            <w:shd w:val="clear" w:color="auto" w:fill="FFFFFF"/>
            <w:vAlign w:val="bottom"/>
          </w:tcPr>
          <w:p w14:paraId="5A19BC62">
            <w:pPr>
              <w:rPr>
                <w:rFonts w:hint="eastAsia" w:ascii="宋体" w:hAnsi="宋体" w:eastAsia="宋体" w:cs="宋体"/>
                <w:i w:val="0"/>
                <w:iCs w:val="0"/>
                <w:color w:val="000000"/>
                <w:sz w:val="22"/>
                <w:szCs w:val="22"/>
                <w:u w:val="none"/>
              </w:rPr>
            </w:pPr>
          </w:p>
        </w:tc>
        <w:tc>
          <w:tcPr>
            <w:tcW w:w="1097" w:type="dxa"/>
            <w:tcBorders>
              <w:top w:val="nil"/>
              <w:left w:val="nil"/>
              <w:bottom w:val="nil"/>
              <w:right w:val="nil"/>
            </w:tcBorders>
            <w:shd w:val="clear" w:color="auto" w:fill="FFFFFF"/>
            <w:vAlign w:val="bottom"/>
          </w:tcPr>
          <w:p w14:paraId="5608BDB6">
            <w:pPr>
              <w:rPr>
                <w:rFonts w:hint="eastAsia" w:ascii="宋体" w:hAnsi="宋体" w:eastAsia="宋体" w:cs="宋体"/>
                <w:i w:val="0"/>
                <w:iCs w:val="0"/>
                <w:color w:val="000000"/>
                <w:sz w:val="22"/>
                <w:szCs w:val="22"/>
                <w:u w:val="none"/>
              </w:rPr>
            </w:pPr>
          </w:p>
        </w:tc>
        <w:tc>
          <w:tcPr>
            <w:tcW w:w="1098" w:type="dxa"/>
            <w:tcBorders>
              <w:top w:val="nil"/>
              <w:left w:val="nil"/>
              <w:bottom w:val="nil"/>
              <w:right w:val="nil"/>
            </w:tcBorders>
            <w:shd w:val="clear" w:color="auto" w:fill="FFFFFF"/>
            <w:vAlign w:val="bottom"/>
          </w:tcPr>
          <w:p w14:paraId="07FFA437">
            <w:pPr>
              <w:rPr>
                <w:rFonts w:hint="eastAsia" w:ascii="宋体" w:hAnsi="宋体" w:eastAsia="宋体" w:cs="宋体"/>
                <w:i w:val="0"/>
                <w:iCs w:val="0"/>
                <w:color w:val="000000"/>
                <w:sz w:val="22"/>
                <w:szCs w:val="22"/>
                <w:u w:val="none"/>
              </w:rPr>
            </w:pPr>
          </w:p>
        </w:tc>
        <w:tc>
          <w:tcPr>
            <w:tcW w:w="1097" w:type="dxa"/>
            <w:tcBorders>
              <w:top w:val="nil"/>
              <w:left w:val="nil"/>
              <w:bottom w:val="nil"/>
              <w:right w:val="nil"/>
            </w:tcBorders>
            <w:shd w:val="clear" w:color="auto" w:fill="FFFFFF"/>
            <w:vAlign w:val="bottom"/>
          </w:tcPr>
          <w:p w14:paraId="58ACAD77">
            <w:pPr>
              <w:rPr>
                <w:rFonts w:hint="eastAsia" w:ascii="宋体" w:hAnsi="宋体" w:eastAsia="宋体" w:cs="宋体"/>
                <w:i w:val="0"/>
                <w:iCs w:val="0"/>
                <w:color w:val="000000"/>
                <w:sz w:val="22"/>
                <w:szCs w:val="22"/>
                <w:u w:val="none"/>
              </w:rPr>
            </w:pPr>
          </w:p>
        </w:tc>
      </w:tr>
      <w:tr w14:paraId="19A392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936" w:type="dxa"/>
            <w:tcBorders>
              <w:top w:val="nil"/>
              <w:left w:val="nil"/>
              <w:bottom w:val="nil"/>
              <w:right w:val="nil"/>
            </w:tcBorders>
            <w:shd w:val="clear" w:color="auto" w:fill="FFFFFF"/>
            <w:vAlign w:val="bottom"/>
          </w:tcPr>
          <w:p w14:paraId="1A4099BB">
            <w:pPr>
              <w:rPr>
                <w:rFonts w:hint="eastAsia" w:ascii="宋体" w:hAnsi="宋体" w:eastAsia="宋体" w:cs="宋体"/>
                <w:i w:val="0"/>
                <w:iCs w:val="0"/>
                <w:color w:val="000000"/>
                <w:sz w:val="22"/>
                <w:szCs w:val="22"/>
                <w:u w:val="none"/>
              </w:rPr>
            </w:pPr>
          </w:p>
        </w:tc>
        <w:tc>
          <w:tcPr>
            <w:tcW w:w="3891" w:type="dxa"/>
            <w:tcBorders>
              <w:top w:val="nil"/>
              <w:left w:val="nil"/>
              <w:bottom w:val="nil"/>
              <w:right w:val="nil"/>
            </w:tcBorders>
            <w:shd w:val="clear" w:color="auto" w:fill="FFFFFF"/>
            <w:vAlign w:val="bottom"/>
          </w:tcPr>
          <w:p w14:paraId="50A18B69">
            <w:pPr>
              <w:rPr>
                <w:rFonts w:hint="eastAsia" w:ascii="宋体" w:hAnsi="宋体" w:eastAsia="宋体" w:cs="宋体"/>
                <w:i w:val="0"/>
                <w:iCs w:val="0"/>
                <w:color w:val="000000"/>
                <w:sz w:val="22"/>
                <w:szCs w:val="22"/>
                <w:u w:val="none"/>
              </w:rPr>
            </w:pPr>
          </w:p>
        </w:tc>
        <w:tc>
          <w:tcPr>
            <w:tcW w:w="731" w:type="dxa"/>
            <w:tcBorders>
              <w:top w:val="nil"/>
              <w:left w:val="nil"/>
              <w:bottom w:val="nil"/>
              <w:right w:val="nil"/>
            </w:tcBorders>
            <w:shd w:val="clear" w:color="auto" w:fill="FFFFFF"/>
            <w:vAlign w:val="bottom"/>
          </w:tcPr>
          <w:p w14:paraId="11DE2CAB">
            <w:pPr>
              <w:rPr>
                <w:rFonts w:hint="eastAsia" w:ascii="宋体" w:hAnsi="宋体" w:eastAsia="宋体" w:cs="宋体"/>
                <w:i w:val="0"/>
                <w:iCs w:val="0"/>
                <w:color w:val="000000"/>
                <w:sz w:val="22"/>
                <w:szCs w:val="22"/>
                <w:u w:val="none"/>
              </w:rPr>
            </w:pPr>
          </w:p>
        </w:tc>
        <w:tc>
          <w:tcPr>
            <w:tcW w:w="1097" w:type="dxa"/>
            <w:tcBorders>
              <w:top w:val="nil"/>
              <w:left w:val="nil"/>
              <w:bottom w:val="nil"/>
              <w:right w:val="nil"/>
            </w:tcBorders>
            <w:shd w:val="clear" w:color="auto" w:fill="FFFFFF"/>
            <w:vAlign w:val="bottom"/>
          </w:tcPr>
          <w:p w14:paraId="6AC4D8AB">
            <w:pPr>
              <w:rPr>
                <w:rFonts w:hint="eastAsia" w:ascii="宋体" w:hAnsi="宋体" w:eastAsia="宋体" w:cs="宋体"/>
                <w:i w:val="0"/>
                <w:iCs w:val="0"/>
                <w:color w:val="000000"/>
                <w:sz w:val="22"/>
                <w:szCs w:val="22"/>
                <w:u w:val="none"/>
              </w:rPr>
            </w:pPr>
          </w:p>
        </w:tc>
        <w:tc>
          <w:tcPr>
            <w:tcW w:w="1098" w:type="dxa"/>
            <w:tcBorders>
              <w:top w:val="nil"/>
              <w:left w:val="nil"/>
              <w:bottom w:val="nil"/>
              <w:right w:val="nil"/>
            </w:tcBorders>
            <w:shd w:val="clear" w:color="auto" w:fill="FFFFFF"/>
            <w:vAlign w:val="bottom"/>
          </w:tcPr>
          <w:p w14:paraId="269E6EAC">
            <w:pPr>
              <w:rPr>
                <w:rFonts w:hint="eastAsia" w:ascii="宋体" w:hAnsi="宋体" w:eastAsia="宋体" w:cs="宋体"/>
                <w:i w:val="0"/>
                <w:iCs w:val="0"/>
                <w:color w:val="000000"/>
                <w:sz w:val="22"/>
                <w:szCs w:val="22"/>
                <w:u w:val="none"/>
              </w:rPr>
            </w:pPr>
          </w:p>
        </w:tc>
        <w:tc>
          <w:tcPr>
            <w:tcW w:w="1097" w:type="dxa"/>
            <w:tcBorders>
              <w:top w:val="nil"/>
              <w:left w:val="nil"/>
              <w:bottom w:val="nil"/>
              <w:right w:val="nil"/>
            </w:tcBorders>
            <w:shd w:val="clear" w:color="auto" w:fill="FFFFFF"/>
            <w:vAlign w:val="bottom"/>
          </w:tcPr>
          <w:p w14:paraId="192EAB7E">
            <w:pPr>
              <w:rPr>
                <w:rFonts w:hint="eastAsia" w:ascii="宋体" w:hAnsi="宋体" w:eastAsia="宋体" w:cs="宋体"/>
                <w:i w:val="0"/>
                <w:iCs w:val="0"/>
                <w:color w:val="000000"/>
                <w:sz w:val="22"/>
                <w:szCs w:val="22"/>
                <w:u w:val="none"/>
              </w:rPr>
            </w:pPr>
          </w:p>
        </w:tc>
      </w:tr>
    </w:tbl>
    <w:p w14:paraId="19096CA8">
      <w:pPr>
        <w:keepNext w:val="0"/>
        <w:keepLines w:val="0"/>
        <w:widowControl/>
        <w:suppressLineNumbers w:val="0"/>
        <w:jc w:val="center"/>
        <w:textAlignment w:val="top"/>
        <w:rPr>
          <w:rStyle w:val="133"/>
          <w:lang w:val="en-US" w:eastAsia="zh-CN"/>
        </w:rPr>
      </w:pPr>
      <w:r>
        <w:rPr>
          <w:rStyle w:val="133"/>
          <w:lang w:val="en-US" w:eastAsia="zh-CN"/>
        </w:rPr>
        <w:br w:type="page"/>
      </w:r>
    </w:p>
    <w:tbl>
      <w:tblPr>
        <w:tblStyle w:val="25"/>
        <w:tblW w:w="8850" w:type="dxa"/>
        <w:tblInd w:w="98"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36"/>
        <w:gridCol w:w="3891"/>
        <w:gridCol w:w="731"/>
        <w:gridCol w:w="1097"/>
        <w:gridCol w:w="1098"/>
        <w:gridCol w:w="1097"/>
      </w:tblGrid>
      <w:tr w14:paraId="7E52F3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8850" w:type="dxa"/>
            <w:gridSpan w:val="6"/>
            <w:tcBorders>
              <w:top w:val="nil"/>
              <w:left w:val="nil"/>
              <w:bottom w:val="nil"/>
              <w:right w:val="nil"/>
            </w:tcBorders>
            <w:shd w:val="clear" w:color="auto" w:fill="FFFFFF"/>
          </w:tcPr>
          <w:p w14:paraId="2E43479C">
            <w:pPr>
              <w:keepNext w:val="0"/>
              <w:keepLines w:val="0"/>
              <w:widowControl/>
              <w:suppressLineNumbers w:val="0"/>
              <w:jc w:val="center"/>
              <w:textAlignment w:val="top"/>
              <w:rPr>
                <w:rFonts w:hint="eastAsia" w:ascii="宋体" w:hAnsi="宋体" w:eastAsia="宋体" w:cs="宋体"/>
                <w:b/>
                <w:bCs/>
                <w:i w:val="0"/>
                <w:iCs w:val="0"/>
                <w:color w:val="000000"/>
                <w:sz w:val="36"/>
                <w:szCs w:val="36"/>
                <w:u w:val="none"/>
              </w:rPr>
            </w:pPr>
            <w:r>
              <w:rPr>
                <w:rStyle w:val="133"/>
                <w:lang w:val="en-US" w:eastAsia="zh-CN"/>
              </w:rPr>
              <w:t>工程量清单表</w:t>
            </w:r>
          </w:p>
        </w:tc>
      </w:tr>
      <w:tr w14:paraId="2E2D9A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0" w:hRule="atLeast"/>
        </w:trPr>
        <w:tc>
          <w:tcPr>
            <w:tcW w:w="4827" w:type="dxa"/>
            <w:gridSpan w:val="2"/>
            <w:tcBorders>
              <w:top w:val="nil"/>
              <w:left w:val="nil"/>
              <w:bottom w:val="nil"/>
              <w:right w:val="nil"/>
            </w:tcBorders>
            <w:shd w:val="clear" w:color="auto" w:fill="FFFFFF"/>
            <w:vAlign w:val="center"/>
          </w:tcPr>
          <w:p w14:paraId="0FDD089D">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Style w:val="131"/>
                <w:lang w:val="en-US" w:eastAsia="zh-CN"/>
              </w:rPr>
              <w:t>合同段：第LD01标段（路灯）</w:t>
            </w:r>
          </w:p>
        </w:tc>
        <w:tc>
          <w:tcPr>
            <w:tcW w:w="2926" w:type="dxa"/>
            <w:gridSpan w:val="3"/>
            <w:tcBorders>
              <w:top w:val="nil"/>
              <w:left w:val="nil"/>
              <w:bottom w:val="nil"/>
              <w:right w:val="nil"/>
            </w:tcBorders>
            <w:shd w:val="clear" w:color="auto" w:fill="FFFFFF"/>
            <w:vAlign w:val="center"/>
          </w:tcPr>
          <w:p w14:paraId="456FF2CE">
            <w:pPr>
              <w:jc w:val="right"/>
              <w:rPr>
                <w:rFonts w:hint="eastAsia" w:ascii="宋体" w:hAnsi="宋体" w:eastAsia="宋体" w:cs="宋体"/>
                <w:i w:val="0"/>
                <w:iCs w:val="0"/>
                <w:color w:val="000000"/>
                <w:sz w:val="16"/>
                <w:szCs w:val="16"/>
                <w:u w:val="none"/>
              </w:rPr>
            </w:pPr>
          </w:p>
        </w:tc>
        <w:tc>
          <w:tcPr>
            <w:tcW w:w="1097" w:type="dxa"/>
            <w:tcBorders>
              <w:top w:val="nil"/>
              <w:left w:val="nil"/>
              <w:bottom w:val="nil"/>
              <w:right w:val="nil"/>
            </w:tcBorders>
            <w:shd w:val="clear" w:color="auto" w:fill="FFFFFF"/>
            <w:vAlign w:val="center"/>
          </w:tcPr>
          <w:p w14:paraId="7BF57ECA">
            <w:pPr>
              <w:keepNext w:val="0"/>
              <w:keepLines w:val="0"/>
              <w:widowControl/>
              <w:suppressLineNumbers w:val="0"/>
              <w:jc w:val="right"/>
              <w:textAlignment w:val="center"/>
              <w:rPr>
                <w:rFonts w:hint="eastAsia" w:ascii="宋体" w:hAnsi="宋体" w:eastAsia="宋体" w:cs="宋体"/>
                <w:i w:val="0"/>
                <w:iCs w:val="0"/>
                <w:color w:val="000000"/>
                <w:sz w:val="16"/>
                <w:szCs w:val="16"/>
                <w:u w:val="none"/>
              </w:rPr>
            </w:pPr>
            <w:r>
              <w:rPr>
                <w:rStyle w:val="131"/>
                <w:lang w:val="en-US" w:eastAsia="zh-CN"/>
              </w:rPr>
              <w:t>标表2</w:t>
            </w:r>
          </w:p>
        </w:tc>
      </w:tr>
      <w:tr w14:paraId="494077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trPr>
        <w:tc>
          <w:tcPr>
            <w:tcW w:w="8850" w:type="dxa"/>
            <w:gridSpan w:val="6"/>
            <w:tcBorders>
              <w:top w:val="single" w:color="000000" w:sz="8" w:space="0"/>
              <w:left w:val="single" w:color="000000" w:sz="8" w:space="0"/>
              <w:bottom w:val="single" w:color="000000" w:sz="4" w:space="0"/>
              <w:right w:val="single" w:color="000000" w:sz="8" w:space="0"/>
            </w:tcBorders>
            <w:shd w:val="clear" w:color="auto" w:fill="FFFFFF"/>
            <w:vAlign w:val="center"/>
          </w:tcPr>
          <w:p w14:paraId="63CDFBE5">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rPr>
              <w:t xml:space="preserve">清单  第800章   管理、养护设施 </w:t>
            </w:r>
          </w:p>
        </w:tc>
      </w:tr>
      <w:tr w14:paraId="5ED411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936" w:type="dxa"/>
            <w:tcBorders>
              <w:top w:val="nil"/>
              <w:left w:val="single" w:color="000000" w:sz="8" w:space="0"/>
              <w:bottom w:val="single" w:color="000000" w:sz="4" w:space="0"/>
              <w:right w:val="single" w:color="000000" w:sz="4" w:space="0"/>
            </w:tcBorders>
            <w:shd w:val="clear" w:color="auto" w:fill="FFFFFF"/>
            <w:vAlign w:val="center"/>
          </w:tcPr>
          <w:p w14:paraId="7B930005">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Style w:val="132"/>
                <w:lang w:val="en-US" w:eastAsia="zh-CN"/>
              </w:rPr>
              <w:t>子目号</w:t>
            </w:r>
          </w:p>
        </w:tc>
        <w:tc>
          <w:tcPr>
            <w:tcW w:w="3891" w:type="dxa"/>
            <w:tcBorders>
              <w:top w:val="nil"/>
              <w:left w:val="nil"/>
              <w:bottom w:val="single" w:color="000000" w:sz="4" w:space="0"/>
              <w:right w:val="single" w:color="000000" w:sz="4" w:space="0"/>
            </w:tcBorders>
            <w:shd w:val="clear" w:color="auto" w:fill="FFFFFF"/>
            <w:vAlign w:val="center"/>
          </w:tcPr>
          <w:p w14:paraId="228B2796">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Style w:val="132"/>
                <w:lang w:val="en-US" w:eastAsia="zh-CN"/>
              </w:rPr>
              <w:t>子目名称</w:t>
            </w:r>
          </w:p>
        </w:tc>
        <w:tc>
          <w:tcPr>
            <w:tcW w:w="731" w:type="dxa"/>
            <w:tcBorders>
              <w:top w:val="nil"/>
              <w:left w:val="nil"/>
              <w:bottom w:val="single" w:color="000000" w:sz="4" w:space="0"/>
              <w:right w:val="single" w:color="000000" w:sz="4" w:space="0"/>
            </w:tcBorders>
            <w:shd w:val="clear" w:color="auto" w:fill="FFFFFF"/>
            <w:vAlign w:val="center"/>
          </w:tcPr>
          <w:p w14:paraId="5DC5CAEB">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Style w:val="132"/>
                <w:lang w:val="en-US" w:eastAsia="zh-CN"/>
              </w:rPr>
              <w:t>单位</w:t>
            </w:r>
          </w:p>
        </w:tc>
        <w:tc>
          <w:tcPr>
            <w:tcW w:w="1097" w:type="dxa"/>
            <w:tcBorders>
              <w:top w:val="nil"/>
              <w:left w:val="nil"/>
              <w:bottom w:val="single" w:color="000000" w:sz="4" w:space="0"/>
              <w:right w:val="single" w:color="000000" w:sz="4" w:space="0"/>
            </w:tcBorders>
            <w:shd w:val="clear" w:color="auto" w:fill="FFFFFF"/>
            <w:vAlign w:val="center"/>
          </w:tcPr>
          <w:p w14:paraId="4BC0DE68">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Style w:val="132"/>
                <w:lang w:val="en-US" w:eastAsia="zh-CN"/>
              </w:rPr>
              <w:t>数量</w:t>
            </w:r>
          </w:p>
        </w:tc>
        <w:tc>
          <w:tcPr>
            <w:tcW w:w="1098" w:type="dxa"/>
            <w:tcBorders>
              <w:top w:val="nil"/>
              <w:left w:val="nil"/>
              <w:bottom w:val="single" w:color="000000" w:sz="4" w:space="0"/>
              <w:right w:val="single" w:color="000000" w:sz="4" w:space="0"/>
            </w:tcBorders>
            <w:shd w:val="clear" w:color="auto" w:fill="FFFFFF"/>
            <w:vAlign w:val="center"/>
          </w:tcPr>
          <w:p w14:paraId="68F84D37">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Style w:val="132"/>
                <w:lang w:val="en-US" w:eastAsia="zh-CN"/>
              </w:rPr>
              <w:t>单价</w:t>
            </w:r>
          </w:p>
        </w:tc>
        <w:tc>
          <w:tcPr>
            <w:tcW w:w="1097" w:type="dxa"/>
            <w:tcBorders>
              <w:top w:val="nil"/>
              <w:left w:val="nil"/>
              <w:bottom w:val="single" w:color="000000" w:sz="4" w:space="0"/>
              <w:right w:val="single" w:color="000000" w:sz="8" w:space="0"/>
            </w:tcBorders>
            <w:shd w:val="clear" w:color="auto" w:fill="FFFFFF"/>
            <w:vAlign w:val="center"/>
          </w:tcPr>
          <w:p w14:paraId="62952CD6">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Style w:val="132"/>
                <w:lang w:val="en-US" w:eastAsia="zh-CN"/>
              </w:rPr>
              <w:t>合价</w:t>
            </w:r>
          </w:p>
        </w:tc>
      </w:tr>
      <w:tr w14:paraId="2B9954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36" w:type="dxa"/>
            <w:tcBorders>
              <w:top w:val="nil"/>
              <w:left w:val="single" w:color="000000" w:sz="8" w:space="0"/>
              <w:bottom w:val="single" w:color="000000" w:sz="4" w:space="0"/>
              <w:right w:val="single" w:color="000000" w:sz="4" w:space="0"/>
            </w:tcBorders>
            <w:shd w:val="clear" w:color="auto" w:fill="FFFFFF"/>
            <w:vAlign w:val="center"/>
          </w:tcPr>
          <w:p w14:paraId="6A8FED52">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Style w:val="131"/>
                <w:lang w:val="en-US" w:eastAsia="zh-CN"/>
              </w:rPr>
              <w:t>807</w:t>
            </w:r>
          </w:p>
        </w:tc>
        <w:tc>
          <w:tcPr>
            <w:tcW w:w="3891" w:type="dxa"/>
            <w:tcBorders>
              <w:top w:val="nil"/>
              <w:left w:val="nil"/>
              <w:bottom w:val="single" w:color="000000" w:sz="4" w:space="0"/>
              <w:right w:val="single" w:color="000000" w:sz="4" w:space="0"/>
            </w:tcBorders>
            <w:shd w:val="clear" w:color="auto" w:fill="FFFFFF"/>
            <w:vAlign w:val="center"/>
          </w:tcPr>
          <w:p w14:paraId="1CEC1436">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Style w:val="131"/>
                <w:lang w:val="en-US" w:eastAsia="zh-CN"/>
              </w:rPr>
              <w:t xml:space="preserve">供配电照明系统 </w:t>
            </w:r>
          </w:p>
        </w:tc>
        <w:tc>
          <w:tcPr>
            <w:tcW w:w="731" w:type="dxa"/>
            <w:tcBorders>
              <w:top w:val="nil"/>
              <w:left w:val="nil"/>
              <w:bottom w:val="single" w:color="000000" w:sz="4" w:space="0"/>
              <w:right w:val="single" w:color="000000" w:sz="4" w:space="0"/>
            </w:tcBorders>
            <w:shd w:val="clear" w:color="auto" w:fill="FFFFFF"/>
            <w:vAlign w:val="center"/>
          </w:tcPr>
          <w:p w14:paraId="5FF9F3C3">
            <w:pPr>
              <w:jc w:val="center"/>
              <w:rPr>
                <w:rFonts w:hint="eastAsia" w:ascii="宋体" w:hAnsi="宋体" w:eastAsia="宋体" w:cs="宋体"/>
                <w:i w:val="0"/>
                <w:iCs w:val="0"/>
                <w:color w:val="000000"/>
                <w:sz w:val="16"/>
                <w:szCs w:val="16"/>
                <w:u w:val="none"/>
              </w:rPr>
            </w:pPr>
          </w:p>
        </w:tc>
        <w:tc>
          <w:tcPr>
            <w:tcW w:w="1097" w:type="dxa"/>
            <w:tcBorders>
              <w:top w:val="nil"/>
              <w:left w:val="nil"/>
              <w:bottom w:val="single" w:color="000000" w:sz="4" w:space="0"/>
              <w:right w:val="single" w:color="000000" w:sz="4" w:space="0"/>
            </w:tcBorders>
            <w:shd w:val="clear" w:color="auto" w:fill="FFFFFF"/>
            <w:vAlign w:val="center"/>
          </w:tcPr>
          <w:p w14:paraId="39182143">
            <w:pPr>
              <w:jc w:val="right"/>
              <w:rPr>
                <w:rFonts w:ascii="Arial Narrow" w:hAnsi="Arial Narrow" w:eastAsia="Arial Narrow" w:cs="Arial Narrow"/>
                <w:i w:val="0"/>
                <w:iCs w:val="0"/>
                <w:color w:val="000000"/>
                <w:sz w:val="16"/>
                <w:szCs w:val="16"/>
                <w:u w:val="none"/>
              </w:rPr>
            </w:pPr>
          </w:p>
        </w:tc>
        <w:tc>
          <w:tcPr>
            <w:tcW w:w="1098" w:type="dxa"/>
            <w:tcBorders>
              <w:top w:val="nil"/>
              <w:left w:val="nil"/>
              <w:bottom w:val="single" w:color="000000" w:sz="4" w:space="0"/>
              <w:right w:val="single" w:color="000000" w:sz="4" w:space="0"/>
            </w:tcBorders>
            <w:shd w:val="clear" w:color="auto" w:fill="FFFFFF"/>
            <w:vAlign w:val="center"/>
          </w:tcPr>
          <w:p w14:paraId="0F471A0A">
            <w:pPr>
              <w:jc w:val="right"/>
              <w:rPr>
                <w:rFonts w:ascii="Arial Narrow" w:hAnsi="Arial Narrow" w:eastAsia="Arial Narrow" w:cs="Arial Narrow"/>
                <w:i w:val="0"/>
                <w:iCs w:val="0"/>
                <w:color w:val="000000"/>
                <w:sz w:val="16"/>
                <w:szCs w:val="16"/>
                <w:u w:val="none"/>
              </w:rPr>
            </w:pPr>
          </w:p>
        </w:tc>
        <w:tc>
          <w:tcPr>
            <w:tcW w:w="1097" w:type="dxa"/>
            <w:tcBorders>
              <w:top w:val="nil"/>
              <w:left w:val="nil"/>
              <w:bottom w:val="single" w:color="000000" w:sz="4" w:space="0"/>
              <w:right w:val="single" w:color="000000" w:sz="8" w:space="0"/>
            </w:tcBorders>
            <w:shd w:val="clear" w:color="auto" w:fill="FFFFFF"/>
            <w:vAlign w:val="center"/>
          </w:tcPr>
          <w:p w14:paraId="051E0CDC">
            <w:pPr>
              <w:jc w:val="right"/>
              <w:rPr>
                <w:rFonts w:ascii="Arial Narrow" w:hAnsi="Arial Narrow" w:eastAsia="Arial Narrow" w:cs="Arial Narrow"/>
                <w:i w:val="0"/>
                <w:iCs w:val="0"/>
                <w:color w:val="000000"/>
                <w:sz w:val="16"/>
                <w:szCs w:val="16"/>
                <w:u w:val="none"/>
              </w:rPr>
            </w:pPr>
          </w:p>
        </w:tc>
      </w:tr>
      <w:tr w14:paraId="1EB758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36" w:type="dxa"/>
            <w:tcBorders>
              <w:top w:val="nil"/>
              <w:left w:val="single" w:color="000000" w:sz="8" w:space="0"/>
              <w:bottom w:val="single" w:color="000000" w:sz="4" w:space="0"/>
              <w:right w:val="single" w:color="000000" w:sz="4" w:space="0"/>
            </w:tcBorders>
            <w:shd w:val="clear" w:color="auto" w:fill="FFFFFF"/>
            <w:vAlign w:val="center"/>
          </w:tcPr>
          <w:p w14:paraId="107FEB8E">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Style w:val="131"/>
                <w:lang w:val="en-US" w:eastAsia="zh-CN"/>
              </w:rPr>
              <w:t xml:space="preserve">807-5 </w:t>
            </w:r>
          </w:p>
        </w:tc>
        <w:tc>
          <w:tcPr>
            <w:tcW w:w="3891" w:type="dxa"/>
            <w:tcBorders>
              <w:top w:val="nil"/>
              <w:left w:val="nil"/>
              <w:bottom w:val="single" w:color="000000" w:sz="4" w:space="0"/>
              <w:right w:val="single" w:color="000000" w:sz="4" w:space="0"/>
            </w:tcBorders>
            <w:shd w:val="clear" w:color="auto" w:fill="FFFFFF"/>
            <w:vAlign w:val="center"/>
          </w:tcPr>
          <w:p w14:paraId="12A221DD">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Style w:val="131"/>
                <w:lang w:val="en-US" w:eastAsia="zh-CN"/>
              </w:rPr>
              <w:t xml:space="preserve">变压器 </w:t>
            </w:r>
          </w:p>
        </w:tc>
        <w:tc>
          <w:tcPr>
            <w:tcW w:w="731" w:type="dxa"/>
            <w:tcBorders>
              <w:top w:val="nil"/>
              <w:left w:val="nil"/>
              <w:bottom w:val="single" w:color="000000" w:sz="4" w:space="0"/>
              <w:right w:val="single" w:color="000000" w:sz="4" w:space="0"/>
            </w:tcBorders>
            <w:shd w:val="clear" w:color="auto" w:fill="FFFFFF"/>
            <w:vAlign w:val="center"/>
          </w:tcPr>
          <w:p w14:paraId="0C948350">
            <w:pPr>
              <w:jc w:val="center"/>
              <w:rPr>
                <w:rFonts w:hint="eastAsia" w:ascii="宋体" w:hAnsi="宋体" w:eastAsia="宋体" w:cs="宋体"/>
                <w:i w:val="0"/>
                <w:iCs w:val="0"/>
                <w:color w:val="000000"/>
                <w:sz w:val="16"/>
                <w:szCs w:val="16"/>
                <w:u w:val="none"/>
              </w:rPr>
            </w:pPr>
          </w:p>
        </w:tc>
        <w:tc>
          <w:tcPr>
            <w:tcW w:w="1097" w:type="dxa"/>
            <w:tcBorders>
              <w:top w:val="nil"/>
              <w:left w:val="nil"/>
              <w:bottom w:val="single" w:color="000000" w:sz="4" w:space="0"/>
              <w:right w:val="single" w:color="000000" w:sz="4" w:space="0"/>
            </w:tcBorders>
            <w:shd w:val="clear" w:color="auto" w:fill="FFFFFF"/>
            <w:vAlign w:val="center"/>
          </w:tcPr>
          <w:p w14:paraId="69C26EA9">
            <w:pPr>
              <w:jc w:val="right"/>
              <w:rPr>
                <w:rFonts w:ascii="Arial Narrow" w:hAnsi="Arial Narrow" w:eastAsia="Arial Narrow" w:cs="Arial Narrow"/>
                <w:i w:val="0"/>
                <w:iCs w:val="0"/>
                <w:color w:val="000000"/>
                <w:sz w:val="16"/>
                <w:szCs w:val="16"/>
                <w:u w:val="none"/>
              </w:rPr>
            </w:pPr>
          </w:p>
        </w:tc>
        <w:tc>
          <w:tcPr>
            <w:tcW w:w="1098" w:type="dxa"/>
            <w:tcBorders>
              <w:top w:val="nil"/>
              <w:left w:val="nil"/>
              <w:bottom w:val="single" w:color="000000" w:sz="4" w:space="0"/>
              <w:right w:val="single" w:color="000000" w:sz="4" w:space="0"/>
            </w:tcBorders>
            <w:shd w:val="clear" w:color="auto" w:fill="FFFFFF"/>
            <w:vAlign w:val="center"/>
          </w:tcPr>
          <w:p w14:paraId="1FE71DE6">
            <w:pPr>
              <w:jc w:val="right"/>
              <w:rPr>
                <w:rFonts w:ascii="Arial Narrow" w:hAnsi="Arial Narrow" w:eastAsia="Arial Narrow" w:cs="Arial Narrow"/>
                <w:i w:val="0"/>
                <w:iCs w:val="0"/>
                <w:color w:val="000000"/>
                <w:sz w:val="16"/>
                <w:szCs w:val="16"/>
                <w:u w:val="none"/>
              </w:rPr>
            </w:pPr>
          </w:p>
        </w:tc>
        <w:tc>
          <w:tcPr>
            <w:tcW w:w="1097" w:type="dxa"/>
            <w:tcBorders>
              <w:top w:val="nil"/>
              <w:left w:val="nil"/>
              <w:bottom w:val="single" w:color="000000" w:sz="4" w:space="0"/>
              <w:right w:val="single" w:color="000000" w:sz="8" w:space="0"/>
            </w:tcBorders>
            <w:shd w:val="clear" w:color="auto" w:fill="FFFFFF"/>
            <w:vAlign w:val="center"/>
          </w:tcPr>
          <w:p w14:paraId="4D769D4E">
            <w:pPr>
              <w:jc w:val="right"/>
              <w:rPr>
                <w:rFonts w:ascii="Arial Narrow" w:hAnsi="Arial Narrow" w:eastAsia="Arial Narrow" w:cs="Arial Narrow"/>
                <w:i w:val="0"/>
                <w:iCs w:val="0"/>
                <w:color w:val="000000"/>
                <w:sz w:val="16"/>
                <w:szCs w:val="16"/>
                <w:u w:val="none"/>
              </w:rPr>
            </w:pPr>
          </w:p>
        </w:tc>
      </w:tr>
      <w:tr w14:paraId="6C053B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936" w:type="dxa"/>
            <w:tcBorders>
              <w:top w:val="nil"/>
              <w:left w:val="single" w:color="000000" w:sz="8" w:space="0"/>
              <w:bottom w:val="single" w:color="000000" w:sz="4" w:space="0"/>
              <w:right w:val="single" w:color="000000" w:sz="4" w:space="0"/>
            </w:tcBorders>
            <w:shd w:val="clear" w:color="auto" w:fill="FFFFFF"/>
            <w:vAlign w:val="center"/>
          </w:tcPr>
          <w:p w14:paraId="0ECB61DA">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Style w:val="131"/>
                <w:lang w:val="en-US" w:eastAsia="zh-CN"/>
              </w:rPr>
              <w:t xml:space="preserve">807-5-3 </w:t>
            </w:r>
          </w:p>
        </w:tc>
        <w:tc>
          <w:tcPr>
            <w:tcW w:w="3891" w:type="dxa"/>
            <w:tcBorders>
              <w:top w:val="nil"/>
              <w:left w:val="nil"/>
              <w:bottom w:val="single" w:color="000000" w:sz="4" w:space="0"/>
              <w:right w:val="single" w:color="000000" w:sz="4" w:space="0"/>
            </w:tcBorders>
            <w:shd w:val="clear" w:color="auto" w:fill="FFFFFF"/>
            <w:vAlign w:val="center"/>
          </w:tcPr>
          <w:p w14:paraId="0531EA2F">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Style w:val="131"/>
                <w:lang w:val="en-US" w:eastAsia="zh-CN"/>
              </w:rPr>
              <w:t>组合式成套箱变（10kV/0.4kV，100KVA，含电器、接地装置、基础、10KV电源进线1项等）</w:t>
            </w:r>
          </w:p>
        </w:tc>
        <w:tc>
          <w:tcPr>
            <w:tcW w:w="731" w:type="dxa"/>
            <w:tcBorders>
              <w:top w:val="nil"/>
              <w:left w:val="nil"/>
              <w:bottom w:val="single" w:color="000000" w:sz="4" w:space="0"/>
              <w:right w:val="single" w:color="000000" w:sz="4" w:space="0"/>
            </w:tcBorders>
            <w:shd w:val="clear" w:color="auto" w:fill="FFFFFF"/>
            <w:vAlign w:val="center"/>
          </w:tcPr>
          <w:p w14:paraId="4CF9FC4F">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Style w:val="131"/>
                <w:lang w:val="en-US" w:eastAsia="zh-CN"/>
              </w:rPr>
              <w:t>台</w:t>
            </w:r>
          </w:p>
        </w:tc>
        <w:tc>
          <w:tcPr>
            <w:tcW w:w="1097" w:type="dxa"/>
            <w:tcBorders>
              <w:top w:val="nil"/>
              <w:left w:val="nil"/>
              <w:bottom w:val="single" w:color="000000" w:sz="4" w:space="0"/>
              <w:right w:val="single" w:color="000000" w:sz="4" w:space="0"/>
            </w:tcBorders>
            <w:shd w:val="clear" w:color="auto" w:fill="FFFFFF"/>
            <w:vAlign w:val="center"/>
          </w:tcPr>
          <w:p w14:paraId="30643EB3">
            <w:pPr>
              <w:keepNext w:val="0"/>
              <w:keepLines w:val="0"/>
              <w:widowControl/>
              <w:suppressLineNumbers w:val="0"/>
              <w:jc w:val="right"/>
              <w:textAlignment w:val="center"/>
              <w:rPr>
                <w:rFonts w:ascii="Arial Narrow" w:hAnsi="Arial Narrow" w:eastAsia="Arial Narrow" w:cs="Arial Narrow"/>
                <w:i w:val="0"/>
                <w:iCs w:val="0"/>
                <w:color w:val="000000"/>
                <w:sz w:val="16"/>
                <w:szCs w:val="16"/>
                <w:u w:val="none"/>
              </w:rPr>
            </w:pPr>
            <w:r>
              <w:rPr>
                <w:rFonts w:ascii="Arial Narrow" w:hAnsi="Arial Narrow" w:eastAsia="Arial Narrow" w:cs="Arial Narrow"/>
                <w:i w:val="0"/>
                <w:iCs w:val="0"/>
                <w:color w:val="000000"/>
                <w:kern w:val="0"/>
                <w:sz w:val="16"/>
                <w:szCs w:val="16"/>
                <w:u w:val="none"/>
                <w:lang w:val="en-US" w:eastAsia="zh-CN"/>
              </w:rPr>
              <w:t>1</w:t>
            </w:r>
          </w:p>
        </w:tc>
        <w:tc>
          <w:tcPr>
            <w:tcW w:w="1098" w:type="dxa"/>
            <w:tcBorders>
              <w:top w:val="nil"/>
              <w:left w:val="nil"/>
              <w:bottom w:val="single" w:color="000000" w:sz="4" w:space="0"/>
              <w:right w:val="single" w:color="000000" w:sz="4" w:space="0"/>
            </w:tcBorders>
            <w:shd w:val="clear" w:color="auto" w:fill="FFFFFF"/>
            <w:vAlign w:val="center"/>
          </w:tcPr>
          <w:p w14:paraId="3EE4CFDC">
            <w:pPr>
              <w:keepNext w:val="0"/>
              <w:keepLines w:val="0"/>
              <w:widowControl/>
              <w:suppressLineNumbers w:val="0"/>
              <w:jc w:val="right"/>
              <w:textAlignment w:val="center"/>
              <w:rPr>
                <w:rFonts w:ascii="Arial Narrow" w:hAnsi="Arial Narrow" w:eastAsia="Arial Narrow" w:cs="Arial Narrow"/>
                <w:i w:val="0"/>
                <w:iCs w:val="0"/>
                <w:color w:val="000000"/>
                <w:sz w:val="16"/>
                <w:szCs w:val="16"/>
                <w:u w:val="none"/>
              </w:rPr>
            </w:pPr>
          </w:p>
        </w:tc>
        <w:tc>
          <w:tcPr>
            <w:tcW w:w="1097" w:type="dxa"/>
            <w:tcBorders>
              <w:top w:val="nil"/>
              <w:left w:val="nil"/>
              <w:bottom w:val="single" w:color="000000" w:sz="4" w:space="0"/>
              <w:right w:val="single" w:color="000000" w:sz="8" w:space="0"/>
            </w:tcBorders>
            <w:shd w:val="clear" w:color="auto" w:fill="FFFFFF"/>
            <w:vAlign w:val="center"/>
          </w:tcPr>
          <w:p w14:paraId="6A04B637">
            <w:pPr>
              <w:keepNext w:val="0"/>
              <w:keepLines w:val="0"/>
              <w:widowControl/>
              <w:suppressLineNumbers w:val="0"/>
              <w:jc w:val="right"/>
              <w:textAlignment w:val="center"/>
              <w:rPr>
                <w:rFonts w:ascii="Arial Narrow" w:hAnsi="Arial Narrow" w:eastAsia="Arial Narrow" w:cs="Arial Narrow"/>
                <w:i w:val="0"/>
                <w:iCs w:val="0"/>
                <w:color w:val="000000"/>
                <w:sz w:val="16"/>
                <w:szCs w:val="16"/>
                <w:u w:val="none"/>
              </w:rPr>
            </w:pPr>
          </w:p>
        </w:tc>
      </w:tr>
      <w:tr w14:paraId="364C4B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36" w:type="dxa"/>
            <w:tcBorders>
              <w:top w:val="nil"/>
              <w:left w:val="single" w:color="000000" w:sz="8" w:space="0"/>
              <w:bottom w:val="single" w:color="000000" w:sz="4" w:space="0"/>
              <w:right w:val="single" w:color="000000" w:sz="4" w:space="0"/>
            </w:tcBorders>
            <w:shd w:val="clear" w:color="auto" w:fill="FFFFFF"/>
            <w:vAlign w:val="center"/>
          </w:tcPr>
          <w:p w14:paraId="1FE6F730">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Style w:val="131"/>
                <w:lang w:val="en-US" w:eastAsia="zh-CN"/>
              </w:rPr>
              <w:t>807-5-5</w:t>
            </w:r>
          </w:p>
        </w:tc>
        <w:tc>
          <w:tcPr>
            <w:tcW w:w="3891" w:type="dxa"/>
            <w:tcBorders>
              <w:top w:val="nil"/>
              <w:left w:val="nil"/>
              <w:bottom w:val="single" w:color="000000" w:sz="4" w:space="0"/>
              <w:right w:val="single" w:color="000000" w:sz="4" w:space="0"/>
            </w:tcBorders>
            <w:shd w:val="clear" w:color="auto" w:fill="FFFFFF"/>
            <w:vAlign w:val="center"/>
          </w:tcPr>
          <w:p w14:paraId="19FAE062">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Style w:val="131"/>
                <w:lang w:val="en-US" w:eastAsia="zh-CN"/>
              </w:rPr>
              <w:t>天文时钟控制器</w:t>
            </w:r>
          </w:p>
        </w:tc>
        <w:tc>
          <w:tcPr>
            <w:tcW w:w="731" w:type="dxa"/>
            <w:tcBorders>
              <w:top w:val="nil"/>
              <w:left w:val="nil"/>
              <w:bottom w:val="single" w:color="000000" w:sz="4" w:space="0"/>
              <w:right w:val="single" w:color="000000" w:sz="4" w:space="0"/>
            </w:tcBorders>
            <w:shd w:val="clear" w:color="auto" w:fill="FFFFFF"/>
            <w:vAlign w:val="center"/>
          </w:tcPr>
          <w:p w14:paraId="485D3D68">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Style w:val="131"/>
                <w:lang w:val="en-US" w:eastAsia="zh-CN"/>
              </w:rPr>
              <w:t>套</w:t>
            </w:r>
          </w:p>
        </w:tc>
        <w:tc>
          <w:tcPr>
            <w:tcW w:w="1097" w:type="dxa"/>
            <w:tcBorders>
              <w:top w:val="nil"/>
              <w:left w:val="nil"/>
              <w:bottom w:val="single" w:color="000000" w:sz="4" w:space="0"/>
              <w:right w:val="single" w:color="000000" w:sz="4" w:space="0"/>
            </w:tcBorders>
            <w:shd w:val="clear" w:color="auto" w:fill="FFFFFF"/>
            <w:vAlign w:val="center"/>
          </w:tcPr>
          <w:p w14:paraId="613137F0">
            <w:pPr>
              <w:keepNext w:val="0"/>
              <w:keepLines w:val="0"/>
              <w:widowControl/>
              <w:suppressLineNumbers w:val="0"/>
              <w:jc w:val="right"/>
              <w:textAlignment w:val="center"/>
              <w:rPr>
                <w:rFonts w:ascii="Arial Narrow" w:hAnsi="Arial Narrow" w:eastAsia="Arial Narrow" w:cs="Arial Narrow"/>
                <w:i w:val="0"/>
                <w:iCs w:val="0"/>
                <w:color w:val="000000"/>
                <w:sz w:val="16"/>
                <w:szCs w:val="16"/>
                <w:u w:val="none"/>
              </w:rPr>
            </w:pPr>
            <w:r>
              <w:rPr>
                <w:rFonts w:ascii="Arial Narrow" w:hAnsi="Arial Narrow" w:eastAsia="Arial Narrow" w:cs="Arial Narrow"/>
                <w:i w:val="0"/>
                <w:iCs w:val="0"/>
                <w:color w:val="000000"/>
                <w:kern w:val="0"/>
                <w:sz w:val="16"/>
                <w:szCs w:val="16"/>
                <w:u w:val="none"/>
                <w:lang w:val="en-US" w:eastAsia="zh-CN"/>
              </w:rPr>
              <w:t>1</w:t>
            </w:r>
          </w:p>
        </w:tc>
        <w:tc>
          <w:tcPr>
            <w:tcW w:w="1098" w:type="dxa"/>
            <w:tcBorders>
              <w:top w:val="nil"/>
              <w:left w:val="nil"/>
              <w:bottom w:val="single" w:color="000000" w:sz="4" w:space="0"/>
              <w:right w:val="single" w:color="000000" w:sz="4" w:space="0"/>
            </w:tcBorders>
            <w:shd w:val="clear" w:color="auto" w:fill="FFFFFF"/>
            <w:vAlign w:val="center"/>
          </w:tcPr>
          <w:p w14:paraId="11C178EF">
            <w:pPr>
              <w:keepNext w:val="0"/>
              <w:keepLines w:val="0"/>
              <w:widowControl/>
              <w:suppressLineNumbers w:val="0"/>
              <w:jc w:val="right"/>
              <w:textAlignment w:val="center"/>
              <w:rPr>
                <w:rFonts w:ascii="Arial Narrow" w:hAnsi="Arial Narrow" w:eastAsia="Arial Narrow" w:cs="Arial Narrow"/>
                <w:i w:val="0"/>
                <w:iCs w:val="0"/>
                <w:color w:val="000000"/>
                <w:sz w:val="16"/>
                <w:szCs w:val="16"/>
                <w:u w:val="none"/>
              </w:rPr>
            </w:pPr>
          </w:p>
        </w:tc>
        <w:tc>
          <w:tcPr>
            <w:tcW w:w="1097" w:type="dxa"/>
            <w:tcBorders>
              <w:top w:val="nil"/>
              <w:left w:val="nil"/>
              <w:bottom w:val="single" w:color="000000" w:sz="4" w:space="0"/>
              <w:right w:val="single" w:color="000000" w:sz="8" w:space="0"/>
            </w:tcBorders>
            <w:shd w:val="clear" w:color="auto" w:fill="FFFFFF"/>
            <w:vAlign w:val="center"/>
          </w:tcPr>
          <w:p w14:paraId="1BB33DF1">
            <w:pPr>
              <w:keepNext w:val="0"/>
              <w:keepLines w:val="0"/>
              <w:widowControl/>
              <w:suppressLineNumbers w:val="0"/>
              <w:jc w:val="right"/>
              <w:textAlignment w:val="center"/>
              <w:rPr>
                <w:rFonts w:ascii="Arial Narrow" w:hAnsi="Arial Narrow" w:eastAsia="Arial Narrow" w:cs="Arial Narrow"/>
                <w:i w:val="0"/>
                <w:iCs w:val="0"/>
                <w:color w:val="000000"/>
                <w:sz w:val="16"/>
                <w:szCs w:val="16"/>
                <w:u w:val="none"/>
              </w:rPr>
            </w:pPr>
          </w:p>
        </w:tc>
      </w:tr>
      <w:tr w14:paraId="77FDB3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36" w:type="dxa"/>
            <w:tcBorders>
              <w:top w:val="nil"/>
              <w:left w:val="single" w:color="000000" w:sz="8" w:space="0"/>
              <w:bottom w:val="single" w:color="000000" w:sz="4" w:space="0"/>
              <w:right w:val="single" w:color="000000" w:sz="4" w:space="0"/>
            </w:tcBorders>
            <w:shd w:val="clear" w:color="auto" w:fill="FFFFFF"/>
            <w:vAlign w:val="center"/>
          </w:tcPr>
          <w:p w14:paraId="0527C8DC">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Style w:val="131"/>
                <w:lang w:val="en-US" w:eastAsia="zh-CN"/>
              </w:rPr>
              <w:t xml:space="preserve">807-8 </w:t>
            </w:r>
          </w:p>
        </w:tc>
        <w:tc>
          <w:tcPr>
            <w:tcW w:w="3891" w:type="dxa"/>
            <w:tcBorders>
              <w:top w:val="nil"/>
              <w:left w:val="nil"/>
              <w:bottom w:val="single" w:color="000000" w:sz="4" w:space="0"/>
              <w:right w:val="single" w:color="000000" w:sz="4" w:space="0"/>
            </w:tcBorders>
            <w:shd w:val="clear" w:color="auto" w:fill="FFFFFF"/>
            <w:vAlign w:val="center"/>
          </w:tcPr>
          <w:p w14:paraId="41460DD8">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Style w:val="131"/>
                <w:lang w:val="en-US" w:eastAsia="zh-CN"/>
              </w:rPr>
              <w:t xml:space="preserve">路灯 </w:t>
            </w:r>
          </w:p>
        </w:tc>
        <w:tc>
          <w:tcPr>
            <w:tcW w:w="731" w:type="dxa"/>
            <w:tcBorders>
              <w:top w:val="nil"/>
              <w:left w:val="nil"/>
              <w:bottom w:val="single" w:color="000000" w:sz="4" w:space="0"/>
              <w:right w:val="single" w:color="000000" w:sz="4" w:space="0"/>
            </w:tcBorders>
            <w:shd w:val="clear" w:color="auto" w:fill="FFFFFF"/>
            <w:vAlign w:val="center"/>
          </w:tcPr>
          <w:p w14:paraId="3BCFE375">
            <w:pPr>
              <w:jc w:val="center"/>
              <w:rPr>
                <w:rFonts w:hint="eastAsia" w:ascii="宋体" w:hAnsi="宋体" w:eastAsia="宋体" w:cs="宋体"/>
                <w:i w:val="0"/>
                <w:iCs w:val="0"/>
                <w:color w:val="000000"/>
                <w:sz w:val="16"/>
                <w:szCs w:val="16"/>
                <w:u w:val="none"/>
              </w:rPr>
            </w:pPr>
          </w:p>
        </w:tc>
        <w:tc>
          <w:tcPr>
            <w:tcW w:w="1097" w:type="dxa"/>
            <w:tcBorders>
              <w:top w:val="nil"/>
              <w:left w:val="nil"/>
              <w:bottom w:val="single" w:color="000000" w:sz="4" w:space="0"/>
              <w:right w:val="single" w:color="000000" w:sz="4" w:space="0"/>
            </w:tcBorders>
            <w:shd w:val="clear" w:color="auto" w:fill="FFFFFF"/>
            <w:vAlign w:val="center"/>
          </w:tcPr>
          <w:p w14:paraId="2D4472F7">
            <w:pPr>
              <w:jc w:val="right"/>
              <w:rPr>
                <w:rFonts w:ascii="Arial Narrow" w:hAnsi="Arial Narrow" w:eastAsia="Arial Narrow" w:cs="Arial Narrow"/>
                <w:i w:val="0"/>
                <w:iCs w:val="0"/>
                <w:color w:val="000000"/>
                <w:sz w:val="16"/>
                <w:szCs w:val="16"/>
                <w:u w:val="none"/>
              </w:rPr>
            </w:pPr>
          </w:p>
        </w:tc>
        <w:tc>
          <w:tcPr>
            <w:tcW w:w="1098" w:type="dxa"/>
            <w:tcBorders>
              <w:top w:val="nil"/>
              <w:left w:val="nil"/>
              <w:bottom w:val="single" w:color="000000" w:sz="4" w:space="0"/>
              <w:right w:val="single" w:color="000000" w:sz="4" w:space="0"/>
            </w:tcBorders>
            <w:shd w:val="clear" w:color="auto" w:fill="FFFFFF"/>
            <w:vAlign w:val="center"/>
          </w:tcPr>
          <w:p w14:paraId="705AE13D">
            <w:pPr>
              <w:jc w:val="right"/>
              <w:rPr>
                <w:rFonts w:ascii="Arial Narrow" w:hAnsi="Arial Narrow" w:eastAsia="Arial Narrow" w:cs="Arial Narrow"/>
                <w:i w:val="0"/>
                <w:iCs w:val="0"/>
                <w:color w:val="000000"/>
                <w:sz w:val="16"/>
                <w:szCs w:val="16"/>
                <w:u w:val="none"/>
              </w:rPr>
            </w:pPr>
          </w:p>
        </w:tc>
        <w:tc>
          <w:tcPr>
            <w:tcW w:w="1097" w:type="dxa"/>
            <w:tcBorders>
              <w:top w:val="nil"/>
              <w:left w:val="nil"/>
              <w:bottom w:val="single" w:color="000000" w:sz="4" w:space="0"/>
              <w:right w:val="single" w:color="000000" w:sz="8" w:space="0"/>
            </w:tcBorders>
            <w:shd w:val="clear" w:color="auto" w:fill="FFFFFF"/>
            <w:vAlign w:val="center"/>
          </w:tcPr>
          <w:p w14:paraId="289D5553">
            <w:pPr>
              <w:jc w:val="right"/>
              <w:rPr>
                <w:rFonts w:ascii="Arial Narrow" w:hAnsi="Arial Narrow" w:eastAsia="Arial Narrow" w:cs="Arial Narrow"/>
                <w:i w:val="0"/>
                <w:iCs w:val="0"/>
                <w:color w:val="000000"/>
                <w:sz w:val="16"/>
                <w:szCs w:val="16"/>
                <w:u w:val="none"/>
              </w:rPr>
            </w:pPr>
          </w:p>
        </w:tc>
      </w:tr>
      <w:tr w14:paraId="35EDE2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36" w:type="dxa"/>
            <w:tcBorders>
              <w:top w:val="nil"/>
              <w:left w:val="single" w:color="000000" w:sz="8" w:space="0"/>
              <w:bottom w:val="single" w:color="000000" w:sz="4" w:space="0"/>
              <w:right w:val="single" w:color="000000" w:sz="4" w:space="0"/>
            </w:tcBorders>
            <w:shd w:val="clear" w:color="auto" w:fill="FFFFFF"/>
            <w:vAlign w:val="center"/>
          </w:tcPr>
          <w:p w14:paraId="43BEF28D">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Style w:val="131"/>
                <w:lang w:val="en-US" w:eastAsia="zh-CN"/>
              </w:rPr>
              <w:t xml:space="preserve">807-8-1 </w:t>
            </w:r>
          </w:p>
        </w:tc>
        <w:tc>
          <w:tcPr>
            <w:tcW w:w="3891" w:type="dxa"/>
            <w:tcBorders>
              <w:top w:val="nil"/>
              <w:left w:val="nil"/>
              <w:bottom w:val="single" w:color="000000" w:sz="4" w:space="0"/>
              <w:right w:val="single" w:color="000000" w:sz="4" w:space="0"/>
            </w:tcBorders>
            <w:shd w:val="clear" w:color="auto" w:fill="FFFFFF"/>
            <w:vAlign w:val="center"/>
          </w:tcPr>
          <w:p w14:paraId="4054A38D">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Style w:val="131"/>
                <w:lang w:val="en-US" w:eastAsia="zh-CN"/>
              </w:rPr>
              <w:t>道路杆灯（灯杆＜15m）</w:t>
            </w:r>
          </w:p>
        </w:tc>
        <w:tc>
          <w:tcPr>
            <w:tcW w:w="731" w:type="dxa"/>
            <w:tcBorders>
              <w:top w:val="nil"/>
              <w:left w:val="nil"/>
              <w:bottom w:val="single" w:color="000000" w:sz="4" w:space="0"/>
              <w:right w:val="single" w:color="000000" w:sz="4" w:space="0"/>
            </w:tcBorders>
            <w:shd w:val="clear" w:color="auto" w:fill="FFFFFF"/>
            <w:vAlign w:val="center"/>
          </w:tcPr>
          <w:p w14:paraId="15BEF784">
            <w:pPr>
              <w:jc w:val="center"/>
              <w:rPr>
                <w:rFonts w:hint="eastAsia" w:ascii="宋体" w:hAnsi="宋体" w:eastAsia="宋体" w:cs="宋体"/>
                <w:i w:val="0"/>
                <w:iCs w:val="0"/>
                <w:color w:val="000000"/>
                <w:sz w:val="16"/>
                <w:szCs w:val="16"/>
                <w:u w:val="none"/>
              </w:rPr>
            </w:pPr>
          </w:p>
        </w:tc>
        <w:tc>
          <w:tcPr>
            <w:tcW w:w="1097" w:type="dxa"/>
            <w:tcBorders>
              <w:top w:val="nil"/>
              <w:left w:val="nil"/>
              <w:bottom w:val="single" w:color="000000" w:sz="4" w:space="0"/>
              <w:right w:val="single" w:color="000000" w:sz="4" w:space="0"/>
            </w:tcBorders>
            <w:shd w:val="clear" w:color="auto" w:fill="FFFFFF"/>
            <w:vAlign w:val="center"/>
          </w:tcPr>
          <w:p w14:paraId="086ED7CD">
            <w:pPr>
              <w:jc w:val="right"/>
              <w:rPr>
                <w:rFonts w:ascii="Arial Narrow" w:hAnsi="Arial Narrow" w:eastAsia="Arial Narrow" w:cs="Arial Narrow"/>
                <w:i w:val="0"/>
                <w:iCs w:val="0"/>
                <w:color w:val="000000"/>
                <w:sz w:val="16"/>
                <w:szCs w:val="16"/>
                <w:u w:val="none"/>
              </w:rPr>
            </w:pPr>
          </w:p>
        </w:tc>
        <w:tc>
          <w:tcPr>
            <w:tcW w:w="1098" w:type="dxa"/>
            <w:tcBorders>
              <w:top w:val="nil"/>
              <w:left w:val="nil"/>
              <w:bottom w:val="single" w:color="000000" w:sz="4" w:space="0"/>
              <w:right w:val="single" w:color="000000" w:sz="4" w:space="0"/>
            </w:tcBorders>
            <w:shd w:val="clear" w:color="auto" w:fill="FFFFFF"/>
            <w:vAlign w:val="center"/>
          </w:tcPr>
          <w:p w14:paraId="0696FA5D">
            <w:pPr>
              <w:jc w:val="right"/>
              <w:rPr>
                <w:rFonts w:ascii="Arial Narrow" w:hAnsi="Arial Narrow" w:eastAsia="Arial Narrow" w:cs="Arial Narrow"/>
                <w:i w:val="0"/>
                <w:iCs w:val="0"/>
                <w:color w:val="000000"/>
                <w:sz w:val="16"/>
                <w:szCs w:val="16"/>
                <w:u w:val="none"/>
              </w:rPr>
            </w:pPr>
          </w:p>
        </w:tc>
        <w:tc>
          <w:tcPr>
            <w:tcW w:w="1097" w:type="dxa"/>
            <w:tcBorders>
              <w:top w:val="nil"/>
              <w:left w:val="nil"/>
              <w:bottom w:val="single" w:color="000000" w:sz="4" w:space="0"/>
              <w:right w:val="single" w:color="000000" w:sz="8" w:space="0"/>
            </w:tcBorders>
            <w:shd w:val="clear" w:color="auto" w:fill="FFFFFF"/>
            <w:vAlign w:val="center"/>
          </w:tcPr>
          <w:p w14:paraId="006EB86B">
            <w:pPr>
              <w:jc w:val="right"/>
              <w:rPr>
                <w:rFonts w:ascii="Arial Narrow" w:hAnsi="Arial Narrow" w:eastAsia="Arial Narrow" w:cs="Arial Narrow"/>
                <w:i w:val="0"/>
                <w:iCs w:val="0"/>
                <w:color w:val="000000"/>
                <w:sz w:val="16"/>
                <w:szCs w:val="16"/>
                <w:u w:val="none"/>
              </w:rPr>
            </w:pPr>
          </w:p>
        </w:tc>
      </w:tr>
      <w:tr w14:paraId="1EE934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936" w:type="dxa"/>
            <w:tcBorders>
              <w:top w:val="nil"/>
              <w:left w:val="single" w:color="000000" w:sz="8" w:space="0"/>
              <w:bottom w:val="single" w:color="000000" w:sz="4" w:space="0"/>
              <w:right w:val="single" w:color="000000" w:sz="4" w:space="0"/>
            </w:tcBorders>
            <w:shd w:val="clear" w:color="auto" w:fill="FFFFFF"/>
            <w:vAlign w:val="center"/>
          </w:tcPr>
          <w:p w14:paraId="5C6D266F">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Style w:val="131"/>
                <w:lang w:val="en-US" w:eastAsia="zh-CN"/>
              </w:rPr>
              <w:t>807-8-1-1</w:t>
            </w:r>
          </w:p>
        </w:tc>
        <w:tc>
          <w:tcPr>
            <w:tcW w:w="3891" w:type="dxa"/>
            <w:tcBorders>
              <w:top w:val="nil"/>
              <w:left w:val="nil"/>
              <w:bottom w:val="single" w:color="000000" w:sz="4" w:space="0"/>
              <w:right w:val="single" w:color="000000" w:sz="4" w:space="0"/>
            </w:tcBorders>
            <w:shd w:val="clear" w:color="auto" w:fill="FFFFFF"/>
            <w:vAlign w:val="center"/>
          </w:tcPr>
          <w:p w14:paraId="5DC9CA7D">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Style w:val="131"/>
                <w:lang w:val="en-US" w:eastAsia="zh-CN"/>
              </w:rPr>
              <w:t>道路杆灯（单挑臂灯杆10m，半截光型LED 110W，含基础、功率整流器及其他附件，IP67，功率可调型，角钢接地极，扁钢接地体）</w:t>
            </w:r>
          </w:p>
        </w:tc>
        <w:tc>
          <w:tcPr>
            <w:tcW w:w="731" w:type="dxa"/>
            <w:tcBorders>
              <w:top w:val="nil"/>
              <w:left w:val="nil"/>
              <w:bottom w:val="single" w:color="000000" w:sz="4" w:space="0"/>
              <w:right w:val="single" w:color="000000" w:sz="4" w:space="0"/>
            </w:tcBorders>
            <w:shd w:val="clear" w:color="auto" w:fill="FFFFFF"/>
            <w:vAlign w:val="center"/>
          </w:tcPr>
          <w:p w14:paraId="1E84B66D">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Style w:val="131"/>
                <w:lang w:val="en-US" w:eastAsia="zh-CN"/>
              </w:rPr>
              <w:t>套</w:t>
            </w:r>
          </w:p>
        </w:tc>
        <w:tc>
          <w:tcPr>
            <w:tcW w:w="1097" w:type="dxa"/>
            <w:tcBorders>
              <w:top w:val="nil"/>
              <w:left w:val="nil"/>
              <w:bottom w:val="single" w:color="000000" w:sz="4" w:space="0"/>
              <w:right w:val="single" w:color="000000" w:sz="4" w:space="0"/>
            </w:tcBorders>
            <w:shd w:val="clear" w:color="auto" w:fill="FFFFFF"/>
            <w:vAlign w:val="center"/>
          </w:tcPr>
          <w:p w14:paraId="181E1038">
            <w:pPr>
              <w:keepNext w:val="0"/>
              <w:keepLines w:val="0"/>
              <w:widowControl/>
              <w:suppressLineNumbers w:val="0"/>
              <w:jc w:val="right"/>
              <w:textAlignment w:val="center"/>
              <w:rPr>
                <w:rFonts w:ascii="Arial Narrow" w:hAnsi="Arial Narrow" w:eastAsia="Arial Narrow" w:cs="Arial Narrow"/>
                <w:i w:val="0"/>
                <w:iCs w:val="0"/>
                <w:color w:val="000000"/>
                <w:sz w:val="16"/>
                <w:szCs w:val="16"/>
                <w:u w:val="none"/>
              </w:rPr>
            </w:pPr>
            <w:r>
              <w:rPr>
                <w:rFonts w:ascii="Arial Narrow" w:hAnsi="Arial Narrow" w:eastAsia="Arial Narrow" w:cs="Arial Narrow"/>
                <w:i w:val="0"/>
                <w:iCs w:val="0"/>
                <w:color w:val="000000"/>
                <w:kern w:val="0"/>
                <w:sz w:val="16"/>
                <w:szCs w:val="16"/>
                <w:u w:val="none"/>
                <w:lang w:val="en-US" w:eastAsia="zh-CN"/>
              </w:rPr>
              <w:t>7</w:t>
            </w:r>
          </w:p>
        </w:tc>
        <w:tc>
          <w:tcPr>
            <w:tcW w:w="1098" w:type="dxa"/>
            <w:tcBorders>
              <w:top w:val="nil"/>
              <w:left w:val="nil"/>
              <w:bottom w:val="single" w:color="000000" w:sz="4" w:space="0"/>
              <w:right w:val="single" w:color="000000" w:sz="4" w:space="0"/>
            </w:tcBorders>
            <w:shd w:val="clear" w:color="auto" w:fill="FFFFFF"/>
            <w:vAlign w:val="center"/>
          </w:tcPr>
          <w:p w14:paraId="3A7197C3">
            <w:pPr>
              <w:keepNext w:val="0"/>
              <w:keepLines w:val="0"/>
              <w:widowControl/>
              <w:suppressLineNumbers w:val="0"/>
              <w:jc w:val="right"/>
              <w:textAlignment w:val="center"/>
              <w:rPr>
                <w:rFonts w:ascii="Arial Narrow" w:hAnsi="Arial Narrow" w:eastAsia="Arial Narrow" w:cs="Arial Narrow"/>
                <w:i w:val="0"/>
                <w:iCs w:val="0"/>
                <w:color w:val="000000"/>
                <w:sz w:val="16"/>
                <w:szCs w:val="16"/>
                <w:u w:val="none"/>
              </w:rPr>
            </w:pPr>
          </w:p>
        </w:tc>
        <w:tc>
          <w:tcPr>
            <w:tcW w:w="1097" w:type="dxa"/>
            <w:tcBorders>
              <w:top w:val="nil"/>
              <w:left w:val="nil"/>
              <w:bottom w:val="single" w:color="000000" w:sz="4" w:space="0"/>
              <w:right w:val="single" w:color="000000" w:sz="8" w:space="0"/>
            </w:tcBorders>
            <w:shd w:val="clear" w:color="auto" w:fill="FFFFFF"/>
            <w:vAlign w:val="center"/>
          </w:tcPr>
          <w:p w14:paraId="10DED042">
            <w:pPr>
              <w:keepNext w:val="0"/>
              <w:keepLines w:val="0"/>
              <w:widowControl/>
              <w:suppressLineNumbers w:val="0"/>
              <w:jc w:val="right"/>
              <w:textAlignment w:val="center"/>
              <w:rPr>
                <w:rFonts w:ascii="Arial Narrow" w:hAnsi="Arial Narrow" w:eastAsia="Arial Narrow" w:cs="Arial Narrow"/>
                <w:i w:val="0"/>
                <w:iCs w:val="0"/>
                <w:color w:val="000000"/>
                <w:sz w:val="16"/>
                <w:szCs w:val="16"/>
                <w:u w:val="none"/>
              </w:rPr>
            </w:pPr>
          </w:p>
        </w:tc>
      </w:tr>
      <w:tr w14:paraId="3361F7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936" w:type="dxa"/>
            <w:tcBorders>
              <w:top w:val="nil"/>
              <w:left w:val="single" w:color="000000" w:sz="8" w:space="0"/>
              <w:bottom w:val="single" w:color="000000" w:sz="4" w:space="0"/>
              <w:right w:val="single" w:color="000000" w:sz="4" w:space="0"/>
            </w:tcBorders>
            <w:shd w:val="clear" w:color="auto" w:fill="FFFFFF"/>
            <w:vAlign w:val="center"/>
          </w:tcPr>
          <w:p w14:paraId="02CE2609">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Style w:val="131"/>
                <w:lang w:val="en-US" w:eastAsia="zh-CN"/>
              </w:rPr>
              <w:t>807-8-1-3</w:t>
            </w:r>
          </w:p>
        </w:tc>
        <w:tc>
          <w:tcPr>
            <w:tcW w:w="3891" w:type="dxa"/>
            <w:tcBorders>
              <w:top w:val="nil"/>
              <w:left w:val="nil"/>
              <w:bottom w:val="single" w:color="000000" w:sz="4" w:space="0"/>
              <w:right w:val="single" w:color="000000" w:sz="4" w:space="0"/>
            </w:tcBorders>
            <w:shd w:val="clear" w:color="auto" w:fill="FFFFFF"/>
            <w:vAlign w:val="center"/>
          </w:tcPr>
          <w:p w14:paraId="5BF88D0B">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Style w:val="131"/>
                <w:lang w:val="en-US" w:eastAsia="zh-CN"/>
              </w:rPr>
              <w:t>桥梁杆灯（双挑臂灯杆10m，半截光型LED 110W/80W，含功率整流器及其他附件，IP67，功率可调型）</w:t>
            </w:r>
          </w:p>
        </w:tc>
        <w:tc>
          <w:tcPr>
            <w:tcW w:w="731" w:type="dxa"/>
            <w:tcBorders>
              <w:top w:val="nil"/>
              <w:left w:val="nil"/>
              <w:bottom w:val="single" w:color="000000" w:sz="4" w:space="0"/>
              <w:right w:val="single" w:color="000000" w:sz="4" w:space="0"/>
            </w:tcBorders>
            <w:shd w:val="clear" w:color="auto" w:fill="FFFFFF"/>
            <w:vAlign w:val="center"/>
          </w:tcPr>
          <w:p w14:paraId="75942133">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Style w:val="131"/>
                <w:lang w:val="en-US" w:eastAsia="zh-CN"/>
              </w:rPr>
              <w:t>套</w:t>
            </w:r>
          </w:p>
        </w:tc>
        <w:tc>
          <w:tcPr>
            <w:tcW w:w="1097" w:type="dxa"/>
            <w:tcBorders>
              <w:top w:val="nil"/>
              <w:left w:val="nil"/>
              <w:bottom w:val="single" w:color="000000" w:sz="4" w:space="0"/>
              <w:right w:val="single" w:color="000000" w:sz="4" w:space="0"/>
            </w:tcBorders>
            <w:shd w:val="clear" w:color="auto" w:fill="FFFFFF"/>
            <w:vAlign w:val="center"/>
          </w:tcPr>
          <w:p w14:paraId="0796CC35">
            <w:pPr>
              <w:keepNext w:val="0"/>
              <w:keepLines w:val="0"/>
              <w:widowControl/>
              <w:suppressLineNumbers w:val="0"/>
              <w:jc w:val="right"/>
              <w:textAlignment w:val="center"/>
              <w:rPr>
                <w:rFonts w:ascii="Arial Narrow" w:hAnsi="Arial Narrow" w:eastAsia="Arial Narrow" w:cs="Arial Narrow"/>
                <w:i w:val="0"/>
                <w:iCs w:val="0"/>
                <w:color w:val="000000"/>
                <w:sz w:val="16"/>
                <w:szCs w:val="16"/>
                <w:u w:val="none"/>
              </w:rPr>
            </w:pPr>
            <w:r>
              <w:rPr>
                <w:rFonts w:ascii="Arial Narrow" w:hAnsi="Arial Narrow" w:eastAsia="Arial Narrow" w:cs="Arial Narrow"/>
                <w:i w:val="0"/>
                <w:iCs w:val="0"/>
                <w:color w:val="000000"/>
                <w:kern w:val="0"/>
                <w:sz w:val="16"/>
                <w:szCs w:val="16"/>
                <w:u w:val="none"/>
                <w:lang w:val="en-US" w:eastAsia="zh-CN"/>
              </w:rPr>
              <w:t>28</w:t>
            </w:r>
          </w:p>
        </w:tc>
        <w:tc>
          <w:tcPr>
            <w:tcW w:w="1098" w:type="dxa"/>
            <w:tcBorders>
              <w:top w:val="nil"/>
              <w:left w:val="nil"/>
              <w:bottom w:val="single" w:color="000000" w:sz="4" w:space="0"/>
              <w:right w:val="single" w:color="000000" w:sz="4" w:space="0"/>
            </w:tcBorders>
            <w:shd w:val="clear" w:color="auto" w:fill="FFFFFF"/>
            <w:vAlign w:val="center"/>
          </w:tcPr>
          <w:p w14:paraId="1DC8EE5E">
            <w:pPr>
              <w:keepNext w:val="0"/>
              <w:keepLines w:val="0"/>
              <w:widowControl/>
              <w:suppressLineNumbers w:val="0"/>
              <w:jc w:val="right"/>
              <w:textAlignment w:val="center"/>
              <w:rPr>
                <w:rFonts w:ascii="Arial Narrow" w:hAnsi="Arial Narrow" w:eastAsia="Arial Narrow" w:cs="Arial Narrow"/>
                <w:i w:val="0"/>
                <w:iCs w:val="0"/>
                <w:color w:val="000000"/>
                <w:sz w:val="16"/>
                <w:szCs w:val="16"/>
                <w:u w:val="none"/>
              </w:rPr>
            </w:pPr>
          </w:p>
        </w:tc>
        <w:tc>
          <w:tcPr>
            <w:tcW w:w="1097" w:type="dxa"/>
            <w:tcBorders>
              <w:top w:val="nil"/>
              <w:left w:val="nil"/>
              <w:bottom w:val="single" w:color="000000" w:sz="4" w:space="0"/>
              <w:right w:val="single" w:color="000000" w:sz="8" w:space="0"/>
            </w:tcBorders>
            <w:shd w:val="clear" w:color="auto" w:fill="FFFFFF"/>
            <w:vAlign w:val="center"/>
          </w:tcPr>
          <w:p w14:paraId="79065F79">
            <w:pPr>
              <w:keepNext w:val="0"/>
              <w:keepLines w:val="0"/>
              <w:widowControl/>
              <w:suppressLineNumbers w:val="0"/>
              <w:jc w:val="right"/>
              <w:textAlignment w:val="center"/>
              <w:rPr>
                <w:rFonts w:ascii="Arial Narrow" w:hAnsi="Arial Narrow" w:eastAsia="Arial Narrow" w:cs="Arial Narrow"/>
                <w:i w:val="0"/>
                <w:iCs w:val="0"/>
                <w:color w:val="000000"/>
                <w:sz w:val="16"/>
                <w:szCs w:val="16"/>
                <w:u w:val="none"/>
              </w:rPr>
            </w:pPr>
          </w:p>
        </w:tc>
      </w:tr>
      <w:tr w14:paraId="32EA40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936" w:type="dxa"/>
            <w:tcBorders>
              <w:top w:val="nil"/>
              <w:left w:val="single" w:color="000000" w:sz="8" w:space="0"/>
              <w:bottom w:val="single" w:color="000000" w:sz="4" w:space="0"/>
              <w:right w:val="single" w:color="000000" w:sz="4" w:space="0"/>
            </w:tcBorders>
            <w:shd w:val="clear" w:color="auto" w:fill="FFFFFF"/>
            <w:vAlign w:val="center"/>
          </w:tcPr>
          <w:p w14:paraId="42858A36">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Style w:val="131"/>
                <w:lang w:val="en-US" w:eastAsia="zh-CN"/>
              </w:rPr>
              <w:t>807-8-5</w:t>
            </w:r>
          </w:p>
        </w:tc>
        <w:tc>
          <w:tcPr>
            <w:tcW w:w="3891" w:type="dxa"/>
            <w:tcBorders>
              <w:top w:val="nil"/>
              <w:left w:val="nil"/>
              <w:bottom w:val="single" w:color="000000" w:sz="4" w:space="0"/>
              <w:right w:val="single" w:color="000000" w:sz="4" w:space="0"/>
            </w:tcBorders>
            <w:shd w:val="clear" w:color="auto" w:fill="FFFFFF"/>
            <w:vAlign w:val="center"/>
          </w:tcPr>
          <w:p w14:paraId="48E4AA95">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Style w:val="131"/>
                <w:lang w:val="en-US" w:eastAsia="zh-CN"/>
              </w:rPr>
              <w:t>中杆灯（灯杆15m，投光型LED 3×210W，含功率整流器及其他附件，IP67，功率可调型）</w:t>
            </w:r>
          </w:p>
        </w:tc>
        <w:tc>
          <w:tcPr>
            <w:tcW w:w="731" w:type="dxa"/>
            <w:tcBorders>
              <w:top w:val="nil"/>
              <w:left w:val="nil"/>
              <w:bottom w:val="single" w:color="000000" w:sz="4" w:space="0"/>
              <w:right w:val="single" w:color="000000" w:sz="4" w:space="0"/>
            </w:tcBorders>
            <w:shd w:val="clear" w:color="auto" w:fill="FFFFFF"/>
            <w:vAlign w:val="center"/>
          </w:tcPr>
          <w:p w14:paraId="2BD27F7A">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Style w:val="131"/>
                <w:lang w:val="en-US" w:eastAsia="zh-CN"/>
              </w:rPr>
              <w:t>套</w:t>
            </w:r>
          </w:p>
        </w:tc>
        <w:tc>
          <w:tcPr>
            <w:tcW w:w="1097" w:type="dxa"/>
            <w:tcBorders>
              <w:top w:val="nil"/>
              <w:left w:val="nil"/>
              <w:bottom w:val="single" w:color="000000" w:sz="4" w:space="0"/>
              <w:right w:val="single" w:color="000000" w:sz="4" w:space="0"/>
            </w:tcBorders>
            <w:shd w:val="clear" w:color="auto" w:fill="FFFFFF"/>
            <w:vAlign w:val="center"/>
          </w:tcPr>
          <w:p w14:paraId="137F137A">
            <w:pPr>
              <w:keepNext w:val="0"/>
              <w:keepLines w:val="0"/>
              <w:widowControl/>
              <w:suppressLineNumbers w:val="0"/>
              <w:jc w:val="right"/>
              <w:textAlignment w:val="center"/>
              <w:rPr>
                <w:rFonts w:ascii="Arial Narrow" w:hAnsi="Arial Narrow" w:eastAsia="Arial Narrow" w:cs="Arial Narrow"/>
                <w:i w:val="0"/>
                <w:iCs w:val="0"/>
                <w:color w:val="000000"/>
                <w:sz w:val="16"/>
                <w:szCs w:val="16"/>
                <w:u w:val="none"/>
              </w:rPr>
            </w:pPr>
            <w:r>
              <w:rPr>
                <w:rFonts w:ascii="Arial Narrow" w:hAnsi="Arial Narrow" w:eastAsia="Arial Narrow" w:cs="Arial Narrow"/>
                <w:i w:val="0"/>
                <w:iCs w:val="0"/>
                <w:color w:val="000000"/>
                <w:kern w:val="0"/>
                <w:sz w:val="16"/>
                <w:szCs w:val="16"/>
                <w:u w:val="none"/>
                <w:lang w:val="en-US" w:eastAsia="zh-CN"/>
              </w:rPr>
              <w:t>2</w:t>
            </w:r>
          </w:p>
        </w:tc>
        <w:tc>
          <w:tcPr>
            <w:tcW w:w="1098" w:type="dxa"/>
            <w:tcBorders>
              <w:top w:val="nil"/>
              <w:left w:val="nil"/>
              <w:bottom w:val="single" w:color="000000" w:sz="4" w:space="0"/>
              <w:right w:val="single" w:color="000000" w:sz="4" w:space="0"/>
            </w:tcBorders>
            <w:shd w:val="clear" w:color="auto" w:fill="FFFFFF"/>
            <w:vAlign w:val="center"/>
          </w:tcPr>
          <w:p w14:paraId="169AB0E4">
            <w:pPr>
              <w:keepNext w:val="0"/>
              <w:keepLines w:val="0"/>
              <w:widowControl/>
              <w:suppressLineNumbers w:val="0"/>
              <w:jc w:val="right"/>
              <w:textAlignment w:val="center"/>
              <w:rPr>
                <w:rFonts w:ascii="Arial Narrow" w:hAnsi="Arial Narrow" w:eastAsia="Arial Narrow" w:cs="Arial Narrow"/>
                <w:i w:val="0"/>
                <w:iCs w:val="0"/>
                <w:color w:val="000000"/>
                <w:sz w:val="16"/>
                <w:szCs w:val="16"/>
                <w:u w:val="none"/>
              </w:rPr>
            </w:pPr>
          </w:p>
        </w:tc>
        <w:tc>
          <w:tcPr>
            <w:tcW w:w="1097" w:type="dxa"/>
            <w:tcBorders>
              <w:top w:val="nil"/>
              <w:left w:val="nil"/>
              <w:bottom w:val="single" w:color="000000" w:sz="4" w:space="0"/>
              <w:right w:val="single" w:color="000000" w:sz="8" w:space="0"/>
            </w:tcBorders>
            <w:shd w:val="clear" w:color="auto" w:fill="FFFFFF"/>
            <w:vAlign w:val="center"/>
          </w:tcPr>
          <w:p w14:paraId="51BFFF1E">
            <w:pPr>
              <w:keepNext w:val="0"/>
              <w:keepLines w:val="0"/>
              <w:widowControl/>
              <w:suppressLineNumbers w:val="0"/>
              <w:jc w:val="right"/>
              <w:textAlignment w:val="center"/>
              <w:rPr>
                <w:rFonts w:ascii="Arial Narrow" w:hAnsi="Arial Narrow" w:eastAsia="Arial Narrow" w:cs="Arial Narrow"/>
                <w:i w:val="0"/>
                <w:iCs w:val="0"/>
                <w:color w:val="000000"/>
                <w:sz w:val="16"/>
                <w:szCs w:val="16"/>
                <w:u w:val="none"/>
              </w:rPr>
            </w:pPr>
          </w:p>
        </w:tc>
      </w:tr>
      <w:tr w14:paraId="2BE975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36" w:type="dxa"/>
            <w:tcBorders>
              <w:top w:val="nil"/>
              <w:left w:val="single" w:color="000000" w:sz="8" w:space="0"/>
              <w:bottom w:val="single" w:color="000000" w:sz="4" w:space="0"/>
              <w:right w:val="single" w:color="000000" w:sz="4" w:space="0"/>
            </w:tcBorders>
            <w:shd w:val="clear" w:color="auto" w:fill="FFFFFF"/>
            <w:vAlign w:val="center"/>
          </w:tcPr>
          <w:p w14:paraId="17FC72D0">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Style w:val="131"/>
                <w:lang w:val="en-US" w:eastAsia="zh-CN"/>
              </w:rPr>
              <w:t>809</w:t>
            </w:r>
          </w:p>
        </w:tc>
        <w:tc>
          <w:tcPr>
            <w:tcW w:w="3891" w:type="dxa"/>
            <w:tcBorders>
              <w:top w:val="nil"/>
              <w:left w:val="nil"/>
              <w:bottom w:val="single" w:color="000000" w:sz="4" w:space="0"/>
              <w:right w:val="single" w:color="000000" w:sz="4" w:space="0"/>
            </w:tcBorders>
            <w:shd w:val="clear" w:color="auto" w:fill="FFFFFF"/>
            <w:vAlign w:val="center"/>
          </w:tcPr>
          <w:p w14:paraId="453EC3D6">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Style w:val="131"/>
                <w:lang w:val="en-US" w:eastAsia="zh-CN"/>
              </w:rPr>
              <w:t>管道工程</w:t>
            </w:r>
          </w:p>
        </w:tc>
        <w:tc>
          <w:tcPr>
            <w:tcW w:w="731" w:type="dxa"/>
            <w:tcBorders>
              <w:top w:val="nil"/>
              <w:left w:val="nil"/>
              <w:bottom w:val="single" w:color="000000" w:sz="4" w:space="0"/>
              <w:right w:val="single" w:color="000000" w:sz="4" w:space="0"/>
            </w:tcBorders>
            <w:shd w:val="clear" w:color="auto" w:fill="FFFFFF"/>
            <w:vAlign w:val="center"/>
          </w:tcPr>
          <w:p w14:paraId="4AE6B576">
            <w:pPr>
              <w:jc w:val="center"/>
              <w:rPr>
                <w:rFonts w:hint="eastAsia" w:ascii="宋体" w:hAnsi="宋体" w:eastAsia="宋体" w:cs="宋体"/>
                <w:i w:val="0"/>
                <w:iCs w:val="0"/>
                <w:color w:val="000000"/>
                <w:sz w:val="16"/>
                <w:szCs w:val="16"/>
                <w:u w:val="none"/>
              </w:rPr>
            </w:pPr>
          </w:p>
        </w:tc>
        <w:tc>
          <w:tcPr>
            <w:tcW w:w="1097" w:type="dxa"/>
            <w:tcBorders>
              <w:top w:val="nil"/>
              <w:left w:val="nil"/>
              <w:bottom w:val="single" w:color="000000" w:sz="4" w:space="0"/>
              <w:right w:val="single" w:color="000000" w:sz="4" w:space="0"/>
            </w:tcBorders>
            <w:shd w:val="clear" w:color="auto" w:fill="FFFFFF"/>
            <w:vAlign w:val="center"/>
          </w:tcPr>
          <w:p w14:paraId="597D33FB">
            <w:pPr>
              <w:jc w:val="right"/>
              <w:rPr>
                <w:rFonts w:ascii="Arial Narrow" w:hAnsi="Arial Narrow" w:eastAsia="Arial Narrow" w:cs="Arial Narrow"/>
                <w:i w:val="0"/>
                <w:iCs w:val="0"/>
                <w:color w:val="000000"/>
                <w:sz w:val="16"/>
                <w:szCs w:val="16"/>
                <w:u w:val="none"/>
              </w:rPr>
            </w:pPr>
          </w:p>
        </w:tc>
        <w:tc>
          <w:tcPr>
            <w:tcW w:w="1098" w:type="dxa"/>
            <w:tcBorders>
              <w:top w:val="nil"/>
              <w:left w:val="nil"/>
              <w:bottom w:val="single" w:color="000000" w:sz="4" w:space="0"/>
              <w:right w:val="single" w:color="000000" w:sz="4" w:space="0"/>
            </w:tcBorders>
            <w:shd w:val="clear" w:color="auto" w:fill="FFFFFF"/>
            <w:vAlign w:val="center"/>
          </w:tcPr>
          <w:p w14:paraId="4FDFD3B8">
            <w:pPr>
              <w:jc w:val="right"/>
              <w:rPr>
                <w:rFonts w:ascii="Arial Narrow" w:hAnsi="Arial Narrow" w:eastAsia="Arial Narrow" w:cs="Arial Narrow"/>
                <w:i w:val="0"/>
                <w:iCs w:val="0"/>
                <w:color w:val="000000"/>
                <w:sz w:val="16"/>
                <w:szCs w:val="16"/>
                <w:u w:val="none"/>
              </w:rPr>
            </w:pPr>
          </w:p>
        </w:tc>
        <w:tc>
          <w:tcPr>
            <w:tcW w:w="1097" w:type="dxa"/>
            <w:tcBorders>
              <w:top w:val="nil"/>
              <w:left w:val="nil"/>
              <w:bottom w:val="single" w:color="000000" w:sz="4" w:space="0"/>
              <w:right w:val="single" w:color="000000" w:sz="8" w:space="0"/>
            </w:tcBorders>
            <w:shd w:val="clear" w:color="auto" w:fill="FFFFFF"/>
            <w:vAlign w:val="center"/>
          </w:tcPr>
          <w:p w14:paraId="154EA1FA">
            <w:pPr>
              <w:jc w:val="right"/>
              <w:rPr>
                <w:rFonts w:ascii="Arial Narrow" w:hAnsi="Arial Narrow" w:eastAsia="Arial Narrow" w:cs="Arial Narrow"/>
                <w:i w:val="0"/>
                <w:iCs w:val="0"/>
                <w:color w:val="000000"/>
                <w:sz w:val="16"/>
                <w:szCs w:val="16"/>
                <w:u w:val="none"/>
              </w:rPr>
            </w:pPr>
          </w:p>
        </w:tc>
      </w:tr>
      <w:tr w14:paraId="396F11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36" w:type="dxa"/>
            <w:tcBorders>
              <w:top w:val="nil"/>
              <w:left w:val="single" w:color="000000" w:sz="8" w:space="0"/>
              <w:bottom w:val="single" w:color="000000" w:sz="4" w:space="0"/>
              <w:right w:val="single" w:color="000000" w:sz="4" w:space="0"/>
            </w:tcBorders>
            <w:shd w:val="clear" w:color="auto" w:fill="FFFFFF"/>
            <w:vAlign w:val="center"/>
          </w:tcPr>
          <w:p w14:paraId="0E542C2C">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Style w:val="131"/>
                <w:lang w:val="en-US" w:eastAsia="zh-CN"/>
              </w:rPr>
              <w:t>809-3</w:t>
            </w:r>
          </w:p>
        </w:tc>
        <w:tc>
          <w:tcPr>
            <w:tcW w:w="3891" w:type="dxa"/>
            <w:tcBorders>
              <w:top w:val="nil"/>
              <w:left w:val="nil"/>
              <w:bottom w:val="single" w:color="000000" w:sz="4" w:space="0"/>
              <w:right w:val="single" w:color="000000" w:sz="4" w:space="0"/>
            </w:tcBorders>
            <w:shd w:val="clear" w:color="auto" w:fill="FFFFFF"/>
            <w:vAlign w:val="center"/>
          </w:tcPr>
          <w:p w14:paraId="1171B542">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Style w:val="131"/>
                <w:lang w:val="en-US" w:eastAsia="zh-CN"/>
              </w:rPr>
              <w:t>预埋管线</w:t>
            </w:r>
          </w:p>
        </w:tc>
        <w:tc>
          <w:tcPr>
            <w:tcW w:w="731" w:type="dxa"/>
            <w:tcBorders>
              <w:top w:val="nil"/>
              <w:left w:val="nil"/>
              <w:bottom w:val="single" w:color="000000" w:sz="4" w:space="0"/>
              <w:right w:val="single" w:color="000000" w:sz="4" w:space="0"/>
            </w:tcBorders>
            <w:shd w:val="clear" w:color="auto" w:fill="FFFFFF"/>
            <w:vAlign w:val="center"/>
          </w:tcPr>
          <w:p w14:paraId="688CBEB3">
            <w:pPr>
              <w:jc w:val="center"/>
              <w:rPr>
                <w:rFonts w:hint="eastAsia" w:ascii="宋体" w:hAnsi="宋体" w:eastAsia="宋体" w:cs="宋体"/>
                <w:i w:val="0"/>
                <w:iCs w:val="0"/>
                <w:color w:val="000000"/>
                <w:sz w:val="16"/>
                <w:szCs w:val="16"/>
                <w:u w:val="none"/>
              </w:rPr>
            </w:pPr>
          </w:p>
        </w:tc>
        <w:tc>
          <w:tcPr>
            <w:tcW w:w="1097" w:type="dxa"/>
            <w:tcBorders>
              <w:top w:val="nil"/>
              <w:left w:val="nil"/>
              <w:bottom w:val="single" w:color="000000" w:sz="4" w:space="0"/>
              <w:right w:val="single" w:color="000000" w:sz="4" w:space="0"/>
            </w:tcBorders>
            <w:shd w:val="clear" w:color="auto" w:fill="FFFFFF"/>
            <w:vAlign w:val="center"/>
          </w:tcPr>
          <w:p w14:paraId="75C2A3C8">
            <w:pPr>
              <w:jc w:val="right"/>
              <w:rPr>
                <w:rFonts w:ascii="Arial Narrow" w:hAnsi="Arial Narrow" w:eastAsia="Arial Narrow" w:cs="Arial Narrow"/>
                <w:i w:val="0"/>
                <w:iCs w:val="0"/>
                <w:color w:val="000000"/>
                <w:sz w:val="16"/>
                <w:szCs w:val="16"/>
                <w:u w:val="none"/>
              </w:rPr>
            </w:pPr>
          </w:p>
        </w:tc>
        <w:tc>
          <w:tcPr>
            <w:tcW w:w="1098" w:type="dxa"/>
            <w:tcBorders>
              <w:top w:val="nil"/>
              <w:left w:val="nil"/>
              <w:bottom w:val="single" w:color="000000" w:sz="4" w:space="0"/>
              <w:right w:val="single" w:color="000000" w:sz="4" w:space="0"/>
            </w:tcBorders>
            <w:shd w:val="clear" w:color="auto" w:fill="FFFFFF"/>
            <w:vAlign w:val="center"/>
          </w:tcPr>
          <w:p w14:paraId="1F36B221">
            <w:pPr>
              <w:jc w:val="right"/>
              <w:rPr>
                <w:rFonts w:ascii="Arial Narrow" w:hAnsi="Arial Narrow" w:eastAsia="Arial Narrow" w:cs="Arial Narrow"/>
                <w:i w:val="0"/>
                <w:iCs w:val="0"/>
                <w:color w:val="000000"/>
                <w:sz w:val="16"/>
                <w:szCs w:val="16"/>
                <w:u w:val="none"/>
              </w:rPr>
            </w:pPr>
          </w:p>
        </w:tc>
        <w:tc>
          <w:tcPr>
            <w:tcW w:w="1097" w:type="dxa"/>
            <w:tcBorders>
              <w:top w:val="nil"/>
              <w:left w:val="nil"/>
              <w:bottom w:val="single" w:color="000000" w:sz="4" w:space="0"/>
              <w:right w:val="single" w:color="000000" w:sz="8" w:space="0"/>
            </w:tcBorders>
            <w:shd w:val="clear" w:color="auto" w:fill="FFFFFF"/>
            <w:vAlign w:val="center"/>
          </w:tcPr>
          <w:p w14:paraId="6FC94CCC">
            <w:pPr>
              <w:jc w:val="right"/>
              <w:rPr>
                <w:rFonts w:ascii="Arial Narrow" w:hAnsi="Arial Narrow" w:eastAsia="Arial Narrow" w:cs="Arial Narrow"/>
                <w:i w:val="0"/>
                <w:iCs w:val="0"/>
                <w:color w:val="000000"/>
                <w:sz w:val="16"/>
                <w:szCs w:val="16"/>
                <w:u w:val="none"/>
              </w:rPr>
            </w:pPr>
          </w:p>
        </w:tc>
      </w:tr>
      <w:tr w14:paraId="44814E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36" w:type="dxa"/>
            <w:tcBorders>
              <w:top w:val="nil"/>
              <w:left w:val="single" w:color="000000" w:sz="8" w:space="0"/>
              <w:bottom w:val="single" w:color="000000" w:sz="4" w:space="0"/>
              <w:right w:val="single" w:color="000000" w:sz="4" w:space="0"/>
            </w:tcBorders>
            <w:shd w:val="clear" w:color="auto" w:fill="FFFFFF"/>
            <w:vAlign w:val="center"/>
          </w:tcPr>
          <w:p w14:paraId="6341C863">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Style w:val="131"/>
                <w:lang w:val="en-US" w:eastAsia="zh-CN"/>
              </w:rPr>
              <w:t>809-3-1</w:t>
            </w:r>
          </w:p>
        </w:tc>
        <w:tc>
          <w:tcPr>
            <w:tcW w:w="3891" w:type="dxa"/>
            <w:tcBorders>
              <w:top w:val="nil"/>
              <w:left w:val="nil"/>
              <w:bottom w:val="single" w:color="000000" w:sz="4" w:space="0"/>
              <w:right w:val="single" w:color="000000" w:sz="4" w:space="0"/>
            </w:tcBorders>
            <w:shd w:val="clear" w:color="auto" w:fill="FFFFFF"/>
            <w:vAlign w:val="center"/>
          </w:tcPr>
          <w:p w14:paraId="3D0E69A5">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Style w:val="131"/>
                <w:lang w:val="en-US" w:eastAsia="zh-CN"/>
              </w:rPr>
              <w:t>预埋镀锌钢管类</w:t>
            </w:r>
          </w:p>
        </w:tc>
        <w:tc>
          <w:tcPr>
            <w:tcW w:w="731" w:type="dxa"/>
            <w:tcBorders>
              <w:top w:val="nil"/>
              <w:left w:val="nil"/>
              <w:bottom w:val="single" w:color="000000" w:sz="4" w:space="0"/>
              <w:right w:val="single" w:color="000000" w:sz="4" w:space="0"/>
            </w:tcBorders>
            <w:shd w:val="clear" w:color="auto" w:fill="FFFFFF"/>
            <w:vAlign w:val="center"/>
          </w:tcPr>
          <w:p w14:paraId="03AF736A">
            <w:pPr>
              <w:jc w:val="center"/>
              <w:rPr>
                <w:rFonts w:hint="eastAsia" w:ascii="宋体" w:hAnsi="宋体" w:eastAsia="宋体" w:cs="宋体"/>
                <w:i w:val="0"/>
                <w:iCs w:val="0"/>
                <w:color w:val="000000"/>
                <w:sz w:val="16"/>
                <w:szCs w:val="16"/>
                <w:u w:val="none"/>
              </w:rPr>
            </w:pPr>
          </w:p>
        </w:tc>
        <w:tc>
          <w:tcPr>
            <w:tcW w:w="1097" w:type="dxa"/>
            <w:tcBorders>
              <w:top w:val="nil"/>
              <w:left w:val="nil"/>
              <w:bottom w:val="single" w:color="000000" w:sz="4" w:space="0"/>
              <w:right w:val="single" w:color="000000" w:sz="4" w:space="0"/>
            </w:tcBorders>
            <w:shd w:val="clear" w:color="auto" w:fill="FFFFFF"/>
            <w:vAlign w:val="center"/>
          </w:tcPr>
          <w:p w14:paraId="60740032">
            <w:pPr>
              <w:jc w:val="right"/>
              <w:rPr>
                <w:rFonts w:ascii="Arial Narrow" w:hAnsi="Arial Narrow" w:eastAsia="Arial Narrow" w:cs="Arial Narrow"/>
                <w:i w:val="0"/>
                <w:iCs w:val="0"/>
                <w:color w:val="000000"/>
                <w:sz w:val="16"/>
                <w:szCs w:val="16"/>
                <w:u w:val="none"/>
              </w:rPr>
            </w:pPr>
          </w:p>
        </w:tc>
        <w:tc>
          <w:tcPr>
            <w:tcW w:w="1098" w:type="dxa"/>
            <w:tcBorders>
              <w:top w:val="nil"/>
              <w:left w:val="nil"/>
              <w:bottom w:val="single" w:color="000000" w:sz="4" w:space="0"/>
              <w:right w:val="single" w:color="000000" w:sz="4" w:space="0"/>
            </w:tcBorders>
            <w:shd w:val="clear" w:color="auto" w:fill="FFFFFF"/>
            <w:vAlign w:val="center"/>
          </w:tcPr>
          <w:p w14:paraId="6807AA30">
            <w:pPr>
              <w:jc w:val="right"/>
              <w:rPr>
                <w:rFonts w:ascii="Arial Narrow" w:hAnsi="Arial Narrow" w:eastAsia="Arial Narrow" w:cs="Arial Narrow"/>
                <w:i w:val="0"/>
                <w:iCs w:val="0"/>
                <w:color w:val="000000"/>
                <w:sz w:val="16"/>
                <w:szCs w:val="16"/>
                <w:u w:val="none"/>
              </w:rPr>
            </w:pPr>
          </w:p>
        </w:tc>
        <w:tc>
          <w:tcPr>
            <w:tcW w:w="1097" w:type="dxa"/>
            <w:tcBorders>
              <w:top w:val="nil"/>
              <w:left w:val="nil"/>
              <w:bottom w:val="single" w:color="000000" w:sz="4" w:space="0"/>
              <w:right w:val="single" w:color="000000" w:sz="8" w:space="0"/>
            </w:tcBorders>
            <w:shd w:val="clear" w:color="auto" w:fill="FFFFFF"/>
            <w:vAlign w:val="center"/>
          </w:tcPr>
          <w:p w14:paraId="6CED2781">
            <w:pPr>
              <w:jc w:val="right"/>
              <w:rPr>
                <w:rFonts w:ascii="Arial Narrow" w:hAnsi="Arial Narrow" w:eastAsia="Arial Narrow" w:cs="Arial Narrow"/>
                <w:i w:val="0"/>
                <w:iCs w:val="0"/>
                <w:color w:val="000000"/>
                <w:sz w:val="16"/>
                <w:szCs w:val="16"/>
                <w:u w:val="none"/>
              </w:rPr>
            </w:pPr>
          </w:p>
        </w:tc>
      </w:tr>
      <w:tr w14:paraId="6A7D57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36" w:type="dxa"/>
            <w:tcBorders>
              <w:top w:val="nil"/>
              <w:left w:val="single" w:color="000000" w:sz="8" w:space="0"/>
              <w:bottom w:val="single" w:color="000000" w:sz="4" w:space="0"/>
              <w:right w:val="single" w:color="000000" w:sz="4" w:space="0"/>
            </w:tcBorders>
            <w:shd w:val="clear" w:color="auto" w:fill="FFFFFF"/>
            <w:vAlign w:val="center"/>
          </w:tcPr>
          <w:p w14:paraId="478B3643">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Style w:val="131"/>
                <w:lang w:val="en-US" w:eastAsia="zh-CN"/>
              </w:rPr>
              <w:t>809-3-1-1</w:t>
            </w:r>
          </w:p>
        </w:tc>
        <w:tc>
          <w:tcPr>
            <w:tcW w:w="3891" w:type="dxa"/>
            <w:tcBorders>
              <w:top w:val="nil"/>
              <w:left w:val="nil"/>
              <w:bottom w:val="single" w:color="000000" w:sz="4" w:space="0"/>
              <w:right w:val="single" w:color="000000" w:sz="4" w:space="0"/>
            </w:tcBorders>
            <w:shd w:val="clear" w:color="auto" w:fill="FFFFFF"/>
            <w:vAlign w:val="center"/>
          </w:tcPr>
          <w:p w14:paraId="5AFDDE85">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Style w:val="131"/>
                <w:lang w:val="en-US" w:eastAsia="zh-CN"/>
              </w:rPr>
              <w:t>RC100 外径φ114.3mm，壁厚4mm</w:t>
            </w:r>
          </w:p>
        </w:tc>
        <w:tc>
          <w:tcPr>
            <w:tcW w:w="731" w:type="dxa"/>
            <w:tcBorders>
              <w:top w:val="nil"/>
              <w:left w:val="nil"/>
              <w:bottom w:val="single" w:color="000000" w:sz="4" w:space="0"/>
              <w:right w:val="single" w:color="000000" w:sz="4" w:space="0"/>
            </w:tcBorders>
            <w:shd w:val="clear" w:color="auto" w:fill="FFFFFF"/>
            <w:vAlign w:val="center"/>
          </w:tcPr>
          <w:p w14:paraId="76787479">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Style w:val="131"/>
                <w:lang w:val="en-US" w:eastAsia="zh-CN"/>
              </w:rPr>
              <w:t>m</w:t>
            </w:r>
          </w:p>
        </w:tc>
        <w:tc>
          <w:tcPr>
            <w:tcW w:w="1097" w:type="dxa"/>
            <w:tcBorders>
              <w:top w:val="nil"/>
              <w:left w:val="nil"/>
              <w:bottom w:val="single" w:color="000000" w:sz="4" w:space="0"/>
              <w:right w:val="single" w:color="000000" w:sz="4" w:space="0"/>
            </w:tcBorders>
            <w:shd w:val="clear" w:color="auto" w:fill="FFFFFF"/>
            <w:vAlign w:val="center"/>
          </w:tcPr>
          <w:p w14:paraId="3AA8F0A3">
            <w:pPr>
              <w:keepNext w:val="0"/>
              <w:keepLines w:val="0"/>
              <w:widowControl/>
              <w:suppressLineNumbers w:val="0"/>
              <w:jc w:val="right"/>
              <w:textAlignment w:val="center"/>
              <w:rPr>
                <w:rFonts w:ascii="Arial Narrow" w:hAnsi="Arial Narrow" w:eastAsia="Arial Narrow" w:cs="Arial Narrow"/>
                <w:i w:val="0"/>
                <w:iCs w:val="0"/>
                <w:color w:val="000000"/>
                <w:sz w:val="16"/>
                <w:szCs w:val="16"/>
                <w:u w:val="none"/>
              </w:rPr>
            </w:pPr>
            <w:r>
              <w:rPr>
                <w:rFonts w:ascii="Arial Narrow" w:hAnsi="Arial Narrow" w:eastAsia="Arial Narrow" w:cs="Arial Narrow"/>
                <w:i w:val="0"/>
                <w:iCs w:val="0"/>
                <w:color w:val="000000"/>
                <w:kern w:val="0"/>
                <w:sz w:val="16"/>
                <w:szCs w:val="16"/>
                <w:u w:val="none"/>
                <w:lang w:val="en-US" w:eastAsia="zh-CN"/>
              </w:rPr>
              <w:t>40</w:t>
            </w:r>
          </w:p>
        </w:tc>
        <w:tc>
          <w:tcPr>
            <w:tcW w:w="1098" w:type="dxa"/>
            <w:tcBorders>
              <w:top w:val="nil"/>
              <w:left w:val="nil"/>
              <w:bottom w:val="single" w:color="000000" w:sz="4" w:space="0"/>
              <w:right w:val="single" w:color="000000" w:sz="4" w:space="0"/>
            </w:tcBorders>
            <w:shd w:val="clear" w:color="auto" w:fill="FFFFFF"/>
            <w:vAlign w:val="center"/>
          </w:tcPr>
          <w:p w14:paraId="7D2056E6">
            <w:pPr>
              <w:keepNext w:val="0"/>
              <w:keepLines w:val="0"/>
              <w:widowControl/>
              <w:suppressLineNumbers w:val="0"/>
              <w:jc w:val="right"/>
              <w:textAlignment w:val="center"/>
              <w:rPr>
                <w:rFonts w:ascii="Arial Narrow" w:hAnsi="Arial Narrow" w:eastAsia="Arial Narrow" w:cs="Arial Narrow"/>
                <w:i w:val="0"/>
                <w:iCs w:val="0"/>
                <w:color w:val="000000"/>
                <w:sz w:val="16"/>
                <w:szCs w:val="16"/>
                <w:u w:val="none"/>
              </w:rPr>
            </w:pPr>
          </w:p>
        </w:tc>
        <w:tc>
          <w:tcPr>
            <w:tcW w:w="1097" w:type="dxa"/>
            <w:tcBorders>
              <w:top w:val="nil"/>
              <w:left w:val="nil"/>
              <w:bottom w:val="single" w:color="000000" w:sz="4" w:space="0"/>
              <w:right w:val="single" w:color="000000" w:sz="8" w:space="0"/>
            </w:tcBorders>
            <w:shd w:val="clear" w:color="auto" w:fill="FFFFFF"/>
            <w:vAlign w:val="center"/>
          </w:tcPr>
          <w:p w14:paraId="719E1139">
            <w:pPr>
              <w:keepNext w:val="0"/>
              <w:keepLines w:val="0"/>
              <w:widowControl/>
              <w:suppressLineNumbers w:val="0"/>
              <w:jc w:val="right"/>
              <w:textAlignment w:val="center"/>
              <w:rPr>
                <w:rFonts w:ascii="Arial Narrow" w:hAnsi="Arial Narrow" w:eastAsia="Arial Narrow" w:cs="Arial Narrow"/>
                <w:i w:val="0"/>
                <w:iCs w:val="0"/>
                <w:color w:val="000000"/>
                <w:sz w:val="16"/>
                <w:szCs w:val="16"/>
                <w:u w:val="none"/>
              </w:rPr>
            </w:pPr>
          </w:p>
        </w:tc>
      </w:tr>
      <w:tr w14:paraId="5D3F3A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36" w:type="dxa"/>
            <w:tcBorders>
              <w:top w:val="nil"/>
              <w:left w:val="single" w:color="000000" w:sz="8" w:space="0"/>
              <w:bottom w:val="single" w:color="000000" w:sz="4" w:space="0"/>
              <w:right w:val="single" w:color="000000" w:sz="4" w:space="0"/>
            </w:tcBorders>
            <w:shd w:val="clear" w:color="auto" w:fill="FFFFFF"/>
            <w:vAlign w:val="center"/>
          </w:tcPr>
          <w:p w14:paraId="7DC63682">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Style w:val="131"/>
                <w:lang w:val="en-US" w:eastAsia="zh-CN"/>
              </w:rPr>
              <w:t>809-3-2</w:t>
            </w:r>
          </w:p>
        </w:tc>
        <w:tc>
          <w:tcPr>
            <w:tcW w:w="3891" w:type="dxa"/>
            <w:tcBorders>
              <w:top w:val="nil"/>
              <w:left w:val="nil"/>
              <w:bottom w:val="single" w:color="000000" w:sz="4" w:space="0"/>
              <w:right w:val="single" w:color="000000" w:sz="4" w:space="0"/>
            </w:tcBorders>
            <w:shd w:val="clear" w:color="auto" w:fill="FFFFFF"/>
            <w:vAlign w:val="center"/>
          </w:tcPr>
          <w:p w14:paraId="22AF8004">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Style w:val="131"/>
                <w:lang w:val="en-US" w:eastAsia="zh-CN"/>
              </w:rPr>
              <w:t>预埋塑料管类</w:t>
            </w:r>
          </w:p>
        </w:tc>
        <w:tc>
          <w:tcPr>
            <w:tcW w:w="731" w:type="dxa"/>
            <w:tcBorders>
              <w:top w:val="nil"/>
              <w:left w:val="nil"/>
              <w:bottom w:val="single" w:color="000000" w:sz="4" w:space="0"/>
              <w:right w:val="single" w:color="000000" w:sz="4" w:space="0"/>
            </w:tcBorders>
            <w:shd w:val="clear" w:color="auto" w:fill="FFFFFF"/>
            <w:vAlign w:val="center"/>
          </w:tcPr>
          <w:p w14:paraId="6CFC8B1B">
            <w:pPr>
              <w:jc w:val="center"/>
              <w:rPr>
                <w:rFonts w:hint="eastAsia" w:ascii="宋体" w:hAnsi="宋体" w:eastAsia="宋体" w:cs="宋体"/>
                <w:i w:val="0"/>
                <w:iCs w:val="0"/>
                <w:color w:val="000000"/>
                <w:sz w:val="16"/>
                <w:szCs w:val="16"/>
                <w:u w:val="none"/>
              </w:rPr>
            </w:pPr>
          </w:p>
        </w:tc>
        <w:tc>
          <w:tcPr>
            <w:tcW w:w="1097" w:type="dxa"/>
            <w:tcBorders>
              <w:top w:val="nil"/>
              <w:left w:val="nil"/>
              <w:bottom w:val="single" w:color="000000" w:sz="4" w:space="0"/>
              <w:right w:val="single" w:color="000000" w:sz="4" w:space="0"/>
            </w:tcBorders>
            <w:shd w:val="clear" w:color="auto" w:fill="FFFFFF"/>
            <w:vAlign w:val="center"/>
          </w:tcPr>
          <w:p w14:paraId="5824309A">
            <w:pPr>
              <w:jc w:val="right"/>
              <w:rPr>
                <w:rFonts w:ascii="Arial Narrow" w:hAnsi="Arial Narrow" w:eastAsia="Arial Narrow" w:cs="Arial Narrow"/>
                <w:i w:val="0"/>
                <w:iCs w:val="0"/>
                <w:color w:val="000000"/>
                <w:sz w:val="16"/>
                <w:szCs w:val="16"/>
                <w:u w:val="none"/>
              </w:rPr>
            </w:pPr>
          </w:p>
        </w:tc>
        <w:tc>
          <w:tcPr>
            <w:tcW w:w="1098" w:type="dxa"/>
            <w:tcBorders>
              <w:top w:val="nil"/>
              <w:left w:val="nil"/>
              <w:bottom w:val="single" w:color="000000" w:sz="4" w:space="0"/>
              <w:right w:val="single" w:color="000000" w:sz="4" w:space="0"/>
            </w:tcBorders>
            <w:shd w:val="clear" w:color="auto" w:fill="FFFFFF"/>
            <w:vAlign w:val="center"/>
          </w:tcPr>
          <w:p w14:paraId="6B401602">
            <w:pPr>
              <w:jc w:val="right"/>
              <w:rPr>
                <w:rFonts w:ascii="Arial Narrow" w:hAnsi="Arial Narrow" w:eastAsia="Arial Narrow" w:cs="Arial Narrow"/>
                <w:i w:val="0"/>
                <w:iCs w:val="0"/>
                <w:color w:val="000000"/>
                <w:sz w:val="16"/>
                <w:szCs w:val="16"/>
                <w:u w:val="none"/>
              </w:rPr>
            </w:pPr>
          </w:p>
        </w:tc>
        <w:tc>
          <w:tcPr>
            <w:tcW w:w="1097" w:type="dxa"/>
            <w:tcBorders>
              <w:top w:val="nil"/>
              <w:left w:val="nil"/>
              <w:bottom w:val="single" w:color="000000" w:sz="4" w:space="0"/>
              <w:right w:val="single" w:color="000000" w:sz="8" w:space="0"/>
            </w:tcBorders>
            <w:shd w:val="clear" w:color="auto" w:fill="FFFFFF"/>
            <w:vAlign w:val="center"/>
          </w:tcPr>
          <w:p w14:paraId="33738B9B">
            <w:pPr>
              <w:jc w:val="right"/>
              <w:rPr>
                <w:rFonts w:ascii="Arial Narrow" w:hAnsi="Arial Narrow" w:eastAsia="Arial Narrow" w:cs="Arial Narrow"/>
                <w:i w:val="0"/>
                <w:iCs w:val="0"/>
                <w:color w:val="000000"/>
                <w:sz w:val="16"/>
                <w:szCs w:val="16"/>
                <w:u w:val="none"/>
              </w:rPr>
            </w:pPr>
          </w:p>
        </w:tc>
      </w:tr>
      <w:tr w14:paraId="495472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36" w:type="dxa"/>
            <w:tcBorders>
              <w:top w:val="nil"/>
              <w:left w:val="single" w:color="000000" w:sz="8" w:space="0"/>
              <w:bottom w:val="single" w:color="000000" w:sz="4" w:space="0"/>
              <w:right w:val="single" w:color="000000" w:sz="4" w:space="0"/>
            </w:tcBorders>
            <w:shd w:val="clear" w:color="auto" w:fill="FFFFFF"/>
            <w:vAlign w:val="center"/>
          </w:tcPr>
          <w:p w14:paraId="3D9A0376">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Style w:val="131"/>
                <w:lang w:val="en-US" w:eastAsia="zh-CN"/>
              </w:rPr>
              <w:t>809-3-2-1</w:t>
            </w:r>
          </w:p>
        </w:tc>
        <w:tc>
          <w:tcPr>
            <w:tcW w:w="3891" w:type="dxa"/>
            <w:tcBorders>
              <w:top w:val="nil"/>
              <w:left w:val="nil"/>
              <w:bottom w:val="single" w:color="000000" w:sz="4" w:space="0"/>
              <w:right w:val="single" w:color="000000" w:sz="4" w:space="0"/>
            </w:tcBorders>
            <w:shd w:val="clear" w:color="auto" w:fill="FFFFFF"/>
            <w:vAlign w:val="center"/>
          </w:tcPr>
          <w:p w14:paraId="7BA045D0">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Style w:val="131"/>
                <w:lang w:val="en-US" w:eastAsia="zh-CN"/>
              </w:rPr>
              <w:t>双壁波纹管φ110</w:t>
            </w:r>
          </w:p>
        </w:tc>
        <w:tc>
          <w:tcPr>
            <w:tcW w:w="731" w:type="dxa"/>
            <w:tcBorders>
              <w:top w:val="nil"/>
              <w:left w:val="nil"/>
              <w:bottom w:val="single" w:color="000000" w:sz="4" w:space="0"/>
              <w:right w:val="single" w:color="000000" w:sz="4" w:space="0"/>
            </w:tcBorders>
            <w:shd w:val="clear" w:color="auto" w:fill="FFFFFF"/>
            <w:vAlign w:val="center"/>
          </w:tcPr>
          <w:p w14:paraId="4F43F20E">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Style w:val="131"/>
                <w:lang w:val="en-US" w:eastAsia="zh-CN"/>
              </w:rPr>
              <w:t>m</w:t>
            </w:r>
          </w:p>
        </w:tc>
        <w:tc>
          <w:tcPr>
            <w:tcW w:w="1097" w:type="dxa"/>
            <w:tcBorders>
              <w:top w:val="nil"/>
              <w:left w:val="nil"/>
              <w:bottom w:val="single" w:color="000000" w:sz="4" w:space="0"/>
              <w:right w:val="single" w:color="000000" w:sz="4" w:space="0"/>
            </w:tcBorders>
            <w:shd w:val="clear" w:color="auto" w:fill="FFFFFF"/>
            <w:vAlign w:val="center"/>
          </w:tcPr>
          <w:p w14:paraId="62CDAC04">
            <w:pPr>
              <w:keepNext w:val="0"/>
              <w:keepLines w:val="0"/>
              <w:widowControl/>
              <w:suppressLineNumbers w:val="0"/>
              <w:jc w:val="right"/>
              <w:textAlignment w:val="center"/>
              <w:rPr>
                <w:rFonts w:ascii="Arial Narrow" w:hAnsi="Arial Narrow" w:eastAsia="Arial Narrow" w:cs="Arial Narrow"/>
                <w:i w:val="0"/>
                <w:iCs w:val="0"/>
                <w:color w:val="000000"/>
                <w:sz w:val="16"/>
                <w:szCs w:val="16"/>
                <w:u w:val="none"/>
              </w:rPr>
            </w:pPr>
            <w:r>
              <w:rPr>
                <w:rFonts w:ascii="Arial Narrow" w:hAnsi="Arial Narrow" w:eastAsia="Arial Narrow" w:cs="Arial Narrow"/>
                <w:i w:val="0"/>
                <w:iCs w:val="0"/>
                <w:color w:val="000000"/>
                <w:kern w:val="0"/>
                <w:sz w:val="16"/>
                <w:szCs w:val="16"/>
                <w:u w:val="none"/>
                <w:lang w:val="en-US" w:eastAsia="zh-CN"/>
              </w:rPr>
              <w:t>1450</w:t>
            </w:r>
          </w:p>
        </w:tc>
        <w:tc>
          <w:tcPr>
            <w:tcW w:w="1098" w:type="dxa"/>
            <w:tcBorders>
              <w:top w:val="nil"/>
              <w:left w:val="nil"/>
              <w:bottom w:val="single" w:color="000000" w:sz="4" w:space="0"/>
              <w:right w:val="single" w:color="000000" w:sz="4" w:space="0"/>
            </w:tcBorders>
            <w:shd w:val="clear" w:color="auto" w:fill="FFFFFF"/>
            <w:vAlign w:val="center"/>
          </w:tcPr>
          <w:p w14:paraId="01B7DEF4">
            <w:pPr>
              <w:keepNext w:val="0"/>
              <w:keepLines w:val="0"/>
              <w:widowControl/>
              <w:suppressLineNumbers w:val="0"/>
              <w:jc w:val="right"/>
              <w:textAlignment w:val="center"/>
              <w:rPr>
                <w:rFonts w:ascii="Arial Narrow" w:hAnsi="Arial Narrow" w:eastAsia="Arial Narrow" w:cs="Arial Narrow"/>
                <w:i w:val="0"/>
                <w:iCs w:val="0"/>
                <w:color w:val="000000"/>
                <w:sz w:val="16"/>
                <w:szCs w:val="16"/>
                <w:u w:val="none"/>
              </w:rPr>
            </w:pPr>
          </w:p>
        </w:tc>
        <w:tc>
          <w:tcPr>
            <w:tcW w:w="1097" w:type="dxa"/>
            <w:tcBorders>
              <w:top w:val="nil"/>
              <w:left w:val="nil"/>
              <w:bottom w:val="single" w:color="000000" w:sz="4" w:space="0"/>
              <w:right w:val="single" w:color="000000" w:sz="8" w:space="0"/>
            </w:tcBorders>
            <w:shd w:val="clear" w:color="auto" w:fill="FFFFFF"/>
            <w:vAlign w:val="center"/>
          </w:tcPr>
          <w:p w14:paraId="06545558">
            <w:pPr>
              <w:keepNext w:val="0"/>
              <w:keepLines w:val="0"/>
              <w:widowControl/>
              <w:suppressLineNumbers w:val="0"/>
              <w:jc w:val="right"/>
              <w:textAlignment w:val="center"/>
              <w:rPr>
                <w:rFonts w:ascii="Arial Narrow" w:hAnsi="Arial Narrow" w:eastAsia="Arial Narrow" w:cs="Arial Narrow"/>
                <w:i w:val="0"/>
                <w:iCs w:val="0"/>
                <w:color w:val="000000"/>
                <w:sz w:val="16"/>
                <w:szCs w:val="16"/>
                <w:u w:val="none"/>
              </w:rPr>
            </w:pPr>
          </w:p>
        </w:tc>
      </w:tr>
      <w:tr w14:paraId="755906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36" w:type="dxa"/>
            <w:tcBorders>
              <w:top w:val="nil"/>
              <w:left w:val="single" w:color="000000" w:sz="8" w:space="0"/>
              <w:bottom w:val="single" w:color="000000" w:sz="4" w:space="0"/>
              <w:right w:val="single" w:color="000000" w:sz="4" w:space="0"/>
            </w:tcBorders>
            <w:shd w:val="clear" w:color="auto" w:fill="FFFFFF"/>
            <w:vAlign w:val="center"/>
          </w:tcPr>
          <w:p w14:paraId="7A12015B">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Style w:val="131"/>
                <w:lang w:val="en-US" w:eastAsia="zh-CN"/>
              </w:rPr>
              <w:t>809-5</w:t>
            </w:r>
          </w:p>
        </w:tc>
        <w:tc>
          <w:tcPr>
            <w:tcW w:w="3891" w:type="dxa"/>
            <w:tcBorders>
              <w:top w:val="nil"/>
              <w:left w:val="nil"/>
              <w:bottom w:val="single" w:color="000000" w:sz="4" w:space="0"/>
              <w:right w:val="single" w:color="000000" w:sz="4" w:space="0"/>
            </w:tcBorders>
            <w:shd w:val="clear" w:color="auto" w:fill="FFFFFF"/>
            <w:vAlign w:val="center"/>
          </w:tcPr>
          <w:p w14:paraId="354F941C">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Style w:val="131"/>
                <w:lang w:val="en-US" w:eastAsia="zh-CN"/>
              </w:rPr>
              <w:t>人（手）孔</w:t>
            </w:r>
          </w:p>
        </w:tc>
        <w:tc>
          <w:tcPr>
            <w:tcW w:w="731" w:type="dxa"/>
            <w:tcBorders>
              <w:top w:val="nil"/>
              <w:left w:val="nil"/>
              <w:bottom w:val="single" w:color="000000" w:sz="4" w:space="0"/>
              <w:right w:val="single" w:color="000000" w:sz="4" w:space="0"/>
            </w:tcBorders>
            <w:shd w:val="clear" w:color="auto" w:fill="FFFFFF"/>
            <w:vAlign w:val="center"/>
          </w:tcPr>
          <w:p w14:paraId="57E8346A">
            <w:pPr>
              <w:jc w:val="center"/>
              <w:rPr>
                <w:rFonts w:hint="eastAsia" w:ascii="宋体" w:hAnsi="宋体" w:eastAsia="宋体" w:cs="宋体"/>
                <w:i w:val="0"/>
                <w:iCs w:val="0"/>
                <w:color w:val="000000"/>
                <w:sz w:val="16"/>
                <w:szCs w:val="16"/>
                <w:u w:val="none"/>
              </w:rPr>
            </w:pPr>
          </w:p>
        </w:tc>
        <w:tc>
          <w:tcPr>
            <w:tcW w:w="1097" w:type="dxa"/>
            <w:tcBorders>
              <w:top w:val="nil"/>
              <w:left w:val="nil"/>
              <w:bottom w:val="single" w:color="000000" w:sz="4" w:space="0"/>
              <w:right w:val="single" w:color="000000" w:sz="4" w:space="0"/>
            </w:tcBorders>
            <w:shd w:val="clear" w:color="auto" w:fill="FFFFFF"/>
            <w:vAlign w:val="center"/>
          </w:tcPr>
          <w:p w14:paraId="2679C348">
            <w:pPr>
              <w:jc w:val="right"/>
              <w:rPr>
                <w:rFonts w:ascii="Arial Narrow" w:hAnsi="Arial Narrow" w:eastAsia="Arial Narrow" w:cs="Arial Narrow"/>
                <w:i w:val="0"/>
                <w:iCs w:val="0"/>
                <w:color w:val="000000"/>
                <w:sz w:val="16"/>
                <w:szCs w:val="16"/>
                <w:u w:val="none"/>
              </w:rPr>
            </w:pPr>
          </w:p>
        </w:tc>
        <w:tc>
          <w:tcPr>
            <w:tcW w:w="1098" w:type="dxa"/>
            <w:tcBorders>
              <w:top w:val="nil"/>
              <w:left w:val="nil"/>
              <w:bottom w:val="single" w:color="000000" w:sz="4" w:space="0"/>
              <w:right w:val="single" w:color="000000" w:sz="4" w:space="0"/>
            </w:tcBorders>
            <w:shd w:val="clear" w:color="auto" w:fill="FFFFFF"/>
            <w:vAlign w:val="center"/>
          </w:tcPr>
          <w:p w14:paraId="00FF1E01">
            <w:pPr>
              <w:jc w:val="right"/>
              <w:rPr>
                <w:rFonts w:ascii="Arial Narrow" w:hAnsi="Arial Narrow" w:eastAsia="Arial Narrow" w:cs="Arial Narrow"/>
                <w:i w:val="0"/>
                <w:iCs w:val="0"/>
                <w:color w:val="000000"/>
                <w:sz w:val="16"/>
                <w:szCs w:val="16"/>
                <w:u w:val="none"/>
              </w:rPr>
            </w:pPr>
          </w:p>
        </w:tc>
        <w:tc>
          <w:tcPr>
            <w:tcW w:w="1097" w:type="dxa"/>
            <w:tcBorders>
              <w:top w:val="nil"/>
              <w:left w:val="nil"/>
              <w:bottom w:val="single" w:color="000000" w:sz="4" w:space="0"/>
              <w:right w:val="single" w:color="000000" w:sz="8" w:space="0"/>
            </w:tcBorders>
            <w:shd w:val="clear" w:color="auto" w:fill="FFFFFF"/>
            <w:vAlign w:val="center"/>
          </w:tcPr>
          <w:p w14:paraId="72FDF25E">
            <w:pPr>
              <w:jc w:val="right"/>
              <w:rPr>
                <w:rFonts w:ascii="Arial Narrow" w:hAnsi="Arial Narrow" w:eastAsia="Arial Narrow" w:cs="Arial Narrow"/>
                <w:i w:val="0"/>
                <w:iCs w:val="0"/>
                <w:color w:val="000000"/>
                <w:sz w:val="16"/>
                <w:szCs w:val="16"/>
                <w:u w:val="none"/>
              </w:rPr>
            </w:pPr>
          </w:p>
        </w:tc>
      </w:tr>
      <w:tr w14:paraId="79537B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36" w:type="dxa"/>
            <w:tcBorders>
              <w:top w:val="nil"/>
              <w:left w:val="single" w:color="000000" w:sz="8" w:space="0"/>
              <w:bottom w:val="single" w:color="000000" w:sz="4" w:space="0"/>
              <w:right w:val="single" w:color="000000" w:sz="4" w:space="0"/>
            </w:tcBorders>
            <w:shd w:val="clear" w:color="auto" w:fill="FFFFFF"/>
            <w:vAlign w:val="center"/>
          </w:tcPr>
          <w:p w14:paraId="5A2325BB">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Style w:val="131"/>
                <w:lang w:val="en-US" w:eastAsia="zh-CN"/>
              </w:rPr>
              <w:t>809-5-2</w:t>
            </w:r>
          </w:p>
        </w:tc>
        <w:tc>
          <w:tcPr>
            <w:tcW w:w="3891" w:type="dxa"/>
            <w:tcBorders>
              <w:top w:val="nil"/>
              <w:left w:val="nil"/>
              <w:bottom w:val="single" w:color="000000" w:sz="4" w:space="0"/>
              <w:right w:val="single" w:color="000000" w:sz="4" w:space="0"/>
            </w:tcBorders>
            <w:shd w:val="clear" w:color="auto" w:fill="FFFFFF"/>
            <w:vAlign w:val="center"/>
          </w:tcPr>
          <w:p w14:paraId="3A717185">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Style w:val="131"/>
                <w:lang w:val="en-US" w:eastAsia="zh-CN"/>
              </w:rPr>
              <w:t>手孔</w:t>
            </w:r>
          </w:p>
        </w:tc>
        <w:tc>
          <w:tcPr>
            <w:tcW w:w="731" w:type="dxa"/>
            <w:tcBorders>
              <w:top w:val="nil"/>
              <w:left w:val="nil"/>
              <w:bottom w:val="single" w:color="000000" w:sz="4" w:space="0"/>
              <w:right w:val="single" w:color="000000" w:sz="4" w:space="0"/>
            </w:tcBorders>
            <w:shd w:val="clear" w:color="auto" w:fill="FFFFFF"/>
            <w:vAlign w:val="center"/>
          </w:tcPr>
          <w:p w14:paraId="423E8C37">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Style w:val="131"/>
                <w:lang w:val="en-US" w:eastAsia="zh-CN"/>
              </w:rPr>
              <w:t>座</w:t>
            </w:r>
          </w:p>
        </w:tc>
        <w:tc>
          <w:tcPr>
            <w:tcW w:w="1097" w:type="dxa"/>
            <w:tcBorders>
              <w:top w:val="nil"/>
              <w:left w:val="nil"/>
              <w:bottom w:val="single" w:color="000000" w:sz="4" w:space="0"/>
              <w:right w:val="single" w:color="000000" w:sz="4" w:space="0"/>
            </w:tcBorders>
            <w:shd w:val="clear" w:color="auto" w:fill="FFFFFF"/>
            <w:vAlign w:val="center"/>
          </w:tcPr>
          <w:p w14:paraId="153071D6">
            <w:pPr>
              <w:keepNext w:val="0"/>
              <w:keepLines w:val="0"/>
              <w:widowControl/>
              <w:suppressLineNumbers w:val="0"/>
              <w:jc w:val="right"/>
              <w:textAlignment w:val="center"/>
              <w:rPr>
                <w:rFonts w:ascii="Arial Narrow" w:hAnsi="Arial Narrow" w:eastAsia="Arial Narrow" w:cs="Arial Narrow"/>
                <w:i w:val="0"/>
                <w:iCs w:val="0"/>
                <w:color w:val="000000"/>
                <w:sz w:val="16"/>
                <w:szCs w:val="16"/>
                <w:u w:val="none"/>
              </w:rPr>
            </w:pPr>
            <w:r>
              <w:rPr>
                <w:rFonts w:ascii="Arial Narrow" w:hAnsi="Arial Narrow" w:eastAsia="Arial Narrow" w:cs="Arial Narrow"/>
                <w:i w:val="0"/>
                <w:iCs w:val="0"/>
                <w:color w:val="000000"/>
                <w:kern w:val="0"/>
                <w:sz w:val="16"/>
                <w:szCs w:val="16"/>
                <w:u w:val="none"/>
                <w:lang w:val="en-US" w:eastAsia="zh-CN"/>
              </w:rPr>
              <w:t>14</w:t>
            </w:r>
          </w:p>
        </w:tc>
        <w:tc>
          <w:tcPr>
            <w:tcW w:w="1098" w:type="dxa"/>
            <w:tcBorders>
              <w:top w:val="nil"/>
              <w:left w:val="nil"/>
              <w:bottom w:val="single" w:color="000000" w:sz="4" w:space="0"/>
              <w:right w:val="single" w:color="000000" w:sz="4" w:space="0"/>
            </w:tcBorders>
            <w:shd w:val="clear" w:color="auto" w:fill="FFFFFF"/>
            <w:vAlign w:val="center"/>
          </w:tcPr>
          <w:p w14:paraId="6ADE398E">
            <w:pPr>
              <w:keepNext w:val="0"/>
              <w:keepLines w:val="0"/>
              <w:widowControl/>
              <w:suppressLineNumbers w:val="0"/>
              <w:jc w:val="right"/>
              <w:textAlignment w:val="center"/>
              <w:rPr>
                <w:rFonts w:ascii="Arial Narrow" w:hAnsi="Arial Narrow" w:eastAsia="Arial Narrow" w:cs="Arial Narrow"/>
                <w:i w:val="0"/>
                <w:iCs w:val="0"/>
                <w:color w:val="000000"/>
                <w:sz w:val="16"/>
                <w:szCs w:val="16"/>
                <w:u w:val="none"/>
              </w:rPr>
            </w:pPr>
          </w:p>
        </w:tc>
        <w:tc>
          <w:tcPr>
            <w:tcW w:w="1097" w:type="dxa"/>
            <w:tcBorders>
              <w:top w:val="nil"/>
              <w:left w:val="nil"/>
              <w:bottom w:val="single" w:color="000000" w:sz="4" w:space="0"/>
              <w:right w:val="single" w:color="000000" w:sz="8" w:space="0"/>
            </w:tcBorders>
            <w:shd w:val="clear" w:color="auto" w:fill="FFFFFF"/>
            <w:vAlign w:val="center"/>
          </w:tcPr>
          <w:p w14:paraId="34499F28">
            <w:pPr>
              <w:keepNext w:val="0"/>
              <w:keepLines w:val="0"/>
              <w:widowControl/>
              <w:suppressLineNumbers w:val="0"/>
              <w:jc w:val="right"/>
              <w:textAlignment w:val="center"/>
              <w:rPr>
                <w:rFonts w:ascii="Arial Narrow" w:hAnsi="Arial Narrow" w:eastAsia="Arial Narrow" w:cs="Arial Narrow"/>
                <w:i w:val="0"/>
                <w:iCs w:val="0"/>
                <w:color w:val="000000"/>
                <w:sz w:val="16"/>
                <w:szCs w:val="16"/>
                <w:u w:val="none"/>
              </w:rPr>
            </w:pPr>
          </w:p>
        </w:tc>
      </w:tr>
      <w:tr w14:paraId="4E4863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36" w:type="dxa"/>
            <w:tcBorders>
              <w:top w:val="nil"/>
              <w:left w:val="single" w:color="000000" w:sz="8" w:space="0"/>
              <w:bottom w:val="single" w:color="000000" w:sz="4" w:space="0"/>
              <w:right w:val="single" w:color="000000" w:sz="4" w:space="0"/>
            </w:tcBorders>
            <w:shd w:val="clear" w:color="auto" w:fill="FFFFFF"/>
            <w:vAlign w:val="center"/>
          </w:tcPr>
          <w:p w14:paraId="25B12AE5">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Style w:val="131"/>
                <w:lang w:val="en-US" w:eastAsia="zh-CN"/>
              </w:rPr>
              <w:t>809-6</w:t>
            </w:r>
          </w:p>
        </w:tc>
        <w:tc>
          <w:tcPr>
            <w:tcW w:w="3891" w:type="dxa"/>
            <w:tcBorders>
              <w:top w:val="nil"/>
              <w:left w:val="nil"/>
              <w:bottom w:val="single" w:color="000000" w:sz="4" w:space="0"/>
              <w:right w:val="single" w:color="000000" w:sz="4" w:space="0"/>
            </w:tcBorders>
            <w:shd w:val="clear" w:color="auto" w:fill="FFFFFF"/>
            <w:vAlign w:val="center"/>
          </w:tcPr>
          <w:p w14:paraId="5D38DB7F">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Style w:val="131"/>
                <w:lang w:val="en-US" w:eastAsia="zh-CN"/>
              </w:rPr>
              <w:t>电缆</w:t>
            </w:r>
          </w:p>
        </w:tc>
        <w:tc>
          <w:tcPr>
            <w:tcW w:w="731" w:type="dxa"/>
            <w:tcBorders>
              <w:top w:val="nil"/>
              <w:left w:val="nil"/>
              <w:bottom w:val="single" w:color="000000" w:sz="4" w:space="0"/>
              <w:right w:val="single" w:color="000000" w:sz="4" w:space="0"/>
            </w:tcBorders>
            <w:shd w:val="clear" w:color="auto" w:fill="FFFFFF"/>
            <w:vAlign w:val="center"/>
          </w:tcPr>
          <w:p w14:paraId="2A04CC26">
            <w:pPr>
              <w:jc w:val="center"/>
              <w:rPr>
                <w:rFonts w:hint="eastAsia" w:ascii="宋体" w:hAnsi="宋体" w:eastAsia="宋体" w:cs="宋体"/>
                <w:i w:val="0"/>
                <w:iCs w:val="0"/>
                <w:color w:val="000000"/>
                <w:sz w:val="16"/>
                <w:szCs w:val="16"/>
                <w:u w:val="none"/>
              </w:rPr>
            </w:pPr>
          </w:p>
        </w:tc>
        <w:tc>
          <w:tcPr>
            <w:tcW w:w="1097" w:type="dxa"/>
            <w:tcBorders>
              <w:top w:val="nil"/>
              <w:left w:val="nil"/>
              <w:bottom w:val="single" w:color="000000" w:sz="4" w:space="0"/>
              <w:right w:val="single" w:color="000000" w:sz="4" w:space="0"/>
            </w:tcBorders>
            <w:shd w:val="clear" w:color="auto" w:fill="FFFFFF"/>
            <w:vAlign w:val="center"/>
          </w:tcPr>
          <w:p w14:paraId="5313038A">
            <w:pPr>
              <w:jc w:val="right"/>
              <w:rPr>
                <w:rFonts w:ascii="Arial Narrow" w:hAnsi="Arial Narrow" w:eastAsia="Arial Narrow" w:cs="Arial Narrow"/>
                <w:i w:val="0"/>
                <w:iCs w:val="0"/>
                <w:color w:val="000000"/>
                <w:sz w:val="16"/>
                <w:szCs w:val="16"/>
                <w:u w:val="none"/>
              </w:rPr>
            </w:pPr>
          </w:p>
        </w:tc>
        <w:tc>
          <w:tcPr>
            <w:tcW w:w="1098" w:type="dxa"/>
            <w:tcBorders>
              <w:top w:val="nil"/>
              <w:left w:val="nil"/>
              <w:bottom w:val="single" w:color="000000" w:sz="4" w:space="0"/>
              <w:right w:val="single" w:color="000000" w:sz="4" w:space="0"/>
            </w:tcBorders>
            <w:shd w:val="clear" w:color="auto" w:fill="FFFFFF"/>
            <w:vAlign w:val="center"/>
          </w:tcPr>
          <w:p w14:paraId="7B899F9D">
            <w:pPr>
              <w:jc w:val="right"/>
              <w:rPr>
                <w:rFonts w:ascii="Arial Narrow" w:hAnsi="Arial Narrow" w:eastAsia="Arial Narrow" w:cs="Arial Narrow"/>
                <w:i w:val="0"/>
                <w:iCs w:val="0"/>
                <w:color w:val="000000"/>
                <w:sz w:val="16"/>
                <w:szCs w:val="16"/>
                <w:u w:val="none"/>
              </w:rPr>
            </w:pPr>
          </w:p>
        </w:tc>
        <w:tc>
          <w:tcPr>
            <w:tcW w:w="1097" w:type="dxa"/>
            <w:tcBorders>
              <w:top w:val="nil"/>
              <w:left w:val="nil"/>
              <w:bottom w:val="single" w:color="000000" w:sz="4" w:space="0"/>
              <w:right w:val="single" w:color="000000" w:sz="8" w:space="0"/>
            </w:tcBorders>
            <w:shd w:val="clear" w:color="auto" w:fill="FFFFFF"/>
            <w:vAlign w:val="center"/>
          </w:tcPr>
          <w:p w14:paraId="3D4911BA">
            <w:pPr>
              <w:jc w:val="right"/>
              <w:rPr>
                <w:rFonts w:ascii="Arial Narrow" w:hAnsi="Arial Narrow" w:eastAsia="Arial Narrow" w:cs="Arial Narrow"/>
                <w:i w:val="0"/>
                <w:iCs w:val="0"/>
                <w:color w:val="000000"/>
                <w:sz w:val="16"/>
                <w:szCs w:val="16"/>
                <w:u w:val="none"/>
              </w:rPr>
            </w:pPr>
          </w:p>
        </w:tc>
      </w:tr>
      <w:tr w14:paraId="106BC0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36" w:type="dxa"/>
            <w:tcBorders>
              <w:top w:val="nil"/>
              <w:left w:val="single" w:color="000000" w:sz="8" w:space="0"/>
              <w:bottom w:val="single" w:color="000000" w:sz="4" w:space="0"/>
              <w:right w:val="single" w:color="000000" w:sz="4" w:space="0"/>
            </w:tcBorders>
            <w:shd w:val="clear" w:color="auto" w:fill="FFFFFF"/>
            <w:vAlign w:val="center"/>
          </w:tcPr>
          <w:p w14:paraId="636B7B8D">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Style w:val="131"/>
                <w:lang w:val="en-US" w:eastAsia="zh-CN"/>
              </w:rPr>
              <w:t>809-6-1</w:t>
            </w:r>
          </w:p>
        </w:tc>
        <w:tc>
          <w:tcPr>
            <w:tcW w:w="3891" w:type="dxa"/>
            <w:tcBorders>
              <w:top w:val="nil"/>
              <w:left w:val="nil"/>
              <w:bottom w:val="single" w:color="000000" w:sz="4" w:space="0"/>
              <w:right w:val="single" w:color="000000" w:sz="4" w:space="0"/>
            </w:tcBorders>
            <w:shd w:val="clear" w:color="auto" w:fill="FFFFFF"/>
            <w:vAlign w:val="center"/>
          </w:tcPr>
          <w:p w14:paraId="3694CA0F">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Style w:val="131"/>
                <w:lang w:val="en-US" w:eastAsia="zh-CN"/>
              </w:rPr>
              <w:t>电力电缆</w:t>
            </w:r>
          </w:p>
        </w:tc>
        <w:tc>
          <w:tcPr>
            <w:tcW w:w="731" w:type="dxa"/>
            <w:tcBorders>
              <w:top w:val="nil"/>
              <w:left w:val="nil"/>
              <w:bottom w:val="single" w:color="000000" w:sz="4" w:space="0"/>
              <w:right w:val="single" w:color="000000" w:sz="4" w:space="0"/>
            </w:tcBorders>
            <w:shd w:val="clear" w:color="auto" w:fill="FFFFFF"/>
            <w:vAlign w:val="center"/>
          </w:tcPr>
          <w:p w14:paraId="7AC9C07E">
            <w:pPr>
              <w:jc w:val="center"/>
              <w:rPr>
                <w:rFonts w:hint="eastAsia" w:ascii="宋体" w:hAnsi="宋体" w:eastAsia="宋体" w:cs="宋体"/>
                <w:i w:val="0"/>
                <w:iCs w:val="0"/>
                <w:color w:val="000000"/>
                <w:sz w:val="16"/>
                <w:szCs w:val="16"/>
                <w:u w:val="none"/>
              </w:rPr>
            </w:pPr>
          </w:p>
        </w:tc>
        <w:tc>
          <w:tcPr>
            <w:tcW w:w="1097" w:type="dxa"/>
            <w:tcBorders>
              <w:top w:val="nil"/>
              <w:left w:val="nil"/>
              <w:bottom w:val="single" w:color="000000" w:sz="4" w:space="0"/>
              <w:right w:val="single" w:color="000000" w:sz="4" w:space="0"/>
            </w:tcBorders>
            <w:shd w:val="clear" w:color="auto" w:fill="FFFFFF"/>
            <w:vAlign w:val="center"/>
          </w:tcPr>
          <w:p w14:paraId="7BE91FED">
            <w:pPr>
              <w:jc w:val="right"/>
              <w:rPr>
                <w:rFonts w:ascii="Arial Narrow" w:hAnsi="Arial Narrow" w:eastAsia="Arial Narrow" w:cs="Arial Narrow"/>
                <w:i w:val="0"/>
                <w:iCs w:val="0"/>
                <w:color w:val="000000"/>
                <w:sz w:val="16"/>
                <w:szCs w:val="16"/>
                <w:u w:val="none"/>
              </w:rPr>
            </w:pPr>
          </w:p>
        </w:tc>
        <w:tc>
          <w:tcPr>
            <w:tcW w:w="1098" w:type="dxa"/>
            <w:tcBorders>
              <w:top w:val="nil"/>
              <w:left w:val="nil"/>
              <w:bottom w:val="single" w:color="000000" w:sz="4" w:space="0"/>
              <w:right w:val="single" w:color="000000" w:sz="4" w:space="0"/>
            </w:tcBorders>
            <w:shd w:val="clear" w:color="auto" w:fill="FFFFFF"/>
            <w:vAlign w:val="center"/>
          </w:tcPr>
          <w:p w14:paraId="1EFDA6F1">
            <w:pPr>
              <w:jc w:val="right"/>
              <w:rPr>
                <w:rFonts w:ascii="Arial Narrow" w:hAnsi="Arial Narrow" w:eastAsia="Arial Narrow" w:cs="Arial Narrow"/>
                <w:i w:val="0"/>
                <w:iCs w:val="0"/>
                <w:color w:val="000000"/>
                <w:sz w:val="16"/>
                <w:szCs w:val="16"/>
                <w:u w:val="none"/>
              </w:rPr>
            </w:pPr>
          </w:p>
        </w:tc>
        <w:tc>
          <w:tcPr>
            <w:tcW w:w="1097" w:type="dxa"/>
            <w:tcBorders>
              <w:top w:val="nil"/>
              <w:left w:val="nil"/>
              <w:bottom w:val="single" w:color="000000" w:sz="4" w:space="0"/>
              <w:right w:val="single" w:color="000000" w:sz="8" w:space="0"/>
            </w:tcBorders>
            <w:shd w:val="clear" w:color="auto" w:fill="FFFFFF"/>
            <w:vAlign w:val="center"/>
          </w:tcPr>
          <w:p w14:paraId="65180D60">
            <w:pPr>
              <w:jc w:val="right"/>
              <w:rPr>
                <w:rFonts w:ascii="Arial Narrow" w:hAnsi="Arial Narrow" w:eastAsia="Arial Narrow" w:cs="Arial Narrow"/>
                <w:i w:val="0"/>
                <w:iCs w:val="0"/>
                <w:color w:val="000000"/>
                <w:sz w:val="16"/>
                <w:szCs w:val="16"/>
                <w:u w:val="none"/>
              </w:rPr>
            </w:pPr>
          </w:p>
        </w:tc>
      </w:tr>
      <w:tr w14:paraId="5517F4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36" w:type="dxa"/>
            <w:tcBorders>
              <w:top w:val="nil"/>
              <w:left w:val="single" w:color="000000" w:sz="8" w:space="0"/>
              <w:bottom w:val="single" w:color="000000" w:sz="4" w:space="0"/>
              <w:right w:val="single" w:color="000000" w:sz="4" w:space="0"/>
            </w:tcBorders>
            <w:shd w:val="clear" w:color="auto" w:fill="FFFFFF"/>
            <w:vAlign w:val="center"/>
          </w:tcPr>
          <w:p w14:paraId="3E3B1976">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Style w:val="131"/>
                <w:lang w:val="en-US" w:eastAsia="zh-CN"/>
              </w:rPr>
              <w:t>809-6-1-1</w:t>
            </w:r>
          </w:p>
        </w:tc>
        <w:tc>
          <w:tcPr>
            <w:tcW w:w="3891" w:type="dxa"/>
            <w:tcBorders>
              <w:top w:val="nil"/>
              <w:left w:val="nil"/>
              <w:bottom w:val="single" w:color="000000" w:sz="4" w:space="0"/>
              <w:right w:val="single" w:color="000000" w:sz="4" w:space="0"/>
            </w:tcBorders>
            <w:shd w:val="clear" w:color="auto" w:fill="FFFFFF"/>
            <w:vAlign w:val="center"/>
          </w:tcPr>
          <w:p w14:paraId="48261DB0">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Style w:val="131"/>
                <w:lang w:val="en-US" w:eastAsia="zh-CN"/>
              </w:rPr>
              <w:t>YJY-0.6/1KV 3×16mm2</w:t>
            </w:r>
          </w:p>
        </w:tc>
        <w:tc>
          <w:tcPr>
            <w:tcW w:w="731" w:type="dxa"/>
            <w:tcBorders>
              <w:top w:val="nil"/>
              <w:left w:val="nil"/>
              <w:bottom w:val="single" w:color="000000" w:sz="4" w:space="0"/>
              <w:right w:val="single" w:color="000000" w:sz="4" w:space="0"/>
            </w:tcBorders>
            <w:shd w:val="clear" w:color="auto" w:fill="FFFFFF"/>
            <w:vAlign w:val="center"/>
          </w:tcPr>
          <w:p w14:paraId="7EF7B742">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Style w:val="131"/>
                <w:lang w:val="en-US" w:eastAsia="zh-CN"/>
              </w:rPr>
              <w:t>m</w:t>
            </w:r>
          </w:p>
        </w:tc>
        <w:tc>
          <w:tcPr>
            <w:tcW w:w="1097" w:type="dxa"/>
            <w:tcBorders>
              <w:top w:val="nil"/>
              <w:left w:val="nil"/>
              <w:bottom w:val="single" w:color="000000" w:sz="4" w:space="0"/>
              <w:right w:val="single" w:color="000000" w:sz="4" w:space="0"/>
            </w:tcBorders>
            <w:shd w:val="clear" w:color="auto" w:fill="FFFFFF"/>
            <w:vAlign w:val="center"/>
          </w:tcPr>
          <w:p w14:paraId="25D2A7EF">
            <w:pPr>
              <w:keepNext w:val="0"/>
              <w:keepLines w:val="0"/>
              <w:widowControl/>
              <w:suppressLineNumbers w:val="0"/>
              <w:jc w:val="right"/>
              <w:textAlignment w:val="center"/>
              <w:rPr>
                <w:rFonts w:ascii="Arial Narrow" w:hAnsi="Arial Narrow" w:eastAsia="Arial Narrow" w:cs="Arial Narrow"/>
                <w:i w:val="0"/>
                <w:iCs w:val="0"/>
                <w:color w:val="000000"/>
                <w:sz w:val="16"/>
                <w:szCs w:val="16"/>
                <w:u w:val="none"/>
              </w:rPr>
            </w:pPr>
            <w:r>
              <w:rPr>
                <w:rFonts w:ascii="Arial Narrow" w:hAnsi="Arial Narrow" w:eastAsia="Arial Narrow" w:cs="Arial Narrow"/>
                <w:i w:val="0"/>
                <w:iCs w:val="0"/>
                <w:color w:val="000000"/>
                <w:kern w:val="0"/>
                <w:sz w:val="16"/>
                <w:szCs w:val="16"/>
                <w:u w:val="none"/>
                <w:lang w:val="en-US" w:eastAsia="zh-CN"/>
              </w:rPr>
              <w:t>1150</w:t>
            </w:r>
          </w:p>
        </w:tc>
        <w:tc>
          <w:tcPr>
            <w:tcW w:w="1098" w:type="dxa"/>
            <w:tcBorders>
              <w:top w:val="nil"/>
              <w:left w:val="nil"/>
              <w:bottom w:val="single" w:color="000000" w:sz="4" w:space="0"/>
              <w:right w:val="single" w:color="000000" w:sz="4" w:space="0"/>
            </w:tcBorders>
            <w:shd w:val="clear" w:color="auto" w:fill="FFFFFF"/>
            <w:vAlign w:val="center"/>
          </w:tcPr>
          <w:p w14:paraId="602307F1">
            <w:pPr>
              <w:keepNext w:val="0"/>
              <w:keepLines w:val="0"/>
              <w:widowControl/>
              <w:suppressLineNumbers w:val="0"/>
              <w:jc w:val="right"/>
              <w:textAlignment w:val="center"/>
              <w:rPr>
                <w:rFonts w:ascii="Arial Narrow" w:hAnsi="Arial Narrow" w:eastAsia="Arial Narrow" w:cs="Arial Narrow"/>
                <w:i w:val="0"/>
                <w:iCs w:val="0"/>
                <w:color w:val="000000"/>
                <w:sz w:val="16"/>
                <w:szCs w:val="16"/>
                <w:u w:val="none"/>
              </w:rPr>
            </w:pPr>
          </w:p>
        </w:tc>
        <w:tc>
          <w:tcPr>
            <w:tcW w:w="1097" w:type="dxa"/>
            <w:tcBorders>
              <w:top w:val="nil"/>
              <w:left w:val="nil"/>
              <w:bottom w:val="single" w:color="000000" w:sz="4" w:space="0"/>
              <w:right w:val="single" w:color="000000" w:sz="8" w:space="0"/>
            </w:tcBorders>
            <w:shd w:val="clear" w:color="auto" w:fill="FFFFFF"/>
            <w:vAlign w:val="center"/>
          </w:tcPr>
          <w:p w14:paraId="355C58B0">
            <w:pPr>
              <w:keepNext w:val="0"/>
              <w:keepLines w:val="0"/>
              <w:widowControl/>
              <w:suppressLineNumbers w:val="0"/>
              <w:jc w:val="right"/>
              <w:textAlignment w:val="center"/>
              <w:rPr>
                <w:rFonts w:ascii="Arial Narrow" w:hAnsi="Arial Narrow" w:eastAsia="Arial Narrow" w:cs="Arial Narrow"/>
                <w:i w:val="0"/>
                <w:iCs w:val="0"/>
                <w:color w:val="000000"/>
                <w:sz w:val="16"/>
                <w:szCs w:val="16"/>
                <w:u w:val="none"/>
              </w:rPr>
            </w:pPr>
          </w:p>
        </w:tc>
      </w:tr>
      <w:tr w14:paraId="1727A5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36" w:type="dxa"/>
            <w:tcBorders>
              <w:top w:val="nil"/>
              <w:left w:val="single" w:color="000000" w:sz="8" w:space="0"/>
              <w:bottom w:val="single" w:color="000000" w:sz="4" w:space="0"/>
              <w:right w:val="single" w:color="000000" w:sz="4" w:space="0"/>
            </w:tcBorders>
            <w:shd w:val="clear" w:color="auto" w:fill="FFFFFF"/>
            <w:vAlign w:val="center"/>
          </w:tcPr>
          <w:p w14:paraId="5C606F22">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Style w:val="131"/>
                <w:lang w:val="en-US" w:eastAsia="zh-CN"/>
              </w:rPr>
              <w:t>809-6-1-2</w:t>
            </w:r>
          </w:p>
        </w:tc>
        <w:tc>
          <w:tcPr>
            <w:tcW w:w="3891" w:type="dxa"/>
            <w:tcBorders>
              <w:top w:val="nil"/>
              <w:left w:val="nil"/>
              <w:bottom w:val="single" w:color="000000" w:sz="4" w:space="0"/>
              <w:right w:val="single" w:color="000000" w:sz="4" w:space="0"/>
            </w:tcBorders>
            <w:shd w:val="clear" w:color="auto" w:fill="FFFFFF"/>
            <w:vAlign w:val="center"/>
          </w:tcPr>
          <w:p w14:paraId="1403D116">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Style w:val="131"/>
                <w:lang w:val="en-US" w:eastAsia="zh-CN"/>
              </w:rPr>
              <w:t>FLV-(3×2.5mm2)</w:t>
            </w:r>
          </w:p>
        </w:tc>
        <w:tc>
          <w:tcPr>
            <w:tcW w:w="731" w:type="dxa"/>
            <w:tcBorders>
              <w:top w:val="nil"/>
              <w:left w:val="nil"/>
              <w:bottom w:val="single" w:color="000000" w:sz="4" w:space="0"/>
              <w:right w:val="single" w:color="000000" w:sz="4" w:space="0"/>
            </w:tcBorders>
            <w:shd w:val="clear" w:color="auto" w:fill="FFFFFF"/>
            <w:vAlign w:val="center"/>
          </w:tcPr>
          <w:p w14:paraId="55C55A65">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Style w:val="131"/>
                <w:lang w:val="en-US" w:eastAsia="zh-CN"/>
              </w:rPr>
              <w:t>m</w:t>
            </w:r>
          </w:p>
        </w:tc>
        <w:tc>
          <w:tcPr>
            <w:tcW w:w="1097" w:type="dxa"/>
            <w:tcBorders>
              <w:top w:val="nil"/>
              <w:left w:val="nil"/>
              <w:bottom w:val="single" w:color="000000" w:sz="4" w:space="0"/>
              <w:right w:val="single" w:color="000000" w:sz="4" w:space="0"/>
            </w:tcBorders>
            <w:shd w:val="clear" w:color="auto" w:fill="FFFFFF"/>
            <w:vAlign w:val="center"/>
          </w:tcPr>
          <w:p w14:paraId="2AE1BA6C">
            <w:pPr>
              <w:keepNext w:val="0"/>
              <w:keepLines w:val="0"/>
              <w:widowControl/>
              <w:suppressLineNumbers w:val="0"/>
              <w:jc w:val="right"/>
              <w:textAlignment w:val="center"/>
              <w:rPr>
                <w:rFonts w:ascii="Arial Narrow" w:hAnsi="Arial Narrow" w:eastAsia="Arial Narrow" w:cs="Arial Narrow"/>
                <w:i w:val="0"/>
                <w:iCs w:val="0"/>
                <w:color w:val="000000"/>
                <w:sz w:val="16"/>
                <w:szCs w:val="16"/>
                <w:u w:val="none"/>
              </w:rPr>
            </w:pPr>
            <w:r>
              <w:rPr>
                <w:rFonts w:ascii="Arial Narrow" w:hAnsi="Arial Narrow" w:eastAsia="Arial Narrow" w:cs="Arial Narrow"/>
                <w:i w:val="0"/>
                <w:iCs w:val="0"/>
                <w:color w:val="000000"/>
                <w:kern w:val="0"/>
                <w:sz w:val="16"/>
                <w:szCs w:val="16"/>
                <w:u w:val="none"/>
                <w:lang w:val="en-US" w:eastAsia="zh-CN"/>
              </w:rPr>
              <w:t>2040</w:t>
            </w:r>
          </w:p>
        </w:tc>
        <w:tc>
          <w:tcPr>
            <w:tcW w:w="1098" w:type="dxa"/>
            <w:tcBorders>
              <w:top w:val="nil"/>
              <w:left w:val="nil"/>
              <w:bottom w:val="single" w:color="000000" w:sz="4" w:space="0"/>
              <w:right w:val="single" w:color="000000" w:sz="4" w:space="0"/>
            </w:tcBorders>
            <w:shd w:val="clear" w:color="auto" w:fill="FFFFFF"/>
            <w:vAlign w:val="center"/>
          </w:tcPr>
          <w:p w14:paraId="1CF694A9">
            <w:pPr>
              <w:keepNext w:val="0"/>
              <w:keepLines w:val="0"/>
              <w:widowControl/>
              <w:suppressLineNumbers w:val="0"/>
              <w:jc w:val="right"/>
              <w:textAlignment w:val="center"/>
              <w:rPr>
                <w:rFonts w:ascii="Arial Narrow" w:hAnsi="Arial Narrow" w:eastAsia="Arial Narrow" w:cs="Arial Narrow"/>
                <w:i w:val="0"/>
                <w:iCs w:val="0"/>
                <w:color w:val="000000"/>
                <w:sz w:val="16"/>
                <w:szCs w:val="16"/>
                <w:u w:val="none"/>
              </w:rPr>
            </w:pPr>
          </w:p>
        </w:tc>
        <w:tc>
          <w:tcPr>
            <w:tcW w:w="1097" w:type="dxa"/>
            <w:tcBorders>
              <w:top w:val="nil"/>
              <w:left w:val="nil"/>
              <w:bottom w:val="single" w:color="000000" w:sz="4" w:space="0"/>
              <w:right w:val="single" w:color="000000" w:sz="8" w:space="0"/>
            </w:tcBorders>
            <w:shd w:val="clear" w:color="auto" w:fill="FFFFFF"/>
            <w:vAlign w:val="center"/>
          </w:tcPr>
          <w:p w14:paraId="2C6C27E7">
            <w:pPr>
              <w:keepNext w:val="0"/>
              <w:keepLines w:val="0"/>
              <w:widowControl/>
              <w:suppressLineNumbers w:val="0"/>
              <w:jc w:val="right"/>
              <w:textAlignment w:val="center"/>
              <w:rPr>
                <w:rFonts w:ascii="Arial Narrow" w:hAnsi="Arial Narrow" w:eastAsia="Arial Narrow" w:cs="Arial Narrow"/>
                <w:i w:val="0"/>
                <w:iCs w:val="0"/>
                <w:color w:val="000000"/>
                <w:sz w:val="16"/>
                <w:szCs w:val="16"/>
                <w:u w:val="none"/>
              </w:rPr>
            </w:pPr>
          </w:p>
        </w:tc>
      </w:tr>
      <w:tr w14:paraId="1B6558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36" w:type="dxa"/>
            <w:tcBorders>
              <w:top w:val="nil"/>
              <w:left w:val="single" w:color="000000" w:sz="8" w:space="0"/>
              <w:bottom w:val="single" w:color="000000" w:sz="4" w:space="0"/>
              <w:right w:val="single" w:color="000000" w:sz="4" w:space="0"/>
            </w:tcBorders>
            <w:shd w:val="clear" w:color="auto" w:fill="FFFFFF"/>
            <w:vAlign w:val="center"/>
          </w:tcPr>
          <w:p w14:paraId="263ECECD">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Style w:val="131"/>
                <w:lang w:val="en-US" w:eastAsia="zh-CN"/>
              </w:rPr>
              <w:t>809-6-1-3</w:t>
            </w:r>
          </w:p>
        </w:tc>
        <w:tc>
          <w:tcPr>
            <w:tcW w:w="3891" w:type="dxa"/>
            <w:tcBorders>
              <w:top w:val="nil"/>
              <w:left w:val="nil"/>
              <w:bottom w:val="single" w:color="000000" w:sz="4" w:space="0"/>
              <w:right w:val="single" w:color="000000" w:sz="4" w:space="0"/>
            </w:tcBorders>
            <w:shd w:val="clear" w:color="auto" w:fill="FFFFFF"/>
            <w:vAlign w:val="center"/>
          </w:tcPr>
          <w:p w14:paraId="1D3D5E78">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Style w:val="131"/>
                <w:lang w:val="en-US" w:eastAsia="zh-CN"/>
              </w:rPr>
              <w:t>VVR-2×6mm2</w:t>
            </w:r>
          </w:p>
        </w:tc>
        <w:tc>
          <w:tcPr>
            <w:tcW w:w="731" w:type="dxa"/>
            <w:tcBorders>
              <w:top w:val="nil"/>
              <w:left w:val="nil"/>
              <w:bottom w:val="single" w:color="000000" w:sz="4" w:space="0"/>
              <w:right w:val="single" w:color="000000" w:sz="4" w:space="0"/>
            </w:tcBorders>
            <w:shd w:val="clear" w:color="auto" w:fill="FFFFFF"/>
            <w:vAlign w:val="center"/>
          </w:tcPr>
          <w:p w14:paraId="7C704848">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Style w:val="131"/>
                <w:lang w:val="en-US" w:eastAsia="zh-CN"/>
              </w:rPr>
              <w:t>m</w:t>
            </w:r>
          </w:p>
        </w:tc>
        <w:tc>
          <w:tcPr>
            <w:tcW w:w="1097" w:type="dxa"/>
            <w:tcBorders>
              <w:top w:val="nil"/>
              <w:left w:val="nil"/>
              <w:bottom w:val="single" w:color="000000" w:sz="4" w:space="0"/>
              <w:right w:val="single" w:color="000000" w:sz="4" w:space="0"/>
            </w:tcBorders>
            <w:shd w:val="clear" w:color="auto" w:fill="FFFFFF"/>
            <w:vAlign w:val="center"/>
          </w:tcPr>
          <w:p w14:paraId="2ABC4EB8">
            <w:pPr>
              <w:keepNext w:val="0"/>
              <w:keepLines w:val="0"/>
              <w:widowControl/>
              <w:suppressLineNumbers w:val="0"/>
              <w:jc w:val="right"/>
              <w:textAlignment w:val="center"/>
              <w:rPr>
                <w:rFonts w:ascii="Arial Narrow" w:hAnsi="Arial Narrow" w:eastAsia="Arial Narrow" w:cs="Arial Narrow"/>
                <w:i w:val="0"/>
                <w:iCs w:val="0"/>
                <w:color w:val="000000"/>
                <w:sz w:val="16"/>
                <w:szCs w:val="16"/>
                <w:u w:val="none"/>
              </w:rPr>
            </w:pPr>
            <w:r>
              <w:rPr>
                <w:rFonts w:ascii="Arial Narrow" w:hAnsi="Arial Narrow" w:eastAsia="Arial Narrow" w:cs="Arial Narrow"/>
                <w:i w:val="0"/>
                <w:iCs w:val="0"/>
                <w:color w:val="000000"/>
                <w:kern w:val="0"/>
                <w:sz w:val="16"/>
                <w:szCs w:val="16"/>
                <w:u w:val="none"/>
                <w:lang w:val="en-US" w:eastAsia="zh-CN"/>
              </w:rPr>
              <w:t>147</w:t>
            </w:r>
          </w:p>
        </w:tc>
        <w:tc>
          <w:tcPr>
            <w:tcW w:w="1098" w:type="dxa"/>
            <w:tcBorders>
              <w:top w:val="nil"/>
              <w:left w:val="nil"/>
              <w:bottom w:val="single" w:color="000000" w:sz="4" w:space="0"/>
              <w:right w:val="single" w:color="000000" w:sz="4" w:space="0"/>
            </w:tcBorders>
            <w:shd w:val="clear" w:color="auto" w:fill="FFFFFF"/>
            <w:vAlign w:val="center"/>
          </w:tcPr>
          <w:p w14:paraId="417E3383">
            <w:pPr>
              <w:keepNext w:val="0"/>
              <w:keepLines w:val="0"/>
              <w:widowControl/>
              <w:suppressLineNumbers w:val="0"/>
              <w:jc w:val="right"/>
              <w:textAlignment w:val="center"/>
              <w:rPr>
                <w:rFonts w:ascii="Arial Narrow" w:hAnsi="Arial Narrow" w:eastAsia="Arial Narrow" w:cs="Arial Narrow"/>
                <w:i w:val="0"/>
                <w:iCs w:val="0"/>
                <w:color w:val="000000"/>
                <w:sz w:val="16"/>
                <w:szCs w:val="16"/>
                <w:u w:val="none"/>
              </w:rPr>
            </w:pPr>
          </w:p>
        </w:tc>
        <w:tc>
          <w:tcPr>
            <w:tcW w:w="1097" w:type="dxa"/>
            <w:tcBorders>
              <w:top w:val="nil"/>
              <w:left w:val="nil"/>
              <w:bottom w:val="single" w:color="000000" w:sz="4" w:space="0"/>
              <w:right w:val="single" w:color="000000" w:sz="8" w:space="0"/>
            </w:tcBorders>
            <w:shd w:val="clear" w:color="auto" w:fill="FFFFFF"/>
            <w:vAlign w:val="center"/>
          </w:tcPr>
          <w:p w14:paraId="43DE4D7E">
            <w:pPr>
              <w:keepNext w:val="0"/>
              <w:keepLines w:val="0"/>
              <w:widowControl/>
              <w:suppressLineNumbers w:val="0"/>
              <w:jc w:val="right"/>
              <w:textAlignment w:val="center"/>
              <w:rPr>
                <w:rFonts w:ascii="Arial Narrow" w:hAnsi="Arial Narrow" w:eastAsia="Arial Narrow" w:cs="Arial Narrow"/>
                <w:i w:val="0"/>
                <w:iCs w:val="0"/>
                <w:color w:val="000000"/>
                <w:sz w:val="16"/>
                <w:szCs w:val="16"/>
                <w:u w:val="none"/>
              </w:rPr>
            </w:pPr>
          </w:p>
        </w:tc>
      </w:tr>
      <w:tr w14:paraId="400BB8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36" w:type="dxa"/>
            <w:tcBorders>
              <w:top w:val="nil"/>
              <w:left w:val="single" w:color="000000" w:sz="8" w:space="0"/>
              <w:bottom w:val="single" w:color="000000" w:sz="4" w:space="0"/>
              <w:right w:val="single" w:color="000000" w:sz="4" w:space="0"/>
            </w:tcBorders>
            <w:shd w:val="clear" w:color="auto" w:fill="FFFFFF"/>
            <w:vAlign w:val="center"/>
          </w:tcPr>
          <w:p w14:paraId="22DA7736">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Style w:val="131"/>
                <w:lang w:val="en-US" w:eastAsia="zh-CN"/>
              </w:rPr>
              <w:t>809-6-1-4</w:t>
            </w:r>
          </w:p>
        </w:tc>
        <w:tc>
          <w:tcPr>
            <w:tcW w:w="3891" w:type="dxa"/>
            <w:tcBorders>
              <w:top w:val="nil"/>
              <w:left w:val="nil"/>
              <w:bottom w:val="single" w:color="000000" w:sz="4" w:space="0"/>
              <w:right w:val="single" w:color="000000" w:sz="4" w:space="0"/>
            </w:tcBorders>
            <w:shd w:val="clear" w:color="auto" w:fill="FFFFFF"/>
            <w:vAlign w:val="center"/>
          </w:tcPr>
          <w:p w14:paraId="7F21146B">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Style w:val="131"/>
                <w:lang w:val="en-US" w:eastAsia="zh-CN"/>
              </w:rPr>
              <w:t>VVR-1×6mm2</w:t>
            </w:r>
          </w:p>
        </w:tc>
        <w:tc>
          <w:tcPr>
            <w:tcW w:w="731" w:type="dxa"/>
            <w:tcBorders>
              <w:top w:val="nil"/>
              <w:left w:val="nil"/>
              <w:bottom w:val="single" w:color="000000" w:sz="4" w:space="0"/>
              <w:right w:val="single" w:color="000000" w:sz="4" w:space="0"/>
            </w:tcBorders>
            <w:shd w:val="clear" w:color="auto" w:fill="FFFFFF"/>
            <w:vAlign w:val="center"/>
          </w:tcPr>
          <w:p w14:paraId="764639E5">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Style w:val="131"/>
                <w:lang w:val="en-US" w:eastAsia="zh-CN"/>
              </w:rPr>
              <w:t>m</w:t>
            </w:r>
          </w:p>
        </w:tc>
        <w:tc>
          <w:tcPr>
            <w:tcW w:w="1097" w:type="dxa"/>
            <w:tcBorders>
              <w:top w:val="nil"/>
              <w:left w:val="nil"/>
              <w:bottom w:val="single" w:color="000000" w:sz="4" w:space="0"/>
              <w:right w:val="single" w:color="000000" w:sz="4" w:space="0"/>
            </w:tcBorders>
            <w:shd w:val="clear" w:color="auto" w:fill="FFFFFF"/>
            <w:vAlign w:val="center"/>
          </w:tcPr>
          <w:p w14:paraId="4AF7B099">
            <w:pPr>
              <w:keepNext w:val="0"/>
              <w:keepLines w:val="0"/>
              <w:widowControl/>
              <w:suppressLineNumbers w:val="0"/>
              <w:jc w:val="right"/>
              <w:textAlignment w:val="center"/>
              <w:rPr>
                <w:rFonts w:ascii="Arial Narrow" w:hAnsi="Arial Narrow" w:eastAsia="Arial Narrow" w:cs="Arial Narrow"/>
                <w:i w:val="0"/>
                <w:iCs w:val="0"/>
                <w:color w:val="000000"/>
                <w:sz w:val="16"/>
                <w:szCs w:val="16"/>
                <w:u w:val="none"/>
              </w:rPr>
            </w:pPr>
            <w:r>
              <w:rPr>
                <w:rFonts w:ascii="Arial Narrow" w:hAnsi="Arial Narrow" w:eastAsia="Arial Narrow" w:cs="Arial Narrow"/>
                <w:i w:val="0"/>
                <w:iCs w:val="0"/>
                <w:color w:val="000000"/>
                <w:kern w:val="0"/>
                <w:sz w:val="16"/>
                <w:szCs w:val="16"/>
                <w:u w:val="none"/>
                <w:lang w:val="en-US" w:eastAsia="zh-CN"/>
              </w:rPr>
              <w:t>129</w:t>
            </w:r>
          </w:p>
        </w:tc>
        <w:tc>
          <w:tcPr>
            <w:tcW w:w="1098" w:type="dxa"/>
            <w:tcBorders>
              <w:top w:val="nil"/>
              <w:left w:val="nil"/>
              <w:bottom w:val="single" w:color="000000" w:sz="4" w:space="0"/>
              <w:right w:val="single" w:color="000000" w:sz="4" w:space="0"/>
            </w:tcBorders>
            <w:shd w:val="clear" w:color="auto" w:fill="FFFFFF"/>
            <w:vAlign w:val="center"/>
          </w:tcPr>
          <w:p w14:paraId="19AF18CF">
            <w:pPr>
              <w:keepNext w:val="0"/>
              <w:keepLines w:val="0"/>
              <w:widowControl/>
              <w:suppressLineNumbers w:val="0"/>
              <w:jc w:val="right"/>
              <w:textAlignment w:val="center"/>
              <w:rPr>
                <w:rFonts w:ascii="Arial Narrow" w:hAnsi="Arial Narrow" w:eastAsia="Arial Narrow" w:cs="Arial Narrow"/>
                <w:i w:val="0"/>
                <w:iCs w:val="0"/>
                <w:color w:val="000000"/>
                <w:sz w:val="16"/>
                <w:szCs w:val="16"/>
                <w:u w:val="none"/>
              </w:rPr>
            </w:pPr>
          </w:p>
        </w:tc>
        <w:tc>
          <w:tcPr>
            <w:tcW w:w="1097" w:type="dxa"/>
            <w:tcBorders>
              <w:top w:val="nil"/>
              <w:left w:val="nil"/>
              <w:bottom w:val="single" w:color="000000" w:sz="4" w:space="0"/>
              <w:right w:val="single" w:color="000000" w:sz="8" w:space="0"/>
            </w:tcBorders>
            <w:shd w:val="clear" w:color="auto" w:fill="FFFFFF"/>
            <w:vAlign w:val="center"/>
          </w:tcPr>
          <w:p w14:paraId="7AA4ECB1">
            <w:pPr>
              <w:keepNext w:val="0"/>
              <w:keepLines w:val="0"/>
              <w:widowControl/>
              <w:suppressLineNumbers w:val="0"/>
              <w:jc w:val="right"/>
              <w:textAlignment w:val="center"/>
              <w:rPr>
                <w:rFonts w:ascii="Arial Narrow" w:hAnsi="Arial Narrow" w:eastAsia="Arial Narrow" w:cs="Arial Narrow"/>
                <w:i w:val="0"/>
                <w:iCs w:val="0"/>
                <w:color w:val="000000"/>
                <w:sz w:val="16"/>
                <w:szCs w:val="16"/>
                <w:u w:val="none"/>
              </w:rPr>
            </w:pPr>
          </w:p>
        </w:tc>
      </w:tr>
      <w:tr w14:paraId="39B7FD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36" w:type="dxa"/>
            <w:tcBorders>
              <w:top w:val="nil"/>
              <w:left w:val="single" w:color="000000" w:sz="8" w:space="0"/>
              <w:bottom w:val="single" w:color="000000" w:sz="4" w:space="0"/>
              <w:right w:val="single" w:color="000000" w:sz="4" w:space="0"/>
            </w:tcBorders>
            <w:shd w:val="clear" w:color="auto" w:fill="FFFFFF"/>
            <w:vAlign w:val="center"/>
          </w:tcPr>
          <w:p w14:paraId="3CAFF7BD">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Style w:val="131"/>
                <w:lang w:val="en-US" w:eastAsia="zh-CN"/>
              </w:rPr>
              <w:t>809-6-4</w:t>
            </w:r>
          </w:p>
        </w:tc>
        <w:tc>
          <w:tcPr>
            <w:tcW w:w="3891" w:type="dxa"/>
            <w:tcBorders>
              <w:top w:val="nil"/>
              <w:left w:val="nil"/>
              <w:bottom w:val="single" w:color="000000" w:sz="4" w:space="0"/>
              <w:right w:val="single" w:color="000000" w:sz="4" w:space="0"/>
            </w:tcBorders>
            <w:shd w:val="clear" w:color="auto" w:fill="FFFFFF"/>
            <w:vAlign w:val="center"/>
          </w:tcPr>
          <w:p w14:paraId="7F7671D5">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Style w:val="131"/>
                <w:lang w:val="en-US" w:eastAsia="zh-CN"/>
              </w:rPr>
              <w:t>穿刺线夹</w:t>
            </w:r>
          </w:p>
        </w:tc>
        <w:tc>
          <w:tcPr>
            <w:tcW w:w="731" w:type="dxa"/>
            <w:tcBorders>
              <w:top w:val="nil"/>
              <w:left w:val="nil"/>
              <w:bottom w:val="single" w:color="000000" w:sz="4" w:space="0"/>
              <w:right w:val="single" w:color="000000" w:sz="4" w:space="0"/>
            </w:tcBorders>
            <w:shd w:val="clear" w:color="auto" w:fill="FFFFFF"/>
            <w:vAlign w:val="center"/>
          </w:tcPr>
          <w:p w14:paraId="2BF20F05">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Style w:val="131"/>
                <w:lang w:val="en-US" w:eastAsia="zh-CN"/>
              </w:rPr>
              <w:t>个</w:t>
            </w:r>
          </w:p>
        </w:tc>
        <w:tc>
          <w:tcPr>
            <w:tcW w:w="1097" w:type="dxa"/>
            <w:tcBorders>
              <w:top w:val="nil"/>
              <w:left w:val="nil"/>
              <w:bottom w:val="single" w:color="000000" w:sz="4" w:space="0"/>
              <w:right w:val="single" w:color="000000" w:sz="4" w:space="0"/>
            </w:tcBorders>
            <w:shd w:val="clear" w:color="auto" w:fill="FFFFFF"/>
            <w:vAlign w:val="center"/>
          </w:tcPr>
          <w:p w14:paraId="317C9687">
            <w:pPr>
              <w:keepNext w:val="0"/>
              <w:keepLines w:val="0"/>
              <w:widowControl/>
              <w:suppressLineNumbers w:val="0"/>
              <w:jc w:val="right"/>
              <w:textAlignment w:val="center"/>
              <w:rPr>
                <w:rFonts w:ascii="Arial Narrow" w:hAnsi="Arial Narrow" w:eastAsia="Arial Narrow" w:cs="Arial Narrow"/>
                <w:i w:val="0"/>
                <w:iCs w:val="0"/>
                <w:color w:val="000000"/>
                <w:sz w:val="16"/>
                <w:szCs w:val="16"/>
                <w:u w:val="none"/>
              </w:rPr>
            </w:pPr>
            <w:r>
              <w:rPr>
                <w:rFonts w:ascii="Arial Narrow" w:hAnsi="Arial Narrow" w:eastAsia="Arial Narrow" w:cs="Arial Narrow"/>
                <w:i w:val="0"/>
                <w:iCs w:val="0"/>
                <w:color w:val="000000"/>
                <w:kern w:val="0"/>
                <w:sz w:val="16"/>
                <w:szCs w:val="16"/>
                <w:u w:val="none"/>
                <w:lang w:val="en-US" w:eastAsia="zh-CN"/>
              </w:rPr>
              <w:t>33</w:t>
            </w:r>
          </w:p>
        </w:tc>
        <w:tc>
          <w:tcPr>
            <w:tcW w:w="1098" w:type="dxa"/>
            <w:tcBorders>
              <w:top w:val="nil"/>
              <w:left w:val="nil"/>
              <w:bottom w:val="single" w:color="000000" w:sz="4" w:space="0"/>
              <w:right w:val="single" w:color="000000" w:sz="4" w:space="0"/>
            </w:tcBorders>
            <w:shd w:val="clear" w:color="auto" w:fill="FFFFFF"/>
            <w:vAlign w:val="center"/>
          </w:tcPr>
          <w:p w14:paraId="4A10B453">
            <w:pPr>
              <w:keepNext w:val="0"/>
              <w:keepLines w:val="0"/>
              <w:widowControl/>
              <w:suppressLineNumbers w:val="0"/>
              <w:jc w:val="right"/>
              <w:textAlignment w:val="center"/>
              <w:rPr>
                <w:rFonts w:ascii="Arial Narrow" w:hAnsi="Arial Narrow" w:eastAsia="Arial Narrow" w:cs="Arial Narrow"/>
                <w:i w:val="0"/>
                <w:iCs w:val="0"/>
                <w:color w:val="000000"/>
                <w:sz w:val="16"/>
                <w:szCs w:val="16"/>
                <w:u w:val="none"/>
              </w:rPr>
            </w:pPr>
          </w:p>
        </w:tc>
        <w:tc>
          <w:tcPr>
            <w:tcW w:w="1097" w:type="dxa"/>
            <w:tcBorders>
              <w:top w:val="nil"/>
              <w:left w:val="nil"/>
              <w:bottom w:val="single" w:color="000000" w:sz="4" w:space="0"/>
              <w:right w:val="single" w:color="000000" w:sz="8" w:space="0"/>
            </w:tcBorders>
            <w:shd w:val="clear" w:color="auto" w:fill="FFFFFF"/>
            <w:vAlign w:val="center"/>
          </w:tcPr>
          <w:p w14:paraId="0B380E2D">
            <w:pPr>
              <w:keepNext w:val="0"/>
              <w:keepLines w:val="0"/>
              <w:widowControl/>
              <w:suppressLineNumbers w:val="0"/>
              <w:jc w:val="right"/>
              <w:textAlignment w:val="center"/>
              <w:rPr>
                <w:rFonts w:ascii="Arial Narrow" w:hAnsi="Arial Narrow" w:eastAsia="Arial Narrow" w:cs="Arial Narrow"/>
                <w:i w:val="0"/>
                <w:iCs w:val="0"/>
                <w:color w:val="000000"/>
                <w:sz w:val="16"/>
                <w:szCs w:val="16"/>
                <w:u w:val="none"/>
              </w:rPr>
            </w:pPr>
          </w:p>
        </w:tc>
      </w:tr>
      <w:tr w14:paraId="48151E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36" w:type="dxa"/>
            <w:tcBorders>
              <w:top w:val="nil"/>
              <w:left w:val="single" w:color="000000" w:sz="8" w:space="0"/>
              <w:bottom w:val="single" w:color="000000" w:sz="4" w:space="0"/>
              <w:right w:val="single" w:color="000000" w:sz="4" w:space="0"/>
            </w:tcBorders>
            <w:shd w:val="clear" w:color="auto" w:fill="FFFFFF"/>
            <w:vAlign w:val="center"/>
          </w:tcPr>
          <w:p w14:paraId="2EBA0E05">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Style w:val="131"/>
                <w:lang w:val="en-US" w:eastAsia="zh-CN"/>
              </w:rPr>
              <w:t>809-6-5</w:t>
            </w:r>
          </w:p>
        </w:tc>
        <w:tc>
          <w:tcPr>
            <w:tcW w:w="3891" w:type="dxa"/>
            <w:tcBorders>
              <w:top w:val="nil"/>
              <w:left w:val="nil"/>
              <w:bottom w:val="single" w:color="000000" w:sz="4" w:space="0"/>
              <w:right w:val="single" w:color="000000" w:sz="4" w:space="0"/>
            </w:tcBorders>
            <w:shd w:val="clear" w:color="auto" w:fill="FFFFFF"/>
            <w:vAlign w:val="center"/>
          </w:tcPr>
          <w:p w14:paraId="782F9EEA">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Style w:val="131"/>
                <w:lang w:val="en-US" w:eastAsia="zh-CN"/>
              </w:rPr>
              <w:t>单灯空开 6A-2P-C</w:t>
            </w:r>
          </w:p>
        </w:tc>
        <w:tc>
          <w:tcPr>
            <w:tcW w:w="731" w:type="dxa"/>
            <w:tcBorders>
              <w:top w:val="nil"/>
              <w:left w:val="nil"/>
              <w:bottom w:val="single" w:color="000000" w:sz="4" w:space="0"/>
              <w:right w:val="single" w:color="000000" w:sz="4" w:space="0"/>
            </w:tcBorders>
            <w:shd w:val="clear" w:color="auto" w:fill="FFFFFF"/>
            <w:vAlign w:val="center"/>
          </w:tcPr>
          <w:p w14:paraId="3687D03A">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Style w:val="131"/>
                <w:lang w:val="en-US" w:eastAsia="zh-CN"/>
              </w:rPr>
              <w:t>个</w:t>
            </w:r>
          </w:p>
        </w:tc>
        <w:tc>
          <w:tcPr>
            <w:tcW w:w="1097" w:type="dxa"/>
            <w:tcBorders>
              <w:top w:val="nil"/>
              <w:left w:val="nil"/>
              <w:bottom w:val="single" w:color="000000" w:sz="4" w:space="0"/>
              <w:right w:val="single" w:color="000000" w:sz="4" w:space="0"/>
            </w:tcBorders>
            <w:shd w:val="clear" w:color="auto" w:fill="FFFFFF"/>
            <w:vAlign w:val="center"/>
          </w:tcPr>
          <w:p w14:paraId="3E3DB1BA">
            <w:pPr>
              <w:keepNext w:val="0"/>
              <w:keepLines w:val="0"/>
              <w:widowControl/>
              <w:suppressLineNumbers w:val="0"/>
              <w:jc w:val="right"/>
              <w:textAlignment w:val="center"/>
              <w:rPr>
                <w:rFonts w:ascii="Arial Narrow" w:hAnsi="Arial Narrow" w:eastAsia="Arial Narrow" w:cs="Arial Narrow"/>
                <w:i w:val="0"/>
                <w:iCs w:val="0"/>
                <w:color w:val="000000"/>
                <w:sz w:val="16"/>
                <w:szCs w:val="16"/>
                <w:u w:val="none"/>
              </w:rPr>
            </w:pPr>
            <w:r>
              <w:rPr>
                <w:rFonts w:ascii="Arial Narrow" w:hAnsi="Arial Narrow" w:eastAsia="Arial Narrow" w:cs="Arial Narrow"/>
                <w:i w:val="0"/>
                <w:iCs w:val="0"/>
                <w:color w:val="000000"/>
                <w:kern w:val="0"/>
                <w:sz w:val="16"/>
                <w:szCs w:val="16"/>
                <w:u w:val="none"/>
                <w:lang w:val="en-US" w:eastAsia="zh-CN"/>
              </w:rPr>
              <w:t>33</w:t>
            </w:r>
          </w:p>
        </w:tc>
        <w:tc>
          <w:tcPr>
            <w:tcW w:w="1098" w:type="dxa"/>
            <w:tcBorders>
              <w:top w:val="nil"/>
              <w:left w:val="nil"/>
              <w:bottom w:val="single" w:color="000000" w:sz="4" w:space="0"/>
              <w:right w:val="single" w:color="000000" w:sz="4" w:space="0"/>
            </w:tcBorders>
            <w:shd w:val="clear" w:color="auto" w:fill="FFFFFF"/>
            <w:vAlign w:val="center"/>
          </w:tcPr>
          <w:p w14:paraId="2C1A4B29">
            <w:pPr>
              <w:keepNext w:val="0"/>
              <w:keepLines w:val="0"/>
              <w:widowControl/>
              <w:suppressLineNumbers w:val="0"/>
              <w:jc w:val="right"/>
              <w:textAlignment w:val="center"/>
              <w:rPr>
                <w:rFonts w:ascii="Arial Narrow" w:hAnsi="Arial Narrow" w:eastAsia="Arial Narrow" w:cs="Arial Narrow"/>
                <w:i w:val="0"/>
                <w:iCs w:val="0"/>
                <w:color w:val="000000"/>
                <w:sz w:val="16"/>
                <w:szCs w:val="16"/>
                <w:u w:val="none"/>
              </w:rPr>
            </w:pPr>
          </w:p>
        </w:tc>
        <w:tc>
          <w:tcPr>
            <w:tcW w:w="1097" w:type="dxa"/>
            <w:tcBorders>
              <w:top w:val="nil"/>
              <w:left w:val="nil"/>
              <w:bottom w:val="single" w:color="000000" w:sz="4" w:space="0"/>
              <w:right w:val="single" w:color="000000" w:sz="8" w:space="0"/>
            </w:tcBorders>
            <w:shd w:val="clear" w:color="auto" w:fill="FFFFFF"/>
            <w:vAlign w:val="center"/>
          </w:tcPr>
          <w:p w14:paraId="5DCF4295">
            <w:pPr>
              <w:keepNext w:val="0"/>
              <w:keepLines w:val="0"/>
              <w:widowControl/>
              <w:suppressLineNumbers w:val="0"/>
              <w:jc w:val="right"/>
              <w:textAlignment w:val="center"/>
              <w:rPr>
                <w:rFonts w:ascii="Arial Narrow" w:hAnsi="Arial Narrow" w:eastAsia="Arial Narrow" w:cs="Arial Narrow"/>
                <w:i w:val="0"/>
                <w:iCs w:val="0"/>
                <w:color w:val="000000"/>
                <w:sz w:val="16"/>
                <w:szCs w:val="16"/>
                <w:u w:val="none"/>
              </w:rPr>
            </w:pPr>
          </w:p>
        </w:tc>
      </w:tr>
      <w:tr w14:paraId="2747B3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8850" w:type="dxa"/>
            <w:gridSpan w:val="6"/>
            <w:tcBorders>
              <w:top w:val="nil"/>
              <w:left w:val="single" w:color="000000" w:sz="8" w:space="0"/>
              <w:bottom w:val="single" w:color="000000" w:sz="8" w:space="0"/>
              <w:right w:val="single" w:color="000000" w:sz="8" w:space="0"/>
            </w:tcBorders>
            <w:shd w:val="clear" w:color="auto" w:fill="FFFFFF"/>
            <w:vAlign w:val="center"/>
          </w:tcPr>
          <w:p w14:paraId="2E3313EF">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Style w:val="131"/>
                <w:lang w:val="en-US" w:eastAsia="zh-CN"/>
              </w:rPr>
              <w:t>清单  第800章  合计   人民币</w:t>
            </w:r>
            <w:r>
              <w:rPr>
                <w:rStyle w:val="131"/>
                <w:rFonts w:hint="eastAsia"/>
                <w:lang w:val="en-US" w:eastAsia="zh-CN"/>
              </w:rPr>
              <w:t xml:space="preserve">    </w:t>
            </w:r>
            <w:r>
              <w:rPr>
                <w:rStyle w:val="131"/>
                <w:lang w:val="en-US" w:eastAsia="zh-CN"/>
              </w:rPr>
              <w:t>元</w:t>
            </w:r>
          </w:p>
        </w:tc>
      </w:tr>
      <w:tr w14:paraId="3B164D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7753" w:type="dxa"/>
            <w:gridSpan w:val="5"/>
            <w:tcBorders>
              <w:top w:val="single" w:color="000000" w:sz="8" w:space="0"/>
              <w:left w:val="nil"/>
              <w:bottom w:val="nil"/>
              <w:right w:val="nil"/>
            </w:tcBorders>
            <w:shd w:val="clear" w:color="auto" w:fill="FFFFFF"/>
            <w:vAlign w:val="center"/>
          </w:tcPr>
          <w:p w14:paraId="10EC87F6">
            <w:pPr>
              <w:keepNext w:val="0"/>
              <w:keepLines w:val="0"/>
              <w:widowControl/>
              <w:suppressLineNumbers w:val="0"/>
              <w:jc w:val="right"/>
              <w:textAlignment w:val="center"/>
              <w:rPr>
                <w:rFonts w:hint="eastAsia" w:ascii="宋体" w:hAnsi="宋体" w:eastAsia="宋体" w:cs="宋体"/>
                <w:i w:val="0"/>
                <w:iCs w:val="0"/>
                <w:color w:val="000000"/>
                <w:sz w:val="16"/>
                <w:szCs w:val="16"/>
                <w:u w:val="none"/>
              </w:rPr>
            </w:pPr>
          </w:p>
        </w:tc>
        <w:tc>
          <w:tcPr>
            <w:tcW w:w="1097" w:type="dxa"/>
            <w:tcBorders>
              <w:top w:val="single" w:color="000000" w:sz="8" w:space="0"/>
              <w:left w:val="nil"/>
              <w:bottom w:val="nil"/>
              <w:right w:val="nil"/>
            </w:tcBorders>
            <w:shd w:val="clear" w:color="auto" w:fill="FFFFFF"/>
            <w:vAlign w:val="center"/>
          </w:tcPr>
          <w:p w14:paraId="330446C1">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p>
        </w:tc>
      </w:tr>
    </w:tbl>
    <w:p w14:paraId="7BC47E24">
      <w:pPr>
        <w:spacing w:line="380" w:lineRule="exact"/>
        <w:rPr>
          <w:rFonts w:hint="eastAsia" w:ascii="宋体" w:hAnsi="宋体"/>
          <w:bCs/>
          <w:sz w:val="22"/>
          <w:szCs w:val="22"/>
        </w:rPr>
      </w:pPr>
    </w:p>
    <w:p w14:paraId="3C8173A9">
      <w:pPr>
        <w:rPr>
          <w:rFonts w:ascii="宋体" w:cs="Arial"/>
          <w:sz w:val="22"/>
          <w:szCs w:val="22"/>
        </w:rPr>
      </w:pPr>
      <w:r>
        <w:rPr>
          <w:rFonts w:ascii="宋体" w:cs="Arial"/>
          <w:sz w:val="22"/>
          <w:szCs w:val="22"/>
        </w:rPr>
        <w:br w:type="page"/>
      </w:r>
    </w:p>
    <w:p w14:paraId="31B6599D">
      <w:pPr>
        <w:autoSpaceDE w:val="0"/>
        <w:autoSpaceDN w:val="0"/>
        <w:adjustRightInd w:val="0"/>
        <w:spacing w:line="360" w:lineRule="atLeast"/>
        <w:textAlignment w:val="baseline"/>
        <w:rPr>
          <w:rFonts w:ascii="宋体" w:cs="宋体"/>
          <w:b/>
          <w:bCs/>
          <w:sz w:val="32"/>
          <w:szCs w:val="32"/>
        </w:rPr>
      </w:pPr>
      <w:r>
        <w:rPr>
          <w:rFonts w:hint="eastAsia" w:ascii="宋体" w:cs="宋体"/>
          <w:b/>
          <w:bCs/>
          <w:sz w:val="32"/>
          <w:szCs w:val="32"/>
        </w:rPr>
        <w:t xml:space="preserve">附件九   </w:t>
      </w:r>
    </w:p>
    <w:p w14:paraId="3C09FFD6">
      <w:pPr>
        <w:autoSpaceDE w:val="0"/>
        <w:autoSpaceDN w:val="0"/>
        <w:adjustRightInd w:val="0"/>
        <w:spacing w:line="360" w:lineRule="atLeast"/>
        <w:jc w:val="center"/>
        <w:textAlignment w:val="baseline"/>
        <w:rPr>
          <w:rFonts w:ascii="宋体" w:cs="宋体"/>
          <w:b/>
          <w:bCs/>
          <w:sz w:val="32"/>
          <w:szCs w:val="32"/>
          <w:lang w:val="zh-CN"/>
        </w:rPr>
      </w:pPr>
      <w:r>
        <w:rPr>
          <w:rFonts w:hint="eastAsia" w:ascii="宋体" w:cs="宋体"/>
          <w:b/>
          <w:bCs/>
          <w:sz w:val="32"/>
          <w:szCs w:val="32"/>
        </w:rPr>
        <w:t>二次报价表</w:t>
      </w:r>
    </w:p>
    <w:p w14:paraId="76B4173B">
      <w:pPr>
        <w:autoSpaceDE w:val="0"/>
        <w:autoSpaceDN w:val="0"/>
        <w:adjustRightInd w:val="0"/>
        <w:spacing w:line="400" w:lineRule="exact"/>
        <w:rPr>
          <w:rFonts w:ascii="宋体" w:cs="宋体"/>
          <w:sz w:val="22"/>
          <w:szCs w:val="22"/>
        </w:rPr>
      </w:pPr>
    </w:p>
    <w:p w14:paraId="790B4201">
      <w:pPr>
        <w:autoSpaceDE w:val="0"/>
        <w:autoSpaceDN w:val="0"/>
        <w:adjustRightInd w:val="0"/>
        <w:spacing w:line="400" w:lineRule="exact"/>
        <w:rPr>
          <w:rFonts w:ascii="宋体" w:cs="宋体"/>
          <w:sz w:val="22"/>
          <w:u w:val="single"/>
        </w:rPr>
      </w:pPr>
      <w:r>
        <w:rPr>
          <w:rFonts w:hint="eastAsia" w:ascii="宋体" w:cs="宋体"/>
          <w:sz w:val="22"/>
          <w:szCs w:val="22"/>
        </w:rPr>
        <w:t>项目名称</w:t>
      </w:r>
      <w:r>
        <w:rPr>
          <w:rFonts w:hint="eastAsia" w:ascii="宋体" w:cs="宋体"/>
          <w:sz w:val="22"/>
          <w:szCs w:val="22"/>
          <w:lang w:val="zh-CN"/>
        </w:rPr>
        <w:t>：</w:t>
      </w:r>
      <w:r>
        <w:rPr>
          <w:rFonts w:hint="eastAsia" w:ascii="宋体" w:cs="宋体"/>
          <w:sz w:val="22"/>
          <w:u w:val="single"/>
        </w:rPr>
        <w:t xml:space="preserve"> </w:t>
      </w:r>
    </w:p>
    <w:p w14:paraId="1B7E2A17">
      <w:pPr>
        <w:autoSpaceDE w:val="0"/>
        <w:autoSpaceDN w:val="0"/>
        <w:adjustRightInd w:val="0"/>
        <w:spacing w:line="400" w:lineRule="exact"/>
        <w:rPr>
          <w:rFonts w:ascii="宋体" w:cs="宋体"/>
          <w:sz w:val="22"/>
          <w:szCs w:val="22"/>
          <w:lang w:val="zh-CN"/>
        </w:rPr>
      </w:pPr>
      <w:r>
        <w:rPr>
          <w:rFonts w:hint="eastAsia" w:ascii="宋体" w:cs="宋体"/>
          <w:sz w:val="22"/>
          <w:szCs w:val="22"/>
          <w:lang w:val="zh-CN"/>
        </w:rPr>
        <w:t>招标编号：</w:t>
      </w:r>
      <w:r>
        <w:rPr>
          <w:rFonts w:hint="eastAsia" w:ascii="宋体" w:cs="宋体"/>
          <w:sz w:val="22"/>
          <w:szCs w:val="22"/>
          <w:u w:val="single"/>
        </w:rPr>
        <w:t xml:space="preserve">    </w:t>
      </w:r>
    </w:p>
    <w:p w14:paraId="39932980">
      <w:pPr>
        <w:autoSpaceDE w:val="0"/>
        <w:autoSpaceDN w:val="0"/>
        <w:adjustRightInd w:val="0"/>
        <w:spacing w:line="400" w:lineRule="exact"/>
        <w:rPr>
          <w:rFonts w:ascii="宋体" w:cs="宋体"/>
          <w:sz w:val="22"/>
          <w:u w:val="single"/>
        </w:rPr>
      </w:pPr>
      <w:r>
        <w:rPr>
          <w:rFonts w:hint="eastAsia" w:ascii="宋体" w:cs="宋体"/>
          <w:sz w:val="22"/>
        </w:rPr>
        <w:t>价格单位：</w:t>
      </w:r>
      <w:r>
        <w:rPr>
          <w:rFonts w:hint="eastAsia" w:ascii="宋体" w:cs="宋体"/>
          <w:sz w:val="22"/>
          <w:u w:val="single"/>
        </w:rPr>
        <w:t>元</w:t>
      </w:r>
    </w:p>
    <w:p w14:paraId="5AF8ECA4">
      <w:pPr>
        <w:spacing w:line="400" w:lineRule="exact"/>
        <w:jc w:val="center"/>
        <w:rPr>
          <w:rFonts w:ascii="宋体" w:cs="宋体"/>
          <w:szCs w:val="20"/>
        </w:rPr>
      </w:pPr>
    </w:p>
    <w:tbl>
      <w:tblPr>
        <w:tblStyle w:val="25"/>
        <w:tblW w:w="9486"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3"/>
        <w:gridCol w:w="2540"/>
        <w:gridCol w:w="4271"/>
        <w:gridCol w:w="1772"/>
      </w:tblGrid>
      <w:tr w14:paraId="57C6E1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5" w:hRule="atLeast"/>
        </w:trPr>
        <w:tc>
          <w:tcPr>
            <w:tcW w:w="903" w:type="dxa"/>
            <w:vAlign w:val="center"/>
          </w:tcPr>
          <w:p w14:paraId="227F56A5">
            <w:pPr>
              <w:jc w:val="center"/>
              <w:rPr>
                <w:rFonts w:ascii="宋体" w:cs="宋体"/>
                <w:kern w:val="0"/>
                <w:sz w:val="22"/>
                <w:szCs w:val="22"/>
              </w:rPr>
            </w:pPr>
            <w:r>
              <w:rPr>
                <w:rFonts w:hint="eastAsia" w:ascii="宋体" w:cs="宋体"/>
                <w:b/>
                <w:bCs/>
                <w:sz w:val="22"/>
                <w:szCs w:val="22"/>
              </w:rPr>
              <w:t>标项</w:t>
            </w:r>
          </w:p>
        </w:tc>
        <w:tc>
          <w:tcPr>
            <w:tcW w:w="2540" w:type="dxa"/>
            <w:vAlign w:val="center"/>
          </w:tcPr>
          <w:p w14:paraId="459DD164">
            <w:pPr>
              <w:jc w:val="center"/>
              <w:rPr>
                <w:rFonts w:ascii="宋体" w:cs="宋体"/>
                <w:kern w:val="0"/>
                <w:sz w:val="22"/>
                <w:szCs w:val="22"/>
              </w:rPr>
            </w:pPr>
            <w:r>
              <w:rPr>
                <w:rFonts w:hint="eastAsia" w:ascii="宋体" w:cs="宋体"/>
                <w:b/>
                <w:bCs/>
                <w:sz w:val="22"/>
                <w:szCs w:val="22"/>
              </w:rPr>
              <w:t>标项名称</w:t>
            </w:r>
          </w:p>
        </w:tc>
        <w:tc>
          <w:tcPr>
            <w:tcW w:w="4271" w:type="dxa"/>
            <w:vAlign w:val="center"/>
          </w:tcPr>
          <w:p w14:paraId="333CC1F3">
            <w:pPr>
              <w:jc w:val="center"/>
              <w:rPr>
                <w:rFonts w:ascii="宋体" w:cs="宋体"/>
                <w:b/>
                <w:bCs/>
                <w:sz w:val="22"/>
                <w:szCs w:val="22"/>
              </w:rPr>
            </w:pPr>
            <w:r>
              <w:rPr>
                <w:rFonts w:hint="eastAsia" w:ascii="宋体" w:cs="宋体"/>
                <w:b/>
                <w:bCs/>
                <w:sz w:val="22"/>
                <w:szCs w:val="22"/>
              </w:rPr>
              <w:t>投标报价</w:t>
            </w:r>
          </w:p>
        </w:tc>
        <w:tc>
          <w:tcPr>
            <w:tcW w:w="1772" w:type="dxa"/>
            <w:vAlign w:val="center"/>
          </w:tcPr>
          <w:p w14:paraId="6EBA01B6">
            <w:pPr>
              <w:jc w:val="center"/>
              <w:rPr>
                <w:rFonts w:ascii="宋体" w:cs="宋体"/>
                <w:b/>
                <w:bCs/>
                <w:sz w:val="22"/>
                <w:szCs w:val="22"/>
              </w:rPr>
            </w:pPr>
            <w:r>
              <w:rPr>
                <w:rFonts w:hint="eastAsia" w:ascii="宋体" w:cs="宋体"/>
                <w:b/>
                <w:bCs/>
                <w:sz w:val="22"/>
                <w:szCs w:val="22"/>
              </w:rPr>
              <w:t>最高限价（元）</w:t>
            </w:r>
          </w:p>
        </w:tc>
      </w:tr>
      <w:tr w14:paraId="43C4DF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21" w:hRule="atLeast"/>
        </w:trPr>
        <w:tc>
          <w:tcPr>
            <w:tcW w:w="903" w:type="dxa"/>
            <w:tcBorders>
              <w:top w:val="single" w:color="auto" w:sz="4" w:space="0"/>
              <w:left w:val="single" w:color="auto" w:sz="4" w:space="0"/>
              <w:right w:val="single" w:color="auto" w:sz="4" w:space="0"/>
            </w:tcBorders>
            <w:vAlign w:val="center"/>
          </w:tcPr>
          <w:p w14:paraId="61C83E7C">
            <w:pPr>
              <w:spacing w:line="440" w:lineRule="atLeast"/>
              <w:jc w:val="center"/>
              <w:rPr>
                <w:rFonts w:ascii="宋体" w:cs="宋体"/>
                <w:sz w:val="22"/>
                <w:szCs w:val="22"/>
              </w:rPr>
            </w:pPr>
            <w:r>
              <w:rPr>
                <w:rFonts w:hint="eastAsia" w:ascii="宋体" w:cs="宋体"/>
                <w:sz w:val="22"/>
                <w:szCs w:val="22"/>
              </w:rPr>
              <w:t>一</w:t>
            </w:r>
          </w:p>
        </w:tc>
        <w:tc>
          <w:tcPr>
            <w:tcW w:w="2540" w:type="dxa"/>
            <w:tcBorders>
              <w:top w:val="single" w:color="auto" w:sz="4" w:space="0"/>
              <w:left w:val="single" w:color="auto" w:sz="4" w:space="0"/>
              <w:right w:val="single" w:color="auto" w:sz="4" w:space="0"/>
            </w:tcBorders>
            <w:vAlign w:val="center"/>
          </w:tcPr>
          <w:p w14:paraId="11600BFA">
            <w:pPr>
              <w:spacing w:line="440" w:lineRule="atLeast"/>
              <w:jc w:val="center"/>
              <w:rPr>
                <w:rFonts w:hint="eastAsia" w:ascii="宋体" w:eastAsia="宋体" w:cs="宋体"/>
                <w:sz w:val="22"/>
                <w:szCs w:val="22"/>
                <w:lang w:eastAsia="zh-CN"/>
              </w:rPr>
            </w:pPr>
            <w:r>
              <w:rPr>
                <w:rFonts w:hint="eastAsia" w:ascii="宋体" w:cs="宋体"/>
                <w:sz w:val="22"/>
                <w:szCs w:val="22"/>
                <w:lang w:eastAsia="zh-CN"/>
              </w:rPr>
              <w:t>时尚体育旅游基础设施提升工程(叶岸山特大桥工程）供配电照明系统(二次)</w:t>
            </w:r>
          </w:p>
        </w:tc>
        <w:tc>
          <w:tcPr>
            <w:tcW w:w="4271" w:type="dxa"/>
            <w:tcBorders>
              <w:top w:val="single" w:color="auto" w:sz="4" w:space="0"/>
              <w:left w:val="single" w:color="auto" w:sz="4" w:space="0"/>
              <w:right w:val="single" w:color="auto" w:sz="4" w:space="0"/>
            </w:tcBorders>
            <w:vAlign w:val="center"/>
          </w:tcPr>
          <w:p w14:paraId="089E73E1">
            <w:pPr>
              <w:spacing w:line="440" w:lineRule="atLeast"/>
              <w:ind w:firstLine="440" w:firstLineChars="200"/>
              <w:rPr>
                <w:rFonts w:ascii="宋体" w:cs="宋体"/>
                <w:sz w:val="22"/>
                <w:szCs w:val="22"/>
              </w:rPr>
            </w:pPr>
            <w:r>
              <w:rPr>
                <w:rFonts w:hint="eastAsia" w:ascii="宋体" w:cs="宋体"/>
                <w:sz w:val="22"/>
                <w:szCs w:val="22"/>
              </w:rPr>
              <w:t>大写</w:t>
            </w:r>
            <w:r>
              <w:rPr>
                <w:rFonts w:hint="eastAsia" w:ascii="宋体" w:cs="宋体"/>
                <w:sz w:val="22"/>
                <w:szCs w:val="22"/>
                <w:u w:val="single"/>
              </w:rPr>
              <w:t xml:space="preserve">：                </w:t>
            </w:r>
          </w:p>
          <w:p w14:paraId="4DD8122C">
            <w:pPr>
              <w:spacing w:line="440" w:lineRule="atLeast"/>
              <w:ind w:firstLine="440" w:firstLineChars="200"/>
              <w:rPr>
                <w:rFonts w:ascii="宋体" w:cs="宋体"/>
                <w:kern w:val="0"/>
                <w:sz w:val="22"/>
                <w:szCs w:val="22"/>
              </w:rPr>
            </w:pPr>
            <w:r>
              <w:rPr>
                <w:rFonts w:hint="eastAsia" w:ascii="宋体" w:cs="宋体"/>
                <w:sz w:val="22"/>
                <w:szCs w:val="22"/>
              </w:rPr>
              <w:t>小写</w:t>
            </w:r>
            <w:r>
              <w:rPr>
                <w:rFonts w:hint="eastAsia" w:ascii="宋体" w:cs="宋体"/>
                <w:sz w:val="22"/>
                <w:szCs w:val="22"/>
                <w:u w:val="single"/>
              </w:rPr>
              <w:t xml:space="preserve">：                 </w:t>
            </w:r>
          </w:p>
        </w:tc>
        <w:tc>
          <w:tcPr>
            <w:tcW w:w="1772" w:type="dxa"/>
            <w:tcBorders>
              <w:top w:val="single" w:color="auto" w:sz="4" w:space="0"/>
              <w:left w:val="single" w:color="auto" w:sz="4" w:space="0"/>
              <w:right w:val="single" w:color="auto" w:sz="4" w:space="0"/>
            </w:tcBorders>
            <w:vAlign w:val="center"/>
          </w:tcPr>
          <w:p w14:paraId="003AB96F">
            <w:pPr>
              <w:jc w:val="center"/>
              <w:rPr>
                <w:rFonts w:hint="eastAsia" w:ascii="宋体" w:eastAsia="宋体" w:cs="宋体"/>
                <w:kern w:val="0"/>
                <w:sz w:val="22"/>
                <w:szCs w:val="22"/>
                <w:lang w:eastAsia="zh-CN"/>
              </w:rPr>
            </w:pPr>
            <w:r>
              <w:rPr>
                <w:rFonts w:hint="eastAsia" w:ascii="宋体" w:cs="宋体"/>
                <w:kern w:val="0"/>
                <w:sz w:val="22"/>
                <w:szCs w:val="22"/>
                <w:lang w:eastAsia="zh-CN"/>
              </w:rPr>
              <w:t>502199</w:t>
            </w:r>
          </w:p>
        </w:tc>
      </w:tr>
    </w:tbl>
    <w:p w14:paraId="38655F59">
      <w:pPr>
        <w:spacing w:line="440" w:lineRule="atLeast"/>
        <w:rPr>
          <w:rFonts w:ascii="宋体" w:cs="宋体"/>
          <w:sz w:val="22"/>
          <w:szCs w:val="22"/>
        </w:rPr>
      </w:pPr>
    </w:p>
    <w:p w14:paraId="1ECF0E63">
      <w:pPr>
        <w:numPr>
          <w:ilvl w:val="0"/>
          <w:numId w:val="6"/>
        </w:numPr>
        <w:spacing w:line="440" w:lineRule="atLeast"/>
        <w:rPr>
          <w:rFonts w:ascii="宋体" w:cs="宋体"/>
          <w:kern w:val="0"/>
          <w:sz w:val="20"/>
          <w:szCs w:val="21"/>
        </w:rPr>
      </w:pPr>
      <w:r>
        <w:rPr>
          <w:rFonts w:hint="eastAsia" w:ascii="宋体" w:cs="宋体"/>
          <w:kern w:val="0"/>
          <w:sz w:val="22"/>
          <w:szCs w:val="22"/>
        </w:rPr>
        <w:t>▲投标分项报价按二次报价同比例下浮</w:t>
      </w:r>
      <w:r>
        <w:rPr>
          <w:rFonts w:hint="eastAsia" w:ascii="宋体" w:cs="宋体"/>
          <w:kern w:val="0"/>
          <w:sz w:val="22"/>
          <w:szCs w:val="21"/>
        </w:rPr>
        <w:t>。</w:t>
      </w:r>
    </w:p>
    <w:p w14:paraId="1B74B292">
      <w:pPr>
        <w:spacing w:line="440" w:lineRule="atLeast"/>
        <w:rPr>
          <w:rFonts w:ascii="宋体" w:cs="宋体"/>
          <w:kern w:val="0"/>
          <w:sz w:val="22"/>
          <w:szCs w:val="22"/>
        </w:rPr>
      </w:pPr>
      <w:r>
        <w:rPr>
          <w:rFonts w:hint="eastAsia" w:ascii="宋体" w:cs="宋体"/>
          <w:sz w:val="22"/>
          <w:szCs w:val="22"/>
        </w:rPr>
        <w:t>2. ▲此表的价格不得超出</w:t>
      </w:r>
      <w:r>
        <w:rPr>
          <w:rFonts w:hint="eastAsia" w:ascii="宋体" w:cs="宋体"/>
          <w:sz w:val="22"/>
          <w:szCs w:val="22"/>
          <w:lang w:val="zh-CN"/>
        </w:rPr>
        <w:t>开标（报价）一览表</w:t>
      </w:r>
      <w:r>
        <w:rPr>
          <w:rFonts w:hint="eastAsia" w:ascii="宋体" w:cs="宋体"/>
          <w:sz w:val="22"/>
          <w:szCs w:val="22"/>
        </w:rPr>
        <w:t>的价格。</w:t>
      </w:r>
    </w:p>
    <w:p w14:paraId="31C4F702">
      <w:pPr>
        <w:spacing w:line="440" w:lineRule="atLeast"/>
        <w:rPr>
          <w:rFonts w:ascii="宋体" w:cs="宋体"/>
          <w:sz w:val="22"/>
          <w:szCs w:val="22"/>
        </w:rPr>
      </w:pPr>
    </w:p>
    <w:p w14:paraId="7E3EE597">
      <w:pPr>
        <w:spacing w:line="440" w:lineRule="atLeast"/>
        <w:rPr>
          <w:rFonts w:ascii="宋体" w:cs="宋体"/>
          <w:sz w:val="22"/>
          <w:szCs w:val="22"/>
        </w:rPr>
      </w:pPr>
    </w:p>
    <w:p w14:paraId="7618295D">
      <w:pPr>
        <w:spacing w:line="440" w:lineRule="atLeast"/>
        <w:rPr>
          <w:rFonts w:ascii="宋体" w:cs="宋体"/>
          <w:sz w:val="22"/>
          <w:szCs w:val="22"/>
        </w:rPr>
      </w:pPr>
      <w:r>
        <w:rPr>
          <w:rFonts w:hint="eastAsia" w:ascii="宋体" w:cs="宋体"/>
          <w:sz w:val="22"/>
          <w:szCs w:val="22"/>
        </w:rPr>
        <w:t>供应商全称：（盖章）</w:t>
      </w:r>
    </w:p>
    <w:p w14:paraId="33902058">
      <w:pPr>
        <w:spacing w:line="440" w:lineRule="atLeast"/>
        <w:rPr>
          <w:rFonts w:ascii="宋体" w:cs="宋体"/>
          <w:sz w:val="22"/>
          <w:szCs w:val="22"/>
          <w:lang w:val="zh-CN"/>
        </w:rPr>
      </w:pPr>
      <w:r>
        <w:rPr>
          <w:rFonts w:hint="eastAsia" w:ascii="宋体" w:cs="宋体"/>
          <w:sz w:val="22"/>
          <w:szCs w:val="22"/>
        </w:rPr>
        <w:t>法定代表人或</w:t>
      </w:r>
      <w:r>
        <w:rPr>
          <w:rFonts w:hint="eastAsia" w:ascii="宋体" w:cs="宋体"/>
          <w:sz w:val="22"/>
          <w:szCs w:val="22"/>
          <w:lang w:val="zh-CN"/>
        </w:rPr>
        <w:t>授权代表（签字</w:t>
      </w:r>
      <w:r>
        <w:rPr>
          <w:rFonts w:hint="eastAsia" w:ascii="宋体" w:cs="宋体"/>
          <w:sz w:val="22"/>
          <w:szCs w:val="22"/>
        </w:rPr>
        <w:t>或盖章</w:t>
      </w:r>
      <w:r>
        <w:rPr>
          <w:rFonts w:hint="eastAsia" w:ascii="宋体" w:cs="宋体"/>
          <w:sz w:val="22"/>
          <w:szCs w:val="22"/>
          <w:lang w:val="zh-CN"/>
        </w:rPr>
        <w:t>）：</w:t>
      </w:r>
    </w:p>
    <w:p w14:paraId="0FD99110">
      <w:pPr>
        <w:spacing w:line="440" w:lineRule="atLeast"/>
        <w:rPr>
          <w:rFonts w:ascii="宋体" w:cs="宋体"/>
          <w:sz w:val="22"/>
          <w:szCs w:val="22"/>
        </w:rPr>
      </w:pPr>
      <w:r>
        <w:rPr>
          <w:rFonts w:hint="eastAsia" w:ascii="宋体" w:cs="宋体"/>
          <w:sz w:val="22"/>
          <w:szCs w:val="22"/>
        </w:rPr>
        <w:t>日期：</w:t>
      </w:r>
    </w:p>
    <w:p w14:paraId="33009B86">
      <w:pPr>
        <w:spacing w:line="360" w:lineRule="exact"/>
        <w:jc w:val="left"/>
        <w:rPr>
          <w:rFonts w:ascii="宋体" w:cs="宋体"/>
          <w:b/>
          <w:bCs/>
          <w:sz w:val="32"/>
          <w:szCs w:val="32"/>
        </w:rPr>
      </w:pPr>
    </w:p>
    <w:p w14:paraId="0D20638C">
      <w:pPr>
        <w:spacing w:line="360" w:lineRule="exact"/>
        <w:jc w:val="left"/>
        <w:rPr>
          <w:rFonts w:ascii="宋体" w:cs="宋体"/>
          <w:b/>
          <w:bCs/>
          <w:sz w:val="32"/>
          <w:szCs w:val="32"/>
        </w:rPr>
      </w:pPr>
    </w:p>
    <w:p w14:paraId="1CF812FD">
      <w:pPr>
        <w:spacing w:line="360" w:lineRule="exact"/>
        <w:jc w:val="left"/>
        <w:rPr>
          <w:rFonts w:ascii="宋体" w:cs="宋体"/>
          <w:b/>
          <w:bCs/>
          <w:sz w:val="32"/>
          <w:szCs w:val="32"/>
        </w:rPr>
      </w:pPr>
    </w:p>
    <w:p w14:paraId="3BF88A20">
      <w:pPr>
        <w:spacing w:line="360" w:lineRule="exact"/>
        <w:jc w:val="left"/>
        <w:rPr>
          <w:rFonts w:ascii="宋体" w:cs="宋体"/>
          <w:b/>
          <w:bCs/>
          <w:sz w:val="32"/>
          <w:szCs w:val="32"/>
        </w:rPr>
      </w:pPr>
    </w:p>
    <w:p w14:paraId="0E2123EC">
      <w:pPr>
        <w:spacing w:line="360" w:lineRule="exact"/>
        <w:jc w:val="left"/>
        <w:rPr>
          <w:rFonts w:ascii="宋体" w:cs="宋体"/>
          <w:b/>
          <w:bCs/>
          <w:sz w:val="32"/>
          <w:szCs w:val="32"/>
        </w:rPr>
      </w:pPr>
    </w:p>
    <w:p w14:paraId="43BEF7B4">
      <w:pPr>
        <w:spacing w:line="360" w:lineRule="exact"/>
        <w:jc w:val="left"/>
        <w:rPr>
          <w:rFonts w:ascii="宋体" w:cs="宋体"/>
          <w:b/>
          <w:bCs/>
          <w:sz w:val="32"/>
          <w:szCs w:val="32"/>
        </w:rPr>
      </w:pPr>
    </w:p>
    <w:p w14:paraId="4FDB004E">
      <w:pPr>
        <w:pStyle w:val="11"/>
      </w:pPr>
    </w:p>
    <w:p w14:paraId="3FFA0E47">
      <w:pPr>
        <w:spacing w:line="360" w:lineRule="exact"/>
        <w:jc w:val="left"/>
        <w:rPr>
          <w:rFonts w:ascii="宋体" w:cs="宋体"/>
          <w:b/>
          <w:bCs/>
          <w:sz w:val="32"/>
          <w:szCs w:val="32"/>
        </w:rPr>
      </w:pPr>
    </w:p>
    <w:p w14:paraId="709E33A2">
      <w:pPr>
        <w:spacing w:line="360" w:lineRule="auto"/>
        <w:ind w:firstLine="330" w:firstLineChars="150"/>
        <w:rPr>
          <w:rFonts w:ascii="宋体" w:cs="Arial"/>
          <w:sz w:val="22"/>
          <w:szCs w:val="22"/>
        </w:rPr>
      </w:pPr>
    </w:p>
    <w:p w14:paraId="2F796A86">
      <w:pPr>
        <w:pStyle w:val="22"/>
        <w:outlineLvl w:val="9"/>
        <w:rPr>
          <w:rFonts w:hint="eastAsia" w:ascii="宋体" w:hAnsi="宋体" w:cs="宋体"/>
          <w:b w:val="0"/>
          <w:sz w:val="22"/>
          <w:szCs w:val="22"/>
        </w:rPr>
      </w:pPr>
    </w:p>
    <w:p w14:paraId="6B13F747">
      <w:pPr>
        <w:pStyle w:val="22"/>
        <w:outlineLvl w:val="1"/>
        <w:rPr>
          <w:rFonts w:hint="eastAsia" w:ascii="宋体" w:hAnsi="宋体"/>
        </w:rPr>
      </w:pPr>
      <w:bookmarkStart w:id="1091" w:name="_Toc17856"/>
      <w:bookmarkStart w:id="1092" w:name="_Toc44607655"/>
      <w:bookmarkStart w:id="1093" w:name="_Toc493530215"/>
      <w:r>
        <w:rPr>
          <w:rFonts w:ascii="宋体" w:hAnsi="宋体"/>
        </w:rPr>
        <w:br w:type="page"/>
      </w:r>
      <w:r>
        <w:rPr>
          <w:rFonts w:hint="eastAsia" w:ascii="宋体" w:hAnsi="宋体"/>
        </w:rPr>
        <w:t>三、商务技术文件格式</w:t>
      </w:r>
      <w:bookmarkEnd w:id="1091"/>
      <w:bookmarkEnd w:id="1092"/>
    </w:p>
    <w:p w14:paraId="1DBC7903">
      <w:pPr>
        <w:pStyle w:val="21"/>
        <w:snapToGrid w:val="0"/>
        <w:spacing w:beforeAutospacing="0" w:afterAutospacing="0"/>
        <w:ind w:firstLine="442"/>
        <w:jc w:val="both"/>
        <w:rPr>
          <w:rFonts w:hint="eastAsia" w:ascii="宋体" w:hAnsi="宋体" w:cs="宋体"/>
          <w:b/>
          <w:bCs/>
          <w:sz w:val="22"/>
          <w:szCs w:val="22"/>
        </w:rPr>
      </w:pPr>
      <w:bookmarkStart w:id="1094" w:name="_Toc44607656"/>
      <w:r>
        <w:rPr>
          <w:rFonts w:hint="eastAsia" w:ascii="宋体" w:hAnsi="宋体" w:cs="宋体"/>
          <w:b/>
          <w:bCs/>
          <w:sz w:val="22"/>
          <w:szCs w:val="22"/>
        </w:rPr>
        <w:t>商务技术文件投标文件</w:t>
      </w:r>
    </w:p>
    <w:p w14:paraId="35575A39">
      <w:pPr>
        <w:pStyle w:val="21"/>
        <w:snapToGrid w:val="0"/>
        <w:spacing w:beforeAutospacing="0" w:afterAutospacing="0"/>
        <w:jc w:val="both"/>
        <w:rPr>
          <w:rFonts w:hint="eastAsia" w:ascii="宋体" w:hAnsi="宋体" w:cs="宋体"/>
          <w:sz w:val="22"/>
          <w:szCs w:val="22"/>
        </w:rPr>
      </w:pPr>
      <w:r>
        <w:rPr>
          <w:rFonts w:hint="eastAsia" w:ascii="宋体" w:hAnsi="宋体" w:cs="宋体"/>
          <w:sz w:val="22"/>
          <w:szCs w:val="22"/>
        </w:rPr>
        <w:t>封面参考：</w:t>
      </w:r>
    </w:p>
    <w:p w14:paraId="665BF56F">
      <w:pPr>
        <w:snapToGrid w:val="0"/>
        <w:spacing w:line="440" w:lineRule="exact"/>
        <w:jc w:val="center"/>
        <w:rPr>
          <w:rFonts w:hint="eastAsia" w:ascii="宋体" w:hAnsi="宋体" w:cs="宋体"/>
          <w:b/>
          <w:sz w:val="32"/>
          <w:szCs w:val="32"/>
        </w:rPr>
      </w:pPr>
    </w:p>
    <w:p w14:paraId="13AAFC16">
      <w:pPr>
        <w:snapToGrid w:val="0"/>
        <w:spacing w:line="440" w:lineRule="exact"/>
        <w:jc w:val="center"/>
        <w:rPr>
          <w:rFonts w:hint="eastAsia" w:ascii="宋体" w:hAnsi="宋体" w:cs="宋体"/>
          <w:b/>
          <w:sz w:val="84"/>
          <w:szCs w:val="84"/>
        </w:rPr>
      </w:pPr>
    </w:p>
    <w:p w14:paraId="7E93E9DE">
      <w:pPr>
        <w:pStyle w:val="13"/>
        <w:rPr>
          <w:rFonts w:hint="eastAsia" w:ascii="宋体" w:hAnsi="宋体" w:cs="宋体"/>
          <w:b/>
          <w:sz w:val="84"/>
          <w:szCs w:val="84"/>
        </w:rPr>
      </w:pPr>
    </w:p>
    <w:p w14:paraId="78A3A704">
      <w:pPr>
        <w:pStyle w:val="24"/>
      </w:pPr>
    </w:p>
    <w:p w14:paraId="30F4C48C">
      <w:pPr>
        <w:snapToGrid w:val="0"/>
        <w:spacing w:line="480" w:lineRule="auto"/>
        <w:jc w:val="center"/>
        <w:rPr>
          <w:rFonts w:hint="eastAsia" w:ascii="宋体" w:hAnsi="宋体" w:cs="宋体"/>
          <w:b/>
          <w:sz w:val="84"/>
          <w:szCs w:val="84"/>
        </w:rPr>
      </w:pPr>
      <w:r>
        <w:rPr>
          <w:rFonts w:hint="eastAsia" w:ascii="宋体" w:hAnsi="宋体" w:cs="宋体"/>
          <w:b/>
          <w:sz w:val="84"/>
          <w:szCs w:val="84"/>
        </w:rPr>
        <w:t>商务技术文件</w:t>
      </w:r>
    </w:p>
    <w:p w14:paraId="46909F03">
      <w:pPr>
        <w:snapToGrid w:val="0"/>
        <w:spacing w:line="480" w:lineRule="auto"/>
        <w:jc w:val="center"/>
        <w:rPr>
          <w:rFonts w:hint="eastAsia" w:ascii="宋体" w:hAnsi="宋体" w:cs="宋体"/>
          <w:b/>
          <w:sz w:val="84"/>
          <w:szCs w:val="84"/>
        </w:rPr>
      </w:pPr>
      <w:r>
        <w:rPr>
          <w:rFonts w:hint="eastAsia" w:ascii="宋体" w:hAnsi="宋体" w:cs="宋体"/>
          <w:b/>
          <w:sz w:val="84"/>
          <w:szCs w:val="84"/>
        </w:rPr>
        <w:t>磋商（响应）文件</w:t>
      </w:r>
    </w:p>
    <w:p w14:paraId="447F3E52">
      <w:pPr>
        <w:snapToGrid w:val="0"/>
        <w:spacing w:line="600" w:lineRule="atLeast"/>
        <w:ind w:firstLine="1044" w:firstLineChars="400"/>
        <w:rPr>
          <w:rFonts w:hint="eastAsia" w:ascii="宋体" w:hAnsi="宋体" w:eastAsia="宋体" w:cs="宋体"/>
          <w:b/>
          <w:sz w:val="26"/>
          <w:szCs w:val="26"/>
          <w:lang w:eastAsia="zh-CN"/>
        </w:rPr>
      </w:pPr>
      <w:r>
        <w:rPr>
          <w:rFonts w:hint="eastAsia" w:ascii="宋体" w:hAnsi="宋体" w:cs="宋体"/>
          <w:b/>
          <w:sz w:val="26"/>
          <w:szCs w:val="26"/>
        </w:rPr>
        <w:t>项目名称：</w:t>
      </w:r>
      <w:r>
        <w:rPr>
          <w:rFonts w:hint="eastAsia" w:ascii="宋体" w:hAnsi="宋体" w:cs="宋体"/>
          <w:b/>
          <w:sz w:val="26"/>
          <w:szCs w:val="26"/>
          <w:lang w:eastAsia="zh-CN"/>
        </w:rPr>
        <w:t>时尚体育旅游基础设施提升工程(叶岸山特大桥工程）供配电照明系统(二次)</w:t>
      </w:r>
    </w:p>
    <w:p w14:paraId="2ACF28C2">
      <w:pPr>
        <w:snapToGrid w:val="0"/>
        <w:spacing w:line="600" w:lineRule="atLeast"/>
        <w:ind w:firstLine="1044" w:firstLineChars="400"/>
        <w:rPr>
          <w:rFonts w:hint="eastAsia" w:ascii="宋体" w:hAnsi="宋体" w:eastAsia="宋体" w:cs="宋体"/>
          <w:b/>
          <w:sz w:val="26"/>
          <w:szCs w:val="26"/>
          <w:lang w:eastAsia="zh-CN"/>
        </w:rPr>
      </w:pPr>
      <w:r>
        <w:rPr>
          <w:rFonts w:hint="eastAsia" w:ascii="宋体" w:hAnsi="宋体" w:cs="宋体"/>
          <w:b/>
          <w:sz w:val="26"/>
          <w:szCs w:val="26"/>
        </w:rPr>
        <w:t>项目编号：</w:t>
      </w:r>
      <w:r>
        <w:rPr>
          <w:rFonts w:hint="eastAsia" w:ascii="宋体" w:hAnsi="宋体" w:cs="宋体"/>
          <w:b/>
          <w:sz w:val="26"/>
          <w:szCs w:val="26"/>
          <w:lang w:eastAsia="zh-CN"/>
        </w:rPr>
        <w:t>TSCG202509006</w:t>
      </w:r>
    </w:p>
    <w:p w14:paraId="78F4F172">
      <w:pPr>
        <w:snapToGrid w:val="0"/>
        <w:spacing w:line="600" w:lineRule="atLeast"/>
        <w:ind w:firstLine="1044" w:firstLineChars="400"/>
        <w:rPr>
          <w:rFonts w:hint="eastAsia" w:ascii="宋体" w:hAnsi="宋体" w:eastAsia="宋体" w:cs="宋体"/>
          <w:b/>
          <w:sz w:val="26"/>
          <w:szCs w:val="26"/>
          <w:lang w:eastAsia="zh-CN"/>
        </w:rPr>
      </w:pPr>
      <w:r>
        <w:rPr>
          <w:rFonts w:hint="eastAsia" w:ascii="宋体" w:hAnsi="宋体" w:cs="宋体"/>
          <w:b/>
          <w:sz w:val="26"/>
          <w:szCs w:val="26"/>
        </w:rPr>
        <w:t>采购单位：</w:t>
      </w:r>
      <w:r>
        <w:rPr>
          <w:rFonts w:hint="eastAsia" w:ascii="宋体" w:hAnsi="宋体" w:cs="宋体"/>
          <w:b/>
          <w:sz w:val="26"/>
          <w:szCs w:val="26"/>
          <w:lang w:eastAsia="zh-CN"/>
        </w:rPr>
        <w:t>泰顺县文旅集团有限公司</w:t>
      </w:r>
    </w:p>
    <w:p w14:paraId="0CA80E87">
      <w:pPr>
        <w:snapToGrid w:val="0"/>
        <w:spacing w:line="600" w:lineRule="atLeast"/>
        <w:ind w:firstLine="1044" w:firstLineChars="400"/>
        <w:rPr>
          <w:rFonts w:hint="eastAsia" w:ascii="宋体" w:hAnsi="宋体" w:cs="宋体"/>
          <w:b/>
          <w:sz w:val="26"/>
          <w:szCs w:val="26"/>
        </w:rPr>
      </w:pPr>
      <w:r>
        <w:rPr>
          <w:rFonts w:hint="eastAsia" w:ascii="宋体" w:hAnsi="宋体" w:cs="宋体"/>
          <w:b/>
          <w:sz w:val="26"/>
          <w:szCs w:val="26"/>
        </w:rPr>
        <w:t xml:space="preserve">供应商名称： </w:t>
      </w:r>
    </w:p>
    <w:p w14:paraId="30A53BBF">
      <w:pPr>
        <w:snapToGrid w:val="0"/>
        <w:spacing w:line="600" w:lineRule="atLeast"/>
        <w:ind w:firstLine="1044" w:firstLineChars="400"/>
        <w:rPr>
          <w:rFonts w:hint="eastAsia" w:ascii="宋体" w:hAnsi="宋体" w:cs="宋体"/>
          <w:b/>
          <w:sz w:val="26"/>
          <w:szCs w:val="26"/>
        </w:rPr>
      </w:pPr>
      <w:r>
        <w:rPr>
          <w:rFonts w:hint="eastAsia" w:ascii="宋体" w:hAnsi="宋体" w:cs="宋体"/>
          <w:b/>
          <w:sz w:val="26"/>
          <w:szCs w:val="26"/>
        </w:rPr>
        <w:t xml:space="preserve">供应商地址： </w:t>
      </w:r>
    </w:p>
    <w:p w14:paraId="53FEB9E0">
      <w:pPr>
        <w:snapToGrid w:val="0"/>
        <w:spacing w:line="600" w:lineRule="atLeast"/>
        <w:ind w:firstLine="1044" w:firstLineChars="400"/>
        <w:rPr>
          <w:rFonts w:hint="eastAsia" w:ascii="宋体" w:hAnsi="宋体" w:cs="宋体"/>
          <w:b/>
          <w:sz w:val="26"/>
          <w:szCs w:val="26"/>
        </w:rPr>
      </w:pPr>
      <w:r>
        <w:rPr>
          <w:rFonts w:hint="eastAsia" w:ascii="宋体" w:hAnsi="宋体" w:cs="宋体"/>
          <w:b/>
          <w:sz w:val="26"/>
          <w:szCs w:val="26"/>
        </w:rPr>
        <w:t>法定代表人或授权代表（签字或盖章）：</w:t>
      </w:r>
    </w:p>
    <w:p w14:paraId="0F98AF19">
      <w:pPr>
        <w:snapToGrid w:val="0"/>
        <w:spacing w:line="600" w:lineRule="atLeast"/>
        <w:ind w:firstLine="1044" w:firstLineChars="400"/>
        <w:rPr>
          <w:rFonts w:hint="eastAsia" w:ascii="宋体" w:hAnsi="宋体" w:cs="宋体"/>
          <w:b/>
          <w:sz w:val="26"/>
          <w:szCs w:val="26"/>
        </w:rPr>
      </w:pPr>
      <w:r>
        <w:rPr>
          <w:rFonts w:hint="eastAsia" w:ascii="宋体" w:hAnsi="宋体" w:cs="宋体"/>
          <w:b/>
          <w:sz w:val="26"/>
          <w:szCs w:val="26"/>
        </w:rPr>
        <w:t>日期：  年  月  日</w:t>
      </w:r>
    </w:p>
    <w:p w14:paraId="074BBB8F">
      <w:pPr>
        <w:rPr>
          <w:rFonts w:hint="eastAsia" w:ascii="宋体" w:hAnsi="宋体"/>
          <w:sz w:val="28"/>
          <w:szCs w:val="18"/>
          <w:lang w:val="zh-CN"/>
        </w:rPr>
      </w:pPr>
    </w:p>
    <w:p w14:paraId="7EF8FB88">
      <w:pPr>
        <w:spacing w:line="450" w:lineRule="atLeast"/>
        <w:rPr>
          <w:rFonts w:hint="eastAsia" w:ascii="宋体" w:hAnsi="宋体"/>
          <w:sz w:val="28"/>
          <w:szCs w:val="18"/>
          <w:lang w:val="zh-CN"/>
        </w:rPr>
      </w:pPr>
    </w:p>
    <w:p w14:paraId="11ACF0A8">
      <w:pPr>
        <w:rPr>
          <w:rFonts w:hint="eastAsia" w:ascii="宋体" w:hAnsi="宋体"/>
          <w:sz w:val="28"/>
          <w:szCs w:val="18"/>
          <w:lang w:val="zh-CN"/>
        </w:rPr>
      </w:pPr>
      <w:r>
        <w:rPr>
          <w:rFonts w:hint="eastAsia" w:ascii="宋体" w:hAnsi="宋体"/>
          <w:sz w:val="28"/>
          <w:szCs w:val="18"/>
          <w:lang w:val="zh-CN"/>
        </w:rPr>
        <w:br w:type="page"/>
      </w:r>
    </w:p>
    <w:p w14:paraId="560CA1BB">
      <w:pPr>
        <w:pStyle w:val="22"/>
        <w:outlineLvl w:val="2"/>
        <w:rPr>
          <w:rFonts w:hint="eastAsia" w:ascii="宋体" w:hAnsi="宋体"/>
          <w:sz w:val="28"/>
          <w:szCs w:val="18"/>
          <w:lang w:val="zh-CN"/>
        </w:rPr>
      </w:pPr>
      <w:r>
        <w:rPr>
          <w:rFonts w:hint="eastAsia" w:ascii="宋体" w:hAnsi="宋体"/>
          <w:sz w:val="28"/>
          <w:szCs w:val="18"/>
          <w:lang w:val="zh-CN"/>
        </w:rPr>
        <w:t>附件</w:t>
      </w:r>
      <w:bookmarkEnd w:id="1093"/>
      <w:bookmarkEnd w:id="1094"/>
      <w:r>
        <w:rPr>
          <w:rFonts w:hint="eastAsia" w:ascii="宋体" w:hAnsi="宋体"/>
          <w:sz w:val="28"/>
          <w:szCs w:val="18"/>
        </w:rPr>
        <w:t xml:space="preserve">十 </w:t>
      </w:r>
      <w:r>
        <w:rPr>
          <w:rFonts w:hint="eastAsia" w:ascii="宋体" w:hAnsi="宋体"/>
          <w:sz w:val="28"/>
          <w:szCs w:val="18"/>
          <w:lang w:val="zh-CN"/>
        </w:rPr>
        <w:t>磋商（响应）函</w:t>
      </w:r>
    </w:p>
    <w:p w14:paraId="7E3EAB9E">
      <w:pPr>
        <w:autoSpaceDE w:val="0"/>
        <w:autoSpaceDN w:val="0"/>
        <w:adjustRightInd w:val="0"/>
        <w:snapToGrid w:val="0"/>
        <w:spacing w:line="440" w:lineRule="exact"/>
        <w:rPr>
          <w:rFonts w:ascii="宋体"/>
          <w:sz w:val="22"/>
          <w:u w:val="single"/>
        </w:rPr>
      </w:pPr>
      <w:r>
        <w:rPr>
          <w:rFonts w:hint="eastAsia" w:ascii="宋体" w:cs="仿宋_GB2312"/>
          <w:sz w:val="22"/>
          <w:u w:val="single"/>
          <w:lang w:val="zh-CN"/>
        </w:rPr>
        <w:t xml:space="preserve">  （采购人）   ：</w:t>
      </w:r>
    </w:p>
    <w:p w14:paraId="58CCC519">
      <w:pPr>
        <w:autoSpaceDE w:val="0"/>
        <w:autoSpaceDN w:val="0"/>
        <w:adjustRightInd w:val="0"/>
        <w:snapToGrid w:val="0"/>
        <w:spacing w:line="480" w:lineRule="atLeast"/>
        <w:ind w:firstLine="440" w:firstLineChars="200"/>
        <w:rPr>
          <w:rFonts w:hint="eastAsia" w:ascii="宋体" w:hAnsi="宋体" w:cs="仿宋_GB2312"/>
          <w:sz w:val="22"/>
          <w:lang w:val="zh-CN"/>
        </w:rPr>
      </w:pPr>
      <w:r>
        <w:rPr>
          <w:rFonts w:hint="eastAsia" w:ascii="宋体" w:hAnsi="宋体" w:cs="仿宋_GB2312"/>
          <w:sz w:val="22"/>
          <w:lang w:val="zh-CN"/>
        </w:rPr>
        <w:t>（供应商全称）授权（授权代表名称）（职务、职称）为授权代表，参加贵方组织的（</w:t>
      </w:r>
      <w:r>
        <w:rPr>
          <w:rFonts w:hint="eastAsia" w:ascii="宋体" w:hAnsi="宋体" w:cs="宋体"/>
          <w:szCs w:val="21"/>
        </w:rPr>
        <w:t>磋商</w:t>
      </w:r>
      <w:r>
        <w:rPr>
          <w:rFonts w:hint="eastAsia" w:ascii="宋体" w:hAnsi="宋体" w:cs="仿宋_GB2312"/>
          <w:sz w:val="22"/>
          <w:lang w:val="zh-CN"/>
        </w:rPr>
        <w:t xml:space="preserve">项目名称）（括号内填投标编号） </w:t>
      </w:r>
      <w:r>
        <w:rPr>
          <w:rFonts w:hint="eastAsia" w:ascii="宋体" w:hAnsi="宋体" w:cs="宋体"/>
          <w:szCs w:val="21"/>
        </w:rPr>
        <w:t>磋商</w:t>
      </w:r>
      <w:r>
        <w:rPr>
          <w:rFonts w:hint="eastAsia" w:ascii="宋体" w:hAnsi="宋体" w:cs="仿宋_GB2312"/>
          <w:sz w:val="22"/>
          <w:lang w:val="zh-CN"/>
        </w:rPr>
        <w:t>的有关活动，并对该项目进行</w:t>
      </w:r>
      <w:r>
        <w:rPr>
          <w:rFonts w:hint="eastAsia" w:ascii="宋体" w:hAnsi="宋体" w:cs="宋体"/>
          <w:szCs w:val="21"/>
        </w:rPr>
        <w:t>磋商谈判</w:t>
      </w:r>
      <w:r>
        <w:rPr>
          <w:rFonts w:hint="eastAsia" w:ascii="宋体" w:hAnsi="宋体" w:cs="仿宋_GB2312"/>
          <w:sz w:val="22"/>
          <w:lang w:val="zh-CN"/>
        </w:rPr>
        <w:t>。为此：</w:t>
      </w:r>
    </w:p>
    <w:p w14:paraId="105FD2CB">
      <w:pPr>
        <w:tabs>
          <w:tab w:val="left" w:pos="803"/>
        </w:tabs>
        <w:autoSpaceDE w:val="0"/>
        <w:autoSpaceDN w:val="0"/>
        <w:adjustRightInd w:val="0"/>
        <w:snapToGrid w:val="0"/>
        <w:spacing w:line="480" w:lineRule="atLeast"/>
        <w:ind w:left="443"/>
        <w:rPr>
          <w:rFonts w:hint="eastAsia" w:ascii="宋体" w:hAnsi="宋体" w:cs="仿宋_GB2312"/>
          <w:sz w:val="22"/>
          <w:lang w:val="zh-CN"/>
        </w:rPr>
      </w:pPr>
      <w:r>
        <w:rPr>
          <w:rFonts w:hint="eastAsia" w:ascii="宋体" w:hAnsi="宋体" w:cs="仿宋_GB2312"/>
          <w:sz w:val="22"/>
          <w:lang w:val="zh-CN"/>
        </w:rPr>
        <w:t>1、提供</w:t>
      </w:r>
      <w:r>
        <w:rPr>
          <w:rFonts w:hint="eastAsia" w:ascii="宋体" w:hAnsi="宋体" w:cs="宋体"/>
          <w:szCs w:val="21"/>
        </w:rPr>
        <w:t>磋商</w:t>
      </w:r>
      <w:r>
        <w:rPr>
          <w:rFonts w:hint="eastAsia" w:ascii="宋体" w:hAnsi="宋体" w:cs="仿宋_GB2312"/>
          <w:sz w:val="22"/>
          <w:lang w:val="zh-CN"/>
        </w:rPr>
        <w:t>须知规定的全部响应文件：响应文件</w:t>
      </w:r>
      <w:r>
        <w:rPr>
          <w:rFonts w:hint="eastAsia" w:ascii="宋体" w:hAnsi="宋体" w:cs="宋体"/>
          <w:sz w:val="22"/>
          <w:szCs w:val="22"/>
          <w:u w:val="single"/>
        </w:rPr>
        <w:t>在线上传递交，一份</w:t>
      </w:r>
      <w:r>
        <w:rPr>
          <w:rFonts w:hint="eastAsia" w:ascii="宋体" w:hAnsi="宋体" w:cs="仿宋_GB2312"/>
          <w:sz w:val="22"/>
          <w:u w:val="wave"/>
          <w:lang w:val="zh-CN"/>
        </w:rPr>
        <w:t>。</w:t>
      </w:r>
    </w:p>
    <w:p w14:paraId="0E75E049">
      <w:pPr>
        <w:autoSpaceDE w:val="0"/>
        <w:autoSpaceDN w:val="0"/>
        <w:adjustRightInd w:val="0"/>
        <w:snapToGrid w:val="0"/>
        <w:spacing w:line="480" w:lineRule="atLeast"/>
        <w:ind w:firstLine="440" w:firstLineChars="200"/>
        <w:rPr>
          <w:rFonts w:hint="eastAsia" w:ascii="宋体" w:hAnsi="宋体" w:cs="仿宋_GB2312"/>
          <w:sz w:val="22"/>
          <w:u w:val="single"/>
          <w:lang w:val="zh-CN"/>
        </w:rPr>
      </w:pPr>
      <w:bookmarkStart w:id="1095" w:name="_Toc356545138"/>
      <w:r>
        <w:rPr>
          <w:rFonts w:hint="eastAsia" w:ascii="宋体" w:hAnsi="宋体" w:cs="仿宋_GB2312"/>
          <w:sz w:val="22"/>
          <w:lang w:val="zh-CN"/>
        </w:rPr>
        <w:t>2、</w:t>
      </w:r>
      <w:r>
        <w:rPr>
          <w:rFonts w:hint="eastAsia" w:ascii="宋体" w:hAnsi="宋体"/>
          <w:sz w:val="22"/>
          <w:lang w:val="zh-CN"/>
        </w:rPr>
        <w:t>我方对服务期承诺如下：</w:t>
      </w:r>
      <w:bookmarkEnd w:id="1095"/>
      <w:r>
        <w:rPr>
          <w:rFonts w:hint="eastAsia" w:ascii="宋体" w:hAnsi="宋体"/>
          <w:sz w:val="22"/>
          <w:u w:val="single"/>
        </w:rPr>
        <w:t>▲按磋商文件规定期限执行。</w:t>
      </w:r>
    </w:p>
    <w:p w14:paraId="508B1D43">
      <w:pPr>
        <w:autoSpaceDE w:val="0"/>
        <w:autoSpaceDN w:val="0"/>
        <w:adjustRightInd w:val="0"/>
        <w:snapToGrid w:val="0"/>
        <w:spacing w:line="480" w:lineRule="atLeast"/>
        <w:ind w:firstLine="450"/>
        <w:rPr>
          <w:rFonts w:hint="eastAsia" w:ascii="宋体" w:hAnsi="宋体" w:cs="仿宋_GB2312"/>
          <w:sz w:val="22"/>
          <w:lang w:val="zh-CN"/>
        </w:rPr>
      </w:pPr>
      <w:r>
        <w:rPr>
          <w:rFonts w:hint="eastAsia" w:ascii="宋体" w:hAnsi="宋体" w:cs="仿宋_GB2312"/>
          <w:sz w:val="22"/>
          <w:lang w:val="zh-CN"/>
        </w:rPr>
        <w:t>3、保证遵守磋商文件中的有关规定和收费标准。</w:t>
      </w:r>
    </w:p>
    <w:p w14:paraId="49BB5A45">
      <w:pPr>
        <w:autoSpaceDE w:val="0"/>
        <w:autoSpaceDN w:val="0"/>
        <w:adjustRightInd w:val="0"/>
        <w:snapToGrid w:val="0"/>
        <w:spacing w:line="480" w:lineRule="atLeast"/>
        <w:ind w:firstLine="465"/>
        <w:rPr>
          <w:rFonts w:hint="eastAsia" w:ascii="宋体" w:hAnsi="宋体" w:cs="仿宋_GB2312"/>
          <w:sz w:val="22"/>
          <w:lang w:val="zh-CN"/>
        </w:rPr>
      </w:pPr>
      <w:r>
        <w:rPr>
          <w:rFonts w:hint="eastAsia" w:ascii="宋体" w:hAnsi="宋体" w:cs="仿宋_GB2312"/>
          <w:sz w:val="22"/>
          <w:lang w:val="zh-CN"/>
        </w:rPr>
        <w:t>4、保证忠实地执行采购人、成交供应商双方所签的合同，并承担合同规定的责任义务。</w:t>
      </w:r>
    </w:p>
    <w:p w14:paraId="1D115EDE">
      <w:pPr>
        <w:autoSpaceDE w:val="0"/>
        <w:autoSpaceDN w:val="0"/>
        <w:adjustRightInd w:val="0"/>
        <w:snapToGrid w:val="0"/>
        <w:spacing w:line="480" w:lineRule="atLeast"/>
        <w:ind w:firstLine="465"/>
        <w:rPr>
          <w:rFonts w:hint="eastAsia" w:ascii="宋体" w:hAnsi="宋体" w:cs="仿宋_GB2312"/>
          <w:sz w:val="22"/>
          <w:lang w:val="zh-CN"/>
        </w:rPr>
      </w:pPr>
      <w:r>
        <w:rPr>
          <w:rFonts w:hint="eastAsia" w:ascii="宋体" w:hAnsi="宋体" w:cs="仿宋_GB2312"/>
          <w:sz w:val="22"/>
          <w:lang w:val="zh-CN"/>
        </w:rPr>
        <w:t>5、供应商已详细审查全部磋商文件，包括磋商文件补充文件（如有）。我方完全理解并同意放弃对这方面有不明及误解的权力。如果磋商文件有相互矛盾之处，我方同意按采购人的理解处理。</w:t>
      </w:r>
    </w:p>
    <w:p w14:paraId="4BCCD4F2">
      <w:pPr>
        <w:autoSpaceDE w:val="0"/>
        <w:autoSpaceDN w:val="0"/>
        <w:adjustRightInd w:val="0"/>
        <w:snapToGrid w:val="0"/>
        <w:spacing w:line="480" w:lineRule="atLeast"/>
        <w:ind w:firstLine="450"/>
        <w:rPr>
          <w:rFonts w:hint="eastAsia" w:ascii="宋体" w:hAnsi="宋体" w:cs="仿宋_GB2312"/>
          <w:sz w:val="22"/>
          <w:lang w:val="zh-CN"/>
        </w:rPr>
      </w:pPr>
      <w:r>
        <w:rPr>
          <w:rFonts w:hint="eastAsia" w:ascii="宋体" w:hAnsi="宋体" w:cs="仿宋_GB2312"/>
          <w:sz w:val="22"/>
          <w:lang w:val="zh-CN"/>
        </w:rPr>
        <w:t>6、愿意向贵方提供任何与该项投标有关的数据、情况和技术资料，完全理解贵方不一定接受最低价的投标或收到的任何投标。</w:t>
      </w:r>
    </w:p>
    <w:p w14:paraId="346C32ED">
      <w:pPr>
        <w:autoSpaceDE w:val="0"/>
        <w:autoSpaceDN w:val="0"/>
        <w:adjustRightInd w:val="0"/>
        <w:snapToGrid w:val="0"/>
        <w:spacing w:line="480" w:lineRule="atLeast"/>
        <w:ind w:firstLine="450"/>
        <w:rPr>
          <w:rFonts w:hint="eastAsia" w:ascii="宋体" w:hAnsi="宋体" w:cs="仿宋_GB2312"/>
          <w:sz w:val="22"/>
          <w:lang w:val="zh-CN"/>
        </w:rPr>
      </w:pPr>
      <w:r>
        <w:rPr>
          <w:rFonts w:hint="eastAsia" w:ascii="宋体" w:hAnsi="宋体" w:cs="仿宋_GB2312"/>
          <w:sz w:val="22"/>
          <w:lang w:val="zh-CN"/>
        </w:rPr>
        <w:t>7、利益冲突：近三年内直至目前，我公司与本项目的采购人、采购机构没有任何的隶属关系。</w:t>
      </w:r>
    </w:p>
    <w:p w14:paraId="46948EEE">
      <w:pPr>
        <w:autoSpaceDE w:val="0"/>
        <w:autoSpaceDN w:val="0"/>
        <w:adjustRightInd w:val="0"/>
        <w:snapToGrid w:val="0"/>
        <w:spacing w:line="480" w:lineRule="atLeast"/>
        <w:ind w:firstLine="450"/>
        <w:rPr>
          <w:rFonts w:hint="eastAsia" w:ascii="宋体" w:hAnsi="宋体" w:cs="仿宋_GB2312"/>
          <w:sz w:val="22"/>
          <w:lang w:val="zh-CN"/>
        </w:rPr>
      </w:pPr>
      <w:r>
        <w:rPr>
          <w:rFonts w:hint="eastAsia" w:ascii="宋体" w:hAnsi="宋体" w:cs="仿宋_GB2312"/>
          <w:sz w:val="22"/>
          <w:lang w:val="zh-CN"/>
        </w:rPr>
        <w:t>8、</w:t>
      </w:r>
      <w:r>
        <w:rPr>
          <w:rFonts w:hint="eastAsia" w:ascii="宋体" w:hAnsi="宋体"/>
          <w:sz w:val="22"/>
        </w:rPr>
        <w:t>我单位没有被各地、各级财政部门限制参加国企采购活动或曾被各地、各级财政部门限制参加国企采购活动但已不在限制期内。</w:t>
      </w:r>
    </w:p>
    <w:p w14:paraId="02BF70C5">
      <w:pPr>
        <w:autoSpaceDE w:val="0"/>
        <w:autoSpaceDN w:val="0"/>
        <w:adjustRightInd w:val="0"/>
        <w:snapToGrid w:val="0"/>
        <w:spacing w:line="480" w:lineRule="atLeast"/>
        <w:ind w:firstLine="450"/>
        <w:rPr>
          <w:rFonts w:hint="eastAsia" w:ascii="宋体" w:hAnsi="宋体" w:cs="仿宋_GB2312"/>
          <w:sz w:val="22"/>
          <w:lang w:val="zh-CN"/>
        </w:rPr>
      </w:pPr>
      <w:r>
        <w:rPr>
          <w:rFonts w:hint="eastAsia" w:ascii="宋体" w:hAnsi="宋体" w:cs="仿宋_GB2312"/>
          <w:sz w:val="22"/>
          <w:lang w:val="zh-CN"/>
        </w:rPr>
        <w:t>9、本投标自开标之日起90日历天内有效。</w:t>
      </w:r>
    </w:p>
    <w:p w14:paraId="7E73E34B">
      <w:pPr>
        <w:autoSpaceDE w:val="0"/>
        <w:autoSpaceDN w:val="0"/>
        <w:adjustRightInd w:val="0"/>
        <w:snapToGrid w:val="0"/>
        <w:spacing w:line="480" w:lineRule="atLeast"/>
        <w:ind w:firstLine="450"/>
        <w:rPr>
          <w:rFonts w:hint="eastAsia" w:ascii="宋体" w:hAnsi="宋体" w:cs="仿宋_GB2312"/>
          <w:sz w:val="22"/>
          <w:lang w:val="zh-CN"/>
        </w:rPr>
      </w:pPr>
      <w:r>
        <w:rPr>
          <w:rFonts w:hint="eastAsia" w:ascii="宋体" w:hAnsi="宋体" w:cs="仿宋_GB2312"/>
          <w:sz w:val="22"/>
          <w:lang w:val="zh-CN"/>
        </w:rPr>
        <w:t>10、与本投标有关的一切往来通讯请寄：</w:t>
      </w:r>
    </w:p>
    <w:p w14:paraId="619C0E99">
      <w:pPr>
        <w:autoSpaceDE w:val="0"/>
        <w:autoSpaceDN w:val="0"/>
        <w:adjustRightInd w:val="0"/>
        <w:spacing w:line="440" w:lineRule="atLeast"/>
        <w:ind w:firstLine="442" w:firstLineChars="201"/>
        <w:rPr>
          <w:rFonts w:hint="eastAsia" w:ascii="宋体" w:hAnsi="宋体"/>
          <w:kern w:val="0"/>
          <w:sz w:val="22"/>
          <w:szCs w:val="20"/>
          <w:lang w:val="zh-CN"/>
        </w:rPr>
      </w:pPr>
      <w:r>
        <w:rPr>
          <w:rFonts w:hint="eastAsia" w:ascii="宋体" w:hAnsi="宋体"/>
          <w:kern w:val="0"/>
          <w:sz w:val="22"/>
          <w:szCs w:val="20"/>
          <w:lang w:val="zh-CN"/>
        </w:rPr>
        <w:t>地址：</w:t>
      </w:r>
    </w:p>
    <w:p w14:paraId="6A59FFD4">
      <w:pPr>
        <w:autoSpaceDE w:val="0"/>
        <w:autoSpaceDN w:val="0"/>
        <w:adjustRightInd w:val="0"/>
        <w:spacing w:line="440" w:lineRule="exact"/>
        <w:ind w:firstLine="440" w:firstLineChars="200"/>
        <w:rPr>
          <w:rFonts w:ascii="宋体" w:cs="Times New Roman"/>
          <w:sz w:val="22"/>
          <w:szCs w:val="20"/>
          <w:lang w:val="zh-CN"/>
        </w:rPr>
      </w:pPr>
      <w:r>
        <w:rPr>
          <w:rFonts w:hint="eastAsia" w:ascii="宋体" w:hAnsi="宋体"/>
          <w:kern w:val="0"/>
          <w:sz w:val="22"/>
          <w:szCs w:val="20"/>
          <w:lang w:val="zh-CN"/>
        </w:rPr>
        <w:t>邮编：电话：传真：</w:t>
      </w:r>
    </w:p>
    <w:p w14:paraId="0BF1582C">
      <w:pPr>
        <w:autoSpaceDE w:val="0"/>
        <w:autoSpaceDN w:val="0"/>
        <w:adjustRightInd w:val="0"/>
        <w:snapToGrid w:val="0"/>
        <w:spacing w:line="440" w:lineRule="exact"/>
        <w:ind w:firstLine="440" w:firstLineChars="200"/>
        <w:rPr>
          <w:rFonts w:ascii="宋体" w:cs="仿宋_GB2312"/>
          <w:sz w:val="22"/>
          <w:lang w:val="zh-CN"/>
        </w:rPr>
      </w:pPr>
    </w:p>
    <w:p w14:paraId="53A86B4D">
      <w:pPr>
        <w:autoSpaceDE w:val="0"/>
        <w:autoSpaceDN w:val="0"/>
        <w:adjustRightInd w:val="0"/>
        <w:spacing w:line="440" w:lineRule="exact"/>
        <w:ind w:firstLine="440" w:firstLineChars="200"/>
        <w:rPr>
          <w:rFonts w:ascii="宋体" w:cs="Times New Roman"/>
          <w:sz w:val="22"/>
          <w:szCs w:val="20"/>
          <w:lang w:val="zh-CN"/>
        </w:rPr>
      </w:pPr>
      <w:r>
        <w:rPr>
          <w:rFonts w:hint="eastAsia" w:ascii="宋体" w:cs="Times New Roman"/>
          <w:sz w:val="22"/>
          <w:szCs w:val="20"/>
          <w:lang w:val="zh-CN"/>
        </w:rPr>
        <w:t>供应商全称（盖章）：</w:t>
      </w:r>
    </w:p>
    <w:p w14:paraId="7767C425">
      <w:pPr>
        <w:autoSpaceDE w:val="0"/>
        <w:autoSpaceDN w:val="0"/>
        <w:adjustRightInd w:val="0"/>
        <w:spacing w:line="440" w:lineRule="exact"/>
        <w:ind w:firstLine="440" w:firstLineChars="200"/>
        <w:rPr>
          <w:rFonts w:ascii="宋体" w:cs="Times New Roman"/>
          <w:sz w:val="22"/>
          <w:szCs w:val="20"/>
          <w:lang w:val="zh-CN"/>
        </w:rPr>
      </w:pPr>
      <w:r>
        <w:rPr>
          <w:rFonts w:hint="eastAsia" w:ascii="宋体" w:cs="Times New Roman"/>
          <w:sz w:val="22"/>
          <w:szCs w:val="20"/>
          <w:lang w:val="zh-CN"/>
        </w:rPr>
        <w:t>法定代表人或授权代表（签字或盖章）：</w:t>
      </w:r>
    </w:p>
    <w:p w14:paraId="1E8D78DB">
      <w:pPr>
        <w:autoSpaceDE w:val="0"/>
        <w:autoSpaceDN w:val="0"/>
        <w:adjustRightInd w:val="0"/>
        <w:snapToGrid w:val="0"/>
        <w:spacing w:line="440" w:lineRule="exact"/>
        <w:ind w:firstLine="440" w:firstLineChars="200"/>
        <w:jc w:val="left"/>
        <w:rPr>
          <w:rFonts w:ascii="宋体" w:cs="仿宋_GB2312"/>
          <w:sz w:val="22"/>
          <w:lang w:val="zh-CN"/>
        </w:rPr>
      </w:pPr>
      <w:r>
        <w:rPr>
          <w:rFonts w:hint="eastAsia" w:ascii="宋体" w:cs="Times New Roman"/>
          <w:sz w:val="22"/>
          <w:szCs w:val="20"/>
          <w:lang w:val="zh-CN"/>
        </w:rPr>
        <w:t>日期：</w:t>
      </w:r>
    </w:p>
    <w:p w14:paraId="373E4700">
      <w:pPr>
        <w:pStyle w:val="22"/>
        <w:outlineLvl w:val="9"/>
        <w:rPr>
          <w:rFonts w:hint="eastAsia" w:ascii="宋体" w:hAnsi="宋体"/>
        </w:rPr>
      </w:pPr>
    </w:p>
    <w:p w14:paraId="0EE1F016">
      <w:pPr>
        <w:pStyle w:val="21"/>
        <w:ind w:firstLine="480"/>
        <w:rPr>
          <w:lang w:val="zh-CN"/>
        </w:rPr>
      </w:pPr>
      <w:bookmarkStart w:id="1096" w:name="_Toc44607657"/>
    </w:p>
    <w:p w14:paraId="1D4E2C87">
      <w:pPr>
        <w:pStyle w:val="21"/>
        <w:ind w:firstLine="480"/>
        <w:rPr>
          <w:lang w:val="zh-CN"/>
        </w:rPr>
      </w:pPr>
    </w:p>
    <w:p w14:paraId="11AEF2AA">
      <w:pPr>
        <w:pStyle w:val="21"/>
        <w:ind w:firstLine="480"/>
        <w:rPr>
          <w:lang w:val="zh-CN"/>
        </w:rPr>
      </w:pPr>
    </w:p>
    <w:p w14:paraId="37299096">
      <w:pPr>
        <w:pStyle w:val="21"/>
        <w:ind w:firstLine="480"/>
        <w:rPr>
          <w:lang w:val="zh-CN"/>
        </w:rPr>
      </w:pPr>
    </w:p>
    <w:p w14:paraId="5BCA235C">
      <w:pPr>
        <w:pStyle w:val="22"/>
        <w:outlineLvl w:val="2"/>
        <w:rPr>
          <w:rFonts w:hint="eastAsia" w:ascii="宋体" w:hAnsi="宋体"/>
          <w:sz w:val="28"/>
          <w:szCs w:val="18"/>
          <w:lang w:val="zh-CN"/>
        </w:rPr>
      </w:pPr>
      <w:r>
        <w:rPr>
          <w:rFonts w:hint="eastAsia" w:ascii="宋体" w:hAnsi="宋体"/>
          <w:sz w:val="28"/>
          <w:szCs w:val="18"/>
          <w:lang w:val="zh-CN"/>
        </w:rPr>
        <w:t>附件</w:t>
      </w:r>
      <w:r>
        <w:rPr>
          <w:rFonts w:hint="eastAsia" w:ascii="宋体" w:hAnsi="宋体"/>
          <w:sz w:val="28"/>
          <w:szCs w:val="18"/>
        </w:rPr>
        <w:t>十一</w:t>
      </w:r>
      <w:r>
        <w:rPr>
          <w:rFonts w:hint="eastAsia" w:ascii="宋体" w:hAnsi="宋体"/>
          <w:sz w:val="28"/>
          <w:szCs w:val="18"/>
          <w:lang w:val="zh-CN"/>
        </w:rPr>
        <w:t xml:space="preserve"> 法定代表人授权书</w:t>
      </w:r>
      <w:bookmarkEnd w:id="1096"/>
    </w:p>
    <w:p w14:paraId="4CCCEB20">
      <w:pPr>
        <w:spacing w:line="480" w:lineRule="exact"/>
        <w:rPr>
          <w:rFonts w:ascii="宋体"/>
          <w:sz w:val="22"/>
          <w:szCs w:val="22"/>
        </w:rPr>
      </w:pPr>
      <w:r>
        <w:rPr>
          <w:rFonts w:hint="eastAsia" w:ascii="宋体"/>
          <w:sz w:val="22"/>
          <w:szCs w:val="22"/>
          <w:u w:val="single"/>
        </w:rPr>
        <w:t>（采购人名称）</w:t>
      </w:r>
      <w:r>
        <w:rPr>
          <w:rFonts w:hint="eastAsia" w:ascii="宋体"/>
          <w:sz w:val="22"/>
          <w:szCs w:val="22"/>
          <w:lang w:val="zh-CN"/>
        </w:rPr>
        <w:t>：</w:t>
      </w:r>
    </w:p>
    <w:p w14:paraId="6DE3FBD4">
      <w:pPr>
        <w:spacing w:line="480" w:lineRule="exact"/>
        <w:ind w:firstLine="440" w:firstLineChars="200"/>
        <w:rPr>
          <w:rFonts w:ascii="宋体"/>
          <w:sz w:val="22"/>
          <w:szCs w:val="22"/>
        </w:rPr>
      </w:pPr>
      <w:r>
        <w:rPr>
          <w:rFonts w:hint="eastAsia" w:ascii="宋体"/>
          <w:sz w:val="22"/>
          <w:szCs w:val="22"/>
        </w:rPr>
        <w:t>本授权委托书声明：我</w:t>
      </w:r>
      <w:r>
        <w:rPr>
          <w:rFonts w:hint="eastAsia" w:ascii="宋体"/>
          <w:sz w:val="22"/>
          <w:szCs w:val="22"/>
          <w:u w:val="single"/>
        </w:rPr>
        <w:t xml:space="preserve">   （法定代表人姓名）   </w:t>
      </w:r>
      <w:r>
        <w:rPr>
          <w:rFonts w:hint="eastAsia" w:ascii="宋体"/>
          <w:sz w:val="22"/>
          <w:szCs w:val="22"/>
        </w:rPr>
        <w:t>系</w:t>
      </w:r>
      <w:r>
        <w:rPr>
          <w:rFonts w:hint="eastAsia" w:ascii="宋体"/>
          <w:sz w:val="22"/>
          <w:szCs w:val="22"/>
          <w:u w:val="single"/>
        </w:rPr>
        <w:t xml:space="preserve">   （供 应 商 名 称）  </w:t>
      </w:r>
      <w:r>
        <w:rPr>
          <w:rFonts w:hint="eastAsia" w:ascii="宋体"/>
          <w:sz w:val="22"/>
          <w:szCs w:val="22"/>
        </w:rPr>
        <w:t>的法定代表人，现授权委托</w:t>
      </w:r>
      <w:r>
        <w:rPr>
          <w:rFonts w:hint="eastAsia" w:ascii="宋体"/>
          <w:sz w:val="22"/>
          <w:szCs w:val="22"/>
          <w:u w:val="single"/>
        </w:rPr>
        <w:t xml:space="preserve">  （单 位 名 称）   </w:t>
      </w:r>
      <w:r>
        <w:rPr>
          <w:rFonts w:hint="eastAsia" w:ascii="宋体"/>
          <w:sz w:val="22"/>
          <w:szCs w:val="22"/>
        </w:rPr>
        <w:t>的</w:t>
      </w:r>
      <w:r>
        <w:rPr>
          <w:rFonts w:hint="eastAsia" w:ascii="宋体"/>
          <w:sz w:val="22"/>
          <w:szCs w:val="22"/>
          <w:u w:val="single"/>
        </w:rPr>
        <w:t xml:space="preserve">  （授权代表姓名）  </w:t>
      </w:r>
      <w:r>
        <w:rPr>
          <w:rFonts w:hint="eastAsia" w:ascii="宋体"/>
          <w:sz w:val="22"/>
          <w:szCs w:val="22"/>
        </w:rPr>
        <w:t>为我公司法定代表人授权代表，参加贵处组织的</w:t>
      </w:r>
      <w:r>
        <w:rPr>
          <w:rFonts w:hint="eastAsia" w:ascii="宋体"/>
          <w:sz w:val="22"/>
          <w:szCs w:val="22"/>
          <w:u w:val="single"/>
        </w:rPr>
        <w:t xml:space="preserve">  （招标项目名称，括号中填写项目编号）  </w:t>
      </w:r>
      <w:r>
        <w:rPr>
          <w:rFonts w:hint="eastAsia" w:ascii="宋体"/>
          <w:sz w:val="22"/>
          <w:szCs w:val="22"/>
        </w:rPr>
        <w:t>项目磋商，全权处理本次磋商活动中的一切事宜，我承认授权代表全权代表我所签署的本项目的磋商（响应）文件的内容。</w:t>
      </w:r>
    </w:p>
    <w:p w14:paraId="566AAD04">
      <w:pPr>
        <w:spacing w:line="480" w:lineRule="exact"/>
        <w:ind w:firstLine="440" w:firstLineChars="200"/>
        <w:rPr>
          <w:rFonts w:ascii="宋体"/>
          <w:sz w:val="22"/>
          <w:szCs w:val="22"/>
        </w:rPr>
      </w:pPr>
      <w:r>
        <w:rPr>
          <w:rFonts w:hint="eastAsia" w:ascii="宋体"/>
          <w:sz w:val="22"/>
          <w:szCs w:val="22"/>
        </w:rPr>
        <w:t>授权代表无转授权，特此授权</w:t>
      </w:r>
    </w:p>
    <w:p w14:paraId="47BAD963">
      <w:pPr>
        <w:spacing w:line="480" w:lineRule="exact"/>
        <w:ind w:left="1260"/>
        <w:rPr>
          <w:rFonts w:ascii="宋体"/>
          <w:sz w:val="22"/>
          <w:szCs w:val="22"/>
        </w:rPr>
      </w:pPr>
    </w:p>
    <w:p w14:paraId="28170C4E">
      <w:pPr>
        <w:spacing w:line="480" w:lineRule="exact"/>
        <w:ind w:left="2100" w:leftChars="1000" w:firstLine="440" w:firstLineChars="200"/>
        <w:rPr>
          <w:rFonts w:ascii="宋体"/>
          <w:sz w:val="22"/>
          <w:szCs w:val="22"/>
          <w:u w:val="single"/>
        </w:rPr>
      </w:pPr>
      <w:r>
        <w:rPr>
          <w:rFonts w:hint="eastAsia" w:ascii="宋体"/>
          <w:sz w:val="22"/>
          <w:szCs w:val="22"/>
        </w:rPr>
        <w:t>授权代表：</w:t>
      </w:r>
      <w:r>
        <w:rPr>
          <w:rFonts w:hint="eastAsia" w:ascii="宋体"/>
          <w:sz w:val="22"/>
          <w:szCs w:val="22"/>
          <w:u w:val="single"/>
        </w:rPr>
        <w:t xml:space="preserve">   （签字或盖章）  </w:t>
      </w:r>
      <w:r>
        <w:rPr>
          <w:rFonts w:hint="eastAsia" w:ascii="宋体"/>
          <w:sz w:val="22"/>
          <w:szCs w:val="22"/>
        </w:rPr>
        <w:t xml:space="preserve"> 性别：</w:t>
      </w:r>
    </w:p>
    <w:p w14:paraId="0462871D">
      <w:pPr>
        <w:spacing w:line="480" w:lineRule="exact"/>
        <w:ind w:left="2100" w:leftChars="1000" w:firstLine="440" w:firstLineChars="200"/>
        <w:rPr>
          <w:rFonts w:ascii="宋体"/>
          <w:sz w:val="22"/>
          <w:szCs w:val="22"/>
          <w:u w:val="single"/>
        </w:rPr>
      </w:pPr>
      <w:r>
        <w:rPr>
          <w:rFonts w:hint="eastAsia" w:ascii="宋体"/>
          <w:sz w:val="22"/>
          <w:szCs w:val="22"/>
        </w:rPr>
        <w:t>职务：年龄：</w:t>
      </w:r>
    </w:p>
    <w:p w14:paraId="1005FF41">
      <w:pPr>
        <w:spacing w:line="480" w:lineRule="exact"/>
        <w:ind w:left="2100" w:leftChars="1000" w:firstLine="440" w:firstLineChars="200"/>
        <w:rPr>
          <w:rFonts w:ascii="宋体"/>
          <w:sz w:val="22"/>
          <w:szCs w:val="22"/>
        </w:rPr>
      </w:pPr>
      <w:r>
        <w:rPr>
          <w:rFonts w:hint="eastAsia" w:ascii="宋体"/>
          <w:sz w:val="22"/>
          <w:szCs w:val="22"/>
        </w:rPr>
        <w:t>手机号码：</w:t>
      </w:r>
    </w:p>
    <w:p w14:paraId="4493D15E">
      <w:pPr>
        <w:spacing w:line="480" w:lineRule="exact"/>
        <w:ind w:left="2100" w:leftChars="1000" w:firstLine="440" w:firstLineChars="200"/>
        <w:rPr>
          <w:rFonts w:ascii="宋体"/>
          <w:sz w:val="22"/>
          <w:szCs w:val="22"/>
          <w:u w:val="single"/>
        </w:rPr>
      </w:pPr>
      <w:r>
        <w:rPr>
          <w:rFonts w:hint="eastAsia" w:ascii="宋体"/>
          <w:sz w:val="22"/>
          <w:szCs w:val="22"/>
        </w:rPr>
        <w:t>详细通讯地址：</w:t>
      </w:r>
    </w:p>
    <w:p w14:paraId="592AFFF5">
      <w:pPr>
        <w:spacing w:line="480" w:lineRule="exact"/>
        <w:ind w:left="2100" w:leftChars="1000" w:firstLine="440" w:firstLineChars="200"/>
        <w:rPr>
          <w:rFonts w:ascii="宋体"/>
          <w:sz w:val="22"/>
          <w:szCs w:val="22"/>
          <w:u w:val="single"/>
        </w:rPr>
      </w:pPr>
      <w:r>
        <w:rPr>
          <w:rFonts w:hint="eastAsia" w:ascii="宋体"/>
          <w:sz w:val="22"/>
          <w:szCs w:val="22"/>
        </w:rPr>
        <w:t>邮政编码：</w:t>
      </w:r>
    </w:p>
    <w:p w14:paraId="230FDE8A">
      <w:pPr>
        <w:spacing w:line="480" w:lineRule="exact"/>
        <w:ind w:left="2100" w:leftChars="1000" w:firstLine="440" w:firstLineChars="200"/>
        <w:rPr>
          <w:rFonts w:ascii="宋体"/>
          <w:sz w:val="22"/>
          <w:szCs w:val="22"/>
          <w:u w:val="single"/>
        </w:rPr>
      </w:pPr>
      <w:r>
        <w:rPr>
          <w:rFonts w:hint="eastAsia" w:ascii="宋体"/>
          <w:sz w:val="22"/>
          <w:szCs w:val="22"/>
        </w:rPr>
        <w:t>电话： 传真：</w:t>
      </w:r>
    </w:p>
    <w:p w14:paraId="168BFE62">
      <w:pPr>
        <w:spacing w:line="480" w:lineRule="exact"/>
        <w:ind w:left="2100" w:leftChars="1000" w:firstLine="440" w:firstLineChars="200"/>
        <w:rPr>
          <w:rFonts w:ascii="宋体"/>
          <w:sz w:val="22"/>
          <w:szCs w:val="22"/>
        </w:rPr>
      </w:pPr>
      <w:r>
        <w:rPr>
          <w:rFonts w:hint="eastAsia" w:ascii="宋体"/>
          <w:sz w:val="22"/>
          <w:szCs w:val="22"/>
        </w:rPr>
        <w:t>投标人：</w:t>
      </w:r>
      <w:r>
        <w:rPr>
          <w:rFonts w:hint="eastAsia" w:ascii="宋体"/>
          <w:sz w:val="22"/>
          <w:szCs w:val="22"/>
          <w:u w:val="single"/>
        </w:rPr>
        <w:t xml:space="preserve">                                      （盖章）</w:t>
      </w:r>
    </w:p>
    <w:p w14:paraId="44FE2A06">
      <w:pPr>
        <w:spacing w:line="480" w:lineRule="exact"/>
        <w:ind w:left="2100" w:leftChars="1000" w:firstLine="440" w:firstLineChars="200"/>
        <w:rPr>
          <w:rFonts w:ascii="宋体"/>
          <w:sz w:val="22"/>
          <w:szCs w:val="22"/>
        </w:rPr>
      </w:pPr>
      <w:r>
        <w:rPr>
          <w:rFonts w:hint="eastAsia" w:ascii="宋体"/>
          <w:sz w:val="22"/>
          <w:szCs w:val="22"/>
        </w:rPr>
        <w:t>法定代表人：</w:t>
      </w:r>
      <w:r>
        <w:rPr>
          <w:rFonts w:hint="eastAsia" w:ascii="宋体"/>
          <w:sz w:val="22"/>
          <w:szCs w:val="22"/>
          <w:u w:val="single"/>
        </w:rPr>
        <w:t xml:space="preserve">                      （签字或盖章）</w:t>
      </w:r>
    </w:p>
    <w:p w14:paraId="6AE37C1A">
      <w:pPr>
        <w:spacing w:line="480" w:lineRule="exact"/>
        <w:ind w:right="440" w:firstLine="3300" w:firstLineChars="1500"/>
        <w:jc w:val="right"/>
        <w:rPr>
          <w:rFonts w:ascii="宋体"/>
          <w:sz w:val="22"/>
          <w:szCs w:val="22"/>
        </w:rPr>
      </w:pPr>
      <w:r>
        <w:rPr>
          <w:rFonts w:hint="eastAsia" w:ascii="宋体"/>
          <w:sz w:val="22"/>
          <w:szCs w:val="22"/>
        </w:rPr>
        <w:t>授权委托日期：   年  月  日</w:t>
      </w:r>
    </w:p>
    <w:p w14:paraId="71E1AAD0">
      <w:pPr>
        <w:pStyle w:val="11"/>
      </w:pPr>
    </w:p>
    <w:tbl>
      <w:tblPr>
        <w:tblStyle w:val="2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39"/>
      </w:tblGrid>
      <w:tr w14:paraId="46A3A7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35" w:hRule="atLeast"/>
          <w:jc w:val="center"/>
        </w:trPr>
        <w:tc>
          <w:tcPr>
            <w:tcW w:w="7839" w:type="dxa"/>
          </w:tcPr>
          <w:p w14:paraId="035DCDC2">
            <w:pPr>
              <w:pStyle w:val="14"/>
              <w:spacing w:line="440" w:lineRule="atLeast"/>
              <w:rPr>
                <w:rFonts w:hint="eastAsia" w:hAnsi="宋体"/>
                <w:sz w:val="21"/>
              </w:rPr>
            </w:pPr>
          </w:p>
          <w:p w14:paraId="02897968">
            <w:pPr>
              <w:pStyle w:val="14"/>
              <w:spacing w:line="440" w:lineRule="atLeast"/>
              <w:jc w:val="center"/>
              <w:rPr>
                <w:rFonts w:hint="eastAsia" w:hAnsi="宋体"/>
                <w:sz w:val="21"/>
              </w:rPr>
            </w:pPr>
          </w:p>
          <w:p w14:paraId="52137093">
            <w:pPr>
              <w:pStyle w:val="14"/>
              <w:spacing w:line="440" w:lineRule="atLeast"/>
              <w:jc w:val="center"/>
              <w:rPr>
                <w:rFonts w:hint="eastAsia" w:hAnsi="宋体"/>
                <w:sz w:val="21"/>
              </w:rPr>
            </w:pPr>
          </w:p>
          <w:p w14:paraId="4C723D20">
            <w:pPr>
              <w:pStyle w:val="14"/>
              <w:spacing w:line="440" w:lineRule="atLeast"/>
              <w:jc w:val="center"/>
              <w:rPr>
                <w:rFonts w:hint="eastAsia" w:hAnsi="宋体"/>
                <w:sz w:val="21"/>
              </w:rPr>
            </w:pPr>
          </w:p>
          <w:p w14:paraId="7D196677">
            <w:pPr>
              <w:pStyle w:val="14"/>
              <w:spacing w:line="440" w:lineRule="atLeast"/>
              <w:jc w:val="center"/>
              <w:rPr>
                <w:rFonts w:hint="eastAsia" w:hAnsi="宋体"/>
                <w:sz w:val="21"/>
              </w:rPr>
            </w:pPr>
            <w:r>
              <w:rPr>
                <w:rFonts w:hint="eastAsia" w:hAnsi="宋体"/>
                <w:sz w:val="21"/>
              </w:rPr>
              <w:t>（授权代表身份证复印件或扫描件）</w:t>
            </w:r>
          </w:p>
          <w:p w14:paraId="0708FBA0">
            <w:pPr>
              <w:pStyle w:val="14"/>
              <w:spacing w:line="440" w:lineRule="atLeast"/>
              <w:ind w:left="5271" w:firstLine="630" w:firstLineChars="300"/>
              <w:rPr>
                <w:rFonts w:hint="eastAsia" w:hAnsi="宋体"/>
                <w:sz w:val="21"/>
              </w:rPr>
            </w:pPr>
          </w:p>
        </w:tc>
      </w:tr>
    </w:tbl>
    <w:p w14:paraId="70ED5325">
      <w:pPr>
        <w:widowControl/>
        <w:spacing w:line="460" w:lineRule="atLeast"/>
        <w:jc w:val="left"/>
        <w:rPr>
          <w:rFonts w:ascii="宋体"/>
          <w:sz w:val="22"/>
          <w:szCs w:val="22"/>
        </w:rPr>
      </w:pPr>
      <w:bookmarkStart w:id="1097" w:name="_Toc509485354"/>
      <w:r>
        <w:rPr>
          <w:rFonts w:hint="eastAsia" w:ascii="宋体"/>
          <w:sz w:val="22"/>
          <w:szCs w:val="22"/>
        </w:rPr>
        <w:t>注：以联合体形式投标的，本授权书应由联合体牵头人的法定代表人按上述规定签署。</w:t>
      </w:r>
    </w:p>
    <w:bookmarkEnd w:id="1097"/>
    <w:p w14:paraId="4570069A">
      <w:pPr>
        <w:rPr>
          <w:rFonts w:hint="eastAsia" w:ascii="宋体" w:hAnsi="宋体"/>
          <w:sz w:val="28"/>
          <w:szCs w:val="18"/>
          <w:lang w:val="zh-CN"/>
        </w:rPr>
      </w:pPr>
      <w:bookmarkStart w:id="1098" w:name="_Toc509485355"/>
      <w:bookmarkStart w:id="1099" w:name="_Toc44607658"/>
      <w:r>
        <w:rPr>
          <w:rFonts w:hint="eastAsia" w:ascii="宋体" w:hAnsi="宋体"/>
          <w:sz w:val="28"/>
          <w:szCs w:val="18"/>
          <w:lang w:val="zh-CN"/>
        </w:rPr>
        <w:br w:type="page"/>
      </w:r>
    </w:p>
    <w:p w14:paraId="00E41C7A">
      <w:pPr>
        <w:pStyle w:val="22"/>
        <w:outlineLvl w:val="2"/>
        <w:rPr>
          <w:rFonts w:hint="eastAsia" w:ascii="宋体" w:hAnsi="宋体"/>
          <w:sz w:val="28"/>
          <w:szCs w:val="18"/>
          <w:lang w:val="zh-CN"/>
        </w:rPr>
      </w:pPr>
      <w:r>
        <w:rPr>
          <w:rFonts w:hint="eastAsia" w:ascii="宋体" w:hAnsi="宋体"/>
          <w:sz w:val="28"/>
          <w:szCs w:val="18"/>
          <w:lang w:val="zh-CN"/>
        </w:rPr>
        <w:t>附件十</w:t>
      </w:r>
      <w:r>
        <w:rPr>
          <w:rFonts w:hint="eastAsia" w:ascii="宋体" w:hAnsi="宋体"/>
          <w:sz w:val="28"/>
          <w:szCs w:val="18"/>
        </w:rPr>
        <w:t>二</w:t>
      </w:r>
      <w:r>
        <w:rPr>
          <w:rFonts w:hint="eastAsia" w:ascii="宋体" w:hAnsi="宋体"/>
          <w:sz w:val="28"/>
          <w:szCs w:val="18"/>
          <w:lang w:val="zh-CN"/>
        </w:rPr>
        <w:t xml:space="preserve"> 法定代表人诚信投标承诺书</w:t>
      </w:r>
      <w:bookmarkEnd w:id="1098"/>
      <w:bookmarkEnd w:id="1099"/>
    </w:p>
    <w:p w14:paraId="1A43205A">
      <w:pPr>
        <w:spacing w:line="440" w:lineRule="atLeast"/>
        <w:jc w:val="left"/>
        <w:rPr>
          <w:rFonts w:hint="eastAsia" w:hAnsi="宋体"/>
          <w:sz w:val="22"/>
          <w:szCs w:val="22"/>
        </w:rPr>
      </w:pPr>
      <w:bookmarkStart w:id="1100" w:name="_Toc522469124"/>
      <w:bookmarkStart w:id="1101" w:name="_Toc44607659"/>
      <w:bookmarkStart w:id="1102" w:name="_Toc37854355"/>
      <w:bookmarkStart w:id="1103" w:name="_Toc518512539"/>
      <w:bookmarkStart w:id="1104" w:name="_Toc42085456"/>
      <w:bookmarkStart w:id="1105" w:name="_Toc511045486"/>
      <w:bookmarkStart w:id="1106" w:name="_Toc30691"/>
      <w:bookmarkStart w:id="1107" w:name="_Toc11237943"/>
      <w:bookmarkStart w:id="1108" w:name="_Toc6315682"/>
      <w:bookmarkStart w:id="1109" w:name="_Toc11759423"/>
    </w:p>
    <w:p w14:paraId="6082953C">
      <w:pPr>
        <w:spacing w:line="440" w:lineRule="atLeast"/>
        <w:jc w:val="left"/>
        <w:rPr>
          <w:rFonts w:hint="eastAsia" w:hAnsi="宋体"/>
          <w:sz w:val="22"/>
          <w:szCs w:val="22"/>
        </w:rPr>
      </w:pPr>
      <w:r>
        <w:rPr>
          <w:rFonts w:hint="eastAsia" w:hAnsi="宋体"/>
          <w:sz w:val="22"/>
          <w:szCs w:val="22"/>
        </w:rPr>
        <w:t>本人以企业法定代表人的身份郑重承诺：</w:t>
      </w:r>
      <w:bookmarkEnd w:id="1100"/>
      <w:bookmarkEnd w:id="1101"/>
      <w:bookmarkEnd w:id="1102"/>
      <w:bookmarkEnd w:id="1103"/>
      <w:bookmarkEnd w:id="1104"/>
      <w:bookmarkEnd w:id="1105"/>
      <w:bookmarkEnd w:id="1106"/>
      <w:bookmarkEnd w:id="1107"/>
      <w:bookmarkEnd w:id="1108"/>
      <w:bookmarkEnd w:id="1109"/>
    </w:p>
    <w:p w14:paraId="11BE88CC">
      <w:pPr>
        <w:spacing w:line="440" w:lineRule="atLeast"/>
        <w:ind w:firstLine="440" w:firstLineChars="200"/>
        <w:jc w:val="left"/>
        <w:rPr>
          <w:rFonts w:ascii="宋体"/>
          <w:sz w:val="22"/>
          <w:szCs w:val="22"/>
        </w:rPr>
      </w:pPr>
      <w:r>
        <w:rPr>
          <w:rFonts w:hint="eastAsia" w:ascii="宋体"/>
          <w:sz w:val="22"/>
          <w:szCs w:val="22"/>
        </w:rPr>
        <w:t>将遵循公开、公平、公正和诚信信用的原则参加</w:t>
      </w:r>
      <w:r>
        <w:rPr>
          <w:rFonts w:hint="eastAsia" w:ascii="宋体" w:cs="楷体_GB2312"/>
          <w:sz w:val="22"/>
          <w:szCs w:val="22"/>
          <w:u w:val="single"/>
        </w:rPr>
        <w:t xml:space="preserve">              项目（招标编号：   ）</w:t>
      </w:r>
      <w:r>
        <w:rPr>
          <w:rFonts w:hint="eastAsia" w:ascii="宋体"/>
          <w:sz w:val="22"/>
          <w:szCs w:val="22"/>
        </w:rPr>
        <w:t>的磋商；</w:t>
      </w:r>
    </w:p>
    <w:p w14:paraId="2A5E11D8">
      <w:pPr>
        <w:spacing w:line="440" w:lineRule="atLeast"/>
        <w:ind w:firstLine="440" w:firstLineChars="200"/>
        <w:jc w:val="left"/>
        <w:rPr>
          <w:rFonts w:ascii="宋体"/>
          <w:sz w:val="22"/>
          <w:szCs w:val="22"/>
          <w:u w:val="single"/>
        </w:rPr>
      </w:pPr>
      <w:r>
        <w:rPr>
          <w:rFonts w:hint="eastAsia" w:ascii="宋体"/>
          <w:sz w:val="22"/>
          <w:szCs w:val="22"/>
        </w:rPr>
        <w:t>一、杜绝以收取管理费等形式的一切挂靠、违法转包、分包行为；并选派有丰富经验、无不良行为记录的在项目管理人员、技术人员，严格按招标文件、谈判响应文件及合同等要求保证拟派人员的到岗率。</w:t>
      </w:r>
    </w:p>
    <w:p w14:paraId="045A88DA">
      <w:pPr>
        <w:spacing w:line="440" w:lineRule="atLeast"/>
        <w:ind w:firstLine="440" w:firstLineChars="200"/>
        <w:jc w:val="left"/>
        <w:rPr>
          <w:rFonts w:ascii="宋体"/>
          <w:sz w:val="22"/>
          <w:szCs w:val="22"/>
        </w:rPr>
      </w:pPr>
      <w:r>
        <w:rPr>
          <w:rFonts w:hint="eastAsia" w:ascii="宋体"/>
          <w:sz w:val="22"/>
          <w:szCs w:val="22"/>
        </w:rPr>
        <w:t>二、磋商（响应）文件所提供的一切材料都是真实、有效、合法的。</w:t>
      </w:r>
    </w:p>
    <w:p w14:paraId="4B6ED3C1">
      <w:pPr>
        <w:spacing w:line="440" w:lineRule="atLeast"/>
        <w:ind w:firstLine="440" w:firstLineChars="200"/>
        <w:jc w:val="left"/>
        <w:rPr>
          <w:rFonts w:ascii="宋体"/>
          <w:sz w:val="22"/>
          <w:szCs w:val="22"/>
        </w:rPr>
      </w:pPr>
      <w:r>
        <w:rPr>
          <w:rFonts w:hint="eastAsia" w:ascii="宋体"/>
          <w:sz w:val="22"/>
          <w:szCs w:val="22"/>
        </w:rPr>
        <w:t>三、不与其他投标人相互串通投标报价，不排挤其他投标人的公平竞争，不损害</w:t>
      </w:r>
      <w:r>
        <w:rPr>
          <w:rFonts w:hint="eastAsia" w:ascii="宋体"/>
          <w:sz w:val="22"/>
          <w:szCs w:val="22"/>
          <w:lang w:val="en-US" w:eastAsia="zh-CN"/>
        </w:rPr>
        <w:t>采购</w:t>
      </w:r>
      <w:r>
        <w:rPr>
          <w:rFonts w:hint="eastAsia" w:ascii="宋体"/>
          <w:sz w:val="22"/>
          <w:szCs w:val="22"/>
        </w:rPr>
        <w:t>人或其他投标人的合法权益。</w:t>
      </w:r>
    </w:p>
    <w:p w14:paraId="6BD615CA">
      <w:pPr>
        <w:spacing w:line="440" w:lineRule="atLeast"/>
        <w:ind w:firstLine="440" w:firstLineChars="200"/>
        <w:jc w:val="left"/>
        <w:rPr>
          <w:rFonts w:ascii="宋体"/>
          <w:sz w:val="22"/>
          <w:szCs w:val="22"/>
        </w:rPr>
      </w:pPr>
      <w:r>
        <w:rPr>
          <w:rFonts w:hint="eastAsia" w:ascii="宋体"/>
          <w:sz w:val="22"/>
          <w:szCs w:val="22"/>
        </w:rPr>
        <w:t>四、不与采购人或采购代理机构串通投标，不损害国家利益，社会公共利益或其他人的合法权益。</w:t>
      </w:r>
    </w:p>
    <w:p w14:paraId="54655921">
      <w:pPr>
        <w:spacing w:line="440" w:lineRule="atLeast"/>
        <w:ind w:firstLine="440" w:firstLineChars="200"/>
        <w:jc w:val="left"/>
        <w:rPr>
          <w:rFonts w:ascii="宋体"/>
          <w:sz w:val="22"/>
          <w:szCs w:val="22"/>
        </w:rPr>
      </w:pPr>
      <w:r>
        <w:rPr>
          <w:rFonts w:hint="eastAsia" w:ascii="宋体"/>
          <w:sz w:val="22"/>
          <w:szCs w:val="22"/>
        </w:rPr>
        <w:t>五、不向采购人或者评标委员会成员行贿以牟取中标。</w:t>
      </w:r>
    </w:p>
    <w:p w14:paraId="608C31FD">
      <w:pPr>
        <w:spacing w:line="440" w:lineRule="atLeast"/>
        <w:ind w:firstLine="440" w:firstLineChars="200"/>
        <w:jc w:val="left"/>
        <w:rPr>
          <w:rFonts w:ascii="宋体"/>
          <w:sz w:val="22"/>
          <w:szCs w:val="22"/>
        </w:rPr>
      </w:pPr>
      <w:r>
        <w:rPr>
          <w:rFonts w:hint="eastAsia" w:ascii="宋体"/>
          <w:sz w:val="22"/>
          <w:szCs w:val="22"/>
        </w:rPr>
        <w:t>六、不以其他人名义投标或者以其他方式弄虚作假，骗取中标。</w:t>
      </w:r>
    </w:p>
    <w:p w14:paraId="73C63B4A">
      <w:pPr>
        <w:spacing w:line="440" w:lineRule="atLeast"/>
        <w:ind w:firstLine="440" w:firstLineChars="200"/>
        <w:jc w:val="left"/>
        <w:rPr>
          <w:rFonts w:ascii="宋体"/>
          <w:sz w:val="22"/>
          <w:szCs w:val="22"/>
        </w:rPr>
      </w:pPr>
      <w:r>
        <w:rPr>
          <w:rFonts w:hint="eastAsia" w:ascii="宋体"/>
          <w:sz w:val="22"/>
          <w:szCs w:val="22"/>
        </w:rPr>
        <w:t>七、不在开标后进行虚假恶意投诉。</w:t>
      </w:r>
    </w:p>
    <w:p w14:paraId="5F52D7E2">
      <w:pPr>
        <w:spacing w:line="440" w:lineRule="atLeast"/>
        <w:ind w:firstLine="440" w:firstLineChars="200"/>
        <w:jc w:val="left"/>
        <w:rPr>
          <w:rFonts w:ascii="宋体"/>
          <w:sz w:val="22"/>
          <w:szCs w:val="22"/>
        </w:rPr>
      </w:pPr>
      <w:r>
        <w:rPr>
          <w:rFonts w:hint="eastAsia" w:ascii="宋体"/>
          <w:sz w:val="22"/>
          <w:szCs w:val="22"/>
        </w:rPr>
        <w:t>八、我单位没有被政府机关</w:t>
      </w:r>
      <w:r>
        <w:rPr>
          <w:rFonts w:ascii="宋体"/>
          <w:sz w:val="22"/>
          <w:szCs w:val="22"/>
        </w:rPr>
        <w:t>列入失信被执行人</w:t>
      </w:r>
      <w:r>
        <w:rPr>
          <w:rFonts w:hint="eastAsia" w:ascii="宋体"/>
          <w:sz w:val="22"/>
          <w:szCs w:val="22"/>
        </w:rPr>
        <w:t>名单</w:t>
      </w:r>
      <w:r>
        <w:rPr>
          <w:rFonts w:ascii="宋体"/>
          <w:sz w:val="22"/>
          <w:szCs w:val="22"/>
        </w:rPr>
        <w:t>、重大税收违法案件当事人名单、</w:t>
      </w:r>
      <w:r>
        <w:rPr>
          <w:rFonts w:hint="eastAsia" w:ascii="宋体"/>
          <w:sz w:val="22"/>
          <w:szCs w:val="22"/>
        </w:rPr>
        <w:t>国企</w:t>
      </w:r>
      <w:r>
        <w:rPr>
          <w:rFonts w:ascii="宋体"/>
          <w:sz w:val="22"/>
          <w:szCs w:val="22"/>
        </w:rPr>
        <w:t>采购严重违法失信行为记录名单及其他不符合《中华人民共和国政府采购法》第二十二条规定条件</w:t>
      </w:r>
      <w:r>
        <w:rPr>
          <w:rFonts w:hint="eastAsia" w:ascii="宋体"/>
          <w:sz w:val="22"/>
          <w:szCs w:val="22"/>
        </w:rPr>
        <w:t>的情形。</w:t>
      </w:r>
    </w:p>
    <w:p w14:paraId="4F9C0E57">
      <w:pPr>
        <w:spacing w:line="440" w:lineRule="atLeast"/>
        <w:ind w:firstLine="440" w:firstLineChars="200"/>
        <w:jc w:val="left"/>
        <w:rPr>
          <w:rFonts w:ascii="宋体"/>
          <w:sz w:val="22"/>
          <w:szCs w:val="22"/>
        </w:rPr>
      </w:pPr>
      <w:r>
        <w:rPr>
          <w:rFonts w:hint="eastAsia" w:ascii="宋体"/>
          <w:sz w:val="22"/>
          <w:szCs w:val="22"/>
        </w:rPr>
        <w:t>九、没有</w:t>
      </w:r>
      <w:r>
        <w:rPr>
          <w:rFonts w:ascii="宋体"/>
          <w:sz w:val="22"/>
          <w:szCs w:val="22"/>
        </w:rPr>
        <w:t>被</w:t>
      </w:r>
      <w:r>
        <w:rPr>
          <w:rFonts w:hint="eastAsia" w:ascii="宋体"/>
          <w:sz w:val="22"/>
          <w:szCs w:val="22"/>
        </w:rPr>
        <w:t>各地、</w:t>
      </w:r>
      <w:r>
        <w:rPr>
          <w:rFonts w:ascii="宋体"/>
          <w:sz w:val="22"/>
          <w:szCs w:val="22"/>
        </w:rPr>
        <w:t>各级财政部门禁止参加</w:t>
      </w:r>
      <w:r>
        <w:rPr>
          <w:rFonts w:hint="eastAsia" w:ascii="宋体"/>
          <w:sz w:val="22"/>
          <w:szCs w:val="22"/>
        </w:rPr>
        <w:t>国企</w:t>
      </w:r>
      <w:r>
        <w:rPr>
          <w:rFonts w:ascii="宋体"/>
          <w:sz w:val="22"/>
          <w:szCs w:val="22"/>
        </w:rPr>
        <w:t>采购</w:t>
      </w:r>
      <w:r>
        <w:rPr>
          <w:rFonts w:hint="eastAsia" w:ascii="宋体"/>
          <w:sz w:val="22"/>
          <w:szCs w:val="22"/>
        </w:rPr>
        <w:t>活动，且在限制期限内。</w:t>
      </w:r>
    </w:p>
    <w:p w14:paraId="7ED002FB">
      <w:pPr>
        <w:spacing w:line="440" w:lineRule="atLeast"/>
        <w:ind w:firstLine="440" w:firstLineChars="200"/>
        <w:jc w:val="left"/>
        <w:rPr>
          <w:rFonts w:ascii="宋体"/>
          <w:sz w:val="22"/>
          <w:szCs w:val="22"/>
        </w:rPr>
      </w:pPr>
      <w:r>
        <w:rPr>
          <w:rFonts w:hint="eastAsia" w:ascii="宋体"/>
          <w:sz w:val="22"/>
          <w:szCs w:val="22"/>
        </w:rPr>
        <w:t>十、参与本项目国企采购活动3年内没有重大违法记录情况。</w:t>
      </w:r>
    </w:p>
    <w:p w14:paraId="756B45F2">
      <w:pPr>
        <w:spacing w:line="440" w:lineRule="atLeast"/>
        <w:ind w:firstLine="440" w:firstLineChars="200"/>
        <w:rPr>
          <w:rFonts w:ascii="宋体"/>
          <w:sz w:val="22"/>
          <w:szCs w:val="22"/>
        </w:rPr>
      </w:pPr>
      <w:r>
        <w:rPr>
          <w:rFonts w:hint="eastAsia" w:ascii="宋体"/>
          <w:sz w:val="22"/>
          <w:szCs w:val="22"/>
        </w:rPr>
        <w:t>本公司若有违反本承诺内容的行为，愿意承担法律责任，包括不限于：愿意接受相关行政主管部门作出的处罚；给采购人造成损失的，依法承担相应的赔偿责任。</w:t>
      </w:r>
    </w:p>
    <w:p w14:paraId="0310E7A1">
      <w:pPr>
        <w:spacing w:line="460" w:lineRule="atLeast"/>
        <w:ind w:right="1120" w:firstLine="2970" w:firstLineChars="1350"/>
        <w:rPr>
          <w:rFonts w:ascii="宋体"/>
          <w:sz w:val="22"/>
          <w:szCs w:val="22"/>
        </w:rPr>
      </w:pPr>
    </w:p>
    <w:p w14:paraId="402BEF72">
      <w:pPr>
        <w:spacing w:line="460" w:lineRule="atLeast"/>
        <w:ind w:right="1120" w:firstLine="2970" w:firstLineChars="1350"/>
        <w:rPr>
          <w:rFonts w:ascii="宋体"/>
          <w:sz w:val="22"/>
          <w:szCs w:val="22"/>
        </w:rPr>
      </w:pPr>
      <w:r>
        <w:rPr>
          <w:rFonts w:hint="eastAsia" w:ascii="宋体"/>
          <w:sz w:val="22"/>
          <w:szCs w:val="22"/>
        </w:rPr>
        <w:t>法定代表人（签字或签章）：</w:t>
      </w:r>
    </w:p>
    <w:p w14:paraId="3E2D041C">
      <w:pPr>
        <w:spacing w:line="460" w:lineRule="atLeast"/>
        <w:ind w:right="1120" w:firstLine="2970" w:firstLineChars="1350"/>
        <w:rPr>
          <w:rFonts w:ascii="宋体"/>
          <w:sz w:val="22"/>
          <w:szCs w:val="22"/>
        </w:rPr>
      </w:pPr>
      <w:r>
        <w:rPr>
          <w:rFonts w:hint="eastAsia" w:ascii="宋体"/>
          <w:sz w:val="22"/>
          <w:szCs w:val="22"/>
        </w:rPr>
        <w:t>投标供应商（盖章）</w:t>
      </w:r>
    </w:p>
    <w:p w14:paraId="28DD5127">
      <w:pPr>
        <w:spacing w:line="460" w:lineRule="atLeast"/>
        <w:ind w:right="1120" w:firstLine="2970" w:firstLineChars="1350"/>
        <w:rPr>
          <w:rFonts w:ascii="宋体"/>
        </w:rPr>
      </w:pPr>
      <w:r>
        <w:rPr>
          <w:rFonts w:hint="eastAsia" w:ascii="宋体"/>
          <w:sz w:val="22"/>
          <w:szCs w:val="22"/>
        </w:rPr>
        <w:t>承诺书签署日期：         年  月  日</w:t>
      </w:r>
    </w:p>
    <w:p w14:paraId="120E8758">
      <w:pPr>
        <w:spacing w:line="360" w:lineRule="exact"/>
        <w:jc w:val="left"/>
        <w:rPr>
          <w:rFonts w:ascii="宋体"/>
          <w:sz w:val="22"/>
          <w:szCs w:val="22"/>
          <w:u w:val="single"/>
        </w:rPr>
      </w:pPr>
    </w:p>
    <w:p w14:paraId="2092F093">
      <w:pPr>
        <w:spacing w:line="360" w:lineRule="exact"/>
        <w:jc w:val="left"/>
        <w:rPr>
          <w:rFonts w:ascii="宋体"/>
          <w:sz w:val="30"/>
        </w:rPr>
      </w:pPr>
      <w:r>
        <w:rPr>
          <w:rFonts w:hint="eastAsia" w:ascii="宋体"/>
          <w:sz w:val="22"/>
          <w:szCs w:val="22"/>
          <w:u w:val="single"/>
        </w:rPr>
        <w:t>备注：▲投标供应商必须提供本承诺书，不提供按无效投标处理。</w:t>
      </w:r>
    </w:p>
    <w:p w14:paraId="38595FD8">
      <w:pPr>
        <w:pStyle w:val="14"/>
        <w:spacing w:line="360" w:lineRule="exact"/>
        <w:jc w:val="center"/>
        <w:rPr>
          <w:rFonts w:hint="eastAsia" w:hAnsi="宋体"/>
          <w:sz w:val="32"/>
        </w:rPr>
      </w:pPr>
    </w:p>
    <w:p w14:paraId="2834F80C">
      <w:pPr>
        <w:spacing w:line="360" w:lineRule="exact"/>
        <w:jc w:val="left"/>
        <w:rPr>
          <w:rFonts w:ascii="宋体"/>
          <w:sz w:val="22"/>
          <w:u w:val="single"/>
        </w:rPr>
      </w:pPr>
    </w:p>
    <w:p w14:paraId="5CE4F94C">
      <w:pPr>
        <w:spacing w:line="360" w:lineRule="exact"/>
        <w:jc w:val="left"/>
        <w:rPr>
          <w:rFonts w:ascii="宋体"/>
          <w:sz w:val="22"/>
          <w:u w:val="single"/>
        </w:rPr>
      </w:pPr>
    </w:p>
    <w:p w14:paraId="3BED5C4C">
      <w:pPr>
        <w:pStyle w:val="22"/>
        <w:outlineLvl w:val="2"/>
        <w:rPr>
          <w:rFonts w:hint="eastAsia" w:ascii="宋体" w:hAnsi="宋体"/>
          <w:sz w:val="28"/>
          <w:szCs w:val="18"/>
          <w:lang w:val="zh-CN"/>
        </w:rPr>
      </w:pPr>
      <w:bookmarkStart w:id="1110" w:name="_Toc44607660"/>
      <w:r>
        <w:rPr>
          <w:rFonts w:hint="eastAsia" w:ascii="宋体" w:hAnsi="宋体"/>
          <w:sz w:val="28"/>
          <w:szCs w:val="18"/>
          <w:lang w:val="zh-CN"/>
        </w:rPr>
        <w:t>附件十</w:t>
      </w:r>
      <w:r>
        <w:rPr>
          <w:rFonts w:hint="eastAsia" w:ascii="宋体" w:hAnsi="宋体"/>
          <w:sz w:val="28"/>
          <w:szCs w:val="18"/>
        </w:rPr>
        <w:t>三</w:t>
      </w:r>
      <w:r>
        <w:rPr>
          <w:rFonts w:hint="eastAsia" w:ascii="宋体" w:hAnsi="宋体"/>
          <w:sz w:val="28"/>
          <w:szCs w:val="18"/>
          <w:lang w:val="zh-CN"/>
        </w:rPr>
        <w:t xml:space="preserve"> 偏离表</w:t>
      </w:r>
      <w:bookmarkEnd w:id="1110"/>
    </w:p>
    <w:p w14:paraId="46F2525D">
      <w:pPr>
        <w:spacing w:line="560" w:lineRule="exact"/>
        <w:ind w:firstLine="431" w:firstLineChars="196"/>
        <w:rPr>
          <w:rFonts w:ascii="宋体"/>
          <w:sz w:val="22"/>
          <w:szCs w:val="22"/>
        </w:rPr>
      </w:pPr>
      <w:r>
        <w:rPr>
          <w:rFonts w:hint="eastAsia" w:ascii="宋体"/>
          <w:sz w:val="22"/>
          <w:szCs w:val="22"/>
        </w:rPr>
        <w:t>项目名称：                                       项目编号：</w:t>
      </w:r>
    </w:p>
    <w:tbl>
      <w:tblPr>
        <w:tblStyle w:val="25"/>
        <w:tblpPr w:leftFromText="180" w:rightFromText="180" w:vertAnchor="text" w:horzAnchor="page" w:tblpX="1488" w:tblpY="543"/>
        <w:tblOverlap w:val="never"/>
        <w:tblW w:w="8836" w:type="dxa"/>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122"/>
        <w:gridCol w:w="1367"/>
        <w:gridCol w:w="2810"/>
        <w:gridCol w:w="2130"/>
        <w:gridCol w:w="1407"/>
      </w:tblGrid>
      <w:tr w14:paraId="454C68E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31" w:hRule="atLeast"/>
        </w:trPr>
        <w:tc>
          <w:tcPr>
            <w:tcW w:w="1122" w:type="dxa"/>
          </w:tcPr>
          <w:p w14:paraId="261A9274">
            <w:pPr>
              <w:jc w:val="center"/>
              <w:rPr>
                <w:rFonts w:ascii="宋体"/>
                <w:sz w:val="22"/>
                <w:szCs w:val="22"/>
              </w:rPr>
            </w:pPr>
            <w:r>
              <w:rPr>
                <w:rFonts w:hint="eastAsia" w:ascii="宋体"/>
                <w:sz w:val="22"/>
                <w:szCs w:val="22"/>
              </w:rPr>
              <w:t>内   容</w:t>
            </w:r>
          </w:p>
        </w:tc>
        <w:tc>
          <w:tcPr>
            <w:tcW w:w="1367" w:type="dxa"/>
          </w:tcPr>
          <w:p w14:paraId="408D42CC">
            <w:pPr>
              <w:jc w:val="center"/>
              <w:rPr>
                <w:rFonts w:ascii="宋体"/>
                <w:sz w:val="22"/>
                <w:szCs w:val="22"/>
              </w:rPr>
            </w:pPr>
            <w:r>
              <w:rPr>
                <w:rFonts w:hint="eastAsia" w:ascii="宋体"/>
                <w:sz w:val="22"/>
                <w:szCs w:val="22"/>
              </w:rPr>
              <w:t>磋商文件</w:t>
            </w:r>
          </w:p>
          <w:p w14:paraId="795AB99B">
            <w:pPr>
              <w:jc w:val="center"/>
              <w:rPr>
                <w:rFonts w:ascii="宋体"/>
                <w:sz w:val="22"/>
                <w:szCs w:val="22"/>
              </w:rPr>
            </w:pPr>
            <w:r>
              <w:rPr>
                <w:rFonts w:hint="eastAsia" w:ascii="宋体"/>
                <w:sz w:val="22"/>
                <w:szCs w:val="22"/>
              </w:rPr>
              <w:t>条目</w:t>
            </w:r>
          </w:p>
        </w:tc>
        <w:tc>
          <w:tcPr>
            <w:tcW w:w="2810" w:type="dxa"/>
          </w:tcPr>
          <w:p w14:paraId="1E7C2430">
            <w:pPr>
              <w:jc w:val="center"/>
              <w:rPr>
                <w:rFonts w:ascii="宋体"/>
                <w:sz w:val="22"/>
                <w:szCs w:val="22"/>
              </w:rPr>
            </w:pPr>
            <w:r>
              <w:rPr>
                <w:rFonts w:hint="eastAsia" w:ascii="宋体"/>
                <w:sz w:val="22"/>
                <w:szCs w:val="22"/>
              </w:rPr>
              <w:t>磋商文件</w:t>
            </w:r>
          </w:p>
          <w:p w14:paraId="2B2544E2">
            <w:pPr>
              <w:jc w:val="center"/>
              <w:rPr>
                <w:rFonts w:ascii="宋体"/>
                <w:sz w:val="22"/>
                <w:szCs w:val="22"/>
              </w:rPr>
            </w:pPr>
            <w:r>
              <w:rPr>
                <w:rFonts w:hint="eastAsia" w:ascii="宋体"/>
                <w:sz w:val="22"/>
                <w:szCs w:val="22"/>
              </w:rPr>
              <w:t>规格要求</w:t>
            </w:r>
          </w:p>
        </w:tc>
        <w:tc>
          <w:tcPr>
            <w:tcW w:w="2130" w:type="dxa"/>
          </w:tcPr>
          <w:p w14:paraId="55D9792E">
            <w:pPr>
              <w:jc w:val="center"/>
              <w:rPr>
                <w:rFonts w:ascii="宋体"/>
                <w:sz w:val="22"/>
                <w:szCs w:val="22"/>
              </w:rPr>
            </w:pPr>
            <w:r>
              <w:rPr>
                <w:rFonts w:hint="eastAsia" w:ascii="宋体"/>
                <w:sz w:val="22"/>
                <w:szCs w:val="22"/>
              </w:rPr>
              <w:t>磋商（响应）文件</w:t>
            </w:r>
          </w:p>
          <w:p w14:paraId="2064A449">
            <w:pPr>
              <w:jc w:val="center"/>
              <w:rPr>
                <w:rFonts w:ascii="宋体"/>
                <w:sz w:val="22"/>
                <w:szCs w:val="22"/>
              </w:rPr>
            </w:pPr>
            <w:r>
              <w:rPr>
                <w:rFonts w:hint="eastAsia" w:ascii="宋体"/>
                <w:sz w:val="22"/>
                <w:szCs w:val="22"/>
              </w:rPr>
              <w:t>对应规格</w:t>
            </w:r>
          </w:p>
        </w:tc>
        <w:tc>
          <w:tcPr>
            <w:tcW w:w="1407" w:type="dxa"/>
          </w:tcPr>
          <w:p w14:paraId="258D49A6">
            <w:pPr>
              <w:jc w:val="center"/>
              <w:rPr>
                <w:rFonts w:ascii="宋体"/>
                <w:sz w:val="22"/>
                <w:szCs w:val="22"/>
              </w:rPr>
            </w:pPr>
            <w:r>
              <w:rPr>
                <w:rFonts w:hint="eastAsia" w:ascii="宋体"/>
                <w:sz w:val="22"/>
                <w:szCs w:val="22"/>
              </w:rPr>
              <w:t>说   明</w:t>
            </w:r>
          </w:p>
        </w:tc>
      </w:tr>
      <w:tr w14:paraId="110BA05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804" w:hRule="atLeast"/>
        </w:trPr>
        <w:tc>
          <w:tcPr>
            <w:tcW w:w="1122" w:type="dxa"/>
            <w:vMerge w:val="restart"/>
            <w:tcBorders>
              <w:top w:val="single" w:color="auto" w:sz="4" w:space="0"/>
              <w:left w:val="single" w:color="auto" w:sz="12" w:space="0"/>
              <w:right w:val="single" w:color="auto" w:sz="4" w:space="0"/>
            </w:tcBorders>
          </w:tcPr>
          <w:p w14:paraId="6DE28BC5">
            <w:pPr>
              <w:rPr>
                <w:rFonts w:ascii="宋体"/>
                <w:sz w:val="22"/>
                <w:szCs w:val="22"/>
              </w:rPr>
            </w:pPr>
            <w:r>
              <w:rPr>
                <w:rFonts w:hint="eastAsia" w:ascii="宋体"/>
                <w:sz w:val="22"/>
                <w:szCs w:val="22"/>
              </w:rPr>
              <w:t>技术偏离</w:t>
            </w:r>
          </w:p>
        </w:tc>
        <w:tc>
          <w:tcPr>
            <w:tcW w:w="1367" w:type="dxa"/>
            <w:tcBorders>
              <w:top w:val="single" w:color="auto" w:sz="4" w:space="0"/>
              <w:left w:val="single" w:color="auto" w:sz="4" w:space="0"/>
              <w:right w:val="single" w:color="auto" w:sz="4" w:space="0"/>
            </w:tcBorders>
          </w:tcPr>
          <w:p w14:paraId="4869965E">
            <w:pPr>
              <w:jc w:val="center"/>
              <w:rPr>
                <w:rFonts w:ascii="宋体"/>
                <w:sz w:val="22"/>
                <w:szCs w:val="22"/>
              </w:rPr>
            </w:pPr>
          </w:p>
        </w:tc>
        <w:tc>
          <w:tcPr>
            <w:tcW w:w="2810" w:type="dxa"/>
            <w:tcBorders>
              <w:top w:val="single" w:color="auto" w:sz="4" w:space="0"/>
              <w:left w:val="single" w:color="auto" w:sz="4" w:space="0"/>
              <w:right w:val="single" w:color="auto" w:sz="4" w:space="0"/>
            </w:tcBorders>
          </w:tcPr>
          <w:p w14:paraId="74E9EB5F">
            <w:pPr>
              <w:jc w:val="center"/>
              <w:rPr>
                <w:rFonts w:ascii="宋体"/>
                <w:sz w:val="22"/>
                <w:szCs w:val="22"/>
              </w:rPr>
            </w:pPr>
          </w:p>
        </w:tc>
        <w:tc>
          <w:tcPr>
            <w:tcW w:w="2130" w:type="dxa"/>
            <w:tcBorders>
              <w:top w:val="single" w:color="auto" w:sz="4" w:space="0"/>
              <w:left w:val="single" w:color="auto" w:sz="4" w:space="0"/>
              <w:right w:val="single" w:color="auto" w:sz="4" w:space="0"/>
            </w:tcBorders>
          </w:tcPr>
          <w:p w14:paraId="37FFAFA1">
            <w:pPr>
              <w:jc w:val="center"/>
              <w:rPr>
                <w:rFonts w:ascii="宋体"/>
                <w:sz w:val="22"/>
                <w:szCs w:val="22"/>
              </w:rPr>
            </w:pPr>
          </w:p>
        </w:tc>
        <w:tc>
          <w:tcPr>
            <w:tcW w:w="1407" w:type="dxa"/>
            <w:tcBorders>
              <w:top w:val="single" w:color="auto" w:sz="4" w:space="0"/>
              <w:left w:val="single" w:color="auto" w:sz="4" w:space="0"/>
              <w:right w:val="single" w:color="auto" w:sz="12" w:space="0"/>
            </w:tcBorders>
          </w:tcPr>
          <w:p w14:paraId="56788E9C">
            <w:pPr>
              <w:jc w:val="center"/>
              <w:rPr>
                <w:rFonts w:ascii="宋体"/>
                <w:sz w:val="22"/>
                <w:szCs w:val="22"/>
              </w:rPr>
            </w:pPr>
          </w:p>
        </w:tc>
      </w:tr>
      <w:tr w14:paraId="346A0C3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804" w:hRule="atLeast"/>
        </w:trPr>
        <w:tc>
          <w:tcPr>
            <w:tcW w:w="1122" w:type="dxa"/>
            <w:vMerge w:val="continue"/>
            <w:tcBorders>
              <w:top w:val="single" w:color="auto" w:sz="4" w:space="0"/>
              <w:left w:val="single" w:color="auto" w:sz="12" w:space="0"/>
              <w:right w:val="single" w:color="auto" w:sz="4" w:space="0"/>
            </w:tcBorders>
          </w:tcPr>
          <w:p w14:paraId="467A1B05"/>
        </w:tc>
        <w:tc>
          <w:tcPr>
            <w:tcW w:w="1367" w:type="dxa"/>
            <w:tcBorders>
              <w:top w:val="single" w:color="auto" w:sz="4" w:space="0"/>
              <w:left w:val="single" w:color="auto" w:sz="4" w:space="0"/>
              <w:right w:val="single" w:color="auto" w:sz="4" w:space="0"/>
            </w:tcBorders>
          </w:tcPr>
          <w:p w14:paraId="3D3E6056">
            <w:pPr>
              <w:jc w:val="center"/>
              <w:rPr>
                <w:rFonts w:ascii="宋体"/>
                <w:sz w:val="22"/>
                <w:szCs w:val="22"/>
              </w:rPr>
            </w:pPr>
          </w:p>
        </w:tc>
        <w:tc>
          <w:tcPr>
            <w:tcW w:w="2810" w:type="dxa"/>
            <w:tcBorders>
              <w:top w:val="single" w:color="auto" w:sz="4" w:space="0"/>
              <w:left w:val="single" w:color="auto" w:sz="4" w:space="0"/>
              <w:right w:val="single" w:color="auto" w:sz="4" w:space="0"/>
            </w:tcBorders>
          </w:tcPr>
          <w:p w14:paraId="314B4460">
            <w:pPr>
              <w:jc w:val="center"/>
              <w:rPr>
                <w:rFonts w:ascii="宋体"/>
                <w:sz w:val="22"/>
                <w:szCs w:val="22"/>
              </w:rPr>
            </w:pPr>
          </w:p>
        </w:tc>
        <w:tc>
          <w:tcPr>
            <w:tcW w:w="2130" w:type="dxa"/>
            <w:tcBorders>
              <w:top w:val="single" w:color="auto" w:sz="4" w:space="0"/>
              <w:left w:val="single" w:color="auto" w:sz="4" w:space="0"/>
              <w:right w:val="single" w:color="auto" w:sz="4" w:space="0"/>
            </w:tcBorders>
          </w:tcPr>
          <w:p w14:paraId="09854018">
            <w:pPr>
              <w:jc w:val="center"/>
              <w:rPr>
                <w:rFonts w:ascii="宋体"/>
                <w:sz w:val="22"/>
                <w:szCs w:val="22"/>
              </w:rPr>
            </w:pPr>
          </w:p>
        </w:tc>
        <w:tc>
          <w:tcPr>
            <w:tcW w:w="1407" w:type="dxa"/>
            <w:tcBorders>
              <w:top w:val="single" w:color="auto" w:sz="4" w:space="0"/>
              <w:left w:val="single" w:color="auto" w:sz="4" w:space="0"/>
              <w:right w:val="single" w:color="auto" w:sz="12" w:space="0"/>
            </w:tcBorders>
          </w:tcPr>
          <w:p w14:paraId="4AD4F82E">
            <w:pPr>
              <w:jc w:val="center"/>
              <w:rPr>
                <w:rFonts w:ascii="宋体"/>
                <w:sz w:val="22"/>
                <w:szCs w:val="22"/>
              </w:rPr>
            </w:pPr>
          </w:p>
        </w:tc>
      </w:tr>
      <w:tr w14:paraId="7696720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804" w:hRule="atLeast"/>
        </w:trPr>
        <w:tc>
          <w:tcPr>
            <w:tcW w:w="1122" w:type="dxa"/>
            <w:vMerge w:val="continue"/>
            <w:tcBorders>
              <w:top w:val="single" w:color="auto" w:sz="4" w:space="0"/>
              <w:left w:val="single" w:color="auto" w:sz="12" w:space="0"/>
              <w:right w:val="single" w:color="auto" w:sz="4" w:space="0"/>
            </w:tcBorders>
          </w:tcPr>
          <w:p w14:paraId="64B3E23C"/>
        </w:tc>
        <w:tc>
          <w:tcPr>
            <w:tcW w:w="1367" w:type="dxa"/>
            <w:tcBorders>
              <w:top w:val="single" w:color="auto" w:sz="4" w:space="0"/>
              <w:left w:val="single" w:color="auto" w:sz="4" w:space="0"/>
              <w:right w:val="single" w:color="auto" w:sz="4" w:space="0"/>
            </w:tcBorders>
          </w:tcPr>
          <w:p w14:paraId="47C177C8">
            <w:pPr>
              <w:jc w:val="center"/>
              <w:rPr>
                <w:rFonts w:ascii="宋体"/>
                <w:sz w:val="22"/>
                <w:szCs w:val="22"/>
              </w:rPr>
            </w:pPr>
          </w:p>
        </w:tc>
        <w:tc>
          <w:tcPr>
            <w:tcW w:w="2810" w:type="dxa"/>
            <w:tcBorders>
              <w:top w:val="single" w:color="auto" w:sz="4" w:space="0"/>
              <w:left w:val="single" w:color="auto" w:sz="4" w:space="0"/>
              <w:right w:val="single" w:color="auto" w:sz="4" w:space="0"/>
            </w:tcBorders>
          </w:tcPr>
          <w:p w14:paraId="0F5C53AB">
            <w:pPr>
              <w:jc w:val="center"/>
              <w:rPr>
                <w:rFonts w:ascii="宋体"/>
                <w:sz w:val="22"/>
                <w:szCs w:val="22"/>
              </w:rPr>
            </w:pPr>
          </w:p>
        </w:tc>
        <w:tc>
          <w:tcPr>
            <w:tcW w:w="2130" w:type="dxa"/>
            <w:tcBorders>
              <w:top w:val="single" w:color="auto" w:sz="4" w:space="0"/>
              <w:left w:val="single" w:color="auto" w:sz="4" w:space="0"/>
              <w:right w:val="single" w:color="auto" w:sz="4" w:space="0"/>
            </w:tcBorders>
          </w:tcPr>
          <w:p w14:paraId="7E85B3CD">
            <w:pPr>
              <w:jc w:val="center"/>
              <w:rPr>
                <w:rFonts w:ascii="宋体"/>
                <w:sz w:val="22"/>
                <w:szCs w:val="22"/>
              </w:rPr>
            </w:pPr>
          </w:p>
        </w:tc>
        <w:tc>
          <w:tcPr>
            <w:tcW w:w="1407" w:type="dxa"/>
            <w:tcBorders>
              <w:top w:val="single" w:color="auto" w:sz="4" w:space="0"/>
              <w:left w:val="single" w:color="auto" w:sz="4" w:space="0"/>
              <w:right w:val="single" w:color="auto" w:sz="12" w:space="0"/>
            </w:tcBorders>
          </w:tcPr>
          <w:p w14:paraId="20EA98B4">
            <w:pPr>
              <w:jc w:val="center"/>
              <w:rPr>
                <w:rFonts w:ascii="宋体"/>
                <w:sz w:val="22"/>
                <w:szCs w:val="22"/>
              </w:rPr>
            </w:pPr>
          </w:p>
        </w:tc>
      </w:tr>
      <w:tr w14:paraId="44D62FB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804" w:hRule="atLeast"/>
        </w:trPr>
        <w:tc>
          <w:tcPr>
            <w:tcW w:w="1122" w:type="dxa"/>
            <w:vMerge w:val="continue"/>
            <w:tcBorders>
              <w:top w:val="single" w:color="auto" w:sz="4" w:space="0"/>
              <w:left w:val="single" w:color="auto" w:sz="12" w:space="0"/>
              <w:right w:val="single" w:color="auto" w:sz="4" w:space="0"/>
            </w:tcBorders>
          </w:tcPr>
          <w:p w14:paraId="66754CB4"/>
        </w:tc>
        <w:tc>
          <w:tcPr>
            <w:tcW w:w="1367" w:type="dxa"/>
            <w:tcBorders>
              <w:top w:val="single" w:color="auto" w:sz="4" w:space="0"/>
              <w:left w:val="single" w:color="auto" w:sz="4" w:space="0"/>
              <w:right w:val="single" w:color="auto" w:sz="4" w:space="0"/>
            </w:tcBorders>
          </w:tcPr>
          <w:p w14:paraId="19136CDE">
            <w:pPr>
              <w:jc w:val="center"/>
              <w:rPr>
                <w:rFonts w:ascii="宋体"/>
                <w:sz w:val="22"/>
                <w:szCs w:val="22"/>
              </w:rPr>
            </w:pPr>
          </w:p>
        </w:tc>
        <w:tc>
          <w:tcPr>
            <w:tcW w:w="2810" w:type="dxa"/>
            <w:tcBorders>
              <w:top w:val="single" w:color="auto" w:sz="4" w:space="0"/>
              <w:left w:val="single" w:color="auto" w:sz="4" w:space="0"/>
              <w:right w:val="single" w:color="auto" w:sz="4" w:space="0"/>
            </w:tcBorders>
          </w:tcPr>
          <w:p w14:paraId="190EF360">
            <w:pPr>
              <w:jc w:val="center"/>
              <w:rPr>
                <w:rFonts w:ascii="宋体"/>
                <w:sz w:val="22"/>
                <w:szCs w:val="22"/>
              </w:rPr>
            </w:pPr>
          </w:p>
        </w:tc>
        <w:tc>
          <w:tcPr>
            <w:tcW w:w="2130" w:type="dxa"/>
            <w:tcBorders>
              <w:top w:val="single" w:color="auto" w:sz="4" w:space="0"/>
              <w:left w:val="single" w:color="auto" w:sz="4" w:space="0"/>
              <w:right w:val="single" w:color="auto" w:sz="4" w:space="0"/>
            </w:tcBorders>
          </w:tcPr>
          <w:p w14:paraId="21B5D0A5">
            <w:pPr>
              <w:jc w:val="center"/>
              <w:rPr>
                <w:rFonts w:ascii="宋体"/>
                <w:sz w:val="22"/>
                <w:szCs w:val="22"/>
              </w:rPr>
            </w:pPr>
          </w:p>
        </w:tc>
        <w:tc>
          <w:tcPr>
            <w:tcW w:w="1407" w:type="dxa"/>
            <w:tcBorders>
              <w:top w:val="single" w:color="auto" w:sz="4" w:space="0"/>
              <w:left w:val="single" w:color="auto" w:sz="4" w:space="0"/>
              <w:right w:val="single" w:color="auto" w:sz="12" w:space="0"/>
            </w:tcBorders>
          </w:tcPr>
          <w:p w14:paraId="4A4FE865">
            <w:pPr>
              <w:jc w:val="center"/>
              <w:rPr>
                <w:rFonts w:ascii="宋体"/>
                <w:sz w:val="22"/>
                <w:szCs w:val="22"/>
              </w:rPr>
            </w:pPr>
          </w:p>
        </w:tc>
      </w:tr>
      <w:tr w14:paraId="480CC8E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804" w:hRule="atLeast"/>
        </w:trPr>
        <w:tc>
          <w:tcPr>
            <w:tcW w:w="1122" w:type="dxa"/>
            <w:vMerge w:val="continue"/>
            <w:tcBorders>
              <w:top w:val="single" w:color="auto" w:sz="4" w:space="0"/>
              <w:left w:val="single" w:color="auto" w:sz="12" w:space="0"/>
              <w:right w:val="single" w:color="auto" w:sz="4" w:space="0"/>
            </w:tcBorders>
          </w:tcPr>
          <w:p w14:paraId="795E3D18"/>
        </w:tc>
        <w:tc>
          <w:tcPr>
            <w:tcW w:w="1367" w:type="dxa"/>
            <w:tcBorders>
              <w:top w:val="single" w:color="auto" w:sz="4" w:space="0"/>
              <w:left w:val="single" w:color="auto" w:sz="4" w:space="0"/>
              <w:right w:val="single" w:color="auto" w:sz="4" w:space="0"/>
            </w:tcBorders>
          </w:tcPr>
          <w:p w14:paraId="6CAFD367">
            <w:pPr>
              <w:jc w:val="center"/>
              <w:rPr>
                <w:rFonts w:ascii="宋体"/>
                <w:sz w:val="22"/>
                <w:szCs w:val="22"/>
              </w:rPr>
            </w:pPr>
          </w:p>
        </w:tc>
        <w:tc>
          <w:tcPr>
            <w:tcW w:w="2810" w:type="dxa"/>
            <w:tcBorders>
              <w:top w:val="single" w:color="auto" w:sz="4" w:space="0"/>
              <w:left w:val="single" w:color="auto" w:sz="4" w:space="0"/>
              <w:right w:val="single" w:color="auto" w:sz="4" w:space="0"/>
            </w:tcBorders>
          </w:tcPr>
          <w:p w14:paraId="4CF68A08">
            <w:pPr>
              <w:jc w:val="center"/>
              <w:rPr>
                <w:rFonts w:ascii="宋体"/>
                <w:sz w:val="22"/>
                <w:szCs w:val="22"/>
              </w:rPr>
            </w:pPr>
          </w:p>
        </w:tc>
        <w:tc>
          <w:tcPr>
            <w:tcW w:w="2130" w:type="dxa"/>
            <w:tcBorders>
              <w:top w:val="single" w:color="auto" w:sz="4" w:space="0"/>
              <w:left w:val="single" w:color="auto" w:sz="4" w:space="0"/>
              <w:right w:val="single" w:color="auto" w:sz="4" w:space="0"/>
            </w:tcBorders>
          </w:tcPr>
          <w:p w14:paraId="7AE7D99A">
            <w:pPr>
              <w:jc w:val="center"/>
              <w:rPr>
                <w:rFonts w:ascii="宋体"/>
                <w:sz w:val="22"/>
                <w:szCs w:val="22"/>
              </w:rPr>
            </w:pPr>
          </w:p>
        </w:tc>
        <w:tc>
          <w:tcPr>
            <w:tcW w:w="1407" w:type="dxa"/>
            <w:tcBorders>
              <w:top w:val="single" w:color="auto" w:sz="4" w:space="0"/>
              <w:left w:val="single" w:color="auto" w:sz="4" w:space="0"/>
              <w:right w:val="single" w:color="auto" w:sz="12" w:space="0"/>
            </w:tcBorders>
          </w:tcPr>
          <w:p w14:paraId="6914FE55">
            <w:pPr>
              <w:jc w:val="center"/>
              <w:rPr>
                <w:rFonts w:ascii="宋体"/>
                <w:sz w:val="22"/>
                <w:szCs w:val="22"/>
              </w:rPr>
            </w:pPr>
          </w:p>
        </w:tc>
      </w:tr>
      <w:tr w14:paraId="2D20C61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804" w:hRule="atLeast"/>
        </w:trPr>
        <w:tc>
          <w:tcPr>
            <w:tcW w:w="1122" w:type="dxa"/>
            <w:vMerge w:val="restart"/>
            <w:tcBorders>
              <w:top w:val="single" w:color="auto" w:sz="4" w:space="0"/>
              <w:left w:val="single" w:color="auto" w:sz="12" w:space="0"/>
              <w:right w:val="single" w:color="auto" w:sz="4" w:space="0"/>
            </w:tcBorders>
          </w:tcPr>
          <w:p w14:paraId="7246884F">
            <w:pPr>
              <w:rPr>
                <w:rFonts w:ascii="宋体"/>
                <w:sz w:val="22"/>
                <w:szCs w:val="22"/>
              </w:rPr>
            </w:pPr>
            <w:r>
              <w:rPr>
                <w:rFonts w:hint="eastAsia" w:ascii="宋体"/>
                <w:sz w:val="22"/>
                <w:szCs w:val="22"/>
              </w:rPr>
              <w:t>商务偏离</w:t>
            </w:r>
          </w:p>
        </w:tc>
        <w:tc>
          <w:tcPr>
            <w:tcW w:w="1367" w:type="dxa"/>
            <w:tcBorders>
              <w:top w:val="single" w:color="auto" w:sz="4" w:space="0"/>
              <w:left w:val="single" w:color="auto" w:sz="4" w:space="0"/>
              <w:right w:val="single" w:color="auto" w:sz="4" w:space="0"/>
            </w:tcBorders>
          </w:tcPr>
          <w:p w14:paraId="25E427F4">
            <w:pPr>
              <w:jc w:val="center"/>
              <w:rPr>
                <w:rFonts w:ascii="宋体"/>
                <w:sz w:val="22"/>
                <w:szCs w:val="22"/>
              </w:rPr>
            </w:pPr>
          </w:p>
        </w:tc>
        <w:tc>
          <w:tcPr>
            <w:tcW w:w="2810" w:type="dxa"/>
            <w:tcBorders>
              <w:top w:val="single" w:color="auto" w:sz="4" w:space="0"/>
              <w:left w:val="single" w:color="auto" w:sz="4" w:space="0"/>
              <w:right w:val="single" w:color="auto" w:sz="4" w:space="0"/>
            </w:tcBorders>
          </w:tcPr>
          <w:p w14:paraId="13E4AE71">
            <w:pPr>
              <w:jc w:val="center"/>
              <w:rPr>
                <w:rFonts w:ascii="宋体"/>
                <w:sz w:val="22"/>
                <w:szCs w:val="22"/>
              </w:rPr>
            </w:pPr>
          </w:p>
        </w:tc>
        <w:tc>
          <w:tcPr>
            <w:tcW w:w="2130" w:type="dxa"/>
            <w:tcBorders>
              <w:top w:val="single" w:color="auto" w:sz="4" w:space="0"/>
              <w:left w:val="single" w:color="auto" w:sz="4" w:space="0"/>
              <w:right w:val="single" w:color="auto" w:sz="4" w:space="0"/>
            </w:tcBorders>
          </w:tcPr>
          <w:p w14:paraId="5CE41205">
            <w:pPr>
              <w:jc w:val="center"/>
              <w:rPr>
                <w:rFonts w:ascii="宋体"/>
                <w:sz w:val="22"/>
                <w:szCs w:val="22"/>
              </w:rPr>
            </w:pPr>
          </w:p>
        </w:tc>
        <w:tc>
          <w:tcPr>
            <w:tcW w:w="1407" w:type="dxa"/>
            <w:tcBorders>
              <w:top w:val="single" w:color="auto" w:sz="4" w:space="0"/>
              <w:left w:val="single" w:color="auto" w:sz="4" w:space="0"/>
              <w:right w:val="single" w:color="auto" w:sz="12" w:space="0"/>
            </w:tcBorders>
          </w:tcPr>
          <w:p w14:paraId="25B421BB">
            <w:pPr>
              <w:jc w:val="center"/>
              <w:rPr>
                <w:rFonts w:ascii="宋体"/>
                <w:sz w:val="22"/>
                <w:szCs w:val="22"/>
              </w:rPr>
            </w:pPr>
          </w:p>
        </w:tc>
      </w:tr>
      <w:tr w14:paraId="7892037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804" w:hRule="atLeast"/>
        </w:trPr>
        <w:tc>
          <w:tcPr>
            <w:tcW w:w="1122" w:type="dxa"/>
            <w:vMerge w:val="continue"/>
            <w:tcBorders>
              <w:top w:val="single" w:color="auto" w:sz="4" w:space="0"/>
              <w:left w:val="single" w:color="auto" w:sz="12" w:space="0"/>
              <w:right w:val="single" w:color="auto" w:sz="4" w:space="0"/>
            </w:tcBorders>
          </w:tcPr>
          <w:p w14:paraId="0FDEAA36"/>
        </w:tc>
        <w:tc>
          <w:tcPr>
            <w:tcW w:w="1367" w:type="dxa"/>
            <w:tcBorders>
              <w:top w:val="single" w:color="auto" w:sz="4" w:space="0"/>
              <w:left w:val="single" w:color="auto" w:sz="4" w:space="0"/>
              <w:right w:val="single" w:color="auto" w:sz="4" w:space="0"/>
            </w:tcBorders>
          </w:tcPr>
          <w:p w14:paraId="3978DF9D">
            <w:pPr>
              <w:jc w:val="center"/>
              <w:rPr>
                <w:rFonts w:ascii="宋体"/>
                <w:sz w:val="22"/>
                <w:szCs w:val="22"/>
              </w:rPr>
            </w:pPr>
          </w:p>
        </w:tc>
        <w:tc>
          <w:tcPr>
            <w:tcW w:w="2810" w:type="dxa"/>
            <w:tcBorders>
              <w:top w:val="single" w:color="auto" w:sz="4" w:space="0"/>
              <w:left w:val="single" w:color="auto" w:sz="4" w:space="0"/>
              <w:right w:val="single" w:color="auto" w:sz="4" w:space="0"/>
            </w:tcBorders>
          </w:tcPr>
          <w:p w14:paraId="4CA82546">
            <w:pPr>
              <w:jc w:val="center"/>
              <w:rPr>
                <w:rFonts w:ascii="宋体"/>
                <w:sz w:val="22"/>
                <w:szCs w:val="22"/>
              </w:rPr>
            </w:pPr>
          </w:p>
        </w:tc>
        <w:tc>
          <w:tcPr>
            <w:tcW w:w="2130" w:type="dxa"/>
            <w:tcBorders>
              <w:top w:val="single" w:color="auto" w:sz="4" w:space="0"/>
              <w:left w:val="single" w:color="auto" w:sz="4" w:space="0"/>
              <w:right w:val="single" w:color="auto" w:sz="4" w:space="0"/>
            </w:tcBorders>
          </w:tcPr>
          <w:p w14:paraId="6D049068">
            <w:pPr>
              <w:jc w:val="center"/>
              <w:rPr>
                <w:rFonts w:ascii="宋体"/>
                <w:sz w:val="22"/>
                <w:szCs w:val="22"/>
              </w:rPr>
            </w:pPr>
          </w:p>
        </w:tc>
        <w:tc>
          <w:tcPr>
            <w:tcW w:w="1407" w:type="dxa"/>
            <w:tcBorders>
              <w:top w:val="single" w:color="auto" w:sz="4" w:space="0"/>
              <w:left w:val="single" w:color="auto" w:sz="4" w:space="0"/>
              <w:right w:val="single" w:color="auto" w:sz="12" w:space="0"/>
            </w:tcBorders>
          </w:tcPr>
          <w:p w14:paraId="33FF5BC3">
            <w:pPr>
              <w:jc w:val="center"/>
              <w:rPr>
                <w:rFonts w:ascii="宋体"/>
                <w:sz w:val="22"/>
                <w:szCs w:val="22"/>
              </w:rPr>
            </w:pPr>
          </w:p>
        </w:tc>
      </w:tr>
      <w:tr w14:paraId="4713E93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804" w:hRule="atLeast"/>
        </w:trPr>
        <w:tc>
          <w:tcPr>
            <w:tcW w:w="1122" w:type="dxa"/>
            <w:vMerge w:val="continue"/>
            <w:tcBorders>
              <w:top w:val="single" w:color="auto" w:sz="4" w:space="0"/>
              <w:left w:val="single" w:color="auto" w:sz="12" w:space="0"/>
              <w:right w:val="single" w:color="auto" w:sz="4" w:space="0"/>
            </w:tcBorders>
          </w:tcPr>
          <w:p w14:paraId="154F4C3A"/>
        </w:tc>
        <w:tc>
          <w:tcPr>
            <w:tcW w:w="1367" w:type="dxa"/>
            <w:tcBorders>
              <w:top w:val="single" w:color="auto" w:sz="4" w:space="0"/>
              <w:left w:val="single" w:color="auto" w:sz="4" w:space="0"/>
              <w:right w:val="single" w:color="auto" w:sz="4" w:space="0"/>
            </w:tcBorders>
          </w:tcPr>
          <w:p w14:paraId="7228353A">
            <w:pPr>
              <w:jc w:val="center"/>
              <w:rPr>
                <w:rFonts w:ascii="宋体"/>
                <w:sz w:val="22"/>
                <w:szCs w:val="22"/>
              </w:rPr>
            </w:pPr>
          </w:p>
        </w:tc>
        <w:tc>
          <w:tcPr>
            <w:tcW w:w="2810" w:type="dxa"/>
            <w:tcBorders>
              <w:top w:val="single" w:color="auto" w:sz="4" w:space="0"/>
              <w:left w:val="single" w:color="auto" w:sz="4" w:space="0"/>
              <w:right w:val="single" w:color="auto" w:sz="4" w:space="0"/>
            </w:tcBorders>
          </w:tcPr>
          <w:p w14:paraId="7B7C5CA6">
            <w:pPr>
              <w:jc w:val="center"/>
              <w:rPr>
                <w:rFonts w:ascii="宋体"/>
                <w:sz w:val="22"/>
                <w:szCs w:val="22"/>
              </w:rPr>
            </w:pPr>
          </w:p>
        </w:tc>
        <w:tc>
          <w:tcPr>
            <w:tcW w:w="2130" w:type="dxa"/>
            <w:tcBorders>
              <w:top w:val="single" w:color="auto" w:sz="4" w:space="0"/>
              <w:left w:val="single" w:color="auto" w:sz="4" w:space="0"/>
              <w:right w:val="single" w:color="auto" w:sz="4" w:space="0"/>
            </w:tcBorders>
          </w:tcPr>
          <w:p w14:paraId="712C7ACF">
            <w:pPr>
              <w:jc w:val="center"/>
              <w:rPr>
                <w:rFonts w:ascii="宋体"/>
                <w:sz w:val="22"/>
                <w:szCs w:val="22"/>
              </w:rPr>
            </w:pPr>
          </w:p>
        </w:tc>
        <w:tc>
          <w:tcPr>
            <w:tcW w:w="1407" w:type="dxa"/>
            <w:tcBorders>
              <w:top w:val="single" w:color="auto" w:sz="4" w:space="0"/>
              <w:left w:val="single" w:color="auto" w:sz="4" w:space="0"/>
              <w:right w:val="single" w:color="auto" w:sz="12" w:space="0"/>
            </w:tcBorders>
          </w:tcPr>
          <w:p w14:paraId="2A20000F">
            <w:pPr>
              <w:jc w:val="center"/>
              <w:rPr>
                <w:rFonts w:ascii="宋体"/>
                <w:sz w:val="22"/>
                <w:szCs w:val="22"/>
              </w:rPr>
            </w:pPr>
          </w:p>
        </w:tc>
      </w:tr>
      <w:tr w14:paraId="62E5B04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804" w:hRule="atLeast"/>
        </w:trPr>
        <w:tc>
          <w:tcPr>
            <w:tcW w:w="1122" w:type="dxa"/>
            <w:vMerge w:val="continue"/>
            <w:tcBorders>
              <w:top w:val="single" w:color="auto" w:sz="4" w:space="0"/>
              <w:left w:val="single" w:color="auto" w:sz="12" w:space="0"/>
              <w:right w:val="single" w:color="auto" w:sz="4" w:space="0"/>
            </w:tcBorders>
          </w:tcPr>
          <w:p w14:paraId="5A3AD18B"/>
        </w:tc>
        <w:tc>
          <w:tcPr>
            <w:tcW w:w="1367" w:type="dxa"/>
            <w:tcBorders>
              <w:top w:val="single" w:color="auto" w:sz="4" w:space="0"/>
              <w:left w:val="single" w:color="auto" w:sz="4" w:space="0"/>
              <w:right w:val="single" w:color="auto" w:sz="4" w:space="0"/>
            </w:tcBorders>
          </w:tcPr>
          <w:p w14:paraId="188B2C7F">
            <w:pPr>
              <w:jc w:val="center"/>
              <w:rPr>
                <w:rFonts w:ascii="宋体"/>
                <w:sz w:val="22"/>
                <w:szCs w:val="22"/>
              </w:rPr>
            </w:pPr>
          </w:p>
        </w:tc>
        <w:tc>
          <w:tcPr>
            <w:tcW w:w="2810" w:type="dxa"/>
            <w:tcBorders>
              <w:top w:val="single" w:color="auto" w:sz="4" w:space="0"/>
              <w:left w:val="single" w:color="auto" w:sz="4" w:space="0"/>
              <w:right w:val="single" w:color="auto" w:sz="4" w:space="0"/>
            </w:tcBorders>
          </w:tcPr>
          <w:p w14:paraId="0B73AEF1">
            <w:pPr>
              <w:jc w:val="center"/>
              <w:rPr>
                <w:rFonts w:ascii="宋体"/>
                <w:sz w:val="22"/>
                <w:szCs w:val="22"/>
              </w:rPr>
            </w:pPr>
          </w:p>
        </w:tc>
        <w:tc>
          <w:tcPr>
            <w:tcW w:w="2130" w:type="dxa"/>
            <w:tcBorders>
              <w:top w:val="single" w:color="auto" w:sz="4" w:space="0"/>
              <w:left w:val="single" w:color="auto" w:sz="4" w:space="0"/>
              <w:right w:val="single" w:color="auto" w:sz="4" w:space="0"/>
            </w:tcBorders>
          </w:tcPr>
          <w:p w14:paraId="09FA78EE">
            <w:pPr>
              <w:jc w:val="center"/>
              <w:rPr>
                <w:rFonts w:ascii="宋体"/>
                <w:sz w:val="22"/>
                <w:szCs w:val="22"/>
              </w:rPr>
            </w:pPr>
          </w:p>
        </w:tc>
        <w:tc>
          <w:tcPr>
            <w:tcW w:w="1407" w:type="dxa"/>
            <w:tcBorders>
              <w:top w:val="single" w:color="auto" w:sz="4" w:space="0"/>
              <w:left w:val="single" w:color="auto" w:sz="4" w:space="0"/>
              <w:right w:val="single" w:color="auto" w:sz="12" w:space="0"/>
            </w:tcBorders>
          </w:tcPr>
          <w:p w14:paraId="10AE7AAE">
            <w:pPr>
              <w:jc w:val="center"/>
              <w:rPr>
                <w:rFonts w:ascii="宋体"/>
                <w:sz w:val="22"/>
                <w:szCs w:val="22"/>
              </w:rPr>
            </w:pPr>
          </w:p>
        </w:tc>
      </w:tr>
      <w:tr w14:paraId="2557B5A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804" w:hRule="atLeast"/>
        </w:trPr>
        <w:tc>
          <w:tcPr>
            <w:tcW w:w="1122" w:type="dxa"/>
            <w:vMerge w:val="continue"/>
            <w:tcBorders>
              <w:top w:val="single" w:color="auto" w:sz="4" w:space="0"/>
              <w:left w:val="single" w:color="auto" w:sz="12" w:space="0"/>
              <w:right w:val="single" w:color="auto" w:sz="4" w:space="0"/>
            </w:tcBorders>
          </w:tcPr>
          <w:p w14:paraId="175167C0"/>
        </w:tc>
        <w:tc>
          <w:tcPr>
            <w:tcW w:w="1367" w:type="dxa"/>
            <w:tcBorders>
              <w:top w:val="single" w:color="auto" w:sz="4" w:space="0"/>
              <w:left w:val="single" w:color="auto" w:sz="4" w:space="0"/>
              <w:right w:val="single" w:color="auto" w:sz="4" w:space="0"/>
            </w:tcBorders>
          </w:tcPr>
          <w:p w14:paraId="66E392A2">
            <w:pPr>
              <w:jc w:val="center"/>
              <w:rPr>
                <w:rFonts w:ascii="宋体"/>
                <w:sz w:val="22"/>
                <w:szCs w:val="22"/>
              </w:rPr>
            </w:pPr>
          </w:p>
        </w:tc>
        <w:tc>
          <w:tcPr>
            <w:tcW w:w="2810" w:type="dxa"/>
            <w:tcBorders>
              <w:top w:val="single" w:color="auto" w:sz="4" w:space="0"/>
              <w:left w:val="single" w:color="auto" w:sz="4" w:space="0"/>
              <w:right w:val="single" w:color="auto" w:sz="4" w:space="0"/>
            </w:tcBorders>
          </w:tcPr>
          <w:p w14:paraId="6CAFE56A">
            <w:pPr>
              <w:jc w:val="center"/>
              <w:rPr>
                <w:rFonts w:ascii="宋体"/>
                <w:sz w:val="22"/>
                <w:szCs w:val="22"/>
              </w:rPr>
            </w:pPr>
          </w:p>
        </w:tc>
        <w:tc>
          <w:tcPr>
            <w:tcW w:w="2130" w:type="dxa"/>
            <w:tcBorders>
              <w:top w:val="single" w:color="auto" w:sz="4" w:space="0"/>
              <w:left w:val="single" w:color="auto" w:sz="4" w:space="0"/>
              <w:right w:val="single" w:color="auto" w:sz="4" w:space="0"/>
            </w:tcBorders>
          </w:tcPr>
          <w:p w14:paraId="243DDFA5">
            <w:pPr>
              <w:jc w:val="center"/>
              <w:rPr>
                <w:rFonts w:ascii="宋体"/>
                <w:sz w:val="22"/>
                <w:szCs w:val="22"/>
              </w:rPr>
            </w:pPr>
          </w:p>
        </w:tc>
        <w:tc>
          <w:tcPr>
            <w:tcW w:w="1407" w:type="dxa"/>
            <w:tcBorders>
              <w:top w:val="single" w:color="auto" w:sz="4" w:space="0"/>
              <w:left w:val="single" w:color="auto" w:sz="4" w:space="0"/>
              <w:right w:val="single" w:color="auto" w:sz="12" w:space="0"/>
            </w:tcBorders>
          </w:tcPr>
          <w:p w14:paraId="5FB3E380">
            <w:pPr>
              <w:jc w:val="center"/>
              <w:rPr>
                <w:rFonts w:ascii="宋体"/>
                <w:sz w:val="22"/>
                <w:szCs w:val="22"/>
              </w:rPr>
            </w:pPr>
          </w:p>
        </w:tc>
      </w:tr>
    </w:tbl>
    <w:p w14:paraId="4818499A">
      <w:pPr>
        <w:widowControl/>
        <w:snapToGrid w:val="0"/>
        <w:jc w:val="left"/>
        <w:rPr>
          <w:rFonts w:ascii="宋体" w:cs="Courier New"/>
          <w:sz w:val="22"/>
          <w:szCs w:val="22"/>
        </w:rPr>
      </w:pPr>
    </w:p>
    <w:p w14:paraId="218988BD">
      <w:pPr>
        <w:widowControl/>
        <w:snapToGrid w:val="0"/>
        <w:spacing w:line="460" w:lineRule="exact"/>
        <w:ind w:firstLine="440" w:firstLineChars="200"/>
        <w:jc w:val="left"/>
        <w:rPr>
          <w:rFonts w:ascii="宋体" w:cs="Courier New"/>
          <w:sz w:val="22"/>
          <w:szCs w:val="22"/>
        </w:rPr>
      </w:pPr>
      <w:r>
        <w:rPr>
          <w:rFonts w:hint="eastAsia" w:ascii="宋体" w:cs="Courier New"/>
          <w:sz w:val="22"/>
          <w:szCs w:val="22"/>
        </w:rPr>
        <w:t>投标供应商（盖章） ：</w:t>
      </w:r>
    </w:p>
    <w:p w14:paraId="1755E6B2">
      <w:pPr>
        <w:widowControl/>
        <w:snapToGrid w:val="0"/>
        <w:spacing w:line="460" w:lineRule="exact"/>
        <w:ind w:firstLine="440" w:firstLineChars="200"/>
        <w:jc w:val="left"/>
        <w:rPr>
          <w:rFonts w:ascii="宋体" w:cs="Courier New"/>
          <w:sz w:val="22"/>
          <w:szCs w:val="22"/>
        </w:rPr>
      </w:pPr>
      <w:r>
        <w:rPr>
          <w:rFonts w:hint="eastAsia" w:ascii="宋体" w:cs="Courier New"/>
          <w:sz w:val="22"/>
          <w:szCs w:val="22"/>
        </w:rPr>
        <w:t>法定代表人或其授权代表（签字或盖章）：</w:t>
      </w:r>
    </w:p>
    <w:p w14:paraId="6375EC73">
      <w:pPr>
        <w:widowControl/>
        <w:snapToGrid w:val="0"/>
        <w:spacing w:line="460" w:lineRule="exact"/>
        <w:ind w:firstLine="440" w:firstLineChars="200"/>
        <w:jc w:val="left"/>
        <w:rPr>
          <w:rFonts w:hint="eastAsia" w:ascii="宋体" w:hAnsi="宋体" w:cs="宋体"/>
          <w:sz w:val="22"/>
          <w:szCs w:val="22"/>
        </w:rPr>
      </w:pPr>
      <w:r>
        <w:rPr>
          <w:rFonts w:hint="eastAsia" w:ascii="宋体" w:cs="Courier New"/>
          <w:sz w:val="22"/>
          <w:szCs w:val="22"/>
        </w:rPr>
        <w:t>日期：</w:t>
      </w:r>
      <w:r>
        <w:rPr>
          <w:rFonts w:hint="eastAsia" w:ascii="宋体" w:hAnsi="宋体" w:cs="宋体"/>
          <w:sz w:val="22"/>
          <w:szCs w:val="28"/>
        </w:rPr>
        <w:t xml:space="preserve">     年    月    日</w:t>
      </w:r>
    </w:p>
    <w:p w14:paraId="4545076B">
      <w:pPr>
        <w:autoSpaceDE w:val="0"/>
        <w:autoSpaceDN w:val="0"/>
        <w:adjustRightInd w:val="0"/>
        <w:spacing w:line="460" w:lineRule="atLeast"/>
        <w:ind w:firstLine="720" w:firstLineChars="200"/>
        <w:rPr>
          <w:rFonts w:ascii="宋体"/>
          <w:sz w:val="36"/>
        </w:rPr>
      </w:pPr>
    </w:p>
    <w:p w14:paraId="3CD5E09D">
      <w:pPr>
        <w:pStyle w:val="22"/>
        <w:outlineLvl w:val="9"/>
        <w:rPr>
          <w:rFonts w:hint="eastAsia" w:ascii="宋体" w:hAnsi="宋体" w:cs="宋体"/>
          <w:sz w:val="22"/>
          <w:szCs w:val="22"/>
        </w:rPr>
      </w:pPr>
    </w:p>
    <w:p w14:paraId="066185E0">
      <w:pPr>
        <w:pStyle w:val="22"/>
        <w:outlineLvl w:val="2"/>
        <w:rPr>
          <w:rFonts w:hint="eastAsia" w:ascii="宋体" w:hAnsi="宋体"/>
          <w:sz w:val="28"/>
          <w:szCs w:val="18"/>
          <w:lang w:val="zh-CN"/>
        </w:rPr>
      </w:pPr>
      <w:r>
        <w:rPr>
          <w:rFonts w:ascii="宋体" w:hAnsi="宋体" w:cs="宋体"/>
          <w:sz w:val="22"/>
          <w:szCs w:val="22"/>
        </w:rPr>
        <w:br w:type="page"/>
      </w:r>
      <w:bookmarkStart w:id="1111" w:name="_Toc44607661"/>
      <w:r>
        <w:rPr>
          <w:rFonts w:hint="eastAsia" w:ascii="宋体" w:hAnsi="宋体"/>
          <w:sz w:val="28"/>
          <w:szCs w:val="18"/>
          <w:lang w:val="zh-CN"/>
        </w:rPr>
        <w:t>附件十</w:t>
      </w:r>
      <w:r>
        <w:rPr>
          <w:rFonts w:hint="eastAsia" w:ascii="宋体" w:hAnsi="宋体"/>
          <w:sz w:val="28"/>
          <w:szCs w:val="18"/>
        </w:rPr>
        <w:t>四</w:t>
      </w:r>
      <w:r>
        <w:rPr>
          <w:rFonts w:hint="eastAsia" w:ascii="宋体" w:hAnsi="宋体"/>
          <w:sz w:val="28"/>
          <w:szCs w:val="18"/>
          <w:lang w:val="zh-CN"/>
        </w:rPr>
        <w:t xml:space="preserve"> </w:t>
      </w:r>
      <w:bookmarkEnd w:id="1111"/>
      <w:r>
        <w:rPr>
          <w:rFonts w:hint="eastAsia" w:ascii="宋体" w:hAnsi="宋体"/>
          <w:sz w:val="28"/>
          <w:szCs w:val="18"/>
          <w:lang w:val="zh-CN"/>
        </w:rPr>
        <w:t>项目实施负责人</w:t>
      </w:r>
    </w:p>
    <w:p w14:paraId="3CE1C26C">
      <w:pPr>
        <w:pStyle w:val="14"/>
        <w:spacing w:line="400" w:lineRule="atLeast"/>
        <w:ind w:left="2629"/>
        <w:rPr>
          <w:rFonts w:hint="eastAsia" w:ascii="新宋体" w:hAnsi="新宋体" w:eastAsia="新宋体"/>
          <w:b/>
          <w:sz w:val="28"/>
          <w:szCs w:val="28"/>
        </w:rPr>
      </w:pPr>
    </w:p>
    <w:p w14:paraId="1810EFAB">
      <w:pPr>
        <w:pStyle w:val="14"/>
        <w:spacing w:line="400" w:lineRule="atLeast"/>
        <w:ind w:left="660" w:hanging="663" w:hangingChars="300"/>
        <w:rPr>
          <w:rFonts w:hint="eastAsia" w:ascii="新宋体" w:hAnsi="新宋体" w:eastAsia="新宋体"/>
          <w:sz w:val="22"/>
        </w:rPr>
      </w:pPr>
      <w:r>
        <w:rPr>
          <w:rFonts w:hint="eastAsia" w:ascii="新宋体" w:hAnsi="新宋体" w:eastAsia="新宋体"/>
          <w:b/>
          <w:sz w:val="22"/>
          <w:szCs w:val="22"/>
        </w:rPr>
        <w:t>项目名称：                               项目编号：</w:t>
      </w:r>
    </w:p>
    <w:tbl>
      <w:tblPr>
        <w:tblStyle w:val="25"/>
        <w:tblW w:w="9088"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619"/>
        <w:gridCol w:w="1255"/>
        <w:gridCol w:w="1400"/>
        <w:gridCol w:w="1636"/>
        <w:gridCol w:w="1600"/>
        <w:gridCol w:w="1578"/>
      </w:tblGrid>
      <w:tr w14:paraId="5D194A7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79" w:hRule="exact"/>
          <w:jc w:val="center"/>
        </w:trPr>
        <w:tc>
          <w:tcPr>
            <w:tcW w:w="1619" w:type="dxa"/>
            <w:noWrap/>
            <w:vAlign w:val="center"/>
          </w:tcPr>
          <w:p w14:paraId="5B30CCCD">
            <w:pPr>
              <w:pStyle w:val="14"/>
              <w:spacing w:line="400" w:lineRule="atLeast"/>
              <w:ind w:left="660" w:hanging="660" w:hangingChars="300"/>
              <w:jc w:val="center"/>
              <w:rPr>
                <w:rFonts w:hint="eastAsia" w:hAnsi="宋体"/>
                <w:sz w:val="22"/>
                <w:szCs w:val="22"/>
              </w:rPr>
            </w:pPr>
            <w:r>
              <w:rPr>
                <w:rFonts w:hint="eastAsia" w:hAnsi="宋体"/>
                <w:sz w:val="22"/>
                <w:szCs w:val="22"/>
              </w:rPr>
              <w:t>姓 名</w:t>
            </w:r>
          </w:p>
        </w:tc>
        <w:tc>
          <w:tcPr>
            <w:tcW w:w="1255" w:type="dxa"/>
            <w:noWrap/>
            <w:vAlign w:val="center"/>
          </w:tcPr>
          <w:p w14:paraId="5BB5A957">
            <w:pPr>
              <w:pStyle w:val="14"/>
              <w:spacing w:line="400" w:lineRule="atLeast"/>
              <w:ind w:left="660" w:hanging="660" w:hangingChars="300"/>
              <w:jc w:val="center"/>
              <w:rPr>
                <w:rFonts w:hint="eastAsia" w:hAnsi="宋体"/>
                <w:sz w:val="22"/>
                <w:szCs w:val="22"/>
              </w:rPr>
            </w:pPr>
          </w:p>
        </w:tc>
        <w:tc>
          <w:tcPr>
            <w:tcW w:w="1400" w:type="dxa"/>
            <w:noWrap/>
            <w:vAlign w:val="center"/>
          </w:tcPr>
          <w:p w14:paraId="67E2E426">
            <w:pPr>
              <w:pStyle w:val="14"/>
              <w:spacing w:line="400" w:lineRule="atLeast"/>
              <w:ind w:left="660" w:hanging="660" w:hangingChars="300"/>
              <w:jc w:val="center"/>
              <w:rPr>
                <w:rFonts w:hint="eastAsia" w:hAnsi="宋体"/>
                <w:sz w:val="22"/>
                <w:szCs w:val="22"/>
              </w:rPr>
            </w:pPr>
            <w:r>
              <w:rPr>
                <w:rFonts w:hint="eastAsia" w:hAnsi="宋体"/>
                <w:sz w:val="22"/>
                <w:szCs w:val="22"/>
              </w:rPr>
              <w:t>性 别</w:t>
            </w:r>
          </w:p>
        </w:tc>
        <w:tc>
          <w:tcPr>
            <w:tcW w:w="1636" w:type="dxa"/>
            <w:noWrap/>
            <w:vAlign w:val="center"/>
          </w:tcPr>
          <w:p w14:paraId="600889C4">
            <w:pPr>
              <w:pStyle w:val="14"/>
              <w:spacing w:line="400" w:lineRule="atLeast"/>
              <w:ind w:left="660" w:hanging="660" w:hangingChars="300"/>
              <w:jc w:val="center"/>
              <w:rPr>
                <w:rFonts w:hint="eastAsia" w:hAnsi="宋体"/>
                <w:sz w:val="22"/>
                <w:szCs w:val="22"/>
              </w:rPr>
            </w:pPr>
          </w:p>
        </w:tc>
        <w:tc>
          <w:tcPr>
            <w:tcW w:w="1600" w:type="dxa"/>
            <w:noWrap/>
            <w:vAlign w:val="center"/>
          </w:tcPr>
          <w:p w14:paraId="45D94982">
            <w:pPr>
              <w:pStyle w:val="14"/>
              <w:spacing w:line="400" w:lineRule="atLeast"/>
              <w:ind w:left="660" w:hanging="660" w:hangingChars="300"/>
              <w:jc w:val="center"/>
              <w:rPr>
                <w:rFonts w:hint="eastAsia" w:hAnsi="宋体"/>
                <w:sz w:val="22"/>
                <w:szCs w:val="22"/>
              </w:rPr>
            </w:pPr>
            <w:r>
              <w:rPr>
                <w:rFonts w:hint="eastAsia" w:hAnsi="宋体"/>
                <w:sz w:val="22"/>
                <w:szCs w:val="22"/>
              </w:rPr>
              <w:t>年 龄</w:t>
            </w:r>
          </w:p>
        </w:tc>
        <w:tc>
          <w:tcPr>
            <w:tcW w:w="1578" w:type="dxa"/>
            <w:noWrap/>
            <w:vAlign w:val="center"/>
          </w:tcPr>
          <w:p w14:paraId="64386CA7">
            <w:pPr>
              <w:pStyle w:val="14"/>
              <w:spacing w:line="400" w:lineRule="atLeast"/>
              <w:ind w:left="660" w:hanging="660" w:hangingChars="300"/>
              <w:jc w:val="center"/>
              <w:rPr>
                <w:rFonts w:hint="eastAsia" w:hAnsi="宋体"/>
                <w:sz w:val="22"/>
                <w:szCs w:val="22"/>
              </w:rPr>
            </w:pPr>
          </w:p>
        </w:tc>
      </w:tr>
      <w:tr w14:paraId="17E181A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79" w:hRule="exact"/>
          <w:jc w:val="center"/>
        </w:trPr>
        <w:tc>
          <w:tcPr>
            <w:tcW w:w="1619" w:type="dxa"/>
            <w:tcBorders>
              <w:top w:val="single" w:color="auto" w:sz="4" w:space="0"/>
              <w:left w:val="single" w:color="auto" w:sz="12" w:space="0"/>
              <w:right w:val="single" w:color="auto" w:sz="4" w:space="0"/>
            </w:tcBorders>
            <w:noWrap/>
            <w:vAlign w:val="center"/>
          </w:tcPr>
          <w:p w14:paraId="719D6904">
            <w:pPr>
              <w:pStyle w:val="14"/>
              <w:spacing w:line="400" w:lineRule="atLeast"/>
              <w:ind w:left="660" w:hanging="660" w:hangingChars="300"/>
              <w:jc w:val="center"/>
              <w:rPr>
                <w:rFonts w:hint="eastAsia" w:hAnsi="宋体"/>
                <w:sz w:val="22"/>
                <w:szCs w:val="22"/>
              </w:rPr>
            </w:pPr>
            <w:r>
              <w:rPr>
                <w:rFonts w:hint="eastAsia" w:hAnsi="宋体"/>
                <w:sz w:val="22"/>
                <w:szCs w:val="22"/>
              </w:rPr>
              <w:t>学 历</w:t>
            </w:r>
          </w:p>
        </w:tc>
        <w:tc>
          <w:tcPr>
            <w:tcW w:w="1255" w:type="dxa"/>
            <w:tcBorders>
              <w:top w:val="single" w:color="auto" w:sz="4" w:space="0"/>
              <w:left w:val="single" w:color="auto" w:sz="4" w:space="0"/>
              <w:right w:val="single" w:color="auto" w:sz="4" w:space="0"/>
            </w:tcBorders>
            <w:noWrap/>
            <w:vAlign w:val="center"/>
          </w:tcPr>
          <w:p w14:paraId="6DEEA472">
            <w:pPr>
              <w:pStyle w:val="14"/>
              <w:spacing w:line="400" w:lineRule="atLeast"/>
              <w:ind w:left="660" w:hanging="660" w:hangingChars="300"/>
              <w:jc w:val="center"/>
              <w:rPr>
                <w:rFonts w:hint="eastAsia" w:hAnsi="宋体"/>
                <w:sz w:val="22"/>
                <w:szCs w:val="22"/>
              </w:rPr>
            </w:pPr>
          </w:p>
        </w:tc>
        <w:tc>
          <w:tcPr>
            <w:tcW w:w="1400" w:type="dxa"/>
            <w:tcBorders>
              <w:top w:val="single" w:color="auto" w:sz="4" w:space="0"/>
              <w:left w:val="single" w:color="auto" w:sz="4" w:space="0"/>
              <w:right w:val="single" w:color="auto" w:sz="4" w:space="0"/>
            </w:tcBorders>
            <w:noWrap/>
            <w:vAlign w:val="center"/>
          </w:tcPr>
          <w:p w14:paraId="230B1338">
            <w:pPr>
              <w:pStyle w:val="14"/>
              <w:spacing w:line="400" w:lineRule="atLeast"/>
              <w:ind w:left="660" w:hanging="660" w:hangingChars="300"/>
              <w:jc w:val="center"/>
              <w:rPr>
                <w:rFonts w:hint="eastAsia" w:hAnsi="宋体"/>
                <w:sz w:val="22"/>
                <w:szCs w:val="22"/>
              </w:rPr>
            </w:pPr>
            <w:r>
              <w:rPr>
                <w:rFonts w:hint="eastAsia" w:hAnsi="宋体"/>
                <w:sz w:val="22"/>
                <w:szCs w:val="22"/>
              </w:rPr>
              <w:t>职 称</w:t>
            </w:r>
          </w:p>
        </w:tc>
        <w:tc>
          <w:tcPr>
            <w:tcW w:w="1636" w:type="dxa"/>
            <w:tcBorders>
              <w:top w:val="single" w:color="auto" w:sz="4" w:space="0"/>
              <w:left w:val="single" w:color="auto" w:sz="4" w:space="0"/>
              <w:right w:val="single" w:color="auto" w:sz="4" w:space="0"/>
            </w:tcBorders>
            <w:noWrap/>
            <w:vAlign w:val="center"/>
          </w:tcPr>
          <w:p w14:paraId="2688BEA2">
            <w:pPr>
              <w:pStyle w:val="14"/>
              <w:spacing w:line="400" w:lineRule="atLeast"/>
              <w:ind w:left="660" w:hanging="660" w:hangingChars="300"/>
              <w:jc w:val="center"/>
              <w:rPr>
                <w:rFonts w:hint="eastAsia" w:hAnsi="宋体"/>
                <w:sz w:val="22"/>
                <w:szCs w:val="22"/>
              </w:rPr>
            </w:pPr>
          </w:p>
        </w:tc>
        <w:tc>
          <w:tcPr>
            <w:tcW w:w="1600" w:type="dxa"/>
            <w:tcBorders>
              <w:top w:val="single" w:color="auto" w:sz="4" w:space="0"/>
              <w:left w:val="single" w:color="auto" w:sz="4" w:space="0"/>
              <w:right w:val="single" w:color="auto" w:sz="4" w:space="0"/>
            </w:tcBorders>
            <w:noWrap/>
            <w:vAlign w:val="center"/>
          </w:tcPr>
          <w:p w14:paraId="4F287642">
            <w:pPr>
              <w:pStyle w:val="14"/>
              <w:spacing w:line="400" w:lineRule="atLeast"/>
              <w:ind w:left="660" w:hanging="660" w:hangingChars="300"/>
              <w:jc w:val="center"/>
              <w:rPr>
                <w:rFonts w:hint="eastAsia" w:hAnsi="宋体"/>
                <w:sz w:val="22"/>
                <w:szCs w:val="22"/>
              </w:rPr>
            </w:pPr>
            <w:r>
              <w:rPr>
                <w:rFonts w:hint="eastAsia" w:hAnsi="宋体"/>
                <w:sz w:val="22"/>
                <w:szCs w:val="22"/>
              </w:rPr>
              <w:t>职 务</w:t>
            </w:r>
          </w:p>
        </w:tc>
        <w:tc>
          <w:tcPr>
            <w:tcW w:w="1578" w:type="dxa"/>
            <w:tcBorders>
              <w:top w:val="single" w:color="auto" w:sz="4" w:space="0"/>
              <w:left w:val="single" w:color="auto" w:sz="4" w:space="0"/>
              <w:right w:val="single" w:color="auto" w:sz="12" w:space="0"/>
            </w:tcBorders>
            <w:noWrap/>
            <w:vAlign w:val="center"/>
          </w:tcPr>
          <w:p w14:paraId="055D61A4">
            <w:pPr>
              <w:pStyle w:val="14"/>
              <w:spacing w:line="400" w:lineRule="atLeast"/>
              <w:ind w:left="660" w:hanging="660" w:hangingChars="300"/>
              <w:jc w:val="center"/>
              <w:rPr>
                <w:rFonts w:hint="eastAsia" w:hAnsi="宋体"/>
                <w:sz w:val="22"/>
                <w:szCs w:val="22"/>
              </w:rPr>
            </w:pPr>
          </w:p>
        </w:tc>
      </w:tr>
      <w:tr w14:paraId="0CACDD3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79" w:hRule="exact"/>
          <w:jc w:val="center"/>
        </w:trPr>
        <w:tc>
          <w:tcPr>
            <w:tcW w:w="1619" w:type="dxa"/>
            <w:tcBorders>
              <w:top w:val="single" w:color="auto" w:sz="4" w:space="0"/>
              <w:left w:val="single" w:color="auto" w:sz="12" w:space="0"/>
              <w:right w:val="single" w:color="auto" w:sz="4" w:space="0"/>
            </w:tcBorders>
            <w:noWrap/>
            <w:vAlign w:val="center"/>
          </w:tcPr>
          <w:p w14:paraId="209F1B69">
            <w:pPr>
              <w:pStyle w:val="14"/>
              <w:spacing w:line="400" w:lineRule="atLeast"/>
              <w:ind w:left="660" w:hanging="660" w:hangingChars="300"/>
              <w:jc w:val="center"/>
              <w:rPr>
                <w:rFonts w:hint="eastAsia" w:hAnsi="宋体"/>
                <w:sz w:val="22"/>
                <w:szCs w:val="22"/>
              </w:rPr>
            </w:pPr>
            <w:r>
              <w:rPr>
                <w:rFonts w:hint="eastAsia" w:hAnsi="宋体"/>
                <w:sz w:val="22"/>
                <w:szCs w:val="22"/>
              </w:rPr>
              <w:t>联系电话</w:t>
            </w:r>
          </w:p>
        </w:tc>
        <w:tc>
          <w:tcPr>
            <w:tcW w:w="2655" w:type="dxa"/>
            <w:gridSpan w:val="2"/>
            <w:tcBorders>
              <w:top w:val="single" w:color="auto" w:sz="4" w:space="0"/>
              <w:left w:val="single" w:color="auto" w:sz="4" w:space="0"/>
              <w:right w:val="single" w:color="auto" w:sz="4" w:space="0"/>
            </w:tcBorders>
            <w:noWrap/>
            <w:vAlign w:val="center"/>
          </w:tcPr>
          <w:p w14:paraId="51928C3B">
            <w:pPr>
              <w:pStyle w:val="14"/>
              <w:spacing w:line="400" w:lineRule="atLeast"/>
              <w:ind w:left="660" w:hanging="660" w:hangingChars="300"/>
              <w:jc w:val="center"/>
              <w:rPr>
                <w:rFonts w:hint="eastAsia" w:hAnsi="宋体"/>
                <w:sz w:val="22"/>
                <w:szCs w:val="22"/>
              </w:rPr>
            </w:pPr>
          </w:p>
        </w:tc>
        <w:tc>
          <w:tcPr>
            <w:tcW w:w="1636" w:type="dxa"/>
            <w:tcBorders>
              <w:top w:val="single" w:color="auto" w:sz="4" w:space="0"/>
              <w:left w:val="single" w:color="auto" w:sz="4" w:space="0"/>
              <w:right w:val="single" w:color="auto" w:sz="4" w:space="0"/>
            </w:tcBorders>
            <w:noWrap/>
            <w:vAlign w:val="center"/>
          </w:tcPr>
          <w:p w14:paraId="06924EB4">
            <w:pPr>
              <w:pStyle w:val="14"/>
              <w:spacing w:line="400" w:lineRule="atLeast"/>
              <w:ind w:left="660" w:hanging="660" w:hangingChars="300"/>
              <w:jc w:val="center"/>
              <w:rPr>
                <w:rFonts w:hint="eastAsia" w:hAnsi="宋体"/>
                <w:sz w:val="22"/>
                <w:szCs w:val="22"/>
              </w:rPr>
            </w:pPr>
            <w:r>
              <w:rPr>
                <w:rFonts w:hint="eastAsia" w:hAnsi="宋体"/>
                <w:sz w:val="22"/>
                <w:szCs w:val="22"/>
              </w:rPr>
              <w:t>手 机</w:t>
            </w:r>
          </w:p>
        </w:tc>
        <w:tc>
          <w:tcPr>
            <w:tcW w:w="3178" w:type="dxa"/>
            <w:gridSpan w:val="2"/>
            <w:tcBorders>
              <w:top w:val="single" w:color="auto" w:sz="4" w:space="0"/>
              <w:left w:val="single" w:color="auto" w:sz="4" w:space="0"/>
              <w:right w:val="single" w:color="auto" w:sz="12" w:space="0"/>
            </w:tcBorders>
            <w:noWrap/>
            <w:vAlign w:val="center"/>
          </w:tcPr>
          <w:p w14:paraId="01C5BEC8">
            <w:pPr>
              <w:pStyle w:val="14"/>
              <w:spacing w:line="400" w:lineRule="atLeast"/>
              <w:ind w:left="660" w:hanging="660" w:hangingChars="300"/>
              <w:jc w:val="center"/>
              <w:rPr>
                <w:rFonts w:hint="eastAsia" w:hAnsi="宋体"/>
                <w:sz w:val="22"/>
                <w:szCs w:val="22"/>
              </w:rPr>
            </w:pPr>
          </w:p>
        </w:tc>
      </w:tr>
      <w:tr w14:paraId="63B4518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083" w:hRule="atLeast"/>
          <w:jc w:val="center"/>
        </w:trPr>
        <w:tc>
          <w:tcPr>
            <w:tcW w:w="9088" w:type="dxa"/>
            <w:gridSpan w:val="6"/>
            <w:tcBorders>
              <w:top w:val="single" w:color="auto" w:sz="4" w:space="0"/>
              <w:left w:val="single" w:color="auto" w:sz="12" w:space="0"/>
              <w:right w:val="single" w:color="auto" w:sz="12" w:space="0"/>
            </w:tcBorders>
            <w:noWrap/>
          </w:tcPr>
          <w:p w14:paraId="0778CC41">
            <w:pPr>
              <w:pStyle w:val="14"/>
              <w:spacing w:line="400" w:lineRule="atLeast"/>
              <w:ind w:left="660" w:hanging="660" w:hangingChars="300"/>
              <w:rPr>
                <w:rFonts w:hint="eastAsia" w:hAnsi="宋体"/>
                <w:sz w:val="22"/>
                <w:szCs w:val="22"/>
              </w:rPr>
            </w:pPr>
            <w:r>
              <w:rPr>
                <w:rFonts w:hint="eastAsia" w:hAnsi="宋体"/>
                <w:sz w:val="22"/>
                <w:szCs w:val="22"/>
              </w:rPr>
              <w:t>近五年从事相关工作经历及业绩：</w:t>
            </w:r>
          </w:p>
        </w:tc>
      </w:tr>
    </w:tbl>
    <w:p w14:paraId="6040090D">
      <w:pPr>
        <w:widowControl/>
        <w:overflowPunct w:val="0"/>
        <w:autoSpaceDE w:val="0"/>
        <w:autoSpaceDN w:val="0"/>
        <w:adjustRightInd w:val="0"/>
        <w:spacing w:line="340" w:lineRule="exact"/>
        <w:ind w:left="660" w:hanging="660" w:hangingChars="300"/>
        <w:jc w:val="left"/>
        <w:textAlignment w:val="baseline"/>
        <w:rPr>
          <w:rFonts w:hint="eastAsia" w:ascii="宋体" w:hAnsi="宋体" w:cs="宋体"/>
          <w:b/>
          <w:bCs/>
          <w:sz w:val="22"/>
          <w:szCs w:val="20"/>
        </w:rPr>
      </w:pPr>
      <w:r>
        <w:rPr>
          <w:rFonts w:hint="eastAsia" w:ascii="宋体" w:hAnsi="宋体" w:cs="宋体"/>
          <w:bCs/>
          <w:sz w:val="22"/>
          <w:szCs w:val="20"/>
        </w:rPr>
        <w:t xml:space="preserve"> 注：1、</w:t>
      </w:r>
      <w:r>
        <w:rPr>
          <w:rFonts w:hint="eastAsia" w:ascii="宋体" w:hAnsi="宋体" w:cs="宋体"/>
          <w:sz w:val="22"/>
          <w:szCs w:val="22"/>
        </w:rPr>
        <w:t>本表应附技术职称/资格证书、社保等证明原件扫描件；</w:t>
      </w:r>
    </w:p>
    <w:p w14:paraId="2CE33CEE">
      <w:pPr>
        <w:numPr>
          <w:ilvl w:val="0"/>
          <w:numId w:val="7"/>
        </w:numPr>
        <w:autoSpaceDE w:val="0"/>
        <w:autoSpaceDN w:val="0"/>
        <w:adjustRightInd w:val="0"/>
        <w:spacing w:line="400" w:lineRule="exact"/>
        <w:jc w:val="left"/>
        <w:rPr>
          <w:rFonts w:hint="eastAsia" w:ascii="宋体" w:hAnsi="宋体" w:cs="宋体"/>
          <w:bCs/>
          <w:snapToGrid w:val="0"/>
          <w:sz w:val="22"/>
          <w:szCs w:val="22"/>
        </w:rPr>
      </w:pPr>
      <w:r>
        <w:rPr>
          <w:rFonts w:hint="eastAsia" w:ascii="宋体" w:hAnsi="宋体" w:cs="宋体"/>
          <w:bCs/>
          <w:snapToGrid w:val="0"/>
          <w:sz w:val="22"/>
          <w:szCs w:val="22"/>
        </w:rPr>
        <w:t>本表可在不改变格式的情况下根据具体需要自行增减。</w:t>
      </w:r>
    </w:p>
    <w:p w14:paraId="7AC94E8F">
      <w:pPr>
        <w:autoSpaceDE w:val="0"/>
        <w:autoSpaceDN w:val="0"/>
        <w:adjustRightInd w:val="0"/>
        <w:spacing w:line="400" w:lineRule="exact"/>
        <w:jc w:val="left"/>
        <w:rPr>
          <w:rFonts w:hint="eastAsia" w:ascii="宋体" w:hAnsi="宋体" w:cs="宋体"/>
          <w:b/>
          <w:bCs/>
          <w:snapToGrid w:val="0"/>
          <w:sz w:val="22"/>
          <w:szCs w:val="22"/>
        </w:rPr>
      </w:pPr>
    </w:p>
    <w:p w14:paraId="4A8F3FA6">
      <w:pPr>
        <w:pStyle w:val="10"/>
      </w:pPr>
    </w:p>
    <w:p w14:paraId="5154DFE2">
      <w:pPr>
        <w:widowControl/>
        <w:snapToGrid w:val="0"/>
        <w:spacing w:line="460" w:lineRule="exact"/>
        <w:ind w:firstLine="3999" w:firstLineChars="1818"/>
        <w:jc w:val="left"/>
        <w:rPr>
          <w:rFonts w:ascii="宋体" w:cs="Courier New"/>
          <w:sz w:val="22"/>
          <w:szCs w:val="22"/>
        </w:rPr>
      </w:pPr>
      <w:r>
        <w:rPr>
          <w:rFonts w:hint="eastAsia" w:ascii="宋体" w:cs="Courier New"/>
          <w:sz w:val="22"/>
          <w:szCs w:val="22"/>
        </w:rPr>
        <w:t>投标供应商（盖章） ：</w:t>
      </w:r>
    </w:p>
    <w:p w14:paraId="665B9F1C">
      <w:pPr>
        <w:widowControl/>
        <w:snapToGrid w:val="0"/>
        <w:spacing w:line="460" w:lineRule="exact"/>
        <w:ind w:firstLine="3999" w:firstLineChars="1818"/>
        <w:jc w:val="left"/>
        <w:rPr>
          <w:rFonts w:ascii="宋体" w:cs="Courier New"/>
          <w:sz w:val="22"/>
          <w:szCs w:val="22"/>
        </w:rPr>
      </w:pPr>
      <w:r>
        <w:rPr>
          <w:rFonts w:hint="eastAsia" w:ascii="宋体" w:cs="Courier New"/>
          <w:sz w:val="22"/>
          <w:szCs w:val="22"/>
        </w:rPr>
        <w:t>法定代表人或其授权代表（签字或盖章）：</w:t>
      </w:r>
    </w:p>
    <w:p w14:paraId="1205D3AB">
      <w:pPr>
        <w:widowControl/>
        <w:snapToGrid w:val="0"/>
        <w:spacing w:line="460" w:lineRule="exact"/>
        <w:ind w:firstLine="3999" w:firstLineChars="1818"/>
        <w:jc w:val="left"/>
        <w:rPr>
          <w:rFonts w:hint="eastAsia" w:ascii="宋体" w:hAnsi="宋体" w:cs="宋体"/>
          <w:sz w:val="22"/>
          <w:szCs w:val="22"/>
        </w:rPr>
      </w:pPr>
      <w:r>
        <w:rPr>
          <w:rFonts w:hint="eastAsia" w:ascii="宋体" w:cs="Courier New"/>
          <w:sz w:val="22"/>
          <w:szCs w:val="22"/>
        </w:rPr>
        <w:t>日期：</w:t>
      </w:r>
      <w:r>
        <w:rPr>
          <w:rFonts w:hint="eastAsia" w:ascii="宋体" w:hAnsi="宋体" w:cs="宋体"/>
          <w:sz w:val="22"/>
          <w:szCs w:val="28"/>
        </w:rPr>
        <w:t xml:space="preserve">     年    月    日</w:t>
      </w:r>
    </w:p>
    <w:p w14:paraId="0DF19AEB">
      <w:pPr>
        <w:widowControl/>
        <w:snapToGrid w:val="0"/>
        <w:spacing w:line="460" w:lineRule="exact"/>
        <w:ind w:firstLine="3999" w:firstLineChars="1818"/>
        <w:jc w:val="left"/>
        <w:rPr>
          <w:rFonts w:hint="eastAsia" w:ascii="宋体" w:hAnsi="宋体" w:cs="宋体"/>
          <w:sz w:val="22"/>
          <w:szCs w:val="22"/>
        </w:rPr>
      </w:pPr>
    </w:p>
    <w:p w14:paraId="4FA5773B"/>
    <w:p w14:paraId="2AF84F7C">
      <w:r>
        <w:rPr>
          <w:rFonts w:hint="eastAsia"/>
        </w:rPr>
        <w:br w:type="page"/>
      </w:r>
    </w:p>
    <w:p w14:paraId="733A0F5A">
      <w:pPr>
        <w:pStyle w:val="22"/>
        <w:outlineLvl w:val="2"/>
        <w:rPr>
          <w:rFonts w:hint="eastAsia" w:ascii="宋体" w:hAnsi="宋体"/>
          <w:sz w:val="28"/>
          <w:szCs w:val="18"/>
          <w:lang w:val="zh-CN"/>
        </w:rPr>
      </w:pPr>
      <w:bookmarkStart w:id="1112" w:name="_Toc20685"/>
      <w:bookmarkStart w:id="1113" w:name="_Toc24063"/>
      <w:r>
        <w:rPr>
          <w:rFonts w:hint="eastAsia" w:ascii="宋体" w:hAnsi="宋体"/>
          <w:sz w:val="28"/>
          <w:szCs w:val="18"/>
          <w:lang w:val="zh-CN"/>
        </w:rPr>
        <w:t>附件</w:t>
      </w:r>
      <w:r>
        <w:rPr>
          <w:rFonts w:hint="eastAsia" w:ascii="宋体" w:hAnsi="宋体"/>
          <w:sz w:val="28"/>
          <w:szCs w:val="18"/>
        </w:rPr>
        <w:t>十五</w:t>
      </w:r>
      <w:r>
        <w:rPr>
          <w:rFonts w:hint="eastAsia" w:ascii="宋体" w:hAnsi="宋体"/>
          <w:sz w:val="28"/>
          <w:szCs w:val="18"/>
          <w:lang w:val="zh-CN"/>
        </w:rPr>
        <w:t xml:space="preserve"> 拟投入项目主要工作人员一览表</w:t>
      </w:r>
      <w:bookmarkEnd w:id="1112"/>
      <w:bookmarkEnd w:id="1113"/>
    </w:p>
    <w:p w14:paraId="1F40F1A9">
      <w:pPr>
        <w:spacing w:line="240" w:lineRule="exact"/>
        <w:jc w:val="center"/>
        <w:rPr>
          <w:rFonts w:hint="eastAsia" w:ascii="宋体" w:hAnsi="宋体"/>
          <w:b/>
          <w:sz w:val="24"/>
        </w:rPr>
      </w:pPr>
    </w:p>
    <w:p w14:paraId="1FDE259A">
      <w:pPr>
        <w:spacing w:line="360" w:lineRule="exact"/>
        <w:ind w:firstLine="433" w:firstLineChars="196"/>
        <w:rPr>
          <w:rFonts w:hint="eastAsia" w:ascii="新宋体" w:hAnsi="新宋体" w:eastAsia="新宋体"/>
          <w:b/>
          <w:sz w:val="30"/>
          <w:szCs w:val="30"/>
        </w:rPr>
      </w:pPr>
      <w:r>
        <w:rPr>
          <w:rFonts w:hint="eastAsia" w:ascii="新宋体" w:hAnsi="新宋体" w:eastAsia="新宋体"/>
          <w:b/>
          <w:sz w:val="22"/>
          <w:szCs w:val="22"/>
        </w:rPr>
        <w:t>项目名称：                               项目编号：</w:t>
      </w:r>
    </w:p>
    <w:tbl>
      <w:tblPr>
        <w:tblStyle w:val="25"/>
        <w:tblW w:w="9296" w:type="dxa"/>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722"/>
        <w:gridCol w:w="805"/>
        <w:gridCol w:w="805"/>
        <w:gridCol w:w="1064"/>
        <w:gridCol w:w="1045"/>
        <w:gridCol w:w="1105"/>
        <w:gridCol w:w="1470"/>
        <w:gridCol w:w="1140"/>
        <w:gridCol w:w="1140"/>
      </w:tblGrid>
      <w:tr w14:paraId="1FA862B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960" w:hRule="atLeast"/>
        </w:trPr>
        <w:tc>
          <w:tcPr>
            <w:tcW w:w="722" w:type="dxa"/>
            <w:tcBorders>
              <w:top w:val="single" w:color="auto" w:sz="12" w:space="0"/>
              <w:left w:val="single" w:color="auto" w:sz="12" w:space="0"/>
              <w:bottom w:val="single" w:color="auto" w:sz="4" w:space="0"/>
              <w:right w:val="single" w:color="auto" w:sz="4" w:space="0"/>
            </w:tcBorders>
            <w:noWrap/>
            <w:vAlign w:val="center"/>
          </w:tcPr>
          <w:p w14:paraId="7AE01F48">
            <w:pPr>
              <w:spacing w:line="300" w:lineRule="exact"/>
              <w:jc w:val="center"/>
              <w:rPr>
                <w:rFonts w:hint="eastAsia" w:ascii="新宋体" w:hAnsi="新宋体" w:eastAsia="新宋体"/>
                <w:sz w:val="22"/>
                <w:szCs w:val="22"/>
              </w:rPr>
            </w:pPr>
            <w:r>
              <w:rPr>
                <w:rFonts w:hint="eastAsia" w:ascii="新宋体" w:hAnsi="新宋体" w:eastAsia="新宋体"/>
                <w:sz w:val="22"/>
                <w:szCs w:val="22"/>
              </w:rPr>
              <w:t>姓名</w:t>
            </w:r>
          </w:p>
        </w:tc>
        <w:tc>
          <w:tcPr>
            <w:tcW w:w="805" w:type="dxa"/>
            <w:tcBorders>
              <w:top w:val="single" w:color="auto" w:sz="12" w:space="0"/>
              <w:left w:val="single" w:color="auto" w:sz="4" w:space="0"/>
              <w:bottom w:val="single" w:color="auto" w:sz="4" w:space="0"/>
              <w:right w:val="single" w:color="auto" w:sz="4" w:space="0"/>
            </w:tcBorders>
            <w:noWrap/>
            <w:vAlign w:val="center"/>
          </w:tcPr>
          <w:p w14:paraId="553BA1A2">
            <w:pPr>
              <w:spacing w:line="300" w:lineRule="exact"/>
              <w:jc w:val="center"/>
              <w:rPr>
                <w:rFonts w:hint="eastAsia" w:ascii="新宋体" w:hAnsi="新宋体" w:eastAsia="新宋体"/>
                <w:sz w:val="22"/>
                <w:szCs w:val="22"/>
              </w:rPr>
            </w:pPr>
            <w:r>
              <w:rPr>
                <w:rFonts w:hint="eastAsia" w:ascii="新宋体" w:hAnsi="新宋体" w:eastAsia="新宋体"/>
                <w:sz w:val="22"/>
                <w:szCs w:val="22"/>
              </w:rPr>
              <w:t>性别</w:t>
            </w:r>
          </w:p>
        </w:tc>
        <w:tc>
          <w:tcPr>
            <w:tcW w:w="805" w:type="dxa"/>
            <w:tcBorders>
              <w:top w:val="single" w:color="auto" w:sz="12" w:space="0"/>
              <w:left w:val="single" w:color="auto" w:sz="4" w:space="0"/>
              <w:bottom w:val="single" w:color="auto" w:sz="4" w:space="0"/>
              <w:right w:val="single" w:color="auto" w:sz="4" w:space="0"/>
            </w:tcBorders>
            <w:noWrap/>
            <w:vAlign w:val="center"/>
          </w:tcPr>
          <w:p w14:paraId="346655F0">
            <w:pPr>
              <w:spacing w:line="300" w:lineRule="exact"/>
              <w:jc w:val="center"/>
              <w:rPr>
                <w:rFonts w:hint="eastAsia" w:ascii="新宋体" w:hAnsi="新宋体" w:eastAsia="新宋体"/>
                <w:sz w:val="22"/>
                <w:szCs w:val="22"/>
              </w:rPr>
            </w:pPr>
            <w:r>
              <w:rPr>
                <w:rFonts w:hint="eastAsia" w:ascii="新宋体" w:hAnsi="新宋体" w:eastAsia="新宋体"/>
                <w:sz w:val="22"/>
                <w:szCs w:val="22"/>
              </w:rPr>
              <w:t>年龄</w:t>
            </w:r>
          </w:p>
        </w:tc>
        <w:tc>
          <w:tcPr>
            <w:tcW w:w="1064" w:type="dxa"/>
            <w:tcBorders>
              <w:top w:val="single" w:color="auto" w:sz="12" w:space="0"/>
              <w:left w:val="single" w:color="auto" w:sz="4" w:space="0"/>
              <w:bottom w:val="single" w:color="auto" w:sz="4" w:space="0"/>
              <w:right w:val="single" w:color="auto" w:sz="4" w:space="0"/>
            </w:tcBorders>
            <w:noWrap/>
            <w:vAlign w:val="center"/>
          </w:tcPr>
          <w:p w14:paraId="03EFE515">
            <w:pPr>
              <w:spacing w:line="300" w:lineRule="exact"/>
              <w:jc w:val="center"/>
              <w:rPr>
                <w:rFonts w:hint="eastAsia" w:ascii="新宋体" w:hAnsi="新宋体" w:eastAsia="新宋体"/>
                <w:sz w:val="22"/>
                <w:szCs w:val="22"/>
              </w:rPr>
            </w:pPr>
            <w:r>
              <w:rPr>
                <w:rFonts w:hint="eastAsia" w:ascii="新宋体" w:hAnsi="新宋体" w:eastAsia="新宋体"/>
                <w:sz w:val="22"/>
                <w:szCs w:val="22"/>
              </w:rPr>
              <w:t>学历/职称</w:t>
            </w:r>
          </w:p>
        </w:tc>
        <w:tc>
          <w:tcPr>
            <w:tcW w:w="1045" w:type="dxa"/>
            <w:tcBorders>
              <w:top w:val="single" w:color="auto" w:sz="12" w:space="0"/>
              <w:left w:val="single" w:color="auto" w:sz="4" w:space="0"/>
              <w:bottom w:val="single" w:color="auto" w:sz="4" w:space="0"/>
              <w:right w:val="single" w:color="auto" w:sz="4" w:space="0"/>
            </w:tcBorders>
            <w:noWrap/>
            <w:vAlign w:val="center"/>
          </w:tcPr>
          <w:p w14:paraId="47569991">
            <w:pPr>
              <w:spacing w:line="300" w:lineRule="exact"/>
              <w:jc w:val="center"/>
              <w:rPr>
                <w:rFonts w:hint="eastAsia" w:ascii="新宋体" w:hAnsi="新宋体" w:eastAsia="新宋体"/>
                <w:sz w:val="22"/>
                <w:szCs w:val="22"/>
              </w:rPr>
            </w:pPr>
            <w:r>
              <w:rPr>
                <w:rFonts w:hint="eastAsia" w:ascii="新宋体" w:hAnsi="新宋体" w:eastAsia="新宋体"/>
                <w:sz w:val="22"/>
                <w:szCs w:val="22"/>
              </w:rPr>
              <w:t>专业</w:t>
            </w:r>
          </w:p>
        </w:tc>
        <w:tc>
          <w:tcPr>
            <w:tcW w:w="1105" w:type="dxa"/>
            <w:tcBorders>
              <w:top w:val="single" w:color="auto" w:sz="12" w:space="0"/>
              <w:left w:val="single" w:color="auto" w:sz="4" w:space="0"/>
              <w:bottom w:val="single" w:color="auto" w:sz="4" w:space="0"/>
              <w:right w:val="single" w:color="auto" w:sz="4" w:space="0"/>
            </w:tcBorders>
            <w:noWrap/>
            <w:vAlign w:val="center"/>
          </w:tcPr>
          <w:p w14:paraId="5F5BFC1B">
            <w:pPr>
              <w:spacing w:line="300" w:lineRule="exact"/>
              <w:rPr>
                <w:rFonts w:hint="eastAsia" w:ascii="新宋体" w:hAnsi="新宋体" w:eastAsia="新宋体"/>
                <w:sz w:val="22"/>
                <w:szCs w:val="22"/>
              </w:rPr>
            </w:pPr>
            <w:r>
              <w:rPr>
                <w:rFonts w:hint="eastAsia"/>
                <w:sz w:val="22"/>
                <w:szCs w:val="22"/>
              </w:rPr>
              <w:t>专业工作年限</w:t>
            </w:r>
          </w:p>
        </w:tc>
        <w:tc>
          <w:tcPr>
            <w:tcW w:w="1470" w:type="dxa"/>
            <w:tcBorders>
              <w:top w:val="single" w:color="auto" w:sz="12" w:space="0"/>
              <w:left w:val="single" w:color="auto" w:sz="4" w:space="0"/>
              <w:bottom w:val="single" w:color="auto" w:sz="4" w:space="0"/>
              <w:right w:val="single" w:color="auto" w:sz="4" w:space="0"/>
            </w:tcBorders>
            <w:noWrap/>
            <w:vAlign w:val="center"/>
          </w:tcPr>
          <w:p w14:paraId="50047BAE">
            <w:pPr>
              <w:spacing w:line="300" w:lineRule="exact"/>
              <w:jc w:val="center"/>
              <w:rPr>
                <w:rFonts w:hint="eastAsia" w:ascii="新宋体" w:hAnsi="新宋体" w:eastAsia="新宋体"/>
                <w:sz w:val="22"/>
                <w:szCs w:val="22"/>
              </w:rPr>
            </w:pPr>
            <w:r>
              <w:rPr>
                <w:rFonts w:hint="eastAsia" w:ascii="新宋体" w:hAnsi="新宋体" w:eastAsia="新宋体"/>
                <w:sz w:val="22"/>
                <w:szCs w:val="22"/>
              </w:rPr>
              <w:t>主要业绩</w:t>
            </w:r>
          </w:p>
        </w:tc>
        <w:tc>
          <w:tcPr>
            <w:tcW w:w="1140" w:type="dxa"/>
            <w:tcBorders>
              <w:top w:val="single" w:color="auto" w:sz="12" w:space="0"/>
              <w:left w:val="single" w:color="auto" w:sz="4" w:space="0"/>
              <w:bottom w:val="single" w:color="auto" w:sz="4" w:space="0"/>
              <w:right w:val="single" w:color="auto" w:sz="4" w:space="0"/>
            </w:tcBorders>
            <w:noWrap/>
            <w:vAlign w:val="center"/>
          </w:tcPr>
          <w:p w14:paraId="3C4A1BE2">
            <w:pPr>
              <w:spacing w:line="300" w:lineRule="exact"/>
              <w:jc w:val="center"/>
              <w:rPr>
                <w:rFonts w:hint="eastAsia" w:ascii="新宋体" w:hAnsi="新宋体" w:eastAsia="新宋体"/>
                <w:sz w:val="22"/>
                <w:szCs w:val="22"/>
              </w:rPr>
            </w:pPr>
            <w:r>
              <w:rPr>
                <w:rFonts w:hint="eastAsia" w:ascii="新宋体" w:hAnsi="新宋体" w:eastAsia="新宋体"/>
                <w:sz w:val="22"/>
                <w:szCs w:val="22"/>
              </w:rPr>
              <w:t>拟任何职</w:t>
            </w:r>
          </w:p>
        </w:tc>
        <w:tc>
          <w:tcPr>
            <w:tcW w:w="1140" w:type="dxa"/>
            <w:tcBorders>
              <w:top w:val="single" w:color="auto" w:sz="12" w:space="0"/>
              <w:left w:val="single" w:color="auto" w:sz="4" w:space="0"/>
              <w:bottom w:val="single" w:color="auto" w:sz="4" w:space="0"/>
              <w:right w:val="single" w:color="auto" w:sz="12" w:space="0"/>
            </w:tcBorders>
            <w:noWrap/>
            <w:vAlign w:val="center"/>
          </w:tcPr>
          <w:p w14:paraId="78B688DA">
            <w:pPr>
              <w:spacing w:line="300" w:lineRule="exact"/>
              <w:jc w:val="center"/>
              <w:rPr>
                <w:rFonts w:hint="eastAsia" w:ascii="新宋体" w:hAnsi="新宋体" w:eastAsia="新宋体"/>
                <w:sz w:val="22"/>
              </w:rPr>
            </w:pPr>
            <w:r>
              <w:rPr>
                <w:rFonts w:hint="eastAsia" w:ascii="新宋体" w:hAnsi="新宋体" w:eastAsia="新宋体"/>
                <w:sz w:val="22"/>
              </w:rPr>
              <w:t>备注</w:t>
            </w:r>
          </w:p>
        </w:tc>
      </w:tr>
      <w:tr w14:paraId="221EEC8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718" w:hRule="exact"/>
        </w:trPr>
        <w:tc>
          <w:tcPr>
            <w:tcW w:w="722" w:type="dxa"/>
            <w:tcBorders>
              <w:top w:val="single" w:color="auto" w:sz="4" w:space="0"/>
              <w:left w:val="single" w:color="auto" w:sz="12" w:space="0"/>
              <w:bottom w:val="single" w:color="auto" w:sz="4" w:space="0"/>
              <w:right w:val="single" w:color="auto" w:sz="4" w:space="0"/>
            </w:tcBorders>
            <w:noWrap/>
            <w:vAlign w:val="center"/>
          </w:tcPr>
          <w:p w14:paraId="2500DED3">
            <w:pPr>
              <w:spacing w:line="360" w:lineRule="exact"/>
              <w:jc w:val="center"/>
              <w:rPr>
                <w:rFonts w:hint="eastAsia" w:ascii="新宋体" w:hAnsi="新宋体" w:eastAsia="新宋体"/>
                <w:sz w:val="28"/>
              </w:rPr>
            </w:pPr>
          </w:p>
        </w:tc>
        <w:tc>
          <w:tcPr>
            <w:tcW w:w="805" w:type="dxa"/>
            <w:tcBorders>
              <w:top w:val="single" w:color="auto" w:sz="4" w:space="0"/>
              <w:left w:val="single" w:color="auto" w:sz="4" w:space="0"/>
              <w:bottom w:val="single" w:color="auto" w:sz="4" w:space="0"/>
              <w:right w:val="single" w:color="auto" w:sz="4" w:space="0"/>
            </w:tcBorders>
            <w:noWrap/>
            <w:vAlign w:val="center"/>
          </w:tcPr>
          <w:p w14:paraId="117E83D4">
            <w:pPr>
              <w:spacing w:line="360" w:lineRule="exact"/>
              <w:jc w:val="center"/>
              <w:rPr>
                <w:rFonts w:hint="eastAsia" w:ascii="新宋体" w:hAnsi="新宋体" w:eastAsia="新宋体"/>
                <w:sz w:val="28"/>
              </w:rPr>
            </w:pPr>
          </w:p>
        </w:tc>
        <w:tc>
          <w:tcPr>
            <w:tcW w:w="805" w:type="dxa"/>
            <w:tcBorders>
              <w:top w:val="single" w:color="auto" w:sz="4" w:space="0"/>
              <w:left w:val="single" w:color="auto" w:sz="4" w:space="0"/>
              <w:bottom w:val="single" w:color="auto" w:sz="4" w:space="0"/>
              <w:right w:val="single" w:color="auto" w:sz="4" w:space="0"/>
            </w:tcBorders>
            <w:noWrap/>
            <w:vAlign w:val="center"/>
          </w:tcPr>
          <w:p w14:paraId="52753933">
            <w:pPr>
              <w:spacing w:line="360" w:lineRule="exact"/>
              <w:jc w:val="center"/>
              <w:rPr>
                <w:rFonts w:hint="eastAsia" w:ascii="新宋体" w:hAnsi="新宋体" w:eastAsia="新宋体"/>
                <w:sz w:val="28"/>
              </w:rPr>
            </w:pPr>
          </w:p>
        </w:tc>
        <w:tc>
          <w:tcPr>
            <w:tcW w:w="1064" w:type="dxa"/>
            <w:tcBorders>
              <w:top w:val="single" w:color="auto" w:sz="4" w:space="0"/>
              <w:left w:val="single" w:color="auto" w:sz="4" w:space="0"/>
              <w:bottom w:val="single" w:color="auto" w:sz="4" w:space="0"/>
              <w:right w:val="single" w:color="auto" w:sz="4" w:space="0"/>
            </w:tcBorders>
            <w:noWrap/>
            <w:vAlign w:val="center"/>
          </w:tcPr>
          <w:p w14:paraId="2D410F99">
            <w:pPr>
              <w:spacing w:line="360" w:lineRule="exact"/>
              <w:jc w:val="center"/>
              <w:rPr>
                <w:rFonts w:hint="eastAsia" w:ascii="新宋体" w:hAnsi="新宋体" w:eastAsia="新宋体"/>
                <w:sz w:val="28"/>
              </w:rPr>
            </w:pPr>
          </w:p>
        </w:tc>
        <w:tc>
          <w:tcPr>
            <w:tcW w:w="1045" w:type="dxa"/>
            <w:tcBorders>
              <w:top w:val="single" w:color="auto" w:sz="4" w:space="0"/>
              <w:left w:val="single" w:color="auto" w:sz="4" w:space="0"/>
              <w:bottom w:val="single" w:color="auto" w:sz="4" w:space="0"/>
              <w:right w:val="single" w:color="auto" w:sz="4" w:space="0"/>
            </w:tcBorders>
            <w:noWrap/>
            <w:vAlign w:val="center"/>
          </w:tcPr>
          <w:p w14:paraId="2A57DF69">
            <w:pPr>
              <w:spacing w:line="360" w:lineRule="exact"/>
              <w:jc w:val="center"/>
              <w:rPr>
                <w:rFonts w:hint="eastAsia" w:ascii="新宋体" w:hAnsi="新宋体" w:eastAsia="新宋体"/>
                <w:sz w:val="28"/>
              </w:rPr>
            </w:pPr>
          </w:p>
        </w:tc>
        <w:tc>
          <w:tcPr>
            <w:tcW w:w="1105" w:type="dxa"/>
            <w:tcBorders>
              <w:top w:val="single" w:color="auto" w:sz="4" w:space="0"/>
              <w:left w:val="single" w:color="auto" w:sz="4" w:space="0"/>
              <w:bottom w:val="single" w:color="auto" w:sz="4" w:space="0"/>
              <w:right w:val="single" w:color="auto" w:sz="4" w:space="0"/>
            </w:tcBorders>
            <w:noWrap/>
            <w:vAlign w:val="center"/>
          </w:tcPr>
          <w:p w14:paraId="620C7927">
            <w:pPr>
              <w:spacing w:line="360" w:lineRule="exact"/>
              <w:jc w:val="center"/>
              <w:rPr>
                <w:rFonts w:hint="eastAsia" w:ascii="新宋体" w:hAnsi="新宋体" w:eastAsia="新宋体"/>
                <w:sz w:val="28"/>
              </w:rPr>
            </w:pPr>
          </w:p>
        </w:tc>
        <w:tc>
          <w:tcPr>
            <w:tcW w:w="1470" w:type="dxa"/>
            <w:tcBorders>
              <w:top w:val="single" w:color="auto" w:sz="4" w:space="0"/>
              <w:left w:val="single" w:color="auto" w:sz="4" w:space="0"/>
              <w:bottom w:val="single" w:color="auto" w:sz="4" w:space="0"/>
              <w:right w:val="single" w:color="auto" w:sz="4" w:space="0"/>
            </w:tcBorders>
            <w:noWrap/>
            <w:vAlign w:val="center"/>
          </w:tcPr>
          <w:p w14:paraId="7F256A60">
            <w:pPr>
              <w:spacing w:line="360" w:lineRule="exact"/>
              <w:jc w:val="center"/>
              <w:rPr>
                <w:rFonts w:hint="eastAsia" w:ascii="新宋体" w:hAnsi="新宋体" w:eastAsia="新宋体"/>
                <w:sz w:val="28"/>
              </w:rPr>
            </w:pPr>
          </w:p>
        </w:tc>
        <w:tc>
          <w:tcPr>
            <w:tcW w:w="1140" w:type="dxa"/>
            <w:tcBorders>
              <w:top w:val="single" w:color="auto" w:sz="4" w:space="0"/>
              <w:left w:val="single" w:color="auto" w:sz="4" w:space="0"/>
              <w:bottom w:val="single" w:color="auto" w:sz="4" w:space="0"/>
              <w:right w:val="single" w:color="auto" w:sz="4" w:space="0"/>
            </w:tcBorders>
            <w:noWrap/>
            <w:vAlign w:val="center"/>
          </w:tcPr>
          <w:p w14:paraId="5103FED0">
            <w:pPr>
              <w:spacing w:line="360" w:lineRule="exact"/>
              <w:jc w:val="center"/>
              <w:rPr>
                <w:rFonts w:hint="eastAsia" w:ascii="新宋体" w:hAnsi="新宋体" w:eastAsia="新宋体"/>
                <w:sz w:val="28"/>
              </w:rPr>
            </w:pPr>
          </w:p>
        </w:tc>
        <w:tc>
          <w:tcPr>
            <w:tcW w:w="1140" w:type="dxa"/>
            <w:tcBorders>
              <w:top w:val="single" w:color="auto" w:sz="4" w:space="0"/>
              <w:left w:val="single" w:color="auto" w:sz="4" w:space="0"/>
              <w:bottom w:val="single" w:color="auto" w:sz="4" w:space="0"/>
              <w:right w:val="single" w:color="auto" w:sz="12" w:space="0"/>
            </w:tcBorders>
            <w:noWrap/>
            <w:vAlign w:val="center"/>
          </w:tcPr>
          <w:p w14:paraId="71DC4F53">
            <w:pPr>
              <w:spacing w:line="360" w:lineRule="exact"/>
              <w:jc w:val="center"/>
              <w:rPr>
                <w:rFonts w:hint="eastAsia" w:ascii="新宋体" w:hAnsi="新宋体" w:eastAsia="新宋体"/>
                <w:sz w:val="28"/>
              </w:rPr>
            </w:pPr>
          </w:p>
        </w:tc>
      </w:tr>
      <w:tr w14:paraId="455FF41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718" w:hRule="exact"/>
        </w:trPr>
        <w:tc>
          <w:tcPr>
            <w:tcW w:w="722" w:type="dxa"/>
            <w:tcBorders>
              <w:top w:val="single" w:color="auto" w:sz="4" w:space="0"/>
              <w:left w:val="single" w:color="auto" w:sz="12" w:space="0"/>
              <w:bottom w:val="single" w:color="auto" w:sz="4" w:space="0"/>
              <w:right w:val="single" w:color="auto" w:sz="4" w:space="0"/>
            </w:tcBorders>
            <w:noWrap/>
            <w:vAlign w:val="center"/>
          </w:tcPr>
          <w:p w14:paraId="51E6882C">
            <w:pPr>
              <w:spacing w:line="360" w:lineRule="exact"/>
              <w:jc w:val="center"/>
              <w:rPr>
                <w:rFonts w:hint="eastAsia" w:ascii="新宋体" w:hAnsi="新宋体" w:eastAsia="新宋体"/>
                <w:sz w:val="28"/>
              </w:rPr>
            </w:pPr>
          </w:p>
        </w:tc>
        <w:tc>
          <w:tcPr>
            <w:tcW w:w="805" w:type="dxa"/>
            <w:tcBorders>
              <w:top w:val="single" w:color="auto" w:sz="4" w:space="0"/>
              <w:left w:val="single" w:color="auto" w:sz="4" w:space="0"/>
              <w:bottom w:val="single" w:color="auto" w:sz="4" w:space="0"/>
              <w:right w:val="single" w:color="auto" w:sz="4" w:space="0"/>
            </w:tcBorders>
            <w:noWrap/>
            <w:vAlign w:val="center"/>
          </w:tcPr>
          <w:p w14:paraId="4E7F4B4C">
            <w:pPr>
              <w:spacing w:line="360" w:lineRule="exact"/>
              <w:jc w:val="center"/>
              <w:rPr>
                <w:rFonts w:hint="eastAsia" w:ascii="新宋体" w:hAnsi="新宋体" w:eastAsia="新宋体"/>
                <w:sz w:val="28"/>
              </w:rPr>
            </w:pPr>
          </w:p>
        </w:tc>
        <w:tc>
          <w:tcPr>
            <w:tcW w:w="805" w:type="dxa"/>
            <w:tcBorders>
              <w:top w:val="single" w:color="auto" w:sz="4" w:space="0"/>
              <w:left w:val="single" w:color="auto" w:sz="4" w:space="0"/>
              <w:bottom w:val="single" w:color="auto" w:sz="4" w:space="0"/>
              <w:right w:val="single" w:color="auto" w:sz="4" w:space="0"/>
            </w:tcBorders>
            <w:noWrap/>
            <w:vAlign w:val="center"/>
          </w:tcPr>
          <w:p w14:paraId="3838941D">
            <w:pPr>
              <w:spacing w:line="360" w:lineRule="exact"/>
              <w:jc w:val="center"/>
              <w:rPr>
                <w:rFonts w:hint="eastAsia" w:ascii="新宋体" w:hAnsi="新宋体" w:eastAsia="新宋体"/>
                <w:sz w:val="28"/>
              </w:rPr>
            </w:pPr>
          </w:p>
        </w:tc>
        <w:tc>
          <w:tcPr>
            <w:tcW w:w="1064" w:type="dxa"/>
            <w:tcBorders>
              <w:top w:val="single" w:color="auto" w:sz="4" w:space="0"/>
              <w:left w:val="single" w:color="auto" w:sz="4" w:space="0"/>
              <w:bottom w:val="single" w:color="auto" w:sz="4" w:space="0"/>
              <w:right w:val="single" w:color="auto" w:sz="4" w:space="0"/>
            </w:tcBorders>
            <w:noWrap/>
            <w:vAlign w:val="center"/>
          </w:tcPr>
          <w:p w14:paraId="15D37BD0">
            <w:pPr>
              <w:spacing w:line="360" w:lineRule="exact"/>
              <w:jc w:val="center"/>
              <w:rPr>
                <w:rFonts w:hint="eastAsia" w:ascii="新宋体" w:hAnsi="新宋体" w:eastAsia="新宋体"/>
                <w:sz w:val="28"/>
              </w:rPr>
            </w:pPr>
          </w:p>
        </w:tc>
        <w:tc>
          <w:tcPr>
            <w:tcW w:w="1045" w:type="dxa"/>
            <w:tcBorders>
              <w:top w:val="single" w:color="auto" w:sz="4" w:space="0"/>
              <w:left w:val="single" w:color="auto" w:sz="4" w:space="0"/>
              <w:bottom w:val="single" w:color="auto" w:sz="4" w:space="0"/>
              <w:right w:val="single" w:color="auto" w:sz="4" w:space="0"/>
            </w:tcBorders>
            <w:noWrap/>
            <w:vAlign w:val="center"/>
          </w:tcPr>
          <w:p w14:paraId="32397E98">
            <w:pPr>
              <w:spacing w:line="360" w:lineRule="exact"/>
              <w:jc w:val="center"/>
              <w:rPr>
                <w:rFonts w:hint="eastAsia" w:ascii="新宋体" w:hAnsi="新宋体" w:eastAsia="新宋体"/>
                <w:sz w:val="28"/>
              </w:rPr>
            </w:pPr>
          </w:p>
        </w:tc>
        <w:tc>
          <w:tcPr>
            <w:tcW w:w="1105" w:type="dxa"/>
            <w:tcBorders>
              <w:top w:val="single" w:color="auto" w:sz="4" w:space="0"/>
              <w:left w:val="single" w:color="auto" w:sz="4" w:space="0"/>
              <w:bottom w:val="single" w:color="auto" w:sz="4" w:space="0"/>
              <w:right w:val="single" w:color="auto" w:sz="4" w:space="0"/>
            </w:tcBorders>
            <w:noWrap/>
            <w:vAlign w:val="center"/>
          </w:tcPr>
          <w:p w14:paraId="12F8CA98">
            <w:pPr>
              <w:spacing w:line="360" w:lineRule="exact"/>
              <w:jc w:val="center"/>
              <w:rPr>
                <w:rFonts w:hint="eastAsia" w:ascii="新宋体" w:hAnsi="新宋体" w:eastAsia="新宋体"/>
                <w:sz w:val="28"/>
              </w:rPr>
            </w:pPr>
          </w:p>
        </w:tc>
        <w:tc>
          <w:tcPr>
            <w:tcW w:w="1470" w:type="dxa"/>
            <w:tcBorders>
              <w:top w:val="single" w:color="auto" w:sz="4" w:space="0"/>
              <w:left w:val="single" w:color="auto" w:sz="4" w:space="0"/>
              <w:bottom w:val="single" w:color="auto" w:sz="4" w:space="0"/>
              <w:right w:val="single" w:color="auto" w:sz="4" w:space="0"/>
            </w:tcBorders>
            <w:noWrap/>
            <w:vAlign w:val="center"/>
          </w:tcPr>
          <w:p w14:paraId="74CF21C6">
            <w:pPr>
              <w:spacing w:line="360" w:lineRule="exact"/>
              <w:jc w:val="center"/>
              <w:rPr>
                <w:rFonts w:hint="eastAsia" w:ascii="新宋体" w:hAnsi="新宋体" w:eastAsia="新宋体"/>
                <w:sz w:val="28"/>
              </w:rPr>
            </w:pPr>
          </w:p>
        </w:tc>
        <w:tc>
          <w:tcPr>
            <w:tcW w:w="1140" w:type="dxa"/>
            <w:tcBorders>
              <w:top w:val="single" w:color="auto" w:sz="4" w:space="0"/>
              <w:left w:val="single" w:color="auto" w:sz="4" w:space="0"/>
              <w:bottom w:val="single" w:color="auto" w:sz="4" w:space="0"/>
              <w:right w:val="single" w:color="auto" w:sz="4" w:space="0"/>
            </w:tcBorders>
            <w:noWrap/>
            <w:vAlign w:val="center"/>
          </w:tcPr>
          <w:p w14:paraId="5D78C7BF">
            <w:pPr>
              <w:spacing w:line="360" w:lineRule="exact"/>
              <w:jc w:val="center"/>
              <w:rPr>
                <w:rFonts w:hint="eastAsia" w:ascii="新宋体" w:hAnsi="新宋体" w:eastAsia="新宋体"/>
                <w:sz w:val="28"/>
              </w:rPr>
            </w:pPr>
          </w:p>
        </w:tc>
        <w:tc>
          <w:tcPr>
            <w:tcW w:w="1140" w:type="dxa"/>
            <w:tcBorders>
              <w:top w:val="single" w:color="auto" w:sz="4" w:space="0"/>
              <w:left w:val="single" w:color="auto" w:sz="4" w:space="0"/>
              <w:bottom w:val="single" w:color="auto" w:sz="4" w:space="0"/>
              <w:right w:val="single" w:color="auto" w:sz="12" w:space="0"/>
            </w:tcBorders>
            <w:noWrap/>
            <w:vAlign w:val="center"/>
          </w:tcPr>
          <w:p w14:paraId="771B5A91">
            <w:pPr>
              <w:spacing w:line="360" w:lineRule="exact"/>
              <w:jc w:val="center"/>
              <w:rPr>
                <w:rFonts w:hint="eastAsia" w:ascii="新宋体" w:hAnsi="新宋体" w:eastAsia="新宋体"/>
                <w:sz w:val="28"/>
              </w:rPr>
            </w:pPr>
          </w:p>
        </w:tc>
      </w:tr>
      <w:tr w14:paraId="34C9918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718" w:hRule="exact"/>
        </w:trPr>
        <w:tc>
          <w:tcPr>
            <w:tcW w:w="722" w:type="dxa"/>
            <w:tcBorders>
              <w:top w:val="single" w:color="auto" w:sz="4" w:space="0"/>
              <w:left w:val="single" w:color="auto" w:sz="12" w:space="0"/>
              <w:bottom w:val="single" w:color="auto" w:sz="4" w:space="0"/>
              <w:right w:val="single" w:color="auto" w:sz="4" w:space="0"/>
            </w:tcBorders>
            <w:noWrap/>
            <w:vAlign w:val="center"/>
          </w:tcPr>
          <w:p w14:paraId="27239503">
            <w:pPr>
              <w:spacing w:line="360" w:lineRule="exact"/>
              <w:jc w:val="center"/>
              <w:rPr>
                <w:rFonts w:hint="eastAsia" w:ascii="新宋体" w:hAnsi="新宋体" w:eastAsia="新宋体"/>
                <w:sz w:val="28"/>
              </w:rPr>
            </w:pPr>
          </w:p>
        </w:tc>
        <w:tc>
          <w:tcPr>
            <w:tcW w:w="805" w:type="dxa"/>
            <w:tcBorders>
              <w:top w:val="single" w:color="auto" w:sz="4" w:space="0"/>
              <w:left w:val="single" w:color="auto" w:sz="4" w:space="0"/>
              <w:bottom w:val="single" w:color="auto" w:sz="4" w:space="0"/>
              <w:right w:val="single" w:color="auto" w:sz="4" w:space="0"/>
            </w:tcBorders>
            <w:noWrap/>
            <w:vAlign w:val="center"/>
          </w:tcPr>
          <w:p w14:paraId="5DCA205E">
            <w:pPr>
              <w:spacing w:line="360" w:lineRule="exact"/>
              <w:jc w:val="center"/>
              <w:rPr>
                <w:rFonts w:hint="eastAsia" w:ascii="新宋体" w:hAnsi="新宋体" w:eastAsia="新宋体"/>
                <w:sz w:val="28"/>
              </w:rPr>
            </w:pPr>
          </w:p>
        </w:tc>
        <w:tc>
          <w:tcPr>
            <w:tcW w:w="805" w:type="dxa"/>
            <w:tcBorders>
              <w:top w:val="single" w:color="auto" w:sz="4" w:space="0"/>
              <w:left w:val="single" w:color="auto" w:sz="4" w:space="0"/>
              <w:bottom w:val="single" w:color="auto" w:sz="4" w:space="0"/>
              <w:right w:val="single" w:color="auto" w:sz="4" w:space="0"/>
            </w:tcBorders>
            <w:noWrap/>
            <w:vAlign w:val="center"/>
          </w:tcPr>
          <w:p w14:paraId="423F1639">
            <w:pPr>
              <w:spacing w:line="360" w:lineRule="exact"/>
              <w:jc w:val="center"/>
              <w:rPr>
                <w:rFonts w:hint="eastAsia" w:ascii="新宋体" w:hAnsi="新宋体" w:eastAsia="新宋体"/>
                <w:sz w:val="28"/>
              </w:rPr>
            </w:pPr>
          </w:p>
        </w:tc>
        <w:tc>
          <w:tcPr>
            <w:tcW w:w="1064" w:type="dxa"/>
            <w:tcBorders>
              <w:top w:val="single" w:color="auto" w:sz="4" w:space="0"/>
              <w:left w:val="single" w:color="auto" w:sz="4" w:space="0"/>
              <w:bottom w:val="single" w:color="auto" w:sz="4" w:space="0"/>
              <w:right w:val="single" w:color="auto" w:sz="4" w:space="0"/>
            </w:tcBorders>
            <w:noWrap/>
            <w:vAlign w:val="center"/>
          </w:tcPr>
          <w:p w14:paraId="64BEC70D">
            <w:pPr>
              <w:spacing w:line="360" w:lineRule="exact"/>
              <w:jc w:val="center"/>
              <w:rPr>
                <w:rFonts w:hint="eastAsia" w:ascii="新宋体" w:hAnsi="新宋体" w:eastAsia="新宋体"/>
                <w:sz w:val="28"/>
              </w:rPr>
            </w:pPr>
          </w:p>
        </w:tc>
        <w:tc>
          <w:tcPr>
            <w:tcW w:w="1045" w:type="dxa"/>
            <w:tcBorders>
              <w:top w:val="single" w:color="auto" w:sz="4" w:space="0"/>
              <w:left w:val="single" w:color="auto" w:sz="4" w:space="0"/>
              <w:bottom w:val="single" w:color="auto" w:sz="4" w:space="0"/>
              <w:right w:val="single" w:color="auto" w:sz="4" w:space="0"/>
            </w:tcBorders>
            <w:noWrap/>
            <w:vAlign w:val="center"/>
          </w:tcPr>
          <w:p w14:paraId="492597B1">
            <w:pPr>
              <w:spacing w:line="360" w:lineRule="exact"/>
              <w:jc w:val="center"/>
              <w:rPr>
                <w:rFonts w:hint="eastAsia" w:ascii="新宋体" w:hAnsi="新宋体" w:eastAsia="新宋体"/>
                <w:sz w:val="28"/>
              </w:rPr>
            </w:pPr>
          </w:p>
        </w:tc>
        <w:tc>
          <w:tcPr>
            <w:tcW w:w="1105" w:type="dxa"/>
            <w:tcBorders>
              <w:top w:val="single" w:color="auto" w:sz="4" w:space="0"/>
              <w:left w:val="single" w:color="auto" w:sz="4" w:space="0"/>
              <w:bottom w:val="single" w:color="auto" w:sz="4" w:space="0"/>
              <w:right w:val="single" w:color="auto" w:sz="4" w:space="0"/>
            </w:tcBorders>
            <w:noWrap/>
            <w:vAlign w:val="center"/>
          </w:tcPr>
          <w:p w14:paraId="6CA1DCC0">
            <w:pPr>
              <w:spacing w:line="360" w:lineRule="exact"/>
              <w:jc w:val="center"/>
              <w:rPr>
                <w:rFonts w:hint="eastAsia" w:ascii="新宋体" w:hAnsi="新宋体" w:eastAsia="新宋体"/>
                <w:sz w:val="28"/>
              </w:rPr>
            </w:pPr>
          </w:p>
        </w:tc>
        <w:tc>
          <w:tcPr>
            <w:tcW w:w="1470" w:type="dxa"/>
            <w:tcBorders>
              <w:top w:val="single" w:color="auto" w:sz="4" w:space="0"/>
              <w:left w:val="single" w:color="auto" w:sz="4" w:space="0"/>
              <w:bottom w:val="single" w:color="auto" w:sz="4" w:space="0"/>
              <w:right w:val="single" w:color="auto" w:sz="4" w:space="0"/>
            </w:tcBorders>
            <w:noWrap/>
            <w:vAlign w:val="center"/>
          </w:tcPr>
          <w:p w14:paraId="1A746D84">
            <w:pPr>
              <w:spacing w:line="360" w:lineRule="exact"/>
              <w:jc w:val="center"/>
              <w:rPr>
                <w:rFonts w:hint="eastAsia" w:ascii="新宋体" w:hAnsi="新宋体" w:eastAsia="新宋体"/>
                <w:sz w:val="28"/>
              </w:rPr>
            </w:pPr>
          </w:p>
        </w:tc>
        <w:tc>
          <w:tcPr>
            <w:tcW w:w="1140" w:type="dxa"/>
            <w:tcBorders>
              <w:top w:val="single" w:color="auto" w:sz="4" w:space="0"/>
              <w:left w:val="single" w:color="auto" w:sz="4" w:space="0"/>
              <w:bottom w:val="single" w:color="auto" w:sz="4" w:space="0"/>
              <w:right w:val="single" w:color="auto" w:sz="4" w:space="0"/>
            </w:tcBorders>
            <w:noWrap/>
            <w:vAlign w:val="center"/>
          </w:tcPr>
          <w:p w14:paraId="62B031BC">
            <w:pPr>
              <w:spacing w:line="360" w:lineRule="exact"/>
              <w:jc w:val="center"/>
              <w:rPr>
                <w:rFonts w:hint="eastAsia" w:ascii="新宋体" w:hAnsi="新宋体" w:eastAsia="新宋体"/>
                <w:sz w:val="28"/>
              </w:rPr>
            </w:pPr>
          </w:p>
        </w:tc>
        <w:tc>
          <w:tcPr>
            <w:tcW w:w="1140" w:type="dxa"/>
            <w:tcBorders>
              <w:top w:val="single" w:color="auto" w:sz="4" w:space="0"/>
              <w:left w:val="single" w:color="auto" w:sz="4" w:space="0"/>
              <w:bottom w:val="single" w:color="auto" w:sz="4" w:space="0"/>
              <w:right w:val="single" w:color="auto" w:sz="12" w:space="0"/>
            </w:tcBorders>
            <w:noWrap/>
            <w:vAlign w:val="center"/>
          </w:tcPr>
          <w:p w14:paraId="35593F2D">
            <w:pPr>
              <w:spacing w:line="360" w:lineRule="exact"/>
              <w:jc w:val="center"/>
              <w:rPr>
                <w:rFonts w:hint="eastAsia" w:ascii="新宋体" w:hAnsi="新宋体" w:eastAsia="新宋体"/>
                <w:sz w:val="28"/>
              </w:rPr>
            </w:pPr>
          </w:p>
        </w:tc>
      </w:tr>
      <w:tr w14:paraId="3FE4576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718" w:hRule="exact"/>
        </w:trPr>
        <w:tc>
          <w:tcPr>
            <w:tcW w:w="722" w:type="dxa"/>
            <w:tcBorders>
              <w:top w:val="single" w:color="auto" w:sz="4" w:space="0"/>
              <w:left w:val="single" w:color="auto" w:sz="12" w:space="0"/>
              <w:bottom w:val="single" w:color="auto" w:sz="4" w:space="0"/>
              <w:right w:val="single" w:color="auto" w:sz="4" w:space="0"/>
            </w:tcBorders>
            <w:noWrap/>
            <w:vAlign w:val="center"/>
          </w:tcPr>
          <w:p w14:paraId="2A4AD9F9">
            <w:pPr>
              <w:spacing w:line="360" w:lineRule="exact"/>
              <w:jc w:val="center"/>
              <w:rPr>
                <w:rFonts w:hint="eastAsia" w:ascii="新宋体" w:hAnsi="新宋体" w:eastAsia="新宋体"/>
                <w:sz w:val="28"/>
              </w:rPr>
            </w:pPr>
          </w:p>
        </w:tc>
        <w:tc>
          <w:tcPr>
            <w:tcW w:w="805" w:type="dxa"/>
            <w:tcBorders>
              <w:top w:val="single" w:color="auto" w:sz="4" w:space="0"/>
              <w:left w:val="single" w:color="auto" w:sz="4" w:space="0"/>
              <w:bottom w:val="single" w:color="auto" w:sz="4" w:space="0"/>
              <w:right w:val="single" w:color="auto" w:sz="4" w:space="0"/>
            </w:tcBorders>
            <w:noWrap/>
            <w:vAlign w:val="center"/>
          </w:tcPr>
          <w:p w14:paraId="0E84B88F">
            <w:pPr>
              <w:spacing w:line="360" w:lineRule="exact"/>
              <w:jc w:val="center"/>
              <w:rPr>
                <w:rFonts w:hint="eastAsia" w:ascii="新宋体" w:hAnsi="新宋体" w:eastAsia="新宋体"/>
                <w:sz w:val="28"/>
              </w:rPr>
            </w:pPr>
          </w:p>
        </w:tc>
        <w:tc>
          <w:tcPr>
            <w:tcW w:w="805" w:type="dxa"/>
            <w:tcBorders>
              <w:top w:val="single" w:color="auto" w:sz="4" w:space="0"/>
              <w:left w:val="single" w:color="auto" w:sz="4" w:space="0"/>
              <w:bottom w:val="single" w:color="auto" w:sz="4" w:space="0"/>
              <w:right w:val="single" w:color="auto" w:sz="4" w:space="0"/>
            </w:tcBorders>
            <w:noWrap/>
            <w:vAlign w:val="center"/>
          </w:tcPr>
          <w:p w14:paraId="0D6B4F8B">
            <w:pPr>
              <w:spacing w:line="360" w:lineRule="exact"/>
              <w:jc w:val="center"/>
              <w:rPr>
                <w:rFonts w:hint="eastAsia" w:ascii="新宋体" w:hAnsi="新宋体" w:eastAsia="新宋体"/>
                <w:sz w:val="28"/>
              </w:rPr>
            </w:pPr>
          </w:p>
        </w:tc>
        <w:tc>
          <w:tcPr>
            <w:tcW w:w="1064" w:type="dxa"/>
            <w:tcBorders>
              <w:top w:val="single" w:color="auto" w:sz="4" w:space="0"/>
              <w:left w:val="single" w:color="auto" w:sz="4" w:space="0"/>
              <w:bottom w:val="single" w:color="auto" w:sz="4" w:space="0"/>
              <w:right w:val="single" w:color="auto" w:sz="4" w:space="0"/>
            </w:tcBorders>
            <w:noWrap/>
            <w:vAlign w:val="center"/>
          </w:tcPr>
          <w:p w14:paraId="396234BC">
            <w:pPr>
              <w:spacing w:line="360" w:lineRule="exact"/>
              <w:jc w:val="center"/>
              <w:rPr>
                <w:rFonts w:hint="eastAsia" w:ascii="新宋体" w:hAnsi="新宋体" w:eastAsia="新宋体"/>
                <w:sz w:val="28"/>
              </w:rPr>
            </w:pPr>
          </w:p>
        </w:tc>
        <w:tc>
          <w:tcPr>
            <w:tcW w:w="1045" w:type="dxa"/>
            <w:tcBorders>
              <w:top w:val="single" w:color="auto" w:sz="4" w:space="0"/>
              <w:left w:val="single" w:color="auto" w:sz="4" w:space="0"/>
              <w:bottom w:val="single" w:color="auto" w:sz="4" w:space="0"/>
              <w:right w:val="single" w:color="auto" w:sz="4" w:space="0"/>
            </w:tcBorders>
            <w:noWrap/>
            <w:vAlign w:val="center"/>
          </w:tcPr>
          <w:p w14:paraId="4FC86153">
            <w:pPr>
              <w:spacing w:line="360" w:lineRule="exact"/>
              <w:jc w:val="center"/>
              <w:rPr>
                <w:rFonts w:hint="eastAsia" w:ascii="新宋体" w:hAnsi="新宋体" w:eastAsia="新宋体"/>
                <w:sz w:val="28"/>
              </w:rPr>
            </w:pPr>
          </w:p>
        </w:tc>
        <w:tc>
          <w:tcPr>
            <w:tcW w:w="1105" w:type="dxa"/>
            <w:tcBorders>
              <w:top w:val="single" w:color="auto" w:sz="4" w:space="0"/>
              <w:left w:val="single" w:color="auto" w:sz="4" w:space="0"/>
              <w:bottom w:val="single" w:color="auto" w:sz="4" w:space="0"/>
              <w:right w:val="single" w:color="auto" w:sz="4" w:space="0"/>
            </w:tcBorders>
            <w:noWrap/>
            <w:vAlign w:val="center"/>
          </w:tcPr>
          <w:p w14:paraId="7352C0C9">
            <w:pPr>
              <w:spacing w:line="360" w:lineRule="exact"/>
              <w:jc w:val="center"/>
              <w:rPr>
                <w:rFonts w:hint="eastAsia" w:ascii="新宋体" w:hAnsi="新宋体" w:eastAsia="新宋体"/>
                <w:sz w:val="28"/>
              </w:rPr>
            </w:pPr>
          </w:p>
        </w:tc>
        <w:tc>
          <w:tcPr>
            <w:tcW w:w="1470" w:type="dxa"/>
            <w:tcBorders>
              <w:top w:val="single" w:color="auto" w:sz="4" w:space="0"/>
              <w:left w:val="single" w:color="auto" w:sz="4" w:space="0"/>
              <w:bottom w:val="single" w:color="auto" w:sz="4" w:space="0"/>
              <w:right w:val="single" w:color="auto" w:sz="4" w:space="0"/>
            </w:tcBorders>
            <w:noWrap/>
            <w:vAlign w:val="center"/>
          </w:tcPr>
          <w:p w14:paraId="4F934376">
            <w:pPr>
              <w:spacing w:line="360" w:lineRule="exact"/>
              <w:jc w:val="center"/>
              <w:rPr>
                <w:rFonts w:hint="eastAsia" w:ascii="新宋体" w:hAnsi="新宋体" w:eastAsia="新宋体"/>
                <w:sz w:val="28"/>
              </w:rPr>
            </w:pPr>
          </w:p>
        </w:tc>
        <w:tc>
          <w:tcPr>
            <w:tcW w:w="1140" w:type="dxa"/>
            <w:tcBorders>
              <w:top w:val="single" w:color="auto" w:sz="4" w:space="0"/>
              <w:left w:val="single" w:color="auto" w:sz="4" w:space="0"/>
              <w:bottom w:val="single" w:color="auto" w:sz="4" w:space="0"/>
              <w:right w:val="single" w:color="auto" w:sz="4" w:space="0"/>
            </w:tcBorders>
            <w:noWrap/>
            <w:vAlign w:val="center"/>
          </w:tcPr>
          <w:p w14:paraId="33680FFA">
            <w:pPr>
              <w:spacing w:line="360" w:lineRule="exact"/>
              <w:jc w:val="center"/>
              <w:rPr>
                <w:rFonts w:hint="eastAsia" w:ascii="新宋体" w:hAnsi="新宋体" w:eastAsia="新宋体"/>
                <w:sz w:val="28"/>
              </w:rPr>
            </w:pPr>
          </w:p>
        </w:tc>
        <w:tc>
          <w:tcPr>
            <w:tcW w:w="1140" w:type="dxa"/>
            <w:tcBorders>
              <w:top w:val="single" w:color="auto" w:sz="4" w:space="0"/>
              <w:left w:val="single" w:color="auto" w:sz="4" w:space="0"/>
              <w:bottom w:val="single" w:color="auto" w:sz="4" w:space="0"/>
              <w:right w:val="single" w:color="auto" w:sz="12" w:space="0"/>
            </w:tcBorders>
            <w:noWrap/>
            <w:vAlign w:val="center"/>
          </w:tcPr>
          <w:p w14:paraId="55D33E8E">
            <w:pPr>
              <w:spacing w:line="360" w:lineRule="exact"/>
              <w:jc w:val="center"/>
              <w:rPr>
                <w:rFonts w:hint="eastAsia" w:ascii="新宋体" w:hAnsi="新宋体" w:eastAsia="新宋体"/>
                <w:sz w:val="28"/>
              </w:rPr>
            </w:pPr>
          </w:p>
        </w:tc>
      </w:tr>
      <w:tr w14:paraId="2777904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718" w:hRule="exact"/>
        </w:trPr>
        <w:tc>
          <w:tcPr>
            <w:tcW w:w="722" w:type="dxa"/>
            <w:tcBorders>
              <w:top w:val="single" w:color="auto" w:sz="4" w:space="0"/>
              <w:left w:val="single" w:color="auto" w:sz="12" w:space="0"/>
              <w:bottom w:val="single" w:color="auto" w:sz="4" w:space="0"/>
              <w:right w:val="single" w:color="auto" w:sz="4" w:space="0"/>
            </w:tcBorders>
            <w:noWrap/>
            <w:vAlign w:val="center"/>
          </w:tcPr>
          <w:p w14:paraId="1838B4A4">
            <w:pPr>
              <w:spacing w:line="360" w:lineRule="exact"/>
              <w:jc w:val="center"/>
              <w:rPr>
                <w:rFonts w:hint="eastAsia" w:ascii="新宋体" w:hAnsi="新宋体" w:eastAsia="新宋体"/>
                <w:sz w:val="28"/>
              </w:rPr>
            </w:pPr>
          </w:p>
        </w:tc>
        <w:tc>
          <w:tcPr>
            <w:tcW w:w="805" w:type="dxa"/>
            <w:tcBorders>
              <w:top w:val="single" w:color="auto" w:sz="4" w:space="0"/>
              <w:left w:val="single" w:color="auto" w:sz="4" w:space="0"/>
              <w:bottom w:val="single" w:color="auto" w:sz="4" w:space="0"/>
              <w:right w:val="single" w:color="auto" w:sz="4" w:space="0"/>
            </w:tcBorders>
            <w:noWrap/>
            <w:vAlign w:val="center"/>
          </w:tcPr>
          <w:p w14:paraId="4E048C4C">
            <w:pPr>
              <w:spacing w:line="360" w:lineRule="exact"/>
              <w:jc w:val="center"/>
              <w:rPr>
                <w:rFonts w:hint="eastAsia" w:ascii="新宋体" w:hAnsi="新宋体" w:eastAsia="新宋体"/>
                <w:sz w:val="28"/>
              </w:rPr>
            </w:pPr>
          </w:p>
        </w:tc>
        <w:tc>
          <w:tcPr>
            <w:tcW w:w="805" w:type="dxa"/>
            <w:tcBorders>
              <w:top w:val="single" w:color="auto" w:sz="4" w:space="0"/>
              <w:left w:val="single" w:color="auto" w:sz="4" w:space="0"/>
              <w:bottom w:val="single" w:color="auto" w:sz="4" w:space="0"/>
              <w:right w:val="single" w:color="auto" w:sz="4" w:space="0"/>
            </w:tcBorders>
            <w:noWrap/>
            <w:vAlign w:val="center"/>
          </w:tcPr>
          <w:p w14:paraId="6FD948D2">
            <w:pPr>
              <w:spacing w:line="360" w:lineRule="exact"/>
              <w:jc w:val="center"/>
              <w:rPr>
                <w:rFonts w:hint="eastAsia" w:ascii="新宋体" w:hAnsi="新宋体" w:eastAsia="新宋体"/>
                <w:sz w:val="28"/>
              </w:rPr>
            </w:pPr>
          </w:p>
        </w:tc>
        <w:tc>
          <w:tcPr>
            <w:tcW w:w="1064" w:type="dxa"/>
            <w:tcBorders>
              <w:top w:val="single" w:color="auto" w:sz="4" w:space="0"/>
              <w:left w:val="single" w:color="auto" w:sz="4" w:space="0"/>
              <w:bottom w:val="single" w:color="auto" w:sz="4" w:space="0"/>
              <w:right w:val="single" w:color="auto" w:sz="4" w:space="0"/>
            </w:tcBorders>
            <w:noWrap/>
            <w:vAlign w:val="center"/>
          </w:tcPr>
          <w:p w14:paraId="519A48C6">
            <w:pPr>
              <w:spacing w:line="360" w:lineRule="exact"/>
              <w:jc w:val="center"/>
              <w:rPr>
                <w:rFonts w:hint="eastAsia" w:ascii="新宋体" w:hAnsi="新宋体" w:eastAsia="新宋体"/>
                <w:sz w:val="28"/>
              </w:rPr>
            </w:pPr>
          </w:p>
        </w:tc>
        <w:tc>
          <w:tcPr>
            <w:tcW w:w="1045" w:type="dxa"/>
            <w:tcBorders>
              <w:top w:val="single" w:color="auto" w:sz="4" w:space="0"/>
              <w:left w:val="single" w:color="auto" w:sz="4" w:space="0"/>
              <w:bottom w:val="single" w:color="auto" w:sz="4" w:space="0"/>
              <w:right w:val="single" w:color="auto" w:sz="4" w:space="0"/>
            </w:tcBorders>
            <w:noWrap/>
            <w:vAlign w:val="center"/>
          </w:tcPr>
          <w:p w14:paraId="2E4BD96A">
            <w:pPr>
              <w:spacing w:line="360" w:lineRule="exact"/>
              <w:jc w:val="center"/>
              <w:rPr>
                <w:rFonts w:hint="eastAsia" w:ascii="新宋体" w:hAnsi="新宋体" w:eastAsia="新宋体"/>
                <w:sz w:val="28"/>
              </w:rPr>
            </w:pPr>
          </w:p>
        </w:tc>
        <w:tc>
          <w:tcPr>
            <w:tcW w:w="1105" w:type="dxa"/>
            <w:tcBorders>
              <w:top w:val="single" w:color="auto" w:sz="4" w:space="0"/>
              <w:left w:val="single" w:color="auto" w:sz="4" w:space="0"/>
              <w:bottom w:val="single" w:color="auto" w:sz="4" w:space="0"/>
              <w:right w:val="single" w:color="auto" w:sz="4" w:space="0"/>
            </w:tcBorders>
            <w:noWrap/>
            <w:vAlign w:val="center"/>
          </w:tcPr>
          <w:p w14:paraId="66A86D74">
            <w:pPr>
              <w:spacing w:line="360" w:lineRule="exact"/>
              <w:jc w:val="center"/>
              <w:rPr>
                <w:rFonts w:hint="eastAsia" w:ascii="新宋体" w:hAnsi="新宋体" w:eastAsia="新宋体"/>
                <w:sz w:val="28"/>
              </w:rPr>
            </w:pPr>
          </w:p>
        </w:tc>
        <w:tc>
          <w:tcPr>
            <w:tcW w:w="1470" w:type="dxa"/>
            <w:tcBorders>
              <w:top w:val="single" w:color="auto" w:sz="4" w:space="0"/>
              <w:left w:val="single" w:color="auto" w:sz="4" w:space="0"/>
              <w:bottom w:val="single" w:color="auto" w:sz="4" w:space="0"/>
              <w:right w:val="single" w:color="auto" w:sz="4" w:space="0"/>
            </w:tcBorders>
            <w:noWrap/>
            <w:vAlign w:val="center"/>
          </w:tcPr>
          <w:p w14:paraId="27EE9A47">
            <w:pPr>
              <w:spacing w:line="360" w:lineRule="exact"/>
              <w:jc w:val="center"/>
              <w:rPr>
                <w:rFonts w:hint="eastAsia" w:ascii="新宋体" w:hAnsi="新宋体" w:eastAsia="新宋体"/>
                <w:sz w:val="28"/>
              </w:rPr>
            </w:pPr>
          </w:p>
        </w:tc>
        <w:tc>
          <w:tcPr>
            <w:tcW w:w="1140" w:type="dxa"/>
            <w:tcBorders>
              <w:top w:val="single" w:color="auto" w:sz="4" w:space="0"/>
              <w:left w:val="single" w:color="auto" w:sz="4" w:space="0"/>
              <w:bottom w:val="single" w:color="auto" w:sz="4" w:space="0"/>
              <w:right w:val="single" w:color="auto" w:sz="4" w:space="0"/>
            </w:tcBorders>
            <w:noWrap/>
            <w:vAlign w:val="center"/>
          </w:tcPr>
          <w:p w14:paraId="065812B0">
            <w:pPr>
              <w:spacing w:line="360" w:lineRule="exact"/>
              <w:jc w:val="center"/>
              <w:rPr>
                <w:rFonts w:hint="eastAsia" w:ascii="新宋体" w:hAnsi="新宋体" w:eastAsia="新宋体"/>
                <w:sz w:val="28"/>
              </w:rPr>
            </w:pPr>
          </w:p>
        </w:tc>
        <w:tc>
          <w:tcPr>
            <w:tcW w:w="1140" w:type="dxa"/>
            <w:tcBorders>
              <w:top w:val="single" w:color="auto" w:sz="4" w:space="0"/>
              <w:left w:val="single" w:color="auto" w:sz="4" w:space="0"/>
              <w:bottom w:val="single" w:color="auto" w:sz="4" w:space="0"/>
              <w:right w:val="single" w:color="auto" w:sz="12" w:space="0"/>
            </w:tcBorders>
            <w:noWrap/>
            <w:vAlign w:val="center"/>
          </w:tcPr>
          <w:p w14:paraId="05AB6B1B">
            <w:pPr>
              <w:spacing w:line="360" w:lineRule="exact"/>
              <w:jc w:val="center"/>
              <w:rPr>
                <w:rFonts w:hint="eastAsia" w:ascii="新宋体" w:hAnsi="新宋体" w:eastAsia="新宋体"/>
                <w:sz w:val="28"/>
              </w:rPr>
            </w:pPr>
          </w:p>
        </w:tc>
      </w:tr>
      <w:tr w14:paraId="6888AC2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718" w:hRule="exact"/>
        </w:trPr>
        <w:tc>
          <w:tcPr>
            <w:tcW w:w="722" w:type="dxa"/>
            <w:tcBorders>
              <w:top w:val="single" w:color="auto" w:sz="4" w:space="0"/>
              <w:left w:val="single" w:color="auto" w:sz="12" w:space="0"/>
              <w:bottom w:val="single" w:color="auto" w:sz="4" w:space="0"/>
              <w:right w:val="single" w:color="auto" w:sz="4" w:space="0"/>
            </w:tcBorders>
            <w:noWrap/>
            <w:vAlign w:val="center"/>
          </w:tcPr>
          <w:p w14:paraId="48969F59">
            <w:pPr>
              <w:spacing w:line="360" w:lineRule="exact"/>
              <w:jc w:val="center"/>
              <w:rPr>
                <w:rFonts w:hint="eastAsia" w:ascii="新宋体" w:hAnsi="新宋体" w:eastAsia="新宋体"/>
                <w:sz w:val="28"/>
              </w:rPr>
            </w:pPr>
          </w:p>
        </w:tc>
        <w:tc>
          <w:tcPr>
            <w:tcW w:w="805" w:type="dxa"/>
            <w:tcBorders>
              <w:top w:val="single" w:color="auto" w:sz="4" w:space="0"/>
              <w:left w:val="single" w:color="auto" w:sz="4" w:space="0"/>
              <w:bottom w:val="single" w:color="auto" w:sz="4" w:space="0"/>
              <w:right w:val="single" w:color="auto" w:sz="4" w:space="0"/>
            </w:tcBorders>
            <w:noWrap/>
            <w:vAlign w:val="center"/>
          </w:tcPr>
          <w:p w14:paraId="78752811">
            <w:pPr>
              <w:spacing w:line="360" w:lineRule="exact"/>
              <w:jc w:val="center"/>
              <w:rPr>
                <w:rFonts w:hint="eastAsia" w:ascii="新宋体" w:hAnsi="新宋体" w:eastAsia="新宋体"/>
                <w:sz w:val="28"/>
              </w:rPr>
            </w:pPr>
          </w:p>
        </w:tc>
        <w:tc>
          <w:tcPr>
            <w:tcW w:w="805" w:type="dxa"/>
            <w:tcBorders>
              <w:top w:val="single" w:color="auto" w:sz="4" w:space="0"/>
              <w:left w:val="single" w:color="auto" w:sz="4" w:space="0"/>
              <w:bottom w:val="single" w:color="auto" w:sz="4" w:space="0"/>
              <w:right w:val="single" w:color="auto" w:sz="4" w:space="0"/>
            </w:tcBorders>
            <w:noWrap/>
            <w:vAlign w:val="center"/>
          </w:tcPr>
          <w:p w14:paraId="16C45828">
            <w:pPr>
              <w:spacing w:line="360" w:lineRule="exact"/>
              <w:jc w:val="center"/>
              <w:rPr>
                <w:rFonts w:hint="eastAsia" w:ascii="新宋体" w:hAnsi="新宋体" w:eastAsia="新宋体"/>
                <w:sz w:val="28"/>
              </w:rPr>
            </w:pPr>
          </w:p>
        </w:tc>
        <w:tc>
          <w:tcPr>
            <w:tcW w:w="1064" w:type="dxa"/>
            <w:tcBorders>
              <w:top w:val="single" w:color="auto" w:sz="4" w:space="0"/>
              <w:left w:val="single" w:color="auto" w:sz="4" w:space="0"/>
              <w:bottom w:val="single" w:color="auto" w:sz="4" w:space="0"/>
              <w:right w:val="single" w:color="auto" w:sz="4" w:space="0"/>
            </w:tcBorders>
            <w:noWrap/>
            <w:vAlign w:val="center"/>
          </w:tcPr>
          <w:p w14:paraId="64766982">
            <w:pPr>
              <w:spacing w:line="360" w:lineRule="exact"/>
              <w:jc w:val="center"/>
              <w:rPr>
                <w:rFonts w:hint="eastAsia" w:ascii="新宋体" w:hAnsi="新宋体" w:eastAsia="新宋体"/>
                <w:sz w:val="28"/>
              </w:rPr>
            </w:pPr>
          </w:p>
        </w:tc>
        <w:tc>
          <w:tcPr>
            <w:tcW w:w="1045" w:type="dxa"/>
            <w:tcBorders>
              <w:top w:val="single" w:color="auto" w:sz="4" w:space="0"/>
              <w:left w:val="single" w:color="auto" w:sz="4" w:space="0"/>
              <w:bottom w:val="single" w:color="auto" w:sz="4" w:space="0"/>
              <w:right w:val="single" w:color="auto" w:sz="4" w:space="0"/>
            </w:tcBorders>
            <w:noWrap/>
            <w:vAlign w:val="center"/>
          </w:tcPr>
          <w:p w14:paraId="636C521E">
            <w:pPr>
              <w:spacing w:line="360" w:lineRule="exact"/>
              <w:jc w:val="center"/>
              <w:rPr>
                <w:rFonts w:hint="eastAsia" w:ascii="新宋体" w:hAnsi="新宋体" w:eastAsia="新宋体"/>
                <w:sz w:val="28"/>
              </w:rPr>
            </w:pPr>
          </w:p>
        </w:tc>
        <w:tc>
          <w:tcPr>
            <w:tcW w:w="1105" w:type="dxa"/>
            <w:tcBorders>
              <w:top w:val="single" w:color="auto" w:sz="4" w:space="0"/>
              <w:left w:val="single" w:color="auto" w:sz="4" w:space="0"/>
              <w:bottom w:val="single" w:color="auto" w:sz="4" w:space="0"/>
              <w:right w:val="single" w:color="auto" w:sz="4" w:space="0"/>
            </w:tcBorders>
            <w:noWrap/>
            <w:vAlign w:val="center"/>
          </w:tcPr>
          <w:p w14:paraId="15FBF0F9">
            <w:pPr>
              <w:spacing w:line="360" w:lineRule="exact"/>
              <w:jc w:val="center"/>
              <w:rPr>
                <w:rFonts w:hint="eastAsia" w:ascii="新宋体" w:hAnsi="新宋体" w:eastAsia="新宋体"/>
                <w:sz w:val="28"/>
              </w:rPr>
            </w:pPr>
          </w:p>
        </w:tc>
        <w:tc>
          <w:tcPr>
            <w:tcW w:w="1470" w:type="dxa"/>
            <w:tcBorders>
              <w:top w:val="single" w:color="auto" w:sz="4" w:space="0"/>
              <w:left w:val="single" w:color="auto" w:sz="4" w:space="0"/>
              <w:bottom w:val="single" w:color="auto" w:sz="4" w:space="0"/>
              <w:right w:val="single" w:color="auto" w:sz="4" w:space="0"/>
            </w:tcBorders>
            <w:noWrap/>
            <w:vAlign w:val="center"/>
          </w:tcPr>
          <w:p w14:paraId="0B107A02">
            <w:pPr>
              <w:spacing w:line="360" w:lineRule="exact"/>
              <w:jc w:val="center"/>
              <w:rPr>
                <w:rFonts w:hint="eastAsia" w:ascii="新宋体" w:hAnsi="新宋体" w:eastAsia="新宋体"/>
                <w:sz w:val="28"/>
              </w:rPr>
            </w:pPr>
          </w:p>
        </w:tc>
        <w:tc>
          <w:tcPr>
            <w:tcW w:w="1140" w:type="dxa"/>
            <w:tcBorders>
              <w:top w:val="single" w:color="auto" w:sz="4" w:space="0"/>
              <w:left w:val="single" w:color="auto" w:sz="4" w:space="0"/>
              <w:bottom w:val="single" w:color="auto" w:sz="4" w:space="0"/>
              <w:right w:val="single" w:color="auto" w:sz="4" w:space="0"/>
            </w:tcBorders>
            <w:noWrap/>
            <w:vAlign w:val="center"/>
          </w:tcPr>
          <w:p w14:paraId="0F65A427">
            <w:pPr>
              <w:spacing w:line="360" w:lineRule="exact"/>
              <w:jc w:val="center"/>
              <w:rPr>
                <w:rFonts w:hint="eastAsia" w:ascii="新宋体" w:hAnsi="新宋体" w:eastAsia="新宋体"/>
                <w:sz w:val="28"/>
              </w:rPr>
            </w:pPr>
          </w:p>
        </w:tc>
        <w:tc>
          <w:tcPr>
            <w:tcW w:w="1140" w:type="dxa"/>
            <w:tcBorders>
              <w:top w:val="single" w:color="auto" w:sz="4" w:space="0"/>
              <w:left w:val="single" w:color="auto" w:sz="4" w:space="0"/>
              <w:bottom w:val="single" w:color="auto" w:sz="4" w:space="0"/>
              <w:right w:val="single" w:color="auto" w:sz="12" w:space="0"/>
            </w:tcBorders>
            <w:noWrap/>
            <w:vAlign w:val="center"/>
          </w:tcPr>
          <w:p w14:paraId="587FA63F">
            <w:pPr>
              <w:spacing w:line="360" w:lineRule="exact"/>
              <w:jc w:val="center"/>
              <w:rPr>
                <w:rFonts w:hint="eastAsia" w:ascii="新宋体" w:hAnsi="新宋体" w:eastAsia="新宋体"/>
                <w:sz w:val="28"/>
              </w:rPr>
            </w:pPr>
          </w:p>
        </w:tc>
      </w:tr>
      <w:tr w14:paraId="61F29A3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718" w:hRule="exact"/>
        </w:trPr>
        <w:tc>
          <w:tcPr>
            <w:tcW w:w="722" w:type="dxa"/>
            <w:tcBorders>
              <w:top w:val="single" w:color="auto" w:sz="4" w:space="0"/>
              <w:left w:val="single" w:color="auto" w:sz="12" w:space="0"/>
              <w:bottom w:val="single" w:color="auto" w:sz="4" w:space="0"/>
              <w:right w:val="single" w:color="auto" w:sz="4" w:space="0"/>
            </w:tcBorders>
            <w:noWrap/>
            <w:vAlign w:val="center"/>
          </w:tcPr>
          <w:p w14:paraId="6CF0918C">
            <w:pPr>
              <w:spacing w:line="360" w:lineRule="exact"/>
              <w:jc w:val="center"/>
              <w:rPr>
                <w:rFonts w:hint="eastAsia" w:ascii="新宋体" w:hAnsi="新宋体" w:eastAsia="新宋体"/>
                <w:sz w:val="28"/>
              </w:rPr>
            </w:pPr>
          </w:p>
        </w:tc>
        <w:tc>
          <w:tcPr>
            <w:tcW w:w="805" w:type="dxa"/>
            <w:tcBorders>
              <w:top w:val="single" w:color="auto" w:sz="4" w:space="0"/>
              <w:left w:val="single" w:color="auto" w:sz="4" w:space="0"/>
              <w:bottom w:val="single" w:color="auto" w:sz="4" w:space="0"/>
              <w:right w:val="single" w:color="auto" w:sz="4" w:space="0"/>
            </w:tcBorders>
            <w:noWrap/>
            <w:vAlign w:val="center"/>
          </w:tcPr>
          <w:p w14:paraId="13C2EA5F">
            <w:pPr>
              <w:spacing w:line="360" w:lineRule="exact"/>
              <w:jc w:val="center"/>
              <w:rPr>
                <w:rFonts w:hint="eastAsia" w:ascii="新宋体" w:hAnsi="新宋体" w:eastAsia="新宋体"/>
                <w:sz w:val="28"/>
              </w:rPr>
            </w:pPr>
          </w:p>
        </w:tc>
        <w:tc>
          <w:tcPr>
            <w:tcW w:w="805" w:type="dxa"/>
            <w:tcBorders>
              <w:top w:val="single" w:color="auto" w:sz="4" w:space="0"/>
              <w:left w:val="single" w:color="auto" w:sz="4" w:space="0"/>
              <w:bottom w:val="single" w:color="auto" w:sz="4" w:space="0"/>
              <w:right w:val="single" w:color="auto" w:sz="4" w:space="0"/>
            </w:tcBorders>
            <w:noWrap/>
            <w:vAlign w:val="center"/>
          </w:tcPr>
          <w:p w14:paraId="60D71853">
            <w:pPr>
              <w:spacing w:line="360" w:lineRule="exact"/>
              <w:jc w:val="center"/>
              <w:rPr>
                <w:rFonts w:hint="eastAsia" w:ascii="新宋体" w:hAnsi="新宋体" w:eastAsia="新宋体"/>
                <w:sz w:val="28"/>
              </w:rPr>
            </w:pPr>
          </w:p>
        </w:tc>
        <w:tc>
          <w:tcPr>
            <w:tcW w:w="1064" w:type="dxa"/>
            <w:tcBorders>
              <w:top w:val="single" w:color="auto" w:sz="4" w:space="0"/>
              <w:left w:val="single" w:color="auto" w:sz="4" w:space="0"/>
              <w:bottom w:val="single" w:color="auto" w:sz="4" w:space="0"/>
              <w:right w:val="single" w:color="auto" w:sz="4" w:space="0"/>
            </w:tcBorders>
            <w:noWrap/>
            <w:vAlign w:val="center"/>
          </w:tcPr>
          <w:p w14:paraId="0B8273A3">
            <w:pPr>
              <w:spacing w:line="360" w:lineRule="exact"/>
              <w:jc w:val="center"/>
              <w:rPr>
                <w:rFonts w:hint="eastAsia" w:ascii="新宋体" w:hAnsi="新宋体" w:eastAsia="新宋体"/>
                <w:sz w:val="28"/>
              </w:rPr>
            </w:pPr>
          </w:p>
        </w:tc>
        <w:tc>
          <w:tcPr>
            <w:tcW w:w="1045" w:type="dxa"/>
            <w:tcBorders>
              <w:top w:val="single" w:color="auto" w:sz="4" w:space="0"/>
              <w:left w:val="single" w:color="auto" w:sz="4" w:space="0"/>
              <w:bottom w:val="single" w:color="auto" w:sz="4" w:space="0"/>
              <w:right w:val="single" w:color="auto" w:sz="4" w:space="0"/>
            </w:tcBorders>
            <w:noWrap/>
            <w:vAlign w:val="center"/>
          </w:tcPr>
          <w:p w14:paraId="43CABA12">
            <w:pPr>
              <w:spacing w:line="360" w:lineRule="exact"/>
              <w:jc w:val="center"/>
              <w:rPr>
                <w:rFonts w:hint="eastAsia" w:ascii="新宋体" w:hAnsi="新宋体" w:eastAsia="新宋体"/>
                <w:sz w:val="28"/>
              </w:rPr>
            </w:pPr>
          </w:p>
        </w:tc>
        <w:tc>
          <w:tcPr>
            <w:tcW w:w="1105" w:type="dxa"/>
            <w:tcBorders>
              <w:top w:val="single" w:color="auto" w:sz="4" w:space="0"/>
              <w:left w:val="single" w:color="auto" w:sz="4" w:space="0"/>
              <w:bottom w:val="single" w:color="auto" w:sz="4" w:space="0"/>
              <w:right w:val="single" w:color="auto" w:sz="4" w:space="0"/>
            </w:tcBorders>
            <w:noWrap/>
            <w:vAlign w:val="center"/>
          </w:tcPr>
          <w:p w14:paraId="4E6D6462">
            <w:pPr>
              <w:spacing w:line="360" w:lineRule="exact"/>
              <w:jc w:val="center"/>
              <w:rPr>
                <w:rFonts w:hint="eastAsia" w:ascii="新宋体" w:hAnsi="新宋体" w:eastAsia="新宋体"/>
                <w:sz w:val="28"/>
              </w:rPr>
            </w:pPr>
          </w:p>
        </w:tc>
        <w:tc>
          <w:tcPr>
            <w:tcW w:w="1470" w:type="dxa"/>
            <w:tcBorders>
              <w:top w:val="single" w:color="auto" w:sz="4" w:space="0"/>
              <w:left w:val="single" w:color="auto" w:sz="4" w:space="0"/>
              <w:bottom w:val="single" w:color="auto" w:sz="4" w:space="0"/>
              <w:right w:val="single" w:color="auto" w:sz="4" w:space="0"/>
            </w:tcBorders>
            <w:noWrap/>
            <w:vAlign w:val="center"/>
          </w:tcPr>
          <w:p w14:paraId="3CF57485">
            <w:pPr>
              <w:spacing w:line="360" w:lineRule="exact"/>
              <w:jc w:val="center"/>
              <w:rPr>
                <w:rFonts w:hint="eastAsia" w:ascii="新宋体" w:hAnsi="新宋体" w:eastAsia="新宋体"/>
                <w:sz w:val="28"/>
              </w:rPr>
            </w:pPr>
          </w:p>
        </w:tc>
        <w:tc>
          <w:tcPr>
            <w:tcW w:w="1140" w:type="dxa"/>
            <w:tcBorders>
              <w:top w:val="single" w:color="auto" w:sz="4" w:space="0"/>
              <w:left w:val="single" w:color="auto" w:sz="4" w:space="0"/>
              <w:bottom w:val="single" w:color="auto" w:sz="4" w:space="0"/>
              <w:right w:val="single" w:color="auto" w:sz="4" w:space="0"/>
            </w:tcBorders>
            <w:noWrap/>
            <w:vAlign w:val="center"/>
          </w:tcPr>
          <w:p w14:paraId="422E25C3">
            <w:pPr>
              <w:spacing w:line="360" w:lineRule="exact"/>
              <w:jc w:val="center"/>
              <w:rPr>
                <w:rFonts w:hint="eastAsia" w:ascii="新宋体" w:hAnsi="新宋体" w:eastAsia="新宋体"/>
                <w:sz w:val="28"/>
              </w:rPr>
            </w:pPr>
          </w:p>
        </w:tc>
        <w:tc>
          <w:tcPr>
            <w:tcW w:w="1140" w:type="dxa"/>
            <w:tcBorders>
              <w:top w:val="single" w:color="auto" w:sz="4" w:space="0"/>
              <w:left w:val="single" w:color="auto" w:sz="4" w:space="0"/>
              <w:bottom w:val="single" w:color="auto" w:sz="4" w:space="0"/>
              <w:right w:val="single" w:color="auto" w:sz="12" w:space="0"/>
            </w:tcBorders>
            <w:noWrap/>
            <w:vAlign w:val="center"/>
          </w:tcPr>
          <w:p w14:paraId="3C91B7A9">
            <w:pPr>
              <w:spacing w:line="360" w:lineRule="exact"/>
              <w:jc w:val="center"/>
              <w:rPr>
                <w:rFonts w:hint="eastAsia" w:ascii="新宋体" w:hAnsi="新宋体" w:eastAsia="新宋体"/>
                <w:sz w:val="28"/>
              </w:rPr>
            </w:pPr>
          </w:p>
        </w:tc>
      </w:tr>
      <w:tr w14:paraId="7055685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718" w:hRule="exact"/>
        </w:trPr>
        <w:tc>
          <w:tcPr>
            <w:tcW w:w="722" w:type="dxa"/>
            <w:tcBorders>
              <w:top w:val="single" w:color="auto" w:sz="4" w:space="0"/>
              <w:left w:val="single" w:color="auto" w:sz="12" w:space="0"/>
              <w:bottom w:val="single" w:color="auto" w:sz="4" w:space="0"/>
              <w:right w:val="single" w:color="auto" w:sz="4" w:space="0"/>
            </w:tcBorders>
            <w:noWrap/>
            <w:vAlign w:val="center"/>
          </w:tcPr>
          <w:p w14:paraId="5D010CAD">
            <w:pPr>
              <w:spacing w:line="360" w:lineRule="exact"/>
              <w:jc w:val="center"/>
              <w:rPr>
                <w:rFonts w:hint="eastAsia" w:ascii="新宋体" w:hAnsi="新宋体" w:eastAsia="新宋体"/>
                <w:sz w:val="28"/>
              </w:rPr>
            </w:pPr>
          </w:p>
        </w:tc>
        <w:tc>
          <w:tcPr>
            <w:tcW w:w="805" w:type="dxa"/>
            <w:tcBorders>
              <w:top w:val="single" w:color="auto" w:sz="4" w:space="0"/>
              <w:left w:val="single" w:color="auto" w:sz="4" w:space="0"/>
              <w:bottom w:val="single" w:color="auto" w:sz="4" w:space="0"/>
              <w:right w:val="single" w:color="auto" w:sz="4" w:space="0"/>
            </w:tcBorders>
            <w:noWrap/>
            <w:vAlign w:val="center"/>
          </w:tcPr>
          <w:p w14:paraId="58178727">
            <w:pPr>
              <w:spacing w:line="360" w:lineRule="exact"/>
              <w:jc w:val="center"/>
              <w:rPr>
                <w:rFonts w:hint="eastAsia" w:ascii="新宋体" w:hAnsi="新宋体" w:eastAsia="新宋体"/>
                <w:sz w:val="28"/>
              </w:rPr>
            </w:pPr>
          </w:p>
        </w:tc>
        <w:tc>
          <w:tcPr>
            <w:tcW w:w="805" w:type="dxa"/>
            <w:tcBorders>
              <w:top w:val="single" w:color="auto" w:sz="4" w:space="0"/>
              <w:left w:val="single" w:color="auto" w:sz="4" w:space="0"/>
              <w:bottom w:val="single" w:color="auto" w:sz="4" w:space="0"/>
              <w:right w:val="single" w:color="auto" w:sz="4" w:space="0"/>
            </w:tcBorders>
            <w:noWrap/>
            <w:vAlign w:val="center"/>
          </w:tcPr>
          <w:p w14:paraId="5B7B0D24">
            <w:pPr>
              <w:spacing w:line="360" w:lineRule="exact"/>
              <w:jc w:val="center"/>
              <w:rPr>
                <w:rFonts w:hint="eastAsia" w:ascii="新宋体" w:hAnsi="新宋体" w:eastAsia="新宋体"/>
                <w:sz w:val="28"/>
              </w:rPr>
            </w:pPr>
          </w:p>
        </w:tc>
        <w:tc>
          <w:tcPr>
            <w:tcW w:w="1064" w:type="dxa"/>
            <w:tcBorders>
              <w:top w:val="single" w:color="auto" w:sz="4" w:space="0"/>
              <w:left w:val="single" w:color="auto" w:sz="4" w:space="0"/>
              <w:bottom w:val="single" w:color="auto" w:sz="4" w:space="0"/>
              <w:right w:val="single" w:color="auto" w:sz="4" w:space="0"/>
            </w:tcBorders>
            <w:noWrap/>
            <w:vAlign w:val="center"/>
          </w:tcPr>
          <w:p w14:paraId="7B5FDD1C">
            <w:pPr>
              <w:spacing w:line="360" w:lineRule="exact"/>
              <w:jc w:val="center"/>
              <w:rPr>
                <w:rFonts w:hint="eastAsia" w:ascii="新宋体" w:hAnsi="新宋体" w:eastAsia="新宋体"/>
                <w:sz w:val="28"/>
              </w:rPr>
            </w:pPr>
          </w:p>
        </w:tc>
        <w:tc>
          <w:tcPr>
            <w:tcW w:w="1045" w:type="dxa"/>
            <w:tcBorders>
              <w:top w:val="single" w:color="auto" w:sz="4" w:space="0"/>
              <w:left w:val="single" w:color="auto" w:sz="4" w:space="0"/>
              <w:bottom w:val="single" w:color="auto" w:sz="4" w:space="0"/>
              <w:right w:val="single" w:color="auto" w:sz="4" w:space="0"/>
            </w:tcBorders>
            <w:noWrap/>
            <w:vAlign w:val="center"/>
          </w:tcPr>
          <w:p w14:paraId="7A9BCB17">
            <w:pPr>
              <w:spacing w:line="360" w:lineRule="exact"/>
              <w:jc w:val="center"/>
              <w:rPr>
                <w:rFonts w:hint="eastAsia" w:ascii="新宋体" w:hAnsi="新宋体" w:eastAsia="新宋体"/>
                <w:sz w:val="28"/>
              </w:rPr>
            </w:pPr>
          </w:p>
        </w:tc>
        <w:tc>
          <w:tcPr>
            <w:tcW w:w="1105" w:type="dxa"/>
            <w:tcBorders>
              <w:top w:val="single" w:color="auto" w:sz="4" w:space="0"/>
              <w:left w:val="single" w:color="auto" w:sz="4" w:space="0"/>
              <w:bottom w:val="single" w:color="auto" w:sz="4" w:space="0"/>
              <w:right w:val="single" w:color="auto" w:sz="4" w:space="0"/>
            </w:tcBorders>
            <w:noWrap/>
            <w:vAlign w:val="center"/>
          </w:tcPr>
          <w:p w14:paraId="1323D537">
            <w:pPr>
              <w:spacing w:line="360" w:lineRule="exact"/>
              <w:jc w:val="center"/>
              <w:rPr>
                <w:rFonts w:hint="eastAsia" w:ascii="新宋体" w:hAnsi="新宋体" w:eastAsia="新宋体"/>
                <w:sz w:val="28"/>
              </w:rPr>
            </w:pPr>
          </w:p>
        </w:tc>
        <w:tc>
          <w:tcPr>
            <w:tcW w:w="1470" w:type="dxa"/>
            <w:tcBorders>
              <w:top w:val="single" w:color="auto" w:sz="4" w:space="0"/>
              <w:left w:val="single" w:color="auto" w:sz="4" w:space="0"/>
              <w:bottom w:val="single" w:color="auto" w:sz="4" w:space="0"/>
              <w:right w:val="single" w:color="auto" w:sz="4" w:space="0"/>
            </w:tcBorders>
            <w:noWrap/>
            <w:vAlign w:val="center"/>
          </w:tcPr>
          <w:p w14:paraId="0ACBEC77">
            <w:pPr>
              <w:spacing w:line="360" w:lineRule="exact"/>
              <w:jc w:val="center"/>
              <w:rPr>
                <w:rFonts w:hint="eastAsia" w:ascii="新宋体" w:hAnsi="新宋体" w:eastAsia="新宋体"/>
                <w:sz w:val="28"/>
              </w:rPr>
            </w:pPr>
          </w:p>
        </w:tc>
        <w:tc>
          <w:tcPr>
            <w:tcW w:w="1140" w:type="dxa"/>
            <w:tcBorders>
              <w:top w:val="single" w:color="auto" w:sz="4" w:space="0"/>
              <w:left w:val="single" w:color="auto" w:sz="4" w:space="0"/>
              <w:bottom w:val="single" w:color="auto" w:sz="4" w:space="0"/>
              <w:right w:val="single" w:color="auto" w:sz="4" w:space="0"/>
            </w:tcBorders>
            <w:noWrap/>
            <w:vAlign w:val="center"/>
          </w:tcPr>
          <w:p w14:paraId="6C61EF03">
            <w:pPr>
              <w:spacing w:line="360" w:lineRule="exact"/>
              <w:jc w:val="center"/>
              <w:rPr>
                <w:rFonts w:hint="eastAsia" w:ascii="新宋体" w:hAnsi="新宋体" w:eastAsia="新宋体"/>
                <w:sz w:val="28"/>
              </w:rPr>
            </w:pPr>
          </w:p>
        </w:tc>
        <w:tc>
          <w:tcPr>
            <w:tcW w:w="1140" w:type="dxa"/>
            <w:tcBorders>
              <w:top w:val="single" w:color="auto" w:sz="4" w:space="0"/>
              <w:left w:val="single" w:color="auto" w:sz="4" w:space="0"/>
              <w:bottom w:val="single" w:color="auto" w:sz="4" w:space="0"/>
              <w:right w:val="single" w:color="auto" w:sz="12" w:space="0"/>
            </w:tcBorders>
            <w:noWrap/>
            <w:vAlign w:val="center"/>
          </w:tcPr>
          <w:p w14:paraId="1161C308">
            <w:pPr>
              <w:spacing w:line="360" w:lineRule="exact"/>
              <w:jc w:val="center"/>
              <w:rPr>
                <w:rFonts w:hint="eastAsia" w:ascii="新宋体" w:hAnsi="新宋体" w:eastAsia="新宋体"/>
                <w:sz w:val="28"/>
              </w:rPr>
            </w:pPr>
          </w:p>
        </w:tc>
      </w:tr>
      <w:tr w14:paraId="3AA9A62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718" w:hRule="exact"/>
        </w:trPr>
        <w:tc>
          <w:tcPr>
            <w:tcW w:w="722" w:type="dxa"/>
            <w:tcBorders>
              <w:top w:val="single" w:color="auto" w:sz="4" w:space="0"/>
              <w:left w:val="single" w:color="auto" w:sz="12" w:space="0"/>
              <w:bottom w:val="single" w:color="auto" w:sz="4" w:space="0"/>
              <w:right w:val="single" w:color="auto" w:sz="4" w:space="0"/>
            </w:tcBorders>
            <w:noWrap/>
            <w:vAlign w:val="center"/>
          </w:tcPr>
          <w:p w14:paraId="673C3113">
            <w:pPr>
              <w:spacing w:line="360" w:lineRule="exact"/>
              <w:jc w:val="center"/>
              <w:rPr>
                <w:rFonts w:hint="eastAsia" w:ascii="新宋体" w:hAnsi="新宋体" w:eastAsia="新宋体"/>
                <w:sz w:val="28"/>
              </w:rPr>
            </w:pPr>
          </w:p>
        </w:tc>
        <w:tc>
          <w:tcPr>
            <w:tcW w:w="805" w:type="dxa"/>
            <w:tcBorders>
              <w:top w:val="single" w:color="auto" w:sz="4" w:space="0"/>
              <w:left w:val="single" w:color="auto" w:sz="4" w:space="0"/>
              <w:bottom w:val="single" w:color="auto" w:sz="4" w:space="0"/>
              <w:right w:val="single" w:color="auto" w:sz="4" w:space="0"/>
            </w:tcBorders>
            <w:noWrap/>
            <w:vAlign w:val="center"/>
          </w:tcPr>
          <w:p w14:paraId="0A6F8BC8">
            <w:pPr>
              <w:spacing w:line="360" w:lineRule="exact"/>
              <w:jc w:val="center"/>
              <w:rPr>
                <w:rFonts w:hint="eastAsia" w:ascii="新宋体" w:hAnsi="新宋体" w:eastAsia="新宋体"/>
                <w:sz w:val="28"/>
              </w:rPr>
            </w:pPr>
          </w:p>
        </w:tc>
        <w:tc>
          <w:tcPr>
            <w:tcW w:w="805" w:type="dxa"/>
            <w:tcBorders>
              <w:top w:val="single" w:color="auto" w:sz="4" w:space="0"/>
              <w:left w:val="single" w:color="auto" w:sz="4" w:space="0"/>
              <w:bottom w:val="single" w:color="auto" w:sz="4" w:space="0"/>
              <w:right w:val="single" w:color="auto" w:sz="4" w:space="0"/>
            </w:tcBorders>
            <w:noWrap/>
            <w:vAlign w:val="center"/>
          </w:tcPr>
          <w:p w14:paraId="691F980F">
            <w:pPr>
              <w:spacing w:line="360" w:lineRule="exact"/>
              <w:jc w:val="center"/>
              <w:rPr>
                <w:rFonts w:hint="eastAsia" w:ascii="新宋体" w:hAnsi="新宋体" w:eastAsia="新宋体"/>
                <w:sz w:val="28"/>
              </w:rPr>
            </w:pPr>
          </w:p>
        </w:tc>
        <w:tc>
          <w:tcPr>
            <w:tcW w:w="1064" w:type="dxa"/>
            <w:tcBorders>
              <w:top w:val="single" w:color="auto" w:sz="4" w:space="0"/>
              <w:left w:val="single" w:color="auto" w:sz="4" w:space="0"/>
              <w:bottom w:val="single" w:color="auto" w:sz="4" w:space="0"/>
              <w:right w:val="single" w:color="auto" w:sz="4" w:space="0"/>
            </w:tcBorders>
            <w:noWrap/>
            <w:vAlign w:val="center"/>
          </w:tcPr>
          <w:p w14:paraId="5772BD44">
            <w:pPr>
              <w:spacing w:line="360" w:lineRule="exact"/>
              <w:jc w:val="center"/>
              <w:rPr>
                <w:rFonts w:hint="eastAsia" w:ascii="新宋体" w:hAnsi="新宋体" w:eastAsia="新宋体"/>
                <w:sz w:val="28"/>
              </w:rPr>
            </w:pPr>
          </w:p>
        </w:tc>
        <w:tc>
          <w:tcPr>
            <w:tcW w:w="1045" w:type="dxa"/>
            <w:tcBorders>
              <w:top w:val="single" w:color="auto" w:sz="4" w:space="0"/>
              <w:left w:val="single" w:color="auto" w:sz="4" w:space="0"/>
              <w:bottom w:val="single" w:color="auto" w:sz="4" w:space="0"/>
              <w:right w:val="single" w:color="auto" w:sz="4" w:space="0"/>
            </w:tcBorders>
            <w:noWrap/>
            <w:vAlign w:val="center"/>
          </w:tcPr>
          <w:p w14:paraId="6B718D94">
            <w:pPr>
              <w:spacing w:line="360" w:lineRule="exact"/>
              <w:jc w:val="center"/>
              <w:rPr>
                <w:rFonts w:hint="eastAsia" w:ascii="新宋体" w:hAnsi="新宋体" w:eastAsia="新宋体"/>
                <w:sz w:val="28"/>
              </w:rPr>
            </w:pPr>
          </w:p>
        </w:tc>
        <w:tc>
          <w:tcPr>
            <w:tcW w:w="1105" w:type="dxa"/>
            <w:tcBorders>
              <w:top w:val="single" w:color="auto" w:sz="4" w:space="0"/>
              <w:left w:val="single" w:color="auto" w:sz="4" w:space="0"/>
              <w:bottom w:val="single" w:color="auto" w:sz="4" w:space="0"/>
              <w:right w:val="single" w:color="auto" w:sz="4" w:space="0"/>
            </w:tcBorders>
            <w:noWrap/>
            <w:vAlign w:val="center"/>
          </w:tcPr>
          <w:p w14:paraId="6044D32F">
            <w:pPr>
              <w:spacing w:line="360" w:lineRule="exact"/>
              <w:jc w:val="center"/>
              <w:rPr>
                <w:rFonts w:hint="eastAsia" w:ascii="新宋体" w:hAnsi="新宋体" w:eastAsia="新宋体"/>
                <w:sz w:val="28"/>
              </w:rPr>
            </w:pPr>
          </w:p>
        </w:tc>
        <w:tc>
          <w:tcPr>
            <w:tcW w:w="1470" w:type="dxa"/>
            <w:tcBorders>
              <w:top w:val="single" w:color="auto" w:sz="4" w:space="0"/>
              <w:left w:val="single" w:color="auto" w:sz="4" w:space="0"/>
              <w:bottom w:val="single" w:color="auto" w:sz="4" w:space="0"/>
              <w:right w:val="single" w:color="auto" w:sz="4" w:space="0"/>
            </w:tcBorders>
            <w:noWrap/>
            <w:vAlign w:val="center"/>
          </w:tcPr>
          <w:p w14:paraId="2EC17B21">
            <w:pPr>
              <w:spacing w:line="360" w:lineRule="exact"/>
              <w:jc w:val="center"/>
              <w:rPr>
                <w:rFonts w:hint="eastAsia" w:ascii="新宋体" w:hAnsi="新宋体" w:eastAsia="新宋体"/>
                <w:sz w:val="28"/>
              </w:rPr>
            </w:pPr>
          </w:p>
        </w:tc>
        <w:tc>
          <w:tcPr>
            <w:tcW w:w="1140" w:type="dxa"/>
            <w:tcBorders>
              <w:top w:val="single" w:color="auto" w:sz="4" w:space="0"/>
              <w:left w:val="single" w:color="auto" w:sz="4" w:space="0"/>
              <w:bottom w:val="single" w:color="auto" w:sz="4" w:space="0"/>
              <w:right w:val="single" w:color="auto" w:sz="4" w:space="0"/>
            </w:tcBorders>
            <w:noWrap/>
            <w:vAlign w:val="center"/>
          </w:tcPr>
          <w:p w14:paraId="6201336A">
            <w:pPr>
              <w:spacing w:line="360" w:lineRule="exact"/>
              <w:jc w:val="center"/>
              <w:rPr>
                <w:rFonts w:hint="eastAsia" w:ascii="新宋体" w:hAnsi="新宋体" w:eastAsia="新宋体"/>
                <w:sz w:val="28"/>
              </w:rPr>
            </w:pPr>
          </w:p>
        </w:tc>
        <w:tc>
          <w:tcPr>
            <w:tcW w:w="1140" w:type="dxa"/>
            <w:tcBorders>
              <w:top w:val="single" w:color="auto" w:sz="4" w:space="0"/>
              <w:left w:val="single" w:color="auto" w:sz="4" w:space="0"/>
              <w:bottom w:val="single" w:color="auto" w:sz="4" w:space="0"/>
              <w:right w:val="single" w:color="auto" w:sz="12" w:space="0"/>
            </w:tcBorders>
            <w:noWrap/>
            <w:vAlign w:val="center"/>
          </w:tcPr>
          <w:p w14:paraId="5C234057">
            <w:pPr>
              <w:spacing w:line="360" w:lineRule="exact"/>
              <w:jc w:val="center"/>
              <w:rPr>
                <w:rFonts w:hint="eastAsia" w:ascii="新宋体" w:hAnsi="新宋体" w:eastAsia="新宋体"/>
                <w:sz w:val="28"/>
              </w:rPr>
            </w:pPr>
          </w:p>
        </w:tc>
      </w:tr>
      <w:tr w14:paraId="56EF04B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718" w:hRule="exact"/>
        </w:trPr>
        <w:tc>
          <w:tcPr>
            <w:tcW w:w="722" w:type="dxa"/>
            <w:tcBorders>
              <w:top w:val="single" w:color="auto" w:sz="4" w:space="0"/>
              <w:left w:val="single" w:color="auto" w:sz="12" w:space="0"/>
              <w:bottom w:val="single" w:color="auto" w:sz="4" w:space="0"/>
              <w:right w:val="single" w:color="auto" w:sz="4" w:space="0"/>
            </w:tcBorders>
            <w:noWrap/>
            <w:vAlign w:val="center"/>
          </w:tcPr>
          <w:p w14:paraId="03A2A1F6">
            <w:pPr>
              <w:spacing w:line="360" w:lineRule="exact"/>
              <w:jc w:val="center"/>
              <w:rPr>
                <w:rFonts w:hint="eastAsia" w:ascii="新宋体" w:hAnsi="新宋体" w:eastAsia="新宋体"/>
                <w:sz w:val="28"/>
              </w:rPr>
            </w:pPr>
          </w:p>
        </w:tc>
        <w:tc>
          <w:tcPr>
            <w:tcW w:w="805" w:type="dxa"/>
            <w:tcBorders>
              <w:top w:val="single" w:color="auto" w:sz="4" w:space="0"/>
              <w:left w:val="single" w:color="auto" w:sz="4" w:space="0"/>
              <w:bottom w:val="single" w:color="auto" w:sz="4" w:space="0"/>
              <w:right w:val="single" w:color="auto" w:sz="4" w:space="0"/>
            </w:tcBorders>
            <w:noWrap/>
            <w:vAlign w:val="center"/>
          </w:tcPr>
          <w:p w14:paraId="574122B3">
            <w:pPr>
              <w:spacing w:line="360" w:lineRule="exact"/>
              <w:jc w:val="center"/>
              <w:rPr>
                <w:rFonts w:hint="eastAsia" w:ascii="新宋体" w:hAnsi="新宋体" w:eastAsia="新宋体"/>
                <w:sz w:val="28"/>
              </w:rPr>
            </w:pPr>
          </w:p>
        </w:tc>
        <w:tc>
          <w:tcPr>
            <w:tcW w:w="805" w:type="dxa"/>
            <w:tcBorders>
              <w:top w:val="single" w:color="auto" w:sz="4" w:space="0"/>
              <w:left w:val="single" w:color="auto" w:sz="4" w:space="0"/>
              <w:bottom w:val="single" w:color="auto" w:sz="4" w:space="0"/>
              <w:right w:val="single" w:color="auto" w:sz="4" w:space="0"/>
            </w:tcBorders>
            <w:noWrap/>
            <w:vAlign w:val="center"/>
          </w:tcPr>
          <w:p w14:paraId="237F06DE">
            <w:pPr>
              <w:spacing w:line="360" w:lineRule="exact"/>
              <w:jc w:val="center"/>
              <w:rPr>
                <w:rFonts w:hint="eastAsia" w:ascii="新宋体" w:hAnsi="新宋体" w:eastAsia="新宋体"/>
                <w:sz w:val="28"/>
              </w:rPr>
            </w:pPr>
          </w:p>
        </w:tc>
        <w:tc>
          <w:tcPr>
            <w:tcW w:w="1064" w:type="dxa"/>
            <w:tcBorders>
              <w:top w:val="single" w:color="auto" w:sz="4" w:space="0"/>
              <w:left w:val="single" w:color="auto" w:sz="4" w:space="0"/>
              <w:bottom w:val="single" w:color="auto" w:sz="4" w:space="0"/>
              <w:right w:val="single" w:color="auto" w:sz="4" w:space="0"/>
            </w:tcBorders>
            <w:noWrap/>
            <w:vAlign w:val="center"/>
          </w:tcPr>
          <w:p w14:paraId="219D8B65">
            <w:pPr>
              <w:spacing w:line="360" w:lineRule="exact"/>
              <w:jc w:val="center"/>
              <w:rPr>
                <w:rFonts w:hint="eastAsia" w:ascii="新宋体" w:hAnsi="新宋体" w:eastAsia="新宋体"/>
                <w:sz w:val="28"/>
              </w:rPr>
            </w:pPr>
          </w:p>
        </w:tc>
        <w:tc>
          <w:tcPr>
            <w:tcW w:w="1045" w:type="dxa"/>
            <w:tcBorders>
              <w:top w:val="single" w:color="auto" w:sz="4" w:space="0"/>
              <w:left w:val="single" w:color="auto" w:sz="4" w:space="0"/>
              <w:bottom w:val="single" w:color="auto" w:sz="4" w:space="0"/>
              <w:right w:val="single" w:color="auto" w:sz="4" w:space="0"/>
            </w:tcBorders>
            <w:noWrap/>
            <w:vAlign w:val="center"/>
          </w:tcPr>
          <w:p w14:paraId="7AC222AF">
            <w:pPr>
              <w:spacing w:line="360" w:lineRule="exact"/>
              <w:jc w:val="center"/>
              <w:rPr>
                <w:rFonts w:hint="eastAsia" w:ascii="新宋体" w:hAnsi="新宋体" w:eastAsia="新宋体"/>
                <w:sz w:val="28"/>
              </w:rPr>
            </w:pPr>
          </w:p>
        </w:tc>
        <w:tc>
          <w:tcPr>
            <w:tcW w:w="1105" w:type="dxa"/>
            <w:tcBorders>
              <w:top w:val="single" w:color="auto" w:sz="4" w:space="0"/>
              <w:left w:val="single" w:color="auto" w:sz="4" w:space="0"/>
              <w:bottom w:val="single" w:color="auto" w:sz="4" w:space="0"/>
              <w:right w:val="single" w:color="auto" w:sz="4" w:space="0"/>
            </w:tcBorders>
            <w:noWrap/>
            <w:vAlign w:val="center"/>
          </w:tcPr>
          <w:p w14:paraId="3BA74082">
            <w:pPr>
              <w:spacing w:line="360" w:lineRule="exact"/>
              <w:jc w:val="center"/>
              <w:rPr>
                <w:rFonts w:hint="eastAsia" w:ascii="新宋体" w:hAnsi="新宋体" w:eastAsia="新宋体"/>
                <w:sz w:val="28"/>
              </w:rPr>
            </w:pPr>
          </w:p>
        </w:tc>
        <w:tc>
          <w:tcPr>
            <w:tcW w:w="1470" w:type="dxa"/>
            <w:tcBorders>
              <w:top w:val="single" w:color="auto" w:sz="4" w:space="0"/>
              <w:left w:val="single" w:color="auto" w:sz="4" w:space="0"/>
              <w:bottom w:val="single" w:color="auto" w:sz="4" w:space="0"/>
              <w:right w:val="single" w:color="auto" w:sz="4" w:space="0"/>
            </w:tcBorders>
            <w:noWrap/>
            <w:vAlign w:val="center"/>
          </w:tcPr>
          <w:p w14:paraId="171396AB">
            <w:pPr>
              <w:spacing w:line="360" w:lineRule="exact"/>
              <w:jc w:val="center"/>
              <w:rPr>
                <w:rFonts w:hint="eastAsia" w:ascii="新宋体" w:hAnsi="新宋体" w:eastAsia="新宋体"/>
                <w:sz w:val="28"/>
              </w:rPr>
            </w:pPr>
          </w:p>
        </w:tc>
        <w:tc>
          <w:tcPr>
            <w:tcW w:w="1140" w:type="dxa"/>
            <w:tcBorders>
              <w:top w:val="single" w:color="auto" w:sz="4" w:space="0"/>
              <w:left w:val="single" w:color="auto" w:sz="4" w:space="0"/>
              <w:bottom w:val="single" w:color="auto" w:sz="4" w:space="0"/>
              <w:right w:val="single" w:color="auto" w:sz="4" w:space="0"/>
            </w:tcBorders>
            <w:noWrap/>
            <w:vAlign w:val="center"/>
          </w:tcPr>
          <w:p w14:paraId="79B3C7B0">
            <w:pPr>
              <w:spacing w:line="360" w:lineRule="exact"/>
              <w:jc w:val="center"/>
              <w:rPr>
                <w:rFonts w:hint="eastAsia" w:ascii="新宋体" w:hAnsi="新宋体" w:eastAsia="新宋体"/>
                <w:sz w:val="28"/>
              </w:rPr>
            </w:pPr>
          </w:p>
        </w:tc>
        <w:tc>
          <w:tcPr>
            <w:tcW w:w="1140" w:type="dxa"/>
            <w:tcBorders>
              <w:top w:val="single" w:color="auto" w:sz="4" w:space="0"/>
              <w:left w:val="single" w:color="auto" w:sz="4" w:space="0"/>
              <w:bottom w:val="single" w:color="auto" w:sz="4" w:space="0"/>
              <w:right w:val="single" w:color="auto" w:sz="12" w:space="0"/>
            </w:tcBorders>
            <w:noWrap/>
            <w:vAlign w:val="center"/>
          </w:tcPr>
          <w:p w14:paraId="358F2ABF">
            <w:pPr>
              <w:spacing w:line="360" w:lineRule="exact"/>
              <w:jc w:val="center"/>
              <w:rPr>
                <w:rFonts w:hint="eastAsia" w:ascii="新宋体" w:hAnsi="新宋体" w:eastAsia="新宋体"/>
                <w:sz w:val="28"/>
              </w:rPr>
            </w:pPr>
          </w:p>
        </w:tc>
      </w:tr>
      <w:tr w14:paraId="0C81909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728" w:hRule="exact"/>
        </w:trPr>
        <w:tc>
          <w:tcPr>
            <w:tcW w:w="722" w:type="dxa"/>
            <w:tcBorders>
              <w:top w:val="single" w:color="auto" w:sz="4" w:space="0"/>
              <w:left w:val="single" w:color="auto" w:sz="12" w:space="0"/>
              <w:bottom w:val="single" w:color="auto" w:sz="12" w:space="0"/>
              <w:right w:val="single" w:color="auto" w:sz="4" w:space="0"/>
            </w:tcBorders>
            <w:noWrap/>
            <w:vAlign w:val="center"/>
          </w:tcPr>
          <w:p w14:paraId="78C2C254">
            <w:pPr>
              <w:spacing w:line="360" w:lineRule="exact"/>
              <w:jc w:val="center"/>
              <w:rPr>
                <w:rFonts w:hint="eastAsia" w:ascii="新宋体" w:hAnsi="新宋体" w:eastAsia="新宋体"/>
                <w:sz w:val="28"/>
              </w:rPr>
            </w:pPr>
          </w:p>
        </w:tc>
        <w:tc>
          <w:tcPr>
            <w:tcW w:w="805" w:type="dxa"/>
            <w:tcBorders>
              <w:top w:val="single" w:color="auto" w:sz="4" w:space="0"/>
              <w:left w:val="single" w:color="auto" w:sz="4" w:space="0"/>
              <w:bottom w:val="single" w:color="auto" w:sz="12" w:space="0"/>
              <w:right w:val="single" w:color="auto" w:sz="4" w:space="0"/>
            </w:tcBorders>
            <w:noWrap/>
            <w:vAlign w:val="center"/>
          </w:tcPr>
          <w:p w14:paraId="0E9DBC0B">
            <w:pPr>
              <w:spacing w:line="360" w:lineRule="exact"/>
              <w:jc w:val="center"/>
              <w:rPr>
                <w:rFonts w:hint="eastAsia" w:ascii="新宋体" w:hAnsi="新宋体" w:eastAsia="新宋体"/>
                <w:sz w:val="28"/>
              </w:rPr>
            </w:pPr>
          </w:p>
        </w:tc>
        <w:tc>
          <w:tcPr>
            <w:tcW w:w="805" w:type="dxa"/>
            <w:tcBorders>
              <w:top w:val="single" w:color="auto" w:sz="4" w:space="0"/>
              <w:left w:val="single" w:color="auto" w:sz="4" w:space="0"/>
              <w:bottom w:val="single" w:color="auto" w:sz="12" w:space="0"/>
              <w:right w:val="single" w:color="auto" w:sz="4" w:space="0"/>
            </w:tcBorders>
            <w:noWrap/>
            <w:vAlign w:val="center"/>
          </w:tcPr>
          <w:p w14:paraId="03E0042D">
            <w:pPr>
              <w:spacing w:line="360" w:lineRule="exact"/>
              <w:jc w:val="center"/>
              <w:rPr>
                <w:rFonts w:hint="eastAsia" w:ascii="新宋体" w:hAnsi="新宋体" w:eastAsia="新宋体"/>
                <w:sz w:val="28"/>
              </w:rPr>
            </w:pPr>
          </w:p>
        </w:tc>
        <w:tc>
          <w:tcPr>
            <w:tcW w:w="1064" w:type="dxa"/>
            <w:tcBorders>
              <w:top w:val="single" w:color="auto" w:sz="4" w:space="0"/>
              <w:left w:val="single" w:color="auto" w:sz="4" w:space="0"/>
              <w:bottom w:val="single" w:color="auto" w:sz="12" w:space="0"/>
              <w:right w:val="single" w:color="auto" w:sz="4" w:space="0"/>
            </w:tcBorders>
            <w:noWrap/>
            <w:vAlign w:val="center"/>
          </w:tcPr>
          <w:p w14:paraId="3821DD68">
            <w:pPr>
              <w:spacing w:line="360" w:lineRule="exact"/>
              <w:jc w:val="center"/>
              <w:rPr>
                <w:rFonts w:hint="eastAsia" w:ascii="新宋体" w:hAnsi="新宋体" w:eastAsia="新宋体"/>
                <w:sz w:val="28"/>
              </w:rPr>
            </w:pPr>
          </w:p>
        </w:tc>
        <w:tc>
          <w:tcPr>
            <w:tcW w:w="1045" w:type="dxa"/>
            <w:tcBorders>
              <w:top w:val="single" w:color="auto" w:sz="4" w:space="0"/>
              <w:left w:val="single" w:color="auto" w:sz="4" w:space="0"/>
              <w:bottom w:val="single" w:color="auto" w:sz="12" w:space="0"/>
              <w:right w:val="single" w:color="auto" w:sz="4" w:space="0"/>
            </w:tcBorders>
            <w:noWrap/>
            <w:vAlign w:val="center"/>
          </w:tcPr>
          <w:p w14:paraId="01A205A4">
            <w:pPr>
              <w:spacing w:line="360" w:lineRule="exact"/>
              <w:jc w:val="center"/>
              <w:rPr>
                <w:rFonts w:hint="eastAsia" w:ascii="新宋体" w:hAnsi="新宋体" w:eastAsia="新宋体"/>
                <w:sz w:val="28"/>
              </w:rPr>
            </w:pPr>
          </w:p>
        </w:tc>
        <w:tc>
          <w:tcPr>
            <w:tcW w:w="1105" w:type="dxa"/>
            <w:tcBorders>
              <w:top w:val="single" w:color="auto" w:sz="4" w:space="0"/>
              <w:left w:val="single" w:color="auto" w:sz="4" w:space="0"/>
              <w:bottom w:val="single" w:color="auto" w:sz="12" w:space="0"/>
              <w:right w:val="single" w:color="auto" w:sz="4" w:space="0"/>
            </w:tcBorders>
            <w:noWrap/>
            <w:vAlign w:val="center"/>
          </w:tcPr>
          <w:p w14:paraId="4F203B1F">
            <w:pPr>
              <w:spacing w:line="360" w:lineRule="exact"/>
              <w:jc w:val="center"/>
              <w:rPr>
                <w:rFonts w:hint="eastAsia" w:ascii="新宋体" w:hAnsi="新宋体" w:eastAsia="新宋体"/>
                <w:sz w:val="28"/>
              </w:rPr>
            </w:pPr>
          </w:p>
        </w:tc>
        <w:tc>
          <w:tcPr>
            <w:tcW w:w="1470" w:type="dxa"/>
            <w:tcBorders>
              <w:top w:val="single" w:color="auto" w:sz="4" w:space="0"/>
              <w:left w:val="single" w:color="auto" w:sz="4" w:space="0"/>
              <w:bottom w:val="single" w:color="auto" w:sz="12" w:space="0"/>
              <w:right w:val="single" w:color="auto" w:sz="4" w:space="0"/>
            </w:tcBorders>
            <w:noWrap/>
            <w:vAlign w:val="center"/>
          </w:tcPr>
          <w:p w14:paraId="02E3DB9D">
            <w:pPr>
              <w:spacing w:line="360" w:lineRule="exact"/>
              <w:jc w:val="center"/>
              <w:rPr>
                <w:rFonts w:hint="eastAsia" w:ascii="新宋体" w:hAnsi="新宋体" w:eastAsia="新宋体"/>
                <w:sz w:val="28"/>
              </w:rPr>
            </w:pPr>
          </w:p>
        </w:tc>
        <w:tc>
          <w:tcPr>
            <w:tcW w:w="1140" w:type="dxa"/>
            <w:tcBorders>
              <w:top w:val="single" w:color="auto" w:sz="4" w:space="0"/>
              <w:left w:val="single" w:color="auto" w:sz="4" w:space="0"/>
              <w:bottom w:val="single" w:color="auto" w:sz="12" w:space="0"/>
              <w:right w:val="single" w:color="auto" w:sz="4" w:space="0"/>
            </w:tcBorders>
            <w:noWrap/>
            <w:vAlign w:val="center"/>
          </w:tcPr>
          <w:p w14:paraId="02A14884">
            <w:pPr>
              <w:spacing w:line="360" w:lineRule="exact"/>
              <w:jc w:val="center"/>
              <w:rPr>
                <w:rFonts w:hint="eastAsia" w:ascii="新宋体" w:hAnsi="新宋体" w:eastAsia="新宋体"/>
                <w:sz w:val="28"/>
              </w:rPr>
            </w:pPr>
          </w:p>
        </w:tc>
        <w:tc>
          <w:tcPr>
            <w:tcW w:w="1140" w:type="dxa"/>
            <w:tcBorders>
              <w:top w:val="single" w:color="auto" w:sz="4" w:space="0"/>
              <w:left w:val="single" w:color="auto" w:sz="4" w:space="0"/>
              <w:bottom w:val="single" w:color="auto" w:sz="12" w:space="0"/>
              <w:right w:val="single" w:color="auto" w:sz="12" w:space="0"/>
            </w:tcBorders>
            <w:noWrap/>
            <w:vAlign w:val="center"/>
          </w:tcPr>
          <w:p w14:paraId="74DADF30">
            <w:pPr>
              <w:spacing w:line="360" w:lineRule="exact"/>
              <w:jc w:val="center"/>
              <w:rPr>
                <w:rFonts w:hint="eastAsia" w:ascii="新宋体" w:hAnsi="新宋体" w:eastAsia="新宋体"/>
                <w:sz w:val="28"/>
              </w:rPr>
            </w:pPr>
          </w:p>
        </w:tc>
      </w:tr>
    </w:tbl>
    <w:p w14:paraId="7E536645">
      <w:pPr>
        <w:spacing w:line="360" w:lineRule="exact"/>
        <w:rPr>
          <w:rFonts w:eastAsia="仿宋_GB2312"/>
          <w:b/>
          <w:sz w:val="22"/>
          <w:szCs w:val="22"/>
        </w:rPr>
      </w:pPr>
      <w:r>
        <w:rPr>
          <w:rFonts w:hint="eastAsia" w:ascii="新宋体" w:hAnsi="新宋体" w:eastAsia="新宋体"/>
          <w:b/>
          <w:sz w:val="22"/>
          <w:szCs w:val="22"/>
        </w:rPr>
        <w:t>注： 本表应附毕业证书、职称证书、身份证及业绩证明等原件或复印件扫描件。</w:t>
      </w:r>
    </w:p>
    <w:p w14:paraId="74A29FFE">
      <w:pPr>
        <w:spacing w:line="360" w:lineRule="exact"/>
        <w:rPr>
          <w:rFonts w:eastAsia="仿宋_GB2312"/>
          <w:sz w:val="28"/>
        </w:rPr>
      </w:pPr>
    </w:p>
    <w:p w14:paraId="1198C2D5">
      <w:pPr>
        <w:spacing w:line="340" w:lineRule="exact"/>
        <w:ind w:firstLine="5940" w:firstLineChars="2700"/>
        <w:rPr>
          <w:rFonts w:hint="eastAsia" w:ascii="新宋体" w:hAnsi="新宋体" w:eastAsia="新宋体"/>
          <w:sz w:val="22"/>
        </w:rPr>
      </w:pPr>
    </w:p>
    <w:p w14:paraId="01BB84E5">
      <w:pPr>
        <w:widowControl/>
        <w:snapToGrid w:val="0"/>
        <w:spacing w:line="460" w:lineRule="exact"/>
        <w:ind w:firstLine="3999" w:firstLineChars="1818"/>
        <w:jc w:val="left"/>
        <w:rPr>
          <w:rFonts w:ascii="宋体" w:cs="Courier New"/>
          <w:sz w:val="22"/>
          <w:szCs w:val="22"/>
        </w:rPr>
      </w:pPr>
      <w:r>
        <w:rPr>
          <w:rFonts w:hint="eastAsia" w:ascii="宋体" w:cs="Courier New"/>
          <w:sz w:val="22"/>
          <w:szCs w:val="22"/>
        </w:rPr>
        <w:t>投标供应商（盖章） ：</w:t>
      </w:r>
    </w:p>
    <w:p w14:paraId="3D0D69D8">
      <w:pPr>
        <w:widowControl/>
        <w:snapToGrid w:val="0"/>
        <w:spacing w:line="460" w:lineRule="exact"/>
        <w:ind w:firstLine="3999" w:firstLineChars="1818"/>
        <w:jc w:val="left"/>
        <w:rPr>
          <w:rFonts w:ascii="宋体" w:cs="Courier New"/>
          <w:sz w:val="22"/>
          <w:szCs w:val="22"/>
        </w:rPr>
      </w:pPr>
      <w:r>
        <w:rPr>
          <w:rFonts w:hint="eastAsia" w:ascii="宋体" w:cs="Courier New"/>
          <w:sz w:val="22"/>
          <w:szCs w:val="22"/>
        </w:rPr>
        <w:t>法定代表人或其授权代表（签字或盖章）：</w:t>
      </w:r>
    </w:p>
    <w:p w14:paraId="43D64CCE">
      <w:pPr>
        <w:widowControl/>
        <w:snapToGrid w:val="0"/>
        <w:spacing w:line="460" w:lineRule="exact"/>
        <w:ind w:firstLine="3999" w:firstLineChars="1818"/>
        <w:jc w:val="left"/>
        <w:rPr>
          <w:rFonts w:hint="eastAsia" w:ascii="宋体" w:hAnsi="宋体" w:cs="宋体"/>
          <w:sz w:val="22"/>
          <w:szCs w:val="22"/>
        </w:rPr>
      </w:pPr>
      <w:r>
        <w:rPr>
          <w:rFonts w:hint="eastAsia" w:ascii="宋体" w:cs="Courier New"/>
          <w:sz w:val="22"/>
          <w:szCs w:val="22"/>
        </w:rPr>
        <w:t>日期：</w:t>
      </w:r>
      <w:r>
        <w:rPr>
          <w:rFonts w:hint="eastAsia" w:ascii="宋体" w:hAnsi="宋体" w:cs="宋体"/>
          <w:sz w:val="22"/>
          <w:szCs w:val="28"/>
        </w:rPr>
        <w:t xml:space="preserve">     年    月    日</w:t>
      </w:r>
    </w:p>
    <w:p w14:paraId="14FC3184">
      <w:pPr>
        <w:widowControl/>
        <w:snapToGrid w:val="0"/>
        <w:spacing w:line="460" w:lineRule="exact"/>
        <w:ind w:firstLine="3999" w:firstLineChars="1818"/>
        <w:jc w:val="left"/>
        <w:rPr>
          <w:rFonts w:hint="eastAsia" w:ascii="宋体" w:hAnsi="宋体" w:cs="宋体"/>
          <w:sz w:val="22"/>
          <w:szCs w:val="22"/>
        </w:rPr>
      </w:pPr>
    </w:p>
    <w:p w14:paraId="3263836A">
      <w:pPr>
        <w:pStyle w:val="24"/>
        <w:jc w:val="center"/>
        <w:rPr>
          <w:rFonts w:hint="eastAsia" w:ascii="宋体" w:hAnsi="宋体" w:cs="宋体"/>
          <w:sz w:val="22"/>
          <w:szCs w:val="28"/>
        </w:rPr>
        <w:sectPr>
          <w:headerReference r:id="rId11" w:type="default"/>
          <w:pgSz w:w="11906" w:h="16838"/>
          <w:pgMar w:top="1134" w:right="1417" w:bottom="1134" w:left="1417" w:header="851" w:footer="992" w:gutter="0"/>
          <w:cols w:space="720" w:num="1"/>
          <w:titlePg/>
          <w:docGrid w:linePitch="312" w:charSpace="0"/>
        </w:sectPr>
      </w:pPr>
    </w:p>
    <w:p w14:paraId="0C0FB4F1">
      <w:pPr>
        <w:pStyle w:val="22"/>
        <w:outlineLvl w:val="2"/>
        <w:rPr>
          <w:rFonts w:hint="eastAsia" w:ascii="宋体" w:hAnsi="宋体"/>
          <w:sz w:val="28"/>
          <w:szCs w:val="18"/>
          <w:lang w:val="zh-CN"/>
        </w:rPr>
      </w:pPr>
      <w:bookmarkStart w:id="1114" w:name="_Toc11036"/>
      <w:bookmarkStart w:id="1115" w:name="_Toc8623"/>
      <w:bookmarkStart w:id="1116" w:name="_Toc24517"/>
      <w:bookmarkStart w:id="1117" w:name="_Toc20388"/>
      <w:bookmarkStart w:id="1118" w:name="_Toc14481"/>
      <w:bookmarkStart w:id="1119" w:name="_Toc31024"/>
      <w:bookmarkStart w:id="1120" w:name="_Toc16851"/>
      <w:bookmarkStart w:id="1121" w:name="_Toc30488984"/>
      <w:bookmarkStart w:id="1122" w:name="_Toc3741476"/>
      <w:bookmarkStart w:id="1123" w:name="_Toc8294592"/>
      <w:bookmarkStart w:id="1124" w:name="_Toc14682764"/>
      <w:bookmarkStart w:id="1125" w:name="_Toc524449522"/>
      <w:bookmarkStart w:id="1126" w:name="_Toc3741108"/>
      <w:bookmarkStart w:id="1127" w:name="_Toc524600104"/>
      <w:bookmarkStart w:id="1128" w:name="_Toc11371_WPSOffice_Level2"/>
      <w:r>
        <w:rPr>
          <w:rFonts w:hint="eastAsia" w:ascii="宋体" w:hAnsi="宋体"/>
          <w:sz w:val="28"/>
          <w:szCs w:val="18"/>
          <w:lang w:val="zh-CN"/>
        </w:rPr>
        <w:t>附件</w:t>
      </w:r>
      <w:r>
        <w:rPr>
          <w:rFonts w:hint="eastAsia" w:ascii="宋体" w:hAnsi="宋体"/>
          <w:sz w:val="28"/>
          <w:szCs w:val="18"/>
        </w:rPr>
        <w:t>十六</w:t>
      </w:r>
      <w:r>
        <w:rPr>
          <w:rFonts w:hint="eastAsia" w:ascii="宋体" w:hAnsi="宋体"/>
          <w:sz w:val="28"/>
          <w:szCs w:val="18"/>
          <w:lang w:val="zh-CN"/>
        </w:rPr>
        <w:t xml:space="preserve"> 同类项目业绩</w:t>
      </w:r>
      <w:bookmarkEnd w:id="1114"/>
      <w:bookmarkEnd w:id="1115"/>
      <w:bookmarkEnd w:id="1116"/>
      <w:bookmarkEnd w:id="1117"/>
      <w:bookmarkEnd w:id="1118"/>
      <w:bookmarkEnd w:id="1119"/>
      <w:bookmarkEnd w:id="1120"/>
    </w:p>
    <w:p w14:paraId="25D3D657">
      <w:pPr>
        <w:spacing w:line="380" w:lineRule="exact"/>
        <w:ind w:left="-357" w:leftChars="-170" w:firstLine="216" w:firstLineChars="98"/>
        <w:rPr>
          <w:rFonts w:hint="eastAsia" w:ascii="宋体" w:hAnsi="宋体" w:cs="宋体"/>
          <w:b/>
          <w:bCs/>
          <w:sz w:val="22"/>
          <w:szCs w:val="22"/>
        </w:rPr>
      </w:pPr>
    </w:p>
    <w:p w14:paraId="059B9D7C">
      <w:pPr>
        <w:spacing w:line="380" w:lineRule="exact"/>
        <w:ind w:left="-357" w:leftChars="-170" w:firstLine="216" w:firstLineChars="98"/>
        <w:rPr>
          <w:rFonts w:hint="eastAsia" w:ascii="宋体" w:hAnsi="宋体" w:cs="宋体"/>
          <w:b/>
          <w:bCs/>
          <w:sz w:val="22"/>
          <w:szCs w:val="22"/>
        </w:rPr>
      </w:pPr>
      <w:r>
        <w:rPr>
          <w:rFonts w:hint="eastAsia" w:ascii="宋体" w:hAnsi="宋体" w:cs="宋体"/>
          <w:b/>
          <w:bCs/>
          <w:sz w:val="22"/>
          <w:szCs w:val="22"/>
        </w:rPr>
        <w:t>项目名称：                                            项目编号：</w:t>
      </w:r>
    </w:p>
    <w:tbl>
      <w:tblPr>
        <w:tblStyle w:val="25"/>
        <w:tblW w:w="8781" w:type="dxa"/>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780"/>
        <w:gridCol w:w="2192"/>
        <w:gridCol w:w="1636"/>
        <w:gridCol w:w="1260"/>
        <w:gridCol w:w="1345"/>
        <w:gridCol w:w="1568"/>
      </w:tblGrid>
      <w:tr w14:paraId="48409E7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80" w:type="dxa"/>
            <w:shd w:val="clear" w:color="auto" w:fill="FFFFFF"/>
            <w:noWrap/>
            <w:vAlign w:val="center"/>
          </w:tcPr>
          <w:p w14:paraId="2DC69433">
            <w:pPr>
              <w:spacing w:line="380" w:lineRule="exact"/>
              <w:jc w:val="center"/>
              <w:rPr>
                <w:rFonts w:hint="eastAsia" w:ascii="宋体" w:hAnsi="宋体" w:cs="宋体"/>
                <w:b/>
                <w:bCs/>
                <w:sz w:val="22"/>
                <w:szCs w:val="22"/>
              </w:rPr>
            </w:pPr>
            <w:r>
              <w:rPr>
                <w:rFonts w:hint="eastAsia" w:ascii="宋体" w:hAnsi="宋体" w:cs="宋体"/>
                <w:b/>
                <w:bCs/>
                <w:sz w:val="22"/>
                <w:szCs w:val="22"/>
              </w:rPr>
              <w:t>序号</w:t>
            </w:r>
          </w:p>
        </w:tc>
        <w:tc>
          <w:tcPr>
            <w:tcW w:w="2192" w:type="dxa"/>
            <w:shd w:val="clear" w:color="auto" w:fill="FFFFFF"/>
            <w:noWrap/>
            <w:vAlign w:val="center"/>
          </w:tcPr>
          <w:p w14:paraId="7A8B03C7">
            <w:pPr>
              <w:spacing w:line="380" w:lineRule="exact"/>
              <w:jc w:val="center"/>
              <w:rPr>
                <w:rFonts w:hint="eastAsia" w:ascii="宋体" w:hAnsi="宋体" w:cs="宋体"/>
                <w:b/>
                <w:bCs/>
                <w:sz w:val="22"/>
                <w:szCs w:val="22"/>
              </w:rPr>
            </w:pPr>
            <w:r>
              <w:rPr>
                <w:rFonts w:hint="eastAsia" w:ascii="宋体" w:hAnsi="宋体" w:cs="宋体"/>
                <w:b/>
                <w:bCs/>
                <w:sz w:val="22"/>
                <w:szCs w:val="22"/>
              </w:rPr>
              <w:t>用户名称</w:t>
            </w:r>
          </w:p>
        </w:tc>
        <w:tc>
          <w:tcPr>
            <w:tcW w:w="1636" w:type="dxa"/>
            <w:shd w:val="clear" w:color="auto" w:fill="FFFFFF"/>
            <w:noWrap/>
            <w:vAlign w:val="center"/>
          </w:tcPr>
          <w:p w14:paraId="15A61FD4">
            <w:pPr>
              <w:spacing w:line="380" w:lineRule="exact"/>
              <w:jc w:val="center"/>
              <w:rPr>
                <w:rFonts w:hint="eastAsia" w:ascii="宋体" w:hAnsi="宋体" w:cs="宋体"/>
                <w:b/>
                <w:bCs/>
                <w:sz w:val="22"/>
                <w:szCs w:val="22"/>
              </w:rPr>
            </w:pPr>
            <w:r>
              <w:rPr>
                <w:rFonts w:hint="eastAsia" w:ascii="宋体" w:hAnsi="宋体" w:cs="宋体"/>
                <w:b/>
                <w:bCs/>
                <w:sz w:val="22"/>
                <w:szCs w:val="22"/>
              </w:rPr>
              <w:t>项目名称</w:t>
            </w:r>
          </w:p>
        </w:tc>
        <w:tc>
          <w:tcPr>
            <w:tcW w:w="1260" w:type="dxa"/>
            <w:shd w:val="clear" w:color="auto" w:fill="FFFFFF"/>
            <w:noWrap/>
            <w:vAlign w:val="center"/>
          </w:tcPr>
          <w:p w14:paraId="039E2973">
            <w:pPr>
              <w:spacing w:line="380" w:lineRule="exact"/>
              <w:jc w:val="center"/>
              <w:rPr>
                <w:rFonts w:hint="eastAsia" w:ascii="宋体" w:hAnsi="宋体" w:cs="宋体"/>
                <w:b/>
                <w:bCs/>
                <w:sz w:val="22"/>
                <w:szCs w:val="22"/>
              </w:rPr>
            </w:pPr>
            <w:r>
              <w:rPr>
                <w:rFonts w:hint="eastAsia" w:ascii="宋体" w:hAnsi="宋体" w:cs="宋体"/>
                <w:b/>
                <w:bCs/>
                <w:sz w:val="22"/>
                <w:szCs w:val="22"/>
              </w:rPr>
              <w:t>合同金额</w:t>
            </w:r>
          </w:p>
        </w:tc>
        <w:tc>
          <w:tcPr>
            <w:tcW w:w="1345" w:type="dxa"/>
            <w:shd w:val="clear" w:color="auto" w:fill="FFFFFF"/>
            <w:noWrap/>
            <w:vAlign w:val="center"/>
          </w:tcPr>
          <w:p w14:paraId="36F166E9">
            <w:pPr>
              <w:spacing w:line="380" w:lineRule="exact"/>
              <w:jc w:val="center"/>
              <w:rPr>
                <w:rFonts w:hint="eastAsia" w:ascii="宋体" w:hAnsi="宋体" w:cs="宋体"/>
                <w:b/>
                <w:bCs/>
                <w:sz w:val="22"/>
                <w:szCs w:val="22"/>
              </w:rPr>
            </w:pPr>
            <w:r>
              <w:rPr>
                <w:rFonts w:hint="eastAsia" w:ascii="宋体" w:hAnsi="宋体" w:cs="宋体"/>
                <w:b/>
                <w:bCs/>
                <w:sz w:val="22"/>
                <w:szCs w:val="22"/>
              </w:rPr>
              <w:t>签订时间</w:t>
            </w:r>
          </w:p>
        </w:tc>
        <w:tc>
          <w:tcPr>
            <w:tcW w:w="1568" w:type="dxa"/>
            <w:shd w:val="clear" w:color="auto" w:fill="FFFFFF"/>
            <w:noWrap/>
            <w:vAlign w:val="center"/>
          </w:tcPr>
          <w:p w14:paraId="1D6C3145">
            <w:pPr>
              <w:spacing w:line="380" w:lineRule="exact"/>
              <w:jc w:val="center"/>
              <w:rPr>
                <w:rFonts w:hint="eastAsia" w:ascii="宋体" w:hAnsi="宋体" w:cs="宋体"/>
                <w:b/>
                <w:bCs/>
                <w:sz w:val="22"/>
                <w:szCs w:val="22"/>
              </w:rPr>
            </w:pPr>
            <w:r>
              <w:rPr>
                <w:rFonts w:hint="eastAsia" w:ascii="宋体" w:hAnsi="宋体" w:cs="宋体"/>
                <w:b/>
                <w:bCs/>
                <w:sz w:val="22"/>
                <w:szCs w:val="22"/>
              </w:rPr>
              <w:t>用户联系人/联系方式</w:t>
            </w:r>
          </w:p>
        </w:tc>
      </w:tr>
      <w:tr w14:paraId="127014B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80" w:type="dxa"/>
            <w:tcBorders>
              <w:top w:val="single" w:color="auto" w:sz="4" w:space="0"/>
              <w:left w:val="single" w:color="auto" w:sz="12" w:space="0"/>
              <w:right w:val="single" w:color="auto" w:sz="4" w:space="0"/>
            </w:tcBorders>
            <w:noWrap/>
            <w:vAlign w:val="center"/>
          </w:tcPr>
          <w:p w14:paraId="54D0E113">
            <w:pPr>
              <w:spacing w:line="380" w:lineRule="exact"/>
              <w:jc w:val="center"/>
              <w:rPr>
                <w:rFonts w:hint="eastAsia" w:ascii="宋体" w:hAnsi="宋体" w:cs="宋体"/>
                <w:b/>
                <w:bCs/>
                <w:sz w:val="22"/>
                <w:szCs w:val="22"/>
              </w:rPr>
            </w:pPr>
          </w:p>
        </w:tc>
        <w:tc>
          <w:tcPr>
            <w:tcW w:w="2192" w:type="dxa"/>
            <w:tcBorders>
              <w:top w:val="single" w:color="auto" w:sz="4" w:space="0"/>
              <w:left w:val="single" w:color="auto" w:sz="4" w:space="0"/>
              <w:right w:val="single" w:color="auto" w:sz="4" w:space="0"/>
            </w:tcBorders>
            <w:noWrap/>
            <w:vAlign w:val="center"/>
          </w:tcPr>
          <w:p w14:paraId="326A5FE8">
            <w:pPr>
              <w:spacing w:line="380" w:lineRule="exact"/>
              <w:jc w:val="center"/>
              <w:rPr>
                <w:rFonts w:hint="eastAsia" w:ascii="宋体" w:hAnsi="宋体" w:cs="宋体"/>
                <w:b/>
                <w:bCs/>
                <w:sz w:val="22"/>
                <w:szCs w:val="22"/>
              </w:rPr>
            </w:pPr>
          </w:p>
        </w:tc>
        <w:tc>
          <w:tcPr>
            <w:tcW w:w="1636" w:type="dxa"/>
            <w:tcBorders>
              <w:top w:val="single" w:color="auto" w:sz="4" w:space="0"/>
              <w:left w:val="single" w:color="auto" w:sz="4" w:space="0"/>
              <w:right w:val="single" w:color="auto" w:sz="4" w:space="0"/>
            </w:tcBorders>
            <w:noWrap/>
            <w:vAlign w:val="center"/>
          </w:tcPr>
          <w:p w14:paraId="3F4B5A68">
            <w:pPr>
              <w:spacing w:line="380" w:lineRule="exact"/>
              <w:jc w:val="center"/>
              <w:rPr>
                <w:rFonts w:hint="eastAsia" w:ascii="宋体" w:hAnsi="宋体" w:cs="宋体"/>
                <w:b/>
                <w:bCs/>
                <w:sz w:val="22"/>
                <w:szCs w:val="22"/>
              </w:rPr>
            </w:pPr>
          </w:p>
        </w:tc>
        <w:tc>
          <w:tcPr>
            <w:tcW w:w="1260" w:type="dxa"/>
            <w:tcBorders>
              <w:top w:val="single" w:color="auto" w:sz="4" w:space="0"/>
              <w:left w:val="single" w:color="auto" w:sz="4" w:space="0"/>
              <w:right w:val="single" w:color="auto" w:sz="4" w:space="0"/>
            </w:tcBorders>
            <w:noWrap/>
            <w:vAlign w:val="center"/>
          </w:tcPr>
          <w:p w14:paraId="2B0D0032">
            <w:pPr>
              <w:spacing w:line="380" w:lineRule="exact"/>
              <w:jc w:val="center"/>
              <w:rPr>
                <w:rFonts w:hint="eastAsia" w:ascii="宋体" w:hAnsi="宋体" w:cs="宋体"/>
                <w:b/>
                <w:bCs/>
                <w:sz w:val="22"/>
                <w:szCs w:val="22"/>
              </w:rPr>
            </w:pPr>
          </w:p>
        </w:tc>
        <w:tc>
          <w:tcPr>
            <w:tcW w:w="1345" w:type="dxa"/>
            <w:tcBorders>
              <w:top w:val="single" w:color="auto" w:sz="4" w:space="0"/>
              <w:left w:val="single" w:color="auto" w:sz="4" w:space="0"/>
              <w:right w:val="single" w:color="auto" w:sz="4" w:space="0"/>
            </w:tcBorders>
            <w:noWrap/>
            <w:vAlign w:val="center"/>
          </w:tcPr>
          <w:p w14:paraId="0720F05B">
            <w:pPr>
              <w:spacing w:line="380" w:lineRule="exact"/>
              <w:jc w:val="center"/>
              <w:rPr>
                <w:rFonts w:hint="eastAsia" w:ascii="宋体" w:hAnsi="宋体" w:cs="宋体"/>
                <w:b/>
                <w:bCs/>
                <w:sz w:val="22"/>
                <w:szCs w:val="22"/>
              </w:rPr>
            </w:pPr>
          </w:p>
        </w:tc>
        <w:tc>
          <w:tcPr>
            <w:tcW w:w="1568" w:type="dxa"/>
            <w:tcBorders>
              <w:top w:val="single" w:color="auto" w:sz="4" w:space="0"/>
              <w:left w:val="single" w:color="auto" w:sz="4" w:space="0"/>
              <w:right w:val="single" w:color="auto" w:sz="12" w:space="0"/>
            </w:tcBorders>
            <w:noWrap/>
            <w:vAlign w:val="center"/>
          </w:tcPr>
          <w:p w14:paraId="7FFD3D20">
            <w:pPr>
              <w:spacing w:line="380" w:lineRule="exact"/>
              <w:jc w:val="center"/>
              <w:rPr>
                <w:rFonts w:hint="eastAsia" w:ascii="宋体" w:hAnsi="宋体" w:cs="宋体"/>
                <w:b/>
                <w:bCs/>
                <w:sz w:val="22"/>
                <w:szCs w:val="22"/>
              </w:rPr>
            </w:pPr>
          </w:p>
        </w:tc>
      </w:tr>
      <w:tr w14:paraId="4EFF430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80" w:type="dxa"/>
            <w:tcBorders>
              <w:top w:val="single" w:color="auto" w:sz="4" w:space="0"/>
              <w:left w:val="single" w:color="auto" w:sz="12" w:space="0"/>
              <w:right w:val="single" w:color="auto" w:sz="4" w:space="0"/>
            </w:tcBorders>
            <w:noWrap/>
            <w:vAlign w:val="center"/>
          </w:tcPr>
          <w:p w14:paraId="7204D960">
            <w:pPr>
              <w:spacing w:line="380" w:lineRule="exact"/>
              <w:jc w:val="center"/>
              <w:rPr>
                <w:rFonts w:hint="eastAsia" w:ascii="宋体" w:hAnsi="宋体" w:cs="宋体"/>
                <w:b/>
                <w:bCs/>
                <w:sz w:val="22"/>
                <w:szCs w:val="22"/>
              </w:rPr>
            </w:pPr>
          </w:p>
        </w:tc>
        <w:tc>
          <w:tcPr>
            <w:tcW w:w="2192" w:type="dxa"/>
            <w:tcBorders>
              <w:top w:val="single" w:color="auto" w:sz="4" w:space="0"/>
              <w:left w:val="single" w:color="auto" w:sz="4" w:space="0"/>
              <w:right w:val="single" w:color="auto" w:sz="4" w:space="0"/>
            </w:tcBorders>
            <w:noWrap/>
            <w:vAlign w:val="center"/>
          </w:tcPr>
          <w:p w14:paraId="508A3145">
            <w:pPr>
              <w:spacing w:line="380" w:lineRule="exact"/>
              <w:jc w:val="center"/>
              <w:rPr>
                <w:rFonts w:hint="eastAsia" w:ascii="宋体" w:hAnsi="宋体" w:cs="宋体"/>
                <w:b/>
                <w:bCs/>
                <w:sz w:val="22"/>
                <w:szCs w:val="22"/>
              </w:rPr>
            </w:pPr>
          </w:p>
        </w:tc>
        <w:tc>
          <w:tcPr>
            <w:tcW w:w="1636" w:type="dxa"/>
            <w:tcBorders>
              <w:top w:val="single" w:color="auto" w:sz="4" w:space="0"/>
              <w:left w:val="single" w:color="auto" w:sz="4" w:space="0"/>
              <w:right w:val="single" w:color="auto" w:sz="4" w:space="0"/>
            </w:tcBorders>
            <w:noWrap/>
            <w:vAlign w:val="center"/>
          </w:tcPr>
          <w:p w14:paraId="7B8EBCB4">
            <w:pPr>
              <w:spacing w:line="380" w:lineRule="exact"/>
              <w:jc w:val="center"/>
              <w:rPr>
                <w:rFonts w:hint="eastAsia" w:ascii="宋体" w:hAnsi="宋体" w:cs="宋体"/>
                <w:b/>
                <w:bCs/>
                <w:sz w:val="22"/>
                <w:szCs w:val="22"/>
              </w:rPr>
            </w:pPr>
          </w:p>
        </w:tc>
        <w:tc>
          <w:tcPr>
            <w:tcW w:w="1260" w:type="dxa"/>
            <w:tcBorders>
              <w:top w:val="single" w:color="auto" w:sz="4" w:space="0"/>
              <w:left w:val="single" w:color="auto" w:sz="4" w:space="0"/>
              <w:right w:val="single" w:color="auto" w:sz="4" w:space="0"/>
            </w:tcBorders>
            <w:noWrap/>
            <w:vAlign w:val="center"/>
          </w:tcPr>
          <w:p w14:paraId="3201418F">
            <w:pPr>
              <w:spacing w:line="380" w:lineRule="exact"/>
              <w:jc w:val="center"/>
              <w:rPr>
                <w:rFonts w:hint="eastAsia" w:ascii="宋体" w:hAnsi="宋体" w:cs="宋体"/>
                <w:b/>
                <w:bCs/>
                <w:sz w:val="22"/>
                <w:szCs w:val="22"/>
              </w:rPr>
            </w:pPr>
          </w:p>
        </w:tc>
        <w:tc>
          <w:tcPr>
            <w:tcW w:w="1345" w:type="dxa"/>
            <w:tcBorders>
              <w:top w:val="single" w:color="auto" w:sz="4" w:space="0"/>
              <w:left w:val="single" w:color="auto" w:sz="4" w:space="0"/>
              <w:right w:val="single" w:color="auto" w:sz="4" w:space="0"/>
            </w:tcBorders>
            <w:noWrap/>
            <w:vAlign w:val="center"/>
          </w:tcPr>
          <w:p w14:paraId="6DCC3621">
            <w:pPr>
              <w:spacing w:line="380" w:lineRule="exact"/>
              <w:jc w:val="center"/>
              <w:rPr>
                <w:rFonts w:hint="eastAsia" w:ascii="宋体" w:hAnsi="宋体" w:cs="宋体"/>
                <w:b/>
                <w:bCs/>
                <w:sz w:val="22"/>
                <w:szCs w:val="22"/>
              </w:rPr>
            </w:pPr>
          </w:p>
        </w:tc>
        <w:tc>
          <w:tcPr>
            <w:tcW w:w="1568" w:type="dxa"/>
            <w:tcBorders>
              <w:top w:val="single" w:color="auto" w:sz="4" w:space="0"/>
              <w:left w:val="single" w:color="auto" w:sz="4" w:space="0"/>
              <w:right w:val="single" w:color="auto" w:sz="12" w:space="0"/>
            </w:tcBorders>
            <w:noWrap/>
            <w:vAlign w:val="center"/>
          </w:tcPr>
          <w:p w14:paraId="4DC60F99">
            <w:pPr>
              <w:spacing w:line="380" w:lineRule="exact"/>
              <w:jc w:val="center"/>
              <w:rPr>
                <w:rFonts w:hint="eastAsia" w:ascii="宋体" w:hAnsi="宋体" w:cs="宋体"/>
                <w:b/>
                <w:bCs/>
                <w:sz w:val="22"/>
                <w:szCs w:val="22"/>
              </w:rPr>
            </w:pPr>
          </w:p>
        </w:tc>
      </w:tr>
      <w:tr w14:paraId="34056F6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80" w:type="dxa"/>
            <w:tcBorders>
              <w:top w:val="single" w:color="auto" w:sz="4" w:space="0"/>
              <w:left w:val="single" w:color="auto" w:sz="12" w:space="0"/>
              <w:right w:val="single" w:color="auto" w:sz="4" w:space="0"/>
            </w:tcBorders>
            <w:noWrap/>
            <w:vAlign w:val="center"/>
          </w:tcPr>
          <w:p w14:paraId="4275BED9">
            <w:pPr>
              <w:spacing w:line="380" w:lineRule="exact"/>
              <w:jc w:val="center"/>
              <w:rPr>
                <w:rFonts w:hint="eastAsia" w:ascii="宋体" w:hAnsi="宋体" w:cs="宋体"/>
                <w:b/>
                <w:bCs/>
                <w:sz w:val="22"/>
                <w:szCs w:val="22"/>
              </w:rPr>
            </w:pPr>
          </w:p>
        </w:tc>
        <w:tc>
          <w:tcPr>
            <w:tcW w:w="2192" w:type="dxa"/>
            <w:tcBorders>
              <w:top w:val="single" w:color="auto" w:sz="4" w:space="0"/>
              <w:left w:val="single" w:color="auto" w:sz="4" w:space="0"/>
              <w:right w:val="single" w:color="auto" w:sz="4" w:space="0"/>
            </w:tcBorders>
            <w:noWrap/>
            <w:vAlign w:val="center"/>
          </w:tcPr>
          <w:p w14:paraId="1E9EA017">
            <w:pPr>
              <w:spacing w:line="380" w:lineRule="exact"/>
              <w:jc w:val="center"/>
              <w:rPr>
                <w:rFonts w:hint="eastAsia" w:ascii="宋体" w:hAnsi="宋体" w:cs="宋体"/>
                <w:b/>
                <w:bCs/>
                <w:sz w:val="22"/>
                <w:szCs w:val="22"/>
              </w:rPr>
            </w:pPr>
          </w:p>
        </w:tc>
        <w:tc>
          <w:tcPr>
            <w:tcW w:w="1636" w:type="dxa"/>
            <w:tcBorders>
              <w:top w:val="single" w:color="auto" w:sz="4" w:space="0"/>
              <w:left w:val="single" w:color="auto" w:sz="4" w:space="0"/>
              <w:right w:val="single" w:color="auto" w:sz="4" w:space="0"/>
            </w:tcBorders>
            <w:noWrap/>
            <w:vAlign w:val="center"/>
          </w:tcPr>
          <w:p w14:paraId="404873F6">
            <w:pPr>
              <w:spacing w:line="380" w:lineRule="exact"/>
              <w:jc w:val="center"/>
              <w:rPr>
                <w:rFonts w:hint="eastAsia" w:ascii="宋体" w:hAnsi="宋体" w:cs="宋体"/>
                <w:b/>
                <w:bCs/>
                <w:sz w:val="22"/>
                <w:szCs w:val="22"/>
              </w:rPr>
            </w:pPr>
          </w:p>
        </w:tc>
        <w:tc>
          <w:tcPr>
            <w:tcW w:w="1260" w:type="dxa"/>
            <w:tcBorders>
              <w:top w:val="single" w:color="auto" w:sz="4" w:space="0"/>
              <w:left w:val="single" w:color="auto" w:sz="4" w:space="0"/>
              <w:right w:val="single" w:color="auto" w:sz="4" w:space="0"/>
            </w:tcBorders>
            <w:noWrap/>
            <w:vAlign w:val="center"/>
          </w:tcPr>
          <w:p w14:paraId="7C99C6C4">
            <w:pPr>
              <w:spacing w:line="380" w:lineRule="exact"/>
              <w:jc w:val="center"/>
              <w:rPr>
                <w:rFonts w:hint="eastAsia" w:ascii="宋体" w:hAnsi="宋体" w:cs="宋体"/>
                <w:b/>
                <w:bCs/>
                <w:sz w:val="22"/>
                <w:szCs w:val="22"/>
              </w:rPr>
            </w:pPr>
          </w:p>
        </w:tc>
        <w:tc>
          <w:tcPr>
            <w:tcW w:w="1345" w:type="dxa"/>
            <w:tcBorders>
              <w:top w:val="single" w:color="auto" w:sz="4" w:space="0"/>
              <w:left w:val="single" w:color="auto" w:sz="4" w:space="0"/>
              <w:right w:val="single" w:color="auto" w:sz="4" w:space="0"/>
            </w:tcBorders>
            <w:noWrap/>
            <w:vAlign w:val="center"/>
          </w:tcPr>
          <w:p w14:paraId="3C4AB22C">
            <w:pPr>
              <w:spacing w:line="380" w:lineRule="exact"/>
              <w:jc w:val="center"/>
              <w:rPr>
                <w:rFonts w:hint="eastAsia" w:ascii="宋体" w:hAnsi="宋体" w:cs="宋体"/>
                <w:b/>
                <w:bCs/>
                <w:sz w:val="22"/>
                <w:szCs w:val="22"/>
              </w:rPr>
            </w:pPr>
          </w:p>
        </w:tc>
        <w:tc>
          <w:tcPr>
            <w:tcW w:w="1568" w:type="dxa"/>
            <w:tcBorders>
              <w:top w:val="single" w:color="auto" w:sz="4" w:space="0"/>
              <w:left w:val="single" w:color="auto" w:sz="4" w:space="0"/>
              <w:right w:val="single" w:color="auto" w:sz="12" w:space="0"/>
            </w:tcBorders>
            <w:noWrap/>
            <w:vAlign w:val="center"/>
          </w:tcPr>
          <w:p w14:paraId="33FA59BC">
            <w:pPr>
              <w:spacing w:line="380" w:lineRule="exact"/>
              <w:jc w:val="center"/>
              <w:rPr>
                <w:rFonts w:hint="eastAsia" w:ascii="宋体" w:hAnsi="宋体" w:cs="宋体"/>
                <w:b/>
                <w:bCs/>
                <w:sz w:val="22"/>
                <w:szCs w:val="22"/>
              </w:rPr>
            </w:pPr>
          </w:p>
        </w:tc>
      </w:tr>
      <w:tr w14:paraId="586930D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80" w:type="dxa"/>
            <w:tcBorders>
              <w:top w:val="single" w:color="auto" w:sz="4" w:space="0"/>
              <w:left w:val="single" w:color="auto" w:sz="12" w:space="0"/>
              <w:right w:val="single" w:color="auto" w:sz="4" w:space="0"/>
            </w:tcBorders>
            <w:noWrap/>
            <w:vAlign w:val="center"/>
          </w:tcPr>
          <w:p w14:paraId="76E834D6">
            <w:pPr>
              <w:spacing w:line="380" w:lineRule="exact"/>
              <w:jc w:val="center"/>
              <w:rPr>
                <w:rFonts w:hint="eastAsia" w:ascii="宋体" w:hAnsi="宋体" w:cs="宋体"/>
                <w:b/>
                <w:bCs/>
                <w:sz w:val="22"/>
                <w:szCs w:val="22"/>
              </w:rPr>
            </w:pPr>
          </w:p>
        </w:tc>
        <w:tc>
          <w:tcPr>
            <w:tcW w:w="2192" w:type="dxa"/>
            <w:tcBorders>
              <w:top w:val="single" w:color="auto" w:sz="4" w:space="0"/>
              <w:left w:val="single" w:color="auto" w:sz="4" w:space="0"/>
              <w:right w:val="single" w:color="auto" w:sz="4" w:space="0"/>
            </w:tcBorders>
            <w:noWrap/>
            <w:vAlign w:val="center"/>
          </w:tcPr>
          <w:p w14:paraId="71A569F9">
            <w:pPr>
              <w:spacing w:line="380" w:lineRule="exact"/>
              <w:jc w:val="center"/>
              <w:rPr>
                <w:rFonts w:hint="eastAsia" w:ascii="宋体" w:hAnsi="宋体" w:cs="宋体"/>
                <w:b/>
                <w:bCs/>
                <w:sz w:val="22"/>
                <w:szCs w:val="22"/>
              </w:rPr>
            </w:pPr>
          </w:p>
        </w:tc>
        <w:tc>
          <w:tcPr>
            <w:tcW w:w="1636" w:type="dxa"/>
            <w:tcBorders>
              <w:top w:val="single" w:color="auto" w:sz="4" w:space="0"/>
              <w:left w:val="single" w:color="auto" w:sz="4" w:space="0"/>
              <w:right w:val="single" w:color="auto" w:sz="4" w:space="0"/>
            </w:tcBorders>
            <w:noWrap/>
            <w:vAlign w:val="center"/>
          </w:tcPr>
          <w:p w14:paraId="54807C44">
            <w:pPr>
              <w:spacing w:line="380" w:lineRule="exact"/>
              <w:jc w:val="center"/>
              <w:rPr>
                <w:rFonts w:hint="eastAsia" w:ascii="宋体" w:hAnsi="宋体" w:cs="宋体"/>
                <w:b/>
                <w:bCs/>
                <w:sz w:val="22"/>
                <w:szCs w:val="22"/>
              </w:rPr>
            </w:pPr>
          </w:p>
        </w:tc>
        <w:tc>
          <w:tcPr>
            <w:tcW w:w="1260" w:type="dxa"/>
            <w:tcBorders>
              <w:top w:val="single" w:color="auto" w:sz="4" w:space="0"/>
              <w:left w:val="single" w:color="auto" w:sz="4" w:space="0"/>
              <w:right w:val="single" w:color="auto" w:sz="4" w:space="0"/>
            </w:tcBorders>
            <w:noWrap/>
            <w:vAlign w:val="center"/>
          </w:tcPr>
          <w:p w14:paraId="2E65F43E">
            <w:pPr>
              <w:spacing w:line="380" w:lineRule="exact"/>
              <w:jc w:val="center"/>
              <w:rPr>
                <w:rFonts w:hint="eastAsia" w:ascii="宋体" w:hAnsi="宋体" w:cs="宋体"/>
                <w:b/>
                <w:bCs/>
                <w:sz w:val="22"/>
                <w:szCs w:val="22"/>
              </w:rPr>
            </w:pPr>
          </w:p>
        </w:tc>
        <w:tc>
          <w:tcPr>
            <w:tcW w:w="1345" w:type="dxa"/>
            <w:tcBorders>
              <w:top w:val="single" w:color="auto" w:sz="4" w:space="0"/>
              <w:left w:val="single" w:color="auto" w:sz="4" w:space="0"/>
              <w:right w:val="single" w:color="auto" w:sz="4" w:space="0"/>
            </w:tcBorders>
            <w:noWrap/>
            <w:vAlign w:val="center"/>
          </w:tcPr>
          <w:p w14:paraId="676804CB">
            <w:pPr>
              <w:spacing w:line="380" w:lineRule="exact"/>
              <w:jc w:val="center"/>
              <w:rPr>
                <w:rFonts w:hint="eastAsia" w:ascii="宋体" w:hAnsi="宋体" w:cs="宋体"/>
                <w:b/>
                <w:bCs/>
                <w:sz w:val="22"/>
                <w:szCs w:val="22"/>
              </w:rPr>
            </w:pPr>
          </w:p>
        </w:tc>
        <w:tc>
          <w:tcPr>
            <w:tcW w:w="1568" w:type="dxa"/>
            <w:tcBorders>
              <w:top w:val="single" w:color="auto" w:sz="4" w:space="0"/>
              <w:left w:val="single" w:color="auto" w:sz="4" w:space="0"/>
              <w:right w:val="single" w:color="auto" w:sz="12" w:space="0"/>
            </w:tcBorders>
            <w:noWrap/>
            <w:vAlign w:val="center"/>
          </w:tcPr>
          <w:p w14:paraId="534CC5AC">
            <w:pPr>
              <w:spacing w:line="380" w:lineRule="exact"/>
              <w:jc w:val="center"/>
              <w:rPr>
                <w:rFonts w:hint="eastAsia" w:ascii="宋体" w:hAnsi="宋体" w:cs="宋体"/>
                <w:b/>
                <w:bCs/>
                <w:sz w:val="22"/>
                <w:szCs w:val="22"/>
              </w:rPr>
            </w:pPr>
          </w:p>
        </w:tc>
      </w:tr>
      <w:tr w14:paraId="1FCDBFD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80" w:type="dxa"/>
            <w:tcBorders>
              <w:top w:val="single" w:color="auto" w:sz="4" w:space="0"/>
              <w:left w:val="single" w:color="auto" w:sz="12" w:space="0"/>
              <w:right w:val="single" w:color="auto" w:sz="4" w:space="0"/>
            </w:tcBorders>
            <w:noWrap/>
            <w:vAlign w:val="center"/>
          </w:tcPr>
          <w:p w14:paraId="54016464">
            <w:pPr>
              <w:spacing w:line="380" w:lineRule="exact"/>
              <w:jc w:val="center"/>
              <w:rPr>
                <w:rFonts w:hint="eastAsia" w:ascii="宋体" w:hAnsi="宋体" w:cs="宋体"/>
                <w:b/>
                <w:bCs/>
                <w:sz w:val="22"/>
                <w:szCs w:val="22"/>
              </w:rPr>
            </w:pPr>
          </w:p>
        </w:tc>
        <w:tc>
          <w:tcPr>
            <w:tcW w:w="2192" w:type="dxa"/>
            <w:tcBorders>
              <w:top w:val="single" w:color="auto" w:sz="4" w:space="0"/>
              <w:left w:val="single" w:color="auto" w:sz="4" w:space="0"/>
              <w:right w:val="single" w:color="auto" w:sz="4" w:space="0"/>
            </w:tcBorders>
            <w:noWrap/>
            <w:vAlign w:val="center"/>
          </w:tcPr>
          <w:p w14:paraId="1F7BB110">
            <w:pPr>
              <w:spacing w:line="380" w:lineRule="exact"/>
              <w:jc w:val="center"/>
              <w:rPr>
                <w:rFonts w:hint="eastAsia" w:ascii="宋体" w:hAnsi="宋体" w:cs="宋体"/>
                <w:b/>
                <w:bCs/>
                <w:sz w:val="22"/>
                <w:szCs w:val="22"/>
              </w:rPr>
            </w:pPr>
          </w:p>
        </w:tc>
        <w:tc>
          <w:tcPr>
            <w:tcW w:w="1636" w:type="dxa"/>
            <w:tcBorders>
              <w:top w:val="single" w:color="auto" w:sz="4" w:space="0"/>
              <w:left w:val="single" w:color="auto" w:sz="4" w:space="0"/>
              <w:right w:val="single" w:color="auto" w:sz="4" w:space="0"/>
            </w:tcBorders>
            <w:noWrap/>
            <w:vAlign w:val="center"/>
          </w:tcPr>
          <w:p w14:paraId="5AC5F21A">
            <w:pPr>
              <w:spacing w:line="380" w:lineRule="exact"/>
              <w:jc w:val="center"/>
              <w:rPr>
                <w:rFonts w:hint="eastAsia" w:ascii="宋体" w:hAnsi="宋体" w:cs="宋体"/>
                <w:b/>
                <w:bCs/>
                <w:sz w:val="22"/>
                <w:szCs w:val="22"/>
              </w:rPr>
            </w:pPr>
          </w:p>
        </w:tc>
        <w:tc>
          <w:tcPr>
            <w:tcW w:w="1260" w:type="dxa"/>
            <w:tcBorders>
              <w:top w:val="single" w:color="auto" w:sz="4" w:space="0"/>
              <w:left w:val="single" w:color="auto" w:sz="4" w:space="0"/>
              <w:right w:val="single" w:color="auto" w:sz="4" w:space="0"/>
            </w:tcBorders>
            <w:noWrap/>
            <w:vAlign w:val="center"/>
          </w:tcPr>
          <w:p w14:paraId="77F9883A">
            <w:pPr>
              <w:spacing w:line="380" w:lineRule="exact"/>
              <w:jc w:val="center"/>
              <w:rPr>
                <w:rFonts w:hint="eastAsia" w:ascii="宋体" w:hAnsi="宋体" w:cs="宋体"/>
                <w:b/>
                <w:bCs/>
                <w:sz w:val="22"/>
                <w:szCs w:val="22"/>
              </w:rPr>
            </w:pPr>
          </w:p>
        </w:tc>
        <w:tc>
          <w:tcPr>
            <w:tcW w:w="1345" w:type="dxa"/>
            <w:tcBorders>
              <w:top w:val="single" w:color="auto" w:sz="4" w:space="0"/>
              <w:left w:val="single" w:color="auto" w:sz="4" w:space="0"/>
              <w:right w:val="single" w:color="auto" w:sz="4" w:space="0"/>
            </w:tcBorders>
            <w:noWrap/>
            <w:vAlign w:val="center"/>
          </w:tcPr>
          <w:p w14:paraId="64DAA6B3">
            <w:pPr>
              <w:spacing w:line="380" w:lineRule="exact"/>
              <w:jc w:val="center"/>
              <w:rPr>
                <w:rFonts w:hint="eastAsia" w:ascii="宋体" w:hAnsi="宋体" w:cs="宋体"/>
                <w:b/>
                <w:bCs/>
                <w:sz w:val="22"/>
                <w:szCs w:val="22"/>
              </w:rPr>
            </w:pPr>
          </w:p>
        </w:tc>
        <w:tc>
          <w:tcPr>
            <w:tcW w:w="1568" w:type="dxa"/>
            <w:tcBorders>
              <w:top w:val="single" w:color="auto" w:sz="4" w:space="0"/>
              <w:left w:val="single" w:color="auto" w:sz="4" w:space="0"/>
              <w:right w:val="single" w:color="auto" w:sz="12" w:space="0"/>
            </w:tcBorders>
            <w:noWrap/>
            <w:vAlign w:val="center"/>
          </w:tcPr>
          <w:p w14:paraId="468DFBE3">
            <w:pPr>
              <w:spacing w:line="380" w:lineRule="exact"/>
              <w:jc w:val="center"/>
              <w:rPr>
                <w:rFonts w:hint="eastAsia" w:ascii="宋体" w:hAnsi="宋体" w:cs="宋体"/>
                <w:b/>
                <w:bCs/>
                <w:sz w:val="22"/>
                <w:szCs w:val="22"/>
              </w:rPr>
            </w:pPr>
          </w:p>
        </w:tc>
      </w:tr>
      <w:tr w14:paraId="2B035EA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80" w:type="dxa"/>
            <w:tcBorders>
              <w:top w:val="single" w:color="auto" w:sz="4" w:space="0"/>
              <w:left w:val="single" w:color="auto" w:sz="12" w:space="0"/>
              <w:right w:val="single" w:color="auto" w:sz="4" w:space="0"/>
            </w:tcBorders>
            <w:noWrap/>
            <w:vAlign w:val="center"/>
          </w:tcPr>
          <w:p w14:paraId="5243AF9F">
            <w:pPr>
              <w:spacing w:line="380" w:lineRule="exact"/>
              <w:jc w:val="center"/>
              <w:rPr>
                <w:rFonts w:hint="eastAsia" w:ascii="宋体" w:hAnsi="宋体" w:cs="宋体"/>
                <w:b/>
                <w:bCs/>
                <w:sz w:val="22"/>
                <w:szCs w:val="22"/>
              </w:rPr>
            </w:pPr>
          </w:p>
        </w:tc>
        <w:tc>
          <w:tcPr>
            <w:tcW w:w="2192" w:type="dxa"/>
            <w:tcBorders>
              <w:top w:val="single" w:color="auto" w:sz="4" w:space="0"/>
              <w:left w:val="single" w:color="auto" w:sz="4" w:space="0"/>
              <w:right w:val="single" w:color="auto" w:sz="4" w:space="0"/>
            </w:tcBorders>
            <w:noWrap/>
            <w:vAlign w:val="center"/>
          </w:tcPr>
          <w:p w14:paraId="259E2262">
            <w:pPr>
              <w:spacing w:line="380" w:lineRule="exact"/>
              <w:jc w:val="center"/>
              <w:rPr>
                <w:rFonts w:hint="eastAsia" w:ascii="宋体" w:hAnsi="宋体" w:cs="宋体"/>
                <w:b/>
                <w:bCs/>
                <w:sz w:val="22"/>
                <w:szCs w:val="22"/>
              </w:rPr>
            </w:pPr>
          </w:p>
        </w:tc>
        <w:tc>
          <w:tcPr>
            <w:tcW w:w="1636" w:type="dxa"/>
            <w:tcBorders>
              <w:top w:val="single" w:color="auto" w:sz="4" w:space="0"/>
              <w:left w:val="single" w:color="auto" w:sz="4" w:space="0"/>
              <w:right w:val="single" w:color="auto" w:sz="4" w:space="0"/>
            </w:tcBorders>
            <w:noWrap/>
            <w:vAlign w:val="center"/>
          </w:tcPr>
          <w:p w14:paraId="5740D95F">
            <w:pPr>
              <w:spacing w:line="380" w:lineRule="exact"/>
              <w:jc w:val="center"/>
              <w:rPr>
                <w:rFonts w:hint="eastAsia" w:ascii="宋体" w:hAnsi="宋体" w:cs="宋体"/>
                <w:b/>
                <w:bCs/>
                <w:sz w:val="22"/>
                <w:szCs w:val="22"/>
              </w:rPr>
            </w:pPr>
          </w:p>
        </w:tc>
        <w:tc>
          <w:tcPr>
            <w:tcW w:w="1260" w:type="dxa"/>
            <w:tcBorders>
              <w:top w:val="single" w:color="auto" w:sz="4" w:space="0"/>
              <w:left w:val="single" w:color="auto" w:sz="4" w:space="0"/>
              <w:right w:val="single" w:color="auto" w:sz="4" w:space="0"/>
            </w:tcBorders>
            <w:noWrap/>
            <w:vAlign w:val="center"/>
          </w:tcPr>
          <w:p w14:paraId="341AB5CB">
            <w:pPr>
              <w:spacing w:line="380" w:lineRule="exact"/>
              <w:jc w:val="center"/>
              <w:rPr>
                <w:rFonts w:hint="eastAsia" w:ascii="宋体" w:hAnsi="宋体" w:cs="宋体"/>
                <w:b/>
                <w:bCs/>
                <w:sz w:val="22"/>
                <w:szCs w:val="22"/>
              </w:rPr>
            </w:pPr>
          </w:p>
        </w:tc>
        <w:tc>
          <w:tcPr>
            <w:tcW w:w="1345" w:type="dxa"/>
            <w:tcBorders>
              <w:top w:val="single" w:color="auto" w:sz="4" w:space="0"/>
              <w:left w:val="single" w:color="auto" w:sz="4" w:space="0"/>
              <w:right w:val="single" w:color="auto" w:sz="4" w:space="0"/>
            </w:tcBorders>
            <w:noWrap/>
            <w:vAlign w:val="center"/>
          </w:tcPr>
          <w:p w14:paraId="261B1043">
            <w:pPr>
              <w:spacing w:line="380" w:lineRule="exact"/>
              <w:jc w:val="center"/>
              <w:rPr>
                <w:rFonts w:hint="eastAsia" w:ascii="宋体" w:hAnsi="宋体" w:cs="宋体"/>
                <w:b/>
                <w:bCs/>
                <w:sz w:val="22"/>
                <w:szCs w:val="22"/>
              </w:rPr>
            </w:pPr>
          </w:p>
        </w:tc>
        <w:tc>
          <w:tcPr>
            <w:tcW w:w="1568" w:type="dxa"/>
            <w:tcBorders>
              <w:top w:val="single" w:color="auto" w:sz="4" w:space="0"/>
              <w:left w:val="single" w:color="auto" w:sz="4" w:space="0"/>
              <w:right w:val="single" w:color="auto" w:sz="12" w:space="0"/>
            </w:tcBorders>
            <w:noWrap/>
            <w:vAlign w:val="center"/>
          </w:tcPr>
          <w:p w14:paraId="52E51027">
            <w:pPr>
              <w:spacing w:line="380" w:lineRule="exact"/>
              <w:jc w:val="center"/>
              <w:rPr>
                <w:rFonts w:hint="eastAsia" w:ascii="宋体" w:hAnsi="宋体" w:cs="宋体"/>
                <w:b/>
                <w:bCs/>
                <w:sz w:val="22"/>
                <w:szCs w:val="22"/>
              </w:rPr>
            </w:pPr>
          </w:p>
        </w:tc>
      </w:tr>
      <w:tr w14:paraId="2C8F5F4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80" w:type="dxa"/>
            <w:tcBorders>
              <w:top w:val="single" w:color="auto" w:sz="4" w:space="0"/>
              <w:left w:val="single" w:color="auto" w:sz="12" w:space="0"/>
              <w:right w:val="single" w:color="auto" w:sz="4" w:space="0"/>
            </w:tcBorders>
            <w:noWrap/>
            <w:vAlign w:val="center"/>
          </w:tcPr>
          <w:p w14:paraId="452281C4">
            <w:pPr>
              <w:spacing w:line="380" w:lineRule="exact"/>
              <w:jc w:val="center"/>
              <w:rPr>
                <w:rFonts w:hint="eastAsia" w:ascii="宋体" w:hAnsi="宋体" w:cs="宋体"/>
                <w:b/>
                <w:bCs/>
                <w:sz w:val="22"/>
                <w:szCs w:val="22"/>
              </w:rPr>
            </w:pPr>
          </w:p>
        </w:tc>
        <w:tc>
          <w:tcPr>
            <w:tcW w:w="2192" w:type="dxa"/>
            <w:tcBorders>
              <w:top w:val="single" w:color="auto" w:sz="4" w:space="0"/>
              <w:left w:val="single" w:color="auto" w:sz="4" w:space="0"/>
              <w:right w:val="single" w:color="auto" w:sz="4" w:space="0"/>
            </w:tcBorders>
            <w:noWrap/>
            <w:vAlign w:val="center"/>
          </w:tcPr>
          <w:p w14:paraId="56006779">
            <w:pPr>
              <w:spacing w:line="380" w:lineRule="exact"/>
              <w:jc w:val="center"/>
              <w:rPr>
                <w:rFonts w:hint="eastAsia" w:ascii="宋体" w:hAnsi="宋体" w:cs="宋体"/>
                <w:b/>
                <w:bCs/>
                <w:sz w:val="22"/>
                <w:szCs w:val="22"/>
              </w:rPr>
            </w:pPr>
          </w:p>
        </w:tc>
        <w:tc>
          <w:tcPr>
            <w:tcW w:w="1636" w:type="dxa"/>
            <w:tcBorders>
              <w:top w:val="single" w:color="auto" w:sz="4" w:space="0"/>
              <w:left w:val="single" w:color="auto" w:sz="4" w:space="0"/>
              <w:right w:val="single" w:color="auto" w:sz="4" w:space="0"/>
            </w:tcBorders>
            <w:noWrap/>
            <w:vAlign w:val="center"/>
          </w:tcPr>
          <w:p w14:paraId="0E8EC7C4">
            <w:pPr>
              <w:spacing w:line="380" w:lineRule="exact"/>
              <w:jc w:val="center"/>
              <w:rPr>
                <w:rFonts w:hint="eastAsia" w:ascii="宋体" w:hAnsi="宋体" w:cs="宋体"/>
                <w:b/>
                <w:bCs/>
                <w:sz w:val="22"/>
                <w:szCs w:val="22"/>
              </w:rPr>
            </w:pPr>
          </w:p>
        </w:tc>
        <w:tc>
          <w:tcPr>
            <w:tcW w:w="1260" w:type="dxa"/>
            <w:tcBorders>
              <w:top w:val="single" w:color="auto" w:sz="4" w:space="0"/>
              <w:left w:val="single" w:color="auto" w:sz="4" w:space="0"/>
              <w:right w:val="single" w:color="auto" w:sz="4" w:space="0"/>
            </w:tcBorders>
            <w:noWrap/>
            <w:vAlign w:val="center"/>
          </w:tcPr>
          <w:p w14:paraId="3A0FB26F">
            <w:pPr>
              <w:spacing w:line="380" w:lineRule="exact"/>
              <w:jc w:val="center"/>
              <w:rPr>
                <w:rFonts w:hint="eastAsia" w:ascii="宋体" w:hAnsi="宋体" w:cs="宋体"/>
                <w:b/>
                <w:bCs/>
                <w:sz w:val="22"/>
                <w:szCs w:val="22"/>
              </w:rPr>
            </w:pPr>
          </w:p>
        </w:tc>
        <w:tc>
          <w:tcPr>
            <w:tcW w:w="1345" w:type="dxa"/>
            <w:tcBorders>
              <w:top w:val="single" w:color="auto" w:sz="4" w:space="0"/>
              <w:left w:val="single" w:color="auto" w:sz="4" w:space="0"/>
              <w:right w:val="single" w:color="auto" w:sz="4" w:space="0"/>
            </w:tcBorders>
            <w:noWrap/>
            <w:vAlign w:val="center"/>
          </w:tcPr>
          <w:p w14:paraId="26B77DD6">
            <w:pPr>
              <w:spacing w:line="380" w:lineRule="exact"/>
              <w:jc w:val="center"/>
              <w:rPr>
                <w:rFonts w:hint="eastAsia" w:ascii="宋体" w:hAnsi="宋体" w:cs="宋体"/>
                <w:b/>
                <w:bCs/>
                <w:sz w:val="22"/>
                <w:szCs w:val="22"/>
              </w:rPr>
            </w:pPr>
          </w:p>
        </w:tc>
        <w:tc>
          <w:tcPr>
            <w:tcW w:w="1568" w:type="dxa"/>
            <w:tcBorders>
              <w:top w:val="single" w:color="auto" w:sz="4" w:space="0"/>
              <w:left w:val="single" w:color="auto" w:sz="4" w:space="0"/>
              <w:right w:val="single" w:color="auto" w:sz="12" w:space="0"/>
            </w:tcBorders>
            <w:noWrap/>
            <w:vAlign w:val="center"/>
          </w:tcPr>
          <w:p w14:paraId="7F1DC018">
            <w:pPr>
              <w:spacing w:line="380" w:lineRule="exact"/>
              <w:jc w:val="center"/>
              <w:rPr>
                <w:rFonts w:hint="eastAsia" w:ascii="宋体" w:hAnsi="宋体" w:cs="宋体"/>
                <w:b/>
                <w:bCs/>
                <w:sz w:val="22"/>
                <w:szCs w:val="22"/>
              </w:rPr>
            </w:pPr>
          </w:p>
        </w:tc>
      </w:tr>
      <w:tr w14:paraId="552FC43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80" w:type="dxa"/>
            <w:tcBorders>
              <w:top w:val="single" w:color="auto" w:sz="4" w:space="0"/>
              <w:left w:val="single" w:color="auto" w:sz="12" w:space="0"/>
              <w:right w:val="single" w:color="auto" w:sz="4" w:space="0"/>
            </w:tcBorders>
            <w:noWrap/>
            <w:vAlign w:val="center"/>
          </w:tcPr>
          <w:p w14:paraId="219D2260">
            <w:pPr>
              <w:spacing w:line="380" w:lineRule="exact"/>
              <w:jc w:val="center"/>
              <w:rPr>
                <w:rFonts w:hint="eastAsia" w:ascii="宋体" w:hAnsi="宋体" w:cs="宋体"/>
                <w:b/>
                <w:bCs/>
                <w:sz w:val="22"/>
                <w:szCs w:val="22"/>
              </w:rPr>
            </w:pPr>
          </w:p>
        </w:tc>
        <w:tc>
          <w:tcPr>
            <w:tcW w:w="2192" w:type="dxa"/>
            <w:tcBorders>
              <w:top w:val="single" w:color="auto" w:sz="4" w:space="0"/>
              <w:left w:val="single" w:color="auto" w:sz="4" w:space="0"/>
              <w:right w:val="single" w:color="auto" w:sz="4" w:space="0"/>
            </w:tcBorders>
            <w:noWrap/>
            <w:vAlign w:val="center"/>
          </w:tcPr>
          <w:p w14:paraId="53479E23">
            <w:pPr>
              <w:spacing w:line="380" w:lineRule="exact"/>
              <w:jc w:val="center"/>
              <w:rPr>
                <w:rFonts w:hint="eastAsia" w:ascii="宋体" w:hAnsi="宋体" w:cs="宋体"/>
                <w:b/>
                <w:bCs/>
                <w:sz w:val="22"/>
                <w:szCs w:val="22"/>
              </w:rPr>
            </w:pPr>
          </w:p>
        </w:tc>
        <w:tc>
          <w:tcPr>
            <w:tcW w:w="1636" w:type="dxa"/>
            <w:tcBorders>
              <w:top w:val="single" w:color="auto" w:sz="4" w:space="0"/>
              <w:left w:val="single" w:color="auto" w:sz="4" w:space="0"/>
              <w:right w:val="single" w:color="auto" w:sz="4" w:space="0"/>
            </w:tcBorders>
            <w:noWrap/>
            <w:vAlign w:val="center"/>
          </w:tcPr>
          <w:p w14:paraId="08C0D1E2">
            <w:pPr>
              <w:spacing w:line="380" w:lineRule="exact"/>
              <w:jc w:val="center"/>
              <w:rPr>
                <w:rFonts w:hint="eastAsia" w:ascii="宋体" w:hAnsi="宋体" w:cs="宋体"/>
                <w:b/>
                <w:bCs/>
                <w:sz w:val="22"/>
                <w:szCs w:val="22"/>
              </w:rPr>
            </w:pPr>
          </w:p>
        </w:tc>
        <w:tc>
          <w:tcPr>
            <w:tcW w:w="1260" w:type="dxa"/>
            <w:tcBorders>
              <w:top w:val="single" w:color="auto" w:sz="4" w:space="0"/>
              <w:left w:val="single" w:color="auto" w:sz="4" w:space="0"/>
              <w:right w:val="single" w:color="auto" w:sz="4" w:space="0"/>
            </w:tcBorders>
            <w:noWrap/>
            <w:vAlign w:val="center"/>
          </w:tcPr>
          <w:p w14:paraId="5AFC07D4">
            <w:pPr>
              <w:spacing w:line="380" w:lineRule="exact"/>
              <w:jc w:val="center"/>
              <w:rPr>
                <w:rFonts w:hint="eastAsia" w:ascii="宋体" w:hAnsi="宋体" w:cs="宋体"/>
                <w:b/>
                <w:bCs/>
                <w:sz w:val="22"/>
                <w:szCs w:val="22"/>
              </w:rPr>
            </w:pPr>
          </w:p>
        </w:tc>
        <w:tc>
          <w:tcPr>
            <w:tcW w:w="1345" w:type="dxa"/>
            <w:tcBorders>
              <w:top w:val="single" w:color="auto" w:sz="4" w:space="0"/>
              <w:left w:val="single" w:color="auto" w:sz="4" w:space="0"/>
              <w:right w:val="single" w:color="auto" w:sz="4" w:space="0"/>
            </w:tcBorders>
            <w:noWrap/>
            <w:vAlign w:val="center"/>
          </w:tcPr>
          <w:p w14:paraId="059B697B">
            <w:pPr>
              <w:spacing w:line="380" w:lineRule="exact"/>
              <w:jc w:val="center"/>
              <w:rPr>
                <w:rFonts w:hint="eastAsia" w:ascii="宋体" w:hAnsi="宋体" w:cs="宋体"/>
                <w:b/>
                <w:bCs/>
                <w:sz w:val="22"/>
                <w:szCs w:val="22"/>
              </w:rPr>
            </w:pPr>
          </w:p>
        </w:tc>
        <w:tc>
          <w:tcPr>
            <w:tcW w:w="1568" w:type="dxa"/>
            <w:tcBorders>
              <w:top w:val="single" w:color="auto" w:sz="4" w:space="0"/>
              <w:left w:val="single" w:color="auto" w:sz="4" w:space="0"/>
              <w:right w:val="single" w:color="auto" w:sz="12" w:space="0"/>
            </w:tcBorders>
            <w:noWrap/>
            <w:vAlign w:val="center"/>
          </w:tcPr>
          <w:p w14:paraId="65215949">
            <w:pPr>
              <w:spacing w:line="380" w:lineRule="exact"/>
              <w:jc w:val="center"/>
              <w:rPr>
                <w:rFonts w:hint="eastAsia" w:ascii="宋体" w:hAnsi="宋体" w:cs="宋体"/>
                <w:b/>
                <w:bCs/>
                <w:sz w:val="22"/>
                <w:szCs w:val="22"/>
              </w:rPr>
            </w:pPr>
          </w:p>
        </w:tc>
      </w:tr>
      <w:tr w14:paraId="0ACEC84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80" w:type="dxa"/>
            <w:tcBorders>
              <w:top w:val="single" w:color="auto" w:sz="4" w:space="0"/>
              <w:left w:val="single" w:color="auto" w:sz="12" w:space="0"/>
              <w:right w:val="single" w:color="auto" w:sz="4" w:space="0"/>
            </w:tcBorders>
            <w:noWrap/>
            <w:vAlign w:val="center"/>
          </w:tcPr>
          <w:p w14:paraId="3838F8DA">
            <w:pPr>
              <w:spacing w:line="380" w:lineRule="exact"/>
              <w:jc w:val="center"/>
              <w:rPr>
                <w:rFonts w:hint="eastAsia" w:ascii="宋体" w:hAnsi="宋体" w:cs="宋体"/>
                <w:b/>
                <w:bCs/>
                <w:sz w:val="22"/>
                <w:szCs w:val="22"/>
              </w:rPr>
            </w:pPr>
          </w:p>
        </w:tc>
        <w:tc>
          <w:tcPr>
            <w:tcW w:w="2192" w:type="dxa"/>
            <w:tcBorders>
              <w:top w:val="single" w:color="auto" w:sz="4" w:space="0"/>
              <w:left w:val="single" w:color="auto" w:sz="4" w:space="0"/>
              <w:right w:val="single" w:color="auto" w:sz="4" w:space="0"/>
            </w:tcBorders>
            <w:noWrap/>
            <w:vAlign w:val="center"/>
          </w:tcPr>
          <w:p w14:paraId="6E2337A1">
            <w:pPr>
              <w:spacing w:line="380" w:lineRule="exact"/>
              <w:jc w:val="center"/>
              <w:rPr>
                <w:rFonts w:hint="eastAsia" w:ascii="宋体" w:hAnsi="宋体" w:cs="宋体"/>
                <w:b/>
                <w:bCs/>
                <w:sz w:val="22"/>
                <w:szCs w:val="22"/>
              </w:rPr>
            </w:pPr>
          </w:p>
        </w:tc>
        <w:tc>
          <w:tcPr>
            <w:tcW w:w="1636" w:type="dxa"/>
            <w:tcBorders>
              <w:top w:val="single" w:color="auto" w:sz="4" w:space="0"/>
              <w:left w:val="single" w:color="auto" w:sz="4" w:space="0"/>
              <w:right w:val="single" w:color="auto" w:sz="4" w:space="0"/>
            </w:tcBorders>
            <w:noWrap/>
            <w:vAlign w:val="center"/>
          </w:tcPr>
          <w:p w14:paraId="31DA0C61">
            <w:pPr>
              <w:spacing w:line="380" w:lineRule="exact"/>
              <w:jc w:val="center"/>
              <w:rPr>
                <w:rFonts w:hint="eastAsia" w:ascii="宋体" w:hAnsi="宋体" w:cs="宋体"/>
                <w:b/>
                <w:bCs/>
                <w:sz w:val="22"/>
                <w:szCs w:val="22"/>
              </w:rPr>
            </w:pPr>
          </w:p>
        </w:tc>
        <w:tc>
          <w:tcPr>
            <w:tcW w:w="1260" w:type="dxa"/>
            <w:tcBorders>
              <w:top w:val="single" w:color="auto" w:sz="4" w:space="0"/>
              <w:left w:val="single" w:color="auto" w:sz="4" w:space="0"/>
              <w:right w:val="single" w:color="auto" w:sz="4" w:space="0"/>
            </w:tcBorders>
            <w:noWrap/>
            <w:vAlign w:val="center"/>
          </w:tcPr>
          <w:p w14:paraId="3A9FB45C">
            <w:pPr>
              <w:spacing w:line="380" w:lineRule="exact"/>
              <w:jc w:val="center"/>
              <w:rPr>
                <w:rFonts w:hint="eastAsia" w:ascii="宋体" w:hAnsi="宋体" w:cs="宋体"/>
                <w:b/>
                <w:bCs/>
                <w:sz w:val="22"/>
                <w:szCs w:val="22"/>
              </w:rPr>
            </w:pPr>
          </w:p>
        </w:tc>
        <w:tc>
          <w:tcPr>
            <w:tcW w:w="1345" w:type="dxa"/>
            <w:tcBorders>
              <w:top w:val="single" w:color="auto" w:sz="4" w:space="0"/>
              <w:left w:val="single" w:color="auto" w:sz="4" w:space="0"/>
              <w:right w:val="single" w:color="auto" w:sz="4" w:space="0"/>
            </w:tcBorders>
            <w:noWrap/>
            <w:vAlign w:val="center"/>
          </w:tcPr>
          <w:p w14:paraId="1B71D370">
            <w:pPr>
              <w:spacing w:line="380" w:lineRule="exact"/>
              <w:jc w:val="center"/>
              <w:rPr>
                <w:rFonts w:hint="eastAsia" w:ascii="宋体" w:hAnsi="宋体" w:cs="宋体"/>
                <w:b/>
                <w:bCs/>
                <w:sz w:val="22"/>
                <w:szCs w:val="22"/>
              </w:rPr>
            </w:pPr>
          </w:p>
        </w:tc>
        <w:tc>
          <w:tcPr>
            <w:tcW w:w="1568" w:type="dxa"/>
            <w:tcBorders>
              <w:top w:val="single" w:color="auto" w:sz="4" w:space="0"/>
              <w:left w:val="single" w:color="auto" w:sz="4" w:space="0"/>
              <w:right w:val="single" w:color="auto" w:sz="12" w:space="0"/>
            </w:tcBorders>
            <w:noWrap/>
            <w:vAlign w:val="center"/>
          </w:tcPr>
          <w:p w14:paraId="7827D861">
            <w:pPr>
              <w:spacing w:line="380" w:lineRule="exact"/>
              <w:jc w:val="center"/>
              <w:rPr>
                <w:rFonts w:hint="eastAsia" w:ascii="宋体" w:hAnsi="宋体" w:cs="宋体"/>
                <w:b/>
                <w:bCs/>
                <w:sz w:val="22"/>
                <w:szCs w:val="22"/>
              </w:rPr>
            </w:pPr>
          </w:p>
        </w:tc>
      </w:tr>
      <w:tr w14:paraId="3C98555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80" w:type="dxa"/>
            <w:tcBorders>
              <w:top w:val="single" w:color="auto" w:sz="4" w:space="0"/>
              <w:left w:val="single" w:color="auto" w:sz="12" w:space="0"/>
              <w:right w:val="single" w:color="auto" w:sz="4" w:space="0"/>
            </w:tcBorders>
            <w:noWrap/>
            <w:vAlign w:val="center"/>
          </w:tcPr>
          <w:p w14:paraId="3D40560A">
            <w:pPr>
              <w:spacing w:line="380" w:lineRule="exact"/>
              <w:jc w:val="center"/>
              <w:rPr>
                <w:rFonts w:hint="eastAsia" w:ascii="宋体" w:hAnsi="宋体" w:cs="宋体"/>
                <w:b/>
                <w:bCs/>
                <w:sz w:val="22"/>
                <w:szCs w:val="22"/>
              </w:rPr>
            </w:pPr>
          </w:p>
        </w:tc>
        <w:tc>
          <w:tcPr>
            <w:tcW w:w="2192" w:type="dxa"/>
            <w:tcBorders>
              <w:top w:val="single" w:color="auto" w:sz="4" w:space="0"/>
              <w:left w:val="single" w:color="auto" w:sz="4" w:space="0"/>
              <w:right w:val="single" w:color="auto" w:sz="4" w:space="0"/>
            </w:tcBorders>
            <w:noWrap/>
            <w:vAlign w:val="center"/>
          </w:tcPr>
          <w:p w14:paraId="1A910E9F">
            <w:pPr>
              <w:spacing w:line="380" w:lineRule="exact"/>
              <w:jc w:val="center"/>
              <w:rPr>
                <w:rFonts w:hint="eastAsia" w:ascii="宋体" w:hAnsi="宋体" w:cs="宋体"/>
                <w:b/>
                <w:bCs/>
                <w:sz w:val="22"/>
                <w:szCs w:val="22"/>
              </w:rPr>
            </w:pPr>
          </w:p>
        </w:tc>
        <w:tc>
          <w:tcPr>
            <w:tcW w:w="1636" w:type="dxa"/>
            <w:tcBorders>
              <w:top w:val="single" w:color="auto" w:sz="4" w:space="0"/>
              <w:left w:val="single" w:color="auto" w:sz="4" w:space="0"/>
              <w:right w:val="single" w:color="auto" w:sz="4" w:space="0"/>
            </w:tcBorders>
            <w:noWrap/>
            <w:vAlign w:val="center"/>
          </w:tcPr>
          <w:p w14:paraId="112D5C8D">
            <w:pPr>
              <w:spacing w:line="380" w:lineRule="exact"/>
              <w:jc w:val="center"/>
              <w:rPr>
                <w:rFonts w:hint="eastAsia" w:ascii="宋体" w:hAnsi="宋体" w:cs="宋体"/>
                <w:b/>
                <w:bCs/>
                <w:sz w:val="22"/>
                <w:szCs w:val="22"/>
              </w:rPr>
            </w:pPr>
          </w:p>
        </w:tc>
        <w:tc>
          <w:tcPr>
            <w:tcW w:w="1260" w:type="dxa"/>
            <w:tcBorders>
              <w:top w:val="single" w:color="auto" w:sz="4" w:space="0"/>
              <w:left w:val="single" w:color="auto" w:sz="4" w:space="0"/>
              <w:right w:val="single" w:color="auto" w:sz="4" w:space="0"/>
            </w:tcBorders>
            <w:noWrap/>
            <w:vAlign w:val="center"/>
          </w:tcPr>
          <w:p w14:paraId="711C8CD6">
            <w:pPr>
              <w:spacing w:line="380" w:lineRule="exact"/>
              <w:jc w:val="center"/>
              <w:rPr>
                <w:rFonts w:hint="eastAsia" w:ascii="宋体" w:hAnsi="宋体" w:cs="宋体"/>
                <w:b/>
                <w:bCs/>
                <w:sz w:val="22"/>
                <w:szCs w:val="22"/>
              </w:rPr>
            </w:pPr>
          </w:p>
        </w:tc>
        <w:tc>
          <w:tcPr>
            <w:tcW w:w="1345" w:type="dxa"/>
            <w:tcBorders>
              <w:top w:val="single" w:color="auto" w:sz="4" w:space="0"/>
              <w:left w:val="single" w:color="auto" w:sz="4" w:space="0"/>
              <w:right w:val="single" w:color="auto" w:sz="4" w:space="0"/>
            </w:tcBorders>
            <w:noWrap/>
            <w:vAlign w:val="center"/>
          </w:tcPr>
          <w:p w14:paraId="7157E097">
            <w:pPr>
              <w:spacing w:line="380" w:lineRule="exact"/>
              <w:jc w:val="center"/>
              <w:rPr>
                <w:rFonts w:hint="eastAsia" w:ascii="宋体" w:hAnsi="宋体" w:cs="宋体"/>
                <w:b/>
                <w:bCs/>
                <w:sz w:val="22"/>
                <w:szCs w:val="22"/>
              </w:rPr>
            </w:pPr>
          </w:p>
        </w:tc>
        <w:tc>
          <w:tcPr>
            <w:tcW w:w="1568" w:type="dxa"/>
            <w:tcBorders>
              <w:top w:val="single" w:color="auto" w:sz="4" w:space="0"/>
              <w:left w:val="single" w:color="auto" w:sz="4" w:space="0"/>
              <w:right w:val="single" w:color="auto" w:sz="12" w:space="0"/>
            </w:tcBorders>
            <w:noWrap/>
            <w:vAlign w:val="center"/>
          </w:tcPr>
          <w:p w14:paraId="3922CF27">
            <w:pPr>
              <w:spacing w:line="380" w:lineRule="exact"/>
              <w:jc w:val="center"/>
              <w:rPr>
                <w:rFonts w:hint="eastAsia" w:ascii="宋体" w:hAnsi="宋体" w:cs="宋体"/>
                <w:b/>
                <w:bCs/>
                <w:sz w:val="22"/>
                <w:szCs w:val="22"/>
              </w:rPr>
            </w:pPr>
          </w:p>
        </w:tc>
      </w:tr>
      <w:tr w14:paraId="774C600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80" w:type="dxa"/>
            <w:tcBorders>
              <w:top w:val="single" w:color="auto" w:sz="4" w:space="0"/>
              <w:left w:val="single" w:color="auto" w:sz="12" w:space="0"/>
              <w:right w:val="single" w:color="auto" w:sz="4" w:space="0"/>
            </w:tcBorders>
            <w:noWrap/>
            <w:vAlign w:val="center"/>
          </w:tcPr>
          <w:p w14:paraId="1B0A54D4">
            <w:pPr>
              <w:spacing w:line="380" w:lineRule="exact"/>
              <w:jc w:val="center"/>
              <w:rPr>
                <w:rFonts w:hint="eastAsia" w:ascii="宋体" w:hAnsi="宋体" w:cs="宋体"/>
                <w:b/>
                <w:bCs/>
                <w:sz w:val="22"/>
                <w:szCs w:val="22"/>
              </w:rPr>
            </w:pPr>
          </w:p>
        </w:tc>
        <w:tc>
          <w:tcPr>
            <w:tcW w:w="2192" w:type="dxa"/>
            <w:tcBorders>
              <w:top w:val="single" w:color="auto" w:sz="4" w:space="0"/>
              <w:left w:val="single" w:color="auto" w:sz="4" w:space="0"/>
              <w:right w:val="single" w:color="auto" w:sz="4" w:space="0"/>
            </w:tcBorders>
            <w:noWrap/>
            <w:vAlign w:val="center"/>
          </w:tcPr>
          <w:p w14:paraId="537E86DD">
            <w:pPr>
              <w:spacing w:line="380" w:lineRule="exact"/>
              <w:jc w:val="center"/>
              <w:rPr>
                <w:rFonts w:hint="eastAsia" w:ascii="宋体" w:hAnsi="宋体" w:cs="宋体"/>
                <w:b/>
                <w:bCs/>
                <w:sz w:val="22"/>
                <w:szCs w:val="22"/>
              </w:rPr>
            </w:pPr>
          </w:p>
        </w:tc>
        <w:tc>
          <w:tcPr>
            <w:tcW w:w="1636" w:type="dxa"/>
            <w:tcBorders>
              <w:top w:val="single" w:color="auto" w:sz="4" w:space="0"/>
              <w:left w:val="single" w:color="auto" w:sz="4" w:space="0"/>
              <w:right w:val="single" w:color="auto" w:sz="4" w:space="0"/>
            </w:tcBorders>
            <w:noWrap/>
            <w:vAlign w:val="center"/>
          </w:tcPr>
          <w:p w14:paraId="43BA2CEA">
            <w:pPr>
              <w:spacing w:line="380" w:lineRule="exact"/>
              <w:jc w:val="center"/>
              <w:rPr>
                <w:rFonts w:hint="eastAsia" w:ascii="宋体" w:hAnsi="宋体" w:cs="宋体"/>
                <w:b/>
                <w:bCs/>
                <w:sz w:val="22"/>
                <w:szCs w:val="22"/>
              </w:rPr>
            </w:pPr>
          </w:p>
        </w:tc>
        <w:tc>
          <w:tcPr>
            <w:tcW w:w="1260" w:type="dxa"/>
            <w:tcBorders>
              <w:top w:val="single" w:color="auto" w:sz="4" w:space="0"/>
              <w:left w:val="single" w:color="auto" w:sz="4" w:space="0"/>
              <w:right w:val="single" w:color="auto" w:sz="4" w:space="0"/>
            </w:tcBorders>
            <w:noWrap/>
            <w:vAlign w:val="center"/>
          </w:tcPr>
          <w:p w14:paraId="2A6EE04F">
            <w:pPr>
              <w:spacing w:line="380" w:lineRule="exact"/>
              <w:jc w:val="center"/>
              <w:rPr>
                <w:rFonts w:hint="eastAsia" w:ascii="宋体" w:hAnsi="宋体" w:cs="宋体"/>
                <w:b/>
                <w:bCs/>
                <w:sz w:val="22"/>
                <w:szCs w:val="22"/>
              </w:rPr>
            </w:pPr>
          </w:p>
        </w:tc>
        <w:tc>
          <w:tcPr>
            <w:tcW w:w="1345" w:type="dxa"/>
            <w:tcBorders>
              <w:top w:val="single" w:color="auto" w:sz="4" w:space="0"/>
              <w:left w:val="single" w:color="auto" w:sz="4" w:space="0"/>
              <w:right w:val="single" w:color="auto" w:sz="4" w:space="0"/>
            </w:tcBorders>
            <w:noWrap/>
            <w:vAlign w:val="center"/>
          </w:tcPr>
          <w:p w14:paraId="248581DE">
            <w:pPr>
              <w:spacing w:line="380" w:lineRule="exact"/>
              <w:jc w:val="center"/>
              <w:rPr>
                <w:rFonts w:hint="eastAsia" w:ascii="宋体" w:hAnsi="宋体" w:cs="宋体"/>
                <w:b/>
                <w:bCs/>
                <w:sz w:val="22"/>
                <w:szCs w:val="22"/>
              </w:rPr>
            </w:pPr>
          </w:p>
        </w:tc>
        <w:tc>
          <w:tcPr>
            <w:tcW w:w="1568" w:type="dxa"/>
            <w:tcBorders>
              <w:top w:val="single" w:color="auto" w:sz="4" w:space="0"/>
              <w:left w:val="single" w:color="auto" w:sz="4" w:space="0"/>
              <w:right w:val="single" w:color="auto" w:sz="12" w:space="0"/>
            </w:tcBorders>
            <w:noWrap/>
            <w:vAlign w:val="center"/>
          </w:tcPr>
          <w:p w14:paraId="44737477">
            <w:pPr>
              <w:spacing w:line="380" w:lineRule="exact"/>
              <w:jc w:val="center"/>
              <w:rPr>
                <w:rFonts w:hint="eastAsia" w:ascii="宋体" w:hAnsi="宋体" w:cs="宋体"/>
                <w:b/>
                <w:bCs/>
                <w:sz w:val="22"/>
                <w:szCs w:val="22"/>
              </w:rPr>
            </w:pPr>
          </w:p>
        </w:tc>
      </w:tr>
    </w:tbl>
    <w:p w14:paraId="339A2569">
      <w:pPr>
        <w:spacing w:line="440" w:lineRule="exact"/>
        <w:rPr>
          <w:rFonts w:hint="eastAsia" w:ascii="宋体" w:hAnsi="宋体" w:cs="宋体"/>
          <w:b/>
          <w:sz w:val="22"/>
          <w:szCs w:val="22"/>
        </w:rPr>
      </w:pPr>
      <w:r>
        <w:rPr>
          <w:rFonts w:hint="eastAsia" w:ascii="宋体" w:hAnsi="宋体" w:cs="宋体"/>
          <w:b/>
          <w:sz w:val="22"/>
          <w:szCs w:val="22"/>
        </w:rPr>
        <w:t>注：根据评分细则的要求提供相关业绩及证明材料。</w:t>
      </w:r>
    </w:p>
    <w:p w14:paraId="443AC5EF">
      <w:pPr>
        <w:spacing w:line="440" w:lineRule="exact"/>
        <w:ind w:firstLine="4400" w:firstLineChars="2000"/>
        <w:rPr>
          <w:rFonts w:hint="eastAsia" w:ascii="宋体" w:hAnsi="宋体" w:cs="宋体"/>
          <w:sz w:val="22"/>
          <w:szCs w:val="22"/>
        </w:rPr>
      </w:pPr>
    </w:p>
    <w:p w14:paraId="57ACD403">
      <w:pPr>
        <w:pStyle w:val="11"/>
      </w:pPr>
    </w:p>
    <w:bookmarkEnd w:id="1121"/>
    <w:bookmarkEnd w:id="1122"/>
    <w:bookmarkEnd w:id="1123"/>
    <w:bookmarkEnd w:id="1124"/>
    <w:bookmarkEnd w:id="1125"/>
    <w:bookmarkEnd w:id="1126"/>
    <w:bookmarkEnd w:id="1127"/>
    <w:bookmarkEnd w:id="1128"/>
    <w:p w14:paraId="3A764E19">
      <w:pPr>
        <w:widowControl/>
        <w:snapToGrid w:val="0"/>
        <w:spacing w:line="460" w:lineRule="exact"/>
        <w:ind w:firstLine="3999" w:firstLineChars="1818"/>
        <w:jc w:val="left"/>
        <w:rPr>
          <w:rFonts w:ascii="宋体" w:cs="Courier New"/>
          <w:sz w:val="22"/>
          <w:szCs w:val="22"/>
        </w:rPr>
      </w:pPr>
      <w:r>
        <w:rPr>
          <w:rFonts w:hint="eastAsia" w:ascii="宋体" w:cs="Courier New"/>
          <w:sz w:val="22"/>
          <w:szCs w:val="22"/>
        </w:rPr>
        <w:t>投标供应商（盖章） ：</w:t>
      </w:r>
    </w:p>
    <w:p w14:paraId="7B137AE6">
      <w:pPr>
        <w:widowControl/>
        <w:snapToGrid w:val="0"/>
        <w:spacing w:line="460" w:lineRule="exact"/>
        <w:ind w:firstLine="3999" w:firstLineChars="1818"/>
        <w:jc w:val="left"/>
        <w:rPr>
          <w:rFonts w:ascii="宋体" w:cs="Courier New"/>
          <w:sz w:val="22"/>
          <w:szCs w:val="22"/>
        </w:rPr>
      </w:pPr>
      <w:r>
        <w:rPr>
          <w:rFonts w:hint="eastAsia" w:ascii="宋体" w:cs="Courier New"/>
          <w:sz w:val="22"/>
          <w:szCs w:val="22"/>
        </w:rPr>
        <w:t>法定代表人或其授权代表（签字或盖章）：</w:t>
      </w:r>
    </w:p>
    <w:p w14:paraId="6B6C656D">
      <w:pPr>
        <w:widowControl/>
        <w:snapToGrid w:val="0"/>
        <w:spacing w:line="460" w:lineRule="exact"/>
        <w:ind w:firstLine="3999" w:firstLineChars="1818"/>
        <w:jc w:val="left"/>
        <w:rPr>
          <w:rFonts w:hint="eastAsia" w:ascii="宋体" w:hAnsi="宋体" w:cs="宋体"/>
          <w:sz w:val="22"/>
          <w:szCs w:val="28"/>
        </w:rPr>
      </w:pPr>
      <w:r>
        <w:rPr>
          <w:rFonts w:hint="eastAsia" w:ascii="宋体" w:cs="Courier New"/>
          <w:sz w:val="22"/>
          <w:szCs w:val="22"/>
        </w:rPr>
        <w:t>日期：</w:t>
      </w:r>
      <w:r>
        <w:rPr>
          <w:rFonts w:hint="eastAsia" w:ascii="宋体" w:hAnsi="宋体" w:cs="宋体"/>
          <w:sz w:val="22"/>
          <w:szCs w:val="28"/>
        </w:rPr>
        <w:t xml:space="preserve">     年    月    日</w:t>
      </w:r>
    </w:p>
    <w:p w14:paraId="6A323666">
      <w:pPr>
        <w:widowControl/>
        <w:jc w:val="left"/>
        <w:rPr>
          <w:rFonts w:hint="eastAsia" w:ascii="宋体" w:hAnsi="宋体" w:cs="宋体"/>
          <w:sz w:val="22"/>
          <w:szCs w:val="28"/>
        </w:rPr>
      </w:pPr>
      <w:r>
        <w:rPr>
          <w:rFonts w:hint="eastAsia" w:ascii="宋体" w:hAnsi="宋体" w:cs="宋体"/>
          <w:sz w:val="22"/>
          <w:szCs w:val="28"/>
        </w:rPr>
        <w:br w:type="page"/>
      </w:r>
    </w:p>
    <w:p w14:paraId="3E53F823">
      <w:pPr>
        <w:pStyle w:val="39"/>
        <w:spacing w:line="440" w:lineRule="atLeast"/>
        <w:jc w:val="center"/>
        <w:outlineLvl w:val="0"/>
        <w:rPr>
          <w:b/>
          <w:bCs/>
          <w:sz w:val="32"/>
          <w:szCs w:val="32"/>
        </w:rPr>
      </w:pPr>
      <w:r>
        <w:rPr>
          <w:rFonts w:hint="eastAsia"/>
          <w:b/>
          <w:bCs/>
          <w:sz w:val="32"/>
          <w:szCs w:val="32"/>
        </w:rPr>
        <w:t>第七部分  磋商原则及方法</w:t>
      </w:r>
    </w:p>
    <w:p w14:paraId="625DF8F2">
      <w:pPr>
        <w:adjustRightInd w:val="0"/>
        <w:spacing w:line="360" w:lineRule="exact"/>
        <w:ind w:firstLine="420" w:firstLineChars="200"/>
        <w:rPr>
          <w:rFonts w:hint="eastAsia" w:ascii="宋体" w:eastAsia="宋体"/>
          <w:szCs w:val="21"/>
        </w:rPr>
      </w:pPr>
    </w:p>
    <w:p w14:paraId="34E29C9C">
      <w:pPr>
        <w:spacing w:line="420" w:lineRule="exact"/>
        <w:ind w:firstLine="442" w:firstLineChars="200"/>
        <w:outlineLvl w:val="1"/>
        <w:rPr>
          <w:rFonts w:hint="eastAsia" w:ascii="宋体" w:hAnsi="宋体" w:cs="宋体"/>
          <w:b/>
          <w:bCs/>
          <w:sz w:val="22"/>
          <w:szCs w:val="22"/>
          <w:lang w:val="zh-CN"/>
        </w:rPr>
      </w:pPr>
      <w:r>
        <w:rPr>
          <w:rFonts w:hint="eastAsia" w:ascii="宋体" w:hAnsi="宋体" w:cs="宋体"/>
          <w:b/>
          <w:bCs/>
          <w:sz w:val="22"/>
          <w:szCs w:val="22"/>
          <w:lang w:val="zh-CN"/>
        </w:rPr>
        <w:t>一、总则</w:t>
      </w:r>
    </w:p>
    <w:p w14:paraId="1E913D08">
      <w:pPr>
        <w:adjustRightInd w:val="0"/>
        <w:spacing w:line="420" w:lineRule="exact"/>
        <w:ind w:firstLine="440" w:firstLineChars="200"/>
        <w:rPr>
          <w:rFonts w:hint="eastAsia" w:ascii="宋体" w:hAnsi="宋体" w:cs="宋体"/>
          <w:sz w:val="22"/>
          <w:szCs w:val="22"/>
        </w:rPr>
      </w:pPr>
      <w:r>
        <w:rPr>
          <w:rFonts w:hint="eastAsia" w:ascii="宋体" w:hAnsi="宋体" w:cs="宋体"/>
          <w:sz w:val="22"/>
          <w:szCs w:val="22"/>
        </w:rPr>
        <w:t>评审工作遵循公平、公正、民主、科学的原则和诚实、信誉、效率的服务原则。本着科学、严谨的态度，认真进行评审。择优选定提供服务单位，最大限度的保护当事人权益，严格按照竞争性磋商文件的商务、技术要求，对磋商（响应）文件进行综合评定，提出优选方案，编写评审报告。竞争性磋商小组必须严格遵守保密规定，不得泄漏评审的有关情况，不得索贿受贿，不得接受吃请和礼品，不得参加影响公正评审的有关活动。对未成交单位，竞争性磋商小组不作任何解释。供应商不得以任何方式干扰采购工作的进行，一经发现其磋商（响应）文件将被拒绝。</w:t>
      </w:r>
    </w:p>
    <w:p w14:paraId="4798B079">
      <w:pPr>
        <w:spacing w:line="420" w:lineRule="exact"/>
        <w:ind w:firstLine="442" w:firstLineChars="200"/>
        <w:outlineLvl w:val="1"/>
        <w:rPr>
          <w:rFonts w:hint="eastAsia" w:ascii="宋体" w:hAnsi="宋体" w:cs="宋体"/>
          <w:b/>
          <w:bCs/>
          <w:sz w:val="22"/>
          <w:szCs w:val="22"/>
          <w:lang w:val="zh-CN"/>
        </w:rPr>
      </w:pPr>
      <w:r>
        <w:rPr>
          <w:rFonts w:hint="eastAsia" w:ascii="宋体" w:hAnsi="宋体" w:cs="宋体"/>
          <w:b/>
          <w:bCs/>
          <w:sz w:val="22"/>
          <w:szCs w:val="22"/>
          <w:lang w:val="zh-CN"/>
        </w:rPr>
        <w:t>二、评</w:t>
      </w:r>
      <w:r>
        <w:rPr>
          <w:rFonts w:hint="eastAsia" w:ascii="宋体" w:hAnsi="宋体" w:cs="宋体"/>
          <w:b/>
          <w:bCs/>
          <w:sz w:val="22"/>
          <w:szCs w:val="22"/>
        </w:rPr>
        <w:t>审</w:t>
      </w:r>
      <w:r>
        <w:rPr>
          <w:rFonts w:hint="eastAsia" w:ascii="宋体" w:hAnsi="宋体" w:cs="宋体"/>
          <w:b/>
          <w:bCs/>
          <w:sz w:val="22"/>
          <w:szCs w:val="22"/>
          <w:lang w:val="zh-CN"/>
        </w:rPr>
        <w:t>组织</w:t>
      </w:r>
    </w:p>
    <w:p w14:paraId="21207DC6">
      <w:pPr>
        <w:adjustRightInd w:val="0"/>
        <w:spacing w:line="420" w:lineRule="exact"/>
        <w:ind w:firstLine="440" w:firstLineChars="200"/>
        <w:rPr>
          <w:rFonts w:hint="eastAsia" w:ascii="宋体" w:hAnsi="宋体" w:cs="宋体"/>
          <w:sz w:val="22"/>
          <w:szCs w:val="22"/>
        </w:rPr>
      </w:pPr>
      <w:r>
        <w:rPr>
          <w:rFonts w:hint="eastAsia" w:ascii="宋体" w:hAnsi="宋体" w:cs="宋体"/>
          <w:sz w:val="22"/>
          <w:szCs w:val="22"/>
        </w:rPr>
        <w:t>评审工作由采购人依法组建的竞争性磋商小组负责，竞争性磋商小组由采购人代表以及评审专家库中随机抽取的有关技术、经济专家共同组成。评审全过程由采购管理部门全程监督。</w:t>
      </w:r>
    </w:p>
    <w:p w14:paraId="5615BB0E">
      <w:pPr>
        <w:spacing w:line="420" w:lineRule="exact"/>
        <w:ind w:firstLine="442" w:firstLineChars="200"/>
        <w:outlineLvl w:val="1"/>
        <w:rPr>
          <w:rFonts w:hint="eastAsia" w:ascii="宋体" w:hAnsi="宋体" w:cs="宋体"/>
          <w:b/>
          <w:bCs/>
          <w:sz w:val="22"/>
          <w:szCs w:val="22"/>
          <w:lang w:val="zh-CN"/>
        </w:rPr>
      </w:pPr>
      <w:r>
        <w:rPr>
          <w:rFonts w:hint="eastAsia" w:ascii="宋体" w:hAnsi="宋体" w:cs="宋体"/>
          <w:b/>
          <w:bCs/>
          <w:sz w:val="22"/>
          <w:szCs w:val="22"/>
          <w:lang w:val="zh-CN"/>
        </w:rPr>
        <w:t>三、磋商（响应）文件递交截止、磋商程序、磋商原则和方式</w:t>
      </w:r>
    </w:p>
    <w:p w14:paraId="590929F9">
      <w:pPr>
        <w:adjustRightInd w:val="0"/>
        <w:spacing w:line="420" w:lineRule="exact"/>
        <w:ind w:firstLine="440" w:firstLineChars="200"/>
        <w:rPr>
          <w:rFonts w:hint="eastAsia" w:ascii="宋体" w:hAnsi="宋体" w:cs="宋体"/>
          <w:sz w:val="22"/>
          <w:szCs w:val="22"/>
        </w:rPr>
      </w:pPr>
      <w:r>
        <w:rPr>
          <w:rFonts w:hint="eastAsia" w:ascii="宋体" w:hAnsi="宋体" w:cs="宋体"/>
          <w:sz w:val="22"/>
          <w:szCs w:val="22"/>
        </w:rPr>
        <w:t>1、磋商（响应）文件递交截止</w:t>
      </w:r>
    </w:p>
    <w:p w14:paraId="77E3C24C">
      <w:pPr>
        <w:adjustRightInd w:val="0"/>
        <w:spacing w:line="420" w:lineRule="exact"/>
        <w:ind w:firstLine="440" w:firstLineChars="200"/>
        <w:rPr>
          <w:rFonts w:hint="eastAsia" w:ascii="宋体" w:hAnsi="宋体" w:cs="宋体"/>
          <w:sz w:val="22"/>
          <w:szCs w:val="22"/>
        </w:rPr>
      </w:pPr>
      <w:r>
        <w:rPr>
          <w:rFonts w:hint="eastAsia" w:ascii="宋体" w:hAnsi="宋体" w:cs="宋体"/>
          <w:sz w:val="22"/>
          <w:szCs w:val="22"/>
        </w:rPr>
        <w:t>采购人按竞争性磋商文件规定的时间、地点收取磋商（响应）文件。</w:t>
      </w:r>
    </w:p>
    <w:p w14:paraId="192E77BF">
      <w:pPr>
        <w:adjustRightInd w:val="0"/>
        <w:spacing w:line="420" w:lineRule="exact"/>
        <w:ind w:firstLine="440" w:firstLineChars="200"/>
        <w:rPr>
          <w:rFonts w:hint="eastAsia" w:ascii="宋体" w:hAnsi="宋体" w:cs="宋体"/>
          <w:sz w:val="22"/>
          <w:szCs w:val="22"/>
        </w:rPr>
      </w:pPr>
      <w:r>
        <w:rPr>
          <w:rFonts w:hint="eastAsia" w:ascii="宋体" w:hAnsi="宋体" w:cs="宋体"/>
          <w:sz w:val="22"/>
          <w:szCs w:val="22"/>
        </w:rPr>
        <w:t>2、本次采购是根据竞争性磋商采购方式进行，各供应商首次报价不公开。</w:t>
      </w:r>
    </w:p>
    <w:p w14:paraId="3814AF0A">
      <w:pPr>
        <w:adjustRightInd w:val="0"/>
        <w:spacing w:line="420" w:lineRule="exact"/>
        <w:ind w:firstLine="440" w:firstLineChars="200"/>
        <w:rPr>
          <w:rFonts w:hint="eastAsia" w:ascii="宋体" w:hAnsi="宋体" w:cs="宋体"/>
          <w:sz w:val="22"/>
          <w:szCs w:val="22"/>
        </w:rPr>
      </w:pPr>
      <w:r>
        <w:rPr>
          <w:rFonts w:hint="eastAsia" w:ascii="宋体" w:hAnsi="宋体" w:cs="宋体"/>
          <w:sz w:val="22"/>
          <w:szCs w:val="22"/>
        </w:rPr>
        <w:t>2.1 如竞争性磋商小组认为竞争性磋商文件能够详细列明采购标的的技术、服务要求的，评审结束后，竞争性磋商小组可以直接对供应商进行打分评价。</w:t>
      </w:r>
    </w:p>
    <w:p w14:paraId="291D597B">
      <w:pPr>
        <w:adjustRightInd w:val="0"/>
        <w:spacing w:line="420" w:lineRule="exact"/>
        <w:ind w:firstLine="440" w:firstLineChars="200"/>
        <w:rPr>
          <w:rFonts w:hint="eastAsia" w:ascii="宋体" w:hAnsi="宋体" w:cs="宋体"/>
          <w:sz w:val="22"/>
          <w:szCs w:val="22"/>
        </w:rPr>
      </w:pPr>
      <w:r>
        <w:rPr>
          <w:rFonts w:hint="eastAsia" w:ascii="宋体" w:hAnsi="宋体" w:cs="宋体"/>
          <w:sz w:val="22"/>
          <w:szCs w:val="22"/>
        </w:rPr>
        <w:t>2.2如竞争性磋商小组认为需要修改竞争性磋商文件的，在磋商过程中，竞争性磋商小组可以根据竞争性磋商文件和磋商情况实质性变动采购需求中的技术、服务要求以及合同草案条款，但不得变动竞争性磋商文件中的其他内容。实质性变动的内容，须经采购人代表确认。</w:t>
      </w:r>
    </w:p>
    <w:p w14:paraId="223F992D">
      <w:pPr>
        <w:adjustRightInd w:val="0"/>
        <w:spacing w:line="420" w:lineRule="exact"/>
        <w:ind w:firstLine="440" w:firstLineChars="200"/>
        <w:rPr>
          <w:rFonts w:hint="eastAsia" w:ascii="宋体" w:hAnsi="宋体" w:cs="宋体"/>
          <w:sz w:val="22"/>
          <w:szCs w:val="22"/>
        </w:rPr>
      </w:pPr>
      <w:r>
        <w:rPr>
          <w:rFonts w:hint="eastAsia" w:ascii="宋体" w:hAnsi="宋体" w:cs="宋体"/>
          <w:sz w:val="22"/>
          <w:szCs w:val="22"/>
        </w:rPr>
        <w:t>对竞争性磋商文件作出的实质性变动是竞争性磋商文件的有效组成部分，竞争性磋商小组应当及时以书面形式同时通知所有参加磋商的供应商。</w:t>
      </w:r>
    </w:p>
    <w:p w14:paraId="52B50489">
      <w:pPr>
        <w:adjustRightInd w:val="0"/>
        <w:spacing w:line="420" w:lineRule="exact"/>
        <w:ind w:firstLine="440" w:firstLineChars="200"/>
        <w:rPr>
          <w:rFonts w:hint="eastAsia" w:ascii="宋体" w:hAnsi="宋体" w:cs="宋体"/>
          <w:sz w:val="22"/>
          <w:szCs w:val="22"/>
        </w:rPr>
      </w:pPr>
      <w:r>
        <w:rPr>
          <w:rFonts w:hint="eastAsia" w:ascii="宋体" w:hAnsi="宋体" w:cs="宋体"/>
          <w:sz w:val="22"/>
          <w:szCs w:val="22"/>
        </w:rPr>
        <w:t>供应商应当按照竞争性磋商文件的变动情况和竞争性磋商小组的要求重新提交磋商（响应）文件，并由其法定代表人或授权代表签字或者加盖公章。由授权代表签字的，应当附法定代表人授权书。供应商为自然人的，应当由本人签字并附身份证明。</w:t>
      </w:r>
    </w:p>
    <w:p w14:paraId="50A82501">
      <w:pPr>
        <w:adjustRightInd w:val="0"/>
        <w:spacing w:line="420" w:lineRule="exact"/>
        <w:ind w:firstLine="440" w:firstLineChars="200"/>
        <w:rPr>
          <w:rFonts w:hint="eastAsia" w:ascii="宋体" w:hAnsi="宋体" w:cs="宋体"/>
          <w:sz w:val="22"/>
          <w:szCs w:val="22"/>
        </w:rPr>
      </w:pPr>
      <w:r>
        <w:rPr>
          <w:rFonts w:hint="eastAsia" w:ascii="宋体" w:hAnsi="宋体" w:cs="宋体"/>
          <w:sz w:val="22"/>
          <w:szCs w:val="22"/>
        </w:rPr>
        <w:t>已提交磋商（响应）文件的供应商，在提交最终报价之前，可以根据磋商情况退出磋商。</w:t>
      </w:r>
    </w:p>
    <w:p w14:paraId="13FD40E4">
      <w:pPr>
        <w:adjustRightInd w:val="0"/>
        <w:spacing w:line="420" w:lineRule="exact"/>
        <w:ind w:firstLine="440" w:firstLineChars="200"/>
        <w:rPr>
          <w:rFonts w:hint="eastAsia" w:ascii="宋体" w:hAnsi="宋体" w:cs="宋体"/>
          <w:sz w:val="22"/>
          <w:szCs w:val="22"/>
        </w:rPr>
      </w:pPr>
      <w:r>
        <w:rPr>
          <w:rFonts w:hint="eastAsia" w:ascii="宋体" w:hAnsi="宋体" w:cs="宋体"/>
          <w:sz w:val="22"/>
          <w:szCs w:val="22"/>
        </w:rPr>
        <w:t>2.3 磋商的顺序，按供应商签到的逆顺序进行。开展磋商，竞争性磋商小组所有成员集中与单一供应商（供应商的法定代表人或法定代表人授权代表须在线参加）分别进行磋商，并要求供应商提交最终磋商报价。在竞争性磋商文件未做任何调整的情况下，参与磋商的供应商如有出现最终磋商报价超过磋商（响应）文件中报价的，则该供应商的报价按无效处理。超过规定时间提交的最终磋商报价作无效处理。</w:t>
      </w:r>
    </w:p>
    <w:p w14:paraId="52FA732B">
      <w:pPr>
        <w:adjustRightInd w:val="0"/>
        <w:spacing w:line="420" w:lineRule="exact"/>
        <w:ind w:firstLine="440" w:firstLineChars="200"/>
        <w:rPr>
          <w:rFonts w:hint="eastAsia" w:ascii="宋体" w:hAnsi="宋体" w:cs="宋体"/>
          <w:sz w:val="22"/>
          <w:szCs w:val="22"/>
        </w:rPr>
      </w:pPr>
      <w:r>
        <w:rPr>
          <w:rFonts w:hint="eastAsia" w:ascii="宋体" w:hAnsi="宋体" w:cs="宋体"/>
          <w:sz w:val="22"/>
          <w:szCs w:val="22"/>
        </w:rPr>
        <w:t>3、评审原则和方法</w:t>
      </w:r>
    </w:p>
    <w:p w14:paraId="3E2DD722">
      <w:pPr>
        <w:adjustRightInd w:val="0"/>
        <w:spacing w:line="420" w:lineRule="exact"/>
        <w:ind w:firstLine="440" w:firstLineChars="200"/>
        <w:rPr>
          <w:rFonts w:hint="eastAsia" w:ascii="宋体" w:hAnsi="宋体" w:cs="宋体"/>
          <w:sz w:val="22"/>
          <w:szCs w:val="22"/>
        </w:rPr>
      </w:pPr>
      <w:r>
        <w:rPr>
          <w:rFonts w:hint="eastAsia" w:ascii="宋体" w:hAnsi="宋体" w:cs="宋体"/>
          <w:sz w:val="22"/>
          <w:szCs w:val="22"/>
        </w:rPr>
        <w:t>3.1 竞争性磋商小组负责审查磋商（响应）文件是否符合竞争性磋商文件的要求，并作出评价。竞争性磋商小组认为必要时，可向供应商进行质疑。竞争性磋商小组有权决定全部或部分供应商磋商（响应）文件无效。</w:t>
      </w:r>
    </w:p>
    <w:p w14:paraId="5FFE58FF">
      <w:pPr>
        <w:adjustRightInd w:val="0"/>
        <w:spacing w:line="420" w:lineRule="exact"/>
        <w:ind w:firstLine="440" w:firstLineChars="200"/>
        <w:rPr>
          <w:rFonts w:hint="eastAsia" w:ascii="宋体" w:hAnsi="宋体" w:cs="宋体"/>
          <w:sz w:val="22"/>
          <w:szCs w:val="22"/>
        </w:rPr>
      </w:pPr>
      <w:r>
        <w:rPr>
          <w:rFonts w:hint="eastAsia" w:ascii="宋体" w:hAnsi="宋体" w:cs="宋体"/>
          <w:sz w:val="22"/>
          <w:szCs w:val="22"/>
        </w:rPr>
        <w:t>3.2 竞争性磋商小组将综合分析合格供应商的各项指标，而不是以单项指标的优劣评选出成交的供应商。</w:t>
      </w:r>
    </w:p>
    <w:p w14:paraId="54B3436E">
      <w:pPr>
        <w:adjustRightInd w:val="0"/>
        <w:spacing w:line="420" w:lineRule="exact"/>
        <w:ind w:firstLine="440" w:firstLineChars="200"/>
        <w:rPr>
          <w:rFonts w:hint="eastAsia" w:ascii="宋体" w:hAnsi="宋体" w:cs="宋体"/>
          <w:sz w:val="22"/>
          <w:szCs w:val="22"/>
        </w:rPr>
      </w:pPr>
      <w:r>
        <w:rPr>
          <w:rFonts w:hint="eastAsia" w:ascii="宋体" w:hAnsi="宋体" w:cs="宋体"/>
          <w:sz w:val="22"/>
          <w:szCs w:val="22"/>
        </w:rPr>
        <w:t>3.3 经磋商确定最终采购需求和提交最终报价的供应商后，由竞争性磋商小组采用综合评分法对提交最终报价的供应商的磋商（响应）文件和最终报价进行综合评分。如竞争性磋商文件所列采购内容明确不需要修改的或供应商磋商（响应）文件清楚明确不需要澄清的，可以不进行磋商环节，直接要求供应商进行最终磋商报价，进行综合评分。</w:t>
      </w:r>
    </w:p>
    <w:p w14:paraId="04C6598A">
      <w:pPr>
        <w:adjustRightInd w:val="0"/>
        <w:spacing w:line="420" w:lineRule="exact"/>
        <w:ind w:firstLine="440" w:firstLineChars="200"/>
        <w:rPr>
          <w:rFonts w:hint="eastAsia" w:ascii="宋体" w:hAnsi="宋体" w:cs="宋体"/>
          <w:sz w:val="22"/>
          <w:szCs w:val="22"/>
        </w:rPr>
      </w:pPr>
      <w:r>
        <w:rPr>
          <w:rFonts w:hint="eastAsia" w:ascii="宋体" w:hAnsi="宋体" w:cs="宋体"/>
          <w:sz w:val="22"/>
          <w:szCs w:val="22"/>
        </w:rPr>
        <w:t>本次评审采用综合评分法，竞争性磋商小组根据竞争性磋商文件制定的评审办法对供应商进行评审排序，将综合得分第一的供应商向采购人推荐其为中标（成交）供应商。</w:t>
      </w:r>
    </w:p>
    <w:p w14:paraId="6AC51207">
      <w:pPr>
        <w:adjustRightInd w:val="0"/>
        <w:spacing w:line="420" w:lineRule="exact"/>
        <w:ind w:firstLine="440" w:firstLineChars="200"/>
        <w:rPr>
          <w:rFonts w:hint="eastAsia" w:ascii="宋体" w:hAnsi="宋体" w:cs="宋体"/>
          <w:sz w:val="22"/>
          <w:szCs w:val="22"/>
        </w:rPr>
      </w:pPr>
      <w:r>
        <w:rPr>
          <w:rFonts w:hint="eastAsia" w:ascii="宋体" w:hAnsi="宋体" w:cs="宋体"/>
          <w:sz w:val="22"/>
          <w:szCs w:val="22"/>
        </w:rPr>
        <w:t>4、磋商（响应）文件的澄清</w:t>
      </w:r>
    </w:p>
    <w:p w14:paraId="32093224">
      <w:pPr>
        <w:adjustRightInd w:val="0"/>
        <w:spacing w:line="420" w:lineRule="exact"/>
        <w:ind w:firstLine="440" w:firstLineChars="200"/>
        <w:rPr>
          <w:rFonts w:hint="eastAsia" w:ascii="宋体" w:hAnsi="宋体" w:cs="宋体"/>
          <w:sz w:val="22"/>
          <w:szCs w:val="22"/>
        </w:rPr>
      </w:pPr>
      <w:r>
        <w:rPr>
          <w:rFonts w:hint="eastAsia" w:ascii="宋体" w:hAnsi="宋体" w:cs="宋体"/>
          <w:sz w:val="22"/>
          <w:szCs w:val="22"/>
        </w:rPr>
        <w:t>为有利于对磋商（响应）文件的评议，必要时采购人可要求供应商对磋商（响应）文件进行澄清，并作出答复。答复须有供应商授权代表签字并作为磋商（响应）文件内容的一部分。</w:t>
      </w:r>
    </w:p>
    <w:p w14:paraId="26F16F44">
      <w:pPr>
        <w:spacing w:line="420" w:lineRule="exact"/>
        <w:ind w:firstLine="442" w:firstLineChars="200"/>
        <w:outlineLvl w:val="1"/>
        <w:rPr>
          <w:rFonts w:hint="eastAsia" w:ascii="宋体" w:hAnsi="宋体" w:cs="宋体"/>
          <w:b/>
          <w:bCs/>
          <w:sz w:val="22"/>
          <w:szCs w:val="22"/>
          <w:lang w:val="zh-CN"/>
        </w:rPr>
      </w:pPr>
      <w:r>
        <w:rPr>
          <w:rFonts w:hint="eastAsia" w:ascii="宋体" w:hAnsi="宋体" w:cs="宋体"/>
          <w:b/>
          <w:bCs/>
          <w:sz w:val="22"/>
          <w:szCs w:val="22"/>
          <w:lang w:val="zh-CN"/>
        </w:rPr>
        <w:t>四、评分细则</w:t>
      </w:r>
    </w:p>
    <w:p w14:paraId="4786E6C3">
      <w:pPr>
        <w:pStyle w:val="11"/>
        <w:keepNext w:val="0"/>
        <w:keepLines w:val="0"/>
        <w:pageBreakBefore w:val="0"/>
        <w:widowControl w:val="0"/>
        <w:kinsoku/>
        <w:wordWrap/>
        <w:overflowPunct/>
        <w:topLinePunct w:val="0"/>
        <w:autoSpaceDE/>
        <w:autoSpaceDN/>
        <w:bidi w:val="0"/>
        <w:snapToGrid/>
        <w:spacing w:line="360" w:lineRule="exact"/>
        <w:textAlignment w:val="auto"/>
        <w:rPr>
          <w:rFonts w:hint="eastAsia" w:ascii="宋体" w:hAnsi="宋体" w:eastAsia="宋体" w:cs="宋体"/>
          <w:lang w:val="zh-CN"/>
        </w:rPr>
      </w:pPr>
      <w:r>
        <w:rPr>
          <w:rFonts w:hint="eastAsia" w:ascii="宋体" w:hAnsi="宋体" w:eastAsia="宋体" w:cs="宋体"/>
          <w:lang w:val="zh-CN"/>
        </w:rPr>
        <w:t>（一）</w:t>
      </w:r>
      <w:r>
        <w:rPr>
          <w:rFonts w:hint="eastAsia" w:ascii="宋体" w:hAnsi="宋体" w:eastAsia="宋体" w:cs="宋体"/>
        </w:rPr>
        <w:t>报价</w:t>
      </w:r>
      <w:r>
        <w:rPr>
          <w:rFonts w:hint="eastAsia" w:ascii="宋体" w:hAnsi="宋体" w:eastAsia="宋体" w:cs="宋体"/>
          <w:lang w:val="zh-CN"/>
        </w:rPr>
        <w:t>评分（</w:t>
      </w:r>
      <w:r>
        <w:rPr>
          <w:rFonts w:hint="eastAsia" w:ascii="宋体" w:hAnsi="宋体" w:eastAsia="宋体" w:cs="宋体"/>
        </w:rPr>
        <w:t>满分</w:t>
      </w:r>
      <w:r>
        <w:rPr>
          <w:rFonts w:hint="eastAsia" w:ascii="宋体" w:hAnsi="宋体" w:cs="宋体"/>
          <w:lang w:val="en-US" w:eastAsia="zh-CN"/>
        </w:rPr>
        <w:t>40</w:t>
      </w:r>
      <w:r>
        <w:rPr>
          <w:rFonts w:hint="eastAsia" w:ascii="宋体" w:hAnsi="宋体" w:eastAsia="宋体" w:cs="宋体"/>
          <w:lang w:val="zh-CN"/>
        </w:rPr>
        <w:t>分）</w:t>
      </w:r>
    </w:p>
    <w:p w14:paraId="62A82DE7">
      <w:pPr>
        <w:pStyle w:val="11"/>
        <w:keepNext w:val="0"/>
        <w:keepLines w:val="0"/>
        <w:pageBreakBefore w:val="0"/>
        <w:widowControl w:val="0"/>
        <w:kinsoku/>
        <w:wordWrap/>
        <w:overflowPunct/>
        <w:topLinePunct w:val="0"/>
        <w:autoSpaceDE/>
        <w:autoSpaceDN/>
        <w:bidi w:val="0"/>
        <w:snapToGrid/>
        <w:spacing w:line="360" w:lineRule="exact"/>
        <w:textAlignment w:val="auto"/>
        <w:rPr>
          <w:rFonts w:hint="eastAsia" w:ascii="宋体" w:hAnsi="宋体" w:eastAsia="宋体" w:cs="宋体"/>
          <w:lang w:val="zh-CN"/>
        </w:rPr>
      </w:pPr>
      <w:r>
        <w:rPr>
          <w:rFonts w:hint="eastAsia" w:ascii="宋体" w:hAnsi="宋体" w:eastAsia="宋体" w:cs="宋体"/>
        </w:rPr>
        <w:t>1、</w:t>
      </w:r>
      <w:r>
        <w:rPr>
          <w:rFonts w:hint="eastAsia" w:ascii="宋体" w:hAnsi="宋体" w:eastAsia="宋体" w:cs="宋体"/>
          <w:lang w:val="zh-CN"/>
        </w:rPr>
        <w:t>以满足竞争性磋商文件要求且最终报价最低的有效供应商的价格为磋商基准价，其价格分为满分。其他供应商的价格分统一按照下列公式计算：</w:t>
      </w:r>
    </w:p>
    <w:p w14:paraId="1E61CEBE">
      <w:pPr>
        <w:pStyle w:val="11"/>
        <w:keepNext w:val="0"/>
        <w:keepLines w:val="0"/>
        <w:pageBreakBefore w:val="0"/>
        <w:widowControl w:val="0"/>
        <w:kinsoku/>
        <w:wordWrap/>
        <w:overflowPunct/>
        <w:topLinePunct w:val="0"/>
        <w:autoSpaceDE/>
        <w:autoSpaceDN/>
        <w:bidi w:val="0"/>
        <w:snapToGrid/>
        <w:spacing w:line="360" w:lineRule="exact"/>
        <w:textAlignment w:val="auto"/>
        <w:rPr>
          <w:rFonts w:hint="eastAsia" w:ascii="宋体" w:hAnsi="宋体" w:eastAsia="宋体" w:cs="宋体"/>
        </w:rPr>
      </w:pPr>
      <w:r>
        <w:rPr>
          <w:rFonts w:hint="eastAsia" w:ascii="宋体" w:hAnsi="宋体" w:eastAsia="宋体" w:cs="宋体"/>
          <w:lang w:val="zh-CN"/>
        </w:rPr>
        <w:t>磋商报价得分=（磋商基准价/最终报价）×</w:t>
      </w:r>
      <w:r>
        <w:rPr>
          <w:rFonts w:hint="eastAsia" w:ascii="宋体" w:hAnsi="宋体" w:cs="宋体"/>
          <w:lang w:val="en-US" w:eastAsia="zh-CN"/>
        </w:rPr>
        <w:t>40</w:t>
      </w:r>
      <w:r>
        <w:rPr>
          <w:rFonts w:hint="eastAsia" w:ascii="宋体" w:hAnsi="宋体" w:eastAsia="宋体" w:cs="宋体"/>
          <w:lang w:val="zh-CN"/>
        </w:rPr>
        <w:t>%×100（四舍五入，保留小数点后2位）</w:t>
      </w:r>
    </w:p>
    <w:p w14:paraId="0575B757">
      <w:pPr>
        <w:pStyle w:val="11"/>
        <w:keepNext w:val="0"/>
        <w:keepLines w:val="0"/>
        <w:pageBreakBefore w:val="0"/>
        <w:widowControl w:val="0"/>
        <w:kinsoku/>
        <w:wordWrap/>
        <w:overflowPunct/>
        <w:topLinePunct w:val="0"/>
        <w:autoSpaceDE/>
        <w:autoSpaceDN/>
        <w:bidi w:val="0"/>
        <w:snapToGrid/>
        <w:spacing w:line="360" w:lineRule="exact"/>
        <w:textAlignment w:val="auto"/>
        <w:rPr>
          <w:rFonts w:hint="eastAsia" w:ascii="宋体" w:hAnsi="宋体" w:eastAsia="宋体" w:cs="宋体"/>
          <w:b/>
          <w:bCs/>
          <w:lang w:val="zh-CN"/>
        </w:rPr>
      </w:pPr>
      <w:r>
        <w:rPr>
          <w:rFonts w:hint="eastAsia" w:ascii="宋体" w:hAnsi="宋体" w:eastAsia="宋体" w:cs="宋体"/>
          <w:b/>
          <w:bCs/>
          <w:lang w:val="en-US" w:eastAsia="zh-CN"/>
        </w:rPr>
        <w:t>本项目专门面向中小微企业不做价格扣除。</w:t>
      </w:r>
    </w:p>
    <w:p w14:paraId="44A3D55B">
      <w:pPr>
        <w:pStyle w:val="11"/>
        <w:keepNext w:val="0"/>
        <w:keepLines w:val="0"/>
        <w:pageBreakBefore w:val="0"/>
        <w:widowControl w:val="0"/>
        <w:kinsoku/>
        <w:wordWrap/>
        <w:overflowPunct/>
        <w:topLinePunct w:val="0"/>
        <w:autoSpaceDE/>
        <w:autoSpaceDN/>
        <w:bidi w:val="0"/>
        <w:snapToGrid/>
        <w:spacing w:line="360" w:lineRule="exact"/>
        <w:textAlignment w:val="auto"/>
        <w:rPr>
          <w:rFonts w:hint="eastAsia" w:ascii="宋体" w:hAnsi="宋体" w:eastAsia="宋体" w:cs="宋体"/>
        </w:rPr>
      </w:pPr>
      <w:r>
        <w:rPr>
          <w:rFonts w:hint="eastAsia" w:ascii="宋体" w:hAnsi="宋体" w:eastAsia="宋体" w:cs="宋体"/>
        </w:rPr>
        <w:t>（二）商务技术评分（满分</w:t>
      </w:r>
      <w:r>
        <w:rPr>
          <w:rFonts w:hint="eastAsia" w:ascii="宋体" w:hAnsi="宋体" w:cs="宋体"/>
          <w:lang w:val="en-US" w:eastAsia="zh-CN"/>
        </w:rPr>
        <w:t>60</w:t>
      </w:r>
      <w:r>
        <w:rPr>
          <w:rFonts w:hint="eastAsia" w:ascii="宋体" w:hAnsi="宋体" w:eastAsia="宋体" w:cs="宋体"/>
        </w:rPr>
        <w:t>分）</w:t>
      </w:r>
    </w:p>
    <w:tbl>
      <w:tblPr>
        <w:tblStyle w:val="25"/>
        <w:tblpPr w:leftFromText="180" w:rightFromText="180" w:vertAnchor="text" w:tblpXSpec="left" w:tblpY="1"/>
        <w:tblOverlap w:val="never"/>
        <w:tblW w:w="8929" w:type="dxa"/>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731"/>
        <w:gridCol w:w="1230"/>
        <w:gridCol w:w="5567"/>
        <w:gridCol w:w="1401"/>
      </w:tblGrid>
      <w:tr w14:paraId="6C1D5E3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07" w:hRule="atLeast"/>
          <w:tblHeader/>
        </w:trPr>
        <w:tc>
          <w:tcPr>
            <w:tcW w:w="731" w:type="dxa"/>
            <w:noWrap/>
            <w:vAlign w:val="center"/>
          </w:tcPr>
          <w:p w14:paraId="636C5466">
            <w:pPr>
              <w:keepNext/>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序号</w:t>
            </w:r>
          </w:p>
        </w:tc>
        <w:tc>
          <w:tcPr>
            <w:tcW w:w="1230" w:type="dxa"/>
            <w:noWrap/>
            <w:vAlign w:val="center"/>
          </w:tcPr>
          <w:p w14:paraId="0812C8BD">
            <w:pPr>
              <w:keepNext/>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评标分项</w:t>
            </w:r>
          </w:p>
        </w:tc>
        <w:tc>
          <w:tcPr>
            <w:tcW w:w="5567" w:type="dxa"/>
            <w:noWrap/>
            <w:vAlign w:val="center"/>
          </w:tcPr>
          <w:p w14:paraId="3821A72F">
            <w:pPr>
              <w:keepNext/>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评分标准</w:t>
            </w:r>
          </w:p>
        </w:tc>
        <w:tc>
          <w:tcPr>
            <w:tcW w:w="1401" w:type="dxa"/>
            <w:noWrap/>
            <w:vAlign w:val="center"/>
          </w:tcPr>
          <w:p w14:paraId="12FC1200">
            <w:pPr>
              <w:keepNext/>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分值</w:t>
            </w:r>
          </w:p>
        </w:tc>
      </w:tr>
      <w:tr w14:paraId="3A890C4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298" w:hRule="atLeast"/>
        </w:trPr>
        <w:tc>
          <w:tcPr>
            <w:tcW w:w="731" w:type="dxa"/>
            <w:tcBorders>
              <w:top w:val="single" w:color="auto" w:sz="4" w:space="0"/>
              <w:left w:val="single" w:color="auto" w:sz="12" w:space="0"/>
              <w:right w:val="single" w:color="auto" w:sz="4" w:space="0"/>
            </w:tcBorders>
            <w:noWrap/>
            <w:vAlign w:val="center"/>
          </w:tcPr>
          <w:p w14:paraId="3D7CC41B">
            <w:pPr>
              <w:keepNext/>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w:t>
            </w:r>
          </w:p>
        </w:tc>
        <w:tc>
          <w:tcPr>
            <w:tcW w:w="1230" w:type="dxa"/>
            <w:tcBorders>
              <w:top w:val="single" w:color="auto" w:sz="4" w:space="0"/>
              <w:left w:val="single" w:color="auto" w:sz="4" w:space="0"/>
              <w:right w:val="single" w:color="auto" w:sz="4" w:space="0"/>
            </w:tcBorders>
            <w:noWrap/>
            <w:vAlign w:val="center"/>
          </w:tcPr>
          <w:p w14:paraId="78343CC2">
            <w:pPr>
              <w:keepNext/>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响应供应商资质证书</w:t>
            </w:r>
          </w:p>
        </w:tc>
        <w:tc>
          <w:tcPr>
            <w:tcW w:w="5567" w:type="dxa"/>
            <w:tcBorders>
              <w:top w:val="single" w:color="auto" w:sz="4" w:space="0"/>
              <w:left w:val="single" w:color="auto" w:sz="4" w:space="0"/>
              <w:right w:val="single" w:color="auto" w:sz="4" w:space="0"/>
            </w:tcBorders>
            <w:noWrap/>
            <w:vAlign w:val="center"/>
          </w:tcPr>
          <w:p w14:paraId="6569DDB2">
            <w:pPr>
              <w:keepNext/>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具有质量管理体系认证证书，环境管理体系认证证书，职业健康安全管理体系认证证书，每提供</w:t>
            </w:r>
            <w:r>
              <w:rPr>
                <w:rFonts w:hint="eastAsia" w:ascii="宋体" w:hAnsi="宋体" w:eastAsia="宋体" w:cs="宋体"/>
                <w:color w:val="auto"/>
                <w:sz w:val="21"/>
                <w:szCs w:val="21"/>
                <w:highlight w:val="none"/>
                <w:lang w:val="en-US" w:eastAsia="zh-CN"/>
              </w:rPr>
              <w:t>一类</w:t>
            </w:r>
            <w:r>
              <w:rPr>
                <w:rFonts w:hint="eastAsia" w:ascii="宋体" w:hAnsi="宋体" w:eastAsia="宋体" w:cs="宋体"/>
                <w:color w:val="auto"/>
                <w:sz w:val="21"/>
                <w:szCs w:val="21"/>
                <w:highlight w:val="none"/>
                <w:lang w:val="zh-CN"/>
              </w:rPr>
              <w:t>证书得</w:t>
            </w:r>
            <w:r>
              <w:rPr>
                <w:rFonts w:hint="eastAsia" w:ascii="宋体" w:hAnsi="宋体" w:cs="宋体"/>
                <w:color w:val="auto"/>
                <w:sz w:val="21"/>
                <w:szCs w:val="21"/>
                <w:highlight w:val="none"/>
                <w:lang w:val="en-US" w:eastAsia="zh-CN"/>
              </w:rPr>
              <w:t>2</w:t>
            </w:r>
            <w:r>
              <w:rPr>
                <w:rFonts w:hint="eastAsia" w:ascii="宋体" w:hAnsi="宋体" w:eastAsia="宋体" w:cs="宋体"/>
                <w:color w:val="auto"/>
                <w:sz w:val="21"/>
                <w:szCs w:val="21"/>
                <w:highlight w:val="none"/>
                <w:lang w:val="zh-CN"/>
              </w:rPr>
              <w:t>分，最多</w:t>
            </w:r>
            <w:r>
              <w:rPr>
                <w:rFonts w:hint="eastAsia" w:ascii="宋体" w:hAnsi="宋体" w:cs="宋体"/>
                <w:color w:val="auto"/>
                <w:sz w:val="21"/>
                <w:szCs w:val="21"/>
                <w:highlight w:val="none"/>
                <w:lang w:val="en-US" w:eastAsia="zh-CN"/>
              </w:rPr>
              <w:t>6</w:t>
            </w:r>
            <w:r>
              <w:rPr>
                <w:rFonts w:hint="eastAsia" w:ascii="宋体" w:hAnsi="宋体" w:eastAsia="宋体" w:cs="宋体"/>
                <w:color w:val="auto"/>
                <w:sz w:val="21"/>
                <w:szCs w:val="21"/>
                <w:highlight w:val="none"/>
                <w:lang w:val="zh-CN"/>
              </w:rPr>
              <w:t>分。（提供</w:t>
            </w:r>
            <w:r>
              <w:rPr>
                <w:rFonts w:hint="eastAsia" w:ascii="宋体" w:hAnsi="宋体" w:eastAsia="宋体" w:cs="宋体"/>
                <w:color w:val="auto"/>
                <w:sz w:val="21"/>
                <w:szCs w:val="21"/>
                <w:highlight w:val="none"/>
                <w:lang w:val="en-US" w:eastAsia="zh-CN"/>
              </w:rPr>
              <w:t>有效的证书扫描件</w:t>
            </w:r>
            <w:r>
              <w:rPr>
                <w:rFonts w:hint="eastAsia" w:ascii="宋体" w:hAnsi="宋体" w:eastAsia="宋体" w:cs="宋体"/>
                <w:color w:val="auto"/>
                <w:sz w:val="21"/>
                <w:szCs w:val="21"/>
                <w:highlight w:val="none"/>
                <w:lang w:val="zh-CN"/>
              </w:rPr>
              <w:t>）</w:t>
            </w:r>
          </w:p>
        </w:tc>
        <w:tc>
          <w:tcPr>
            <w:tcW w:w="1401" w:type="dxa"/>
            <w:tcBorders>
              <w:top w:val="single" w:color="auto" w:sz="4" w:space="0"/>
              <w:left w:val="single" w:color="auto" w:sz="4" w:space="0"/>
              <w:right w:val="single" w:color="auto" w:sz="12" w:space="0"/>
            </w:tcBorders>
            <w:noWrap/>
            <w:vAlign w:val="center"/>
          </w:tcPr>
          <w:p w14:paraId="21135415">
            <w:pPr>
              <w:keepNext/>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en-US" w:eastAsia="zh-CN"/>
              </w:rPr>
              <w:t>0-</w:t>
            </w:r>
            <w:r>
              <w:rPr>
                <w:rFonts w:hint="eastAsia" w:ascii="宋体" w:hAnsi="宋体" w:cs="宋体"/>
                <w:color w:val="auto"/>
                <w:sz w:val="21"/>
                <w:szCs w:val="21"/>
                <w:highlight w:val="none"/>
                <w:lang w:val="en-US" w:eastAsia="zh-CN"/>
              </w:rPr>
              <w:t>6</w:t>
            </w:r>
            <w:r>
              <w:rPr>
                <w:rFonts w:hint="eastAsia" w:ascii="宋体" w:hAnsi="宋体" w:eastAsia="宋体" w:cs="宋体"/>
                <w:color w:val="auto"/>
                <w:sz w:val="21"/>
                <w:szCs w:val="21"/>
                <w:highlight w:val="none"/>
                <w:lang w:val="en-US" w:eastAsia="zh-CN"/>
              </w:rPr>
              <w:t>分</w:t>
            </w:r>
          </w:p>
        </w:tc>
      </w:tr>
      <w:tr w14:paraId="794477A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002" w:hRule="atLeast"/>
        </w:trPr>
        <w:tc>
          <w:tcPr>
            <w:tcW w:w="731" w:type="dxa"/>
            <w:tcBorders>
              <w:top w:val="single" w:color="auto" w:sz="4" w:space="0"/>
              <w:left w:val="single" w:color="auto" w:sz="12" w:space="0"/>
              <w:right w:val="single" w:color="auto" w:sz="4" w:space="0"/>
            </w:tcBorders>
            <w:noWrap/>
            <w:vAlign w:val="center"/>
          </w:tcPr>
          <w:p w14:paraId="2512C2D4">
            <w:pPr>
              <w:keepNext/>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2</w:t>
            </w:r>
          </w:p>
        </w:tc>
        <w:tc>
          <w:tcPr>
            <w:tcW w:w="1230" w:type="dxa"/>
            <w:tcBorders>
              <w:top w:val="single" w:color="auto" w:sz="4" w:space="0"/>
              <w:left w:val="single" w:color="auto" w:sz="4" w:space="0"/>
              <w:right w:val="single" w:color="auto" w:sz="4" w:space="0"/>
            </w:tcBorders>
            <w:noWrap/>
            <w:vAlign w:val="center"/>
          </w:tcPr>
          <w:p w14:paraId="278FF265">
            <w:pPr>
              <w:keepNext/>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供应商业绩情况</w:t>
            </w:r>
          </w:p>
        </w:tc>
        <w:tc>
          <w:tcPr>
            <w:tcW w:w="5567" w:type="dxa"/>
            <w:tcBorders>
              <w:top w:val="single" w:color="auto" w:sz="4" w:space="0"/>
              <w:left w:val="single" w:color="auto" w:sz="4" w:space="0"/>
              <w:right w:val="single" w:color="auto" w:sz="4" w:space="0"/>
            </w:tcBorders>
            <w:noWrap/>
            <w:vAlign w:val="center"/>
          </w:tcPr>
          <w:p w14:paraId="6F1DF71D">
            <w:pPr>
              <w:keepNext/>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auto"/>
                <w:sz w:val="21"/>
                <w:szCs w:val="21"/>
                <w:highlight w:val="none"/>
                <w:lang w:val="zh-CN" w:eastAsia="zh-CN"/>
              </w:rPr>
            </w:pPr>
            <w:r>
              <w:rPr>
                <w:rFonts w:hint="eastAsia" w:ascii="宋体" w:hAnsi="宋体" w:eastAsia="宋体" w:cs="宋体"/>
                <w:color w:val="auto"/>
                <w:sz w:val="21"/>
                <w:szCs w:val="21"/>
                <w:highlight w:val="none"/>
                <w:lang w:val="zh-CN"/>
              </w:rPr>
              <w:t>供应商具有类似工程施工业绩的，每提供一个合同及竣工验收报告得</w:t>
            </w: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lang w:val="zh-CN"/>
              </w:rPr>
              <w:t>分，最高</w:t>
            </w:r>
            <w:r>
              <w:rPr>
                <w:rFonts w:hint="eastAsia" w:ascii="宋体" w:hAnsi="宋体" w:cs="宋体"/>
                <w:color w:val="auto"/>
                <w:sz w:val="21"/>
                <w:szCs w:val="21"/>
                <w:highlight w:val="none"/>
                <w:lang w:val="en-US" w:eastAsia="zh-CN"/>
              </w:rPr>
              <w:t>2</w:t>
            </w:r>
            <w:r>
              <w:rPr>
                <w:rFonts w:hint="eastAsia" w:ascii="宋体" w:hAnsi="宋体" w:eastAsia="宋体" w:cs="宋体"/>
                <w:color w:val="auto"/>
                <w:sz w:val="21"/>
                <w:szCs w:val="21"/>
                <w:highlight w:val="none"/>
                <w:lang w:val="zh-CN"/>
              </w:rPr>
              <w:t>分。</w:t>
            </w:r>
            <w:r>
              <w:rPr>
                <w:rFonts w:hint="eastAsia" w:ascii="宋体" w:hAnsi="宋体" w:eastAsia="宋体" w:cs="宋体"/>
                <w:color w:val="auto"/>
                <w:sz w:val="21"/>
                <w:szCs w:val="21"/>
                <w:highlight w:val="none"/>
                <w:lang w:val="zh-CN" w:eastAsia="zh-CN"/>
              </w:rPr>
              <w:t>（</w:t>
            </w:r>
            <w:r>
              <w:rPr>
                <w:rFonts w:hint="eastAsia" w:ascii="宋体" w:hAnsi="宋体" w:eastAsia="宋体" w:cs="宋体"/>
                <w:color w:val="auto"/>
                <w:sz w:val="21"/>
                <w:szCs w:val="21"/>
                <w:highlight w:val="none"/>
                <w:lang w:val="zh-CN"/>
              </w:rPr>
              <w:t>提供</w:t>
            </w:r>
            <w:r>
              <w:rPr>
                <w:rFonts w:hint="eastAsia" w:ascii="宋体" w:hAnsi="宋体" w:eastAsia="宋体" w:cs="宋体"/>
                <w:color w:val="auto"/>
                <w:sz w:val="21"/>
                <w:szCs w:val="21"/>
                <w:highlight w:val="none"/>
                <w:lang w:val="en-US" w:eastAsia="zh-CN"/>
              </w:rPr>
              <w:t>有效的证书扫描件</w:t>
            </w:r>
            <w:r>
              <w:rPr>
                <w:rFonts w:hint="eastAsia" w:ascii="宋体" w:hAnsi="宋体" w:eastAsia="宋体" w:cs="宋体"/>
                <w:color w:val="auto"/>
                <w:sz w:val="21"/>
                <w:szCs w:val="21"/>
                <w:highlight w:val="none"/>
                <w:lang w:val="zh-CN" w:eastAsia="zh-CN"/>
              </w:rPr>
              <w:t>）</w:t>
            </w:r>
          </w:p>
        </w:tc>
        <w:tc>
          <w:tcPr>
            <w:tcW w:w="1401" w:type="dxa"/>
            <w:tcBorders>
              <w:top w:val="single" w:color="auto" w:sz="4" w:space="0"/>
              <w:left w:val="single" w:color="auto" w:sz="4" w:space="0"/>
              <w:right w:val="single" w:color="auto" w:sz="12" w:space="0"/>
            </w:tcBorders>
            <w:noWrap/>
            <w:vAlign w:val="center"/>
          </w:tcPr>
          <w:p w14:paraId="7A18ECE1">
            <w:pPr>
              <w:keepNext/>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en-US" w:eastAsia="zh-CN"/>
              </w:rPr>
              <w:t>0</w:t>
            </w:r>
            <w:r>
              <w:rPr>
                <w:rFonts w:hint="eastAsia" w:ascii="宋体" w:hAnsi="宋体" w:eastAsia="宋体" w:cs="宋体"/>
                <w:color w:val="auto"/>
                <w:sz w:val="21"/>
                <w:szCs w:val="21"/>
                <w:highlight w:val="none"/>
                <w:lang w:val="zh-CN"/>
              </w:rPr>
              <w:t>-</w:t>
            </w:r>
            <w:r>
              <w:rPr>
                <w:rFonts w:hint="eastAsia" w:ascii="宋体" w:hAnsi="宋体" w:cs="宋体"/>
                <w:color w:val="auto"/>
                <w:sz w:val="21"/>
                <w:szCs w:val="21"/>
                <w:highlight w:val="none"/>
                <w:lang w:val="en-US" w:eastAsia="zh-CN"/>
              </w:rPr>
              <w:t>2</w:t>
            </w:r>
            <w:r>
              <w:rPr>
                <w:rFonts w:hint="eastAsia" w:ascii="宋体" w:hAnsi="宋体" w:eastAsia="宋体" w:cs="宋体"/>
                <w:color w:val="auto"/>
                <w:sz w:val="21"/>
                <w:szCs w:val="21"/>
                <w:highlight w:val="none"/>
                <w:lang w:val="zh-CN"/>
              </w:rPr>
              <w:t>分</w:t>
            </w:r>
          </w:p>
        </w:tc>
      </w:tr>
      <w:tr w14:paraId="38AF7AB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193" w:hRule="atLeast"/>
        </w:trPr>
        <w:tc>
          <w:tcPr>
            <w:tcW w:w="731" w:type="dxa"/>
            <w:vMerge w:val="restart"/>
            <w:tcBorders>
              <w:top w:val="single" w:color="auto" w:sz="4" w:space="0"/>
              <w:left w:val="single" w:color="auto" w:sz="12" w:space="0"/>
              <w:right w:val="single" w:color="auto" w:sz="4" w:space="0"/>
            </w:tcBorders>
            <w:noWrap/>
            <w:vAlign w:val="center"/>
          </w:tcPr>
          <w:p w14:paraId="25BDACF5">
            <w:pPr>
              <w:keepNext/>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3</w:t>
            </w:r>
          </w:p>
        </w:tc>
        <w:tc>
          <w:tcPr>
            <w:tcW w:w="1230" w:type="dxa"/>
            <w:vMerge w:val="restart"/>
            <w:tcBorders>
              <w:top w:val="single" w:color="auto" w:sz="4" w:space="0"/>
              <w:left w:val="single" w:color="auto" w:sz="4" w:space="0"/>
              <w:right w:val="single" w:color="auto" w:sz="4" w:space="0"/>
            </w:tcBorders>
            <w:noWrap/>
            <w:vAlign w:val="center"/>
          </w:tcPr>
          <w:p w14:paraId="2CC13EBA">
            <w:pPr>
              <w:keepNext/>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en-US" w:eastAsia="zh-CN"/>
              </w:rPr>
              <w:t>项目人员配置</w:t>
            </w:r>
          </w:p>
        </w:tc>
        <w:tc>
          <w:tcPr>
            <w:tcW w:w="5567" w:type="dxa"/>
            <w:tcBorders>
              <w:top w:val="single" w:color="auto" w:sz="4" w:space="0"/>
              <w:left w:val="single" w:color="auto" w:sz="4" w:space="0"/>
              <w:right w:val="single" w:color="auto" w:sz="4" w:space="0"/>
            </w:tcBorders>
            <w:noWrap/>
            <w:vAlign w:val="center"/>
          </w:tcPr>
          <w:p w14:paraId="6BA41C38">
            <w:pPr>
              <w:keepNext/>
              <w:spacing w:line="240" w:lineRule="auto"/>
              <w:jc w:val="left"/>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（1）</w:t>
            </w:r>
            <w:r>
              <w:rPr>
                <w:rFonts w:hint="eastAsia" w:ascii="宋体" w:hAnsi="宋体" w:eastAsia="宋体" w:cs="宋体"/>
                <w:color w:val="auto"/>
                <w:sz w:val="21"/>
                <w:szCs w:val="21"/>
                <w:highlight w:val="none"/>
                <w:lang w:val="en-US" w:eastAsia="zh-CN"/>
              </w:rPr>
              <w:t>拟派项目负责人具备</w:t>
            </w:r>
            <w:r>
              <w:rPr>
                <w:rFonts w:hint="eastAsia" w:ascii="宋体" w:hAnsi="宋体" w:cs="宋体"/>
                <w:color w:val="auto"/>
                <w:sz w:val="21"/>
                <w:szCs w:val="21"/>
                <w:highlight w:val="none"/>
                <w:lang w:val="en-US" w:eastAsia="zh-CN"/>
              </w:rPr>
              <w:t>公路工程或机电工程相关专业</w:t>
            </w:r>
            <w:r>
              <w:rPr>
                <w:rFonts w:hint="eastAsia" w:ascii="宋体" w:hAnsi="宋体" w:eastAsia="宋体" w:cs="宋体"/>
                <w:color w:val="auto"/>
                <w:sz w:val="21"/>
                <w:szCs w:val="21"/>
                <w:highlight w:val="none"/>
                <w:lang w:val="en-US" w:eastAsia="zh-CN"/>
              </w:rPr>
              <w:t>中级职称的得</w:t>
            </w:r>
            <w:r>
              <w:rPr>
                <w:rFonts w:hint="eastAsia" w:ascii="宋体" w:hAnsi="宋体" w:cs="宋体"/>
                <w:color w:val="auto"/>
                <w:sz w:val="21"/>
                <w:szCs w:val="21"/>
                <w:highlight w:val="none"/>
                <w:lang w:val="en-US" w:eastAsia="zh-CN"/>
              </w:rPr>
              <w:t>2</w:t>
            </w:r>
            <w:r>
              <w:rPr>
                <w:rFonts w:hint="eastAsia" w:ascii="宋体" w:hAnsi="宋体" w:eastAsia="宋体" w:cs="宋体"/>
                <w:color w:val="auto"/>
                <w:sz w:val="21"/>
                <w:szCs w:val="21"/>
                <w:highlight w:val="none"/>
                <w:lang w:val="en-US" w:eastAsia="zh-CN"/>
              </w:rPr>
              <w:t>分，具备</w:t>
            </w:r>
            <w:r>
              <w:rPr>
                <w:rFonts w:hint="eastAsia" w:ascii="宋体" w:hAnsi="宋体" w:cs="宋体"/>
                <w:color w:val="auto"/>
                <w:sz w:val="21"/>
                <w:szCs w:val="21"/>
                <w:highlight w:val="none"/>
                <w:lang w:val="en-US" w:eastAsia="zh-CN"/>
              </w:rPr>
              <w:t>公路工程或机电工程相关专业</w:t>
            </w:r>
            <w:r>
              <w:rPr>
                <w:rFonts w:hint="eastAsia" w:ascii="宋体" w:hAnsi="宋体" w:eastAsia="宋体" w:cs="宋体"/>
                <w:color w:val="auto"/>
                <w:sz w:val="21"/>
                <w:szCs w:val="21"/>
                <w:highlight w:val="none"/>
                <w:lang w:val="en-US" w:eastAsia="zh-CN"/>
              </w:rPr>
              <w:t>高级及以上职称的得</w:t>
            </w:r>
            <w:r>
              <w:rPr>
                <w:rFonts w:hint="eastAsia" w:ascii="宋体" w:hAnsi="宋体" w:cs="宋体"/>
                <w:color w:val="auto"/>
                <w:sz w:val="21"/>
                <w:szCs w:val="21"/>
                <w:highlight w:val="none"/>
                <w:lang w:val="en-US" w:eastAsia="zh-CN"/>
              </w:rPr>
              <w:t>3</w:t>
            </w:r>
            <w:r>
              <w:rPr>
                <w:rFonts w:hint="eastAsia" w:ascii="宋体" w:hAnsi="宋体" w:eastAsia="宋体" w:cs="宋体"/>
                <w:color w:val="auto"/>
                <w:sz w:val="21"/>
                <w:szCs w:val="21"/>
                <w:highlight w:val="none"/>
                <w:lang w:val="en-US" w:eastAsia="zh-CN"/>
              </w:rPr>
              <w:t>分，最高得</w:t>
            </w:r>
            <w:r>
              <w:rPr>
                <w:rFonts w:hint="eastAsia" w:ascii="宋体" w:hAnsi="宋体" w:cs="宋体"/>
                <w:color w:val="auto"/>
                <w:sz w:val="21"/>
                <w:szCs w:val="21"/>
                <w:highlight w:val="none"/>
                <w:lang w:val="en-US" w:eastAsia="zh-CN"/>
              </w:rPr>
              <w:t>3</w:t>
            </w:r>
            <w:r>
              <w:rPr>
                <w:rFonts w:hint="eastAsia" w:ascii="宋体" w:hAnsi="宋体" w:eastAsia="宋体" w:cs="宋体"/>
                <w:color w:val="auto"/>
                <w:sz w:val="21"/>
                <w:szCs w:val="21"/>
                <w:highlight w:val="none"/>
                <w:lang w:val="en-US" w:eastAsia="zh-CN"/>
              </w:rPr>
              <w:t>分。</w:t>
            </w:r>
          </w:p>
          <w:p w14:paraId="5898E76D">
            <w:pPr>
              <w:keepNext/>
              <w:spacing w:line="240" w:lineRule="auto"/>
              <w:jc w:val="left"/>
              <w:rPr>
                <w:rFonts w:hint="default" w:eastAsia="宋体"/>
                <w:lang w:val="en-US" w:eastAsia="zh-CN"/>
              </w:rPr>
            </w:pPr>
            <w:r>
              <w:rPr>
                <w:rFonts w:hint="eastAsia"/>
              </w:rPr>
              <w:t>（</w:t>
            </w:r>
            <w:r>
              <w:rPr>
                <w:rFonts w:hint="eastAsia"/>
                <w:lang w:val="en-US" w:eastAsia="zh-CN"/>
              </w:rPr>
              <w:t>2</w:t>
            </w:r>
            <w:r>
              <w:rPr>
                <w:rFonts w:hint="eastAsia"/>
              </w:rPr>
              <w:t>）拟派项目</w:t>
            </w:r>
            <w:r>
              <w:rPr>
                <w:rFonts w:hint="eastAsia"/>
                <w:lang w:val="en-US" w:eastAsia="zh-CN"/>
              </w:rPr>
              <w:t>负责人</w:t>
            </w:r>
            <w:r>
              <w:rPr>
                <w:rFonts w:hint="eastAsia"/>
              </w:rPr>
              <w:t>须具备机电工程注册建造师二级及以上，</w:t>
            </w:r>
            <w:r>
              <w:rPr>
                <w:rFonts w:hint="eastAsia"/>
                <w:lang w:val="en-US" w:eastAsia="zh-CN"/>
              </w:rPr>
              <w:t>得3分，最高得3分。</w:t>
            </w:r>
          </w:p>
          <w:p w14:paraId="6A077DF1">
            <w:pPr>
              <w:keepNext/>
              <w:spacing w:line="240" w:lineRule="auto"/>
              <w:jc w:val="left"/>
              <w:rPr>
                <w:rFonts w:hint="default" w:eastAsia="宋体"/>
                <w:lang w:val="en-US" w:eastAsia="zh-CN"/>
              </w:rPr>
            </w:pPr>
            <w:r>
              <w:rPr>
                <w:rFonts w:hint="eastAsia"/>
                <w:lang w:eastAsia="zh-CN"/>
              </w:rPr>
              <w:t>（</w:t>
            </w:r>
            <w:r>
              <w:rPr>
                <w:rFonts w:hint="eastAsia"/>
                <w:lang w:val="en-US" w:eastAsia="zh-CN"/>
              </w:rPr>
              <w:t>3</w:t>
            </w:r>
            <w:r>
              <w:rPr>
                <w:rFonts w:hint="eastAsia"/>
                <w:lang w:eastAsia="zh-CN"/>
              </w:rPr>
              <w:t>）</w:t>
            </w:r>
            <w:r>
              <w:rPr>
                <w:rFonts w:hint="eastAsia"/>
              </w:rPr>
              <w:t>具备有效的安全生产考核合格证书（B证）</w:t>
            </w:r>
            <w:r>
              <w:rPr>
                <w:rFonts w:hint="eastAsia"/>
                <w:lang w:eastAsia="zh-CN"/>
              </w:rPr>
              <w:t>，</w:t>
            </w:r>
            <w:r>
              <w:rPr>
                <w:rFonts w:hint="eastAsia"/>
                <w:lang w:val="en-US" w:eastAsia="zh-CN"/>
              </w:rPr>
              <w:t>得3分，最高得3分。</w:t>
            </w:r>
          </w:p>
          <w:p w14:paraId="225626A9">
            <w:pPr>
              <w:keepNext/>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en-US" w:eastAsia="zh-CN"/>
              </w:rPr>
              <w:t>注：须提供证书及社保证明扫描件</w:t>
            </w:r>
            <w:r>
              <w:rPr>
                <w:rFonts w:hint="eastAsia" w:ascii="宋体" w:hAnsi="宋体" w:cs="宋体"/>
                <w:color w:val="auto"/>
                <w:sz w:val="21"/>
                <w:szCs w:val="21"/>
                <w:highlight w:val="none"/>
                <w:lang w:val="en-US" w:eastAsia="zh-CN"/>
              </w:rPr>
              <w:t>（2025年1月至7月中任意连续三个月的社保证明）</w:t>
            </w:r>
            <w:r>
              <w:rPr>
                <w:rFonts w:hint="eastAsia" w:ascii="宋体" w:hAnsi="宋体" w:eastAsia="宋体" w:cs="宋体"/>
                <w:color w:val="auto"/>
                <w:sz w:val="21"/>
                <w:szCs w:val="21"/>
                <w:highlight w:val="none"/>
                <w:lang w:val="en-US" w:eastAsia="zh-CN"/>
              </w:rPr>
              <w:t>。</w:t>
            </w:r>
          </w:p>
        </w:tc>
        <w:tc>
          <w:tcPr>
            <w:tcW w:w="1401" w:type="dxa"/>
            <w:tcBorders>
              <w:top w:val="single" w:color="auto" w:sz="4" w:space="0"/>
              <w:left w:val="single" w:color="auto" w:sz="4" w:space="0"/>
              <w:right w:val="single" w:color="auto" w:sz="12" w:space="0"/>
            </w:tcBorders>
            <w:noWrap/>
            <w:vAlign w:val="center"/>
          </w:tcPr>
          <w:p w14:paraId="247E538C">
            <w:pPr>
              <w:keepNext/>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0-9</w:t>
            </w:r>
            <w:r>
              <w:rPr>
                <w:rFonts w:hint="eastAsia" w:ascii="宋体" w:hAnsi="宋体" w:eastAsia="宋体" w:cs="宋体"/>
                <w:color w:val="auto"/>
                <w:sz w:val="21"/>
                <w:szCs w:val="21"/>
                <w:highlight w:val="none"/>
                <w:lang w:val="en-US" w:eastAsia="zh-CN"/>
              </w:rPr>
              <w:t>分</w:t>
            </w:r>
          </w:p>
        </w:tc>
      </w:tr>
      <w:tr w14:paraId="6DECE16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193" w:hRule="atLeast"/>
        </w:trPr>
        <w:tc>
          <w:tcPr>
            <w:tcW w:w="731" w:type="dxa"/>
            <w:vMerge w:val="continue"/>
            <w:tcBorders>
              <w:top w:val="single" w:color="auto" w:sz="4" w:space="0"/>
              <w:left w:val="single" w:color="auto" w:sz="12" w:space="0"/>
              <w:right w:val="single" w:color="auto" w:sz="4" w:space="0"/>
            </w:tcBorders>
            <w:noWrap/>
            <w:vAlign w:val="center"/>
          </w:tcPr>
          <w:p w14:paraId="775AEE44"/>
        </w:tc>
        <w:tc>
          <w:tcPr>
            <w:tcW w:w="1230" w:type="dxa"/>
            <w:vMerge w:val="continue"/>
            <w:tcBorders>
              <w:top w:val="single" w:color="auto" w:sz="4" w:space="0"/>
              <w:left w:val="single" w:color="auto" w:sz="4" w:space="0"/>
              <w:right w:val="single" w:color="auto" w:sz="4" w:space="0"/>
            </w:tcBorders>
            <w:noWrap/>
            <w:vAlign w:val="center"/>
          </w:tcPr>
          <w:p w14:paraId="7BEF0A5F"/>
        </w:tc>
        <w:tc>
          <w:tcPr>
            <w:tcW w:w="5567" w:type="dxa"/>
            <w:tcBorders>
              <w:top w:val="single" w:color="auto" w:sz="4" w:space="0"/>
              <w:left w:val="single" w:color="auto" w:sz="4" w:space="0"/>
              <w:right w:val="single" w:color="auto" w:sz="4" w:space="0"/>
            </w:tcBorders>
            <w:noWrap/>
            <w:vAlign w:val="center"/>
          </w:tcPr>
          <w:p w14:paraId="5AF3DF3E">
            <w:pPr>
              <w:keepNext/>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auto"/>
                <w:sz w:val="21"/>
                <w:szCs w:val="21"/>
                <w:highlight w:val="none"/>
                <w:lang w:val="zh-CN" w:eastAsia="zh-CN"/>
              </w:rPr>
            </w:pPr>
            <w:r>
              <w:rPr>
                <w:rFonts w:hint="eastAsia" w:ascii="宋体" w:hAnsi="宋体" w:eastAsia="宋体" w:cs="宋体"/>
                <w:color w:val="auto"/>
                <w:sz w:val="21"/>
                <w:szCs w:val="21"/>
                <w:highlight w:val="none"/>
                <w:lang w:val="zh-CN" w:eastAsia="zh-CN"/>
              </w:rPr>
              <w:t>项目组</w:t>
            </w:r>
            <w:r>
              <w:rPr>
                <w:rFonts w:hint="eastAsia" w:ascii="宋体" w:hAnsi="宋体" w:eastAsia="宋体" w:cs="宋体"/>
                <w:color w:val="auto"/>
                <w:sz w:val="21"/>
                <w:szCs w:val="21"/>
                <w:highlight w:val="none"/>
                <w:lang w:val="en-US" w:eastAsia="zh-CN"/>
              </w:rPr>
              <w:t>其他</w:t>
            </w:r>
            <w:r>
              <w:rPr>
                <w:rFonts w:hint="eastAsia" w:ascii="宋体" w:hAnsi="宋体" w:eastAsia="宋体" w:cs="宋体"/>
                <w:color w:val="auto"/>
                <w:sz w:val="21"/>
                <w:szCs w:val="21"/>
                <w:highlight w:val="none"/>
                <w:lang w:val="zh-CN" w:eastAsia="zh-CN"/>
              </w:rPr>
              <w:t>人员配备情况：</w:t>
            </w:r>
          </w:p>
          <w:p w14:paraId="3665FE9D">
            <w:pPr>
              <w:keepNext/>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拟派项目技术负责人具备</w:t>
            </w:r>
            <w:r>
              <w:rPr>
                <w:rFonts w:hint="eastAsia" w:ascii="宋体" w:hAnsi="宋体" w:cs="宋体"/>
                <w:color w:val="auto"/>
                <w:sz w:val="21"/>
                <w:szCs w:val="21"/>
                <w:highlight w:val="none"/>
                <w:lang w:val="en-US" w:eastAsia="zh-CN"/>
              </w:rPr>
              <w:t>公路工程或机电工程相关专业</w:t>
            </w:r>
            <w:r>
              <w:rPr>
                <w:rFonts w:hint="eastAsia" w:ascii="宋体" w:hAnsi="宋体" w:eastAsia="宋体" w:cs="宋体"/>
                <w:color w:val="auto"/>
                <w:sz w:val="21"/>
                <w:szCs w:val="21"/>
                <w:highlight w:val="none"/>
                <w:lang w:val="en-US" w:eastAsia="zh-CN"/>
              </w:rPr>
              <w:t>中级职称的得</w:t>
            </w:r>
            <w:r>
              <w:rPr>
                <w:rFonts w:hint="eastAsia" w:ascii="宋体" w:hAnsi="宋体" w:cs="宋体"/>
                <w:color w:val="auto"/>
                <w:sz w:val="21"/>
                <w:szCs w:val="21"/>
                <w:highlight w:val="none"/>
                <w:lang w:val="en-US" w:eastAsia="zh-CN"/>
              </w:rPr>
              <w:t>2</w:t>
            </w:r>
            <w:r>
              <w:rPr>
                <w:rFonts w:hint="eastAsia" w:ascii="宋体" w:hAnsi="宋体" w:eastAsia="宋体" w:cs="宋体"/>
                <w:color w:val="auto"/>
                <w:sz w:val="21"/>
                <w:szCs w:val="21"/>
                <w:highlight w:val="none"/>
                <w:lang w:val="en-US" w:eastAsia="zh-CN"/>
              </w:rPr>
              <w:t>分，具备</w:t>
            </w:r>
            <w:r>
              <w:rPr>
                <w:rFonts w:hint="eastAsia" w:ascii="宋体" w:hAnsi="宋体" w:cs="宋体"/>
                <w:color w:val="auto"/>
                <w:sz w:val="21"/>
                <w:szCs w:val="21"/>
                <w:highlight w:val="none"/>
                <w:lang w:val="en-US" w:eastAsia="zh-CN"/>
              </w:rPr>
              <w:t>公路工程或机电工程相关专业</w:t>
            </w:r>
            <w:r>
              <w:rPr>
                <w:rFonts w:hint="eastAsia" w:ascii="宋体" w:hAnsi="宋体" w:eastAsia="宋体" w:cs="宋体"/>
                <w:color w:val="auto"/>
                <w:sz w:val="21"/>
                <w:szCs w:val="21"/>
                <w:highlight w:val="none"/>
                <w:lang w:val="en-US" w:eastAsia="zh-CN"/>
              </w:rPr>
              <w:t>高级及以上职称的得</w:t>
            </w:r>
            <w:r>
              <w:rPr>
                <w:rFonts w:hint="eastAsia" w:ascii="宋体" w:hAnsi="宋体" w:cs="宋体"/>
                <w:color w:val="auto"/>
                <w:sz w:val="21"/>
                <w:szCs w:val="21"/>
                <w:highlight w:val="none"/>
                <w:lang w:val="en-US" w:eastAsia="zh-CN"/>
              </w:rPr>
              <w:t>3</w:t>
            </w:r>
            <w:r>
              <w:rPr>
                <w:rFonts w:hint="eastAsia" w:ascii="宋体" w:hAnsi="宋体" w:eastAsia="宋体" w:cs="宋体"/>
                <w:color w:val="auto"/>
                <w:sz w:val="21"/>
                <w:szCs w:val="21"/>
                <w:highlight w:val="none"/>
                <w:lang w:val="en-US" w:eastAsia="zh-CN"/>
              </w:rPr>
              <w:t>分，最高得</w:t>
            </w:r>
            <w:r>
              <w:rPr>
                <w:rFonts w:hint="eastAsia" w:ascii="宋体" w:hAnsi="宋体" w:cs="宋体"/>
                <w:color w:val="auto"/>
                <w:sz w:val="21"/>
                <w:szCs w:val="21"/>
                <w:highlight w:val="none"/>
                <w:lang w:val="en-US" w:eastAsia="zh-CN"/>
              </w:rPr>
              <w:t>3</w:t>
            </w:r>
            <w:r>
              <w:rPr>
                <w:rFonts w:hint="eastAsia" w:ascii="宋体" w:hAnsi="宋体" w:eastAsia="宋体" w:cs="宋体"/>
                <w:color w:val="auto"/>
                <w:sz w:val="21"/>
                <w:szCs w:val="21"/>
                <w:highlight w:val="none"/>
                <w:lang w:val="en-US" w:eastAsia="zh-CN"/>
              </w:rPr>
              <w:t>分</w:t>
            </w:r>
          </w:p>
          <w:p w14:paraId="48AC0DE2">
            <w:pPr>
              <w:keepNext/>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注：须提供证书及社保证明扫描件。</w:t>
            </w:r>
          </w:p>
          <w:p w14:paraId="4A0A4D3A">
            <w:pPr>
              <w:keepNext/>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施工员、安全员、质量员具备中级及以上职称，每人得2分，最高6分</w:t>
            </w:r>
          </w:p>
          <w:p w14:paraId="3DA37DB3">
            <w:pPr>
              <w:keepNext/>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en-US" w:eastAsia="zh-CN"/>
              </w:rPr>
              <w:t>注：须提供证书及社保证明扫描件</w:t>
            </w:r>
            <w:r>
              <w:rPr>
                <w:rFonts w:hint="eastAsia" w:ascii="宋体" w:hAnsi="宋体" w:cs="宋体"/>
                <w:color w:val="auto"/>
                <w:sz w:val="21"/>
                <w:szCs w:val="21"/>
                <w:highlight w:val="none"/>
                <w:lang w:val="en-US" w:eastAsia="zh-CN"/>
              </w:rPr>
              <w:t>（2025年1月至7月中任意连续三个月的社保证明）</w:t>
            </w:r>
            <w:r>
              <w:rPr>
                <w:rFonts w:hint="eastAsia" w:ascii="宋体" w:hAnsi="宋体" w:eastAsia="宋体" w:cs="宋体"/>
                <w:color w:val="auto"/>
                <w:sz w:val="21"/>
                <w:szCs w:val="21"/>
                <w:highlight w:val="none"/>
                <w:lang w:val="en-US" w:eastAsia="zh-CN"/>
              </w:rPr>
              <w:t>。</w:t>
            </w:r>
          </w:p>
        </w:tc>
        <w:tc>
          <w:tcPr>
            <w:tcW w:w="1401" w:type="dxa"/>
            <w:tcBorders>
              <w:top w:val="single" w:color="auto" w:sz="4" w:space="0"/>
              <w:left w:val="single" w:color="auto" w:sz="4" w:space="0"/>
              <w:right w:val="single" w:color="auto" w:sz="12" w:space="0"/>
            </w:tcBorders>
            <w:noWrap/>
            <w:vAlign w:val="center"/>
          </w:tcPr>
          <w:p w14:paraId="2112951B">
            <w:pPr>
              <w:keepNext/>
              <w:keepLines w:val="0"/>
              <w:pageBreakBefore w:val="0"/>
              <w:widowControl w:val="0"/>
              <w:kinsoku/>
              <w:wordWrap/>
              <w:overflowPunct/>
              <w:topLinePunct w:val="0"/>
              <w:autoSpaceDE/>
              <w:autoSpaceDN/>
              <w:bidi w:val="0"/>
              <w:adjustRightInd/>
              <w:snapToGrid/>
              <w:spacing w:line="240" w:lineRule="auto"/>
              <w:jc w:val="center"/>
              <w:textAlignment w:val="auto"/>
              <w:rPr>
                <w:rFonts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0-9分</w:t>
            </w:r>
          </w:p>
        </w:tc>
      </w:tr>
      <w:tr w14:paraId="0716DE7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011" w:hRule="atLeast"/>
        </w:trPr>
        <w:tc>
          <w:tcPr>
            <w:tcW w:w="731" w:type="dxa"/>
            <w:tcBorders>
              <w:top w:val="single" w:color="auto" w:sz="4" w:space="0"/>
              <w:left w:val="single" w:color="auto" w:sz="12" w:space="0"/>
              <w:right w:val="single" w:color="auto" w:sz="4" w:space="0"/>
            </w:tcBorders>
            <w:noWrap/>
            <w:vAlign w:val="center"/>
          </w:tcPr>
          <w:p w14:paraId="21C3561D">
            <w:pPr>
              <w:keepNext/>
              <w:keepLines w:val="0"/>
              <w:pageBreakBefore w:val="0"/>
              <w:widowControl w:val="0"/>
              <w:kinsoku/>
              <w:wordWrap/>
              <w:overflowPunct/>
              <w:topLinePunct w:val="0"/>
              <w:autoSpaceDE/>
              <w:autoSpaceDN/>
              <w:bidi w:val="0"/>
              <w:adjustRightInd/>
              <w:spacing w:line="240" w:lineRule="auto"/>
              <w:ind w:left="0" w:firstLine="0"/>
              <w:jc w:val="center"/>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4</w:t>
            </w:r>
          </w:p>
        </w:tc>
        <w:tc>
          <w:tcPr>
            <w:tcW w:w="1230" w:type="dxa"/>
            <w:tcBorders>
              <w:top w:val="single" w:color="auto" w:sz="4" w:space="0"/>
              <w:left w:val="single" w:color="auto" w:sz="4" w:space="0"/>
              <w:right w:val="single" w:color="auto" w:sz="4" w:space="0"/>
            </w:tcBorders>
            <w:noWrap/>
            <w:vAlign w:val="center"/>
          </w:tcPr>
          <w:p w14:paraId="66613EE7">
            <w:pPr>
              <w:keepNext/>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zh-CN" w:eastAsia="zh-CN"/>
              </w:rPr>
              <w:t>本项目的重难点的解决措施及合理化建议</w:t>
            </w:r>
          </w:p>
        </w:tc>
        <w:tc>
          <w:tcPr>
            <w:tcW w:w="5567" w:type="dxa"/>
            <w:tcBorders>
              <w:top w:val="single" w:color="auto" w:sz="4" w:space="0"/>
              <w:left w:val="single" w:color="auto" w:sz="4" w:space="0"/>
              <w:right w:val="single" w:color="auto" w:sz="4" w:space="0"/>
            </w:tcBorders>
            <w:noWrap/>
            <w:vAlign w:val="center"/>
          </w:tcPr>
          <w:p w14:paraId="34847932">
            <w:pPr>
              <w:keepNext/>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auto"/>
                <w:sz w:val="21"/>
                <w:szCs w:val="21"/>
                <w:highlight w:val="none"/>
                <w:lang w:val="zh-CN" w:eastAsia="zh-CN"/>
              </w:rPr>
            </w:pPr>
            <w:r>
              <w:rPr>
                <w:rFonts w:hint="eastAsia" w:ascii="宋体" w:hAnsi="宋体" w:eastAsia="宋体" w:cs="宋体"/>
                <w:color w:val="auto"/>
                <w:sz w:val="21"/>
                <w:szCs w:val="21"/>
                <w:highlight w:val="none"/>
                <w:lang w:val="zh-CN" w:eastAsia="zh-CN"/>
              </w:rPr>
              <w:t>根据供应商针对本项目的重难点的解决措施及合理化建议，由磋商小组进行打分：</w:t>
            </w:r>
          </w:p>
          <w:p w14:paraId="4E508806">
            <w:pPr>
              <w:keepNext/>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zh-CN" w:eastAsia="zh-CN"/>
              </w:rPr>
              <w:t>解决措施及合理化建议全面、合理，具有针对性，得</w:t>
            </w:r>
            <w:r>
              <w:rPr>
                <w:rFonts w:hint="eastAsia" w:ascii="宋体" w:hAnsi="宋体" w:cs="宋体"/>
                <w:color w:val="auto"/>
                <w:sz w:val="21"/>
                <w:szCs w:val="21"/>
                <w:highlight w:val="none"/>
                <w:lang w:val="en-US" w:eastAsia="zh-CN"/>
              </w:rPr>
              <w:t>5</w:t>
            </w:r>
            <w:r>
              <w:rPr>
                <w:rFonts w:hint="eastAsia" w:ascii="宋体" w:hAnsi="宋体" w:eastAsia="宋体" w:cs="宋体"/>
                <w:color w:val="auto"/>
                <w:sz w:val="21"/>
                <w:szCs w:val="21"/>
                <w:highlight w:val="none"/>
                <w:lang w:val="zh-CN" w:eastAsia="zh-CN"/>
              </w:rPr>
              <w:t>分</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lang w:val="zh-CN" w:eastAsia="zh-CN"/>
              </w:rPr>
              <w:t>解决措施及合理化建议较全面、合理，相对具有针对性，得</w:t>
            </w:r>
            <w:r>
              <w:rPr>
                <w:rFonts w:hint="eastAsia" w:ascii="宋体" w:hAnsi="宋体" w:cs="宋体"/>
                <w:color w:val="auto"/>
                <w:sz w:val="21"/>
                <w:szCs w:val="21"/>
                <w:highlight w:val="none"/>
                <w:lang w:val="en-US" w:eastAsia="zh-CN"/>
              </w:rPr>
              <w:t>4</w:t>
            </w:r>
            <w:r>
              <w:rPr>
                <w:rFonts w:hint="eastAsia" w:ascii="宋体" w:hAnsi="宋体" w:eastAsia="宋体" w:cs="宋体"/>
                <w:color w:val="auto"/>
                <w:sz w:val="21"/>
                <w:szCs w:val="21"/>
                <w:highlight w:val="none"/>
                <w:lang w:val="zh-CN" w:eastAsia="zh-CN"/>
              </w:rPr>
              <w:t>分</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lang w:val="zh-CN" w:eastAsia="zh-CN"/>
              </w:rPr>
              <w:t>解决措施及合理化建议</w:t>
            </w:r>
            <w:r>
              <w:rPr>
                <w:rFonts w:hint="eastAsia" w:ascii="宋体" w:hAnsi="宋体" w:eastAsia="宋体" w:cs="宋体"/>
                <w:color w:val="auto"/>
                <w:sz w:val="21"/>
                <w:szCs w:val="21"/>
                <w:highlight w:val="none"/>
                <w:lang w:val="en-US" w:eastAsia="zh-CN"/>
              </w:rPr>
              <w:t>内容一般得</w:t>
            </w:r>
            <w:r>
              <w:rPr>
                <w:rFonts w:hint="eastAsia" w:ascii="宋体" w:hAnsi="宋体" w:cs="宋体"/>
                <w:color w:val="auto"/>
                <w:sz w:val="21"/>
                <w:szCs w:val="21"/>
                <w:highlight w:val="none"/>
                <w:lang w:val="en-US" w:eastAsia="zh-CN"/>
              </w:rPr>
              <w:t>3</w:t>
            </w:r>
            <w:r>
              <w:rPr>
                <w:rFonts w:hint="eastAsia" w:ascii="宋体" w:hAnsi="宋体" w:eastAsia="宋体" w:cs="宋体"/>
                <w:color w:val="auto"/>
                <w:sz w:val="21"/>
                <w:szCs w:val="21"/>
                <w:highlight w:val="none"/>
                <w:lang w:val="en-US" w:eastAsia="zh-CN"/>
              </w:rPr>
              <w:t>分；</w:t>
            </w:r>
            <w:r>
              <w:rPr>
                <w:rFonts w:hint="eastAsia" w:ascii="宋体" w:hAnsi="宋体" w:eastAsia="宋体" w:cs="宋体"/>
                <w:color w:val="auto"/>
                <w:sz w:val="21"/>
                <w:szCs w:val="21"/>
                <w:highlight w:val="none"/>
                <w:lang w:val="zh-CN" w:eastAsia="zh-CN"/>
              </w:rPr>
              <w:t>解决措施及合理化建议不全面，得</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lang w:val="zh-CN" w:eastAsia="zh-CN"/>
              </w:rPr>
              <w:t>分</w:t>
            </w:r>
            <w:r>
              <w:rPr>
                <w:rFonts w:hint="eastAsia" w:ascii="宋体" w:hAnsi="宋体" w:eastAsia="宋体" w:cs="宋体"/>
                <w:color w:val="auto"/>
                <w:sz w:val="21"/>
                <w:szCs w:val="21"/>
                <w:highlight w:val="none"/>
                <w:lang w:val="en-US" w:eastAsia="zh-CN"/>
              </w:rPr>
              <w:t>；无此项内容不得分</w:t>
            </w:r>
            <w:r>
              <w:rPr>
                <w:rFonts w:hint="eastAsia" w:ascii="宋体" w:hAnsi="宋体" w:eastAsia="宋体" w:cs="宋体"/>
                <w:color w:val="auto"/>
                <w:sz w:val="21"/>
                <w:szCs w:val="21"/>
                <w:highlight w:val="none"/>
                <w:lang w:val="zh-CN" w:eastAsia="zh-CN"/>
              </w:rPr>
              <w:t>。</w:t>
            </w:r>
            <w:r>
              <w:rPr>
                <w:rFonts w:hint="eastAsia" w:ascii="宋体" w:hAnsi="宋体" w:eastAsia="宋体" w:cs="宋体"/>
                <w:color w:val="auto"/>
                <w:sz w:val="21"/>
                <w:szCs w:val="21"/>
                <w:highlight w:val="none"/>
                <w:lang w:val="en-US" w:eastAsia="zh-CN"/>
              </w:rPr>
              <w:t xml:space="preserve"> </w:t>
            </w:r>
          </w:p>
        </w:tc>
        <w:tc>
          <w:tcPr>
            <w:tcW w:w="1401" w:type="dxa"/>
            <w:tcBorders>
              <w:top w:val="single" w:color="auto" w:sz="4" w:space="0"/>
              <w:left w:val="single" w:color="auto" w:sz="4" w:space="0"/>
              <w:right w:val="single" w:color="auto" w:sz="12" w:space="0"/>
            </w:tcBorders>
            <w:noWrap/>
            <w:vAlign w:val="center"/>
          </w:tcPr>
          <w:p w14:paraId="78DD6DB9">
            <w:pPr>
              <w:keepNext/>
              <w:keepLines w:val="0"/>
              <w:pageBreakBefore w:val="0"/>
              <w:widowControl w:val="0"/>
              <w:kinsoku/>
              <w:wordWrap/>
              <w:overflowPunct/>
              <w:topLinePunct w:val="0"/>
              <w:autoSpaceDE/>
              <w:autoSpaceDN/>
              <w:bidi w:val="0"/>
              <w:adjustRightInd/>
              <w:spacing w:line="240" w:lineRule="auto"/>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0</w:t>
            </w:r>
            <w:r>
              <w:rPr>
                <w:rFonts w:hint="eastAsia" w:ascii="宋体" w:hAnsi="宋体" w:eastAsia="宋体" w:cs="宋体"/>
                <w:color w:val="auto"/>
                <w:sz w:val="21"/>
                <w:szCs w:val="21"/>
                <w:highlight w:val="none"/>
                <w:lang w:val="zh-CN"/>
              </w:rPr>
              <w:t>-</w:t>
            </w:r>
            <w:r>
              <w:rPr>
                <w:rFonts w:hint="eastAsia" w:ascii="宋体" w:hAnsi="宋体" w:cs="宋体"/>
                <w:color w:val="auto"/>
                <w:sz w:val="21"/>
                <w:szCs w:val="21"/>
                <w:highlight w:val="none"/>
                <w:lang w:val="en-US" w:eastAsia="zh-CN"/>
              </w:rPr>
              <w:t>5</w:t>
            </w:r>
            <w:r>
              <w:rPr>
                <w:rFonts w:hint="eastAsia" w:ascii="宋体" w:hAnsi="宋体" w:eastAsia="宋体" w:cs="宋体"/>
                <w:color w:val="auto"/>
                <w:sz w:val="21"/>
                <w:szCs w:val="21"/>
                <w:highlight w:val="none"/>
                <w:lang w:val="zh-CN"/>
              </w:rPr>
              <w:t>分</w:t>
            </w:r>
          </w:p>
        </w:tc>
      </w:tr>
      <w:tr w14:paraId="548C941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92" w:hRule="atLeast"/>
        </w:trPr>
        <w:tc>
          <w:tcPr>
            <w:tcW w:w="731" w:type="dxa"/>
            <w:vMerge w:val="restart"/>
            <w:tcBorders>
              <w:top w:val="single" w:color="auto" w:sz="4" w:space="0"/>
              <w:left w:val="single" w:color="auto" w:sz="12" w:space="0"/>
              <w:right w:val="single" w:color="auto" w:sz="4" w:space="0"/>
            </w:tcBorders>
            <w:noWrap/>
            <w:vAlign w:val="center"/>
          </w:tcPr>
          <w:p w14:paraId="3CB68EFB">
            <w:pPr>
              <w:keepNext/>
              <w:keepLines w:val="0"/>
              <w:pageBreakBefore w:val="0"/>
              <w:widowControl w:val="0"/>
              <w:kinsoku/>
              <w:wordWrap/>
              <w:overflowPunct/>
              <w:topLinePunct w:val="0"/>
              <w:autoSpaceDE/>
              <w:autoSpaceDN/>
              <w:bidi w:val="0"/>
              <w:adjustRightInd/>
              <w:spacing w:line="240" w:lineRule="auto"/>
              <w:ind w:left="0" w:firstLine="0"/>
              <w:jc w:val="center"/>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5</w:t>
            </w:r>
          </w:p>
        </w:tc>
        <w:tc>
          <w:tcPr>
            <w:tcW w:w="1230" w:type="dxa"/>
            <w:vMerge w:val="restart"/>
            <w:tcBorders>
              <w:top w:val="single" w:color="auto" w:sz="4" w:space="0"/>
              <w:left w:val="single" w:color="auto" w:sz="4" w:space="0"/>
              <w:right w:val="single" w:color="auto" w:sz="4" w:space="0"/>
            </w:tcBorders>
            <w:noWrap/>
            <w:vAlign w:val="center"/>
          </w:tcPr>
          <w:p w14:paraId="636CEBD3">
            <w:pPr>
              <w:tabs>
                <w:tab w:val="left" w:pos="0"/>
              </w:tabs>
              <w:spacing w:line="400" w:lineRule="exac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zh-CN" w:eastAsia="zh-CN"/>
              </w:rPr>
              <w:t>施工方案</w:t>
            </w:r>
          </w:p>
        </w:tc>
        <w:tc>
          <w:tcPr>
            <w:tcW w:w="5567" w:type="dxa"/>
            <w:tcBorders>
              <w:top w:val="single" w:color="auto" w:sz="4" w:space="0"/>
              <w:left w:val="single" w:color="auto" w:sz="4" w:space="0"/>
              <w:right w:val="single" w:color="auto" w:sz="4" w:space="0"/>
            </w:tcBorders>
            <w:noWrap/>
            <w:vAlign w:val="center"/>
          </w:tcPr>
          <w:p w14:paraId="40BE5DBA">
            <w:pPr>
              <w:keepNext/>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zh-CN" w:eastAsia="zh-CN"/>
              </w:rPr>
              <w:t>施工方案是否具有针对性，工程关键部位、针对特殊施工环境需要采取的施工技术和组织措施情况</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lang w:val="zh-CN" w:eastAsia="zh-CN"/>
              </w:rPr>
              <w:t>方案全面、合理，具有针对性，得</w:t>
            </w:r>
            <w:r>
              <w:rPr>
                <w:rFonts w:hint="eastAsia" w:ascii="宋体" w:hAnsi="宋体" w:cs="宋体"/>
                <w:color w:val="auto"/>
                <w:sz w:val="21"/>
                <w:szCs w:val="21"/>
                <w:highlight w:val="none"/>
                <w:lang w:val="en-US" w:eastAsia="zh-CN"/>
              </w:rPr>
              <w:t>5</w:t>
            </w:r>
            <w:r>
              <w:rPr>
                <w:rFonts w:hint="eastAsia" w:ascii="宋体" w:hAnsi="宋体" w:eastAsia="宋体" w:cs="宋体"/>
                <w:color w:val="auto"/>
                <w:sz w:val="21"/>
                <w:szCs w:val="21"/>
                <w:highlight w:val="none"/>
                <w:lang w:val="zh-CN" w:eastAsia="zh-CN"/>
              </w:rPr>
              <w:t>分</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lang w:val="zh-CN" w:eastAsia="zh-CN"/>
              </w:rPr>
              <w:t>方案较全面、合理，相对具有针对性，得</w:t>
            </w:r>
            <w:r>
              <w:rPr>
                <w:rFonts w:hint="eastAsia" w:ascii="宋体" w:hAnsi="宋体" w:cs="宋体"/>
                <w:color w:val="auto"/>
                <w:sz w:val="21"/>
                <w:szCs w:val="21"/>
                <w:highlight w:val="none"/>
                <w:lang w:val="en-US" w:eastAsia="zh-CN"/>
              </w:rPr>
              <w:t>4</w:t>
            </w:r>
            <w:r>
              <w:rPr>
                <w:rFonts w:hint="eastAsia" w:ascii="宋体" w:hAnsi="宋体" w:eastAsia="宋体" w:cs="宋体"/>
                <w:color w:val="auto"/>
                <w:sz w:val="21"/>
                <w:szCs w:val="21"/>
                <w:highlight w:val="none"/>
                <w:lang w:val="zh-CN" w:eastAsia="zh-CN"/>
              </w:rPr>
              <w:t>分</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lang w:val="zh-CN" w:eastAsia="zh-CN"/>
              </w:rPr>
              <w:t>方案</w:t>
            </w:r>
            <w:r>
              <w:rPr>
                <w:rFonts w:hint="eastAsia" w:ascii="宋体" w:hAnsi="宋体" w:eastAsia="宋体" w:cs="宋体"/>
                <w:color w:val="auto"/>
                <w:sz w:val="21"/>
                <w:szCs w:val="21"/>
                <w:highlight w:val="none"/>
                <w:lang w:val="en-US" w:eastAsia="zh-CN"/>
              </w:rPr>
              <w:t>内容一般得</w:t>
            </w:r>
            <w:r>
              <w:rPr>
                <w:rFonts w:hint="eastAsia" w:ascii="宋体" w:hAnsi="宋体" w:cs="宋体"/>
                <w:color w:val="auto"/>
                <w:sz w:val="21"/>
                <w:szCs w:val="21"/>
                <w:highlight w:val="none"/>
                <w:lang w:val="en-US" w:eastAsia="zh-CN"/>
              </w:rPr>
              <w:t>3</w:t>
            </w:r>
            <w:r>
              <w:rPr>
                <w:rFonts w:hint="eastAsia" w:ascii="宋体" w:hAnsi="宋体" w:eastAsia="宋体" w:cs="宋体"/>
                <w:color w:val="auto"/>
                <w:sz w:val="21"/>
                <w:szCs w:val="21"/>
                <w:highlight w:val="none"/>
                <w:lang w:val="en-US" w:eastAsia="zh-CN"/>
              </w:rPr>
              <w:t>分；</w:t>
            </w:r>
            <w:r>
              <w:rPr>
                <w:rFonts w:hint="eastAsia" w:ascii="宋体" w:hAnsi="宋体" w:eastAsia="宋体" w:cs="宋体"/>
                <w:color w:val="auto"/>
                <w:sz w:val="21"/>
                <w:szCs w:val="21"/>
                <w:highlight w:val="none"/>
                <w:lang w:val="zh-CN" w:eastAsia="zh-CN"/>
              </w:rPr>
              <w:t>方案不全面，得</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lang w:val="zh-CN" w:eastAsia="zh-CN"/>
              </w:rPr>
              <w:t>分</w:t>
            </w:r>
            <w:r>
              <w:rPr>
                <w:rFonts w:hint="eastAsia" w:ascii="宋体" w:hAnsi="宋体" w:eastAsia="宋体" w:cs="宋体"/>
                <w:color w:val="auto"/>
                <w:sz w:val="21"/>
                <w:szCs w:val="21"/>
                <w:highlight w:val="none"/>
                <w:lang w:val="en-US" w:eastAsia="zh-CN"/>
              </w:rPr>
              <w:t>；无此项内容不得分</w:t>
            </w:r>
            <w:r>
              <w:rPr>
                <w:rFonts w:hint="eastAsia" w:ascii="宋体" w:hAnsi="宋体" w:eastAsia="宋体" w:cs="宋体"/>
                <w:color w:val="auto"/>
                <w:sz w:val="21"/>
                <w:szCs w:val="21"/>
                <w:highlight w:val="none"/>
                <w:lang w:val="zh-CN" w:eastAsia="zh-CN"/>
              </w:rPr>
              <w:t>。</w:t>
            </w:r>
            <w:r>
              <w:rPr>
                <w:rFonts w:hint="eastAsia" w:ascii="宋体" w:hAnsi="宋体" w:eastAsia="宋体" w:cs="宋体"/>
                <w:color w:val="auto"/>
                <w:sz w:val="21"/>
                <w:szCs w:val="21"/>
                <w:highlight w:val="none"/>
                <w:lang w:val="en-US" w:eastAsia="zh-CN"/>
              </w:rPr>
              <w:t xml:space="preserve"> </w:t>
            </w:r>
          </w:p>
        </w:tc>
        <w:tc>
          <w:tcPr>
            <w:tcW w:w="1401" w:type="dxa"/>
            <w:tcBorders>
              <w:top w:val="single" w:color="auto" w:sz="4" w:space="0"/>
              <w:left w:val="single" w:color="auto" w:sz="4" w:space="0"/>
              <w:right w:val="single" w:color="auto" w:sz="12" w:space="0"/>
            </w:tcBorders>
            <w:noWrap/>
            <w:vAlign w:val="center"/>
          </w:tcPr>
          <w:p w14:paraId="1780C9BF">
            <w:pPr>
              <w:keepNext/>
              <w:keepLines w:val="0"/>
              <w:pageBreakBefore w:val="0"/>
              <w:widowControl w:val="0"/>
              <w:kinsoku/>
              <w:wordWrap/>
              <w:overflowPunct/>
              <w:topLinePunct w:val="0"/>
              <w:autoSpaceDE/>
              <w:autoSpaceDN/>
              <w:bidi w:val="0"/>
              <w:adjustRightInd/>
              <w:spacing w:line="240" w:lineRule="auto"/>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0</w:t>
            </w:r>
            <w:r>
              <w:rPr>
                <w:rFonts w:hint="eastAsia" w:ascii="宋体" w:hAnsi="宋体" w:eastAsia="宋体" w:cs="宋体"/>
                <w:color w:val="auto"/>
                <w:sz w:val="21"/>
                <w:szCs w:val="21"/>
                <w:highlight w:val="none"/>
                <w:lang w:val="zh-CN"/>
              </w:rPr>
              <w:t>-</w:t>
            </w:r>
            <w:r>
              <w:rPr>
                <w:rFonts w:hint="eastAsia" w:ascii="宋体" w:hAnsi="宋体" w:cs="宋体"/>
                <w:color w:val="auto"/>
                <w:sz w:val="21"/>
                <w:szCs w:val="21"/>
                <w:highlight w:val="none"/>
                <w:lang w:val="en-US" w:eastAsia="zh-CN"/>
              </w:rPr>
              <w:t>5</w:t>
            </w:r>
            <w:r>
              <w:rPr>
                <w:rFonts w:hint="eastAsia" w:ascii="宋体" w:hAnsi="宋体" w:eastAsia="宋体" w:cs="宋体"/>
                <w:color w:val="auto"/>
                <w:sz w:val="21"/>
                <w:szCs w:val="21"/>
                <w:highlight w:val="none"/>
                <w:lang w:val="en-US" w:eastAsia="zh-CN"/>
              </w:rPr>
              <w:t>分</w:t>
            </w:r>
          </w:p>
        </w:tc>
      </w:tr>
      <w:tr w14:paraId="07DBAA4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92" w:hRule="atLeast"/>
        </w:trPr>
        <w:tc>
          <w:tcPr>
            <w:tcW w:w="731" w:type="dxa"/>
            <w:vMerge w:val="continue"/>
            <w:tcBorders>
              <w:top w:val="single" w:color="auto" w:sz="4" w:space="0"/>
              <w:left w:val="single" w:color="auto" w:sz="12" w:space="0"/>
              <w:right w:val="single" w:color="auto" w:sz="4" w:space="0"/>
            </w:tcBorders>
            <w:noWrap/>
            <w:vAlign w:val="center"/>
          </w:tcPr>
          <w:p w14:paraId="14F69E44"/>
        </w:tc>
        <w:tc>
          <w:tcPr>
            <w:tcW w:w="1230" w:type="dxa"/>
            <w:vMerge w:val="continue"/>
            <w:tcBorders>
              <w:top w:val="single" w:color="auto" w:sz="4" w:space="0"/>
              <w:left w:val="single" w:color="auto" w:sz="4" w:space="0"/>
              <w:right w:val="single" w:color="auto" w:sz="4" w:space="0"/>
            </w:tcBorders>
            <w:noWrap/>
            <w:vAlign w:val="center"/>
          </w:tcPr>
          <w:p w14:paraId="7F3C2FCB"/>
        </w:tc>
        <w:tc>
          <w:tcPr>
            <w:tcW w:w="5567" w:type="dxa"/>
            <w:tcBorders>
              <w:top w:val="single" w:color="auto" w:sz="4" w:space="0"/>
              <w:left w:val="single" w:color="auto" w:sz="4" w:space="0"/>
              <w:right w:val="single" w:color="auto" w:sz="4" w:space="0"/>
            </w:tcBorders>
            <w:noWrap/>
            <w:vAlign w:val="center"/>
          </w:tcPr>
          <w:p w14:paraId="52C25449">
            <w:pPr>
              <w:keepNext/>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auto"/>
                <w:sz w:val="21"/>
                <w:szCs w:val="21"/>
                <w:highlight w:val="none"/>
                <w:lang w:val="zh-CN" w:eastAsia="zh-CN"/>
              </w:rPr>
            </w:pPr>
            <w:r>
              <w:rPr>
                <w:rFonts w:hint="eastAsia" w:ascii="宋体" w:hAnsi="宋体" w:eastAsia="宋体" w:cs="宋体"/>
                <w:color w:val="auto"/>
                <w:sz w:val="21"/>
                <w:szCs w:val="21"/>
                <w:highlight w:val="none"/>
                <w:lang w:val="en-US" w:eastAsia="zh-CN"/>
              </w:rPr>
              <w:t>针对本项目</w:t>
            </w:r>
            <w:r>
              <w:rPr>
                <w:rFonts w:hint="eastAsia" w:ascii="宋体" w:hAnsi="宋体" w:eastAsia="宋体" w:cs="宋体"/>
                <w:color w:val="auto"/>
                <w:sz w:val="21"/>
                <w:szCs w:val="21"/>
                <w:highlight w:val="none"/>
                <w:lang w:val="zh-CN" w:eastAsia="zh-CN"/>
              </w:rPr>
              <w:t>施工环境，</w:t>
            </w:r>
            <w:r>
              <w:rPr>
                <w:rFonts w:hint="eastAsia" w:ascii="宋体" w:hAnsi="宋体" w:eastAsia="宋体" w:cs="宋体"/>
                <w:color w:val="auto"/>
                <w:sz w:val="21"/>
                <w:szCs w:val="21"/>
                <w:highlight w:val="none"/>
                <w:lang w:val="en-US" w:eastAsia="zh-CN"/>
              </w:rPr>
              <w:t>施工过程中采取的</w:t>
            </w:r>
            <w:r>
              <w:rPr>
                <w:rFonts w:hint="eastAsia" w:ascii="宋体" w:hAnsi="宋体" w:eastAsia="宋体" w:cs="宋体"/>
                <w:color w:val="auto"/>
                <w:sz w:val="21"/>
                <w:szCs w:val="21"/>
                <w:highlight w:val="none"/>
                <w:lang w:val="zh-CN" w:eastAsia="zh-CN"/>
              </w:rPr>
              <w:t>组织措施情况</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lang w:val="zh-CN" w:eastAsia="zh-CN"/>
              </w:rPr>
              <w:t>方案全面、合理，具有针对性，得</w:t>
            </w:r>
            <w:r>
              <w:rPr>
                <w:rFonts w:hint="eastAsia" w:ascii="宋体" w:hAnsi="宋体" w:cs="宋体"/>
                <w:color w:val="auto"/>
                <w:sz w:val="21"/>
                <w:szCs w:val="21"/>
                <w:highlight w:val="none"/>
                <w:lang w:val="en-US" w:eastAsia="zh-CN"/>
              </w:rPr>
              <w:t>5</w:t>
            </w:r>
            <w:r>
              <w:rPr>
                <w:rFonts w:hint="eastAsia" w:ascii="宋体" w:hAnsi="宋体" w:eastAsia="宋体" w:cs="宋体"/>
                <w:color w:val="auto"/>
                <w:sz w:val="21"/>
                <w:szCs w:val="21"/>
                <w:highlight w:val="none"/>
                <w:lang w:val="zh-CN" w:eastAsia="zh-CN"/>
              </w:rPr>
              <w:t>分</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lang w:val="zh-CN" w:eastAsia="zh-CN"/>
              </w:rPr>
              <w:t>方案较全面、合理，相对具有针对性，得</w:t>
            </w:r>
            <w:r>
              <w:rPr>
                <w:rFonts w:hint="eastAsia" w:ascii="宋体" w:hAnsi="宋体" w:cs="宋体"/>
                <w:color w:val="auto"/>
                <w:sz w:val="21"/>
                <w:szCs w:val="21"/>
                <w:highlight w:val="none"/>
                <w:lang w:val="en-US" w:eastAsia="zh-CN"/>
              </w:rPr>
              <w:t>4</w:t>
            </w:r>
            <w:r>
              <w:rPr>
                <w:rFonts w:hint="eastAsia" w:ascii="宋体" w:hAnsi="宋体" w:eastAsia="宋体" w:cs="宋体"/>
                <w:color w:val="auto"/>
                <w:sz w:val="21"/>
                <w:szCs w:val="21"/>
                <w:highlight w:val="none"/>
                <w:lang w:val="zh-CN" w:eastAsia="zh-CN"/>
              </w:rPr>
              <w:t>分</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lang w:val="zh-CN" w:eastAsia="zh-CN"/>
              </w:rPr>
              <w:t>方案</w:t>
            </w:r>
            <w:r>
              <w:rPr>
                <w:rFonts w:hint="eastAsia" w:ascii="宋体" w:hAnsi="宋体" w:eastAsia="宋体" w:cs="宋体"/>
                <w:color w:val="auto"/>
                <w:sz w:val="21"/>
                <w:szCs w:val="21"/>
                <w:highlight w:val="none"/>
                <w:lang w:val="en-US" w:eastAsia="zh-CN"/>
              </w:rPr>
              <w:t>内容一般得</w:t>
            </w:r>
            <w:r>
              <w:rPr>
                <w:rFonts w:hint="eastAsia" w:ascii="宋体" w:hAnsi="宋体" w:cs="宋体"/>
                <w:color w:val="auto"/>
                <w:sz w:val="21"/>
                <w:szCs w:val="21"/>
                <w:highlight w:val="none"/>
                <w:lang w:val="en-US" w:eastAsia="zh-CN"/>
              </w:rPr>
              <w:t>3</w:t>
            </w:r>
            <w:r>
              <w:rPr>
                <w:rFonts w:hint="eastAsia" w:ascii="宋体" w:hAnsi="宋体" w:eastAsia="宋体" w:cs="宋体"/>
                <w:color w:val="auto"/>
                <w:sz w:val="21"/>
                <w:szCs w:val="21"/>
                <w:highlight w:val="none"/>
                <w:lang w:val="en-US" w:eastAsia="zh-CN"/>
              </w:rPr>
              <w:t>分；</w:t>
            </w:r>
            <w:r>
              <w:rPr>
                <w:rFonts w:hint="eastAsia" w:ascii="宋体" w:hAnsi="宋体" w:eastAsia="宋体" w:cs="宋体"/>
                <w:color w:val="auto"/>
                <w:sz w:val="21"/>
                <w:szCs w:val="21"/>
                <w:highlight w:val="none"/>
                <w:lang w:val="zh-CN" w:eastAsia="zh-CN"/>
              </w:rPr>
              <w:t>方案不全面，得</w:t>
            </w:r>
            <w:r>
              <w:rPr>
                <w:rFonts w:hint="eastAsia" w:ascii="宋体" w:hAnsi="宋体" w:cs="宋体"/>
                <w:color w:val="auto"/>
                <w:sz w:val="21"/>
                <w:szCs w:val="21"/>
                <w:highlight w:val="none"/>
                <w:lang w:val="en-US" w:eastAsia="zh-CN"/>
              </w:rPr>
              <w:t>2</w:t>
            </w:r>
            <w:r>
              <w:rPr>
                <w:rFonts w:hint="eastAsia" w:ascii="宋体" w:hAnsi="宋体" w:eastAsia="宋体" w:cs="宋体"/>
                <w:color w:val="auto"/>
                <w:sz w:val="21"/>
                <w:szCs w:val="21"/>
                <w:highlight w:val="none"/>
                <w:lang w:val="zh-CN" w:eastAsia="zh-CN"/>
              </w:rPr>
              <w:t>分</w:t>
            </w:r>
            <w:r>
              <w:rPr>
                <w:rFonts w:hint="eastAsia" w:ascii="宋体" w:hAnsi="宋体" w:eastAsia="宋体" w:cs="宋体"/>
                <w:color w:val="auto"/>
                <w:sz w:val="21"/>
                <w:szCs w:val="21"/>
                <w:highlight w:val="none"/>
                <w:lang w:val="en-US" w:eastAsia="zh-CN"/>
              </w:rPr>
              <w:t>；无此项内容不得分</w:t>
            </w:r>
            <w:r>
              <w:rPr>
                <w:rFonts w:hint="eastAsia" w:ascii="宋体" w:hAnsi="宋体" w:eastAsia="宋体" w:cs="宋体"/>
                <w:color w:val="auto"/>
                <w:sz w:val="21"/>
                <w:szCs w:val="21"/>
                <w:highlight w:val="none"/>
                <w:lang w:val="zh-CN" w:eastAsia="zh-CN"/>
              </w:rPr>
              <w:t>。</w:t>
            </w:r>
            <w:r>
              <w:rPr>
                <w:rFonts w:hint="eastAsia" w:ascii="宋体" w:hAnsi="宋体" w:eastAsia="宋体" w:cs="宋体"/>
                <w:color w:val="auto"/>
                <w:sz w:val="21"/>
                <w:szCs w:val="21"/>
                <w:highlight w:val="none"/>
                <w:lang w:val="en-US" w:eastAsia="zh-CN"/>
              </w:rPr>
              <w:t xml:space="preserve"> </w:t>
            </w:r>
          </w:p>
        </w:tc>
        <w:tc>
          <w:tcPr>
            <w:tcW w:w="1401" w:type="dxa"/>
            <w:tcBorders>
              <w:top w:val="single" w:color="auto" w:sz="4" w:space="0"/>
              <w:left w:val="single" w:color="auto" w:sz="4" w:space="0"/>
              <w:right w:val="single" w:color="auto" w:sz="12" w:space="0"/>
            </w:tcBorders>
            <w:noWrap/>
            <w:vAlign w:val="center"/>
          </w:tcPr>
          <w:p w14:paraId="63D22B10">
            <w:pPr>
              <w:keepNext/>
              <w:keepLines w:val="0"/>
              <w:pageBreakBefore w:val="0"/>
              <w:widowControl w:val="0"/>
              <w:kinsoku/>
              <w:wordWrap/>
              <w:overflowPunct/>
              <w:topLinePunct w:val="0"/>
              <w:autoSpaceDE/>
              <w:autoSpaceDN/>
              <w:bidi w:val="0"/>
              <w:adjustRightInd/>
              <w:spacing w:line="240" w:lineRule="auto"/>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0</w:t>
            </w:r>
            <w:r>
              <w:rPr>
                <w:rFonts w:hint="eastAsia" w:ascii="宋体" w:hAnsi="宋体" w:eastAsia="宋体" w:cs="宋体"/>
                <w:color w:val="auto"/>
                <w:sz w:val="21"/>
                <w:szCs w:val="21"/>
                <w:highlight w:val="none"/>
                <w:lang w:val="zh-CN"/>
              </w:rPr>
              <w:t>-</w:t>
            </w:r>
            <w:r>
              <w:rPr>
                <w:rFonts w:hint="eastAsia" w:ascii="宋体" w:hAnsi="宋体" w:cs="宋体"/>
                <w:color w:val="auto"/>
                <w:sz w:val="21"/>
                <w:szCs w:val="21"/>
                <w:highlight w:val="none"/>
                <w:lang w:val="en-US" w:eastAsia="zh-CN"/>
              </w:rPr>
              <w:t>5</w:t>
            </w:r>
            <w:r>
              <w:rPr>
                <w:rFonts w:hint="eastAsia" w:ascii="宋体" w:hAnsi="宋体" w:eastAsia="宋体" w:cs="宋体"/>
                <w:color w:val="auto"/>
                <w:sz w:val="21"/>
                <w:szCs w:val="21"/>
                <w:highlight w:val="none"/>
                <w:lang w:val="en-US" w:eastAsia="zh-CN"/>
              </w:rPr>
              <w:t>分</w:t>
            </w:r>
          </w:p>
        </w:tc>
      </w:tr>
      <w:tr w14:paraId="1CC126D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35" w:hRule="atLeast"/>
        </w:trPr>
        <w:tc>
          <w:tcPr>
            <w:tcW w:w="731" w:type="dxa"/>
            <w:tcBorders>
              <w:top w:val="single" w:color="auto" w:sz="4" w:space="0"/>
              <w:left w:val="single" w:color="auto" w:sz="12" w:space="0"/>
              <w:right w:val="single" w:color="auto" w:sz="4" w:space="0"/>
            </w:tcBorders>
            <w:noWrap/>
            <w:vAlign w:val="center"/>
          </w:tcPr>
          <w:p w14:paraId="20AA3AA2">
            <w:pPr>
              <w:keepNext/>
              <w:keepLines w:val="0"/>
              <w:pageBreakBefore w:val="0"/>
              <w:widowControl w:val="0"/>
              <w:kinsoku/>
              <w:wordWrap/>
              <w:overflowPunct/>
              <w:topLinePunct w:val="0"/>
              <w:autoSpaceDE/>
              <w:autoSpaceDN/>
              <w:bidi w:val="0"/>
              <w:adjustRightInd/>
              <w:spacing w:line="240" w:lineRule="auto"/>
              <w:ind w:left="0" w:firstLine="0"/>
              <w:jc w:val="center"/>
              <w:textAlignment w:val="auto"/>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6</w:t>
            </w:r>
          </w:p>
        </w:tc>
        <w:tc>
          <w:tcPr>
            <w:tcW w:w="1230" w:type="dxa"/>
            <w:tcBorders>
              <w:top w:val="single" w:color="auto" w:sz="4" w:space="0"/>
              <w:left w:val="single" w:color="auto" w:sz="4" w:space="0"/>
              <w:right w:val="single" w:color="auto" w:sz="4" w:space="0"/>
            </w:tcBorders>
            <w:noWrap/>
            <w:vAlign w:val="center"/>
          </w:tcPr>
          <w:p w14:paraId="6A818FCD">
            <w:pPr>
              <w:tabs>
                <w:tab w:val="left" w:pos="0"/>
              </w:tabs>
              <w:spacing w:line="400" w:lineRule="exac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zh-CN" w:eastAsia="zh-CN"/>
              </w:rPr>
              <w:t>确保工期的技术组织措施</w:t>
            </w:r>
          </w:p>
        </w:tc>
        <w:tc>
          <w:tcPr>
            <w:tcW w:w="5567" w:type="dxa"/>
            <w:tcBorders>
              <w:top w:val="single" w:color="auto" w:sz="4" w:space="0"/>
              <w:left w:val="single" w:color="auto" w:sz="4" w:space="0"/>
              <w:right w:val="single" w:color="auto" w:sz="4" w:space="0"/>
            </w:tcBorders>
            <w:noWrap/>
            <w:vAlign w:val="center"/>
          </w:tcPr>
          <w:p w14:paraId="1F0B54FF">
            <w:pPr>
              <w:keepNext/>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auto"/>
                <w:sz w:val="21"/>
                <w:szCs w:val="21"/>
                <w:highlight w:val="none"/>
                <w:lang w:val="zh-CN" w:eastAsia="zh-CN"/>
              </w:rPr>
            </w:pPr>
            <w:r>
              <w:rPr>
                <w:rFonts w:hint="eastAsia" w:ascii="宋体" w:hAnsi="宋体" w:eastAsia="宋体" w:cs="宋体"/>
                <w:color w:val="auto"/>
                <w:sz w:val="21"/>
                <w:szCs w:val="21"/>
                <w:highlight w:val="none"/>
                <w:lang w:val="en-US" w:eastAsia="zh-CN"/>
              </w:rPr>
              <w:t>针对本项目</w:t>
            </w:r>
            <w:r>
              <w:rPr>
                <w:rFonts w:hint="eastAsia" w:ascii="宋体" w:hAnsi="宋体" w:eastAsia="宋体" w:cs="宋体"/>
                <w:color w:val="auto"/>
                <w:sz w:val="21"/>
                <w:szCs w:val="21"/>
                <w:highlight w:val="none"/>
                <w:lang w:val="zh-CN" w:eastAsia="zh-CN"/>
              </w:rPr>
              <w:t>施工进度安排</w:t>
            </w:r>
            <w:r>
              <w:rPr>
                <w:rFonts w:hint="eastAsia" w:ascii="宋体" w:hAnsi="宋体" w:eastAsia="宋体" w:cs="宋体"/>
                <w:color w:val="auto"/>
                <w:sz w:val="21"/>
                <w:szCs w:val="21"/>
                <w:highlight w:val="none"/>
                <w:lang w:val="en-US" w:eastAsia="zh-CN"/>
              </w:rPr>
              <w:t>及</w:t>
            </w:r>
            <w:r>
              <w:rPr>
                <w:rFonts w:hint="eastAsia" w:ascii="宋体" w:hAnsi="宋体" w:eastAsia="宋体" w:cs="宋体"/>
                <w:color w:val="auto"/>
                <w:sz w:val="21"/>
                <w:szCs w:val="21"/>
                <w:highlight w:val="none"/>
                <w:lang w:val="zh-CN" w:eastAsia="zh-CN"/>
              </w:rPr>
              <w:t>各项保证控制措施是否具有针对性和可行性</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lang w:val="zh-CN" w:eastAsia="zh-CN"/>
              </w:rPr>
              <w:t>方案全面、合理，具有针对性，得</w:t>
            </w: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lang w:val="zh-CN" w:eastAsia="zh-CN"/>
              </w:rPr>
              <w:t>分</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lang w:val="zh-CN" w:eastAsia="zh-CN"/>
              </w:rPr>
              <w:t>方案较全面、合理，相对具有针对性，得</w:t>
            </w: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lang w:val="zh-CN" w:eastAsia="zh-CN"/>
              </w:rPr>
              <w:t>分</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lang w:val="zh-CN" w:eastAsia="zh-CN"/>
              </w:rPr>
              <w:t>方案</w:t>
            </w:r>
            <w:r>
              <w:rPr>
                <w:rFonts w:hint="eastAsia" w:ascii="宋体" w:hAnsi="宋体" w:eastAsia="宋体" w:cs="宋体"/>
                <w:color w:val="auto"/>
                <w:sz w:val="21"/>
                <w:szCs w:val="21"/>
                <w:highlight w:val="none"/>
                <w:lang w:val="en-US" w:eastAsia="zh-CN"/>
              </w:rPr>
              <w:t>内容一般得3分；</w:t>
            </w:r>
            <w:r>
              <w:rPr>
                <w:rFonts w:hint="eastAsia" w:ascii="宋体" w:hAnsi="宋体" w:eastAsia="宋体" w:cs="宋体"/>
                <w:color w:val="auto"/>
                <w:sz w:val="21"/>
                <w:szCs w:val="21"/>
                <w:highlight w:val="none"/>
                <w:lang w:val="zh-CN" w:eastAsia="zh-CN"/>
              </w:rPr>
              <w:t>方案不全面，得</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lang w:val="zh-CN" w:eastAsia="zh-CN"/>
              </w:rPr>
              <w:t>分</w:t>
            </w:r>
            <w:r>
              <w:rPr>
                <w:rFonts w:hint="eastAsia" w:ascii="宋体" w:hAnsi="宋体" w:eastAsia="宋体" w:cs="宋体"/>
                <w:color w:val="auto"/>
                <w:sz w:val="21"/>
                <w:szCs w:val="21"/>
                <w:highlight w:val="none"/>
                <w:lang w:val="en-US" w:eastAsia="zh-CN"/>
              </w:rPr>
              <w:t>；无此项内容不得分</w:t>
            </w:r>
            <w:r>
              <w:rPr>
                <w:rFonts w:hint="eastAsia" w:ascii="宋体" w:hAnsi="宋体" w:eastAsia="宋体" w:cs="宋体"/>
                <w:color w:val="auto"/>
                <w:sz w:val="21"/>
                <w:szCs w:val="21"/>
                <w:highlight w:val="none"/>
                <w:lang w:val="zh-CN" w:eastAsia="zh-CN"/>
              </w:rPr>
              <w:t>。</w:t>
            </w:r>
          </w:p>
        </w:tc>
        <w:tc>
          <w:tcPr>
            <w:tcW w:w="1401" w:type="dxa"/>
            <w:tcBorders>
              <w:top w:val="single" w:color="auto" w:sz="4" w:space="0"/>
              <w:left w:val="single" w:color="auto" w:sz="4" w:space="0"/>
              <w:right w:val="single" w:color="auto" w:sz="12" w:space="0"/>
            </w:tcBorders>
            <w:noWrap/>
            <w:vAlign w:val="center"/>
          </w:tcPr>
          <w:p w14:paraId="55DACC52">
            <w:pPr>
              <w:keepNext/>
              <w:keepLines w:val="0"/>
              <w:pageBreakBefore w:val="0"/>
              <w:widowControl w:val="0"/>
              <w:kinsoku/>
              <w:wordWrap/>
              <w:overflowPunct/>
              <w:topLinePunct w:val="0"/>
              <w:autoSpaceDE/>
              <w:autoSpaceDN/>
              <w:bidi w:val="0"/>
              <w:adjustRightInd/>
              <w:spacing w:line="240" w:lineRule="auto"/>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0</w:t>
            </w:r>
            <w:r>
              <w:rPr>
                <w:rFonts w:hint="eastAsia" w:ascii="宋体" w:hAnsi="宋体" w:eastAsia="宋体" w:cs="宋体"/>
                <w:color w:val="auto"/>
                <w:sz w:val="21"/>
                <w:szCs w:val="21"/>
                <w:highlight w:val="none"/>
                <w:lang w:val="zh-CN"/>
              </w:rPr>
              <w:t>-</w:t>
            </w:r>
            <w:r>
              <w:rPr>
                <w:rFonts w:hint="eastAsia" w:ascii="宋体" w:hAnsi="宋体" w:cs="宋体"/>
                <w:color w:val="auto"/>
                <w:sz w:val="21"/>
                <w:szCs w:val="21"/>
                <w:highlight w:val="none"/>
                <w:lang w:val="en-US" w:eastAsia="zh-CN"/>
              </w:rPr>
              <w:t>5</w:t>
            </w:r>
            <w:r>
              <w:rPr>
                <w:rFonts w:hint="eastAsia" w:ascii="宋体" w:hAnsi="宋体" w:eastAsia="宋体" w:cs="宋体"/>
                <w:color w:val="auto"/>
                <w:sz w:val="21"/>
                <w:szCs w:val="21"/>
                <w:highlight w:val="none"/>
                <w:lang w:val="en-US" w:eastAsia="zh-CN"/>
              </w:rPr>
              <w:t>分</w:t>
            </w:r>
          </w:p>
        </w:tc>
      </w:tr>
      <w:tr w14:paraId="562DC69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35" w:hRule="atLeast"/>
        </w:trPr>
        <w:tc>
          <w:tcPr>
            <w:tcW w:w="731" w:type="dxa"/>
            <w:tcBorders>
              <w:top w:val="single" w:color="auto" w:sz="4" w:space="0"/>
              <w:left w:val="single" w:color="auto" w:sz="12" w:space="0"/>
              <w:right w:val="single" w:color="auto" w:sz="4" w:space="0"/>
            </w:tcBorders>
            <w:noWrap/>
            <w:vAlign w:val="center"/>
          </w:tcPr>
          <w:p w14:paraId="03F32AEA">
            <w:pPr>
              <w:keepNext/>
              <w:keepLines w:val="0"/>
              <w:pageBreakBefore w:val="0"/>
              <w:widowControl w:val="0"/>
              <w:kinsoku/>
              <w:wordWrap/>
              <w:overflowPunct/>
              <w:topLinePunct w:val="0"/>
              <w:autoSpaceDE/>
              <w:autoSpaceDN/>
              <w:bidi w:val="0"/>
              <w:adjustRightInd/>
              <w:spacing w:line="240" w:lineRule="auto"/>
              <w:ind w:left="0" w:firstLine="0"/>
              <w:jc w:val="center"/>
              <w:textAlignment w:val="auto"/>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7</w:t>
            </w:r>
          </w:p>
        </w:tc>
        <w:tc>
          <w:tcPr>
            <w:tcW w:w="1230" w:type="dxa"/>
            <w:tcBorders>
              <w:top w:val="single" w:color="auto" w:sz="4" w:space="0"/>
              <w:left w:val="single" w:color="auto" w:sz="4" w:space="0"/>
              <w:right w:val="single" w:color="auto" w:sz="4" w:space="0"/>
            </w:tcBorders>
            <w:noWrap/>
            <w:vAlign w:val="center"/>
          </w:tcPr>
          <w:p w14:paraId="753F16E2">
            <w:pPr>
              <w:tabs>
                <w:tab w:val="left" w:pos="0"/>
              </w:tabs>
              <w:spacing w:line="400" w:lineRule="exact"/>
              <w:rPr>
                <w:rFonts w:hint="eastAsia" w:ascii="宋体" w:hAnsi="宋体" w:eastAsia="宋体" w:cs="宋体"/>
                <w:color w:val="auto"/>
                <w:sz w:val="21"/>
                <w:szCs w:val="21"/>
                <w:highlight w:val="none"/>
                <w:lang w:val="zh-CN" w:eastAsia="zh-CN"/>
              </w:rPr>
            </w:pPr>
            <w:r>
              <w:rPr>
                <w:rFonts w:hint="eastAsia" w:ascii="宋体" w:hAnsi="宋体" w:eastAsia="宋体" w:cs="宋体"/>
                <w:color w:val="auto"/>
                <w:sz w:val="21"/>
                <w:szCs w:val="21"/>
                <w:highlight w:val="none"/>
                <w:lang w:val="zh-CN" w:eastAsia="zh-CN"/>
              </w:rPr>
              <w:t>确保安全、文明施工的保证措施</w:t>
            </w:r>
          </w:p>
        </w:tc>
        <w:tc>
          <w:tcPr>
            <w:tcW w:w="5567" w:type="dxa"/>
            <w:tcBorders>
              <w:top w:val="single" w:color="auto" w:sz="4" w:space="0"/>
              <w:left w:val="single" w:color="auto" w:sz="4" w:space="0"/>
              <w:right w:val="single" w:color="auto" w:sz="4" w:space="0"/>
            </w:tcBorders>
            <w:noWrap/>
            <w:vAlign w:val="center"/>
          </w:tcPr>
          <w:p w14:paraId="39642DEE">
            <w:pPr>
              <w:keepNext/>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zh-CN" w:eastAsia="zh-CN"/>
              </w:rPr>
              <w:t>确保安全、文明施工的保证措施是否科学、合理、到位</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lang w:val="zh-CN" w:eastAsia="zh-CN"/>
              </w:rPr>
              <w:t>方案全面、合理，具有针对性，得</w:t>
            </w: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lang w:val="zh-CN" w:eastAsia="zh-CN"/>
              </w:rPr>
              <w:t>分</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lang w:val="zh-CN" w:eastAsia="zh-CN"/>
              </w:rPr>
              <w:t>方案较全面、合理，相对具有针对性，得</w:t>
            </w: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lang w:val="zh-CN" w:eastAsia="zh-CN"/>
              </w:rPr>
              <w:t>分</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lang w:val="zh-CN" w:eastAsia="zh-CN"/>
              </w:rPr>
              <w:t>方案</w:t>
            </w:r>
            <w:r>
              <w:rPr>
                <w:rFonts w:hint="eastAsia" w:ascii="宋体" w:hAnsi="宋体" w:eastAsia="宋体" w:cs="宋体"/>
                <w:color w:val="auto"/>
                <w:sz w:val="21"/>
                <w:szCs w:val="21"/>
                <w:highlight w:val="none"/>
                <w:lang w:val="en-US" w:eastAsia="zh-CN"/>
              </w:rPr>
              <w:t>内容一般得3分；</w:t>
            </w:r>
            <w:r>
              <w:rPr>
                <w:rFonts w:hint="eastAsia" w:ascii="宋体" w:hAnsi="宋体" w:eastAsia="宋体" w:cs="宋体"/>
                <w:color w:val="auto"/>
                <w:sz w:val="21"/>
                <w:szCs w:val="21"/>
                <w:highlight w:val="none"/>
                <w:lang w:val="zh-CN" w:eastAsia="zh-CN"/>
              </w:rPr>
              <w:t>方案不全面，得</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lang w:val="zh-CN" w:eastAsia="zh-CN"/>
              </w:rPr>
              <w:t>分</w:t>
            </w:r>
            <w:r>
              <w:rPr>
                <w:rFonts w:hint="eastAsia" w:ascii="宋体" w:hAnsi="宋体" w:eastAsia="宋体" w:cs="宋体"/>
                <w:color w:val="auto"/>
                <w:sz w:val="21"/>
                <w:szCs w:val="21"/>
                <w:highlight w:val="none"/>
                <w:lang w:val="en-US" w:eastAsia="zh-CN"/>
              </w:rPr>
              <w:t>；无此项内容不得分</w:t>
            </w:r>
            <w:r>
              <w:rPr>
                <w:rFonts w:hint="eastAsia" w:ascii="宋体" w:hAnsi="宋体" w:eastAsia="宋体" w:cs="宋体"/>
                <w:color w:val="auto"/>
                <w:sz w:val="21"/>
                <w:szCs w:val="21"/>
                <w:highlight w:val="none"/>
                <w:lang w:val="zh-CN" w:eastAsia="zh-CN"/>
              </w:rPr>
              <w:t>。</w:t>
            </w:r>
            <w:r>
              <w:rPr>
                <w:rFonts w:hint="eastAsia" w:ascii="宋体" w:hAnsi="宋体" w:eastAsia="宋体" w:cs="宋体"/>
                <w:color w:val="auto"/>
                <w:sz w:val="21"/>
                <w:szCs w:val="21"/>
                <w:highlight w:val="none"/>
                <w:lang w:val="en-US" w:eastAsia="zh-CN"/>
              </w:rPr>
              <w:t xml:space="preserve"> </w:t>
            </w:r>
          </w:p>
        </w:tc>
        <w:tc>
          <w:tcPr>
            <w:tcW w:w="1401" w:type="dxa"/>
            <w:tcBorders>
              <w:top w:val="single" w:color="auto" w:sz="4" w:space="0"/>
              <w:left w:val="single" w:color="auto" w:sz="4" w:space="0"/>
              <w:right w:val="single" w:color="auto" w:sz="12" w:space="0"/>
            </w:tcBorders>
            <w:noWrap/>
            <w:vAlign w:val="center"/>
          </w:tcPr>
          <w:p w14:paraId="3F5B3517">
            <w:pPr>
              <w:keepNext/>
              <w:keepLines w:val="0"/>
              <w:pageBreakBefore w:val="0"/>
              <w:widowControl w:val="0"/>
              <w:kinsoku/>
              <w:wordWrap/>
              <w:overflowPunct/>
              <w:topLinePunct w:val="0"/>
              <w:autoSpaceDE/>
              <w:autoSpaceDN/>
              <w:bidi w:val="0"/>
              <w:adjustRightInd/>
              <w:spacing w:line="240" w:lineRule="auto"/>
              <w:jc w:val="center"/>
              <w:textAlignment w:val="auto"/>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0-5</w:t>
            </w:r>
            <w:r>
              <w:rPr>
                <w:rFonts w:hint="eastAsia" w:ascii="宋体" w:hAnsi="宋体" w:eastAsia="宋体" w:cs="宋体"/>
                <w:color w:val="auto"/>
                <w:sz w:val="21"/>
                <w:szCs w:val="21"/>
                <w:highlight w:val="none"/>
                <w:lang w:val="en-US" w:eastAsia="zh-CN"/>
              </w:rPr>
              <w:t>分</w:t>
            </w:r>
          </w:p>
        </w:tc>
      </w:tr>
      <w:tr w14:paraId="6522869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24" w:hRule="atLeast"/>
        </w:trPr>
        <w:tc>
          <w:tcPr>
            <w:tcW w:w="731" w:type="dxa"/>
            <w:tcBorders>
              <w:top w:val="single" w:color="auto" w:sz="4" w:space="0"/>
              <w:left w:val="single" w:color="auto" w:sz="12" w:space="0"/>
              <w:right w:val="single" w:color="auto" w:sz="4" w:space="0"/>
            </w:tcBorders>
            <w:noWrap/>
            <w:vAlign w:val="center"/>
          </w:tcPr>
          <w:p w14:paraId="7A3485B4">
            <w:pPr>
              <w:keepNext/>
              <w:keepLines w:val="0"/>
              <w:pageBreakBefore w:val="0"/>
              <w:widowControl w:val="0"/>
              <w:kinsoku/>
              <w:wordWrap/>
              <w:overflowPunct/>
              <w:topLinePunct w:val="0"/>
              <w:autoSpaceDE/>
              <w:autoSpaceDN/>
              <w:bidi w:val="0"/>
              <w:adjustRightInd/>
              <w:spacing w:line="240" w:lineRule="auto"/>
              <w:ind w:left="0" w:firstLine="0"/>
              <w:jc w:val="center"/>
              <w:textAlignment w:val="auto"/>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 xml:space="preserve">8 </w:t>
            </w:r>
          </w:p>
        </w:tc>
        <w:tc>
          <w:tcPr>
            <w:tcW w:w="1230" w:type="dxa"/>
            <w:tcBorders>
              <w:top w:val="single" w:color="auto" w:sz="4" w:space="0"/>
              <w:left w:val="single" w:color="auto" w:sz="4" w:space="0"/>
              <w:right w:val="single" w:color="auto" w:sz="4" w:space="0"/>
            </w:tcBorders>
            <w:noWrap/>
            <w:vAlign w:val="center"/>
          </w:tcPr>
          <w:p w14:paraId="1C447E98">
            <w:pPr>
              <w:tabs>
                <w:tab w:val="left" w:pos="0"/>
              </w:tabs>
              <w:spacing w:line="400" w:lineRule="exact"/>
              <w:rPr>
                <w:rFonts w:hint="eastAsia" w:ascii="宋体" w:hAnsi="宋体" w:eastAsia="宋体" w:cs="宋体"/>
                <w:color w:val="auto"/>
                <w:sz w:val="21"/>
                <w:szCs w:val="21"/>
                <w:highlight w:val="none"/>
                <w:lang w:val="zh-CN" w:eastAsia="zh-CN"/>
              </w:rPr>
            </w:pPr>
            <w:r>
              <w:rPr>
                <w:rFonts w:hint="eastAsia" w:ascii="宋体" w:hAnsi="宋体" w:eastAsia="宋体" w:cs="宋体"/>
                <w:color w:val="auto"/>
                <w:sz w:val="21"/>
                <w:szCs w:val="21"/>
                <w:highlight w:val="none"/>
                <w:lang w:val="zh-CN" w:eastAsia="zh-CN"/>
              </w:rPr>
              <w:t>确保工程质量的技术组织措施</w:t>
            </w:r>
          </w:p>
        </w:tc>
        <w:tc>
          <w:tcPr>
            <w:tcW w:w="5567" w:type="dxa"/>
            <w:tcBorders>
              <w:top w:val="single" w:color="auto" w:sz="4" w:space="0"/>
              <w:left w:val="single" w:color="auto" w:sz="4" w:space="0"/>
              <w:right w:val="single" w:color="auto" w:sz="4" w:space="0"/>
            </w:tcBorders>
            <w:noWrap/>
            <w:vAlign w:val="center"/>
          </w:tcPr>
          <w:p w14:paraId="7FE4C1FD">
            <w:pPr>
              <w:keepNext/>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根据</w:t>
            </w:r>
            <w:r>
              <w:rPr>
                <w:rFonts w:hint="eastAsia" w:ascii="宋体" w:hAnsi="宋体" w:eastAsia="宋体" w:cs="宋体"/>
                <w:color w:val="auto"/>
                <w:sz w:val="21"/>
                <w:szCs w:val="21"/>
                <w:highlight w:val="none"/>
                <w:lang w:val="zh-CN" w:eastAsia="zh-CN"/>
              </w:rPr>
              <w:t>施工用材料、半成品、外购件品牌选用等的供货方案及质量保证措施</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lang w:val="zh-CN" w:eastAsia="zh-CN"/>
              </w:rPr>
              <w:t>方案全面、合理，具有针对性，得</w:t>
            </w: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lang w:val="zh-CN" w:eastAsia="zh-CN"/>
              </w:rPr>
              <w:t>分</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lang w:val="zh-CN" w:eastAsia="zh-CN"/>
              </w:rPr>
              <w:t>方案较全面、合理，相对具有针对性，得</w:t>
            </w: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lang w:val="zh-CN" w:eastAsia="zh-CN"/>
              </w:rPr>
              <w:t>分</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lang w:val="zh-CN" w:eastAsia="zh-CN"/>
              </w:rPr>
              <w:t>方案</w:t>
            </w:r>
            <w:r>
              <w:rPr>
                <w:rFonts w:hint="eastAsia" w:ascii="宋体" w:hAnsi="宋体" w:eastAsia="宋体" w:cs="宋体"/>
                <w:color w:val="auto"/>
                <w:sz w:val="21"/>
                <w:szCs w:val="21"/>
                <w:highlight w:val="none"/>
                <w:lang w:val="en-US" w:eastAsia="zh-CN"/>
              </w:rPr>
              <w:t>内容一般得3分；</w:t>
            </w:r>
            <w:r>
              <w:rPr>
                <w:rFonts w:hint="eastAsia" w:ascii="宋体" w:hAnsi="宋体" w:eastAsia="宋体" w:cs="宋体"/>
                <w:color w:val="auto"/>
                <w:sz w:val="21"/>
                <w:szCs w:val="21"/>
                <w:highlight w:val="none"/>
                <w:lang w:val="zh-CN" w:eastAsia="zh-CN"/>
              </w:rPr>
              <w:t>方案不全面，得</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lang w:val="zh-CN" w:eastAsia="zh-CN"/>
              </w:rPr>
              <w:t>分</w:t>
            </w:r>
            <w:r>
              <w:rPr>
                <w:rFonts w:hint="eastAsia" w:ascii="宋体" w:hAnsi="宋体" w:eastAsia="宋体" w:cs="宋体"/>
                <w:color w:val="auto"/>
                <w:sz w:val="21"/>
                <w:szCs w:val="21"/>
                <w:highlight w:val="none"/>
                <w:lang w:val="en-US" w:eastAsia="zh-CN"/>
              </w:rPr>
              <w:t>；无此项内容不得分</w:t>
            </w:r>
            <w:r>
              <w:rPr>
                <w:rFonts w:hint="eastAsia" w:ascii="宋体" w:hAnsi="宋体" w:eastAsia="宋体" w:cs="宋体"/>
                <w:color w:val="auto"/>
                <w:sz w:val="21"/>
                <w:szCs w:val="21"/>
                <w:highlight w:val="none"/>
                <w:lang w:val="zh-CN" w:eastAsia="zh-CN"/>
              </w:rPr>
              <w:t>。</w:t>
            </w:r>
          </w:p>
        </w:tc>
        <w:tc>
          <w:tcPr>
            <w:tcW w:w="1401" w:type="dxa"/>
            <w:tcBorders>
              <w:top w:val="single" w:color="auto" w:sz="4" w:space="0"/>
              <w:left w:val="single" w:color="auto" w:sz="4" w:space="0"/>
              <w:right w:val="single" w:color="auto" w:sz="12" w:space="0"/>
            </w:tcBorders>
            <w:noWrap/>
            <w:vAlign w:val="center"/>
          </w:tcPr>
          <w:p w14:paraId="1C0DD112">
            <w:pPr>
              <w:keepNext/>
              <w:keepLines w:val="0"/>
              <w:pageBreakBefore w:val="0"/>
              <w:widowControl w:val="0"/>
              <w:kinsoku/>
              <w:wordWrap/>
              <w:overflowPunct/>
              <w:topLinePunct w:val="0"/>
              <w:autoSpaceDE/>
              <w:autoSpaceDN/>
              <w:bidi w:val="0"/>
              <w:adjustRightInd/>
              <w:spacing w:line="240" w:lineRule="auto"/>
              <w:jc w:val="center"/>
              <w:textAlignment w:val="auto"/>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0-</w:t>
            </w:r>
            <w:r>
              <w:rPr>
                <w:rFonts w:hint="eastAsia" w:ascii="宋体" w:hAnsi="宋体" w:eastAsia="宋体" w:cs="宋体"/>
                <w:color w:val="auto"/>
                <w:sz w:val="21"/>
                <w:szCs w:val="21"/>
                <w:highlight w:val="none"/>
                <w:lang w:val="en-US" w:eastAsia="zh-CN"/>
              </w:rPr>
              <w:t>5分</w:t>
            </w:r>
          </w:p>
        </w:tc>
      </w:tr>
      <w:tr w14:paraId="45DAE48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208" w:hRule="atLeast"/>
        </w:trPr>
        <w:tc>
          <w:tcPr>
            <w:tcW w:w="731" w:type="dxa"/>
            <w:tcBorders>
              <w:top w:val="single" w:color="auto" w:sz="4" w:space="0"/>
              <w:left w:val="single" w:color="auto" w:sz="12" w:space="0"/>
              <w:right w:val="single" w:color="auto" w:sz="4" w:space="0"/>
            </w:tcBorders>
            <w:noWrap/>
            <w:vAlign w:val="center"/>
          </w:tcPr>
          <w:p w14:paraId="061BEF97">
            <w:pPr>
              <w:keepNext/>
              <w:keepLines w:val="0"/>
              <w:pageBreakBefore w:val="0"/>
              <w:widowControl w:val="0"/>
              <w:kinsoku/>
              <w:wordWrap/>
              <w:overflowPunct/>
              <w:topLinePunct w:val="0"/>
              <w:autoSpaceDE/>
              <w:autoSpaceDN/>
              <w:bidi w:val="0"/>
              <w:adjustRightInd/>
              <w:spacing w:line="240" w:lineRule="auto"/>
              <w:ind w:left="0" w:firstLine="0"/>
              <w:jc w:val="center"/>
              <w:textAlignment w:val="auto"/>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9</w:t>
            </w:r>
          </w:p>
        </w:tc>
        <w:tc>
          <w:tcPr>
            <w:tcW w:w="1230" w:type="dxa"/>
            <w:tcBorders>
              <w:top w:val="single" w:color="auto" w:sz="4" w:space="0"/>
              <w:left w:val="single" w:color="auto" w:sz="4" w:space="0"/>
              <w:right w:val="single" w:color="auto" w:sz="4" w:space="0"/>
            </w:tcBorders>
            <w:noWrap/>
            <w:vAlign w:val="center"/>
          </w:tcPr>
          <w:p w14:paraId="6AF760CF">
            <w:pPr>
              <w:tabs>
                <w:tab w:val="left" w:pos="0"/>
              </w:tabs>
              <w:spacing w:line="400" w:lineRule="exact"/>
              <w:rPr>
                <w:rFonts w:hint="eastAsia" w:ascii="宋体" w:hAnsi="宋体" w:eastAsia="宋体" w:cs="宋体"/>
                <w:color w:val="auto"/>
                <w:sz w:val="21"/>
                <w:szCs w:val="21"/>
                <w:highlight w:val="none"/>
                <w:lang w:val="zh-CN" w:eastAsia="zh-CN"/>
              </w:rPr>
            </w:pPr>
            <w:r>
              <w:rPr>
                <w:rFonts w:hint="eastAsia" w:ascii="宋体" w:hAnsi="宋体" w:eastAsia="宋体" w:cs="宋体"/>
                <w:color w:val="auto"/>
                <w:sz w:val="21"/>
                <w:szCs w:val="21"/>
                <w:highlight w:val="none"/>
                <w:lang w:val="zh-CN" w:eastAsia="zh-CN"/>
              </w:rPr>
              <w:t>售后服务措施及承诺</w:t>
            </w:r>
          </w:p>
        </w:tc>
        <w:tc>
          <w:tcPr>
            <w:tcW w:w="5567" w:type="dxa"/>
            <w:tcBorders>
              <w:top w:val="single" w:color="auto" w:sz="4" w:space="0"/>
              <w:left w:val="single" w:color="auto" w:sz="4" w:space="0"/>
              <w:right w:val="single" w:color="auto" w:sz="4" w:space="0"/>
            </w:tcBorders>
            <w:noWrap/>
            <w:vAlign w:val="center"/>
          </w:tcPr>
          <w:p w14:paraId="7C7A9E01">
            <w:pPr>
              <w:spacing w:line="240" w:lineRule="auto"/>
              <w:jc w:val="left"/>
              <w:rPr>
                <w:rFonts w:hint="eastAsia"/>
              </w:rPr>
            </w:pPr>
            <w:r>
              <w:rPr>
                <w:rFonts w:hint="eastAsia" w:ascii="宋体" w:hAnsi="宋体" w:eastAsia="宋体" w:cs="宋体"/>
                <w:color w:val="auto"/>
                <w:sz w:val="21"/>
                <w:szCs w:val="21"/>
                <w:highlight w:val="none"/>
                <w:lang w:val="zh-CN" w:eastAsia="zh-CN"/>
              </w:rPr>
              <w:t>保修期服务的承诺及其他承诺的优劣情况：提供工程交付使用后的保修服务和其它服务承诺切实可靠，得</w:t>
            </w: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lang w:val="zh-CN" w:eastAsia="zh-CN"/>
              </w:rPr>
              <w:t>分</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lang w:val="zh-CN" w:eastAsia="zh-CN"/>
              </w:rPr>
              <w:t>提供工程交付使用后的保修服务和其它服务承诺较可行，得</w:t>
            </w: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lang w:val="zh-CN" w:eastAsia="zh-CN"/>
              </w:rPr>
              <w:t>分</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lang w:val="zh-CN" w:eastAsia="zh-CN"/>
              </w:rPr>
              <w:t>提供工程交付使用后的保修服务和其它服务承诺基本可行，得</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lang w:val="zh-CN" w:eastAsia="zh-CN"/>
              </w:rPr>
              <w:t>分</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lang w:val="zh-CN" w:eastAsia="zh-CN"/>
              </w:rPr>
              <w:t>提供工程交付使用后的保修服务和其它服务承诺欠可行，得</w:t>
            </w: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lang w:val="zh-CN" w:eastAsia="zh-CN"/>
              </w:rPr>
              <w:t>分</w:t>
            </w:r>
            <w:r>
              <w:rPr>
                <w:rFonts w:hint="eastAsia" w:ascii="宋体" w:hAnsi="宋体" w:eastAsia="宋体" w:cs="宋体"/>
                <w:color w:val="auto"/>
                <w:sz w:val="21"/>
                <w:szCs w:val="21"/>
                <w:highlight w:val="none"/>
                <w:lang w:val="en-US" w:eastAsia="zh-CN"/>
              </w:rPr>
              <w:t>；无此项内容不得分。</w:t>
            </w:r>
          </w:p>
        </w:tc>
        <w:tc>
          <w:tcPr>
            <w:tcW w:w="1401" w:type="dxa"/>
            <w:tcBorders>
              <w:top w:val="single" w:color="auto" w:sz="4" w:space="0"/>
              <w:left w:val="single" w:color="auto" w:sz="4" w:space="0"/>
              <w:right w:val="single" w:color="auto" w:sz="12" w:space="0"/>
            </w:tcBorders>
            <w:noWrap/>
            <w:vAlign w:val="center"/>
          </w:tcPr>
          <w:p w14:paraId="73D3E44E">
            <w:pPr>
              <w:keepNext/>
              <w:keepLines w:val="0"/>
              <w:pageBreakBefore w:val="0"/>
              <w:widowControl w:val="0"/>
              <w:kinsoku/>
              <w:wordWrap/>
              <w:overflowPunct/>
              <w:topLinePunct w:val="0"/>
              <w:autoSpaceDE/>
              <w:autoSpaceDN/>
              <w:bidi w:val="0"/>
              <w:adjustRightInd/>
              <w:spacing w:line="240" w:lineRule="auto"/>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0-</w:t>
            </w:r>
            <w:r>
              <w:rPr>
                <w:rFonts w:hint="eastAsia" w:ascii="宋体" w:hAnsi="宋体" w:cs="宋体"/>
                <w:color w:val="auto"/>
                <w:sz w:val="21"/>
                <w:szCs w:val="21"/>
                <w:highlight w:val="none"/>
                <w:lang w:val="en-US" w:eastAsia="zh-CN"/>
              </w:rPr>
              <w:t>4</w:t>
            </w:r>
            <w:r>
              <w:rPr>
                <w:rFonts w:hint="eastAsia" w:ascii="宋体" w:hAnsi="宋体" w:eastAsia="宋体" w:cs="宋体"/>
                <w:color w:val="auto"/>
                <w:sz w:val="21"/>
                <w:szCs w:val="21"/>
                <w:highlight w:val="none"/>
                <w:lang w:val="en-US" w:eastAsia="zh-CN"/>
              </w:rPr>
              <w:t>分</w:t>
            </w:r>
          </w:p>
        </w:tc>
      </w:tr>
    </w:tbl>
    <w:p w14:paraId="276127C6">
      <w:pPr>
        <w:pStyle w:val="60"/>
        <w:snapToGrid w:val="0"/>
        <w:spacing w:line="360" w:lineRule="exact"/>
        <w:ind w:firstLine="420" w:firstLineChars="200"/>
        <w:jc w:val="left"/>
        <w:rPr>
          <w:rFonts w:hint="eastAsia" w:ascii="宋体" w:hAnsi="宋体" w:eastAsia="宋体" w:cs="宋体"/>
          <w:b w:val="0"/>
          <w:bCs w:val="0"/>
          <w:color w:val="auto"/>
        </w:rPr>
      </w:pPr>
      <w:r>
        <w:rPr>
          <w:rFonts w:hint="eastAsia" w:ascii="宋体" w:hAnsi="宋体" w:eastAsia="宋体" w:cs="宋体"/>
          <w:b w:val="0"/>
          <w:bCs w:val="0"/>
          <w:color w:val="auto"/>
        </w:rPr>
        <w:t>注：1、如在投标文件中未涉及上述技术商务资信评分项内容的，那么对应项按0分计。</w:t>
      </w:r>
    </w:p>
    <w:p w14:paraId="4D3A5E06">
      <w:pPr>
        <w:pStyle w:val="60"/>
        <w:snapToGrid w:val="0"/>
        <w:spacing w:line="360" w:lineRule="exact"/>
        <w:ind w:firstLine="831" w:firstLineChars="396"/>
        <w:rPr>
          <w:rFonts w:hint="eastAsia" w:ascii="宋体" w:hAnsi="宋体" w:eastAsia="宋体" w:cs="宋体"/>
          <w:b w:val="0"/>
          <w:bCs w:val="0"/>
          <w:color w:val="auto"/>
        </w:rPr>
      </w:pPr>
      <w:r>
        <w:rPr>
          <w:rFonts w:hint="eastAsia" w:ascii="宋体" w:hAnsi="宋体" w:eastAsia="宋体" w:cs="宋体"/>
          <w:b w:val="0"/>
          <w:bCs w:val="0"/>
          <w:color w:val="auto"/>
        </w:rPr>
        <w:t>2、投标文件中提供的证明材料均应清晰可辨，否则不得分。</w:t>
      </w:r>
    </w:p>
    <w:p w14:paraId="7A095A90">
      <w:pPr>
        <w:pStyle w:val="60"/>
        <w:snapToGrid w:val="0"/>
        <w:spacing w:line="360" w:lineRule="exact"/>
        <w:ind w:firstLine="420" w:firstLineChars="200"/>
        <w:rPr>
          <w:rFonts w:hint="eastAsia" w:ascii="宋体" w:hAnsi="宋体" w:eastAsia="宋体" w:cs="宋体"/>
          <w:b w:val="0"/>
          <w:bCs w:val="0"/>
          <w:color w:val="auto"/>
        </w:rPr>
      </w:pPr>
      <w:r>
        <w:rPr>
          <w:rFonts w:hint="eastAsia" w:ascii="宋体" w:hAnsi="宋体" w:eastAsia="宋体" w:cs="宋体"/>
          <w:b w:val="0"/>
          <w:bCs w:val="0"/>
          <w:color w:val="auto"/>
        </w:rPr>
        <w:t>（二）说明</w:t>
      </w:r>
    </w:p>
    <w:p w14:paraId="77DEE5AD">
      <w:pPr>
        <w:spacing w:line="360" w:lineRule="exact"/>
        <w:ind w:firstLine="420" w:firstLineChars="200"/>
        <w:rPr>
          <w:rFonts w:hint="eastAsia" w:ascii="宋体" w:hAnsi="宋体" w:eastAsia="宋体" w:cs="宋体"/>
          <w:szCs w:val="21"/>
        </w:rPr>
      </w:pPr>
      <w:r>
        <w:rPr>
          <w:rFonts w:hint="eastAsia" w:ascii="宋体" w:hAnsi="宋体" w:eastAsia="宋体" w:cs="宋体"/>
          <w:szCs w:val="21"/>
        </w:rPr>
        <w:t>1、每个供应商最终得分=</w:t>
      </w:r>
      <w:r>
        <w:rPr>
          <w:rFonts w:hint="eastAsia" w:ascii="宋体" w:hAnsi="宋体" w:eastAsia="宋体" w:cs="宋体"/>
          <w:lang w:val="zh-CN"/>
        </w:rPr>
        <w:t>商务技术评分</w:t>
      </w:r>
      <w:r>
        <w:rPr>
          <w:rFonts w:hint="eastAsia" w:ascii="宋体" w:hAnsi="宋体" w:eastAsia="宋体" w:cs="宋体"/>
          <w:szCs w:val="21"/>
        </w:rPr>
        <w:t>分值（所有评标委员会评分的算术平均值，四舍五入后保留小数点两位小数）＋</w:t>
      </w:r>
      <w:r>
        <w:rPr>
          <w:rFonts w:hint="eastAsia" w:ascii="宋体" w:hAnsi="宋体" w:eastAsia="宋体" w:cs="宋体"/>
        </w:rPr>
        <w:t>报价</w:t>
      </w:r>
      <w:r>
        <w:rPr>
          <w:rFonts w:hint="eastAsia" w:ascii="宋体" w:hAnsi="宋体" w:eastAsia="宋体" w:cs="宋体"/>
          <w:lang w:val="zh-CN"/>
        </w:rPr>
        <w:t>评分</w:t>
      </w:r>
      <w:r>
        <w:rPr>
          <w:rFonts w:hint="eastAsia" w:ascii="宋体" w:hAnsi="宋体" w:eastAsia="宋体" w:cs="宋体"/>
          <w:szCs w:val="21"/>
        </w:rPr>
        <w:t>分值。</w:t>
      </w:r>
    </w:p>
    <w:p w14:paraId="6434F0A8">
      <w:pPr>
        <w:spacing w:line="360" w:lineRule="exact"/>
        <w:ind w:firstLine="420" w:firstLineChars="200"/>
        <w:rPr>
          <w:rFonts w:hint="eastAsia" w:ascii="宋体" w:hAnsi="宋体" w:eastAsia="宋体" w:cs="宋体"/>
          <w:szCs w:val="21"/>
        </w:rPr>
      </w:pPr>
      <w:r>
        <w:rPr>
          <w:rFonts w:hint="eastAsia" w:ascii="宋体" w:hAnsi="宋体" w:eastAsia="宋体" w:cs="宋体"/>
          <w:szCs w:val="21"/>
        </w:rPr>
        <w:t>2、磋商小组推荐综合得分第一名的供应商为成交供应商，（如果得分相同，以报价低的优先；报价也相同，以抽签决定，并编写采购报告）。</w:t>
      </w:r>
    </w:p>
    <w:p w14:paraId="24964813">
      <w:pPr>
        <w:spacing w:line="360" w:lineRule="exact"/>
        <w:ind w:firstLine="420" w:firstLineChars="200"/>
        <w:rPr>
          <w:rFonts w:hint="eastAsia" w:ascii="宋体" w:eastAsia="宋体"/>
          <w:szCs w:val="21"/>
        </w:rPr>
      </w:pPr>
      <w:r>
        <w:rPr>
          <w:rFonts w:hint="eastAsia" w:ascii="宋体" w:hAnsi="宋体" w:eastAsia="宋体" w:cs="宋体"/>
          <w:szCs w:val="21"/>
        </w:rPr>
        <w:t>3、所有分值计算保留小数点后二位，小数点后三位四舍五入。</w:t>
      </w:r>
    </w:p>
    <w:p w14:paraId="0B20049A"/>
    <w:sectPr>
      <w:headerReference r:id="rId13" w:type="first"/>
      <w:footerReference r:id="rId14" w:type="first"/>
      <w:headerReference r:id="rId12" w:type="default"/>
      <w:pgSz w:w="11911" w:h="16838"/>
      <w:pgMar w:top="1417" w:right="1701" w:bottom="1417" w:left="1701" w:header="720" w:footer="720" w:gutter="0"/>
      <w:cols w:space="720" w:num="1"/>
      <w:docGrid w:linePitch="313"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28"/>
    <w:family w:val="modern"/>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Century Gothic">
    <w:panose1 w:val="020B0502020202020204"/>
    <w:charset w:val="00"/>
    <w:family w:val="swiss"/>
    <w:pitch w:val="default"/>
    <w:sig w:usb0="00000287" w:usb1="00000000" w:usb2="00000000" w:usb3="00000000" w:csb0="2000009F" w:csb1="DFD7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Arial Unicode MS">
    <w:altName w:val="微软雅黑"/>
    <w:panose1 w:val="020B0604020202020204"/>
    <w:charset w:val="86"/>
    <w:family w:val="swiss"/>
    <w:pitch w:val="default"/>
    <w:sig w:usb0="00000000" w:usb1="00000000" w:usb2="0000003F" w:usb3="00000000" w:csb0="003F01FF" w:csb1="00000000"/>
  </w:font>
  <w:font w:name="微软雅黑">
    <w:panose1 w:val="020B0503020204020204"/>
    <w:charset w:val="86"/>
    <w:family w:val="swiss"/>
    <w:pitch w:val="default"/>
    <w:sig w:usb0="80000287" w:usb1="2ACF3C50" w:usb2="00000016" w:usb3="00000000" w:csb0="0004001F" w:csb1="0000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 w:name="Calibri Light">
    <w:panose1 w:val="020F0302020204030204"/>
    <w:charset w:val="00"/>
    <w:family w:val="swiss"/>
    <w:pitch w:val="default"/>
    <w:sig w:usb0="E4002EFF" w:usb1="C000247B" w:usb2="00000009" w:usb3="00000000" w:csb0="200001FF" w:csb1="00000000"/>
  </w:font>
  <w:font w:name="华文仿宋">
    <w:panose1 w:val="02010600040101010101"/>
    <w:charset w:val="86"/>
    <w:family w:val="auto"/>
    <w:pitch w:val="default"/>
    <w:sig w:usb0="00000287" w:usb1="080F0000" w:usb2="00000000" w:usb3="00000000" w:csb0="0004009F" w:csb1="DFD70000"/>
  </w:font>
  <w:font w:name="Times">
    <w:altName w:val="Times New Roman"/>
    <w:panose1 w:val="00000000000000000000"/>
    <w:charset w:val="00"/>
    <w:family w:val="auto"/>
    <w:pitch w:val="default"/>
    <w:sig w:usb0="00000000" w:usb1="00000000" w:usb2="00000000" w:usb3="00000000" w:csb0="00000000" w:csb1="00000000"/>
  </w:font>
  <w:font w:name="等线">
    <w:panose1 w:val="02010600030101010101"/>
    <w:charset w:val="86"/>
    <w:family w:val="auto"/>
    <w:pitch w:val="default"/>
    <w:sig w:usb0="A00002BF" w:usb1="38CF7CFA" w:usb2="00000016" w:usb3="00000000" w:csb0="0004000F" w:csb1="00000000"/>
  </w:font>
  <w:font w:name="Verdana">
    <w:panose1 w:val="020B0604030504040204"/>
    <w:charset w:val="00"/>
    <w:family w:val="swiss"/>
    <w:pitch w:val="default"/>
    <w:sig w:usb0="A00006FF" w:usb1="4000205B" w:usb2="00000010" w:usb3="00000000" w:csb0="2000019F" w:csb1="00000000"/>
  </w:font>
  <w:font w:name="新宋体">
    <w:panose1 w:val="02010609030101010101"/>
    <w:charset w:val="86"/>
    <w:family w:val="modern"/>
    <w:pitch w:val="default"/>
    <w:sig w:usb0="00000203" w:usb1="288F0000" w:usb2="00000006" w:usb3="00000000" w:csb0="00040001" w:csb1="00000000"/>
  </w:font>
  <w:font w:name="??_GB2312">
    <w:altName w:val="Times New Roman"/>
    <w:panose1 w:val="00000000000000000000"/>
    <w:charset w:val="00"/>
    <w:family w:val="auto"/>
    <w:pitch w:val="default"/>
    <w:sig w:usb0="00000000" w:usb1="00000000" w:usb2="00000000" w:usb3="00000000" w:csb0="00000001" w:csb1="00000000"/>
  </w:font>
  <w:font w:name="Arial Narrow">
    <w:panose1 w:val="020B0606020202030204"/>
    <w:charset w:val="00"/>
    <w:family w:val="auto"/>
    <w:pitch w:val="default"/>
    <w:sig w:usb0="00000287" w:usb1="00000800" w:usb2="00000000" w:usb3="00000000" w:csb0="2000009F" w:csb1="DFD7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3779DB">
    <w:pPr>
      <w:pStyle w:val="18"/>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8EFACB">
    <w:pPr>
      <w:pStyle w:val="18"/>
      <w:ind w:right="720"/>
      <w:rPr>
        <w:rFonts w:ascii="宋体"/>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094D9C">
    <w:pPr>
      <w:pStyle w:val="18"/>
      <w:jc w:val="center"/>
    </w:pPr>
    <w:r>
      <mc:AlternateContent>
        <mc:Choice Requires="wps">
          <w:drawing>
            <wp:anchor distT="0" distB="0" distL="113665" distR="113665" simplePos="0" relativeHeight="251659264" behindDoc="0" locked="0" layoutInCell="1" allowOverlap="1">
              <wp:simplePos x="0" y="0"/>
              <wp:positionH relativeFrom="margin">
                <wp:posOffset>2431415</wp:posOffset>
              </wp:positionH>
              <wp:positionV relativeFrom="paragraph">
                <wp:posOffset>-208915</wp:posOffset>
              </wp:positionV>
              <wp:extent cx="383540" cy="288290"/>
              <wp:effectExtent l="0" t="0" r="0" b="0"/>
              <wp:wrapNone/>
              <wp:docPr id="1" name="文本框 7"/>
              <wp:cNvGraphicFramePr/>
              <a:graphic xmlns:a="http://schemas.openxmlformats.org/drawingml/2006/main">
                <a:graphicData uri="http://schemas.microsoft.com/office/word/2010/wordprocessingShape">
                  <wps:wsp>
                    <wps:cNvSpPr/>
                    <wps:spPr>
                      <a:xfrm>
                        <a:off x="0" y="0"/>
                        <a:ext cx="383540" cy="288290"/>
                      </a:xfrm>
                      <a:prstGeom prst="rect">
                        <a:avLst/>
                      </a:prstGeom>
                      <a:noFill/>
                      <a:ln w="6350" cap="flat" cmpd="sng">
                        <a:noFill/>
                        <a:prstDash val="solid"/>
                        <a:round/>
                      </a:ln>
                    </wps:spPr>
                    <wps:txbx>
                      <w:txbxContent>
                        <w:p w14:paraId="3F01DB9C">
                          <w:pPr>
                            <w:pStyle w:val="18"/>
                            <w:jc w:val="center"/>
                            <w:rPr>
                              <w:rFonts w:hint="eastAsia" w:ascii="宋体" w:hAnsi="宋体" w:cs="宋体"/>
                              <w:sz w:val="21"/>
                              <w:szCs w:val="21"/>
                            </w:rPr>
                          </w:pPr>
                          <w:r>
                            <w:rPr>
                              <w:rFonts w:hint="eastAsia" w:ascii="宋体" w:hAnsi="宋体" w:cs="宋体"/>
                              <w:sz w:val="21"/>
                              <w:szCs w:val="21"/>
                            </w:rPr>
                            <w:fldChar w:fldCharType="begin"/>
                          </w:r>
                          <w:r>
                            <w:rPr>
                              <w:rFonts w:hint="eastAsia" w:ascii="宋体" w:hAnsi="宋体" w:cs="宋体"/>
                              <w:sz w:val="21"/>
                              <w:szCs w:val="21"/>
                            </w:rPr>
                            <w:instrText xml:space="preserve"> PAGE  \* MERGEFORMAT </w:instrText>
                          </w:r>
                          <w:r>
                            <w:rPr>
                              <w:rFonts w:hint="eastAsia" w:ascii="宋体" w:hAnsi="宋体" w:cs="宋体"/>
                              <w:sz w:val="21"/>
                              <w:szCs w:val="21"/>
                            </w:rPr>
                            <w:fldChar w:fldCharType="separate"/>
                          </w:r>
                          <w:r>
                            <w:rPr>
                              <w:rFonts w:ascii="宋体" w:hAnsi="宋体" w:cs="宋体"/>
                              <w:sz w:val="21"/>
                              <w:szCs w:val="21"/>
                            </w:rPr>
                            <w:t>43</w:t>
                          </w:r>
                          <w:r>
                            <w:rPr>
                              <w:rFonts w:hint="eastAsia" w:ascii="宋体" w:hAnsi="宋体" w:cs="宋体"/>
                              <w:sz w:val="21"/>
                              <w:szCs w:val="21"/>
                            </w:rPr>
                            <w:fldChar w:fldCharType="end"/>
                          </w:r>
                        </w:p>
                      </w:txbxContent>
                    </wps:txbx>
                    <wps:bodyPr vert="horz" wrap="square" lIns="0" tIns="0" rIns="0" bIns="0" anchor="t" anchorCtr="0" upright="0">
                      <a:noAutofit/>
                    </wps:bodyPr>
                  </wps:wsp>
                </a:graphicData>
              </a:graphic>
            </wp:anchor>
          </w:drawing>
        </mc:Choice>
        <mc:Fallback>
          <w:pict>
            <v:rect id="文本框 7" o:spid="_x0000_s1026" o:spt="1" style="position:absolute;left:0pt;margin-left:191.45pt;margin-top:-16.45pt;height:22.7pt;width:30.2pt;mso-position-horizontal-relative:margin;z-index:251659264;mso-width-relative:page;mso-height-relative:page;" filled="f" stroked="f" coordsize="21600,21600" o:gfxdata="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&#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AWS3aNgAAAAKAQAADwAAAAAAAAABACAAAAAiAAAAZHJz&#10;L2Rvd25yZXYueG1sUEsBAhQAFAAAAAgAh07iQPwuXJEEAgAA9gMAAA4AAAAAAAAAAQAgAAAAJwEA&#10;AGRycy9lMm9Eb2MueG1sUEsFBgAAAAAGAAYAWQEAAJ0FAAAAAA==&#10;">
              <v:fill on="f" focussize="0,0"/>
              <v:stroke on="f" weight="0.5pt" joinstyle="round"/>
              <v:imagedata o:title=""/>
              <o:lock v:ext="edit" aspectratio="f"/>
              <v:textbox inset="0mm,0mm,0mm,0mm">
                <w:txbxContent>
                  <w:p w14:paraId="3F01DB9C">
                    <w:pPr>
                      <w:pStyle w:val="18"/>
                      <w:jc w:val="center"/>
                      <w:rPr>
                        <w:rFonts w:hint="eastAsia" w:ascii="宋体" w:hAnsi="宋体" w:cs="宋体"/>
                        <w:sz w:val="21"/>
                        <w:szCs w:val="21"/>
                      </w:rPr>
                    </w:pPr>
                    <w:r>
                      <w:rPr>
                        <w:rFonts w:hint="eastAsia" w:ascii="宋体" w:hAnsi="宋体" w:cs="宋体"/>
                        <w:sz w:val="21"/>
                        <w:szCs w:val="21"/>
                      </w:rPr>
                      <w:fldChar w:fldCharType="begin"/>
                    </w:r>
                    <w:r>
                      <w:rPr>
                        <w:rFonts w:hint="eastAsia" w:ascii="宋体" w:hAnsi="宋体" w:cs="宋体"/>
                        <w:sz w:val="21"/>
                        <w:szCs w:val="21"/>
                      </w:rPr>
                      <w:instrText xml:space="preserve"> PAGE  \* MERGEFORMAT </w:instrText>
                    </w:r>
                    <w:r>
                      <w:rPr>
                        <w:rFonts w:hint="eastAsia" w:ascii="宋体" w:hAnsi="宋体" w:cs="宋体"/>
                        <w:sz w:val="21"/>
                        <w:szCs w:val="21"/>
                      </w:rPr>
                      <w:fldChar w:fldCharType="separate"/>
                    </w:r>
                    <w:r>
                      <w:rPr>
                        <w:rFonts w:ascii="宋体" w:hAnsi="宋体" w:cs="宋体"/>
                        <w:sz w:val="21"/>
                        <w:szCs w:val="21"/>
                      </w:rPr>
                      <w:t>43</w:t>
                    </w:r>
                    <w:r>
                      <w:rPr>
                        <w:rFonts w:hint="eastAsia" w:ascii="宋体" w:hAnsi="宋体" w:cs="宋体"/>
                        <w:sz w:val="21"/>
                        <w:szCs w:val="21"/>
                      </w:rPr>
                      <w:fldChar w:fldCharType="end"/>
                    </w:r>
                  </w:p>
                </w:txbxContent>
              </v:textbox>
            </v:rect>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B3A0CA">
    <w:pPr>
      <w:pStyle w:val="18"/>
      <w:rPr>
        <w:rFonts w:ascii="宋体"/>
      </w:rPr>
    </w:pPr>
    <w:r>
      <mc:AlternateContent>
        <mc:Choice Requires="wps">
          <w:drawing>
            <wp:anchor distT="0" distB="0" distL="113665" distR="113665" simplePos="0" relativeHeight="251659264" behindDoc="0" locked="0" layoutInCell="1" allowOverlap="1">
              <wp:simplePos x="0" y="0"/>
              <wp:positionH relativeFrom="margin">
                <wp:align>center</wp:align>
              </wp:positionH>
              <wp:positionV relativeFrom="paragraph">
                <wp:posOffset>0</wp:posOffset>
              </wp:positionV>
              <wp:extent cx="116205" cy="139700"/>
              <wp:effectExtent l="0" t="0" r="0" b="0"/>
              <wp:wrapNone/>
              <wp:docPr id="4" name="文本框 5"/>
              <wp:cNvGraphicFramePr/>
              <a:graphic xmlns:a="http://schemas.openxmlformats.org/drawingml/2006/main">
                <a:graphicData uri="http://schemas.microsoft.com/office/word/2010/wordprocessingShape">
                  <wps:wsp>
                    <wps:cNvSpPr/>
                    <wps:spPr>
                      <a:xfrm>
                        <a:off x="0" y="0"/>
                        <a:ext cx="116204" cy="139700"/>
                      </a:xfrm>
                      <a:prstGeom prst="rect">
                        <a:avLst/>
                      </a:prstGeom>
                      <a:noFill/>
                      <a:ln w="9525" cap="flat" cmpd="sng">
                        <a:noFill/>
                        <a:prstDash val="solid"/>
                        <a:round/>
                      </a:ln>
                    </wps:spPr>
                    <wps:txbx>
                      <w:txbxContent>
                        <w:p w14:paraId="41BBDC2B">
                          <w:pPr>
                            <w:pStyle w:val="18"/>
                          </w:pPr>
                          <w:r>
                            <w:fldChar w:fldCharType="begin"/>
                          </w:r>
                          <w:r>
                            <w:instrText xml:space="preserve"> PAGE  \* MERGEFORMAT </w:instrText>
                          </w:r>
                          <w:r>
                            <w:fldChar w:fldCharType="separate"/>
                          </w:r>
                          <w:r>
                            <w:t>20</w:t>
                          </w:r>
                          <w:r>
                            <w:fldChar w:fldCharType="end"/>
                          </w:r>
                        </w:p>
                      </w:txbxContent>
                    </wps:txbx>
                    <wps:bodyPr vert="horz" wrap="none" lIns="0" tIns="0" rIns="0" bIns="0" anchor="t" anchorCtr="0" upright="0">
                      <a:spAutoFit/>
                    </wps:bodyPr>
                  </wps:wsp>
                </a:graphicData>
              </a:graphic>
            </wp:anchor>
          </w:drawing>
        </mc:Choice>
        <mc:Fallback>
          <w:pict>
            <v:rect id="文本框 5" o:spid="_x0000_s1026" o:spt="1" style="position:absolute;left:0pt;margin-top:0pt;height:11pt;width:9.15pt;mso-position-horizontal:center;mso-position-horizontal-relative:margin;mso-wrap-style:none;z-index:251659264;mso-width-relative:page;mso-height-relative:page;" filled="f" stroked="f" coordsize="21600,21600" o:gfxdata="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">
              <v:fill on="f" focussize="0,0"/>
              <v:stroke on="f" joinstyle="round"/>
              <v:imagedata o:title=""/>
              <o:lock v:ext="edit" aspectratio="f"/>
              <v:textbox inset="0mm,0mm,0mm,0mm" style="mso-fit-shape-to-text:t;">
                <w:txbxContent>
                  <w:p w14:paraId="41BBDC2B">
                    <w:pPr>
                      <w:pStyle w:val="18"/>
                    </w:pPr>
                    <w:r>
                      <w:fldChar w:fldCharType="begin"/>
                    </w:r>
                    <w:r>
                      <w:instrText xml:space="preserve"> PAGE  \* MERGEFORMAT </w:instrText>
                    </w:r>
                    <w:r>
                      <w:fldChar w:fldCharType="separate"/>
                    </w:r>
                    <w:r>
                      <w:t>20</w:t>
                    </w:r>
                    <w:r>
                      <w:fldChar w:fldCharType="end"/>
                    </w:r>
                  </w:p>
                </w:txbxContent>
              </v:textbox>
            </v:rect>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734ECF">
    <w:pPr>
      <w:widowControl w:val="0"/>
      <w:tabs>
        <w:tab w:val="center" w:pos="4153"/>
        <w:tab w:val="right" w:pos="8306"/>
      </w:tabs>
      <w:snapToGrid w:val="0"/>
      <w:jc w:val="center"/>
      <w:rPr>
        <w:rFonts w:ascii="等线" w:hAnsi="等线" w:eastAsia="等线" w:cs="Times New Roman"/>
        <w:kern w:val="2"/>
        <w:sz w:val="18"/>
        <w:szCs w:val="18"/>
        <w:lang w:val="en-US" w:eastAsia="zh-CN" w:bidi="ar-SA"/>
      </w:rPr>
    </w:pPr>
    <w:r>
      <w:rPr>
        <w:rFonts w:ascii="等线" w:hAnsi="等线" w:eastAsia="等线" w:cs="Times New Roman"/>
        <w:kern w:val="2"/>
        <w:sz w:val="18"/>
        <w:szCs w:val="18"/>
        <w:lang w:val="en-US" w:eastAsia="zh-CN" w:bidi="ar-SA"/>
      </w:rPr>
      <mc:AlternateContent>
        <mc:Choice Requires="wps">
          <w:drawing>
            <wp:anchor distT="0" distB="0" distL="113665" distR="113665" simplePos="0" relativeHeight="251659264" behindDoc="0" locked="0" layoutInCell="1" allowOverlap="1">
              <wp:simplePos x="0" y="0"/>
              <wp:positionH relativeFrom="margin">
                <wp:align>center</wp:align>
              </wp:positionH>
              <wp:positionV relativeFrom="paragraph">
                <wp:posOffset>0</wp:posOffset>
              </wp:positionV>
              <wp:extent cx="156210" cy="223520"/>
              <wp:effectExtent l="0" t="0" r="0" b="0"/>
              <wp:wrapNone/>
              <wp:docPr id="7" name="文本框 9"/>
              <wp:cNvGraphicFramePr/>
              <a:graphic xmlns:a="http://schemas.openxmlformats.org/drawingml/2006/main">
                <a:graphicData uri="http://schemas.microsoft.com/office/word/2010/wordprocessingShape">
                  <wps:wsp>
                    <wps:cNvSpPr/>
                    <wps:spPr>
                      <a:xfrm>
                        <a:off x="0" y="0"/>
                        <a:ext cx="156286" cy="223744"/>
                      </a:xfrm>
                      <a:prstGeom prst="rect">
                        <a:avLst/>
                      </a:prstGeom>
                      <a:noFill/>
                      <a:ln w="6350" cap="flat" cmpd="sng">
                        <a:noFill/>
                        <a:prstDash val="solid"/>
                        <a:round/>
                      </a:ln>
                    </wps:spPr>
                    <wps:txbx>
                      <w:txbxContent>
                        <w:p w14:paraId="64F9F33D">
                          <w:pPr>
                            <w:widowControl w:val="0"/>
                            <w:tabs>
                              <w:tab w:val="center" w:pos="4153"/>
                              <w:tab w:val="right" w:pos="8306"/>
                            </w:tabs>
                            <w:snapToGrid w:val="0"/>
                            <w:jc w:val="center"/>
                            <w:rPr>
                              <w:rFonts w:ascii="等线" w:hAnsi="等线" w:eastAsia="等线" w:cs="Times New Roman"/>
                              <w:kern w:val="2"/>
                              <w:sz w:val="18"/>
                              <w:szCs w:val="18"/>
                              <w:lang w:val="en-US" w:eastAsia="zh-CN" w:bidi="ar-SA"/>
                            </w:rPr>
                          </w:pPr>
                          <w:r>
                            <w:rPr>
                              <w:rFonts w:ascii="等线" w:hAnsi="等线" w:eastAsia="等线" w:cs="Times New Roman"/>
                              <w:kern w:val="2"/>
                              <w:sz w:val="21"/>
                              <w:szCs w:val="18"/>
                              <w:lang w:val="en-US" w:eastAsia="zh-CN" w:bidi="ar-SA"/>
                            </w:rPr>
                            <w:fldChar w:fldCharType="begin"/>
                          </w:r>
                          <w:r>
                            <w:rPr>
                              <w:rFonts w:ascii="等线" w:hAnsi="等线" w:eastAsia="等线" w:cs="Times New Roman"/>
                              <w:kern w:val="2"/>
                              <w:sz w:val="21"/>
                              <w:szCs w:val="18"/>
                              <w:lang w:val="en-US" w:eastAsia="zh-CN" w:bidi="ar-SA"/>
                            </w:rPr>
                            <w:instrText xml:space="preserve">PAGE   \* MERGEFORMAT</w:instrText>
                          </w:r>
                          <w:r>
                            <w:rPr>
                              <w:rFonts w:ascii="等线" w:hAnsi="等线" w:eastAsia="等线" w:cs="Times New Roman"/>
                              <w:kern w:val="2"/>
                              <w:sz w:val="21"/>
                              <w:szCs w:val="18"/>
                              <w:lang w:val="en-US" w:eastAsia="zh-CN" w:bidi="ar-SA"/>
                            </w:rPr>
                            <w:fldChar w:fldCharType="separate"/>
                          </w:r>
                          <w:r>
                            <w:rPr>
                              <w:rFonts w:ascii="等线" w:hAnsi="等线" w:eastAsia="等线" w:cs="Times New Roman"/>
                              <w:kern w:val="2"/>
                              <w:sz w:val="21"/>
                              <w:szCs w:val="18"/>
                              <w:lang w:val="zh-CN" w:eastAsia="zh-CN" w:bidi="ar-SA"/>
                            </w:rPr>
                            <w:t>109</w:t>
                          </w:r>
                          <w:r>
                            <w:rPr>
                              <w:rFonts w:ascii="等线" w:hAnsi="等线" w:eastAsia="等线" w:cs="Times New Roman"/>
                              <w:kern w:val="2"/>
                              <w:sz w:val="21"/>
                              <w:szCs w:val="18"/>
                              <w:lang w:val="en-US" w:eastAsia="zh-CN" w:bidi="ar-SA"/>
                            </w:rPr>
                            <w:fldChar w:fldCharType="end"/>
                          </w:r>
                        </w:p>
                      </w:txbxContent>
                    </wps:txbx>
                    <wps:bodyPr vert="horz" wrap="none" lIns="0" tIns="0" rIns="0" bIns="0" anchor="t" anchorCtr="0" upright="0">
                      <a:spAutoFit/>
                    </wps:bodyPr>
                  </wps:wsp>
                </a:graphicData>
              </a:graphic>
            </wp:anchor>
          </w:drawing>
        </mc:Choice>
        <mc:Fallback>
          <w:pict>
            <v:rect id="文本框 9" o:spid="_x0000_s1026" o:spt="1" style="position:absolute;left:0pt;margin-top:0pt;height:17.6pt;width:12.3pt;mso-position-horizontal:center;mso-position-horizontal-relative:margin;mso-wrap-style:none;z-index:251659264;mso-width-relative:page;mso-height-relative:page;" filled="f" stroked="f" coordsize="21600,21600" o:gfxdata="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&#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G7HWUdcAAAADAQAADwAAAAAAAAABACAAAAAiAAAAZHJz&#10;L2Rvd25yZXYueG1sUEsBAhQAFAAAAAgAh07iQGlxcwkFAgAA9AMAAA4AAAAAAAAAAQAgAAAAJgEA&#10;AGRycy9lMm9Eb2MueG1sUEsFBgAAAAAGAAYAWQEAAJ0FAAAAAA==&#10;">
              <v:fill on="f" focussize="0,0"/>
              <v:stroke on="f" weight="0.5pt" joinstyle="round"/>
              <v:imagedata o:title=""/>
              <o:lock v:ext="edit" aspectratio="f"/>
              <v:textbox inset="0mm,0mm,0mm,0mm" style="mso-fit-shape-to-text:t;">
                <w:txbxContent>
                  <w:p w14:paraId="64F9F33D">
                    <w:pPr>
                      <w:widowControl w:val="0"/>
                      <w:tabs>
                        <w:tab w:val="center" w:pos="4153"/>
                        <w:tab w:val="right" w:pos="8306"/>
                      </w:tabs>
                      <w:snapToGrid w:val="0"/>
                      <w:jc w:val="center"/>
                      <w:rPr>
                        <w:rFonts w:ascii="等线" w:hAnsi="等线" w:eastAsia="等线" w:cs="Times New Roman"/>
                        <w:kern w:val="2"/>
                        <w:sz w:val="18"/>
                        <w:szCs w:val="18"/>
                        <w:lang w:val="en-US" w:eastAsia="zh-CN" w:bidi="ar-SA"/>
                      </w:rPr>
                    </w:pPr>
                    <w:r>
                      <w:rPr>
                        <w:rFonts w:ascii="等线" w:hAnsi="等线" w:eastAsia="等线" w:cs="Times New Roman"/>
                        <w:kern w:val="2"/>
                        <w:sz w:val="21"/>
                        <w:szCs w:val="18"/>
                        <w:lang w:val="en-US" w:eastAsia="zh-CN" w:bidi="ar-SA"/>
                      </w:rPr>
                      <w:fldChar w:fldCharType="begin"/>
                    </w:r>
                    <w:r>
                      <w:rPr>
                        <w:rFonts w:ascii="等线" w:hAnsi="等线" w:eastAsia="等线" w:cs="Times New Roman"/>
                        <w:kern w:val="2"/>
                        <w:sz w:val="21"/>
                        <w:szCs w:val="18"/>
                        <w:lang w:val="en-US" w:eastAsia="zh-CN" w:bidi="ar-SA"/>
                      </w:rPr>
                      <w:instrText xml:space="preserve">PAGE   \* MERGEFORMAT</w:instrText>
                    </w:r>
                    <w:r>
                      <w:rPr>
                        <w:rFonts w:ascii="等线" w:hAnsi="等线" w:eastAsia="等线" w:cs="Times New Roman"/>
                        <w:kern w:val="2"/>
                        <w:sz w:val="21"/>
                        <w:szCs w:val="18"/>
                        <w:lang w:val="en-US" w:eastAsia="zh-CN" w:bidi="ar-SA"/>
                      </w:rPr>
                      <w:fldChar w:fldCharType="separate"/>
                    </w:r>
                    <w:r>
                      <w:rPr>
                        <w:rFonts w:ascii="等线" w:hAnsi="等线" w:eastAsia="等线" w:cs="Times New Roman"/>
                        <w:kern w:val="2"/>
                        <w:sz w:val="21"/>
                        <w:szCs w:val="18"/>
                        <w:lang w:val="zh-CN" w:eastAsia="zh-CN" w:bidi="ar-SA"/>
                      </w:rPr>
                      <w:t>109</w:t>
                    </w:r>
                    <w:r>
                      <w:rPr>
                        <w:rFonts w:ascii="等线" w:hAnsi="等线" w:eastAsia="等线" w:cs="Times New Roman"/>
                        <w:kern w:val="2"/>
                        <w:sz w:val="21"/>
                        <w:szCs w:val="18"/>
                        <w:lang w:val="en-US" w:eastAsia="zh-CN" w:bidi="ar-SA"/>
                      </w:rPr>
                      <w:fldChar w:fldCharType="end"/>
                    </w:r>
                  </w:p>
                </w:txbxContent>
              </v:textbox>
            </v:rect>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15BC89">
    <w:pPr>
      <w:pStyle w:val="18"/>
      <w:rPr>
        <w:rFonts w:ascii="宋体"/>
      </w:rPr>
    </w:pPr>
    <w:r>
      <mc:AlternateContent>
        <mc:Choice Requires="wps">
          <w:drawing>
            <wp:anchor distT="0" distB="0" distL="113665" distR="113665" simplePos="0" relativeHeight="251659264" behindDoc="0" locked="0" layoutInCell="1" allowOverlap="1">
              <wp:simplePos x="0" y="0"/>
              <wp:positionH relativeFrom="margin">
                <wp:align>center</wp:align>
              </wp:positionH>
              <wp:positionV relativeFrom="paragraph">
                <wp:posOffset>0</wp:posOffset>
              </wp:positionV>
              <wp:extent cx="237490" cy="139700"/>
              <wp:effectExtent l="0" t="0" r="0" b="0"/>
              <wp:wrapNone/>
              <wp:docPr id="10" name="文本框 1035"/>
              <wp:cNvGraphicFramePr/>
              <a:graphic xmlns:a="http://schemas.openxmlformats.org/drawingml/2006/main">
                <a:graphicData uri="http://schemas.microsoft.com/office/word/2010/wordprocessingShape">
                  <wps:wsp>
                    <wps:cNvSpPr/>
                    <wps:spPr>
                      <a:xfrm>
                        <a:off x="0" y="0"/>
                        <a:ext cx="237515" cy="139560"/>
                      </a:xfrm>
                      <a:prstGeom prst="rect">
                        <a:avLst/>
                      </a:prstGeom>
                      <a:noFill/>
                      <a:ln w="9525" cap="flat" cmpd="sng">
                        <a:noFill/>
                        <a:prstDash val="solid"/>
                        <a:round/>
                      </a:ln>
                    </wps:spPr>
                    <wps:txbx>
                      <w:txbxContent>
                        <w:p w14:paraId="6CE64CE1">
                          <w:pPr>
                            <w:pStyle w:val="18"/>
                          </w:pPr>
                          <w:r>
                            <w:fldChar w:fldCharType="begin"/>
                          </w:r>
                          <w:r>
                            <w:instrText xml:space="preserve"> PAGE  \* MERGEFORMAT </w:instrText>
                          </w:r>
                          <w:r>
                            <w:fldChar w:fldCharType="separate"/>
                          </w:r>
                          <w:r>
                            <w:t>- 54 -</w:t>
                          </w:r>
                          <w:r>
                            <w:fldChar w:fldCharType="end"/>
                          </w:r>
                        </w:p>
                      </w:txbxContent>
                    </wps:txbx>
                    <wps:bodyPr vert="horz" wrap="none" lIns="0" tIns="0" rIns="0" bIns="0" anchor="t" anchorCtr="0" upright="1">
                      <a:spAutoFit/>
                    </wps:bodyPr>
                  </wps:wsp>
                </a:graphicData>
              </a:graphic>
            </wp:anchor>
          </w:drawing>
        </mc:Choice>
        <mc:Fallback>
          <w:pict>
            <v:rect id="文本框 1035" o:spid="_x0000_s1026" o:spt="1" style="position:absolute;left:0pt;margin-top:0pt;height:11pt;width:18.7pt;mso-position-horizontal:center;mso-position-horizontal-relative:margin;mso-wrap-style:none;z-index:251659264;mso-width-relative:page;mso-height-relative:page;" filled="f" stroked="f" coordsize="21600,21600" o:gfxdata="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AAAA&#10;AGRycy9QSwECFAAUAAAACACHTuJABJtGgtIAAAADAQAADwAAAAAAAAABACAAAAAiAAAAZHJzL2Rv&#10;d25yZXYueG1sUEsBAhQAFAAAAAgAh07iQKpNDrUHAgAA+AMAAA4AAAAAAAAAAQAgAAAAIQEAAGRy&#10;cy9lMm9Eb2MueG1sUEsFBgAAAAAGAAYAWQEAAJoFAAAAAA==&#10;">
              <v:fill on="f" focussize="0,0"/>
              <v:stroke on="f" joinstyle="round"/>
              <v:imagedata o:title=""/>
              <o:lock v:ext="edit" aspectratio="f"/>
              <v:textbox inset="0mm,0mm,0mm,0mm" style="mso-fit-shape-to-text:t;">
                <w:txbxContent>
                  <w:p w14:paraId="6CE64CE1">
                    <w:pPr>
                      <w:pStyle w:val="18"/>
                    </w:pPr>
                    <w:r>
                      <w:fldChar w:fldCharType="begin"/>
                    </w:r>
                    <w:r>
                      <w:instrText xml:space="preserve"> PAGE  \* MERGEFORMAT </w:instrText>
                    </w:r>
                    <w:r>
                      <w:fldChar w:fldCharType="separate"/>
                    </w:r>
                    <w:r>
                      <w:t>- 54 -</w:t>
                    </w:r>
                    <w:r>
                      <w:fldChar w:fldCharType="end"/>
                    </w:r>
                  </w:p>
                </w:txbxContent>
              </v:textbox>
            </v:rect>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2">
    <w:p>
      <w:r>
        <w:separator/>
      </w:r>
    </w:p>
  </w:footnote>
  <w:footnote w:type="continuationSeparator" w:id="3">
    <w:p>
      <w:r>
        <w:continuationSeparator/>
      </w:r>
    </w:p>
  </w:footnote>
  <w:footnote w:id="0">
    <w:p w14:paraId="2202D447">
      <w:pPr>
        <w:spacing w:line="300" w:lineRule="exact"/>
        <w:ind w:left="180" w:hanging="180" w:hangingChars="100"/>
        <w:rPr>
          <w:rFonts w:ascii="宋体" w:hAnsi="宋体" w:eastAsia="宋体" w:cs="Times New Roman"/>
          <w:sz w:val="18"/>
          <w:szCs w:val="18"/>
        </w:rPr>
      </w:pPr>
      <w:r>
        <w:rPr>
          <w:rFonts w:ascii="宋体" w:hAnsi="宋体" w:eastAsia="宋体" w:cs="Times New Roman"/>
          <w:sz w:val="18"/>
          <w:szCs w:val="18"/>
        </w:rPr>
        <w:footnoteRef/>
      </w:r>
      <w:r>
        <w:rPr>
          <w:rFonts w:hint="eastAsia" w:ascii="宋体" w:hAnsi="宋体" w:eastAsia="宋体" w:cs="Times New Roman"/>
          <w:sz w:val="18"/>
          <w:szCs w:val="18"/>
        </w:rPr>
        <w:t>逾期交工违约金一般为1</w:t>
      </w:r>
      <w:r>
        <w:rPr>
          <w:rFonts w:ascii="宋体" w:hAnsi="宋体" w:eastAsia="宋体" w:cs="Times New Roman"/>
          <w:sz w:val="18"/>
          <w:szCs w:val="18"/>
        </w:rPr>
        <w:t>-2</w:t>
      </w:r>
      <w:r>
        <w:rPr>
          <w:rFonts w:hint="eastAsia" w:ascii="宋体" w:hAnsi="宋体" w:eastAsia="宋体" w:cs="Times New Roman"/>
          <w:sz w:val="18"/>
          <w:szCs w:val="18"/>
        </w:rPr>
        <w:t>‰签约合同价。</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DE7179">
    <w:pPr>
      <w:rPr>
        <w:rFonts w:ascii="Times New Roman" w:hAnsi="Times New Roman" w:eastAsia="宋体" w:cs="Times New Roman"/>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6D78C9">
    <w:pPr>
      <w:rPr>
        <w:rFonts w:ascii="Times New Roman" w:hAnsi="Times New Roman" w:eastAsia="宋体" w:cs="Times New Roman"/>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6655E2">
    <w:r>
      <w:tab/>
    </w:r>
    <w:r>
      <w:tab/>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F801CA">
    <w:pPr>
      <w:pStyle w:val="19"/>
      <w:pBdr>
        <w:bottom w:val="none" w:color="auto" w:sz="0" w:space="0"/>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106FA1">
    <w:pPr>
      <w:pStyle w:val="19"/>
      <w:jc w:val="left"/>
    </w:pPr>
    <w:r>
      <w:rPr>
        <w:rFonts w:hint="eastAsia"/>
        <w:sz w:val="20"/>
        <w:szCs w:val="20"/>
      </w:rPr>
      <w:t>泰顺县政府采购</w:t>
    </w:r>
    <w:r>
      <w:rPr>
        <w:sz w:val="20"/>
        <w:szCs w:val="20"/>
      </w:rPr>
      <w:t>-----</w:t>
    </w:r>
    <w:r>
      <w:rPr>
        <w:rFonts w:hint="eastAsia"/>
        <w:sz w:val="20"/>
        <w:szCs w:val="20"/>
      </w:rPr>
      <w:t>竞争性磋商文件</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930B8FC"/>
    <w:multiLevelType w:val="singleLevel"/>
    <w:tmpl w:val="A930B8FC"/>
    <w:lvl w:ilvl="0" w:tentative="0">
      <w:start w:val="1"/>
      <w:numFmt w:val="decimal"/>
      <w:suff w:val="space"/>
      <w:lvlText w:val="%1."/>
      <w:lvlJc w:val="left"/>
      <w:pPr>
        <w:ind w:left="0" w:firstLine="0"/>
      </w:pPr>
    </w:lvl>
  </w:abstractNum>
  <w:abstractNum w:abstractNumId="1">
    <w:nsid w:val="D88AD1C3"/>
    <w:multiLevelType w:val="singleLevel"/>
    <w:tmpl w:val="D88AD1C3"/>
    <w:lvl w:ilvl="0" w:tentative="0">
      <w:start w:val="1"/>
      <w:numFmt w:val="decimal"/>
      <w:suff w:val="space"/>
      <w:lvlText w:val="%1."/>
      <w:lvlJc w:val="left"/>
      <w:pPr>
        <w:ind w:left="0" w:firstLine="0"/>
      </w:pPr>
    </w:lvl>
  </w:abstractNum>
  <w:abstractNum w:abstractNumId="2">
    <w:nsid w:val="F61D95EE"/>
    <w:multiLevelType w:val="singleLevel"/>
    <w:tmpl w:val="F61D95EE"/>
    <w:lvl w:ilvl="0" w:tentative="0">
      <w:start w:val="1"/>
      <w:numFmt w:val="decimal"/>
      <w:suff w:val="space"/>
      <w:lvlText w:val="%1."/>
      <w:lvlJc w:val="left"/>
      <w:pPr>
        <w:ind w:left="0" w:firstLine="0"/>
      </w:pPr>
    </w:lvl>
  </w:abstractNum>
  <w:abstractNum w:abstractNumId="3">
    <w:nsid w:val="1759A82E"/>
    <w:multiLevelType w:val="singleLevel"/>
    <w:tmpl w:val="1759A82E"/>
    <w:lvl w:ilvl="0" w:tentative="0">
      <w:start w:val="1"/>
      <w:numFmt w:val="decimal"/>
      <w:suff w:val="nothing"/>
      <w:lvlText w:val="%1．"/>
      <w:lvlJc w:val="left"/>
      <w:pPr>
        <w:ind w:left="0" w:firstLine="400"/>
      </w:pPr>
      <w:rPr>
        <w:rFonts w:hint="default"/>
      </w:rPr>
    </w:lvl>
  </w:abstractNum>
  <w:abstractNum w:abstractNumId="4">
    <w:nsid w:val="3C3905D7"/>
    <w:multiLevelType w:val="singleLevel"/>
    <w:tmpl w:val="3C3905D7"/>
    <w:lvl w:ilvl="0" w:tentative="0">
      <w:start w:val="4"/>
      <w:numFmt w:val="decimal"/>
      <w:lvlText w:val="%1."/>
      <w:lvlJc w:val="left"/>
      <w:pPr>
        <w:tabs>
          <w:tab w:val="left" w:pos="312"/>
        </w:tabs>
      </w:pPr>
    </w:lvl>
  </w:abstractNum>
  <w:abstractNum w:abstractNumId="5">
    <w:nsid w:val="3D06CA1B"/>
    <w:multiLevelType w:val="multilevel"/>
    <w:tmpl w:val="3D06CA1B"/>
    <w:lvl w:ilvl="0" w:tentative="0">
      <w:start w:val="1"/>
      <w:numFmt w:val="decimal"/>
      <w:lvlText w:val="%1."/>
      <w:lvlJc w:val="left"/>
      <w:pPr>
        <w:ind w:left="432" w:hanging="432"/>
      </w:pPr>
      <w:rPr>
        <w:rFonts w:hint="default"/>
      </w:rPr>
    </w:lvl>
    <w:lvl w:ilvl="1" w:tentative="0">
      <w:start w:val="1"/>
      <w:numFmt w:val="decimal"/>
      <w:lvlText w:val="%1.%2."/>
      <w:lvlJc w:val="left"/>
      <w:pPr>
        <w:ind w:left="575" w:hanging="575"/>
      </w:pPr>
      <w:rPr>
        <w:rFonts w:hint="default"/>
      </w:rPr>
    </w:lvl>
    <w:lvl w:ilvl="2" w:tentative="0">
      <w:start w:val="1"/>
      <w:numFmt w:val="decimal"/>
      <w:pStyle w:val="5"/>
      <w:lvlText w:val="%1.%2.%3."/>
      <w:lvlJc w:val="left"/>
      <w:pPr>
        <w:ind w:left="720" w:hanging="720"/>
      </w:pPr>
      <w:rPr>
        <w:rFonts w:hint="default"/>
      </w:rPr>
    </w:lvl>
    <w:lvl w:ilvl="3" w:tentative="0">
      <w:start w:val="1"/>
      <w:numFmt w:val="decimal"/>
      <w:pStyle w:val="6"/>
      <w:lvlText w:val="%1.%2.%3.%4."/>
      <w:lvlJc w:val="left"/>
      <w:pPr>
        <w:ind w:left="864" w:hanging="864"/>
      </w:pPr>
      <w:rPr>
        <w:rFonts w:hint="default"/>
      </w:rPr>
    </w:lvl>
    <w:lvl w:ilvl="4" w:tentative="0">
      <w:start w:val="1"/>
      <w:numFmt w:val="decimal"/>
      <w:lvlText w:val="%1.%2.%3.%4.%5."/>
      <w:lvlJc w:val="left"/>
      <w:pPr>
        <w:ind w:left="1008" w:hanging="1008"/>
      </w:pPr>
      <w:rPr>
        <w:rFonts w:hint="default"/>
      </w:rPr>
    </w:lvl>
    <w:lvl w:ilvl="5" w:tentative="0">
      <w:start w:val="1"/>
      <w:numFmt w:val="decimal"/>
      <w:lvlText w:val="%1.%2.%3.%4.%5.%6."/>
      <w:lvlJc w:val="left"/>
      <w:pPr>
        <w:ind w:left="1151" w:hanging="1151"/>
      </w:pPr>
      <w:rPr>
        <w:rFonts w:hint="default"/>
      </w:rPr>
    </w:lvl>
    <w:lvl w:ilvl="6" w:tentative="0">
      <w:start w:val="1"/>
      <w:numFmt w:val="decimal"/>
      <w:lvlText w:val="%1.%2.%3.%4.%5.%6.%7."/>
      <w:lvlJc w:val="left"/>
      <w:pPr>
        <w:ind w:left="1296" w:hanging="1296"/>
      </w:pPr>
      <w:rPr>
        <w:rFonts w:hint="default"/>
      </w:rPr>
    </w:lvl>
    <w:lvl w:ilvl="7" w:tentative="0">
      <w:start w:val="1"/>
      <w:numFmt w:val="decimal"/>
      <w:lvlText w:val="%1.%2.%3.%4.%5.%6.%7.%8."/>
      <w:lvlJc w:val="left"/>
      <w:pPr>
        <w:ind w:left="1440" w:hanging="1440"/>
      </w:pPr>
      <w:rPr>
        <w:rFonts w:hint="default"/>
      </w:rPr>
    </w:lvl>
    <w:lvl w:ilvl="8" w:tentative="0">
      <w:start w:val="1"/>
      <w:numFmt w:val="decimal"/>
      <w:lvlText w:val="%1.%2.%3.%4.%5.%6.%7.%8.%9."/>
      <w:lvlJc w:val="left"/>
      <w:pPr>
        <w:ind w:left="1583" w:hanging="1583"/>
      </w:pPr>
      <w:rPr>
        <w:rFonts w:hint="default"/>
      </w:rPr>
    </w:lvl>
  </w:abstractNum>
  <w:abstractNum w:abstractNumId="6">
    <w:nsid w:val="471D6E81"/>
    <w:multiLevelType w:val="singleLevel"/>
    <w:tmpl w:val="471D6E81"/>
    <w:lvl w:ilvl="0" w:tentative="0">
      <w:start w:val="2"/>
      <w:numFmt w:val="decimal"/>
      <w:suff w:val="nothing"/>
      <w:lvlText w:val="%1、"/>
      <w:lvlJc w:val="left"/>
      <w:pPr>
        <w:ind w:left="210" w:firstLine="0"/>
      </w:pPr>
    </w:lvl>
  </w:abstractNum>
  <w:num w:numId="1">
    <w:abstractNumId w:val="5"/>
  </w:num>
  <w:num w:numId="2">
    <w:abstractNumId w:val="2"/>
  </w:num>
  <w:num w:numId="3">
    <w:abstractNumId w:val="3"/>
  </w:num>
  <w:num w:numId="4">
    <w:abstractNumId w:val="4"/>
  </w:num>
  <w:num w:numId="5">
    <w:abstractNumId w:val="1"/>
  </w:num>
  <w:num w:numId="6">
    <w:abstractNumId w:val="0"/>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2"/>
  <w:bordersDoNotSurroundHeader w:val="0"/>
  <w:bordersDoNotSurroundFooter w:val="0"/>
  <w:documentProtection w:edit="forms" w:enforcement="0"/>
  <w:defaultTabStop w:val="420"/>
  <w:drawingGridHorizontalSpacing w:val="210"/>
  <w:drawingGridVerticalSpacing w:val="-7946"/>
  <w:displayHorizontalDrawingGridEvery w:val="1"/>
  <w:displayVerticalDrawingGridEvery w:val="1"/>
  <w:noPunctuationKerning w:val="1"/>
  <w:characterSpacingControl w:val="compressPunctuation"/>
  <w:footnotePr>
    <w:footnote w:id="2"/>
    <w:footnote w:id="3"/>
  </w:footnotePr>
  <w:compat>
    <w:spaceForUL/>
    <w:balanceSingleByteDoubleByteWidth/>
    <w:ulTrailSpace/>
    <w:doNotExpandShiftReturn/>
    <w:adjustLineHeightInTable/>
    <w:useFELayout/>
    <w:doNotUseIndentAsNumberingTabStop/>
    <w:compatSetting w:name="compatibilityMode" w:uri="http://schemas.microsoft.com/office/word" w:val="15"/>
  </w:compat>
  <w:docVars>
    <w:docVar w:name="commondata" w:val="eyJoZGlkIjoiYzI1MDRjMmExYWE2M2ZiNzExYzc0ZDQ1ZTg2OTdlOWMifQ=="/>
  </w:docVars>
  <w:rsids>
    <w:rsidRoot w:val="00000000"/>
    <w:rsid w:val="04196445"/>
    <w:rsid w:val="068E39BB"/>
    <w:rsid w:val="076B2344"/>
    <w:rsid w:val="0BD00584"/>
    <w:rsid w:val="13347445"/>
    <w:rsid w:val="28AE6489"/>
    <w:rsid w:val="2E9B4AB4"/>
    <w:rsid w:val="3B765F9D"/>
    <w:rsid w:val="533E7064"/>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Arial"/>
      </w:rPr>
    </w:rPrDefault>
    <w:pPrDefault/>
  </w:docDefaults>
  <w:latentStyles w:count="260" w:defQFormat="0" w:defUnhideWhenUsed="1" w:defSemiHidden="1" w:defUIPriority="99" w:defLockedState="0">
    <w:lsdException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unhideWhenUsed="0" w:uiPriority="0" w:semiHidden="0" w:name="Title"/>
    <w:lsdException w:unhideWhenUsed="0" w:uiPriority="0" w:semiHidden="0" w:name="Closing"/>
    <w:lsdException w:unhideWhenUsed="0" w:uiPriority="0" w:semiHidden="0" w:name="Signature"/>
    <w:lsdException w:unhideWhenUsed="0" w:uiPriority="0" w:semiHidden="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qFormat="1"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0" w:semiHidden="0" w:name="List Paragraph"/>
    <w:lsdException w:qFormat="1" w:unhideWhenUsed="0" w:uiPriority="0" w:semiHidden="0" w:name="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uiPriority w:val="0"/>
    <w:pPr>
      <w:widowControl w:val="0"/>
      <w:jc w:val="both"/>
    </w:pPr>
    <w:rPr>
      <w:rFonts w:ascii="Calibri" w:hAnsi="Calibri" w:eastAsia="宋体" w:cs="黑体"/>
      <w:kern w:val="2"/>
      <w:sz w:val="21"/>
      <w:szCs w:val="24"/>
      <w:lang w:val="en-US" w:eastAsia="zh-CN" w:bidi="ar-SA"/>
    </w:rPr>
  </w:style>
  <w:style w:type="paragraph" w:styleId="3">
    <w:name w:val="heading 1"/>
    <w:basedOn w:val="1"/>
    <w:next w:val="1"/>
    <w:qFormat/>
    <w:uiPriority w:val="0"/>
    <w:pPr>
      <w:keepNext/>
      <w:keepLines/>
      <w:widowControl w:val="0"/>
      <w:spacing w:before="340" w:after="330" w:line="578" w:lineRule="auto"/>
      <w:outlineLvl w:val="0"/>
    </w:pPr>
    <w:rPr>
      <w:b/>
      <w:bCs/>
      <w:kern w:val="44"/>
      <w:sz w:val="44"/>
      <w:szCs w:val="44"/>
    </w:rPr>
  </w:style>
  <w:style w:type="paragraph" w:styleId="4">
    <w:name w:val="heading 2"/>
    <w:basedOn w:val="1"/>
    <w:next w:val="1"/>
    <w:qFormat/>
    <w:uiPriority w:val="0"/>
    <w:pPr>
      <w:keepNext/>
      <w:keepLines/>
      <w:widowControl w:val="0"/>
      <w:spacing w:before="260" w:after="260" w:line="415" w:lineRule="auto"/>
      <w:outlineLvl w:val="1"/>
    </w:pPr>
    <w:rPr>
      <w:rFonts w:ascii="Cambria" w:hAnsi="Cambria"/>
      <w:b/>
      <w:bCs/>
      <w:sz w:val="32"/>
      <w:szCs w:val="32"/>
    </w:rPr>
  </w:style>
  <w:style w:type="paragraph" w:styleId="5">
    <w:name w:val="heading 3"/>
    <w:basedOn w:val="1"/>
    <w:next w:val="1"/>
    <w:qFormat/>
    <w:uiPriority w:val="0"/>
    <w:pPr>
      <w:keepNext/>
      <w:keepLines/>
      <w:widowControl w:val="0"/>
      <w:numPr>
        <w:ilvl w:val="2"/>
        <w:numId w:val="1"/>
      </w:numPr>
      <w:tabs>
        <w:tab w:val="left" w:pos="0"/>
      </w:tabs>
      <w:spacing w:line="360" w:lineRule="auto"/>
      <w:outlineLvl w:val="2"/>
    </w:pPr>
    <w:rPr>
      <w:b/>
      <w:bCs/>
      <w:kern w:val="28"/>
      <w:szCs w:val="28"/>
    </w:rPr>
  </w:style>
  <w:style w:type="paragraph" w:styleId="6">
    <w:name w:val="heading 4"/>
    <w:basedOn w:val="1"/>
    <w:next w:val="1"/>
    <w:qFormat/>
    <w:uiPriority w:val="0"/>
    <w:pPr>
      <w:keepNext/>
      <w:keepLines/>
      <w:widowControl w:val="0"/>
      <w:numPr>
        <w:ilvl w:val="3"/>
        <w:numId w:val="1"/>
      </w:numPr>
      <w:tabs>
        <w:tab w:val="left" w:pos="850"/>
      </w:tabs>
      <w:spacing w:line="360" w:lineRule="auto"/>
      <w:jc w:val="left"/>
      <w:outlineLvl w:val="3"/>
    </w:pPr>
    <w:rPr>
      <w:rFonts w:ascii="Arial" w:hAnsi="Arial"/>
      <w:b/>
      <w:sz w:val="24"/>
    </w:rPr>
  </w:style>
  <w:style w:type="paragraph" w:styleId="7">
    <w:name w:val="heading 5"/>
    <w:basedOn w:val="1"/>
    <w:next w:val="1"/>
    <w:qFormat/>
    <w:uiPriority w:val="0"/>
    <w:pPr>
      <w:keepNext/>
      <w:keepLines/>
      <w:widowControl w:val="0"/>
      <w:spacing w:before="280" w:after="290" w:line="377" w:lineRule="auto"/>
      <w:outlineLvl w:val="4"/>
    </w:pPr>
    <w:rPr>
      <w:b/>
      <w:bCs/>
      <w:sz w:val="28"/>
      <w:szCs w:val="28"/>
    </w:rPr>
  </w:style>
  <w:style w:type="character" w:default="1" w:styleId="26">
    <w:name w:val="Default Paragraph Font"/>
    <w:uiPriority w:val="0"/>
  </w:style>
  <w:style w:type="table" w:default="1" w:styleId="25">
    <w:name w:val="Normal Table"/>
    <w:semiHidden/>
    <w:qFormat/>
    <w:uiPriority w:val="0"/>
    <w:tblPr>
      <w:tblCellMar>
        <w:top w:w="0" w:type="dxa"/>
        <w:left w:w="108" w:type="dxa"/>
        <w:bottom w:w="0" w:type="dxa"/>
        <w:right w:w="108" w:type="dxa"/>
      </w:tblCellMar>
    </w:tblPr>
  </w:style>
  <w:style w:type="paragraph" w:styleId="2">
    <w:name w:val="toc 1"/>
    <w:basedOn w:val="1"/>
    <w:next w:val="1"/>
    <w:autoRedefine/>
    <w:qFormat/>
    <w:uiPriority w:val="0"/>
    <w:pPr>
      <w:tabs>
        <w:tab w:val="right" w:leader="dot" w:pos="9118"/>
      </w:tabs>
      <w:spacing w:line="400" w:lineRule="exact"/>
      <w:jc w:val="center"/>
    </w:pPr>
    <w:rPr>
      <w:szCs w:val="20"/>
    </w:rPr>
  </w:style>
  <w:style w:type="paragraph" w:styleId="8">
    <w:name w:val="Normal Indent"/>
    <w:basedOn w:val="1"/>
    <w:next w:val="1"/>
    <w:qFormat/>
    <w:uiPriority w:val="0"/>
    <w:pPr>
      <w:ind w:firstLine="420"/>
    </w:pPr>
    <w:rPr>
      <w:szCs w:val="20"/>
    </w:rPr>
  </w:style>
  <w:style w:type="paragraph" w:styleId="9">
    <w:name w:val="annotation text"/>
    <w:basedOn w:val="1"/>
    <w:uiPriority w:val="0"/>
    <w:pPr>
      <w:widowControl w:val="0"/>
      <w:jc w:val="left"/>
    </w:pPr>
    <w:rPr>
      <w:rFonts w:ascii="Calibri" w:hAnsi="Calibri" w:eastAsia="宋体" w:cs="Times New Roman"/>
      <w:kern w:val="2"/>
      <w:sz w:val="21"/>
      <w:szCs w:val="22"/>
      <w:lang w:val="en-US" w:eastAsia="zh-CN" w:bidi="ar-SA"/>
    </w:rPr>
  </w:style>
  <w:style w:type="paragraph" w:styleId="10">
    <w:name w:val="Body Text"/>
    <w:basedOn w:val="1"/>
    <w:next w:val="11"/>
    <w:qFormat/>
    <w:uiPriority w:val="0"/>
  </w:style>
  <w:style w:type="paragraph" w:styleId="11">
    <w:name w:val="Body Text First Indent"/>
    <w:basedOn w:val="10"/>
    <w:next w:val="12"/>
    <w:qFormat/>
    <w:uiPriority w:val="0"/>
    <w:pPr>
      <w:spacing w:line="312" w:lineRule="auto"/>
      <w:ind w:firstLine="420"/>
    </w:pPr>
  </w:style>
  <w:style w:type="paragraph" w:styleId="12">
    <w:name w:val="toc 6"/>
    <w:basedOn w:val="1"/>
    <w:next w:val="1"/>
    <w:uiPriority w:val="0"/>
    <w:pPr>
      <w:ind w:left="1050"/>
      <w:jc w:val="left"/>
    </w:pPr>
    <w:rPr>
      <w:rFonts w:ascii="Century Gothic" w:hAnsi="Century Gothic"/>
      <w:sz w:val="18"/>
      <w:szCs w:val="18"/>
    </w:rPr>
  </w:style>
  <w:style w:type="paragraph" w:styleId="13">
    <w:name w:val="Body Text Indent"/>
    <w:basedOn w:val="1"/>
    <w:autoRedefine/>
    <w:uiPriority w:val="0"/>
    <w:pPr>
      <w:spacing w:after="120"/>
      <w:ind w:left="200" w:leftChars="200"/>
    </w:pPr>
  </w:style>
  <w:style w:type="paragraph" w:styleId="14">
    <w:name w:val="Plain Text"/>
    <w:basedOn w:val="1"/>
    <w:next w:val="1"/>
    <w:qFormat/>
    <w:uiPriority w:val="0"/>
    <w:rPr>
      <w:rFonts w:ascii="宋体" w:hAnsi="Courier New"/>
      <w:kern w:val="0"/>
      <w:sz w:val="20"/>
      <w:szCs w:val="21"/>
    </w:rPr>
  </w:style>
  <w:style w:type="paragraph" w:styleId="15">
    <w:name w:val="Date"/>
    <w:basedOn w:val="1"/>
    <w:next w:val="1"/>
    <w:qFormat/>
    <w:uiPriority w:val="0"/>
    <w:pPr>
      <w:ind w:left="2500" w:leftChars="2500"/>
    </w:pPr>
  </w:style>
  <w:style w:type="paragraph" w:styleId="16">
    <w:name w:val="Body Text Indent 2"/>
    <w:basedOn w:val="1"/>
    <w:qFormat/>
    <w:uiPriority w:val="0"/>
    <w:pPr>
      <w:widowControl/>
      <w:spacing w:line="480" w:lineRule="atLeast"/>
      <w:ind w:firstLine="480"/>
    </w:pPr>
    <w:rPr>
      <w:rFonts w:ascii="宋体" w:hAnsi="Times New Roman" w:cs="宋体"/>
      <w:b/>
      <w:bCs/>
      <w:color w:val="000000"/>
      <w:sz w:val="24"/>
    </w:rPr>
  </w:style>
  <w:style w:type="paragraph" w:styleId="17">
    <w:name w:val="Balloon Text"/>
    <w:basedOn w:val="1"/>
    <w:autoRedefine/>
    <w:qFormat/>
    <w:uiPriority w:val="0"/>
    <w:rPr>
      <w:sz w:val="18"/>
      <w:szCs w:val="18"/>
    </w:rPr>
  </w:style>
  <w:style w:type="paragraph" w:styleId="18">
    <w:name w:val="footer"/>
    <w:basedOn w:val="1"/>
    <w:autoRedefine/>
    <w:qFormat/>
    <w:uiPriority w:val="0"/>
    <w:pPr>
      <w:tabs>
        <w:tab w:val="center" w:pos="4153"/>
        <w:tab w:val="right" w:pos="8306"/>
      </w:tabs>
      <w:snapToGrid w:val="0"/>
      <w:jc w:val="left"/>
    </w:pPr>
    <w:rPr>
      <w:sz w:val="18"/>
      <w:szCs w:val="18"/>
    </w:rPr>
  </w:style>
  <w:style w:type="paragraph" w:styleId="19">
    <w:name w:val="header"/>
    <w:basedOn w:val="1"/>
    <w:autoRedefine/>
    <w:qFormat/>
    <w:uiPriority w:val="0"/>
    <w:pPr>
      <w:pBdr>
        <w:bottom w:val="single" w:color="auto" w:sz="6" w:space="1"/>
      </w:pBdr>
      <w:tabs>
        <w:tab w:val="center" w:pos="4153"/>
        <w:tab w:val="right" w:pos="8306"/>
      </w:tabs>
      <w:snapToGrid w:val="0"/>
      <w:jc w:val="center"/>
    </w:pPr>
    <w:rPr>
      <w:sz w:val="18"/>
      <w:szCs w:val="18"/>
    </w:rPr>
  </w:style>
  <w:style w:type="paragraph" w:styleId="20">
    <w:name w:val="Body Text Indent 3"/>
    <w:basedOn w:val="1"/>
    <w:autoRedefine/>
    <w:qFormat/>
    <w:uiPriority w:val="0"/>
    <w:pPr>
      <w:autoSpaceDE w:val="0"/>
      <w:autoSpaceDN w:val="0"/>
      <w:spacing w:line="400" w:lineRule="atLeast"/>
      <w:ind w:firstLine="200" w:firstLineChars="200"/>
      <w:textAlignment w:val="bottom"/>
    </w:pPr>
    <w:rPr>
      <w:rFonts w:eastAsia="黑体"/>
      <w:color w:val="000000"/>
      <w:sz w:val="24"/>
    </w:rPr>
  </w:style>
  <w:style w:type="paragraph" w:styleId="21">
    <w:name w:val="Normal (Web)"/>
    <w:basedOn w:val="1"/>
    <w:autoRedefine/>
    <w:qFormat/>
    <w:uiPriority w:val="0"/>
    <w:pPr>
      <w:spacing w:beforeAutospacing="1" w:afterAutospacing="1"/>
      <w:jc w:val="left"/>
    </w:pPr>
    <w:rPr>
      <w:kern w:val="0"/>
      <w:sz w:val="24"/>
    </w:rPr>
  </w:style>
  <w:style w:type="paragraph" w:styleId="22">
    <w:name w:val="Title"/>
    <w:basedOn w:val="1"/>
    <w:next w:val="1"/>
    <w:autoRedefine/>
    <w:uiPriority w:val="0"/>
    <w:pPr>
      <w:spacing w:before="240" w:after="60" w:line="460" w:lineRule="exact"/>
      <w:jc w:val="center"/>
      <w:outlineLvl w:val="0"/>
    </w:pPr>
    <w:rPr>
      <w:rFonts w:ascii="Arial" w:hAnsi="Arial" w:cs="Times New Roman"/>
      <w:b/>
      <w:spacing w:val="14"/>
      <w:kern w:val="24"/>
      <w:sz w:val="32"/>
      <w:szCs w:val="20"/>
    </w:rPr>
  </w:style>
  <w:style w:type="paragraph" w:styleId="23">
    <w:name w:val="annotation subject"/>
    <w:basedOn w:val="9"/>
    <w:next w:val="9"/>
    <w:autoRedefine/>
    <w:qFormat/>
    <w:uiPriority w:val="0"/>
    <w:rPr>
      <w:b/>
      <w:bCs/>
    </w:rPr>
  </w:style>
  <w:style w:type="paragraph" w:styleId="24">
    <w:name w:val="Body Text First Indent 2"/>
    <w:basedOn w:val="13"/>
    <w:qFormat/>
    <w:uiPriority w:val="0"/>
    <w:pPr>
      <w:ind w:firstLine="200" w:firstLineChars="200"/>
    </w:pPr>
  </w:style>
  <w:style w:type="character" w:styleId="27">
    <w:name w:val="Strong"/>
    <w:basedOn w:val="26"/>
    <w:qFormat/>
    <w:uiPriority w:val="0"/>
    <w:rPr>
      <w:b/>
    </w:rPr>
  </w:style>
  <w:style w:type="character" w:styleId="28">
    <w:name w:val="page number"/>
    <w:basedOn w:val="26"/>
    <w:autoRedefine/>
    <w:qFormat/>
    <w:uiPriority w:val="0"/>
    <w:rPr>
      <w:rFonts w:cs="Times New Roman"/>
    </w:rPr>
  </w:style>
  <w:style w:type="character" w:styleId="29">
    <w:name w:val="FollowedHyperlink"/>
    <w:basedOn w:val="26"/>
    <w:autoRedefine/>
    <w:qFormat/>
    <w:uiPriority w:val="0"/>
    <w:rPr>
      <w:color w:val="800080"/>
      <w:u w:val="none"/>
    </w:rPr>
  </w:style>
  <w:style w:type="character" w:styleId="30">
    <w:name w:val="Hyperlink"/>
    <w:basedOn w:val="26"/>
    <w:autoRedefine/>
    <w:qFormat/>
    <w:uiPriority w:val="0"/>
    <w:rPr>
      <w:color w:val="0000FF"/>
      <w:u w:val="single"/>
    </w:rPr>
  </w:style>
  <w:style w:type="character" w:styleId="31">
    <w:name w:val="annotation reference"/>
    <w:basedOn w:val="26"/>
    <w:qFormat/>
    <w:uiPriority w:val="0"/>
    <w:rPr>
      <w:sz w:val="21"/>
      <w:szCs w:val="21"/>
    </w:rPr>
  </w:style>
  <w:style w:type="character" w:styleId="32">
    <w:name w:val="HTML Sample"/>
    <w:basedOn w:val="26"/>
    <w:qFormat/>
    <w:uiPriority w:val="0"/>
    <w:rPr>
      <w:rFonts w:ascii="Courier New" w:hAnsi="Courier New"/>
    </w:rPr>
  </w:style>
  <w:style w:type="paragraph" w:styleId="33">
    <w:name w:val="Quote"/>
    <w:next w:val="1"/>
    <w:qFormat/>
    <w:uiPriority w:val="0"/>
    <w:pPr>
      <w:widowControl w:val="0"/>
      <w:wordWrap w:val="0"/>
      <w:spacing w:before="200" w:after="160"/>
      <w:ind w:left="864" w:right="864"/>
      <w:jc w:val="center"/>
    </w:pPr>
    <w:rPr>
      <w:rFonts w:ascii="Times New Roman" w:hAnsi="Times New Roman" w:eastAsia="宋体" w:cs="Times New Roman"/>
      <w:i/>
      <w:sz w:val="20"/>
      <w:szCs w:val="20"/>
      <w:lang w:val="en-US" w:eastAsia="zh-CN" w:bidi="ar-SA"/>
    </w:rPr>
  </w:style>
  <w:style w:type="paragraph" w:customStyle="1" w:styleId="34">
    <w:name w:val="无间隔1"/>
    <w:basedOn w:val="5"/>
    <w:autoRedefine/>
    <w:qFormat/>
    <w:uiPriority w:val="0"/>
    <w:rPr>
      <w:sz w:val="22"/>
      <w:szCs w:val="22"/>
    </w:rPr>
  </w:style>
  <w:style w:type="paragraph" w:customStyle="1" w:styleId="35">
    <w:name w:val="表头"/>
    <w:basedOn w:val="34"/>
    <w:autoRedefine/>
    <w:qFormat/>
    <w:uiPriority w:val="0"/>
    <w:pPr>
      <w:adjustRightInd w:val="0"/>
      <w:spacing w:before="60" w:after="60" w:line="420" w:lineRule="atLeast"/>
      <w:jc w:val="left"/>
      <w:textAlignment w:val="baseline"/>
    </w:pPr>
    <w:rPr>
      <w:rFonts w:ascii="黑体" w:hAnsi="Times New Roman" w:eastAsia="黑体" w:cs="Times New Roman"/>
      <w:kern w:val="0"/>
      <w:szCs w:val="20"/>
    </w:rPr>
  </w:style>
  <w:style w:type="paragraph" w:customStyle="1" w:styleId="36">
    <w:name w:val="表格"/>
    <w:basedOn w:val="35"/>
    <w:next w:val="1"/>
    <w:qFormat/>
    <w:uiPriority w:val="0"/>
    <w:pPr>
      <w:tabs>
        <w:tab w:val="left" w:pos="540"/>
      </w:tabs>
      <w:adjustRightInd w:val="0"/>
      <w:snapToGrid w:val="0"/>
      <w:spacing w:line="240" w:lineRule="atLeast"/>
    </w:pPr>
    <w:rPr>
      <w:rFonts w:ascii="仿宋_GB2312" w:hAnsi="仿宋_GB2312" w:eastAsia="仿宋"/>
    </w:rPr>
  </w:style>
  <w:style w:type="paragraph" w:customStyle="1" w:styleId="37">
    <w:name w:val="表格文字"/>
    <w:basedOn w:val="14"/>
    <w:next w:val="10"/>
    <w:qFormat/>
    <w:uiPriority w:val="0"/>
    <w:pPr>
      <w:adjustRightInd w:val="0"/>
      <w:spacing w:line="420" w:lineRule="atLeast"/>
      <w:jc w:val="left"/>
      <w:textAlignment w:val="baseline"/>
    </w:pPr>
    <w:rPr>
      <w:rFonts w:ascii="Times New Roman" w:hAnsi="Times New Roman"/>
      <w:szCs w:val="24"/>
    </w:rPr>
  </w:style>
  <w:style w:type="paragraph" w:customStyle="1" w:styleId="38">
    <w:name w:val="Body Text Indent 21"/>
    <w:basedOn w:val="1"/>
    <w:autoRedefine/>
    <w:qFormat/>
    <w:uiPriority w:val="0"/>
    <w:pPr>
      <w:widowControl/>
      <w:spacing w:line="480" w:lineRule="atLeast"/>
      <w:ind w:firstLine="480"/>
    </w:pPr>
    <w:rPr>
      <w:rFonts w:ascii="宋体"/>
      <w:kern w:val="0"/>
      <w:sz w:val="24"/>
      <w:szCs w:val="20"/>
    </w:rPr>
  </w:style>
  <w:style w:type="paragraph" w:customStyle="1" w:styleId="39">
    <w:name w:val="Plain Text1"/>
    <w:basedOn w:val="1"/>
    <w:autoRedefine/>
    <w:qFormat/>
    <w:uiPriority w:val="0"/>
    <w:rPr>
      <w:rFonts w:ascii="宋体" w:hAnsi="Courier New"/>
      <w:szCs w:val="20"/>
    </w:rPr>
  </w:style>
  <w:style w:type="paragraph" w:customStyle="1" w:styleId="40">
    <w:name w:val="正文2"/>
    <w:basedOn w:val="1"/>
    <w:autoRedefine/>
    <w:uiPriority w:val="0"/>
    <w:pPr>
      <w:spacing w:line="360" w:lineRule="auto"/>
      <w:ind w:firstLine="200" w:firstLineChars="200"/>
    </w:pPr>
    <w:rPr>
      <w:sz w:val="24"/>
      <w:szCs w:val="20"/>
    </w:rPr>
  </w:style>
  <w:style w:type="paragraph" w:customStyle="1" w:styleId="41">
    <w:name w:val="xl77"/>
    <w:basedOn w:val="1"/>
    <w:autoRedefine/>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Arial Unicode MS" w:hAnsi="Arial Unicode MS"/>
      <w:b/>
      <w:bCs/>
      <w:kern w:val="0"/>
      <w:sz w:val="28"/>
      <w:szCs w:val="28"/>
    </w:rPr>
  </w:style>
  <w:style w:type="paragraph" w:customStyle="1" w:styleId="42">
    <w:name w:val="Normal Indent1"/>
    <w:basedOn w:val="1"/>
    <w:autoRedefine/>
    <w:uiPriority w:val="0"/>
    <w:pPr>
      <w:ind w:firstLine="200" w:firstLineChars="200"/>
    </w:pPr>
  </w:style>
  <w:style w:type="paragraph" w:customStyle="1" w:styleId="43">
    <w:name w:val="Body Text Indent 31"/>
    <w:basedOn w:val="1"/>
    <w:autoRedefine/>
    <w:qFormat/>
    <w:uiPriority w:val="0"/>
    <w:pPr>
      <w:autoSpaceDE w:val="0"/>
      <w:autoSpaceDN w:val="0"/>
      <w:spacing w:line="400" w:lineRule="atLeast"/>
      <w:ind w:firstLine="200" w:firstLineChars="200"/>
      <w:textAlignment w:val="bottom"/>
    </w:pPr>
    <w:rPr>
      <w:rFonts w:eastAsia="黑体"/>
      <w:color w:val="000000"/>
      <w:sz w:val="24"/>
    </w:rPr>
  </w:style>
  <w:style w:type="paragraph" w:customStyle="1" w:styleId="44">
    <w:name w:val="无间隔11"/>
    <w:autoRedefine/>
    <w:qFormat/>
    <w:uiPriority w:val="0"/>
    <w:pPr>
      <w:widowControl w:val="0"/>
      <w:spacing w:line="300" w:lineRule="auto"/>
    </w:pPr>
    <w:rPr>
      <w:rFonts w:ascii="楷体_GB2312" w:hAnsi="宋体" w:eastAsia="楷体_GB2312" w:cs="Arial"/>
      <w:bCs/>
      <w:kern w:val="2"/>
      <w:sz w:val="24"/>
      <w:szCs w:val="24"/>
      <w:u w:val="single"/>
      <w:lang w:val="en-US" w:eastAsia="zh-CN" w:bidi="ar-SA"/>
    </w:rPr>
  </w:style>
  <w:style w:type="paragraph" w:customStyle="1" w:styleId="45">
    <w:name w:val="列出段落1"/>
    <w:basedOn w:val="1"/>
    <w:autoRedefine/>
    <w:uiPriority w:val="0"/>
    <w:pPr>
      <w:ind w:firstLine="200" w:firstLineChars="200"/>
    </w:pPr>
    <w:rPr>
      <w:rFonts w:ascii="Times New Roman" w:hAnsi="Times New Roman"/>
    </w:rPr>
  </w:style>
  <w:style w:type="paragraph" w:customStyle="1" w:styleId="46">
    <w:name w:val="列出段落11"/>
    <w:basedOn w:val="1"/>
    <w:autoRedefine/>
    <w:qFormat/>
    <w:uiPriority w:val="0"/>
    <w:pPr>
      <w:ind w:firstLine="200" w:firstLineChars="200"/>
    </w:pPr>
    <w:rPr>
      <w:szCs w:val="22"/>
    </w:rPr>
  </w:style>
  <w:style w:type="paragraph" w:customStyle="1" w:styleId="47">
    <w:name w:val="彩色列表 - 强调文字颜色 11"/>
    <w:basedOn w:val="1"/>
    <w:autoRedefine/>
    <w:uiPriority w:val="0"/>
    <w:pPr>
      <w:spacing w:line="480" w:lineRule="auto"/>
      <w:ind w:firstLine="200" w:firstLineChars="200"/>
      <w:jc w:val="left"/>
    </w:pPr>
    <w:rPr>
      <w:sz w:val="24"/>
      <w:lang w:eastAsia="zh-TW"/>
    </w:rPr>
  </w:style>
  <w:style w:type="paragraph" w:customStyle="1" w:styleId="48">
    <w:name w:val="Table Paragraph"/>
    <w:basedOn w:val="1"/>
    <w:autoRedefine/>
    <w:uiPriority w:val="0"/>
    <w:pPr>
      <w:jc w:val="left"/>
    </w:pPr>
    <w:rPr>
      <w:rFonts w:ascii="Calibri" w:hAnsi="Calibri" w:eastAsia="宋体" w:cs="Arial"/>
      <w:kern w:val="0"/>
      <w:sz w:val="22"/>
      <w:szCs w:val="22"/>
    </w:rPr>
  </w:style>
  <w:style w:type="paragraph" w:customStyle="1" w:styleId="49">
    <w:name w:val="※正文"/>
    <w:basedOn w:val="1"/>
    <w:next w:val="1"/>
    <w:uiPriority w:val="0"/>
    <w:pPr>
      <w:widowControl/>
      <w:wordWrap w:val="0"/>
      <w:spacing w:line="400" w:lineRule="exact"/>
    </w:pPr>
    <w:rPr>
      <w:rFonts w:ascii="Calibri Light" w:hAnsi="Calibri Light" w:eastAsia="华文仿宋" w:cs="Arial"/>
      <w:sz w:val="28"/>
      <w:szCs w:val="28"/>
    </w:rPr>
  </w:style>
  <w:style w:type="character" w:customStyle="1" w:styleId="50">
    <w:name w:val="hover17"/>
    <w:basedOn w:val="26"/>
    <w:autoRedefine/>
    <w:uiPriority w:val="0"/>
    <w:rPr>
      <w:color w:val="557EE7"/>
    </w:rPr>
  </w:style>
  <w:style w:type="paragraph" w:customStyle="1" w:styleId="51">
    <w:name w:val="正文 New New New New"/>
    <w:uiPriority w:val="0"/>
    <w:pPr>
      <w:widowControl w:val="0"/>
      <w:jc w:val="both"/>
    </w:pPr>
    <w:rPr>
      <w:rFonts w:ascii="Times New Roman" w:hAnsi="Times New Roman" w:eastAsia="宋体" w:cs="Times New Roman"/>
      <w:sz w:val="20"/>
      <w:szCs w:val="24"/>
      <w:lang w:val="en-US" w:eastAsia="zh-CN" w:bidi="ar-SA"/>
    </w:rPr>
  </w:style>
  <w:style w:type="paragraph" w:customStyle="1" w:styleId="52">
    <w:name w:val="l正文"/>
    <w:basedOn w:val="1"/>
    <w:autoRedefine/>
    <w:uiPriority w:val="0"/>
    <w:pPr>
      <w:spacing w:line="300" w:lineRule="auto"/>
      <w:ind w:firstLine="200" w:firstLineChars="200"/>
      <w:jc w:val="left"/>
    </w:pPr>
    <w:rPr>
      <w:rFonts w:ascii="楷体_GB2312" w:hAnsi="Times" w:eastAsia="楷体_GB2312" w:cs="等线"/>
      <w:sz w:val="24"/>
    </w:rPr>
  </w:style>
  <w:style w:type="paragraph" w:customStyle="1" w:styleId="53">
    <w:name w:val="正文1"/>
    <w:autoRedefine/>
    <w:qFormat/>
    <w:uiPriority w:val="0"/>
    <w:pPr>
      <w:widowControl w:val="0"/>
      <w:jc w:val="both"/>
    </w:pPr>
    <w:rPr>
      <w:rFonts w:ascii="Calibri" w:hAnsi="Calibri" w:eastAsia="宋体" w:cs="Calibri"/>
      <w:kern w:val="2"/>
      <w:sz w:val="21"/>
      <w:szCs w:val="21"/>
      <w:lang w:val="en-US" w:eastAsia="zh-CN" w:bidi="ar-SA"/>
    </w:rPr>
  </w:style>
  <w:style w:type="paragraph" w:customStyle="1" w:styleId="54">
    <w:name w:val="纯文本1"/>
    <w:basedOn w:val="53"/>
    <w:uiPriority w:val="0"/>
    <w:pPr>
      <w:widowControl/>
      <w:jc w:val="left"/>
    </w:pPr>
    <w:rPr>
      <w:rFonts w:ascii="宋体" w:hAnsi="Courier New" w:cs="宋体"/>
    </w:rPr>
  </w:style>
  <w:style w:type="paragraph" w:styleId="55">
    <w:name w:val="List Paragraph"/>
    <w:basedOn w:val="1"/>
    <w:autoRedefine/>
    <w:uiPriority w:val="0"/>
    <w:pPr>
      <w:ind w:firstLine="200" w:firstLineChars="200"/>
    </w:pPr>
    <w:rPr>
      <w:rFonts w:ascii="Times New Roman" w:hAnsi="Times New Roman"/>
    </w:rPr>
  </w:style>
  <w:style w:type="paragraph" w:customStyle="1" w:styleId="56">
    <w:name w:val="正文首行缩进1"/>
    <w:basedOn w:val="10"/>
    <w:uiPriority w:val="0"/>
    <w:pPr>
      <w:adjustRightInd w:val="0"/>
      <w:spacing w:before="100" w:beforeAutospacing="1"/>
      <w:ind w:firstLine="482"/>
      <w:textAlignment w:val="baseline"/>
    </w:pPr>
    <w:rPr>
      <w:rFonts w:ascii="Times New Roman" w:hAnsi="Times New Roman" w:cs="Times New Roman"/>
      <w:kern w:val="0"/>
      <w:sz w:val="24"/>
    </w:rPr>
  </w:style>
  <w:style w:type="paragraph" w:customStyle="1" w:styleId="57">
    <w:name w:val="msonormal"/>
    <w:basedOn w:val="1"/>
    <w:autoRedefine/>
    <w:uiPriority w:val="0"/>
    <w:pPr>
      <w:widowControl/>
      <w:spacing w:before="100" w:beforeAutospacing="1" w:after="100" w:afterAutospacing="1"/>
      <w:jc w:val="left"/>
    </w:pPr>
    <w:rPr>
      <w:rFonts w:ascii="宋体" w:hAnsi="宋体" w:cs="宋体"/>
      <w:kern w:val="0"/>
      <w:sz w:val="24"/>
    </w:rPr>
  </w:style>
  <w:style w:type="paragraph" w:customStyle="1" w:styleId="58">
    <w:name w:val="表内文字"/>
    <w:basedOn w:val="1"/>
    <w:autoRedefine/>
    <w:uiPriority w:val="0"/>
    <w:pPr>
      <w:spacing w:line="500" w:lineRule="atLeast"/>
      <w:jc w:val="center"/>
    </w:pPr>
    <w:rPr>
      <w:rFonts w:ascii="Arial" w:hAnsi="Arial" w:eastAsia="楷体_GB2312" w:cs="Arial"/>
      <w:sz w:val="28"/>
      <w:szCs w:val="28"/>
    </w:rPr>
  </w:style>
  <w:style w:type="paragraph" w:customStyle="1" w:styleId="59">
    <w:name w:val="xl55"/>
    <w:basedOn w:val="1"/>
    <w:autoRedefine/>
    <w:uiPriority w:val="0"/>
    <w:pPr>
      <w:widowControl/>
      <w:jc w:val="center"/>
      <w:textAlignment w:val="center"/>
    </w:pPr>
    <w:rPr>
      <w:rFonts w:ascii="Arial Unicode MS" w:hAnsi="Arial Unicode MS" w:cs="Times New Roman"/>
      <w:kern w:val="0"/>
      <w:sz w:val="24"/>
    </w:rPr>
  </w:style>
  <w:style w:type="paragraph" w:customStyle="1" w:styleId="60">
    <w:name w:val="p0"/>
    <w:basedOn w:val="1"/>
    <w:autoRedefine/>
    <w:uiPriority w:val="0"/>
    <w:pPr>
      <w:widowControl/>
    </w:pPr>
    <w:rPr>
      <w:rFonts w:ascii="仿宋_GB2312" w:hAnsi="宋体" w:eastAsia="仿宋_GB2312" w:cs="宋体"/>
      <w:b/>
      <w:bCs/>
      <w:color w:val="000000"/>
      <w:kern w:val="0"/>
      <w:szCs w:val="21"/>
    </w:rPr>
  </w:style>
  <w:style w:type="paragraph" w:customStyle="1" w:styleId="61">
    <w:name w:val="_Style 78"/>
    <w:basedOn w:val="10"/>
    <w:next w:val="11"/>
    <w:uiPriority w:val="0"/>
    <w:pPr>
      <w:ind w:firstLine="420"/>
    </w:pPr>
    <w:rPr>
      <w:rFonts w:eastAsia="楷体_GB2312"/>
      <w:sz w:val="32"/>
      <w:szCs w:val="20"/>
    </w:rPr>
  </w:style>
  <w:style w:type="paragraph" w:customStyle="1" w:styleId="62">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63">
    <w:name w:val="CM106"/>
    <w:basedOn w:val="62"/>
    <w:next w:val="62"/>
    <w:autoRedefine/>
    <w:qFormat/>
    <w:uiPriority w:val="0"/>
    <w:rPr>
      <w:rFonts w:cs="Times New Roman"/>
      <w:color w:val="auto"/>
    </w:rPr>
  </w:style>
  <w:style w:type="character" w:customStyle="1" w:styleId="64">
    <w:name w:val="font31"/>
    <w:basedOn w:val="26"/>
    <w:autoRedefine/>
    <w:uiPriority w:val="0"/>
    <w:rPr>
      <w:rFonts w:ascii="宋体" w:hAnsi="宋体" w:eastAsia="宋体" w:cs="宋体"/>
      <w:b/>
      <w:bCs/>
      <w:color w:val="000000"/>
      <w:sz w:val="20"/>
      <w:szCs w:val="20"/>
      <w:u w:val="none"/>
    </w:rPr>
  </w:style>
  <w:style w:type="character" w:customStyle="1" w:styleId="65">
    <w:name w:val="21"/>
    <w:basedOn w:val="26"/>
    <w:uiPriority w:val="0"/>
    <w:rPr>
      <w:rFonts w:ascii="Times New Roman" w:hAnsi="Times New Roman" w:cs="Times New Roman"/>
      <w:i/>
    </w:rPr>
  </w:style>
  <w:style w:type="character" w:customStyle="1" w:styleId="66">
    <w:name w:val="20"/>
    <w:basedOn w:val="26"/>
    <w:autoRedefine/>
    <w:uiPriority w:val="0"/>
    <w:rPr>
      <w:rFonts w:ascii="Times New Roman" w:hAnsi="Times New Roman" w:cs="Times New Roman"/>
      <w:b/>
      <w:bCs/>
    </w:rPr>
  </w:style>
  <w:style w:type="character" w:customStyle="1" w:styleId="67">
    <w:name w:val="10"/>
    <w:basedOn w:val="26"/>
    <w:autoRedefine/>
    <w:qFormat/>
    <w:uiPriority w:val="0"/>
    <w:rPr>
      <w:rFonts w:ascii="Times New Roman" w:hAnsi="Times New Roman" w:cs="Times New Roman"/>
    </w:rPr>
  </w:style>
  <w:style w:type="character" w:customStyle="1" w:styleId="68">
    <w:name w:val="15"/>
    <w:basedOn w:val="26"/>
    <w:autoRedefine/>
    <w:uiPriority w:val="0"/>
    <w:rPr>
      <w:rFonts w:ascii="Times New Roman" w:hAnsi="Times New Roman" w:cs="Times New Roman"/>
      <w:sz w:val="21"/>
      <w:szCs w:val="21"/>
    </w:rPr>
  </w:style>
  <w:style w:type="character" w:customStyle="1" w:styleId="69">
    <w:name w:val="16"/>
    <w:basedOn w:val="26"/>
    <w:autoRedefine/>
    <w:uiPriority w:val="0"/>
    <w:rPr>
      <w:rFonts w:ascii="宋体" w:hAnsi="宋体" w:eastAsia="宋体" w:cs="宋体"/>
      <w:b/>
      <w:color w:val="000000"/>
      <w:sz w:val="32"/>
      <w:szCs w:val="32"/>
    </w:rPr>
  </w:style>
  <w:style w:type="character" w:customStyle="1" w:styleId="70">
    <w:name w:val="17"/>
    <w:basedOn w:val="26"/>
    <w:autoRedefine/>
    <w:uiPriority w:val="0"/>
    <w:rPr>
      <w:rFonts w:ascii="Times New Roman" w:hAnsi="Times New Roman" w:cs="Times New Roman"/>
      <w:kern w:val="2"/>
      <w:sz w:val="24"/>
      <w:szCs w:val="24"/>
    </w:rPr>
  </w:style>
  <w:style w:type="character" w:customStyle="1" w:styleId="71">
    <w:name w:val="18"/>
    <w:basedOn w:val="26"/>
    <w:autoRedefine/>
    <w:uiPriority w:val="0"/>
    <w:rPr>
      <w:rFonts w:ascii="Times New Roman" w:hAnsi="Times New Roman" w:cs="Times New Roman"/>
    </w:rPr>
  </w:style>
  <w:style w:type="character" w:customStyle="1" w:styleId="72">
    <w:name w:val="19"/>
    <w:basedOn w:val="26"/>
    <w:autoRedefine/>
    <w:uiPriority w:val="0"/>
    <w:rPr>
      <w:rFonts w:ascii="Times New Roman" w:hAnsi="Times New Roman" w:cs="Times New Roman"/>
      <w:b/>
      <w:kern w:val="2"/>
      <w:sz w:val="28"/>
      <w:szCs w:val="28"/>
    </w:rPr>
  </w:style>
  <w:style w:type="character" w:customStyle="1" w:styleId="73">
    <w:name w:val="22"/>
    <w:basedOn w:val="26"/>
    <w:autoRedefine/>
    <w:uiPriority w:val="0"/>
    <w:rPr>
      <w:rFonts w:ascii="Calibri" w:hAnsi="Calibri" w:cs="Calibri"/>
      <w:kern w:val="2"/>
      <w:sz w:val="21"/>
      <w:szCs w:val="21"/>
    </w:rPr>
  </w:style>
  <w:style w:type="character" w:customStyle="1" w:styleId="74">
    <w:name w:val="23"/>
    <w:basedOn w:val="26"/>
    <w:uiPriority w:val="0"/>
    <w:rPr>
      <w:rFonts w:ascii="宋体" w:hAnsi="Courier New" w:eastAsia="宋体" w:cs="宋体"/>
      <w:sz w:val="21"/>
      <w:szCs w:val="21"/>
    </w:rPr>
  </w:style>
  <w:style w:type="character" w:customStyle="1" w:styleId="75">
    <w:name w:val="24"/>
    <w:basedOn w:val="26"/>
    <w:autoRedefine/>
    <w:qFormat/>
    <w:uiPriority w:val="0"/>
    <w:rPr>
      <w:rFonts w:ascii="Calibri" w:hAnsi="Calibri" w:cs="Calibri"/>
      <w:kern w:val="2"/>
      <w:sz w:val="18"/>
      <w:szCs w:val="18"/>
    </w:rPr>
  </w:style>
  <w:style w:type="character" w:customStyle="1" w:styleId="76">
    <w:name w:val="25"/>
    <w:basedOn w:val="26"/>
    <w:qFormat/>
    <w:uiPriority w:val="0"/>
    <w:rPr>
      <w:rFonts w:ascii="Calibri" w:hAnsi="Calibri" w:cs="Calibri"/>
      <w:b/>
      <w:bCs/>
      <w:kern w:val="2"/>
      <w:sz w:val="21"/>
      <w:szCs w:val="21"/>
    </w:rPr>
  </w:style>
  <w:style w:type="character" w:customStyle="1" w:styleId="77">
    <w:name w:val="26"/>
    <w:basedOn w:val="26"/>
    <w:autoRedefine/>
    <w:qFormat/>
    <w:uiPriority w:val="0"/>
    <w:rPr>
      <w:rFonts w:ascii="Times New Roman" w:hAnsi="Times New Roman" w:eastAsia="仿宋_GB2312" w:cs="宋体"/>
      <w:color w:val="000000"/>
      <w:kern w:val="2"/>
      <w:sz w:val="24"/>
      <w:szCs w:val="24"/>
    </w:rPr>
  </w:style>
  <w:style w:type="character" w:customStyle="1" w:styleId="78">
    <w:name w:val="63"/>
    <w:basedOn w:val="26"/>
    <w:qFormat/>
    <w:uiPriority w:val="0"/>
    <w:rPr>
      <w:rFonts w:ascii="宋体" w:hAnsi="宋体" w:eastAsia="宋体" w:cs="Times New Roman"/>
      <w:b/>
      <w:bCs/>
      <w:color w:val="000000"/>
      <w:sz w:val="21"/>
      <w:szCs w:val="21"/>
    </w:rPr>
  </w:style>
  <w:style w:type="character" w:customStyle="1" w:styleId="79">
    <w:name w:val="47"/>
    <w:basedOn w:val="26"/>
    <w:qFormat/>
    <w:uiPriority w:val="0"/>
    <w:rPr>
      <w:rFonts w:ascii="宋体" w:hAnsi="宋体" w:eastAsia="宋体" w:cs="Times New Roman"/>
      <w:b/>
      <w:bCs/>
      <w:color w:val="000000"/>
      <w:sz w:val="20"/>
      <w:szCs w:val="20"/>
    </w:rPr>
  </w:style>
  <w:style w:type="character" w:customStyle="1" w:styleId="80">
    <w:name w:val="28"/>
    <w:basedOn w:val="26"/>
    <w:autoRedefine/>
    <w:qFormat/>
    <w:uiPriority w:val="0"/>
    <w:rPr>
      <w:rFonts w:ascii="Verdana" w:hAnsi="Verdana" w:eastAsia="宋体" w:cs="Times New Roman"/>
      <w:b/>
      <w:bCs/>
      <w:color w:val="800080"/>
      <w:sz w:val="20"/>
      <w:szCs w:val="20"/>
    </w:rPr>
  </w:style>
  <w:style w:type="character" w:customStyle="1" w:styleId="81">
    <w:name w:val="33"/>
    <w:basedOn w:val="26"/>
    <w:autoRedefine/>
    <w:qFormat/>
    <w:uiPriority w:val="0"/>
    <w:rPr>
      <w:rFonts w:ascii="宋体" w:hAnsi="宋体" w:eastAsia="宋体" w:cs="Times New Roman"/>
      <w:color w:val="000000"/>
      <w:sz w:val="24"/>
      <w:szCs w:val="24"/>
    </w:rPr>
  </w:style>
  <w:style w:type="character" w:customStyle="1" w:styleId="82">
    <w:name w:val="43"/>
    <w:basedOn w:val="26"/>
    <w:qFormat/>
    <w:uiPriority w:val="0"/>
    <w:rPr>
      <w:rFonts w:ascii="Verdana" w:hAnsi="Verdana" w:eastAsia="宋体" w:cs="Times New Roman"/>
      <w:b/>
      <w:bCs/>
      <w:sz w:val="20"/>
      <w:szCs w:val="20"/>
    </w:rPr>
  </w:style>
  <w:style w:type="character" w:customStyle="1" w:styleId="83">
    <w:name w:val="35"/>
    <w:basedOn w:val="26"/>
    <w:autoRedefine/>
    <w:qFormat/>
    <w:uiPriority w:val="0"/>
    <w:rPr>
      <w:rFonts w:ascii="Arial" w:hAnsi="Arial" w:eastAsia="宋体" w:cs="Arial"/>
      <w:b/>
      <w:bCs/>
      <w:color w:val="000000"/>
      <w:sz w:val="20"/>
      <w:szCs w:val="20"/>
    </w:rPr>
  </w:style>
  <w:style w:type="character" w:customStyle="1" w:styleId="84">
    <w:name w:val="48"/>
    <w:basedOn w:val="26"/>
    <w:autoRedefine/>
    <w:qFormat/>
    <w:uiPriority w:val="0"/>
    <w:rPr>
      <w:rFonts w:eastAsia="宋体" w:cs="Times New Roman"/>
      <w:b/>
      <w:bCs/>
      <w:color w:val="000000"/>
      <w:sz w:val="18"/>
      <w:szCs w:val="18"/>
    </w:rPr>
  </w:style>
  <w:style w:type="character" w:customStyle="1" w:styleId="85">
    <w:name w:val="34"/>
    <w:basedOn w:val="26"/>
    <w:autoRedefine/>
    <w:qFormat/>
    <w:uiPriority w:val="0"/>
    <w:rPr>
      <w:rFonts w:ascii="宋体" w:hAnsi="宋体" w:eastAsia="宋体" w:cs="Times New Roman"/>
      <w:color w:val="000000"/>
      <w:sz w:val="28"/>
      <w:szCs w:val="28"/>
    </w:rPr>
  </w:style>
  <w:style w:type="character" w:customStyle="1" w:styleId="86">
    <w:name w:val="53"/>
    <w:basedOn w:val="26"/>
    <w:autoRedefine/>
    <w:qFormat/>
    <w:uiPriority w:val="0"/>
    <w:rPr>
      <w:rFonts w:ascii="Times New Roman" w:hAnsi="Times New Roman" w:eastAsia="宋体" w:cs="Times New Roman"/>
      <w:kern w:val="2"/>
      <w:sz w:val="24"/>
      <w:szCs w:val="24"/>
    </w:rPr>
  </w:style>
  <w:style w:type="character" w:customStyle="1" w:styleId="87">
    <w:name w:val="31"/>
    <w:basedOn w:val="26"/>
    <w:autoRedefine/>
    <w:qFormat/>
    <w:uiPriority w:val="0"/>
    <w:rPr>
      <w:rFonts w:ascii="Calibri" w:hAnsi="Calibri" w:eastAsia="宋体" w:cs="Times New Roman"/>
      <w:b/>
      <w:bCs/>
      <w:kern w:val="28"/>
      <w:sz w:val="32"/>
      <w:szCs w:val="32"/>
    </w:rPr>
  </w:style>
  <w:style w:type="character" w:customStyle="1" w:styleId="88">
    <w:name w:val="40"/>
    <w:basedOn w:val="26"/>
    <w:qFormat/>
    <w:uiPriority w:val="0"/>
    <w:rPr>
      <w:rFonts w:ascii="宋体" w:hAnsi="宋体" w:eastAsia="宋体" w:cs="Times New Roman"/>
      <w:b/>
      <w:bCs/>
      <w:color w:val="000000"/>
      <w:sz w:val="21"/>
      <w:szCs w:val="21"/>
    </w:rPr>
  </w:style>
  <w:style w:type="character" w:customStyle="1" w:styleId="89">
    <w:name w:val="61"/>
    <w:basedOn w:val="26"/>
    <w:autoRedefine/>
    <w:qFormat/>
    <w:uiPriority w:val="0"/>
    <w:rPr>
      <w:rFonts w:ascii="宋体" w:hAnsi="宋体" w:eastAsia="宋体" w:cs="Times New Roman"/>
      <w:b/>
      <w:bCs/>
      <w:color w:val="000000"/>
      <w:sz w:val="18"/>
      <w:szCs w:val="18"/>
    </w:rPr>
  </w:style>
  <w:style w:type="character" w:customStyle="1" w:styleId="90">
    <w:name w:val="39"/>
    <w:basedOn w:val="26"/>
    <w:qFormat/>
    <w:uiPriority w:val="0"/>
    <w:rPr>
      <w:rFonts w:ascii="Times New Roman" w:hAnsi="Times New Roman" w:eastAsia="宋体" w:cs="Times New Roman"/>
      <w:b/>
      <w:bCs/>
      <w:color w:val="000000"/>
      <w:sz w:val="21"/>
      <w:szCs w:val="21"/>
    </w:rPr>
  </w:style>
  <w:style w:type="character" w:customStyle="1" w:styleId="91">
    <w:name w:val="49"/>
    <w:basedOn w:val="26"/>
    <w:autoRedefine/>
    <w:qFormat/>
    <w:uiPriority w:val="0"/>
    <w:rPr>
      <w:rFonts w:ascii="Times New Roman" w:hAnsi="Times New Roman" w:eastAsia="宋体" w:cs="Times New Roman"/>
      <w:b/>
      <w:bCs/>
      <w:color w:val="000000"/>
      <w:sz w:val="21"/>
      <w:szCs w:val="21"/>
    </w:rPr>
  </w:style>
  <w:style w:type="character" w:customStyle="1" w:styleId="92">
    <w:name w:val="42"/>
    <w:basedOn w:val="26"/>
    <w:autoRedefine/>
    <w:qFormat/>
    <w:uiPriority w:val="0"/>
    <w:rPr>
      <w:rFonts w:ascii="宋体" w:hAnsi="宋体" w:eastAsia="宋体" w:cs="宋体"/>
      <w:b/>
      <w:bCs/>
      <w:color w:val="FFFFFF"/>
      <w:sz w:val="24"/>
      <w:szCs w:val="24"/>
    </w:rPr>
  </w:style>
  <w:style w:type="character" w:customStyle="1" w:styleId="93">
    <w:name w:val="37"/>
    <w:basedOn w:val="26"/>
    <w:autoRedefine/>
    <w:qFormat/>
    <w:uiPriority w:val="0"/>
    <w:rPr>
      <w:rFonts w:ascii="Arial" w:hAnsi="Arial" w:eastAsia="宋体" w:cs="Arial"/>
      <w:color w:val="000000"/>
      <w:sz w:val="22"/>
      <w:szCs w:val="22"/>
    </w:rPr>
  </w:style>
  <w:style w:type="character" w:customStyle="1" w:styleId="94">
    <w:name w:val="27"/>
    <w:basedOn w:val="26"/>
    <w:autoRedefine/>
    <w:qFormat/>
    <w:uiPriority w:val="0"/>
    <w:rPr>
      <w:rFonts w:ascii="宋体" w:hAnsi="宋体" w:eastAsia="宋体" w:cs="Times New Roman"/>
      <w:color w:val="000000"/>
      <w:sz w:val="21"/>
      <w:szCs w:val="21"/>
    </w:rPr>
  </w:style>
  <w:style w:type="character" w:customStyle="1" w:styleId="95">
    <w:name w:val="29"/>
    <w:basedOn w:val="26"/>
    <w:autoRedefine/>
    <w:qFormat/>
    <w:uiPriority w:val="0"/>
    <w:rPr>
      <w:rFonts w:ascii="Verdana" w:hAnsi="Verdana" w:eastAsia="宋体" w:cs="Times New Roman"/>
      <w:b/>
      <w:bCs/>
      <w:i/>
      <w:iCs/>
      <w:sz w:val="20"/>
      <w:szCs w:val="20"/>
    </w:rPr>
  </w:style>
  <w:style w:type="character" w:customStyle="1" w:styleId="96">
    <w:name w:val="30"/>
    <w:basedOn w:val="26"/>
    <w:qFormat/>
    <w:uiPriority w:val="0"/>
    <w:rPr>
      <w:rFonts w:ascii="宋体" w:hAnsi="Courier New" w:eastAsia="仿宋_GB2312" w:cs="宋体"/>
      <w:b/>
      <w:bCs/>
      <w:color w:val="000000"/>
      <w:sz w:val="21"/>
      <w:szCs w:val="21"/>
    </w:rPr>
  </w:style>
  <w:style w:type="character" w:customStyle="1" w:styleId="97">
    <w:name w:val="41"/>
    <w:basedOn w:val="26"/>
    <w:autoRedefine/>
    <w:qFormat/>
    <w:uiPriority w:val="0"/>
    <w:rPr>
      <w:rFonts w:ascii="Verdana" w:hAnsi="Verdana" w:eastAsia="宋体" w:cs="Times New Roman"/>
      <w:b/>
      <w:bCs/>
      <w:sz w:val="22"/>
      <w:szCs w:val="22"/>
    </w:rPr>
  </w:style>
  <w:style w:type="character" w:customStyle="1" w:styleId="98">
    <w:name w:val="32"/>
    <w:basedOn w:val="26"/>
    <w:autoRedefine/>
    <w:qFormat/>
    <w:uiPriority w:val="0"/>
    <w:rPr>
      <w:rFonts w:ascii="Arial" w:hAnsi="Arial" w:eastAsia="宋体" w:cs="Arial"/>
      <w:b/>
      <w:bCs/>
      <w:color w:val="000000"/>
      <w:sz w:val="36"/>
      <w:szCs w:val="36"/>
    </w:rPr>
  </w:style>
  <w:style w:type="character" w:customStyle="1" w:styleId="99">
    <w:name w:val="51"/>
    <w:basedOn w:val="26"/>
    <w:autoRedefine/>
    <w:qFormat/>
    <w:uiPriority w:val="0"/>
    <w:rPr>
      <w:rFonts w:ascii="Calibri" w:hAnsi="Calibri" w:eastAsia="宋体" w:cs="Times New Roman"/>
      <w:b/>
      <w:bCs/>
      <w:color w:val="000000"/>
      <w:sz w:val="21"/>
      <w:szCs w:val="21"/>
    </w:rPr>
  </w:style>
  <w:style w:type="character" w:customStyle="1" w:styleId="100">
    <w:name w:val="65"/>
    <w:basedOn w:val="26"/>
    <w:autoRedefine/>
    <w:qFormat/>
    <w:uiPriority w:val="0"/>
    <w:rPr>
      <w:rFonts w:ascii="Calibri" w:hAnsi="Calibri" w:eastAsia="宋体" w:cs="Times New Roman"/>
      <w:color w:val="000000"/>
      <w:sz w:val="24"/>
      <w:szCs w:val="24"/>
    </w:rPr>
  </w:style>
  <w:style w:type="character" w:customStyle="1" w:styleId="101">
    <w:name w:val="36"/>
    <w:basedOn w:val="26"/>
    <w:qFormat/>
    <w:uiPriority w:val="0"/>
    <w:rPr>
      <w:rFonts w:ascii="Symbol" w:hAnsi="Symbol" w:eastAsia="宋体" w:cs="Times New Roman"/>
      <w:b/>
      <w:bCs/>
      <w:color w:val="000000"/>
      <w:sz w:val="20"/>
      <w:szCs w:val="20"/>
    </w:rPr>
  </w:style>
  <w:style w:type="character" w:customStyle="1" w:styleId="102">
    <w:name w:val="52"/>
    <w:basedOn w:val="26"/>
    <w:qFormat/>
    <w:uiPriority w:val="0"/>
    <w:rPr>
      <w:rFonts w:ascii="Arial" w:hAnsi="Arial" w:eastAsia="宋体" w:cs="Arial"/>
      <w:b/>
      <w:bCs/>
      <w:color w:val="000000"/>
      <w:sz w:val="20"/>
      <w:szCs w:val="20"/>
    </w:rPr>
  </w:style>
  <w:style w:type="character" w:customStyle="1" w:styleId="103">
    <w:name w:val="38"/>
    <w:basedOn w:val="26"/>
    <w:autoRedefine/>
    <w:qFormat/>
    <w:uiPriority w:val="0"/>
    <w:rPr>
      <w:rFonts w:ascii="宋体" w:hAnsi="宋体" w:eastAsia="宋体" w:cs="Times New Roman"/>
      <w:b/>
      <w:bCs/>
      <w:color w:val="000000"/>
      <w:sz w:val="21"/>
      <w:szCs w:val="21"/>
    </w:rPr>
  </w:style>
  <w:style w:type="character" w:customStyle="1" w:styleId="104">
    <w:name w:val="66"/>
    <w:basedOn w:val="26"/>
    <w:autoRedefine/>
    <w:qFormat/>
    <w:uiPriority w:val="0"/>
    <w:rPr>
      <w:rFonts w:ascii="Verdana" w:hAnsi="Verdana" w:eastAsia="宋体" w:cs="Times New Roman"/>
      <w:b/>
      <w:bCs/>
      <w:sz w:val="20"/>
      <w:szCs w:val="20"/>
    </w:rPr>
  </w:style>
  <w:style w:type="character" w:customStyle="1" w:styleId="105">
    <w:name w:val="46"/>
    <w:basedOn w:val="26"/>
    <w:autoRedefine/>
    <w:qFormat/>
    <w:uiPriority w:val="0"/>
    <w:rPr>
      <w:rFonts w:ascii="Verdana" w:hAnsi="Verdana" w:eastAsia="宋体" w:cs="Times New Roman"/>
      <w:color w:val="333333"/>
      <w:sz w:val="24"/>
      <w:szCs w:val="24"/>
    </w:rPr>
  </w:style>
  <w:style w:type="character" w:customStyle="1" w:styleId="106">
    <w:name w:val="50"/>
    <w:basedOn w:val="26"/>
    <w:autoRedefine/>
    <w:qFormat/>
    <w:uiPriority w:val="0"/>
    <w:rPr>
      <w:rFonts w:ascii="宋体" w:hAnsi="Courier New" w:eastAsia="宋体" w:cs="Times New Roman"/>
      <w:b/>
      <w:bCs/>
      <w:kern w:val="2"/>
      <w:sz w:val="21"/>
      <w:szCs w:val="21"/>
    </w:rPr>
  </w:style>
  <w:style w:type="character" w:customStyle="1" w:styleId="107">
    <w:name w:val="55"/>
    <w:basedOn w:val="26"/>
    <w:qFormat/>
    <w:uiPriority w:val="0"/>
    <w:rPr>
      <w:rFonts w:ascii="宋体" w:hAnsi="Courier New" w:eastAsia="仿宋_GB2312" w:cs="宋体"/>
      <w:b/>
      <w:bCs/>
      <w:color w:val="000000"/>
      <w:sz w:val="21"/>
      <w:szCs w:val="21"/>
    </w:rPr>
  </w:style>
  <w:style w:type="character" w:customStyle="1" w:styleId="108">
    <w:name w:val="44"/>
    <w:basedOn w:val="26"/>
    <w:autoRedefine/>
    <w:qFormat/>
    <w:uiPriority w:val="0"/>
    <w:rPr>
      <w:rFonts w:ascii="宋体" w:hAnsi="Courier New" w:eastAsia="仿宋_GB2312" w:cs="宋体"/>
      <w:b/>
      <w:bCs/>
      <w:color w:val="000000"/>
      <w:sz w:val="21"/>
      <w:szCs w:val="21"/>
    </w:rPr>
  </w:style>
  <w:style w:type="character" w:customStyle="1" w:styleId="109">
    <w:name w:val="45"/>
    <w:basedOn w:val="26"/>
    <w:autoRedefine/>
    <w:qFormat/>
    <w:uiPriority w:val="0"/>
    <w:rPr>
      <w:rFonts w:ascii="宋体" w:hAnsi="Courier New" w:eastAsia="宋体" w:cs="宋体"/>
      <w:kern w:val="2"/>
      <w:sz w:val="21"/>
      <w:szCs w:val="21"/>
    </w:rPr>
  </w:style>
  <w:style w:type="character" w:customStyle="1" w:styleId="110">
    <w:name w:val="54"/>
    <w:basedOn w:val="26"/>
    <w:autoRedefine/>
    <w:qFormat/>
    <w:uiPriority w:val="0"/>
    <w:rPr>
      <w:rFonts w:ascii="Calibri" w:hAnsi="Calibri" w:eastAsia="宋体" w:cs="Times New Roman"/>
      <w:b/>
      <w:bCs/>
      <w:color w:val="000000"/>
      <w:sz w:val="21"/>
      <w:szCs w:val="21"/>
    </w:rPr>
  </w:style>
  <w:style w:type="character" w:customStyle="1" w:styleId="111">
    <w:name w:val="56"/>
    <w:basedOn w:val="26"/>
    <w:autoRedefine/>
    <w:qFormat/>
    <w:uiPriority w:val="0"/>
    <w:rPr>
      <w:rFonts w:ascii="Calibri" w:hAnsi="Calibri" w:eastAsia="宋体" w:cs="Times New Roman"/>
      <w:b/>
      <w:bCs/>
      <w:color w:val="000000"/>
      <w:sz w:val="21"/>
      <w:szCs w:val="21"/>
    </w:rPr>
  </w:style>
  <w:style w:type="character" w:customStyle="1" w:styleId="112">
    <w:name w:val="57"/>
    <w:basedOn w:val="26"/>
    <w:qFormat/>
    <w:uiPriority w:val="0"/>
    <w:rPr>
      <w:rFonts w:ascii="宋体" w:hAnsi="Courier New" w:eastAsia="仿宋_GB2312" w:cs="宋体"/>
      <w:b/>
      <w:bCs/>
      <w:color w:val="000000"/>
      <w:sz w:val="21"/>
      <w:szCs w:val="21"/>
    </w:rPr>
  </w:style>
  <w:style w:type="character" w:customStyle="1" w:styleId="113">
    <w:name w:val="58"/>
    <w:basedOn w:val="26"/>
    <w:qFormat/>
    <w:uiPriority w:val="0"/>
    <w:rPr>
      <w:rFonts w:ascii="Verdana" w:hAnsi="Verdana" w:eastAsia="宋体" w:cs="Times New Roman"/>
      <w:b/>
      <w:bCs/>
      <w:sz w:val="20"/>
      <w:szCs w:val="20"/>
    </w:rPr>
  </w:style>
  <w:style w:type="character" w:customStyle="1" w:styleId="114">
    <w:name w:val="59"/>
    <w:basedOn w:val="26"/>
    <w:qFormat/>
    <w:uiPriority w:val="0"/>
    <w:rPr>
      <w:rFonts w:ascii="Verdana" w:hAnsi="Verdana" w:eastAsia="宋体" w:cs="Times New Roman"/>
      <w:b/>
      <w:bCs/>
      <w:sz w:val="20"/>
      <w:szCs w:val="20"/>
    </w:rPr>
  </w:style>
  <w:style w:type="character" w:customStyle="1" w:styleId="115">
    <w:name w:val="60"/>
    <w:basedOn w:val="26"/>
    <w:autoRedefine/>
    <w:qFormat/>
    <w:uiPriority w:val="0"/>
    <w:rPr>
      <w:rFonts w:ascii="Arial" w:hAnsi="Arial" w:eastAsia="宋体" w:cs="Arial"/>
      <w:b/>
      <w:bCs/>
      <w:color w:val="FFFFFF"/>
      <w:sz w:val="24"/>
      <w:szCs w:val="24"/>
      <w:vertAlign w:val="subscript"/>
    </w:rPr>
  </w:style>
  <w:style w:type="character" w:customStyle="1" w:styleId="116">
    <w:name w:val="62"/>
    <w:basedOn w:val="26"/>
    <w:autoRedefine/>
    <w:qFormat/>
    <w:uiPriority w:val="0"/>
    <w:rPr>
      <w:rFonts w:ascii="宋体" w:hAnsi="宋体" w:eastAsia="宋体" w:cs="Times New Roman"/>
      <w:b/>
      <w:bCs/>
      <w:color w:val="000000"/>
      <w:sz w:val="21"/>
      <w:szCs w:val="21"/>
    </w:rPr>
  </w:style>
  <w:style w:type="character" w:customStyle="1" w:styleId="117">
    <w:name w:val="64"/>
    <w:basedOn w:val="26"/>
    <w:autoRedefine/>
    <w:qFormat/>
    <w:uiPriority w:val="0"/>
    <w:rPr>
      <w:rFonts w:ascii="宋体" w:hAnsi="宋体" w:eastAsia="宋体" w:cs="Times New Roman"/>
      <w:sz w:val="22"/>
      <w:szCs w:val="22"/>
    </w:rPr>
  </w:style>
  <w:style w:type="character" w:customStyle="1" w:styleId="118">
    <w:name w:val="67"/>
    <w:basedOn w:val="26"/>
    <w:autoRedefine/>
    <w:qFormat/>
    <w:uiPriority w:val="0"/>
    <w:rPr>
      <w:rFonts w:ascii="宋体" w:hAnsi="宋体" w:eastAsia="宋体" w:cs="宋体"/>
      <w:b/>
      <w:bCs/>
      <w:color w:val="000000"/>
      <w:sz w:val="22"/>
      <w:szCs w:val="22"/>
    </w:rPr>
  </w:style>
  <w:style w:type="character" w:customStyle="1" w:styleId="119">
    <w:name w:val="font81"/>
    <w:basedOn w:val="26"/>
    <w:qFormat/>
    <w:uiPriority w:val="0"/>
    <w:rPr>
      <w:rFonts w:ascii="等线" w:hAnsi="等线" w:eastAsia="等线" w:cs="等线"/>
      <w:color w:val="000000"/>
      <w:sz w:val="20"/>
      <w:szCs w:val="20"/>
      <w:u w:val="none"/>
    </w:rPr>
  </w:style>
  <w:style w:type="character" w:customStyle="1" w:styleId="120">
    <w:name w:val="font51"/>
    <w:basedOn w:val="26"/>
    <w:qFormat/>
    <w:uiPriority w:val="0"/>
    <w:rPr>
      <w:rFonts w:ascii="宋体" w:hAnsi="宋体" w:eastAsia="宋体" w:cs="宋体"/>
      <w:color w:val="000000"/>
      <w:sz w:val="20"/>
      <w:szCs w:val="20"/>
      <w:u w:val="none"/>
    </w:rPr>
  </w:style>
  <w:style w:type="character" w:customStyle="1" w:styleId="121">
    <w:name w:val="font91"/>
    <w:basedOn w:val="26"/>
    <w:qFormat/>
    <w:uiPriority w:val="0"/>
    <w:rPr>
      <w:rFonts w:ascii="Times New Roman" w:hAnsi="Times New Roman" w:cs="Times New Roman"/>
      <w:color w:val="000000"/>
      <w:sz w:val="20"/>
      <w:szCs w:val="20"/>
      <w:u w:val="none"/>
    </w:rPr>
  </w:style>
  <w:style w:type="paragraph" w:customStyle="1" w:styleId="122">
    <w:name w:val="中等深浅网格 1 - 强调文字颜色 21"/>
    <w:basedOn w:val="1"/>
    <w:autoRedefine/>
    <w:qFormat/>
    <w:uiPriority w:val="0"/>
    <w:pPr>
      <w:widowControl/>
      <w:ind w:firstLine="200" w:firstLineChars="200"/>
      <w:jc w:val="left"/>
    </w:pPr>
    <w:rPr>
      <w:kern w:val="0"/>
      <w:szCs w:val="20"/>
    </w:rPr>
  </w:style>
  <w:style w:type="paragraph" w:customStyle="1" w:styleId="123">
    <w:name w:val="修订1"/>
    <w:qFormat/>
    <w:uiPriority w:val="0"/>
    <w:rPr>
      <w:rFonts w:ascii="Calibri" w:hAnsi="Calibri" w:eastAsia="宋体" w:cs="黑体"/>
      <w:kern w:val="2"/>
      <w:sz w:val="21"/>
      <w:szCs w:val="24"/>
      <w:lang w:val="en-US" w:eastAsia="zh-CN" w:bidi="ar-SA"/>
    </w:rPr>
  </w:style>
  <w:style w:type="paragraph" w:customStyle="1" w:styleId="124">
    <w:name w:val="修订2"/>
    <w:qFormat/>
    <w:uiPriority w:val="0"/>
    <w:rPr>
      <w:rFonts w:ascii="Calibri" w:hAnsi="Calibri" w:eastAsia="宋体" w:cs="黑体"/>
      <w:kern w:val="2"/>
      <w:sz w:val="21"/>
      <w:szCs w:val="24"/>
      <w:lang w:val="en-US" w:eastAsia="zh-CN" w:bidi="ar-SA"/>
    </w:rPr>
  </w:style>
  <w:style w:type="paragraph" w:customStyle="1" w:styleId="125">
    <w:name w:val="_Style 1"/>
    <w:next w:val="1"/>
    <w:qFormat/>
    <w:uiPriority w:val="0"/>
    <w:pPr>
      <w:widowControl w:val="0"/>
      <w:ind w:firstLine="200" w:firstLineChars="200"/>
      <w:jc w:val="both"/>
    </w:pPr>
    <w:rPr>
      <w:rFonts w:ascii="Calibri" w:hAnsi="Calibri" w:eastAsia="宋体" w:cs="Times New Roman"/>
      <w:kern w:val="2"/>
      <w:sz w:val="28"/>
      <w:szCs w:val="22"/>
      <w:lang w:val="en-US" w:eastAsia="zh-CN" w:bidi="ar-SA"/>
    </w:rPr>
  </w:style>
  <w:style w:type="paragraph" w:customStyle="1" w:styleId="126">
    <w:name w:val="正文_0"/>
    <w:qFormat/>
    <w:uiPriority w:val="0"/>
    <w:pPr>
      <w:widowControl w:val="0"/>
      <w:jc w:val="both"/>
    </w:pPr>
    <w:rPr>
      <w:rFonts w:ascii="Calibri" w:hAnsi="Calibri" w:eastAsia="宋体" w:cs="Times New Roman"/>
      <w:kern w:val="2"/>
      <w:sz w:val="21"/>
      <w:szCs w:val="22"/>
      <w:lang w:val="en-US" w:eastAsia="zh-CN" w:bidi="ar-SA"/>
    </w:rPr>
  </w:style>
  <w:style w:type="paragraph" w:customStyle="1" w:styleId="127">
    <w:name w:val="正文文本_0"/>
    <w:basedOn w:val="126"/>
    <w:qFormat/>
    <w:uiPriority w:val="0"/>
  </w:style>
  <w:style w:type="paragraph" w:customStyle="1" w:styleId="128">
    <w:name w:val="正文首行缩进_0"/>
    <w:basedOn w:val="127"/>
    <w:qFormat/>
    <w:uiPriority w:val="0"/>
    <w:pPr>
      <w:ind w:firstLine="100" w:firstLineChars="100"/>
    </w:pPr>
  </w:style>
  <w:style w:type="paragraph" w:customStyle="1" w:styleId="129">
    <w:name w:val="修订3"/>
    <w:qFormat/>
    <w:uiPriority w:val="0"/>
    <w:rPr>
      <w:rFonts w:ascii="Calibri" w:hAnsi="Calibri" w:eastAsia="宋体" w:cs="黑体"/>
      <w:kern w:val="2"/>
      <w:sz w:val="21"/>
      <w:szCs w:val="24"/>
      <w:lang w:val="en-US" w:eastAsia="zh-CN" w:bidi="ar-SA"/>
    </w:rPr>
  </w:style>
  <w:style w:type="paragraph" w:customStyle="1" w:styleId="130">
    <w:name w:val="Revision"/>
    <w:qFormat/>
    <w:uiPriority w:val="0"/>
    <w:rPr>
      <w:rFonts w:ascii="Calibri" w:hAnsi="Calibri" w:eastAsia="宋体" w:cs="黑体"/>
      <w:kern w:val="2"/>
      <w:sz w:val="21"/>
      <w:szCs w:val="24"/>
      <w:lang w:val="en-US" w:eastAsia="zh-CN" w:bidi="ar-SA"/>
    </w:rPr>
  </w:style>
  <w:style w:type="character" w:customStyle="1" w:styleId="131">
    <w:name w:val="font21"/>
    <w:basedOn w:val="26"/>
    <w:qFormat/>
    <w:uiPriority w:val="0"/>
    <w:rPr>
      <w:rFonts w:ascii="宋体" w:hAnsi="宋体" w:eastAsia="宋体" w:cs="宋体"/>
      <w:color w:val="000000"/>
      <w:sz w:val="16"/>
      <w:szCs w:val="16"/>
      <w:u w:val="none"/>
    </w:rPr>
  </w:style>
  <w:style w:type="character" w:customStyle="1" w:styleId="132">
    <w:name w:val="font41"/>
    <w:basedOn w:val="26"/>
    <w:qFormat/>
    <w:uiPriority w:val="0"/>
    <w:rPr>
      <w:rFonts w:ascii="宋体" w:hAnsi="宋体" w:eastAsia="宋体" w:cs="宋体"/>
      <w:b/>
      <w:bCs/>
      <w:color w:val="000000"/>
      <w:sz w:val="16"/>
      <w:szCs w:val="16"/>
      <w:u w:val="none"/>
    </w:rPr>
  </w:style>
  <w:style w:type="character" w:customStyle="1" w:styleId="133">
    <w:name w:val="font11"/>
    <w:basedOn w:val="26"/>
    <w:qFormat/>
    <w:uiPriority w:val="0"/>
    <w:rPr>
      <w:rFonts w:ascii="宋体" w:hAnsi="宋体" w:eastAsia="宋体" w:cs="宋体"/>
      <w:b/>
      <w:bCs/>
      <w:color w:val="000000"/>
      <w:sz w:val="36"/>
      <w:szCs w:val="36"/>
      <w:u w:val="none"/>
    </w:rPr>
  </w:style>
</w:styles>
</file>

<file path=word/_rels/document.xml.rels><?xml version="1.0" encoding="UTF-8" standalone="yes"?>
<Relationships xmlns="http://schemas.openxmlformats.org/package/2006/relationships"><Relationship Id="rId9" Type="http://schemas.openxmlformats.org/officeDocument/2006/relationships/header" Target="header2.xml"/><Relationship Id="rId8" Type="http://schemas.openxmlformats.org/officeDocument/2006/relationships/header" Target="header1.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footnotes" Target="footnotes.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customXml" Target="../customXml/item2.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theme" Target="theme/theme1.xml"/><Relationship Id="rId14" Type="http://schemas.openxmlformats.org/officeDocument/2006/relationships/footer" Target="footer6.xml"/><Relationship Id="rId13" Type="http://schemas.openxmlformats.org/officeDocument/2006/relationships/header" Target="header5.xml"/><Relationship Id="rId12" Type="http://schemas.openxmlformats.org/officeDocument/2006/relationships/header" Target="header4.xml"/><Relationship Id="rId11" Type="http://schemas.openxmlformats.org/officeDocument/2006/relationships/header" Target="header3.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2.xml><?xml version="1.0" encoding="utf-8"?>
<customData xmlns="http://www.yozosoft.com.cn/officeDocument/2016/customData">
  <customProps>
    <docPr revisions="3 0 5 0 0 0 1 0 0 0 3000 0 1 1 1 1"/>
    <sectPr/>
    <sectPr/>
    <sectPr/>
    <sectPr/>
    <sectPr/>
    <sectPr/>
    <sectPr/>
  </customProps>
</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71D8BB5-E3ED-473E-A58A-85B3E211B3B1}">
  <ds:schemaRefs/>
</ds:datastoreItem>
</file>

<file path=docProps/app.xml><?xml version="1.0" encoding="utf-8"?>
<Properties xmlns="http://schemas.openxmlformats.org/officeDocument/2006/extended-properties" xmlns:vt="http://schemas.openxmlformats.org/officeDocument/2006/docPropsVTypes">
  <Template>Normal.eit</Template>
  <Company>Microsoft</Company>
  <Pages>91</Pages>
  <Words>2307</Words>
  <Characters>2664</Characters>
  <Lines>0</Lines>
  <Paragraphs>1455</Paragraphs>
  <TotalTime>29</TotalTime>
  <ScaleCrop>false</ScaleCrop>
  <LinksUpToDate>false</LinksUpToDate>
  <CharactersWithSpaces>2687</CharactersWithSpaces>
  <Application>WPS Office_12.1.0.21915_F1E327BC-269C-435d-A152-05C5408002CA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2025-03-04T03:39:00Z</dcterms:created>
  <dc:creator>Mi</dc:creator>
  <cp:lastModifiedBy>91973</cp:lastModifiedBy>
  <cp:lastPrinted>2022-05-24T07:17:00Z</cp:lastPrinted>
  <dcterms:modified xsi:type="dcterms:W3CDTF">2025-09-09T01:40:27Z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24A3A28EF3164B91A4925228211E4470_13</vt:lpwstr>
  </property>
  <property fmtid="{D5CDD505-2E9C-101B-9397-08002B2CF9AE}" pid="4" name="commondata">
    <vt:lpwstr>eyJoZGlkIjoiOTQyNmFkYmViMmZjOGNmODkwODZmNmI3OGVjNzE1MTYifQ==</vt:lpwstr>
  </property>
  <property fmtid="{D5CDD505-2E9C-101B-9397-08002B2CF9AE}" pid="5" name="KSOTemplateDocerSaveRecord">
    <vt:lpwstr>eyJoZGlkIjoiODAwMjg4Y2FiZmY0Y2M1NmQ1ODVlOWEwZDFiMGM2OWMiLCJ1c2VySWQiOiIyNTY0MzEzMzgifQ==</vt:lpwstr>
  </property>
</Properties>
</file>