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B926E">
      <w:pPr>
        <w:tabs>
          <w:tab w:val="left" w:pos="1140"/>
        </w:tabs>
        <w:autoSpaceDE w:val="0"/>
        <w:autoSpaceDN w:val="0"/>
        <w:adjustRightInd w:val="0"/>
        <w:spacing w:line="360" w:lineRule="auto"/>
        <w:rPr>
          <w:rFonts w:eastAsia="黑体"/>
          <w:kern w:val="0"/>
          <w:sz w:val="44"/>
          <w:highlight w:val="none"/>
        </w:rPr>
      </w:pPr>
    </w:p>
    <w:p w14:paraId="7C7322AC">
      <w:pPr>
        <w:tabs>
          <w:tab w:val="left" w:pos="1140"/>
        </w:tabs>
        <w:autoSpaceDE w:val="0"/>
        <w:autoSpaceDN w:val="0"/>
        <w:adjustRightInd w:val="0"/>
        <w:spacing w:line="360" w:lineRule="auto"/>
        <w:rPr>
          <w:rFonts w:eastAsia="黑体"/>
          <w:kern w:val="0"/>
          <w:sz w:val="44"/>
          <w:highlight w:val="none"/>
        </w:rPr>
      </w:pPr>
      <w:r>
        <w:rPr>
          <w:rFonts w:eastAsia="黑体"/>
          <w:kern w:val="0"/>
          <w:sz w:val="44"/>
          <w:highlight w:val="none"/>
        </w:rPr>
        <w:tab/>
      </w:r>
    </w:p>
    <w:p w14:paraId="15919948">
      <w:pPr>
        <w:tabs>
          <w:tab w:val="left" w:pos="210"/>
        </w:tabs>
        <w:snapToGrid w:val="0"/>
        <w:spacing w:line="600" w:lineRule="exact"/>
        <w:jc w:val="center"/>
        <w:rPr>
          <w:rFonts w:hint="eastAsia" w:ascii="宋体" w:hAnsi="宋体"/>
          <w:b/>
          <w:bCs/>
          <w:sz w:val="36"/>
          <w:szCs w:val="36"/>
          <w:highlight w:val="none"/>
          <w:lang w:eastAsia="zh-CN"/>
        </w:rPr>
      </w:pPr>
    </w:p>
    <w:p w14:paraId="23D9224B">
      <w:pPr>
        <w:tabs>
          <w:tab w:val="left" w:pos="210"/>
        </w:tabs>
        <w:snapToGrid w:val="0"/>
        <w:spacing w:line="600" w:lineRule="exact"/>
        <w:jc w:val="center"/>
        <w:rPr>
          <w:rFonts w:hint="eastAsia" w:ascii="宋体" w:hAnsi="宋体"/>
          <w:b/>
          <w:bCs/>
          <w:sz w:val="36"/>
          <w:szCs w:val="36"/>
          <w:highlight w:val="none"/>
          <w:lang w:eastAsia="zh-CN"/>
        </w:rPr>
      </w:pPr>
      <w:r>
        <w:rPr>
          <w:rFonts w:hint="eastAsia" w:ascii="宋体" w:hAnsi="宋体"/>
          <w:b/>
          <w:bCs/>
          <w:sz w:val="36"/>
          <w:szCs w:val="36"/>
          <w:highlight w:val="none"/>
          <w:lang w:eastAsia="zh-CN"/>
        </w:rPr>
        <w:t>泰顺县民政局拟出租房产所涉及的</w:t>
      </w:r>
    </w:p>
    <w:p w14:paraId="0435E945">
      <w:pPr>
        <w:tabs>
          <w:tab w:val="left" w:pos="210"/>
        </w:tabs>
        <w:snapToGrid w:val="0"/>
        <w:spacing w:line="600" w:lineRule="exact"/>
        <w:jc w:val="center"/>
        <w:rPr>
          <w:rFonts w:hint="eastAsia" w:ascii="宋体" w:hAnsi="宋体"/>
          <w:b/>
          <w:bCs/>
          <w:sz w:val="36"/>
          <w:szCs w:val="36"/>
          <w:highlight w:val="none"/>
          <w:lang w:eastAsia="zh-CN"/>
        </w:rPr>
      </w:pPr>
      <w:r>
        <w:rPr>
          <w:rFonts w:hint="eastAsia" w:ascii="宋体" w:hAnsi="宋体"/>
          <w:b/>
          <w:bCs/>
          <w:sz w:val="36"/>
          <w:szCs w:val="36"/>
          <w:highlight w:val="none"/>
          <w:lang w:eastAsia="zh-CN"/>
        </w:rPr>
        <w:t>泰顺县120处康养服务用房20年租赁权价值</w:t>
      </w:r>
    </w:p>
    <w:p w14:paraId="78D11A7F">
      <w:pPr>
        <w:tabs>
          <w:tab w:val="left" w:pos="210"/>
        </w:tabs>
        <w:snapToGrid w:val="0"/>
        <w:spacing w:line="600" w:lineRule="exact"/>
        <w:jc w:val="center"/>
        <w:rPr>
          <w:rFonts w:hint="eastAsia" w:eastAsia="黑体"/>
          <w:kern w:val="0"/>
          <w:sz w:val="44"/>
          <w:highlight w:val="none"/>
        </w:rPr>
      </w:pPr>
      <w:r>
        <w:rPr>
          <w:rFonts w:hint="eastAsia" w:ascii="宋体" w:hAnsi="宋体"/>
          <w:b/>
          <w:bCs/>
          <w:sz w:val="36"/>
          <w:szCs w:val="36"/>
          <w:highlight w:val="none"/>
          <w:lang w:eastAsia="zh-CN"/>
        </w:rPr>
        <w:t>资产评估报告</w:t>
      </w:r>
    </w:p>
    <w:p w14:paraId="43483231">
      <w:pPr>
        <w:autoSpaceDE w:val="0"/>
        <w:autoSpaceDN w:val="0"/>
        <w:adjustRightInd w:val="0"/>
        <w:spacing w:line="360" w:lineRule="auto"/>
        <w:jc w:val="center"/>
        <w:rPr>
          <w:rFonts w:hint="eastAsia" w:eastAsia="仿宋_GB2312"/>
          <w:spacing w:val="6"/>
          <w:sz w:val="28"/>
          <w:highlight w:val="none"/>
        </w:rPr>
      </w:pPr>
    </w:p>
    <w:p w14:paraId="4FDF6F6F">
      <w:pPr>
        <w:autoSpaceDE w:val="0"/>
        <w:autoSpaceDN w:val="0"/>
        <w:adjustRightInd w:val="0"/>
        <w:spacing w:line="360" w:lineRule="auto"/>
        <w:jc w:val="center"/>
        <w:rPr>
          <w:rFonts w:hint="eastAsia" w:eastAsia="仿宋_GB2312"/>
          <w:kern w:val="0"/>
          <w:sz w:val="28"/>
          <w:highlight w:val="none"/>
          <w:lang w:eastAsia="zh-CN"/>
        </w:rPr>
      </w:pPr>
      <w:r>
        <w:rPr>
          <w:rFonts w:hint="eastAsia" w:eastAsia="仿宋_GB2312"/>
          <w:spacing w:val="6"/>
          <w:sz w:val="28"/>
          <w:highlight w:val="none"/>
          <w:lang w:val="en-US" w:eastAsia="zh-CN"/>
        </w:rPr>
        <w:t>温</w:t>
      </w:r>
      <w:r>
        <w:rPr>
          <w:rFonts w:hint="eastAsia" w:eastAsia="仿宋_GB2312"/>
          <w:spacing w:val="6"/>
          <w:sz w:val="28"/>
          <w:highlight w:val="none"/>
          <w:lang w:eastAsia="zh-CN"/>
        </w:rPr>
        <w:t>宏正资评字[2025]</w:t>
      </w:r>
      <w:r>
        <w:rPr>
          <w:rFonts w:hint="eastAsia" w:eastAsia="仿宋_GB2312"/>
          <w:spacing w:val="6"/>
          <w:sz w:val="28"/>
          <w:highlight w:val="none"/>
          <w:lang w:val="en-US" w:eastAsia="zh-CN"/>
        </w:rPr>
        <w:t>19</w:t>
      </w:r>
      <w:r>
        <w:rPr>
          <w:rFonts w:hint="eastAsia" w:eastAsia="仿宋_GB2312"/>
          <w:spacing w:val="6"/>
          <w:sz w:val="28"/>
          <w:highlight w:val="none"/>
          <w:lang w:eastAsia="zh-CN"/>
        </w:rPr>
        <w:t>号</w:t>
      </w:r>
    </w:p>
    <w:p w14:paraId="03A67E4C">
      <w:pPr>
        <w:autoSpaceDE w:val="0"/>
        <w:autoSpaceDN w:val="0"/>
        <w:adjustRightInd w:val="0"/>
        <w:spacing w:line="360" w:lineRule="auto"/>
        <w:jc w:val="center"/>
        <w:rPr>
          <w:rFonts w:hint="eastAsia" w:eastAsia="黑体"/>
          <w:kern w:val="0"/>
          <w:sz w:val="24"/>
          <w:szCs w:val="22"/>
          <w:highlight w:val="none"/>
          <w:lang w:eastAsia="zh-CN"/>
        </w:rPr>
      </w:pPr>
    </w:p>
    <w:p w14:paraId="5445ED14">
      <w:pPr>
        <w:autoSpaceDE w:val="0"/>
        <w:autoSpaceDN w:val="0"/>
        <w:adjustRightInd w:val="0"/>
        <w:spacing w:line="360" w:lineRule="auto"/>
        <w:jc w:val="center"/>
        <w:rPr>
          <w:rFonts w:eastAsia="黑体"/>
          <w:kern w:val="0"/>
          <w:sz w:val="28"/>
          <w:highlight w:val="none"/>
        </w:rPr>
      </w:pPr>
    </w:p>
    <w:p w14:paraId="22BB7C4E">
      <w:pPr>
        <w:autoSpaceDE w:val="0"/>
        <w:autoSpaceDN w:val="0"/>
        <w:adjustRightInd w:val="0"/>
        <w:spacing w:line="360" w:lineRule="auto"/>
        <w:jc w:val="center"/>
        <w:rPr>
          <w:rFonts w:eastAsia="黑体"/>
          <w:kern w:val="0"/>
          <w:sz w:val="28"/>
          <w:highlight w:val="none"/>
        </w:rPr>
      </w:pPr>
    </w:p>
    <w:p w14:paraId="7A77CE4A">
      <w:pPr>
        <w:autoSpaceDE w:val="0"/>
        <w:autoSpaceDN w:val="0"/>
        <w:adjustRightInd w:val="0"/>
        <w:spacing w:line="360" w:lineRule="auto"/>
        <w:jc w:val="center"/>
        <w:rPr>
          <w:rFonts w:eastAsia="黑体"/>
          <w:kern w:val="0"/>
          <w:sz w:val="28"/>
          <w:highlight w:val="none"/>
        </w:rPr>
      </w:pPr>
    </w:p>
    <w:p w14:paraId="5838B367">
      <w:pPr>
        <w:autoSpaceDE w:val="0"/>
        <w:autoSpaceDN w:val="0"/>
        <w:adjustRightInd w:val="0"/>
        <w:spacing w:line="360" w:lineRule="auto"/>
        <w:jc w:val="center"/>
        <w:rPr>
          <w:rFonts w:eastAsia="黑体"/>
          <w:kern w:val="0"/>
          <w:sz w:val="28"/>
          <w:highlight w:val="none"/>
        </w:rPr>
      </w:pPr>
    </w:p>
    <w:p w14:paraId="24EBCDAC">
      <w:pPr>
        <w:autoSpaceDE w:val="0"/>
        <w:autoSpaceDN w:val="0"/>
        <w:adjustRightInd w:val="0"/>
        <w:spacing w:line="360" w:lineRule="auto"/>
        <w:jc w:val="center"/>
        <w:rPr>
          <w:rFonts w:eastAsia="黑体"/>
          <w:kern w:val="0"/>
          <w:sz w:val="28"/>
          <w:highlight w:val="none"/>
        </w:rPr>
      </w:pPr>
    </w:p>
    <w:p w14:paraId="2239F0AF">
      <w:pPr>
        <w:autoSpaceDE w:val="0"/>
        <w:autoSpaceDN w:val="0"/>
        <w:adjustRightInd w:val="0"/>
        <w:spacing w:line="360" w:lineRule="auto"/>
        <w:jc w:val="center"/>
        <w:rPr>
          <w:rFonts w:eastAsia="黑体"/>
          <w:kern w:val="0"/>
          <w:sz w:val="28"/>
          <w:highlight w:val="none"/>
        </w:rPr>
      </w:pPr>
    </w:p>
    <w:p w14:paraId="2DD62315">
      <w:pPr>
        <w:autoSpaceDE w:val="0"/>
        <w:autoSpaceDN w:val="0"/>
        <w:adjustRightInd w:val="0"/>
        <w:spacing w:line="360" w:lineRule="auto"/>
        <w:jc w:val="center"/>
        <w:rPr>
          <w:rFonts w:eastAsia="黑体"/>
          <w:kern w:val="0"/>
          <w:sz w:val="28"/>
          <w:highlight w:val="none"/>
        </w:rPr>
      </w:pPr>
    </w:p>
    <w:p w14:paraId="2E031AB0">
      <w:pPr>
        <w:autoSpaceDE w:val="0"/>
        <w:autoSpaceDN w:val="0"/>
        <w:adjustRightInd w:val="0"/>
        <w:spacing w:line="360" w:lineRule="auto"/>
        <w:jc w:val="both"/>
        <w:rPr>
          <w:rFonts w:eastAsia="黑体"/>
          <w:kern w:val="0"/>
          <w:sz w:val="28"/>
          <w:highlight w:val="none"/>
        </w:rPr>
      </w:pPr>
    </w:p>
    <w:p w14:paraId="5AB260F2">
      <w:pPr>
        <w:autoSpaceDE w:val="0"/>
        <w:autoSpaceDN w:val="0"/>
        <w:adjustRightInd w:val="0"/>
        <w:spacing w:line="360" w:lineRule="auto"/>
        <w:jc w:val="center"/>
        <w:rPr>
          <w:rFonts w:eastAsia="黑体"/>
          <w:kern w:val="0"/>
          <w:sz w:val="28"/>
          <w:highlight w:val="none"/>
        </w:rPr>
      </w:pPr>
    </w:p>
    <w:p w14:paraId="79A81C7E">
      <w:pPr>
        <w:snapToGrid w:val="0"/>
        <w:spacing w:line="480" w:lineRule="exact"/>
        <w:ind w:right="-19" w:rightChars="-9"/>
        <w:jc w:val="center"/>
        <w:rPr>
          <w:rFonts w:hint="eastAsia" w:ascii="黑体" w:hAnsi="Arial" w:eastAsia="黑体" w:cs="Arial"/>
          <w:sz w:val="28"/>
          <w:szCs w:val="28"/>
          <w:highlight w:val="none"/>
          <w:lang w:eastAsia="zh-CN"/>
        </w:rPr>
      </w:pPr>
      <w:r>
        <w:rPr>
          <w:rFonts w:hint="eastAsia" w:ascii="黑体" w:hAnsi="Arial" w:eastAsia="黑体" w:cs="Arial"/>
          <w:sz w:val="28"/>
          <w:szCs w:val="28"/>
          <w:highlight w:val="none"/>
          <w:lang w:eastAsia="zh-CN"/>
        </w:rPr>
        <w:t>温州宏正房地产评估测绘有限公司</w:t>
      </w:r>
    </w:p>
    <w:p w14:paraId="12F6D7D2">
      <w:pPr>
        <w:jc w:val="center"/>
        <w:rPr>
          <w:sz w:val="28"/>
          <w:szCs w:val="28"/>
          <w:highlight w:val="yellow"/>
        </w:rPr>
        <w:sectPr>
          <w:headerReference r:id="rId5" w:type="first"/>
          <w:headerReference r:id="rId3" w:type="default"/>
          <w:footerReference r:id="rId6" w:type="default"/>
          <w:headerReference r:id="rId4" w:type="even"/>
          <w:footerReference r:id="rId7" w:type="even"/>
          <w:pgSz w:w="11906" w:h="16838"/>
          <w:pgMar w:top="1440" w:right="776" w:bottom="1440" w:left="1155" w:header="850" w:footer="964" w:gutter="0"/>
          <w:pgNumType w:start="1"/>
          <w:cols w:space="720" w:num="1"/>
          <w:titlePg/>
          <w:docGrid w:type="lines" w:linePitch="312" w:charSpace="0"/>
        </w:sectPr>
      </w:pPr>
      <w:r>
        <w:rPr>
          <w:rFonts w:hint="eastAsia" w:ascii="黑体" w:hAnsi="Arial" w:eastAsia="黑体" w:cs="Arial"/>
          <w:sz w:val="28"/>
          <w:szCs w:val="28"/>
          <w:highlight w:val="none"/>
          <w:lang w:eastAsia="zh-CN"/>
        </w:rPr>
        <w:t>二0二</w:t>
      </w:r>
      <w:r>
        <w:rPr>
          <w:rFonts w:hint="eastAsia" w:ascii="黑体" w:hAnsi="Arial" w:eastAsia="黑体" w:cs="Arial"/>
          <w:sz w:val="28"/>
          <w:szCs w:val="28"/>
          <w:highlight w:val="none"/>
          <w:lang w:val="en-US" w:eastAsia="zh-CN"/>
        </w:rPr>
        <w:t>五</w:t>
      </w:r>
      <w:r>
        <w:rPr>
          <w:rFonts w:hint="eastAsia" w:ascii="黑体" w:hAnsi="Arial" w:eastAsia="黑体" w:cs="Arial"/>
          <w:sz w:val="28"/>
          <w:szCs w:val="28"/>
          <w:highlight w:val="none"/>
          <w:lang w:eastAsia="zh-CN"/>
        </w:rPr>
        <w:t>年</w:t>
      </w:r>
      <w:r>
        <w:rPr>
          <w:rFonts w:hint="eastAsia" w:ascii="黑体" w:hAnsi="Arial" w:eastAsia="黑体" w:cs="Arial"/>
          <w:sz w:val="28"/>
          <w:szCs w:val="28"/>
          <w:highlight w:val="none"/>
          <w:lang w:val="en-US" w:eastAsia="zh-CN"/>
        </w:rPr>
        <w:t>九</w:t>
      </w:r>
      <w:r>
        <w:rPr>
          <w:rFonts w:hint="eastAsia" w:ascii="黑体" w:hAnsi="Arial" w:eastAsia="黑体" w:cs="Arial"/>
          <w:sz w:val="28"/>
          <w:szCs w:val="28"/>
          <w:highlight w:val="none"/>
          <w:lang w:eastAsia="zh-CN"/>
        </w:rPr>
        <w:t>月</w:t>
      </w:r>
      <w:r>
        <w:rPr>
          <w:rFonts w:hint="eastAsia" w:ascii="黑体" w:hAnsi="Arial" w:eastAsia="黑体" w:cs="Arial"/>
          <w:sz w:val="28"/>
          <w:szCs w:val="28"/>
          <w:highlight w:val="none"/>
          <w:lang w:val="en-US" w:eastAsia="zh-CN"/>
        </w:rPr>
        <w:t>八</w:t>
      </w:r>
      <w:r>
        <w:rPr>
          <w:rFonts w:hint="eastAsia" w:ascii="黑体" w:hAnsi="Arial" w:eastAsia="黑体" w:cs="Arial"/>
          <w:sz w:val="28"/>
          <w:szCs w:val="28"/>
          <w:highlight w:val="none"/>
          <w:lang w:eastAsia="zh-CN"/>
        </w:rPr>
        <w:t>日</w:t>
      </w:r>
    </w:p>
    <w:p w14:paraId="001B0F05">
      <w:pPr>
        <w:autoSpaceDE w:val="0"/>
        <w:autoSpaceDN w:val="0"/>
        <w:adjustRightInd w:val="0"/>
        <w:spacing w:line="360" w:lineRule="auto"/>
        <w:jc w:val="center"/>
        <w:rPr>
          <w:rFonts w:eastAsia="黑体"/>
          <w:kern w:val="0"/>
          <w:sz w:val="30"/>
          <w:szCs w:val="30"/>
          <w:highlight w:val="none"/>
        </w:rPr>
      </w:pPr>
      <w:r>
        <w:rPr>
          <w:rFonts w:hint="eastAsia" w:eastAsia="黑体"/>
          <w:kern w:val="0"/>
          <w:sz w:val="30"/>
          <w:szCs w:val="30"/>
          <w:highlight w:val="none"/>
        </w:rPr>
        <w:t>目录</w:t>
      </w:r>
      <w:r>
        <w:rPr>
          <w:rFonts w:eastAsia="黑体"/>
          <w:kern w:val="0"/>
          <w:sz w:val="32"/>
          <w:szCs w:val="32"/>
          <w:highlight w:val="none"/>
        </w:rPr>
        <w:tab/>
      </w:r>
    </w:p>
    <w:p w14:paraId="0C6DF4AB">
      <w:pPr>
        <w:pStyle w:val="24"/>
        <w:keepNext w:val="0"/>
        <w:keepLines w:val="0"/>
        <w:pageBreakBefore w:val="0"/>
        <w:widowControl w:val="0"/>
        <w:kinsoku/>
        <w:wordWrap/>
        <w:overflowPunct/>
        <w:topLinePunct w:val="0"/>
        <w:autoSpaceDE/>
        <w:autoSpaceDN/>
        <w:bidi w:val="0"/>
        <w:adjustRightInd/>
        <w:snapToGrid/>
        <w:spacing w:line="528" w:lineRule="auto"/>
        <w:textAlignment w:val="auto"/>
        <w:rPr>
          <w:highlight w:val="none"/>
        </w:rPr>
      </w:pPr>
      <w:r>
        <w:rPr>
          <w:rFonts w:eastAsia="仿宋_GB2312"/>
          <w:kern w:val="0"/>
          <w:szCs w:val="21"/>
          <w:highlight w:val="none"/>
        </w:rPr>
        <w:fldChar w:fldCharType="begin"/>
      </w:r>
      <w:r>
        <w:rPr>
          <w:rFonts w:eastAsia="仿宋_GB2312"/>
          <w:kern w:val="0"/>
          <w:szCs w:val="21"/>
          <w:highlight w:val="none"/>
        </w:rPr>
        <w:instrText xml:space="preserve"> TOC \o "1-2" \h \z \u </w:instrText>
      </w:r>
      <w:r>
        <w:rPr>
          <w:rFonts w:eastAsia="仿宋_GB2312"/>
          <w:kern w:val="0"/>
          <w:szCs w:val="21"/>
          <w:highlight w:val="none"/>
        </w:rPr>
        <w:fldChar w:fldCharType="separate"/>
      </w:r>
      <w:r>
        <w:rPr>
          <w:highlight w:val="none"/>
        </w:rPr>
        <w:fldChar w:fldCharType="begin"/>
      </w:r>
      <w:r>
        <w:rPr>
          <w:rStyle w:val="36"/>
          <w:highlight w:val="none"/>
        </w:rPr>
        <w:instrText xml:space="preserve"> </w:instrText>
      </w:r>
      <w:r>
        <w:rPr>
          <w:highlight w:val="none"/>
        </w:rPr>
        <w:instrText xml:space="preserve">HYPERLINK \l "_Toc430098843"</w:instrText>
      </w:r>
      <w:r>
        <w:rPr>
          <w:rStyle w:val="36"/>
          <w:highlight w:val="none"/>
        </w:rPr>
        <w:instrText xml:space="preserve"> </w:instrText>
      </w:r>
      <w:r>
        <w:rPr>
          <w:highlight w:val="none"/>
        </w:rPr>
        <w:fldChar w:fldCharType="separate"/>
      </w:r>
      <w:r>
        <w:rPr>
          <w:rStyle w:val="36"/>
          <w:rFonts w:hint="eastAsia" w:eastAsia="黑体"/>
          <w:kern w:val="0"/>
          <w:highlight w:val="none"/>
        </w:rPr>
        <w:t>声明</w:t>
      </w:r>
      <w:r>
        <w:rPr>
          <w:highlight w:val="none"/>
        </w:rPr>
        <w:tab/>
      </w:r>
      <w:r>
        <w:rPr>
          <w:rFonts w:hint="eastAsia"/>
          <w:highlight w:val="none"/>
          <w:lang w:val="en-US" w:eastAsia="zh-CN"/>
        </w:rPr>
        <w:t>1</w:t>
      </w:r>
      <w:r>
        <w:rPr>
          <w:highlight w:val="none"/>
        </w:rPr>
        <w:fldChar w:fldCharType="end"/>
      </w:r>
    </w:p>
    <w:p w14:paraId="6787D163">
      <w:pPr>
        <w:pStyle w:val="24"/>
        <w:keepNext w:val="0"/>
        <w:keepLines w:val="0"/>
        <w:pageBreakBefore w:val="0"/>
        <w:widowControl w:val="0"/>
        <w:kinsoku/>
        <w:wordWrap/>
        <w:overflowPunct/>
        <w:topLinePunct w:val="0"/>
        <w:bidi w:val="0"/>
        <w:snapToGrid/>
        <w:spacing w:line="528" w:lineRule="auto"/>
        <w:textAlignment w:val="auto"/>
        <w:rPr>
          <w:rFonts w:hint="eastAsia"/>
          <w:highlight w:val="none"/>
        </w:rPr>
      </w:pPr>
      <w:r>
        <w:rPr>
          <w:highlight w:val="none"/>
        </w:rPr>
        <w:fldChar w:fldCharType="begin"/>
      </w:r>
      <w:r>
        <w:rPr>
          <w:rStyle w:val="36"/>
          <w:highlight w:val="none"/>
        </w:rPr>
        <w:instrText xml:space="preserve"> </w:instrText>
      </w:r>
      <w:r>
        <w:rPr>
          <w:highlight w:val="none"/>
        </w:rPr>
        <w:instrText xml:space="preserve">HYPERLINK \l "_Toc430098844"</w:instrText>
      </w:r>
      <w:r>
        <w:rPr>
          <w:rStyle w:val="36"/>
          <w:highlight w:val="none"/>
        </w:rPr>
        <w:instrText xml:space="preserve"> </w:instrText>
      </w:r>
      <w:r>
        <w:rPr>
          <w:highlight w:val="none"/>
        </w:rPr>
        <w:fldChar w:fldCharType="separate"/>
      </w:r>
      <w:r>
        <w:rPr>
          <w:rStyle w:val="36"/>
          <w:rFonts w:hint="eastAsia" w:eastAsia="黑体"/>
          <w:kern w:val="0"/>
          <w:highlight w:val="none"/>
        </w:rPr>
        <w:t>摘要</w:t>
      </w:r>
      <w:r>
        <w:rPr>
          <w:highlight w:val="none"/>
        </w:rPr>
        <w:tab/>
      </w:r>
      <w:r>
        <w:rPr>
          <w:highlight w:val="none"/>
        </w:rPr>
        <w:fldChar w:fldCharType="end"/>
      </w:r>
      <w:r>
        <w:rPr>
          <w:rFonts w:hint="eastAsia"/>
          <w:highlight w:val="none"/>
        </w:rPr>
        <w:t>2</w:t>
      </w:r>
    </w:p>
    <w:p w14:paraId="49B89C90">
      <w:pPr>
        <w:pStyle w:val="24"/>
        <w:keepNext w:val="0"/>
        <w:keepLines w:val="0"/>
        <w:pageBreakBefore w:val="0"/>
        <w:widowControl w:val="0"/>
        <w:kinsoku/>
        <w:wordWrap/>
        <w:overflowPunct/>
        <w:topLinePunct w:val="0"/>
        <w:bidi w:val="0"/>
        <w:snapToGrid/>
        <w:spacing w:line="528" w:lineRule="auto"/>
        <w:textAlignment w:val="auto"/>
        <w:rPr>
          <w:highlight w:val="none"/>
        </w:rPr>
      </w:pPr>
      <w:r>
        <w:rPr>
          <w:rFonts w:hint="eastAsia" w:ascii="黑体" w:hAnsi="黑体" w:eastAsia="黑体"/>
          <w:highlight w:val="none"/>
        </w:rPr>
        <w:t>资产</w:t>
      </w:r>
      <w:r>
        <w:rPr>
          <w:highlight w:val="none"/>
        </w:rPr>
        <w:fldChar w:fldCharType="begin"/>
      </w:r>
      <w:r>
        <w:rPr>
          <w:rStyle w:val="36"/>
          <w:highlight w:val="none"/>
        </w:rPr>
        <w:instrText xml:space="preserve"> </w:instrText>
      </w:r>
      <w:r>
        <w:rPr>
          <w:highlight w:val="none"/>
        </w:rPr>
        <w:instrText xml:space="preserve">HYPERLINK \l "_Toc430098845"</w:instrText>
      </w:r>
      <w:r>
        <w:rPr>
          <w:rStyle w:val="36"/>
          <w:highlight w:val="none"/>
        </w:rPr>
        <w:instrText xml:space="preserve"> </w:instrText>
      </w:r>
      <w:r>
        <w:rPr>
          <w:highlight w:val="none"/>
        </w:rPr>
        <w:fldChar w:fldCharType="separate"/>
      </w:r>
      <w:r>
        <w:rPr>
          <w:rStyle w:val="36"/>
          <w:rFonts w:hint="eastAsia" w:eastAsia="黑体"/>
          <w:kern w:val="0"/>
          <w:highlight w:val="none"/>
        </w:rPr>
        <w:t>评估报告</w:t>
      </w:r>
      <w:r>
        <w:rPr>
          <w:highlight w:val="none"/>
        </w:rPr>
        <w:tab/>
      </w:r>
      <w:r>
        <w:rPr>
          <w:rFonts w:hint="eastAsia"/>
          <w:highlight w:val="none"/>
          <w:lang w:val="en-US" w:eastAsia="zh-CN"/>
        </w:rPr>
        <w:t>3</w:t>
      </w:r>
      <w:r>
        <w:rPr>
          <w:highlight w:val="none"/>
        </w:rPr>
        <w:fldChar w:fldCharType="end"/>
      </w:r>
    </w:p>
    <w:p w14:paraId="6BC91E63">
      <w:pPr>
        <w:pStyle w:val="26"/>
        <w:keepNext w:val="0"/>
        <w:keepLines w:val="0"/>
        <w:pageBreakBefore w:val="0"/>
        <w:widowControl w:val="0"/>
        <w:kinsoku/>
        <w:wordWrap/>
        <w:overflowPunct/>
        <w:topLinePunct w:val="0"/>
        <w:bidi w:val="0"/>
        <w:snapToGrid/>
        <w:spacing w:line="528" w:lineRule="auto"/>
        <w:textAlignment w:val="auto"/>
        <w:rPr>
          <w:highlight w:val="none"/>
        </w:rPr>
      </w:pPr>
      <w:r>
        <w:rPr>
          <w:highlight w:val="none"/>
        </w:rPr>
        <w:fldChar w:fldCharType="begin"/>
      </w:r>
      <w:r>
        <w:rPr>
          <w:rStyle w:val="36"/>
          <w:highlight w:val="none"/>
        </w:rPr>
        <w:instrText xml:space="preserve"> </w:instrText>
      </w:r>
      <w:r>
        <w:rPr>
          <w:highlight w:val="none"/>
        </w:rPr>
        <w:instrText xml:space="preserve">HYPERLINK \l "_Toc430098846"</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一、委托方、产权持有人和委托方以外的其他评估报告使用人</w:t>
      </w:r>
      <w:r>
        <w:rPr>
          <w:highlight w:val="none"/>
        </w:rPr>
        <w:tab/>
      </w:r>
      <w:r>
        <w:rPr>
          <w:rFonts w:hint="eastAsia"/>
          <w:highlight w:val="none"/>
          <w:lang w:val="en-US" w:eastAsia="zh-CN"/>
        </w:rPr>
        <w:t>3</w:t>
      </w:r>
      <w:r>
        <w:rPr>
          <w:highlight w:val="none"/>
        </w:rPr>
        <w:fldChar w:fldCharType="end"/>
      </w:r>
    </w:p>
    <w:p w14:paraId="5B1B0511">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eastAsia="zh-CN"/>
        </w:rPr>
      </w:pPr>
      <w:r>
        <w:rPr>
          <w:highlight w:val="none"/>
        </w:rPr>
        <w:fldChar w:fldCharType="begin"/>
      </w:r>
      <w:r>
        <w:rPr>
          <w:rStyle w:val="36"/>
          <w:highlight w:val="none"/>
        </w:rPr>
        <w:instrText xml:space="preserve"> </w:instrText>
      </w:r>
      <w:r>
        <w:rPr>
          <w:highlight w:val="none"/>
        </w:rPr>
        <w:instrText xml:space="preserve">HYPERLINK \l "_Toc430098847"</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二、评估目的</w:t>
      </w:r>
      <w:r>
        <w:rPr>
          <w:highlight w:val="none"/>
        </w:rPr>
        <w:tab/>
      </w:r>
      <w:r>
        <w:rPr>
          <w:highlight w:val="none"/>
        </w:rPr>
        <w:fldChar w:fldCharType="end"/>
      </w:r>
      <w:r>
        <w:rPr>
          <w:rFonts w:hint="eastAsia"/>
          <w:highlight w:val="none"/>
          <w:lang w:val="en-US" w:eastAsia="zh-CN"/>
        </w:rPr>
        <w:t>4</w:t>
      </w:r>
    </w:p>
    <w:p w14:paraId="35BA61CD">
      <w:pPr>
        <w:pStyle w:val="26"/>
        <w:keepNext w:val="0"/>
        <w:keepLines w:val="0"/>
        <w:pageBreakBefore w:val="0"/>
        <w:widowControl w:val="0"/>
        <w:kinsoku/>
        <w:wordWrap/>
        <w:overflowPunct/>
        <w:topLinePunct w:val="0"/>
        <w:bidi w:val="0"/>
        <w:snapToGrid/>
        <w:spacing w:line="528" w:lineRule="auto"/>
        <w:textAlignment w:val="auto"/>
        <w:rPr>
          <w:highlight w:val="none"/>
        </w:rPr>
      </w:pPr>
      <w:r>
        <w:rPr>
          <w:highlight w:val="none"/>
        </w:rPr>
        <w:fldChar w:fldCharType="begin"/>
      </w:r>
      <w:r>
        <w:rPr>
          <w:rStyle w:val="36"/>
          <w:highlight w:val="none"/>
        </w:rPr>
        <w:instrText xml:space="preserve"> </w:instrText>
      </w:r>
      <w:r>
        <w:rPr>
          <w:highlight w:val="none"/>
        </w:rPr>
        <w:instrText xml:space="preserve">HYPERLINK \l "_Toc430098848"</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三、</w:t>
      </w:r>
      <w:r>
        <w:rPr>
          <w:highlight w:val="none"/>
        </w:rPr>
        <w:tab/>
      </w:r>
      <w:r>
        <w:rPr>
          <w:rStyle w:val="36"/>
          <w:rFonts w:hint="eastAsia" w:ascii="黑体" w:hAnsi="宋体"/>
          <w:spacing w:val="20"/>
          <w:highlight w:val="none"/>
        </w:rPr>
        <w:t>评估对象和范围</w:t>
      </w:r>
      <w:r>
        <w:rPr>
          <w:highlight w:val="none"/>
        </w:rPr>
        <w:tab/>
      </w:r>
      <w:r>
        <w:rPr>
          <w:rFonts w:hint="eastAsia"/>
          <w:highlight w:val="none"/>
          <w:lang w:val="en-US" w:eastAsia="zh-CN"/>
        </w:rPr>
        <w:t>4</w:t>
      </w:r>
      <w:r>
        <w:rPr>
          <w:highlight w:val="none"/>
        </w:rPr>
        <w:fldChar w:fldCharType="end"/>
      </w:r>
    </w:p>
    <w:p w14:paraId="7BA863C9">
      <w:pPr>
        <w:pStyle w:val="26"/>
        <w:keepNext w:val="0"/>
        <w:keepLines w:val="0"/>
        <w:pageBreakBefore w:val="0"/>
        <w:widowControl w:val="0"/>
        <w:kinsoku/>
        <w:wordWrap/>
        <w:overflowPunct/>
        <w:topLinePunct w:val="0"/>
        <w:bidi w:val="0"/>
        <w:snapToGrid/>
        <w:spacing w:line="528" w:lineRule="auto"/>
        <w:textAlignment w:val="auto"/>
        <w:rPr>
          <w:highlight w:val="none"/>
        </w:rPr>
      </w:pPr>
      <w:r>
        <w:rPr>
          <w:highlight w:val="none"/>
        </w:rPr>
        <w:fldChar w:fldCharType="begin"/>
      </w:r>
      <w:r>
        <w:rPr>
          <w:rStyle w:val="36"/>
          <w:highlight w:val="none"/>
        </w:rPr>
        <w:instrText xml:space="preserve"> </w:instrText>
      </w:r>
      <w:r>
        <w:rPr>
          <w:highlight w:val="none"/>
        </w:rPr>
        <w:instrText xml:space="preserve">HYPERLINK \l "_Toc430098849"</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四、价值类型及其定义</w:t>
      </w:r>
      <w:r>
        <w:rPr>
          <w:highlight w:val="none"/>
        </w:rPr>
        <w:tab/>
      </w:r>
      <w:r>
        <w:rPr>
          <w:rFonts w:hint="eastAsia"/>
          <w:highlight w:val="none"/>
          <w:lang w:val="en-US" w:eastAsia="zh-CN"/>
        </w:rPr>
        <w:t>8</w:t>
      </w:r>
      <w:r>
        <w:rPr>
          <w:highlight w:val="none"/>
        </w:rPr>
        <w:fldChar w:fldCharType="end"/>
      </w:r>
    </w:p>
    <w:p w14:paraId="171075F0">
      <w:pPr>
        <w:pStyle w:val="26"/>
        <w:keepNext w:val="0"/>
        <w:keepLines w:val="0"/>
        <w:pageBreakBefore w:val="0"/>
        <w:widowControl w:val="0"/>
        <w:kinsoku/>
        <w:wordWrap/>
        <w:overflowPunct/>
        <w:topLinePunct w:val="0"/>
        <w:bidi w:val="0"/>
        <w:snapToGrid/>
        <w:spacing w:line="528" w:lineRule="auto"/>
        <w:textAlignment w:val="auto"/>
        <w:rPr>
          <w:highlight w:val="none"/>
        </w:rPr>
      </w:pPr>
      <w:r>
        <w:rPr>
          <w:highlight w:val="none"/>
        </w:rPr>
        <w:fldChar w:fldCharType="begin"/>
      </w:r>
      <w:r>
        <w:rPr>
          <w:rStyle w:val="36"/>
          <w:highlight w:val="none"/>
        </w:rPr>
        <w:instrText xml:space="preserve"> </w:instrText>
      </w:r>
      <w:r>
        <w:rPr>
          <w:highlight w:val="none"/>
        </w:rPr>
        <w:instrText xml:space="preserve">HYPERLINK \l "_Toc430098850"</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五、评估基准日</w:t>
      </w:r>
      <w:r>
        <w:rPr>
          <w:highlight w:val="none"/>
        </w:rPr>
        <w:tab/>
      </w:r>
      <w:r>
        <w:rPr>
          <w:rFonts w:hint="eastAsia"/>
          <w:highlight w:val="none"/>
          <w:lang w:val="en-US" w:eastAsia="zh-CN"/>
        </w:rPr>
        <w:t>8</w:t>
      </w:r>
      <w:r>
        <w:rPr>
          <w:highlight w:val="none"/>
        </w:rPr>
        <w:fldChar w:fldCharType="end"/>
      </w:r>
    </w:p>
    <w:p w14:paraId="31D252B8">
      <w:pPr>
        <w:pStyle w:val="26"/>
        <w:keepNext w:val="0"/>
        <w:keepLines w:val="0"/>
        <w:pageBreakBefore w:val="0"/>
        <w:widowControl w:val="0"/>
        <w:kinsoku/>
        <w:wordWrap/>
        <w:overflowPunct/>
        <w:topLinePunct w:val="0"/>
        <w:bidi w:val="0"/>
        <w:snapToGrid/>
        <w:spacing w:line="528" w:lineRule="auto"/>
        <w:textAlignment w:val="auto"/>
        <w:rPr>
          <w:highlight w:val="none"/>
        </w:rPr>
      </w:pPr>
      <w:r>
        <w:rPr>
          <w:highlight w:val="none"/>
        </w:rPr>
        <w:fldChar w:fldCharType="begin"/>
      </w:r>
      <w:r>
        <w:rPr>
          <w:rStyle w:val="36"/>
          <w:highlight w:val="none"/>
        </w:rPr>
        <w:instrText xml:space="preserve"> </w:instrText>
      </w:r>
      <w:r>
        <w:rPr>
          <w:highlight w:val="none"/>
        </w:rPr>
        <w:instrText xml:space="preserve">HYPERLINK \l "_Toc430098851"</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六、评估依据</w:t>
      </w:r>
      <w:r>
        <w:rPr>
          <w:highlight w:val="none"/>
        </w:rPr>
        <w:tab/>
      </w:r>
      <w:r>
        <w:rPr>
          <w:rFonts w:hint="eastAsia"/>
          <w:highlight w:val="none"/>
          <w:lang w:val="en-US" w:eastAsia="zh-CN"/>
        </w:rPr>
        <w:t>8</w:t>
      </w:r>
      <w:r>
        <w:rPr>
          <w:highlight w:val="none"/>
        </w:rPr>
        <w:fldChar w:fldCharType="end"/>
      </w:r>
    </w:p>
    <w:p w14:paraId="017E073E">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val="en-US" w:eastAsia="zh-CN"/>
        </w:rPr>
      </w:pPr>
      <w:r>
        <w:rPr>
          <w:highlight w:val="none"/>
        </w:rPr>
        <w:fldChar w:fldCharType="begin"/>
      </w:r>
      <w:r>
        <w:rPr>
          <w:rStyle w:val="36"/>
          <w:highlight w:val="none"/>
        </w:rPr>
        <w:instrText xml:space="preserve"> </w:instrText>
      </w:r>
      <w:r>
        <w:rPr>
          <w:highlight w:val="none"/>
        </w:rPr>
        <w:instrText xml:space="preserve">HYPERLINK \l "_Toc430098852"</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七、评估方法</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1</w:t>
      </w:r>
    </w:p>
    <w:p w14:paraId="5990B179">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val="en-US" w:eastAsia="zh-CN"/>
        </w:rPr>
      </w:pPr>
      <w:r>
        <w:rPr>
          <w:highlight w:val="none"/>
        </w:rPr>
        <w:fldChar w:fldCharType="begin"/>
      </w:r>
      <w:r>
        <w:rPr>
          <w:rStyle w:val="36"/>
          <w:highlight w:val="none"/>
        </w:rPr>
        <w:instrText xml:space="preserve"> </w:instrText>
      </w:r>
      <w:r>
        <w:rPr>
          <w:highlight w:val="none"/>
        </w:rPr>
        <w:instrText xml:space="preserve">HYPERLINK \l "_Toc430098853"</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八、评估程序实施过程和情况</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2</w:t>
      </w:r>
    </w:p>
    <w:p w14:paraId="7A204409">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val="en-US" w:eastAsia="zh-CN"/>
        </w:rPr>
      </w:pPr>
      <w:r>
        <w:rPr>
          <w:highlight w:val="none"/>
        </w:rPr>
        <w:fldChar w:fldCharType="begin"/>
      </w:r>
      <w:r>
        <w:rPr>
          <w:rStyle w:val="36"/>
          <w:highlight w:val="none"/>
        </w:rPr>
        <w:instrText xml:space="preserve"> </w:instrText>
      </w:r>
      <w:r>
        <w:rPr>
          <w:highlight w:val="none"/>
        </w:rPr>
        <w:instrText xml:space="preserve">HYPERLINK \l "_Toc430098854"</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九、评估假设</w:t>
      </w:r>
      <w:r>
        <w:rPr>
          <w:highlight w:val="none"/>
        </w:rPr>
        <w:tab/>
      </w:r>
      <w:r>
        <w:rPr>
          <w:highlight w:val="none"/>
        </w:rPr>
        <w:fldChar w:fldCharType="end"/>
      </w:r>
      <w:r>
        <w:rPr>
          <w:rFonts w:hint="eastAsia"/>
          <w:highlight w:val="none"/>
          <w:lang w:val="en-US" w:eastAsia="zh-CN"/>
        </w:rPr>
        <w:t>13</w:t>
      </w:r>
    </w:p>
    <w:p w14:paraId="21E8242A">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val="en-US" w:eastAsia="zh-CN"/>
        </w:rPr>
      </w:pPr>
      <w:r>
        <w:rPr>
          <w:highlight w:val="none"/>
        </w:rPr>
        <w:fldChar w:fldCharType="begin"/>
      </w:r>
      <w:r>
        <w:rPr>
          <w:rStyle w:val="36"/>
          <w:highlight w:val="none"/>
        </w:rPr>
        <w:instrText xml:space="preserve"> </w:instrText>
      </w:r>
      <w:r>
        <w:rPr>
          <w:highlight w:val="none"/>
        </w:rPr>
        <w:instrText xml:space="preserve">HYPERLINK \l "_Toc430098855"</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十、评估结论</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3</w:t>
      </w:r>
    </w:p>
    <w:p w14:paraId="13587D67">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val="en-US" w:eastAsia="zh-CN"/>
        </w:rPr>
      </w:pPr>
      <w:r>
        <w:rPr>
          <w:highlight w:val="none"/>
        </w:rPr>
        <w:fldChar w:fldCharType="begin"/>
      </w:r>
      <w:r>
        <w:rPr>
          <w:rStyle w:val="36"/>
          <w:highlight w:val="none"/>
        </w:rPr>
        <w:instrText xml:space="preserve"> </w:instrText>
      </w:r>
      <w:r>
        <w:rPr>
          <w:highlight w:val="none"/>
        </w:rPr>
        <w:instrText xml:space="preserve">HYPERLINK \l "_Toc430098856"</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十一、特别事项说明</w:t>
      </w:r>
      <w:r>
        <w:rPr>
          <w:highlight w:val="none"/>
        </w:rPr>
        <w:tab/>
      </w:r>
      <w:r>
        <w:rPr>
          <w:rFonts w:hint="eastAsia"/>
          <w:highlight w:val="none"/>
          <w:lang w:val="en-US" w:eastAsia="zh-CN"/>
        </w:rPr>
        <w:t>1</w:t>
      </w:r>
      <w:r>
        <w:rPr>
          <w:highlight w:val="none"/>
        </w:rPr>
        <w:fldChar w:fldCharType="end"/>
      </w:r>
      <w:r>
        <w:rPr>
          <w:rFonts w:hint="eastAsia"/>
          <w:highlight w:val="none"/>
          <w:lang w:val="en-US" w:eastAsia="zh-CN"/>
        </w:rPr>
        <w:t>4</w:t>
      </w:r>
    </w:p>
    <w:p w14:paraId="300C5A62">
      <w:pPr>
        <w:pStyle w:val="26"/>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val="en-US" w:eastAsia="zh-CN"/>
        </w:rPr>
      </w:pPr>
      <w:r>
        <w:rPr>
          <w:highlight w:val="none"/>
        </w:rPr>
        <w:fldChar w:fldCharType="begin"/>
      </w:r>
      <w:r>
        <w:rPr>
          <w:rStyle w:val="36"/>
          <w:highlight w:val="none"/>
        </w:rPr>
        <w:instrText xml:space="preserve"> </w:instrText>
      </w:r>
      <w:r>
        <w:rPr>
          <w:highlight w:val="none"/>
        </w:rPr>
        <w:instrText xml:space="preserve">HYPERLINK \l "_Toc430098857"</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十二、评估报告使用限制说明</w:t>
      </w:r>
      <w:r>
        <w:rPr>
          <w:highlight w:val="none"/>
        </w:rPr>
        <w:tab/>
      </w:r>
      <w:r>
        <w:rPr>
          <w:highlight w:val="none"/>
        </w:rPr>
        <w:fldChar w:fldCharType="end"/>
      </w:r>
      <w:r>
        <w:rPr>
          <w:rFonts w:hint="eastAsia"/>
          <w:highlight w:val="none"/>
          <w:lang w:val="en-US" w:eastAsia="zh-CN"/>
        </w:rPr>
        <w:t>15</w:t>
      </w:r>
    </w:p>
    <w:p w14:paraId="03FB751D">
      <w:pPr>
        <w:pStyle w:val="26"/>
        <w:keepNext w:val="0"/>
        <w:keepLines w:val="0"/>
        <w:pageBreakBefore w:val="0"/>
        <w:widowControl w:val="0"/>
        <w:kinsoku/>
        <w:wordWrap/>
        <w:overflowPunct/>
        <w:topLinePunct w:val="0"/>
        <w:autoSpaceDE/>
        <w:autoSpaceDN/>
        <w:bidi w:val="0"/>
        <w:adjustRightInd/>
        <w:snapToGrid/>
        <w:spacing w:line="528" w:lineRule="auto"/>
        <w:textAlignment w:val="auto"/>
        <w:rPr>
          <w:rFonts w:hint="eastAsia" w:eastAsia="宋体"/>
          <w:highlight w:val="none"/>
          <w:lang w:eastAsia="zh-CN"/>
        </w:rPr>
      </w:pPr>
      <w:r>
        <w:rPr>
          <w:highlight w:val="none"/>
        </w:rPr>
        <w:fldChar w:fldCharType="begin"/>
      </w:r>
      <w:r>
        <w:rPr>
          <w:rStyle w:val="36"/>
          <w:highlight w:val="none"/>
        </w:rPr>
        <w:instrText xml:space="preserve"> </w:instrText>
      </w:r>
      <w:r>
        <w:rPr>
          <w:highlight w:val="none"/>
        </w:rPr>
        <w:instrText xml:space="preserve">HYPERLINK \l "_Toc430098858"</w:instrText>
      </w:r>
      <w:r>
        <w:rPr>
          <w:rStyle w:val="36"/>
          <w:highlight w:val="none"/>
        </w:rPr>
        <w:instrText xml:space="preserve"> </w:instrText>
      </w:r>
      <w:r>
        <w:rPr>
          <w:highlight w:val="none"/>
        </w:rPr>
        <w:fldChar w:fldCharType="separate"/>
      </w:r>
      <w:r>
        <w:rPr>
          <w:rStyle w:val="36"/>
          <w:rFonts w:hint="eastAsia" w:ascii="黑体" w:hAnsi="宋体"/>
          <w:spacing w:val="20"/>
          <w:highlight w:val="none"/>
        </w:rPr>
        <w:t>十三、评估报告提出日期</w:t>
      </w:r>
      <w:r>
        <w:rPr>
          <w:highlight w:val="none"/>
        </w:rPr>
        <w:tab/>
      </w:r>
      <w:r>
        <w:rPr>
          <w:rFonts w:hint="eastAsia"/>
          <w:highlight w:val="none"/>
        </w:rPr>
        <w:t>1</w:t>
      </w:r>
      <w:r>
        <w:rPr>
          <w:highlight w:val="none"/>
        </w:rPr>
        <w:fldChar w:fldCharType="end"/>
      </w:r>
      <w:r>
        <w:rPr>
          <w:rFonts w:hint="eastAsia"/>
          <w:highlight w:val="none"/>
          <w:lang w:val="en-US" w:eastAsia="zh-CN"/>
        </w:rPr>
        <w:t>5</w:t>
      </w:r>
    </w:p>
    <w:p w14:paraId="5F4B64D2">
      <w:pPr>
        <w:pStyle w:val="24"/>
        <w:keepNext w:val="0"/>
        <w:keepLines w:val="0"/>
        <w:pageBreakBefore w:val="0"/>
        <w:widowControl w:val="0"/>
        <w:kinsoku/>
        <w:wordWrap/>
        <w:overflowPunct/>
        <w:topLinePunct w:val="0"/>
        <w:bidi w:val="0"/>
        <w:snapToGrid/>
        <w:spacing w:line="528" w:lineRule="auto"/>
        <w:textAlignment w:val="auto"/>
        <w:rPr>
          <w:rFonts w:hint="eastAsia" w:eastAsia="宋体"/>
          <w:highlight w:val="none"/>
          <w:lang w:eastAsia="zh-CN"/>
        </w:rPr>
      </w:pPr>
      <w:r>
        <w:rPr>
          <w:rFonts w:hint="eastAsia" w:ascii="黑体" w:hAnsi="黑体" w:eastAsia="黑体"/>
          <w:highlight w:val="none"/>
        </w:rPr>
        <w:t>资产评估报告</w:t>
      </w:r>
      <w:r>
        <w:rPr>
          <w:highlight w:val="none"/>
        </w:rPr>
        <w:fldChar w:fldCharType="begin"/>
      </w:r>
      <w:r>
        <w:rPr>
          <w:rStyle w:val="36"/>
          <w:highlight w:val="none"/>
        </w:rPr>
        <w:instrText xml:space="preserve"> </w:instrText>
      </w:r>
      <w:r>
        <w:rPr>
          <w:highlight w:val="none"/>
        </w:rPr>
        <w:instrText xml:space="preserve">HYPERLINK \l "_Toc430098859"</w:instrText>
      </w:r>
      <w:r>
        <w:rPr>
          <w:rStyle w:val="36"/>
          <w:highlight w:val="none"/>
        </w:rPr>
        <w:instrText xml:space="preserve"> </w:instrText>
      </w:r>
      <w:r>
        <w:rPr>
          <w:highlight w:val="none"/>
        </w:rPr>
        <w:fldChar w:fldCharType="separate"/>
      </w:r>
      <w:r>
        <w:rPr>
          <w:rStyle w:val="36"/>
          <w:rFonts w:hint="eastAsia" w:ascii="黑体" w:hAnsi="宋体" w:eastAsia="黑体"/>
          <w:spacing w:val="20"/>
          <w:kern w:val="0"/>
          <w:highlight w:val="none"/>
        </w:rPr>
        <w:t>附件：</w:t>
      </w:r>
      <w:r>
        <w:rPr>
          <w:highlight w:val="none"/>
        </w:rPr>
        <w:tab/>
      </w:r>
      <w:r>
        <w:rPr>
          <w:rFonts w:hint="eastAsia"/>
          <w:highlight w:val="none"/>
        </w:rPr>
        <w:t>1</w:t>
      </w:r>
      <w:r>
        <w:rPr>
          <w:highlight w:val="none"/>
        </w:rPr>
        <w:fldChar w:fldCharType="end"/>
      </w:r>
      <w:r>
        <w:rPr>
          <w:rFonts w:hint="eastAsia"/>
          <w:highlight w:val="none"/>
          <w:lang w:val="en-US" w:eastAsia="zh-CN"/>
        </w:rPr>
        <w:t>6</w:t>
      </w:r>
    </w:p>
    <w:p w14:paraId="0403C67E">
      <w:pPr>
        <w:keepNext w:val="0"/>
        <w:keepLines w:val="0"/>
        <w:pageBreakBefore w:val="0"/>
        <w:widowControl w:val="0"/>
        <w:kinsoku/>
        <w:wordWrap/>
        <w:overflowPunct/>
        <w:topLinePunct w:val="0"/>
        <w:autoSpaceDE w:val="0"/>
        <w:autoSpaceDN w:val="0"/>
        <w:bidi w:val="0"/>
        <w:adjustRightInd w:val="0"/>
        <w:snapToGrid/>
        <w:spacing w:line="528" w:lineRule="auto"/>
        <w:textAlignment w:val="auto"/>
        <w:rPr>
          <w:rFonts w:eastAsia="仿宋_GB2312"/>
          <w:kern w:val="0"/>
          <w:szCs w:val="21"/>
          <w:highlight w:val="none"/>
        </w:rPr>
      </w:pPr>
      <w:r>
        <w:rPr>
          <w:rFonts w:eastAsia="仿宋_GB2312"/>
          <w:kern w:val="0"/>
          <w:szCs w:val="21"/>
          <w:highlight w:val="none"/>
        </w:rPr>
        <w:fldChar w:fldCharType="end"/>
      </w:r>
      <w:r>
        <w:rPr>
          <w:rFonts w:hint="eastAsia" w:ascii="黑体" w:hAnsi="黑体" w:eastAsia="黑体"/>
          <w:highlight w:val="none"/>
          <w:lang w:eastAsia="zh-CN"/>
        </w:rPr>
        <w:t>泰顺县康养服务用房20年租赁权价值评估</w:t>
      </w:r>
      <w:r>
        <w:rPr>
          <w:rFonts w:hint="eastAsia" w:ascii="黑体" w:hAnsi="黑体" w:eastAsia="黑体"/>
          <w:highlight w:val="none"/>
          <w:lang w:val="en-US" w:eastAsia="zh-CN"/>
        </w:rPr>
        <w:t>申报</w:t>
      </w:r>
      <w:r>
        <w:rPr>
          <w:rFonts w:hint="eastAsia" w:ascii="黑体" w:hAnsi="黑体" w:eastAsia="黑体"/>
          <w:highlight w:val="none"/>
          <w:lang w:eastAsia="zh-CN"/>
        </w:rPr>
        <w:t>明细表</w:t>
      </w:r>
    </w:p>
    <w:p w14:paraId="49E1871B">
      <w:pPr>
        <w:keepNext w:val="0"/>
        <w:keepLines w:val="0"/>
        <w:pageBreakBefore w:val="0"/>
        <w:widowControl w:val="0"/>
        <w:kinsoku/>
        <w:wordWrap/>
        <w:overflowPunct/>
        <w:topLinePunct w:val="0"/>
        <w:autoSpaceDE w:val="0"/>
        <w:autoSpaceDN w:val="0"/>
        <w:bidi w:val="0"/>
        <w:adjustRightInd w:val="0"/>
        <w:snapToGrid/>
        <w:spacing w:line="528" w:lineRule="auto"/>
        <w:textAlignment w:val="auto"/>
        <w:rPr>
          <w:rFonts w:hint="eastAsia" w:ascii="黑体" w:hAnsi="黑体" w:eastAsia="仿宋_GB2312"/>
          <w:highlight w:val="none"/>
          <w:lang w:eastAsia="zh-CN"/>
        </w:rPr>
      </w:pPr>
      <w:r>
        <w:rPr>
          <w:rFonts w:hint="eastAsia" w:ascii="黑体" w:hAnsi="黑体" w:eastAsia="黑体"/>
          <w:highlight w:val="none"/>
          <w:lang w:eastAsia="zh-CN"/>
        </w:rPr>
        <w:t>泰顺县康养服务用房20年租赁权价值评估明细表</w:t>
      </w:r>
    </w:p>
    <w:p w14:paraId="5CB8E8C5">
      <w:pPr>
        <w:pStyle w:val="2"/>
        <w:numPr>
          <w:ilvl w:val="0"/>
          <w:numId w:val="0"/>
        </w:numPr>
        <w:spacing w:line="180" w:lineRule="auto"/>
        <w:jc w:val="center"/>
        <w:rPr>
          <w:rFonts w:ascii="Times New Roman" w:eastAsia="黑体"/>
          <w:kern w:val="0"/>
          <w:sz w:val="32"/>
          <w:szCs w:val="32"/>
          <w:highlight w:val="none"/>
        </w:rPr>
        <w:sectPr>
          <w:headerReference r:id="rId9" w:type="first"/>
          <w:headerReference r:id="rId8" w:type="default"/>
          <w:footerReference r:id="rId10" w:type="default"/>
          <w:pgSz w:w="11906" w:h="16838"/>
          <w:pgMar w:top="1440" w:right="1418" w:bottom="1440" w:left="1701" w:header="851" w:footer="964" w:gutter="0"/>
          <w:pgNumType w:start="0" w:chapStyle="1"/>
          <w:cols w:space="720" w:num="1"/>
          <w:titlePg/>
          <w:docGrid w:type="linesAndChars" w:linePitch="312" w:charSpace="0"/>
        </w:sectPr>
      </w:pPr>
      <w:bookmarkStart w:id="0" w:name="_Toc188763169"/>
      <w:bookmarkStart w:id="1" w:name="_Toc188763316"/>
      <w:bookmarkStart w:id="2" w:name="_Toc430098843"/>
      <w:bookmarkStart w:id="3" w:name="_Toc188762525"/>
    </w:p>
    <w:p w14:paraId="0C2DC351">
      <w:pPr>
        <w:pStyle w:val="2"/>
        <w:numPr>
          <w:ilvl w:val="0"/>
          <w:numId w:val="0"/>
        </w:numPr>
        <w:spacing w:line="180" w:lineRule="auto"/>
        <w:jc w:val="center"/>
        <w:rPr>
          <w:rFonts w:hint="eastAsia" w:ascii="Times New Roman" w:eastAsia="黑体"/>
          <w:kern w:val="0"/>
          <w:sz w:val="32"/>
          <w:szCs w:val="32"/>
          <w:highlight w:val="none"/>
        </w:rPr>
      </w:pPr>
      <w:r>
        <w:rPr>
          <w:rFonts w:ascii="Times New Roman" w:eastAsia="黑体"/>
          <w:kern w:val="0"/>
          <w:sz w:val="32"/>
          <w:szCs w:val="32"/>
          <w:highlight w:val="none"/>
        </w:rPr>
        <w:t>声</w:t>
      </w:r>
      <w:r>
        <w:rPr>
          <w:rFonts w:hint="eastAsia" w:ascii="Times New Roman" w:eastAsia="黑体"/>
          <w:kern w:val="0"/>
          <w:sz w:val="32"/>
          <w:szCs w:val="32"/>
          <w:highlight w:val="none"/>
        </w:rPr>
        <w:t xml:space="preserve"> </w:t>
      </w:r>
      <w:r>
        <w:rPr>
          <w:rFonts w:ascii="Times New Roman" w:eastAsia="黑体"/>
          <w:kern w:val="0"/>
          <w:sz w:val="32"/>
          <w:szCs w:val="32"/>
          <w:highlight w:val="none"/>
        </w:rPr>
        <w:t xml:space="preserve"> 明</w:t>
      </w:r>
      <w:bookmarkEnd w:id="0"/>
      <w:bookmarkEnd w:id="1"/>
      <w:bookmarkEnd w:id="2"/>
      <w:bookmarkEnd w:id="3"/>
    </w:p>
    <w:p w14:paraId="38EFF3CA">
      <w:pPr>
        <w:spacing w:line="360" w:lineRule="auto"/>
        <w:ind w:firstLine="570"/>
        <w:rPr>
          <w:rFonts w:hint="eastAsia" w:ascii="宋体" w:hAnsi="宋体"/>
          <w:spacing w:val="20"/>
          <w:szCs w:val="21"/>
          <w:highlight w:val="none"/>
        </w:rPr>
      </w:pPr>
      <w:bookmarkStart w:id="4" w:name="OLE_LINK5"/>
      <w:r>
        <w:rPr>
          <w:rFonts w:hint="eastAsia" w:ascii="宋体" w:hAnsi="宋体"/>
          <w:spacing w:val="20"/>
          <w:szCs w:val="21"/>
          <w:highlight w:val="none"/>
        </w:rPr>
        <w:t>一、本资产评估报告依据财政部发布的资产评估基本准则和中国资产评估协会发布的资产评估执业准则和职业道德准则编制。</w:t>
      </w:r>
    </w:p>
    <w:p w14:paraId="18DA8ACF">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二、委托人或者其他资产评估报告使用人应当按照法律、行政法规规定及本资产评估报告载明的使用范围使用资产评估报告；委托人或者其他资产评估报告使用人违反前述规定使用资产评估报告的，本资产评估机构及资产评估师不承担责任。</w:t>
      </w:r>
    </w:p>
    <w:p w14:paraId="79CBB4DF">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三、本资产评估报告仅供委托人、资产评估委托合同中约定的其他资产评估报告使用人和法律、行政法规规定的资产评估报告使用人使用；除此之外，其他任何机构和个人不能成为资产评估报告的使用人。</w:t>
      </w:r>
    </w:p>
    <w:p w14:paraId="78E0BFC6">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四、本资产评估机构及资产评估师提示资产评估报告使用人应当正确理解评估结论，评估结论不等同于评估对象可实现价格，评估结论不应当被认为是对评估对象可实现价格的保证。</w:t>
      </w:r>
    </w:p>
    <w:p w14:paraId="6A888265">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五、本资产评估机构及资产评估师遵守法律、行政法规和资产评估准则，坚持独立、客观和公正的原则，并对所出具的资产评估报告依法承担责任。</w:t>
      </w:r>
    </w:p>
    <w:p w14:paraId="582C9A2B">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六、评估对象涉及的资产、负债清单由委托人、产权持有人申报并经其采用签名、盖章或法律允许的其他方式确认；委托人和其他相关当事人依法对其提供资料的真实性、完整性、合法性负责。</w:t>
      </w:r>
    </w:p>
    <w:p w14:paraId="6103A96B">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七、本资产评估机构及资产评估师与资产评估报告中的评估对象没有现存或者预期的利益关系；与相关当事人没有现存或者预期的利益关系，对相关当事人不存在偏见。</w:t>
      </w:r>
    </w:p>
    <w:p w14:paraId="78E2451B">
      <w:pPr>
        <w:spacing w:line="360" w:lineRule="auto"/>
        <w:ind w:firstLine="570"/>
        <w:rPr>
          <w:rFonts w:hint="eastAsia" w:ascii="宋体" w:hAnsi="宋体"/>
          <w:spacing w:val="20"/>
          <w:szCs w:val="21"/>
          <w:highlight w:val="none"/>
        </w:rPr>
      </w:pPr>
      <w:r>
        <w:rPr>
          <w:rFonts w:hint="eastAsia" w:ascii="宋体" w:hAnsi="宋体"/>
          <w:spacing w:val="20"/>
          <w:szCs w:val="21"/>
          <w:highlight w:val="none"/>
        </w:rPr>
        <w:t>八、资产评估师已经对资产评估报告中的评估对象及其所涉及资产进行现场调查；已经对评估对象及其所涉及资产的法律权属状况给予必要的关注，对评估对象及其所涉及资产的法律权属资料进行了查验，对已经发现的问题进行了如实披露，并且已提请委托人及其他相关当事人完善产权以满足出具资产评估报告的要求。</w:t>
      </w:r>
    </w:p>
    <w:p w14:paraId="207CBB16">
      <w:pPr>
        <w:spacing w:line="360" w:lineRule="auto"/>
        <w:ind w:firstLine="570"/>
        <w:rPr>
          <w:rFonts w:hint="eastAsia" w:ascii="宋体" w:hAnsi="宋体"/>
          <w:spacing w:val="20"/>
          <w:szCs w:val="21"/>
          <w:highlight w:val="none"/>
        </w:rPr>
        <w:sectPr>
          <w:footerReference r:id="rId12" w:type="first"/>
          <w:footerReference r:id="rId11" w:type="default"/>
          <w:pgSz w:w="11906" w:h="16838"/>
          <w:pgMar w:top="1440" w:right="1418" w:bottom="1440" w:left="1701" w:header="851" w:footer="964" w:gutter="0"/>
          <w:pgNumType w:fmt="decimal" w:start="0" w:chapStyle="1"/>
          <w:cols w:space="720" w:num="1"/>
          <w:titlePg/>
          <w:docGrid w:type="linesAndChars" w:linePitch="312" w:charSpace="0"/>
        </w:sectPr>
      </w:pPr>
      <w:r>
        <w:rPr>
          <w:rFonts w:hint="eastAsia" w:ascii="宋体" w:hAnsi="宋体"/>
          <w:spacing w:val="20"/>
          <w:szCs w:val="21"/>
          <w:highlight w:val="none"/>
        </w:rPr>
        <w:t>九、本资产评估机构出具的资产评估报告中的分析、判断和结果受资产评估报告中假设和限制条件的限制，资产评估报告使用人应当充分考虑资产评估报告中载明的假设、限制条件、特别事项说明及其对评估结论的影响。</w:t>
      </w:r>
    </w:p>
    <w:bookmarkEnd w:id="4"/>
    <w:p w14:paraId="6D326CFF">
      <w:pPr>
        <w:autoSpaceDE w:val="0"/>
        <w:autoSpaceDN w:val="0"/>
        <w:adjustRightInd w:val="0"/>
        <w:spacing w:line="360" w:lineRule="auto"/>
        <w:jc w:val="center"/>
        <w:rPr>
          <w:rFonts w:hint="eastAsia" w:eastAsia="黑体"/>
          <w:kern w:val="0"/>
          <w:sz w:val="30"/>
          <w:szCs w:val="30"/>
          <w:highlight w:val="none"/>
          <w:lang w:eastAsia="zh-CN"/>
        </w:rPr>
      </w:pPr>
      <w:bookmarkStart w:id="5" w:name="_Toc430098844"/>
      <w:r>
        <w:rPr>
          <w:rFonts w:hint="eastAsia" w:eastAsia="黑体"/>
          <w:kern w:val="0"/>
          <w:sz w:val="30"/>
          <w:szCs w:val="30"/>
          <w:highlight w:val="none"/>
          <w:lang w:eastAsia="zh-CN"/>
        </w:rPr>
        <w:t>泰顺县民政局拟出租房产所涉及的泰顺县120处康养服务用房</w:t>
      </w:r>
    </w:p>
    <w:p w14:paraId="5807B9A6">
      <w:pPr>
        <w:autoSpaceDE w:val="0"/>
        <w:autoSpaceDN w:val="0"/>
        <w:adjustRightInd w:val="0"/>
        <w:spacing w:line="360" w:lineRule="auto"/>
        <w:jc w:val="center"/>
        <w:rPr>
          <w:rFonts w:eastAsia="黑体"/>
          <w:kern w:val="0"/>
          <w:sz w:val="30"/>
          <w:szCs w:val="30"/>
          <w:highlight w:val="none"/>
        </w:rPr>
      </w:pPr>
      <w:r>
        <w:rPr>
          <w:rFonts w:hint="eastAsia" w:eastAsia="黑体"/>
          <w:kern w:val="0"/>
          <w:sz w:val="30"/>
          <w:szCs w:val="30"/>
          <w:highlight w:val="none"/>
          <w:lang w:eastAsia="zh-CN"/>
        </w:rPr>
        <w:t>20年租赁权价值资产评估报告</w:t>
      </w:r>
      <w:r>
        <w:rPr>
          <w:rFonts w:eastAsia="黑体"/>
          <w:kern w:val="0"/>
          <w:sz w:val="30"/>
          <w:szCs w:val="30"/>
          <w:highlight w:val="none"/>
        </w:rPr>
        <w:t>摘要</w:t>
      </w:r>
      <w:bookmarkEnd w:id="5"/>
    </w:p>
    <w:p w14:paraId="49F93548">
      <w:pPr>
        <w:keepNext w:val="0"/>
        <w:keepLines w:val="0"/>
        <w:pageBreakBefore w:val="0"/>
        <w:widowControl w:val="0"/>
        <w:kinsoku/>
        <w:wordWrap/>
        <w:overflowPunct/>
        <w:topLinePunct w:val="0"/>
        <w:autoSpaceDE/>
        <w:autoSpaceDN/>
        <w:bidi w:val="0"/>
        <w:adjustRightInd/>
        <w:snapToGrid/>
        <w:spacing w:line="356" w:lineRule="auto"/>
        <w:ind w:firstLine="570"/>
        <w:textAlignment w:val="auto"/>
        <w:rPr>
          <w:spacing w:val="20"/>
          <w:szCs w:val="21"/>
          <w:highlight w:val="none"/>
        </w:rPr>
      </w:pPr>
      <w:r>
        <w:rPr>
          <w:rFonts w:hint="eastAsia"/>
          <w:spacing w:val="20"/>
          <w:szCs w:val="21"/>
          <w:highlight w:val="none"/>
          <w:lang w:eastAsia="zh-CN"/>
        </w:rPr>
        <w:t>温州宏正房地产评估测绘有限公司</w:t>
      </w:r>
      <w:r>
        <w:rPr>
          <w:spacing w:val="20"/>
          <w:szCs w:val="21"/>
          <w:highlight w:val="none"/>
        </w:rPr>
        <w:t>接受</w:t>
      </w:r>
      <w:r>
        <w:rPr>
          <w:rFonts w:hint="eastAsia"/>
          <w:spacing w:val="20"/>
          <w:szCs w:val="21"/>
          <w:highlight w:val="none"/>
          <w:lang w:eastAsia="zh-CN"/>
        </w:rPr>
        <w:t>泰顺县民政局</w:t>
      </w:r>
      <w:r>
        <w:rPr>
          <w:spacing w:val="20"/>
          <w:szCs w:val="21"/>
          <w:highlight w:val="none"/>
        </w:rPr>
        <w:t>的委托，根据《中华人民共和国资产评估法》等有关法律法规和资产评估准则的规定，坚持独立、客观、公正的原则，采用</w:t>
      </w:r>
      <w:r>
        <w:rPr>
          <w:rFonts w:hint="eastAsia"/>
          <w:spacing w:val="20"/>
          <w:szCs w:val="21"/>
          <w:highlight w:val="none"/>
          <w:lang w:val="en-US" w:eastAsia="zh-CN"/>
        </w:rPr>
        <w:t>市场法</w:t>
      </w:r>
      <w:r>
        <w:rPr>
          <w:rFonts w:hint="eastAsia"/>
          <w:spacing w:val="20"/>
          <w:szCs w:val="21"/>
          <w:highlight w:val="none"/>
        </w:rPr>
        <w:t>，</w:t>
      </w:r>
      <w:r>
        <w:rPr>
          <w:spacing w:val="20"/>
          <w:szCs w:val="21"/>
          <w:highlight w:val="none"/>
        </w:rPr>
        <w:t>按照必要的评估程序，</w:t>
      </w:r>
      <w:r>
        <w:rPr>
          <w:rFonts w:hint="eastAsia"/>
          <w:spacing w:val="20"/>
          <w:szCs w:val="21"/>
          <w:highlight w:val="none"/>
        </w:rPr>
        <w:t>对</w:t>
      </w:r>
      <w:r>
        <w:rPr>
          <w:rFonts w:hint="eastAsia"/>
          <w:spacing w:val="20"/>
          <w:szCs w:val="21"/>
          <w:highlight w:val="none"/>
          <w:lang w:eastAsia="zh-CN"/>
        </w:rPr>
        <w:t>泰顺县民政局拟</w:t>
      </w:r>
      <w:r>
        <w:rPr>
          <w:rFonts w:hint="eastAsia"/>
          <w:spacing w:val="20"/>
          <w:szCs w:val="21"/>
          <w:highlight w:val="none"/>
          <w:lang w:val="en-US" w:eastAsia="zh-CN"/>
        </w:rPr>
        <w:t>出租</w:t>
      </w:r>
      <w:r>
        <w:rPr>
          <w:rFonts w:hint="eastAsia"/>
          <w:spacing w:val="20"/>
          <w:szCs w:val="21"/>
          <w:highlight w:val="none"/>
          <w:lang w:eastAsia="zh-CN"/>
        </w:rPr>
        <w:t>所涉及的</w:t>
      </w:r>
      <w:r>
        <w:rPr>
          <w:rFonts w:hint="eastAsia"/>
          <w:spacing w:val="20"/>
          <w:szCs w:val="21"/>
          <w:highlight w:val="none"/>
          <w:lang w:val="en-US" w:eastAsia="zh-CN"/>
        </w:rPr>
        <w:t>泰顺县120处</w:t>
      </w:r>
      <w:r>
        <w:rPr>
          <w:rFonts w:hint="eastAsia"/>
          <w:spacing w:val="20"/>
          <w:szCs w:val="21"/>
          <w:highlight w:val="none"/>
          <w:lang w:eastAsia="zh-CN"/>
        </w:rPr>
        <w:t>康养服务用房20年租赁权</w:t>
      </w:r>
      <w:r>
        <w:rPr>
          <w:rFonts w:hint="eastAsia"/>
          <w:spacing w:val="20"/>
          <w:szCs w:val="21"/>
          <w:highlight w:val="none"/>
        </w:rPr>
        <w:t>在评估</w:t>
      </w:r>
      <w:r>
        <w:rPr>
          <w:rFonts w:hint="eastAsia"/>
          <w:color w:val="auto"/>
          <w:spacing w:val="20"/>
          <w:szCs w:val="21"/>
          <w:highlight w:val="none"/>
        </w:rPr>
        <w:t>基准日</w:t>
      </w:r>
      <w:r>
        <w:rPr>
          <w:rFonts w:hint="eastAsia"/>
          <w:color w:val="auto"/>
          <w:spacing w:val="20"/>
          <w:szCs w:val="21"/>
          <w:highlight w:val="none"/>
          <w:lang w:eastAsia="zh-CN"/>
        </w:rPr>
        <w:t>2025年9月5日</w:t>
      </w:r>
      <w:r>
        <w:rPr>
          <w:rFonts w:hint="eastAsia"/>
          <w:color w:val="auto"/>
          <w:spacing w:val="20"/>
          <w:szCs w:val="21"/>
          <w:highlight w:val="none"/>
        </w:rPr>
        <w:t>的市</w:t>
      </w:r>
      <w:r>
        <w:rPr>
          <w:rFonts w:hint="eastAsia"/>
          <w:spacing w:val="20"/>
          <w:szCs w:val="21"/>
          <w:highlight w:val="none"/>
        </w:rPr>
        <w:t>场价值进行评估</w:t>
      </w:r>
      <w:r>
        <w:rPr>
          <w:spacing w:val="20"/>
          <w:szCs w:val="21"/>
          <w:highlight w:val="none"/>
        </w:rPr>
        <w:t>。</w:t>
      </w:r>
    </w:p>
    <w:p w14:paraId="798302F0">
      <w:pPr>
        <w:keepNext w:val="0"/>
        <w:keepLines w:val="0"/>
        <w:pageBreakBefore w:val="0"/>
        <w:widowControl w:val="0"/>
        <w:kinsoku/>
        <w:wordWrap/>
        <w:overflowPunct/>
        <w:topLinePunct w:val="0"/>
        <w:autoSpaceDE/>
        <w:autoSpaceDN/>
        <w:bidi w:val="0"/>
        <w:adjustRightInd/>
        <w:snapToGrid/>
        <w:spacing w:line="356" w:lineRule="auto"/>
        <w:ind w:left="10" w:leftChars="5" w:firstLine="485" w:firstLineChars="194"/>
        <w:textAlignment w:val="auto"/>
        <w:rPr>
          <w:rFonts w:hint="eastAsia"/>
          <w:spacing w:val="20"/>
          <w:szCs w:val="21"/>
          <w:highlight w:val="none"/>
        </w:rPr>
      </w:pPr>
      <w:r>
        <w:rPr>
          <w:spacing w:val="20"/>
          <w:szCs w:val="21"/>
          <w:highlight w:val="none"/>
        </w:rPr>
        <w:t>评估目的：</w:t>
      </w:r>
      <w:r>
        <w:rPr>
          <w:rFonts w:hint="eastAsia"/>
          <w:spacing w:val="20"/>
          <w:szCs w:val="21"/>
          <w:highlight w:val="none"/>
          <w:lang w:eastAsia="zh-CN"/>
        </w:rPr>
        <w:t>确定泰顺县120处康养服务用房20年租赁权</w:t>
      </w:r>
      <w:r>
        <w:rPr>
          <w:rFonts w:hint="eastAsia"/>
          <w:spacing w:val="20"/>
          <w:szCs w:val="21"/>
          <w:highlight w:val="none"/>
          <w:lang w:val="en-US" w:eastAsia="zh-CN"/>
        </w:rPr>
        <w:t>市场价值</w:t>
      </w:r>
      <w:r>
        <w:rPr>
          <w:rFonts w:hint="eastAsia"/>
          <w:spacing w:val="20"/>
          <w:szCs w:val="21"/>
          <w:highlight w:val="none"/>
        </w:rPr>
        <w:t>，为</w:t>
      </w:r>
      <w:r>
        <w:rPr>
          <w:rFonts w:hint="eastAsia"/>
          <w:spacing w:val="20"/>
          <w:szCs w:val="21"/>
          <w:highlight w:val="none"/>
          <w:lang w:eastAsia="zh-CN"/>
        </w:rPr>
        <w:t>泰顺县民政局拟</w:t>
      </w:r>
      <w:r>
        <w:rPr>
          <w:rFonts w:hint="eastAsia"/>
          <w:spacing w:val="20"/>
          <w:szCs w:val="21"/>
          <w:highlight w:val="none"/>
          <w:lang w:val="en-US" w:eastAsia="zh-CN"/>
        </w:rPr>
        <w:t>出租房产</w:t>
      </w:r>
      <w:r>
        <w:rPr>
          <w:rFonts w:hint="eastAsia"/>
          <w:spacing w:val="20"/>
          <w:szCs w:val="21"/>
          <w:highlight w:val="none"/>
        </w:rPr>
        <w:t>这一经济行为提供价值参考。</w:t>
      </w:r>
    </w:p>
    <w:p w14:paraId="0048931C">
      <w:pPr>
        <w:keepNext w:val="0"/>
        <w:keepLines w:val="0"/>
        <w:pageBreakBefore w:val="0"/>
        <w:widowControl w:val="0"/>
        <w:kinsoku/>
        <w:wordWrap/>
        <w:overflowPunct/>
        <w:topLinePunct w:val="0"/>
        <w:autoSpaceDE/>
        <w:autoSpaceDN/>
        <w:bidi w:val="0"/>
        <w:adjustRightInd/>
        <w:snapToGrid/>
        <w:spacing w:line="356" w:lineRule="auto"/>
        <w:ind w:firstLine="570"/>
        <w:textAlignment w:val="auto"/>
        <w:rPr>
          <w:rFonts w:hint="eastAsia" w:eastAsia="宋体"/>
          <w:spacing w:val="20"/>
          <w:szCs w:val="21"/>
          <w:highlight w:val="none"/>
          <w:lang w:eastAsia="zh-CN"/>
        </w:rPr>
      </w:pPr>
      <w:r>
        <w:rPr>
          <w:spacing w:val="20"/>
          <w:szCs w:val="21"/>
          <w:highlight w:val="none"/>
        </w:rPr>
        <w:t>评估对象和范围：</w:t>
      </w:r>
      <w:r>
        <w:rPr>
          <w:rFonts w:hint="eastAsia"/>
          <w:spacing w:val="20"/>
          <w:szCs w:val="21"/>
          <w:highlight w:val="none"/>
          <w:lang w:val="en-US" w:eastAsia="zh-CN"/>
        </w:rPr>
        <w:t>评估对象为泰顺县康养服务用房20年租赁权价值。评估范围为坐落于罗阳镇、司前镇、筱村镇等17个乡镇120处的康养服务用房，共计建筑面积99390.03㎡，详见《泰顺县康养服务用房20年租赁权价值评估申报明细表》</w:t>
      </w:r>
      <w:r>
        <w:rPr>
          <w:rFonts w:hint="eastAsia"/>
          <w:spacing w:val="20"/>
          <w:szCs w:val="21"/>
          <w:highlight w:val="none"/>
          <w:lang w:eastAsia="zh-CN"/>
        </w:rPr>
        <w:t>。</w:t>
      </w:r>
    </w:p>
    <w:p w14:paraId="23AB8955">
      <w:pPr>
        <w:keepNext w:val="0"/>
        <w:keepLines w:val="0"/>
        <w:pageBreakBefore w:val="0"/>
        <w:widowControl w:val="0"/>
        <w:kinsoku/>
        <w:wordWrap/>
        <w:overflowPunct/>
        <w:topLinePunct w:val="0"/>
        <w:autoSpaceDE/>
        <w:autoSpaceDN/>
        <w:bidi w:val="0"/>
        <w:adjustRightInd/>
        <w:snapToGrid/>
        <w:spacing w:line="356" w:lineRule="auto"/>
        <w:ind w:firstLine="570"/>
        <w:textAlignment w:val="auto"/>
        <w:rPr>
          <w:spacing w:val="20"/>
          <w:szCs w:val="21"/>
          <w:highlight w:val="none"/>
        </w:rPr>
      </w:pPr>
      <w:r>
        <w:rPr>
          <w:spacing w:val="20"/>
          <w:szCs w:val="21"/>
          <w:highlight w:val="none"/>
        </w:rPr>
        <w:t>价值类型：市场价值。</w:t>
      </w:r>
    </w:p>
    <w:p w14:paraId="2B9D607A">
      <w:pPr>
        <w:keepNext w:val="0"/>
        <w:keepLines w:val="0"/>
        <w:pageBreakBefore w:val="0"/>
        <w:widowControl w:val="0"/>
        <w:kinsoku/>
        <w:wordWrap/>
        <w:overflowPunct/>
        <w:topLinePunct w:val="0"/>
        <w:autoSpaceDE/>
        <w:autoSpaceDN/>
        <w:bidi w:val="0"/>
        <w:adjustRightInd/>
        <w:snapToGrid/>
        <w:spacing w:line="356" w:lineRule="auto"/>
        <w:ind w:firstLine="570"/>
        <w:textAlignment w:val="auto"/>
        <w:rPr>
          <w:spacing w:val="20"/>
          <w:szCs w:val="21"/>
          <w:highlight w:val="none"/>
        </w:rPr>
      </w:pPr>
      <w:r>
        <w:rPr>
          <w:spacing w:val="20"/>
          <w:szCs w:val="21"/>
          <w:highlight w:val="none"/>
        </w:rPr>
        <w:t>评估基准日：</w:t>
      </w:r>
      <w:r>
        <w:rPr>
          <w:rFonts w:hint="eastAsia"/>
          <w:spacing w:val="20"/>
          <w:szCs w:val="21"/>
          <w:highlight w:val="none"/>
          <w:lang w:eastAsia="zh-CN"/>
        </w:rPr>
        <w:t>2025年9月5日</w:t>
      </w:r>
      <w:r>
        <w:rPr>
          <w:spacing w:val="20"/>
          <w:szCs w:val="21"/>
          <w:highlight w:val="none"/>
        </w:rPr>
        <w:t>。</w:t>
      </w:r>
    </w:p>
    <w:p w14:paraId="2CE27F36">
      <w:pPr>
        <w:keepNext w:val="0"/>
        <w:keepLines w:val="0"/>
        <w:pageBreakBefore w:val="0"/>
        <w:widowControl w:val="0"/>
        <w:kinsoku/>
        <w:wordWrap/>
        <w:overflowPunct/>
        <w:topLinePunct w:val="0"/>
        <w:autoSpaceDE/>
        <w:autoSpaceDN/>
        <w:bidi w:val="0"/>
        <w:adjustRightInd/>
        <w:snapToGrid/>
        <w:spacing w:line="356" w:lineRule="auto"/>
        <w:ind w:firstLine="570"/>
        <w:textAlignment w:val="auto"/>
        <w:rPr>
          <w:spacing w:val="20"/>
          <w:szCs w:val="21"/>
          <w:highlight w:val="none"/>
        </w:rPr>
      </w:pPr>
      <w:r>
        <w:rPr>
          <w:spacing w:val="20"/>
          <w:szCs w:val="21"/>
          <w:highlight w:val="none"/>
        </w:rPr>
        <w:t>评估方法：</w:t>
      </w:r>
      <w:r>
        <w:rPr>
          <w:rFonts w:hint="eastAsia"/>
          <w:spacing w:val="20"/>
          <w:szCs w:val="21"/>
          <w:highlight w:val="none"/>
          <w:lang w:val="en-US" w:eastAsia="zh-CN"/>
        </w:rPr>
        <w:t>市场法</w:t>
      </w:r>
      <w:r>
        <w:rPr>
          <w:rFonts w:hint="eastAsia"/>
          <w:spacing w:val="20"/>
          <w:szCs w:val="21"/>
          <w:highlight w:val="none"/>
        </w:rPr>
        <w:t>。</w:t>
      </w:r>
    </w:p>
    <w:p w14:paraId="15365C97">
      <w:pPr>
        <w:keepNext w:val="0"/>
        <w:keepLines w:val="0"/>
        <w:pageBreakBefore w:val="0"/>
        <w:widowControl w:val="0"/>
        <w:kinsoku/>
        <w:wordWrap/>
        <w:overflowPunct/>
        <w:topLinePunct w:val="0"/>
        <w:autoSpaceDE/>
        <w:autoSpaceDN/>
        <w:bidi w:val="0"/>
        <w:adjustRightInd/>
        <w:snapToGrid/>
        <w:spacing w:line="356" w:lineRule="auto"/>
        <w:ind w:firstLine="570"/>
        <w:textAlignment w:val="auto"/>
        <w:rPr>
          <w:spacing w:val="20"/>
          <w:szCs w:val="21"/>
          <w:highlight w:val="none"/>
        </w:rPr>
      </w:pPr>
      <w:r>
        <w:rPr>
          <w:spacing w:val="20"/>
          <w:szCs w:val="21"/>
          <w:highlight w:val="none"/>
        </w:rPr>
        <w:t>评估结论及其使用有效期：</w:t>
      </w:r>
    </w:p>
    <w:p w14:paraId="074C14D9">
      <w:pPr>
        <w:keepNext w:val="0"/>
        <w:keepLines w:val="0"/>
        <w:pageBreakBefore w:val="0"/>
        <w:widowControl w:val="0"/>
        <w:kinsoku/>
        <w:wordWrap/>
        <w:overflowPunct/>
        <w:topLinePunct w:val="0"/>
        <w:autoSpaceDE/>
        <w:autoSpaceDN/>
        <w:bidi w:val="0"/>
        <w:adjustRightInd/>
        <w:snapToGrid/>
        <w:spacing w:line="356" w:lineRule="auto"/>
        <w:ind w:firstLine="500" w:firstLineChars="200"/>
        <w:textAlignment w:val="auto"/>
        <w:rPr>
          <w:spacing w:val="20"/>
          <w:szCs w:val="21"/>
          <w:highlight w:val="none"/>
        </w:rPr>
      </w:pPr>
      <w:r>
        <w:rPr>
          <w:rFonts w:hint="eastAsia"/>
          <w:color w:val="auto"/>
          <w:spacing w:val="20"/>
          <w:szCs w:val="21"/>
          <w:highlight w:val="none"/>
          <w:lang w:val="en-US" w:eastAsia="zh-CN"/>
        </w:rPr>
        <w:t>泰顺县民政局委托评估的坐落于罗阳镇、司前镇、筱村镇等17个乡镇的120处康养服务用房20年租赁权于评估基准日评估价值为</w:t>
      </w:r>
      <w:r>
        <w:rPr>
          <w:rFonts w:hint="eastAsia"/>
          <w:b/>
          <w:bCs/>
          <w:color w:val="auto"/>
          <w:spacing w:val="20"/>
          <w:szCs w:val="21"/>
          <w:highlight w:val="none"/>
          <w:lang w:val="en-US" w:eastAsia="zh-CN"/>
        </w:rPr>
        <w:t>叁亿捌仟壹佰玖拾贰万叁仟陆佰元整（¥381,923,600元）</w:t>
      </w:r>
      <w:r>
        <w:rPr>
          <w:rFonts w:hint="eastAsia"/>
          <w:color w:val="auto"/>
          <w:spacing w:val="20"/>
          <w:szCs w:val="21"/>
          <w:highlight w:val="none"/>
          <w:lang w:val="en-US" w:eastAsia="zh-CN"/>
        </w:rPr>
        <w:t>，详见《泰顺县康养服务用房20年租赁权价值评估明细表》。</w:t>
      </w:r>
    </w:p>
    <w:p w14:paraId="2C4022C2">
      <w:pPr>
        <w:keepNext w:val="0"/>
        <w:keepLines w:val="0"/>
        <w:pageBreakBefore w:val="0"/>
        <w:widowControl w:val="0"/>
        <w:kinsoku/>
        <w:wordWrap/>
        <w:overflowPunct/>
        <w:topLinePunct w:val="0"/>
        <w:autoSpaceDE/>
        <w:autoSpaceDN/>
        <w:bidi w:val="0"/>
        <w:adjustRightInd/>
        <w:snapToGrid/>
        <w:spacing w:line="356" w:lineRule="auto"/>
        <w:ind w:firstLine="500" w:firstLineChars="200"/>
        <w:textAlignment w:val="auto"/>
        <w:rPr>
          <w:spacing w:val="20"/>
          <w:szCs w:val="21"/>
          <w:highlight w:val="none"/>
        </w:rPr>
      </w:pPr>
      <w:r>
        <w:rPr>
          <w:spacing w:val="20"/>
          <w:szCs w:val="21"/>
          <w:highlight w:val="none"/>
        </w:rPr>
        <w:t>本报告及其结论仅用于本报告设定的评估目的，而不能用于其他目的。</w:t>
      </w:r>
    </w:p>
    <w:p w14:paraId="1886C3E8">
      <w:pPr>
        <w:keepNext w:val="0"/>
        <w:keepLines w:val="0"/>
        <w:pageBreakBefore w:val="0"/>
        <w:widowControl w:val="0"/>
        <w:kinsoku/>
        <w:wordWrap/>
        <w:overflowPunct/>
        <w:topLinePunct w:val="0"/>
        <w:autoSpaceDE/>
        <w:autoSpaceDN/>
        <w:bidi w:val="0"/>
        <w:adjustRightInd/>
        <w:snapToGrid/>
        <w:spacing w:line="356" w:lineRule="auto"/>
        <w:ind w:firstLine="500" w:firstLineChars="200"/>
        <w:textAlignment w:val="auto"/>
        <w:rPr>
          <w:spacing w:val="20"/>
          <w:szCs w:val="21"/>
          <w:highlight w:val="none"/>
        </w:rPr>
      </w:pPr>
      <w:r>
        <w:rPr>
          <w:spacing w:val="20"/>
          <w:szCs w:val="21"/>
          <w:highlight w:val="none"/>
        </w:rPr>
        <w:t>根据国家的有关规定，本评估结论使用的有效期限为1年，自</w:t>
      </w:r>
      <w:r>
        <w:rPr>
          <w:rFonts w:hint="eastAsia"/>
          <w:spacing w:val="20"/>
          <w:szCs w:val="21"/>
          <w:highlight w:val="none"/>
        </w:rPr>
        <w:t>评估基准日</w:t>
      </w:r>
      <w:r>
        <w:rPr>
          <w:rFonts w:hint="eastAsia"/>
          <w:spacing w:val="20"/>
          <w:szCs w:val="21"/>
          <w:highlight w:val="none"/>
          <w:lang w:eastAsia="zh-CN"/>
        </w:rPr>
        <w:t>2025年9月5日</w:t>
      </w:r>
      <w:r>
        <w:rPr>
          <w:spacing w:val="20"/>
          <w:szCs w:val="21"/>
          <w:highlight w:val="none"/>
        </w:rPr>
        <w:t>起</w:t>
      </w:r>
      <w:r>
        <w:rPr>
          <w:rFonts w:hint="eastAsia"/>
          <w:spacing w:val="20"/>
          <w:szCs w:val="21"/>
          <w:highlight w:val="none"/>
          <w:lang w:val="en-US" w:eastAsia="zh-CN"/>
        </w:rPr>
        <w:t>有效</w:t>
      </w:r>
      <w:r>
        <w:rPr>
          <w:spacing w:val="20"/>
          <w:szCs w:val="21"/>
          <w:highlight w:val="none"/>
        </w:rPr>
        <w:t>。</w:t>
      </w:r>
      <w:r>
        <w:rPr>
          <w:rFonts w:hint="eastAsia"/>
          <w:spacing w:val="20"/>
          <w:szCs w:val="21"/>
          <w:highlight w:val="none"/>
        </w:rPr>
        <w:t>超过一年，需重新进行评估。</w:t>
      </w:r>
    </w:p>
    <w:p w14:paraId="256D4AD7">
      <w:pPr>
        <w:keepNext w:val="0"/>
        <w:keepLines w:val="0"/>
        <w:pageBreakBefore w:val="0"/>
        <w:widowControl w:val="0"/>
        <w:kinsoku/>
        <w:wordWrap/>
        <w:overflowPunct/>
        <w:topLinePunct w:val="0"/>
        <w:autoSpaceDE/>
        <w:autoSpaceDN/>
        <w:bidi w:val="0"/>
        <w:adjustRightInd/>
        <w:snapToGrid/>
        <w:spacing w:line="356" w:lineRule="auto"/>
        <w:ind w:firstLine="500" w:firstLineChars="200"/>
        <w:textAlignment w:val="auto"/>
        <w:rPr>
          <w:spacing w:val="20"/>
          <w:szCs w:val="21"/>
          <w:highlight w:val="none"/>
        </w:rPr>
      </w:pPr>
      <w:r>
        <w:rPr>
          <w:rFonts w:hint="eastAsia"/>
          <w:spacing w:val="20"/>
          <w:szCs w:val="21"/>
          <w:highlight w:val="none"/>
        </w:rPr>
        <w:t>以</w:t>
      </w:r>
      <w:r>
        <w:rPr>
          <w:spacing w:val="20"/>
          <w:szCs w:val="21"/>
          <w:highlight w:val="none"/>
        </w:rPr>
        <w:t>上报告使用者在使用本报告的评估结论时，请注意本报告正文中第十一项“特别事项说明”对评估结论的影响；并关注评估结论成立的评估假设及前提条件。</w:t>
      </w:r>
    </w:p>
    <w:p w14:paraId="74BDC3F6">
      <w:pPr>
        <w:spacing w:line="360" w:lineRule="auto"/>
        <w:ind w:firstLine="500" w:firstLineChars="200"/>
        <w:rPr>
          <w:rFonts w:hint="eastAsia" w:eastAsia="黑体"/>
          <w:spacing w:val="20"/>
          <w:szCs w:val="21"/>
          <w:highlight w:val="none"/>
        </w:rPr>
      </w:pPr>
      <w:r>
        <w:rPr>
          <w:spacing w:val="20"/>
          <w:szCs w:val="21"/>
          <w:highlight w:val="none"/>
        </w:rPr>
        <mc:AlternateContent>
          <mc:Choice Requires="wps">
            <w:drawing>
              <wp:anchor distT="0" distB="0" distL="114300" distR="114300" simplePos="0" relativeHeight="251659264" behindDoc="0" locked="0" layoutInCell="1" allowOverlap="1">
                <wp:simplePos x="0" y="0"/>
                <wp:positionH relativeFrom="column">
                  <wp:posOffset>200025</wp:posOffset>
                </wp:positionH>
                <wp:positionV relativeFrom="paragraph">
                  <wp:posOffset>32385</wp:posOffset>
                </wp:positionV>
                <wp:extent cx="5201920" cy="716280"/>
                <wp:effectExtent l="6350" t="6350" r="11430" b="10795"/>
                <wp:wrapNone/>
                <wp:docPr id="1"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201920" cy="716280"/>
                        </a:xfrm>
                        <a:prstGeom prst="roundRect">
                          <a:avLst>
                            <a:gd name="adj" fmla="val 16667"/>
                          </a:avLst>
                        </a:prstGeom>
                        <a:solidFill>
                          <a:srgbClr val="FFFFFF">
                            <a:alpha val="37999"/>
                          </a:srgbClr>
                        </a:solidFill>
                        <a:ln w="12700" cap="flat" cmpd="sng">
                          <a:solidFill>
                            <a:srgbClr val="000000"/>
                          </a:solidFill>
                          <a:prstDash val="dash"/>
                          <a:headEnd type="none" w="med" len="med"/>
                          <a:tailEnd type="none" w="med" len="med"/>
                        </a:ln>
                      </wps:spPr>
                      <wps:txbx>
                        <w:txbxContent>
                          <w:p w14:paraId="040B07B3">
                            <w:pPr>
                              <w:snapToGrid w:val="0"/>
                              <w:ind w:firstLine="490" w:firstLineChars="196"/>
                              <w:rPr>
                                <w:color w:val="000000"/>
                                <w:spacing w:val="20"/>
                                <w:szCs w:val="21"/>
                                <w:highlight w:val="none"/>
                              </w:rPr>
                            </w:pPr>
                            <w:r>
                              <w:rPr>
                                <w:color w:val="000000"/>
                                <w:spacing w:val="20"/>
                                <w:szCs w:val="21"/>
                              </w:rPr>
                              <w:t>特别提示：以上内</w:t>
                            </w:r>
                            <w:r>
                              <w:rPr>
                                <w:color w:val="000000"/>
                                <w:spacing w:val="20"/>
                                <w:szCs w:val="21"/>
                                <w:highlight w:val="none"/>
                              </w:rPr>
                              <w:t>容摘自(</w:t>
                            </w:r>
                            <w:r>
                              <w:rPr>
                                <w:rFonts w:hint="eastAsia"/>
                                <w:color w:val="000000"/>
                                <w:spacing w:val="20"/>
                                <w:szCs w:val="21"/>
                                <w:highlight w:val="none"/>
                                <w:lang w:val="en-US" w:eastAsia="zh-CN"/>
                              </w:rPr>
                              <w:t>温</w:t>
                            </w:r>
                            <w:r>
                              <w:rPr>
                                <w:rFonts w:hint="eastAsia"/>
                                <w:color w:val="000000"/>
                                <w:spacing w:val="20"/>
                                <w:szCs w:val="21"/>
                                <w:highlight w:val="none"/>
                                <w:lang w:eastAsia="zh-CN"/>
                              </w:rPr>
                              <w:t>宏正资评字[2025]</w:t>
                            </w:r>
                            <w:r>
                              <w:rPr>
                                <w:rFonts w:hint="eastAsia"/>
                                <w:color w:val="000000"/>
                                <w:spacing w:val="20"/>
                                <w:szCs w:val="21"/>
                                <w:highlight w:val="none"/>
                                <w:lang w:val="en-US" w:eastAsia="zh-CN"/>
                              </w:rPr>
                              <w:t>19</w:t>
                            </w:r>
                            <w:r>
                              <w:rPr>
                                <w:rFonts w:hint="eastAsia"/>
                                <w:color w:val="000000"/>
                                <w:spacing w:val="20"/>
                                <w:szCs w:val="21"/>
                                <w:highlight w:val="none"/>
                                <w:lang w:eastAsia="zh-CN"/>
                              </w:rPr>
                              <w:t>号</w:t>
                            </w:r>
                            <w:r>
                              <w:rPr>
                                <w:color w:val="000000"/>
                                <w:spacing w:val="20"/>
                                <w:szCs w:val="21"/>
                                <w:highlight w:val="none"/>
                              </w:rPr>
                              <w:t>)评估报告正文，欲了解本评估项目的详细情况和合理理解评估结论，应认真阅读评估报告全文</w:t>
                            </w:r>
                            <w:r>
                              <w:rPr>
                                <w:rFonts w:hint="eastAsia"/>
                                <w:color w:val="000000"/>
                                <w:spacing w:val="20"/>
                                <w:szCs w:val="21"/>
                                <w:highlight w:val="none"/>
                                <w:lang w:eastAsia="zh-CN"/>
                              </w:rPr>
                              <w:t>，</w:t>
                            </w:r>
                            <w:r>
                              <w:rPr>
                                <w:color w:val="000000"/>
                                <w:spacing w:val="20"/>
                                <w:szCs w:val="21"/>
                                <w:highlight w:val="none"/>
                              </w:rPr>
                              <w:t>本摘要不得单独使用。</w:t>
                            </w:r>
                          </w:p>
                          <w:p w14:paraId="07DDC748">
                            <w:pPr>
                              <w:snapToGrid w:val="0"/>
                              <w:ind w:firstLine="411" w:firstLineChars="196"/>
                              <w:rPr>
                                <w:color w:val="000000"/>
                              </w:rPr>
                            </w:pPr>
                          </w:p>
                        </w:txbxContent>
                      </wps:txbx>
                      <wps:bodyPr wrap="square" upright="1"/>
                    </wps:wsp>
                  </a:graphicData>
                </a:graphic>
              </wp:anchor>
            </w:drawing>
          </mc:Choice>
          <mc:Fallback>
            <w:pict>
              <v:roundrect id="AutoShape 30" o:spid="_x0000_s1026" o:spt="2" style="position:absolute;left:0pt;margin-left:15.75pt;margin-top:2.55pt;height:56.4pt;width:409.6pt;z-index:251659264;mso-width-relative:page;mso-height-relative:page;" fillcolor="#FFFFFF" filled="t" stroked="t" coordsize="21600,21600" arcsize="0.166666666666667" o:gfxdata="UEsDBAoAAAAAAIdO4kAAAAAAAAAAAAAAAAAEAAAAZHJzL1BLAwQUAAAACACHTuJAi9ZbYdQAAAAI&#10;AQAADwAAAGRycy9kb3ducmV2LnhtbE2PwU7DMBBE70j8g7VIXBB1nCq0hDiVAHGnAYmrGy9xhL2O&#10;YrcNf89yguNqnmbeNrsleHHCOY2RNKhVAQKpj3akQcP728vtFkTKhqzxkVDDNybYtZcXjaltPNMe&#10;T10eBJdQqo0Gl/NUS5l6h8GkVZyQOPuMczCZz3mQdjZnLg9elkVxJ4MZiRecmfDJYf/VHYOGZfHl&#10;zd65x9fhY+yqZ+/LtFZaX1+p4gFExiX/wfCrz+rQstMhHskm4TWsVcWkhkqB4HhbFRsQB+bU5h5k&#10;28j/D7Q/UEsDBBQAAAAIAIdO4kAnvMwvOwIAAK8EAAAOAAAAZHJzL2Uyb0RvYy54bWytVE2P2jAQ&#10;vVfqf7B8LwFWhSUirFZL6WXVrrrtDxhsJ3Hrr9qGwL/v2AkUthcOzcEa2zNv5r3xZPlw0IrshQ/S&#10;mopORmNKhGGWS9NU9Mf3zYd7SkIEw0FZIyp6FIE+rN6/W3auFFPbWsWFJwhiQtm5irYxurIoAmuF&#10;hjCyThi8rK3XEHHrm4J76BBdq2I6Hs+KznruvGUiBDxd95d0QPS3ANq6lkysLdtpYWKP6oWCiJRC&#10;K12gq1xtXQsWv9Z1EJGoiiLTmFdMgvY2rcVqCWXjwbWSDSXALSW84aRBGkx6hlpDBLLz8h8oLZm3&#10;wdZxxKwueiJZEWQxGb/R5rUFJzIXlDq4s+jh/8GyL/sXTyTHl0CJAY0Nf9xFmzOTu6xP50KJbq/u&#10;xSeGwT1b9isQY59aMI14DA5VTvGoZXHlnDZhCDvUXqdwpEwOWf/jWX9xiITh4UfUYDHF1jC8m09m&#10;0/tcQAHlKdr5ED8Lq0kyKurtzvBvmD5rD/vnEHMT+EAF+E9Kaq2wpXtQZDKbzea5TCgHZ8Q+YWZy&#10;Vkm+kUrljW+2T8oTDK3oJn99HuVa6E/v5ovFYkAMvTuKgCJd4ihDOtRnOh8naoAzU+NbRVM71D2Y&#10;JqNehQxYfZJx/k5ZLpFT6WsIbe/H0UpeULYC+CfDSTw6bKjBOaapBC04JUrg2Ccre0aQ6hZP5KTM&#10;0N++pam58bA9IEwyt5Yf8SV1OErI6fcOPObcOS+b9upx4DvOCg0zlwblcp9T/P3PrP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9ZbYdQAAAAIAQAADwAAAAAAAAABACAAAAAiAAAAZHJzL2Rvd25y&#10;ZXYueG1sUEsBAhQAFAAAAAgAh07iQCe8zC87AgAArwQAAA4AAAAAAAAAAQAgAAAAIwEAAGRycy9l&#10;Mm9Eb2MueG1sUEsFBgAAAAAGAAYAWQEAANAFAAAAAA==&#10;">
                <v:fill on="t" opacity="24903f" focussize="0,0"/>
                <v:stroke weight="1pt" color="#000000" joinstyle="round" dashstyle="dash"/>
                <v:imagedata o:title=""/>
                <o:lock v:ext="edit" aspectratio="t"/>
                <v:textbox>
                  <w:txbxContent>
                    <w:p w14:paraId="040B07B3">
                      <w:pPr>
                        <w:snapToGrid w:val="0"/>
                        <w:ind w:firstLine="490" w:firstLineChars="196"/>
                        <w:rPr>
                          <w:color w:val="000000"/>
                          <w:spacing w:val="20"/>
                          <w:szCs w:val="21"/>
                          <w:highlight w:val="none"/>
                        </w:rPr>
                      </w:pPr>
                      <w:r>
                        <w:rPr>
                          <w:color w:val="000000"/>
                          <w:spacing w:val="20"/>
                          <w:szCs w:val="21"/>
                        </w:rPr>
                        <w:t>特别提示：以上内</w:t>
                      </w:r>
                      <w:r>
                        <w:rPr>
                          <w:color w:val="000000"/>
                          <w:spacing w:val="20"/>
                          <w:szCs w:val="21"/>
                          <w:highlight w:val="none"/>
                        </w:rPr>
                        <w:t>容摘自(</w:t>
                      </w:r>
                      <w:r>
                        <w:rPr>
                          <w:rFonts w:hint="eastAsia"/>
                          <w:color w:val="000000"/>
                          <w:spacing w:val="20"/>
                          <w:szCs w:val="21"/>
                          <w:highlight w:val="none"/>
                          <w:lang w:val="en-US" w:eastAsia="zh-CN"/>
                        </w:rPr>
                        <w:t>温</w:t>
                      </w:r>
                      <w:r>
                        <w:rPr>
                          <w:rFonts w:hint="eastAsia"/>
                          <w:color w:val="000000"/>
                          <w:spacing w:val="20"/>
                          <w:szCs w:val="21"/>
                          <w:highlight w:val="none"/>
                          <w:lang w:eastAsia="zh-CN"/>
                        </w:rPr>
                        <w:t>宏正资评字[2025]</w:t>
                      </w:r>
                      <w:r>
                        <w:rPr>
                          <w:rFonts w:hint="eastAsia"/>
                          <w:color w:val="000000"/>
                          <w:spacing w:val="20"/>
                          <w:szCs w:val="21"/>
                          <w:highlight w:val="none"/>
                          <w:lang w:val="en-US" w:eastAsia="zh-CN"/>
                        </w:rPr>
                        <w:t>19</w:t>
                      </w:r>
                      <w:r>
                        <w:rPr>
                          <w:rFonts w:hint="eastAsia"/>
                          <w:color w:val="000000"/>
                          <w:spacing w:val="20"/>
                          <w:szCs w:val="21"/>
                          <w:highlight w:val="none"/>
                          <w:lang w:eastAsia="zh-CN"/>
                        </w:rPr>
                        <w:t>号</w:t>
                      </w:r>
                      <w:r>
                        <w:rPr>
                          <w:color w:val="000000"/>
                          <w:spacing w:val="20"/>
                          <w:szCs w:val="21"/>
                          <w:highlight w:val="none"/>
                        </w:rPr>
                        <w:t>)评估报告正文，欲了解本评估项目的详细情况和合理理解评估结论，应认真阅读评估报告全文</w:t>
                      </w:r>
                      <w:r>
                        <w:rPr>
                          <w:rFonts w:hint="eastAsia"/>
                          <w:color w:val="000000"/>
                          <w:spacing w:val="20"/>
                          <w:szCs w:val="21"/>
                          <w:highlight w:val="none"/>
                          <w:lang w:eastAsia="zh-CN"/>
                        </w:rPr>
                        <w:t>，</w:t>
                      </w:r>
                      <w:r>
                        <w:rPr>
                          <w:color w:val="000000"/>
                          <w:spacing w:val="20"/>
                          <w:szCs w:val="21"/>
                          <w:highlight w:val="none"/>
                        </w:rPr>
                        <w:t>本摘要不得单独使用。</w:t>
                      </w:r>
                    </w:p>
                    <w:p w14:paraId="07DDC748">
                      <w:pPr>
                        <w:snapToGrid w:val="0"/>
                        <w:ind w:firstLine="411" w:firstLineChars="196"/>
                        <w:rPr>
                          <w:color w:val="000000"/>
                        </w:rPr>
                      </w:pPr>
                    </w:p>
                  </w:txbxContent>
                </v:textbox>
              </v:roundrect>
            </w:pict>
          </mc:Fallback>
        </mc:AlternateContent>
      </w:r>
    </w:p>
    <w:p w14:paraId="61A1A514">
      <w:pPr>
        <w:spacing w:line="360" w:lineRule="auto"/>
        <w:rPr>
          <w:rFonts w:hint="eastAsia" w:eastAsia="黑体"/>
          <w:spacing w:val="20"/>
          <w:szCs w:val="21"/>
          <w:highlight w:val="none"/>
        </w:rPr>
      </w:pPr>
    </w:p>
    <w:p w14:paraId="56EA4CEA">
      <w:pPr>
        <w:autoSpaceDE w:val="0"/>
        <w:autoSpaceDN w:val="0"/>
        <w:adjustRightInd w:val="0"/>
        <w:spacing w:line="360" w:lineRule="auto"/>
        <w:jc w:val="center"/>
        <w:rPr>
          <w:rFonts w:hint="eastAsia" w:eastAsia="黑体"/>
          <w:kern w:val="0"/>
          <w:sz w:val="30"/>
          <w:szCs w:val="30"/>
          <w:highlight w:val="none"/>
          <w:lang w:eastAsia="zh-CN"/>
        </w:rPr>
      </w:pPr>
      <w:r>
        <w:rPr>
          <w:rFonts w:eastAsia="仿宋_GB2312"/>
          <w:spacing w:val="20"/>
          <w:szCs w:val="21"/>
          <w:highlight w:val="none"/>
        </w:rPr>
        <w:br w:type="page"/>
      </w:r>
      <w:r>
        <w:rPr>
          <w:rFonts w:hint="eastAsia" w:eastAsia="黑体"/>
          <w:kern w:val="0"/>
          <w:sz w:val="30"/>
          <w:szCs w:val="30"/>
          <w:highlight w:val="none"/>
          <w:lang w:eastAsia="zh-CN"/>
        </w:rPr>
        <w:t>泰顺县民政局拟出租房产所涉及的泰顺县120处康养服务用房</w:t>
      </w:r>
    </w:p>
    <w:p w14:paraId="1C340563">
      <w:pPr>
        <w:autoSpaceDE w:val="0"/>
        <w:autoSpaceDN w:val="0"/>
        <w:adjustRightInd w:val="0"/>
        <w:spacing w:line="360" w:lineRule="auto"/>
        <w:jc w:val="center"/>
        <w:rPr>
          <w:rFonts w:eastAsia="黑体"/>
          <w:kern w:val="0"/>
          <w:sz w:val="30"/>
          <w:szCs w:val="30"/>
          <w:highlight w:val="none"/>
        </w:rPr>
      </w:pPr>
      <w:r>
        <w:rPr>
          <w:rFonts w:hint="eastAsia" w:eastAsia="黑体"/>
          <w:kern w:val="0"/>
          <w:sz w:val="30"/>
          <w:szCs w:val="30"/>
          <w:highlight w:val="none"/>
          <w:lang w:eastAsia="zh-CN"/>
        </w:rPr>
        <w:t>20年租赁权价值资产评估报告</w:t>
      </w:r>
    </w:p>
    <w:p w14:paraId="068F506D">
      <w:pPr>
        <w:widowControl/>
        <w:tabs>
          <w:tab w:val="left" w:pos="8306"/>
        </w:tabs>
        <w:spacing w:line="360" w:lineRule="auto"/>
        <w:jc w:val="center"/>
        <w:rPr>
          <w:rFonts w:hint="eastAsia" w:eastAsia="黑体"/>
          <w:spacing w:val="6"/>
          <w:sz w:val="28"/>
          <w:szCs w:val="20"/>
          <w:highlight w:val="none"/>
          <w:lang w:eastAsia="zh-CN"/>
        </w:rPr>
      </w:pPr>
      <w:r>
        <w:rPr>
          <w:rFonts w:hint="eastAsia" w:ascii="黑体" w:eastAsia="黑体"/>
          <w:spacing w:val="6"/>
          <w:szCs w:val="21"/>
          <w:highlight w:val="none"/>
          <w:lang w:val="en-US" w:eastAsia="zh-CN"/>
        </w:rPr>
        <w:t>温</w:t>
      </w:r>
      <w:r>
        <w:rPr>
          <w:rFonts w:hint="eastAsia" w:ascii="黑体" w:eastAsia="黑体"/>
          <w:spacing w:val="6"/>
          <w:szCs w:val="21"/>
          <w:highlight w:val="none"/>
          <w:lang w:eastAsia="zh-CN"/>
        </w:rPr>
        <w:t>宏正资评字[2025]</w:t>
      </w:r>
      <w:r>
        <w:rPr>
          <w:rFonts w:hint="eastAsia" w:ascii="黑体" w:eastAsia="黑体"/>
          <w:spacing w:val="6"/>
          <w:szCs w:val="21"/>
          <w:highlight w:val="none"/>
          <w:lang w:val="en-US" w:eastAsia="zh-CN"/>
        </w:rPr>
        <w:t>19</w:t>
      </w:r>
      <w:r>
        <w:rPr>
          <w:rFonts w:hint="eastAsia" w:ascii="黑体" w:eastAsia="黑体"/>
          <w:spacing w:val="6"/>
          <w:szCs w:val="21"/>
          <w:highlight w:val="none"/>
          <w:lang w:eastAsia="zh-CN"/>
        </w:rPr>
        <w:t>号</w:t>
      </w:r>
    </w:p>
    <w:p w14:paraId="55748B8D">
      <w:pPr>
        <w:rPr>
          <w:rFonts w:eastAsia="黑体"/>
          <w:sz w:val="24"/>
          <w:szCs w:val="28"/>
          <w:highlight w:val="none"/>
        </w:rPr>
      </w:pPr>
      <w:r>
        <w:rPr>
          <w:rFonts w:hint="eastAsia" w:eastAsia="黑体"/>
          <w:sz w:val="24"/>
          <w:szCs w:val="28"/>
          <w:highlight w:val="none"/>
          <w:lang w:eastAsia="zh-CN"/>
        </w:rPr>
        <w:t>泰顺县民政局</w:t>
      </w:r>
      <w:r>
        <w:rPr>
          <w:rFonts w:eastAsia="黑体"/>
          <w:sz w:val="24"/>
          <w:szCs w:val="28"/>
          <w:highlight w:val="none"/>
        </w:rPr>
        <w:t>：</w:t>
      </w:r>
    </w:p>
    <w:p w14:paraId="7C514276">
      <w:pPr>
        <w:pStyle w:val="29"/>
        <w:spacing w:before="0" w:beforeAutospacing="0" w:after="0" w:afterAutospacing="0" w:line="360" w:lineRule="auto"/>
        <w:ind w:right="-6" w:rightChars="-3" w:firstLine="550" w:firstLineChars="220"/>
        <w:jc w:val="both"/>
        <w:rPr>
          <w:rFonts w:ascii="Times New Roman" w:hAnsi="Times New Roman"/>
          <w:spacing w:val="20"/>
          <w:sz w:val="21"/>
          <w:szCs w:val="21"/>
          <w:highlight w:val="none"/>
        </w:rPr>
      </w:pPr>
      <w:r>
        <w:rPr>
          <w:rFonts w:hint="eastAsia" w:ascii="Times New Roman" w:hAnsi="Times New Roman"/>
          <w:spacing w:val="20"/>
          <w:sz w:val="21"/>
          <w:szCs w:val="21"/>
          <w:highlight w:val="none"/>
          <w:lang w:eastAsia="zh-CN"/>
        </w:rPr>
        <w:t>温州宏正房地产评估测绘有限公司</w:t>
      </w:r>
      <w:r>
        <w:rPr>
          <w:rFonts w:hint="eastAsia" w:ascii="Times New Roman" w:hAnsi="Times New Roman"/>
          <w:spacing w:val="20"/>
          <w:sz w:val="21"/>
          <w:szCs w:val="21"/>
          <w:highlight w:val="none"/>
        </w:rPr>
        <w:t>接受</w:t>
      </w:r>
      <w:r>
        <w:rPr>
          <w:rFonts w:hint="eastAsia" w:ascii="Times New Roman" w:hAnsi="Times New Roman"/>
          <w:spacing w:val="20"/>
          <w:sz w:val="21"/>
          <w:szCs w:val="21"/>
          <w:highlight w:val="none"/>
          <w:lang w:eastAsia="zh-CN"/>
        </w:rPr>
        <w:t>泰顺县民政局</w:t>
      </w:r>
      <w:r>
        <w:rPr>
          <w:rFonts w:hint="eastAsia" w:ascii="Times New Roman" w:hAnsi="Times New Roman"/>
          <w:spacing w:val="20"/>
          <w:sz w:val="21"/>
          <w:szCs w:val="21"/>
          <w:highlight w:val="none"/>
        </w:rPr>
        <w:t>的委托，根据《中华人民共和国资产评估法》等有关法律法规和资产评估准则的规定，坚持独立、客观、公正的原则，采用</w:t>
      </w:r>
      <w:r>
        <w:rPr>
          <w:rFonts w:hint="eastAsia" w:ascii="Times New Roman" w:hAnsi="Times New Roman"/>
          <w:spacing w:val="20"/>
          <w:sz w:val="21"/>
          <w:szCs w:val="21"/>
          <w:highlight w:val="none"/>
          <w:lang w:val="en-US" w:eastAsia="zh-CN"/>
        </w:rPr>
        <w:t>市场法</w:t>
      </w:r>
      <w:r>
        <w:rPr>
          <w:rFonts w:hint="eastAsia" w:ascii="Times New Roman" w:hAnsi="Times New Roman"/>
          <w:spacing w:val="20"/>
          <w:sz w:val="21"/>
          <w:szCs w:val="21"/>
          <w:highlight w:val="none"/>
        </w:rPr>
        <w:t>，按照必要的评估程序，对泰顺县民政局拟出租所涉及的泰顺县</w:t>
      </w:r>
      <w:r>
        <w:rPr>
          <w:rFonts w:hint="eastAsia" w:ascii="Times New Roman" w:hAnsi="Times New Roman"/>
          <w:spacing w:val="20"/>
          <w:sz w:val="21"/>
          <w:szCs w:val="21"/>
          <w:highlight w:val="none"/>
          <w:lang w:eastAsia="zh-CN"/>
        </w:rPr>
        <w:t>120处</w:t>
      </w:r>
      <w:r>
        <w:rPr>
          <w:rFonts w:hint="eastAsia" w:ascii="Times New Roman" w:hAnsi="Times New Roman"/>
          <w:spacing w:val="20"/>
          <w:sz w:val="21"/>
          <w:szCs w:val="21"/>
          <w:highlight w:val="none"/>
        </w:rPr>
        <w:t>康养服务用房20年租赁权在评估基准日</w:t>
      </w:r>
      <w:r>
        <w:rPr>
          <w:rFonts w:hint="eastAsia" w:ascii="Times New Roman" w:hAnsi="Times New Roman"/>
          <w:spacing w:val="20"/>
          <w:sz w:val="21"/>
          <w:szCs w:val="21"/>
          <w:highlight w:val="none"/>
          <w:lang w:eastAsia="zh-CN"/>
        </w:rPr>
        <w:t>2025年9月5</w:t>
      </w:r>
      <w:r>
        <w:rPr>
          <w:rFonts w:hint="eastAsia" w:ascii="Times New Roman" w:hAnsi="Times New Roman"/>
          <w:spacing w:val="20"/>
          <w:sz w:val="21"/>
          <w:szCs w:val="21"/>
          <w:highlight w:val="none"/>
        </w:rPr>
        <w:t>日的市场价值进行评估</w:t>
      </w:r>
      <w:r>
        <w:rPr>
          <w:rFonts w:ascii="Times New Roman" w:hAnsi="Times New Roman"/>
          <w:spacing w:val="20"/>
          <w:sz w:val="21"/>
          <w:szCs w:val="21"/>
          <w:highlight w:val="none"/>
        </w:rPr>
        <w:t>。现将资产评估情况及评估结果报告如下：</w:t>
      </w:r>
    </w:p>
    <w:p w14:paraId="4C6218AE">
      <w:pPr>
        <w:pStyle w:val="3"/>
        <w:numPr>
          <w:ilvl w:val="0"/>
          <w:numId w:val="5"/>
        </w:numPr>
        <w:tabs>
          <w:tab w:val="left" w:pos="1148"/>
        </w:tabs>
        <w:spacing w:line="480" w:lineRule="auto"/>
        <w:rPr>
          <w:rFonts w:hint="eastAsia" w:ascii="黑体" w:hAnsi="宋体"/>
          <w:b w:val="0"/>
          <w:spacing w:val="20"/>
          <w:sz w:val="22"/>
          <w:szCs w:val="21"/>
          <w:highlight w:val="none"/>
        </w:rPr>
      </w:pPr>
      <w:bookmarkStart w:id="6" w:name="_Toc188763172"/>
      <w:bookmarkStart w:id="7" w:name="_Toc430098846"/>
      <w:r>
        <w:rPr>
          <w:rFonts w:ascii="黑体" w:hAnsi="宋体"/>
          <w:b w:val="0"/>
          <w:spacing w:val="20"/>
          <w:sz w:val="22"/>
          <w:szCs w:val="21"/>
          <w:highlight w:val="none"/>
        </w:rPr>
        <w:t>委托方、</w:t>
      </w:r>
      <w:r>
        <w:rPr>
          <w:rFonts w:hint="eastAsia" w:ascii="黑体" w:hAnsi="宋体"/>
          <w:b w:val="0"/>
          <w:spacing w:val="20"/>
          <w:sz w:val="22"/>
          <w:szCs w:val="21"/>
          <w:highlight w:val="none"/>
        </w:rPr>
        <w:t>被评估单位</w:t>
      </w:r>
      <w:bookmarkEnd w:id="6"/>
      <w:bookmarkEnd w:id="7"/>
      <w:r>
        <w:rPr>
          <w:rFonts w:hint="eastAsia" w:ascii="黑体" w:hAnsi="宋体"/>
          <w:b w:val="0"/>
          <w:spacing w:val="20"/>
          <w:sz w:val="22"/>
          <w:szCs w:val="21"/>
          <w:highlight w:val="none"/>
          <w:lang w:eastAsia="zh-CN"/>
        </w:rPr>
        <w:t>和</w:t>
      </w:r>
      <w:r>
        <w:rPr>
          <w:rFonts w:hint="eastAsia" w:ascii="黑体" w:hAnsi="宋体"/>
          <w:b w:val="0"/>
          <w:spacing w:val="20"/>
          <w:sz w:val="22"/>
          <w:szCs w:val="21"/>
          <w:highlight w:val="none"/>
        </w:rPr>
        <w:t>资产评估委托合同约定的其他资产评估报告使用人</w:t>
      </w:r>
    </w:p>
    <w:p w14:paraId="0E2595CE">
      <w:pPr>
        <w:keepNext w:val="0"/>
        <w:keepLines w:val="0"/>
        <w:pageBreakBefore w:val="0"/>
        <w:tabs>
          <w:tab w:val="left" w:pos="1050"/>
        </w:tabs>
        <w:kinsoku/>
        <w:wordWrap/>
        <w:overflowPunct/>
        <w:topLinePunct w:val="0"/>
        <w:autoSpaceDE/>
        <w:autoSpaceDN/>
        <w:bidi w:val="0"/>
        <w:adjustRightInd/>
        <w:snapToGrid/>
        <w:spacing w:line="384" w:lineRule="auto"/>
        <w:ind w:left="-27" w:leftChars="-13" w:firstLine="500" w:firstLineChars="200"/>
        <w:textAlignment w:val="auto"/>
        <w:rPr>
          <w:spacing w:val="20"/>
          <w:szCs w:val="21"/>
          <w:highlight w:val="none"/>
        </w:rPr>
      </w:pPr>
      <w:r>
        <w:rPr>
          <w:rFonts w:hint="eastAsia"/>
          <w:spacing w:val="20"/>
          <w:szCs w:val="21"/>
          <w:highlight w:val="none"/>
        </w:rPr>
        <w:t>（一）委托方</w:t>
      </w:r>
      <w:r>
        <w:rPr>
          <w:rFonts w:hint="eastAsia"/>
          <w:spacing w:val="20"/>
          <w:szCs w:val="21"/>
          <w:highlight w:val="none"/>
          <w:lang w:eastAsia="zh-CN"/>
        </w:rPr>
        <w:t>和</w:t>
      </w:r>
      <w:r>
        <w:rPr>
          <w:rFonts w:hint="eastAsia"/>
          <w:spacing w:val="20"/>
          <w:szCs w:val="21"/>
          <w:highlight w:val="none"/>
        </w:rPr>
        <w:t>资产评估委托合同约定的其他资产评估报告使用人</w:t>
      </w:r>
    </w:p>
    <w:p w14:paraId="4C51198E">
      <w:pPr>
        <w:pStyle w:val="29"/>
        <w:keepNext w:val="0"/>
        <w:keepLines w:val="0"/>
        <w:pageBreakBefore w:val="0"/>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eastAsia" w:ascii="Times New Roman" w:hAnsi="Times New Roman" w:eastAsia="宋体" w:cs="Times New Roman"/>
          <w:spacing w:val="20"/>
          <w:kern w:val="2"/>
          <w:sz w:val="21"/>
          <w:szCs w:val="21"/>
          <w:highlight w:val="none"/>
          <w:lang w:val="en-US" w:eastAsia="zh-CN" w:bidi="ar-SA"/>
        </w:rPr>
      </w:pPr>
      <w:r>
        <w:rPr>
          <w:rFonts w:hint="eastAsia" w:ascii="Times New Roman" w:hAnsi="Times New Roman" w:eastAsia="宋体" w:cs="Times New Roman"/>
          <w:spacing w:val="20"/>
          <w:kern w:val="2"/>
          <w:sz w:val="21"/>
          <w:szCs w:val="21"/>
          <w:highlight w:val="none"/>
          <w:lang w:val="en-US" w:eastAsia="zh-CN" w:bidi="ar-SA"/>
        </w:rPr>
        <w:t>1、委托方</w:t>
      </w:r>
      <w:r>
        <w:rPr>
          <w:rFonts w:hint="eastAsia" w:ascii="Times New Roman" w:hAnsi="Times New Roman"/>
          <w:spacing w:val="20"/>
          <w:sz w:val="21"/>
          <w:szCs w:val="21"/>
          <w:highlight w:val="none"/>
          <w:lang w:val="en-US" w:eastAsia="zh-CN"/>
        </w:rPr>
        <w:t>概况</w:t>
      </w:r>
    </w:p>
    <w:p w14:paraId="7C12A8C6">
      <w:pPr>
        <w:pStyle w:val="2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eastAsia" w:ascii="Times New Roman" w:hAnsi="Times New Roman"/>
          <w:spacing w:val="20"/>
          <w:kern w:val="2"/>
          <w:sz w:val="21"/>
          <w:szCs w:val="21"/>
          <w:highlight w:val="none"/>
          <w:lang w:eastAsia="zh-CN"/>
        </w:rPr>
      </w:pPr>
      <w:r>
        <w:rPr>
          <w:rFonts w:hint="eastAsia" w:ascii="Calibri" w:hAnsi="Calibri" w:cs="Calibri"/>
          <w:spacing w:val="20"/>
          <w:kern w:val="2"/>
          <w:sz w:val="21"/>
          <w:szCs w:val="21"/>
          <w:highlight w:val="none"/>
          <w:lang w:val="en-US" w:eastAsia="zh-CN"/>
        </w:rPr>
        <w:t>机构</w:t>
      </w:r>
      <w:r>
        <w:rPr>
          <w:rFonts w:hint="eastAsia" w:ascii="Times New Roman" w:hAnsi="Times New Roman"/>
          <w:spacing w:val="20"/>
          <w:kern w:val="2"/>
          <w:sz w:val="21"/>
          <w:szCs w:val="21"/>
          <w:highlight w:val="none"/>
          <w:lang w:eastAsia="zh-CN"/>
        </w:rPr>
        <w:t>名称：泰顺县民政局</w:t>
      </w:r>
    </w:p>
    <w:p w14:paraId="3A72E5E8">
      <w:pPr>
        <w:pStyle w:val="2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default" w:ascii="Times New Roman" w:hAnsi="Times New Roman"/>
          <w:spacing w:val="20"/>
          <w:kern w:val="2"/>
          <w:sz w:val="21"/>
          <w:szCs w:val="21"/>
          <w:highlight w:val="none"/>
          <w:lang w:val="en-US" w:eastAsia="zh-CN"/>
        </w:rPr>
      </w:pPr>
      <w:r>
        <w:rPr>
          <w:rFonts w:hint="eastAsia" w:ascii="Times New Roman" w:hAnsi="Times New Roman"/>
          <w:spacing w:val="20"/>
          <w:kern w:val="2"/>
          <w:sz w:val="21"/>
          <w:szCs w:val="21"/>
          <w:highlight w:val="none"/>
          <w:lang w:val="en-US" w:eastAsia="zh-CN"/>
        </w:rPr>
        <w:t>机构性质：机关</w:t>
      </w:r>
    </w:p>
    <w:p w14:paraId="25F5C0FA">
      <w:pPr>
        <w:pStyle w:val="2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eastAsia" w:ascii="Times New Roman" w:hAnsi="Times New Roman"/>
          <w:spacing w:val="20"/>
          <w:kern w:val="2"/>
          <w:sz w:val="21"/>
          <w:szCs w:val="21"/>
          <w:highlight w:val="none"/>
          <w:lang w:eastAsia="zh-CN"/>
        </w:rPr>
      </w:pPr>
      <w:r>
        <w:rPr>
          <w:rFonts w:hint="eastAsia" w:ascii="Times New Roman" w:hAnsi="Times New Roman"/>
          <w:spacing w:val="20"/>
          <w:kern w:val="2"/>
          <w:sz w:val="21"/>
          <w:szCs w:val="21"/>
          <w:highlight w:val="none"/>
          <w:lang w:eastAsia="zh-CN"/>
        </w:rPr>
        <w:t>统一</w:t>
      </w:r>
      <w:r>
        <w:rPr>
          <w:rFonts w:hint="eastAsia" w:ascii="Times New Roman" w:hAnsi="Times New Roman"/>
          <w:spacing w:val="20"/>
          <w:kern w:val="2"/>
          <w:sz w:val="21"/>
          <w:szCs w:val="21"/>
          <w:highlight w:val="none"/>
          <w:lang w:val="en-US" w:eastAsia="zh-CN"/>
        </w:rPr>
        <w:t>社会信用</w:t>
      </w:r>
      <w:r>
        <w:rPr>
          <w:rFonts w:hint="eastAsia" w:ascii="Times New Roman" w:hAnsi="Times New Roman"/>
          <w:spacing w:val="20"/>
          <w:kern w:val="2"/>
          <w:sz w:val="21"/>
          <w:szCs w:val="21"/>
          <w:highlight w:val="none"/>
          <w:lang w:eastAsia="zh-CN"/>
        </w:rPr>
        <w:t>代码：</w:t>
      </w:r>
      <w:r>
        <w:rPr>
          <w:rFonts w:hint="eastAsia" w:ascii="Times New Roman" w:hAnsi="Times New Roman"/>
          <w:spacing w:val="20"/>
          <w:kern w:val="2"/>
          <w:sz w:val="21"/>
          <w:szCs w:val="21"/>
          <w:highlight w:val="none"/>
          <w:lang w:val="en-US" w:eastAsia="zh-CN"/>
        </w:rPr>
        <w:t>11330329002541409Y</w:t>
      </w:r>
    </w:p>
    <w:p w14:paraId="71AD364A">
      <w:pPr>
        <w:pStyle w:val="29"/>
        <w:keepNext w:val="0"/>
        <w:keepLines w:val="0"/>
        <w:pageBreakBefore w:val="0"/>
        <w:widowControl/>
        <w:numPr>
          <w:ilvl w:val="0"/>
          <w:numId w:val="6"/>
        </w:numPr>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eastAsia" w:ascii="Times New Roman" w:hAnsi="Times New Roman"/>
          <w:spacing w:val="20"/>
          <w:kern w:val="2"/>
          <w:sz w:val="21"/>
          <w:szCs w:val="21"/>
          <w:highlight w:val="none"/>
          <w:lang w:eastAsia="zh-CN"/>
        </w:rPr>
      </w:pPr>
      <w:r>
        <w:rPr>
          <w:rFonts w:hint="eastAsia" w:ascii="Times New Roman" w:hAnsi="Times New Roman"/>
          <w:spacing w:val="20"/>
          <w:kern w:val="2"/>
          <w:sz w:val="21"/>
          <w:szCs w:val="21"/>
          <w:highlight w:val="none"/>
          <w:lang w:val="en-US" w:eastAsia="zh-CN"/>
        </w:rPr>
        <w:t>机构</w:t>
      </w:r>
      <w:r>
        <w:rPr>
          <w:rFonts w:hint="eastAsia" w:ascii="Times New Roman" w:hAnsi="Times New Roman"/>
          <w:spacing w:val="20"/>
          <w:kern w:val="2"/>
          <w:sz w:val="21"/>
          <w:szCs w:val="21"/>
          <w:highlight w:val="none"/>
          <w:lang w:eastAsia="zh-CN"/>
        </w:rPr>
        <w:t>地址：浙江省温州市泰顺县罗阳镇泰景路177号</w:t>
      </w:r>
    </w:p>
    <w:p w14:paraId="4137D2B7">
      <w:pPr>
        <w:pStyle w:val="29"/>
        <w:keepNext w:val="0"/>
        <w:keepLines w:val="0"/>
        <w:pageBreakBefore w:val="0"/>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ascii="Times New Roman" w:hAnsi="Times New Roman"/>
          <w:spacing w:val="20"/>
          <w:sz w:val="21"/>
          <w:szCs w:val="21"/>
          <w:highlight w:val="none"/>
        </w:rPr>
      </w:pPr>
      <w:r>
        <w:rPr>
          <w:rFonts w:ascii="Times New Roman" w:hAnsi="Times New Roman"/>
          <w:spacing w:val="20"/>
          <w:sz w:val="21"/>
          <w:szCs w:val="21"/>
          <w:highlight w:val="none"/>
        </w:rPr>
        <w:t>2、</w:t>
      </w:r>
      <w:r>
        <w:rPr>
          <w:rFonts w:hint="eastAsia" w:ascii="Times New Roman" w:hAnsi="Times New Roman"/>
          <w:spacing w:val="20"/>
          <w:sz w:val="21"/>
          <w:szCs w:val="21"/>
          <w:highlight w:val="none"/>
        </w:rPr>
        <w:t>资产评估委托合同约定的其他资产评估报告使用人</w:t>
      </w:r>
    </w:p>
    <w:p w14:paraId="65C37F44">
      <w:pPr>
        <w:pStyle w:val="29"/>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eastAsia" w:ascii="Calibri" w:hAnsi="Calibri" w:eastAsia="宋体" w:cs="Calibri"/>
          <w:spacing w:val="20"/>
          <w:kern w:val="2"/>
          <w:sz w:val="21"/>
          <w:szCs w:val="21"/>
          <w:highlight w:val="none"/>
          <w:lang w:val="en-US" w:eastAsia="zh-CN"/>
        </w:rPr>
      </w:pPr>
      <w:r>
        <w:rPr>
          <w:rFonts w:hint="eastAsia" w:ascii="Calibri" w:hAnsi="Calibri" w:eastAsia="宋体" w:cs="Calibri"/>
          <w:spacing w:val="20"/>
          <w:kern w:val="2"/>
          <w:sz w:val="21"/>
          <w:szCs w:val="21"/>
          <w:highlight w:val="none"/>
          <w:lang w:val="en-US" w:eastAsia="zh-CN"/>
        </w:rPr>
        <w:t>资产评估委托合同中约定的其他评估报告使用人。</w:t>
      </w:r>
    </w:p>
    <w:p w14:paraId="276ABC71">
      <w:pPr>
        <w:pStyle w:val="29"/>
        <w:keepNext w:val="0"/>
        <w:keepLines w:val="0"/>
        <w:pageBreakBefore w:val="0"/>
        <w:widowControl/>
        <w:numPr>
          <w:ilvl w:val="0"/>
          <w:numId w:val="7"/>
        </w:numPr>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hint="eastAsia" w:ascii="Calibri" w:hAnsi="Calibri" w:eastAsia="宋体" w:cs="Calibri"/>
          <w:spacing w:val="20"/>
          <w:kern w:val="2"/>
          <w:sz w:val="21"/>
          <w:szCs w:val="21"/>
          <w:highlight w:val="none"/>
          <w:lang w:val="en-US" w:eastAsia="zh-CN"/>
        </w:rPr>
      </w:pPr>
      <w:r>
        <w:rPr>
          <w:rFonts w:hint="eastAsia" w:ascii="Calibri" w:hAnsi="Calibri" w:eastAsia="宋体" w:cs="Calibri"/>
          <w:spacing w:val="20"/>
          <w:kern w:val="2"/>
          <w:sz w:val="21"/>
          <w:szCs w:val="21"/>
          <w:highlight w:val="none"/>
          <w:lang w:val="en-US" w:eastAsia="zh-CN"/>
        </w:rPr>
        <w:t>法律、法规规定的与本评估目的相关的政府职能部门及相关当事人。</w:t>
      </w:r>
    </w:p>
    <w:p w14:paraId="7E7A1077">
      <w:pPr>
        <w:keepNext w:val="0"/>
        <w:keepLines w:val="0"/>
        <w:pageBreakBefore w:val="0"/>
        <w:tabs>
          <w:tab w:val="left" w:pos="1050"/>
        </w:tabs>
        <w:kinsoku/>
        <w:wordWrap/>
        <w:overflowPunct/>
        <w:topLinePunct w:val="0"/>
        <w:autoSpaceDE/>
        <w:autoSpaceDN/>
        <w:bidi w:val="0"/>
        <w:adjustRightInd/>
        <w:snapToGrid/>
        <w:spacing w:line="384" w:lineRule="auto"/>
        <w:ind w:left="0" w:leftChars="0" w:right="0" w:rightChars="0" w:firstLine="500" w:firstLineChars="200"/>
        <w:textAlignment w:val="auto"/>
        <w:rPr>
          <w:spacing w:val="20"/>
          <w:szCs w:val="21"/>
          <w:highlight w:val="none"/>
        </w:rPr>
      </w:pPr>
      <w:r>
        <w:rPr>
          <w:spacing w:val="20"/>
          <w:szCs w:val="21"/>
          <w:highlight w:val="none"/>
        </w:rPr>
        <w:t>（二）</w:t>
      </w:r>
      <w:r>
        <w:rPr>
          <w:spacing w:val="20"/>
          <w:szCs w:val="21"/>
        </w:rPr>
        <w:t>被评估单位或产权</w:t>
      </w:r>
      <w:r>
        <w:rPr>
          <w:rFonts w:hint="eastAsia"/>
          <w:spacing w:val="20"/>
          <w:sz w:val="21"/>
          <w:szCs w:val="21"/>
          <w:lang w:val="en-US" w:eastAsia="zh-CN"/>
        </w:rPr>
        <w:t>持有</w:t>
      </w:r>
      <w:r>
        <w:rPr>
          <w:spacing w:val="20"/>
          <w:szCs w:val="21"/>
        </w:rPr>
        <w:t>人</w:t>
      </w:r>
    </w:p>
    <w:p w14:paraId="3DAD1F33">
      <w:pPr>
        <w:keepNext w:val="0"/>
        <w:keepLines w:val="0"/>
        <w:pageBreakBefore w:val="0"/>
        <w:tabs>
          <w:tab w:val="left" w:pos="1050"/>
        </w:tabs>
        <w:kinsoku/>
        <w:wordWrap/>
        <w:overflowPunct/>
        <w:topLinePunct w:val="0"/>
        <w:autoSpaceDE/>
        <w:autoSpaceDN/>
        <w:bidi w:val="0"/>
        <w:adjustRightInd/>
        <w:snapToGrid/>
        <w:spacing w:line="384" w:lineRule="auto"/>
        <w:ind w:left="0" w:leftChars="0" w:right="0" w:rightChars="0" w:firstLine="500" w:firstLineChars="200"/>
        <w:textAlignment w:val="auto"/>
        <w:rPr>
          <w:rFonts w:hint="eastAsia"/>
          <w:spacing w:val="20"/>
          <w:kern w:val="0"/>
          <w:szCs w:val="21"/>
          <w:highlight w:val="none"/>
          <w:lang w:eastAsia="zh-CN"/>
        </w:rPr>
      </w:pPr>
      <w:r>
        <w:rPr>
          <w:rFonts w:hint="eastAsia"/>
          <w:spacing w:val="20"/>
          <w:kern w:val="0"/>
          <w:szCs w:val="21"/>
          <w:highlight w:val="none"/>
          <w:lang w:val="en-US" w:eastAsia="zh-CN"/>
        </w:rPr>
        <w:t>产权持有人</w:t>
      </w:r>
      <w:r>
        <w:rPr>
          <w:rFonts w:hint="eastAsia"/>
          <w:spacing w:val="20"/>
          <w:kern w:val="0"/>
          <w:szCs w:val="21"/>
          <w:highlight w:val="none"/>
          <w:lang w:eastAsia="zh-CN"/>
        </w:rPr>
        <w:t>：泰顺县民政局、泰顺县教育局、泰顺县罗阳镇人民政府等</w:t>
      </w:r>
      <w:r>
        <w:rPr>
          <w:rFonts w:hint="eastAsia"/>
          <w:spacing w:val="20"/>
          <w:kern w:val="0"/>
          <w:szCs w:val="21"/>
          <w:highlight w:val="none"/>
          <w:lang w:val="en-US" w:eastAsia="zh-CN"/>
        </w:rPr>
        <w:t>23</w:t>
      </w:r>
      <w:r>
        <w:rPr>
          <w:rFonts w:hint="eastAsia"/>
          <w:spacing w:val="20"/>
          <w:kern w:val="0"/>
          <w:szCs w:val="21"/>
          <w:highlight w:val="none"/>
          <w:lang w:eastAsia="zh-CN"/>
        </w:rPr>
        <w:t>家单位。</w:t>
      </w:r>
    </w:p>
    <w:p w14:paraId="1BC721CD">
      <w:pPr>
        <w:pStyle w:val="29"/>
        <w:keepNext w:val="0"/>
        <w:keepLines w:val="0"/>
        <w:pageBreakBefore w:val="0"/>
        <w:kinsoku/>
        <w:wordWrap/>
        <w:overflowPunct/>
        <w:topLinePunct w:val="0"/>
        <w:autoSpaceDE/>
        <w:autoSpaceDN/>
        <w:bidi w:val="0"/>
        <w:adjustRightInd/>
        <w:snapToGrid/>
        <w:spacing w:before="0" w:beforeAutospacing="0" w:after="0" w:afterAutospacing="0" w:line="384" w:lineRule="auto"/>
        <w:ind w:left="0" w:leftChars="0" w:right="0" w:rightChars="0" w:firstLine="500" w:firstLineChars="200"/>
        <w:jc w:val="both"/>
        <w:textAlignment w:val="auto"/>
        <w:rPr>
          <w:rFonts w:ascii="Times New Roman" w:hAnsi="Times New Roman"/>
          <w:spacing w:val="20"/>
          <w:sz w:val="21"/>
          <w:szCs w:val="21"/>
          <w:highlight w:val="none"/>
        </w:rPr>
      </w:pPr>
      <w:r>
        <w:rPr>
          <w:rFonts w:ascii="Times New Roman" w:hAnsi="Times New Roman"/>
          <w:spacing w:val="20"/>
          <w:sz w:val="21"/>
          <w:szCs w:val="21"/>
          <w:highlight w:val="none"/>
        </w:rPr>
        <w:t>（三）委托方与被评估</w:t>
      </w:r>
      <w:r>
        <w:rPr>
          <w:rFonts w:hint="eastAsia" w:ascii="Times New Roman" w:hAnsi="Times New Roman"/>
          <w:spacing w:val="20"/>
          <w:sz w:val="21"/>
          <w:szCs w:val="21"/>
          <w:highlight w:val="none"/>
          <w:lang w:val="en-US" w:eastAsia="zh-CN"/>
        </w:rPr>
        <w:t>单位</w:t>
      </w:r>
      <w:r>
        <w:rPr>
          <w:rFonts w:ascii="Times New Roman" w:hAnsi="Times New Roman"/>
          <w:spacing w:val="20"/>
          <w:sz w:val="21"/>
          <w:szCs w:val="21"/>
          <w:highlight w:val="none"/>
        </w:rPr>
        <w:t>关系</w:t>
      </w:r>
    </w:p>
    <w:p w14:paraId="09D514BD">
      <w:pPr>
        <w:keepNext w:val="0"/>
        <w:keepLines w:val="0"/>
        <w:pageBreakBefore w:val="0"/>
        <w:tabs>
          <w:tab w:val="left" w:pos="1050"/>
        </w:tabs>
        <w:kinsoku/>
        <w:wordWrap/>
        <w:overflowPunct/>
        <w:topLinePunct w:val="0"/>
        <w:autoSpaceDE/>
        <w:autoSpaceDN/>
        <w:bidi w:val="0"/>
        <w:adjustRightInd/>
        <w:snapToGrid/>
        <w:spacing w:line="384" w:lineRule="auto"/>
        <w:ind w:left="0" w:leftChars="0" w:right="0" w:rightChars="0" w:firstLine="500" w:firstLineChars="200"/>
        <w:textAlignment w:val="auto"/>
        <w:rPr>
          <w:rFonts w:hint="eastAsia" w:eastAsia="宋体"/>
          <w:spacing w:val="20"/>
          <w:szCs w:val="21"/>
          <w:highlight w:val="none"/>
          <w:lang w:eastAsia="zh-CN"/>
        </w:rPr>
      </w:pPr>
      <w:r>
        <w:rPr>
          <w:rFonts w:hint="eastAsia"/>
          <w:spacing w:val="20"/>
          <w:szCs w:val="21"/>
          <w:highlight w:val="none"/>
        </w:rPr>
        <w:t>委托方为</w:t>
      </w:r>
      <w:r>
        <w:rPr>
          <w:rFonts w:hint="eastAsia" w:ascii="Times New Roman" w:hAnsi="Times New Roman"/>
          <w:spacing w:val="20"/>
          <w:kern w:val="2"/>
          <w:sz w:val="21"/>
          <w:szCs w:val="21"/>
          <w:highlight w:val="none"/>
          <w:lang w:eastAsia="zh-CN"/>
        </w:rPr>
        <w:t>泰顺县民政局</w:t>
      </w:r>
      <w:r>
        <w:rPr>
          <w:rFonts w:hint="eastAsia"/>
          <w:spacing w:val="20"/>
          <w:szCs w:val="21"/>
          <w:highlight w:val="none"/>
        </w:rPr>
        <w:t>，</w:t>
      </w:r>
      <w:r>
        <w:rPr>
          <w:rFonts w:hint="eastAsia"/>
          <w:spacing w:val="20"/>
          <w:szCs w:val="21"/>
          <w:highlight w:val="none"/>
          <w:lang w:val="en-US" w:eastAsia="zh-CN"/>
        </w:rPr>
        <w:t>是本项目的实施单位</w:t>
      </w:r>
      <w:r>
        <w:rPr>
          <w:rFonts w:hint="eastAsia"/>
          <w:spacing w:val="20"/>
          <w:szCs w:val="21"/>
          <w:highlight w:val="none"/>
          <w:lang w:eastAsia="zh-CN"/>
        </w:rPr>
        <w:t>。</w:t>
      </w:r>
    </w:p>
    <w:p w14:paraId="226463DE">
      <w:pPr>
        <w:pStyle w:val="3"/>
        <w:tabs>
          <w:tab w:val="left" w:pos="1148"/>
        </w:tabs>
        <w:spacing w:line="480" w:lineRule="auto"/>
        <w:ind w:left="574"/>
        <w:rPr>
          <w:rFonts w:ascii="黑体" w:hAnsi="宋体"/>
          <w:b w:val="0"/>
          <w:spacing w:val="20"/>
          <w:sz w:val="22"/>
          <w:szCs w:val="21"/>
          <w:highlight w:val="none"/>
        </w:rPr>
      </w:pPr>
      <w:bookmarkStart w:id="8" w:name="_Toc430098847"/>
      <w:r>
        <w:rPr>
          <w:rFonts w:hint="eastAsia" w:ascii="黑体" w:hAnsi="宋体"/>
          <w:b w:val="0"/>
          <w:spacing w:val="20"/>
          <w:sz w:val="22"/>
          <w:szCs w:val="21"/>
          <w:highlight w:val="none"/>
        </w:rPr>
        <w:t>二、</w:t>
      </w:r>
      <w:r>
        <w:rPr>
          <w:rFonts w:ascii="黑体" w:hAnsi="宋体"/>
          <w:b w:val="0"/>
          <w:spacing w:val="20"/>
          <w:sz w:val="22"/>
          <w:szCs w:val="21"/>
          <w:highlight w:val="none"/>
        </w:rPr>
        <w:t>评估目的</w:t>
      </w:r>
      <w:bookmarkEnd w:id="8"/>
    </w:p>
    <w:p w14:paraId="4F43B4F5">
      <w:pPr>
        <w:tabs>
          <w:tab w:val="left" w:pos="1050"/>
        </w:tabs>
        <w:spacing w:line="360" w:lineRule="auto"/>
        <w:ind w:firstLine="500" w:firstLineChars="200"/>
        <w:rPr>
          <w:rFonts w:hint="eastAsia"/>
          <w:spacing w:val="20"/>
          <w:szCs w:val="21"/>
          <w:highlight w:val="none"/>
          <w:lang w:eastAsia="zh-CN"/>
        </w:rPr>
      </w:pPr>
      <w:r>
        <w:rPr>
          <w:rFonts w:hint="eastAsia"/>
          <w:spacing w:val="20"/>
          <w:szCs w:val="21"/>
          <w:highlight w:val="none"/>
          <w:lang w:eastAsia="zh-CN"/>
        </w:rPr>
        <w:t>确定泰顺县康养服务用房20年租赁权价值，为泰顺县民政局拟出租房</w:t>
      </w:r>
    </w:p>
    <w:p w14:paraId="61120412">
      <w:pPr>
        <w:tabs>
          <w:tab w:val="left" w:pos="1050"/>
        </w:tabs>
        <w:spacing w:line="360" w:lineRule="auto"/>
        <w:rPr>
          <w:rFonts w:hint="default" w:eastAsia="宋体"/>
          <w:spacing w:val="20"/>
          <w:szCs w:val="21"/>
          <w:highlight w:val="none"/>
          <w:lang w:val="en-US" w:eastAsia="zh-CN"/>
        </w:rPr>
      </w:pPr>
      <w:r>
        <w:rPr>
          <w:rFonts w:hint="eastAsia"/>
          <w:spacing w:val="20"/>
          <w:szCs w:val="21"/>
          <w:highlight w:val="none"/>
          <w:lang w:eastAsia="zh-CN"/>
        </w:rPr>
        <w:t>产这一经济行为提供价值参考</w:t>
      </w:r>
      <w:r>
        <w:rPr>
          <w:rFonts w:hint="eastAsia"/>
          <w:spacing w:val="20"/>
          <w:szCs w:val="21"/>
          <w:highlight w:val="none"/>
          <w:lang w:val="en-US" w:eastAsia="zh-CN"/>
        </w:rPr>
        <w:t>。</w:t>
      </w:r>
    </w:p>
    <w:p w14:paraId="0003FF69">
      <w:pPr>
        <w:pStyle w:val="3"/>
        <w:numPr>
          <w:ilvl w:val="0"/>
          <w:numId w:val="8"/>
        </w:numPr>
        <w:tabs>
          <w:tab w:val="left" w:pos="1148"/>
        </w:tabs>
        <w:spacing w:before="240" w:after="240" w:line="480" w:lineRule="auto"/>
        <w:rPr>
          <w:rFonts w:ascii="黑体" w:hAnsi="宋体"/>
          <w:b w:val="0"/>
          <w:spacing w:val="20"/>
          <w:sz w:val="22"/>
          <w:szCs w:val="21"/>
          <w:highlight w:val="none"/>
        </w:rPr>
      </w:pPr>
      <w:bookmarkStart w:id="9" w:name="_Toc430098848"/>
      <w:r>
        <w:rPr>
          <w:rFonts w:ascii="黑体" w:hAnsi="宋体"/>
          <w:b w:val="0"/>
          <w:spacing w:val="20"/>
          <w:sz w:val="22"/>
          <w:szCs w:val="21"/>
          <w:highlight w:val="none"/>
        </w:rPr>
        <w:t>评估对象和</w:t>
      </w:r>
      <w:r>
        <w:rPr>
          <w:rFonts w:hint="eastAsia" w:ascii="黑体" w:hAnsi="宋体"/>
          <w:b w:val="0"/>
          <w:spacing w:val="20"/>
          <w:sz w:val="22"/>
          <w:szCs w:val="21"/>
          <w:highlight w:val="none"/>
        </w:rPr>
        <w:t>评估</w:t>
      </w:r>
      <w:r>
        <w:rPr>
          <w:rFonts w:ascii="黑体" w:hAnsi="宋体"/>
          <w:b w:val="0"/>
          <w:spacing w:val="20"/>
          <w:sz w:val="22"/>
          <w:szCs w:val="21"/>
          <w:highlight w:val="none"/>
        </w:rPr>
        <w:t>范围</w:t>
      </w:r>
      <w:bookmarkEnd w:id="9"/>
    </w:p>
    <w:p w14:paraId="27F2D948">
      <w:pPr>
        <w:keepNext w:val="0"/>
        <w:keepLines w:val="0"/>
        <w:pageBreakBefore w:val="0"/>
        <w:widowControl w:val="0"/>
        <w:kinsoku/>
        <w:wordWrap/>
        <w:overflowPunct/>
        <w:topLinePunct w:val="0"/>
        <w:autoSpaceDE/>
        <w:autoSpaceDN/>
        <w:bidi w:val="0"/>
        <w:adjustRightInd/>
        <w:snapToGrid/>
        <w:spacing w:line="500" w:lineRule="exact"/>
        <w:ind w:firstLine="500" w:firstLineChars="200"/>
        <w:textAlignment w:val="auto"/>
        <w:rPr>
          <w:spacing w:val="20"/>
          <w:szCs w:val="21"/>
          <w:highlight w:val="none"/>
        </w:rPr>
      </w:pPr>
      <w:r>
        <w:rPr>
          <w:rFonts w:hint="eastAsia"/>
          <w:spacing w:val="20"/>
          <w:szCs w:val="21"/>
          <w:highlight w:val="none"/>
        </w:rPr>
        <w:t>（一）评估对象</w:t>
      </w:r>
      <w:r>
        <w:rPr>
          <w:rFonts w:hint="eastAsia"/>
          <w:spacing w:val="20"/>
          <w:szCs w:val="21"/>
          <w:highlight w:val="none"/>
          <w:lang w:val="en-US" w:eastAsia="zh-CN"/>
        </w:rPr>
        <w:t>为</w:t>
      </w:r>
      <w:r>
        <w:rPr>
          <w:rFonts w:hint="eastAsia"/>
          <w:spacing w:val="20"/>
          <w:szCs w:val="21"/>
          <w:highlight w:val="none"/>
          <w:lang w:eastAsia="zh-CN"/>
        </w:rPr>
        <w:t>泰顺县</w:t>
      </w:r>
      <w:r>
        <w:rPr>
          <w:rFonts w:hint="eastAsia"/>
          <w:spacing w:val="20"/>
          <w:szCs w:val="21"/>
          <w:highlight w:val="none"/>
          <w:lang w:val="en-US" w:eastAsia="zh-CN"/>
        </w:rPr>
        <w:t>120处</w:t>
      </w:r>
      <w:r>
        <w:rPr>
          <w:rFonts w:hint="eastAsia"/>
          <w:spacing w:val="20"/>
          <w:szCs w:val="21"/>
          <w:highlight w:val="none"/>
          <w:lang w:eastAsia="zh-CN"/>
        </w:rPr>
        <w:t>康养服务用房20年租赁权价值</w:t>
      </w:r>
      <w:r>
        <w:rPr>
          <w:rFonts w:hint="eastAsia"/>
          <w:spacing w:val="20"/>
          <w:szCs w:val="21"/>
          <w:highlight w:val="none"/>
        </w:rPr>
        <w:t>。</w:t>
      </w:r>
    </w:p>
    <w:p w14:paraId="746CB6F3">
      <w:pPr>
        <w:keepNext w:val="0"/>
        <w:keepLines w:val="0"/>
        <w:pageBreakBefore w:val="0"/>
        <w:widowControl w:val="0"/>
        <w:kinsoku/>
        <w:wordWrap/>
        <w:overflowPunct/>
        <w:topLinePunct w:val="0"/>
        <w:autoSpaceDE/>
        <w:autoSpaceDN/>
        <w:bidi w:val="0"/>
        <w:adjustRightInd/>
        <w:snapToGrid/>
        <w:spacing w:line="520" w:lineRule="exact"/>
        <w:ind w:firstLine="500" w:firstLineChars="200"/>
        <w:textAlignment w:val="auto"/>
        <w:rPr>
          <w:rFonts w:hint="eastAsia" w:ascii="Times New Roman" w:hAnsi="Times New Roman" w:cs="Times New Roman"/>
          <w:spacing w:val="20"/>
          <w:szCs w:val="21"/>
          <w:highlight w:val="none"/>
          <w:lang w:val="en-US" w:eastAsia="zh-CN"/>
        </w:rPr>
      </w:pPr>
      <w:r>
        <w:rPr>
          <w:rFonts w:hint="eastAsia"/>
          <w:spacing w:val="20"/>
          <w:szCs w:val="21"/>
          <w:highlight w:val="none"/>
        </w:rPr>
        <w:t>（二）</w:t>
      </w:r>
      <w:r>
        <w:rPr>
          <w:rFonts w:hint="eastAsia"/>
          <w:spacing w:val="20"/>
          <w:szCs w:val="21"/>
          <w:highlight w:val="none"/>
          <w:lang w:val="en-US" w:eastAsia="zh-CN"/>
        </w:rPr>
        <w:t>评估范围为</w:t>
      </w:r>
      <w:r>
        <w:rPr>
          <w:rFonts w:hint="eastAsia"/>
          <w:spacing w:val="20"/>
          <w:szCs w:val="21"/>
          <w:highlight w:val="none"/>
          <w:lang w:eastAsia="zh-CN"/>
        </w:rPr>
        <w:t>坐落于</w:t>
      </w:r>
      <w:r>
        <w:rPr>
          <w:rFonts w:hint="eastAsia"/>
          <w:spacing w:val="20"/>
          <w:szCs w:val="21"/>
          <w:highlight w:val="none"/>
          <w:lang w:val="en-US" w:eastAsia="zh-CN"/>
        </w:rPr>
        <w:t>罗阳镇</w:t>
      </w:r>
      <w:r>
        <w:rPr>
          <w:rFonts w:hint="eastAsia"/>
          <w:spacing w:val="20"/>
          <w:szCs w:val="21"/>
          <w:highlight w:val="none"/>
          <w:lang w:eastAsia="zh-CN"/>
        </w:rPr>
        <w:t>、</w:t>
      </w:r>
      <w:r>
        <w:rPr>
          <w:rFonts w:hint="eastAsia"/>
          <w:spacing w:val="20"/>
          <w:szCs w:val="21"/>
          <w:highlight w:val="none"/>
          <w:lang w:val="en-US" w:eastAsia="zh-CN"/>
        </w:rPr>
        <w:t>司前镇、筱村镇</w:t>
      </w:r>
      <w:r>
        <w:rPr>
          <w:rFonts w:hint="eastAsia"/>
          <w:spacing w:val="20"/>
          <w:szCs w:val="21"/>
          <w:highlight w:val="none"/>
          <w:lang w:eastAsia="zh-CN"/>
        </w:rPr>
        <w:t>等</w:t>
      </w:r>
      <w:r>
        <w:rPr>
          <w:rFonts w:hint="eastAsia"/>
          <w:spacing w:val="20"/>
          <w:szCs w:val="21"/>
          <w:highlight w:val="none"/>
          <w:lang w:val="en-US" w:eastAsia="zh-CN"/>
        </w:rPr>
        <w:t>17个乡镇120处</w:t>
      </w:r>
      <w:r>
        <w:rPr>
          <w:rFonts w:hint="eastAsia"/>
          <w:spacing w:val="20"/>
          <w:szCs w:val="21"/>
          <w:highlight w:val="none"/>
          <w:lang w:eastAsia="zh-CN"/>
        </w:rPr>
        <w:t>的康养服务用房，共计建筑面积99390.03㎡，</w:t>
      </w:r>
      <w:r>
        <w:rPr>
          <w:rFonts w:hint="eastAsia" w:ascii="Times New Roman" w:hAnsi="Times New Roman" w:cs="Times New Roman"/>
          <w:spacing w:val="20"/>
          <w:szCs w:val="21"/>
          <w:highlight w:val="none"/>
          <w:lang w:eastAsia="zh-CN"/>
        </w:rPr>
        <w:t>具体情况</w:t>
      </w:r>
      <w:r>
        <w:rPr>
          <w:rFonts w:hint="eastAsia" w:ascii="Times New Roman" w:hAnsi="Times New Roman" w:cs="Times New Roman"/>
          <w:spacing w:val="20"/>
          <w:szCs w:val="21"/>
          <w:highlight w:val="none"/>
          <w:lang w:val="en-US" w:eastAsia="zh-CN"/>
        </w:rPr>
        <w:t>详见</w:t>
      </w:r>
      <w:r>
        <w:rPr>
          <w:rFonts w:hint="eastAsia" w:cs="Times New Roman"/>
          <w:spacing w:val="20"/>
          <w:szCs w:val="21"/>
          <w:highlight w:val="none"/>
          <w:lang w:val="en-US" w:eastAsia="zh-CN"/>
        </w:rPr>
        <w:t>表1、表2</w:t>
      </w:r>
      <w:r>
        <w:rPr>
          <w:rFonts w:hint="eastAsia" w:ascii="Times New Roman" w:hAnsi="Times New Roman" w:cs="Times New Roman"/>
          <w:spacing w:val="20"/>
          <w:szCs w:val="21"/>
          <w:highlight w:val="none"/>
          <w:lang w:val="en-US" w:eastAsia="zh-CN"/>
        </w:rPr>
        <w:t>：</w:t>
      </w:r>
    </w:p>
    <w:p w14:paraId="557A54EC">
      <w:pPr>
        <w:pStyle w:val="30"/>
        <w:rPr>
          <w:rFonts w:hint="eastAsia"/>
          <w:lang w:eastAsia="zh-CN"/>
        </w:rPr>
      </w:pPr>
      <w:r>
        <w:rPr>
          <w:rFonts w:hint="eastAsia" w:ascii="Times New Roman" w:hAnsi="Times New Roman" w:cs="Times New Roman"/>
          <w:b w:val="0"/>
          <w:spacing w:val="20"/>
          <w:kern w:val="2"/>
          <w:sz w:val="21"/>
          <w:szCs w:val="21"/>
          <w:highlight w:val="none"/>
          <w:lang w:val="en-US" w:eastAsia="zh-CN" w:bidi="ar-SA"/>
        </w:rPr>
        <w:t>表1：</w:t>
      </w:r>
      <w:r>
        <w:rPr>
          <w:rFonts w:hint="eastAsia" w:ascii="Times New Roman" w:hAnsi="Times New Roman" w:eastAsia="宋体" w:cs="Times New Roman"/>
          <w:b w:val="0"/>
          <w:spacing w:val="20"/>
          <w:kern w:val="2"/>
          <w:sz w:val="21"/>
          <w:szCs w:val="21"/>
          <w:highlight w:val="none"/>
          <w:lang w:val="en-US" w:eastAsia="zh-CN" w:bidi="ar-SA"/>
        </w:rPr>
        <w:t>泰顺县康养服务用房汇总表</w:t>
      </w:r>
    </w:p>
    <w:tbl>
      <w:tblPr>
        <w:tblStyle w:val="33"/>
        <w:tblW w:w="92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5111"/>
        <w:gridCol w:w="3015"/>
      </w:tblGrid>
      <w:tr w14:paraId="53AD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0BF100D3">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b/>
                <w:bCs/>
                <w:i w:val="0"/>
                <w:iCs w:val="0"/>
                <w:color w:val="000000"/>
                <w:kern w:val="0"/>
                <w:sz w:val="18"/>
                <w:szCs w:val="18"/>
                <w:u w:val="none"/>
                <w:lang w:val="en-US" w:eastAsia="zh-CN" w:bidi="ar"/>
              </w:rPr>
              <w:t>序号</w:t>
            </w:r>
          </w:p>
        </w:tc>
        <w:tc>
          <w:tcPr>
            <w:tcW w:w="5111" w:type="dxa"/>
            <w:vAlign w:val="center"/>
          </w:tcPr>
          <w:p w14:paraId="6D839786">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b/>
                <w:bCs/>
                <w:i w:val="0"/>
                <w:iCs w:val="0"/>
                <w:color w:val="000000"/>
                <w:kern w:val="0"/>
                <w:sz w:val="18"/>
                <w:szCs w:val="18"/>
                <w:u w:val="none"/>
                <w:lang w:val="en-US" w:eastAsia="zh-CN" w:bidi="ar"/>
              </w:rPr>
              <w:t>房源类型</w:t>
            </w:r>
          </w:p>
        </w:tc>
        <w:tc>
          <w:tcPr>
            <w:tcW w:w="3015" w:type="dxa"/>
            <w:vAlign w:val="center"/>
          </w:tcPr>
          <w:p w14:paraId="0EC69CF4">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b/>
                <w:bCs/>
                <w:i w:val="0"/>
                <w:iCs w:val="0"/>
                <w:color w:val="000000"/>
                <w:kern w:val="0"/>
                <w:sz w:val="18"/>
                <w:szCs w:val="18"/>
                <w:u w:val="none"/>
                <w:lang w:val="en-US" w:eastAsia="zh-CN" w:bidi="ar"/>
              </w:rPr>
              <w:t>建筑面积（㎡）</w:t>
            </w:r>
          </w:p>
        </w:tc>
      </w:tr>
      <w:tr w14:paraId="6398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0CB145B6">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1</w:t>
            </w:r>
          </w:p>
        </w:tc>
        <w:tc>
          <w:tcPr>
            <w:tcW w:w="5111" w:type="dxa"/>
            <w:vAlign w:val="center"/>
          </w:tcPr>
          <w:p w14:paraId="033B3CF2">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教育类闲置房源</w:t>
            </w:r>
          </w:p>
        </w:tc>
        <w:tc>
          <w:tcPr>
            <w:tcW w:w="3015" w:type="dxa"/>
            <w:vAlign w:val="center"/>
          </w:tcPr>
          <w:p w14:paraId="3B698AA7">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43313.94</w:t>
            </w:r>
          </w:p>
        </w:tc>
      </w:tr>
      <w:tr w14:paraId="78D2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3796300E">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2</w:t>
            </w:r>
          </w:p>
        </w:tc>
        <w:tc>
          <w:tcPr>
            <w:tcW w:w="5111" w:type="dxa"/>
            <w:vAlign w:val="center"/>
          </w:tcPr>
          <w:p w14:paraId="0230721B">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民政康养服务用房</w:t>
            </w:r>
          </w:p>
        </w:tc>
        <w:tc>
          <w:tcPr>
            <w:tcW w:w="3015" w:type="dxa"/>
            <w:vAlign w:val="center"/>
          </w:tcPr>
          <w:p w14:paraId="008D4444">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31792.57</w:t>
            </w:r>
          </w:p>
        </w:tc>
      </w:tr>
      <w:tr w14:paraId="3CE4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6759288A">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3</w:t>
            </w:r>
          </w:p>
        </w:tc>
        <w:tc>
          <w:tcPr>
            <w:tcW w:w="5111" w:type="dxa"/>
            <w:vAlign w:val="center"/>
          </w:tcPr>
          <w:p w14:paraId="65D73FF6">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医疗类闲置房源</w:t>
            </w:r>
          </w:p>
        </w:tc>
        <w:tc>
          <w:tcPr>
            <w:tcW w:w="3015" w:type="dxa"/>
            <w:vAlign w:val="center"/>
          </w:tcPr>
          <w:p w14:paraId="33485ABE">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13526</w:t>
            </w:r>
          </w:p>
        </w:tc>
      </w:tr>
      <w:tr w14:paraId="7BC0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4FEB4183">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4</w:t>
            </w:r>
          </w:p>
        </w:tc>
        <w:tc>
          <w:tcPr>
            <w:tcW w:w="5111" w:type="dxa"/>
            <w:vAlign w:val="center"/>
          </w:tcPr>
          <w:p w14:paraId="5F26344A">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住宅小区配套康养服务用房</w:t>
            </w:r>
          </w:p>
        </w:tc>
        <w:tc>
          <w:tcPr>
            <w:tcW w:w="3015" w:type="dxa"/>
            <w:vAlign w:val="center"/>
          </w:tcPr>
          <w:p w14:paraId="2C6B6A39">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1665.7</w:t>
            </w:r>
          </w:p>
        </w:tc>
      </w:tr>
      <w:tr w14:paraId="4BBA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3B497997">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5</w:t>
            </w:r>
          </w:p>
        </w:tc>
        <w:tc>
          <w:tcPr>
            <w:tcW w:w="5111" w:type="dxa"/>
            <w:vAlign w:val="center"/>
          </w:tcPr>
          <w:p w14:paraId="4C85E5CF">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乡镇、机关闲置房源</w:t>
            </w:r>
          </w:p>
        </w:tc>
        <w:tc>
          <w:tcPr>
            <w:tcW w:w="3015" w:type="dxa"/>
            <w:vAlign w:val="center"/>
          </w:tcPr>
          <w:p w14:paraId="3C7DED28">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9091.82</w:t>
            </w:r>
          </w:p>
        </w:tc>
      </w:tr>
      <w:tr w14:paraId="78EF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07" w:type="dxa"/>
            <w:vAlign w:val="center"/>
          </w:tcPr>
          <w:p w14:paraId="2231C6FE">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6</w:t>
            </w:r>
          </w:p>
        </w:tc>
        <w:tc>
          <w:tcPr>
            <w:tcW w:w="5111" w:type="dxa"/>
            <w:vAlign w:val="center"/>
          </w:tcPr>
          <w:p w14:paraId="15F1A9E6">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合计</w:t>
            </w:r>
          </w:p>
        </w:tc>
        <w:tc>
          <w:tcPr>
            <w:tcW w:w="3015" w:type="dxa"/>
            <w:vAlign w:val="center"/>
          </w:tcPr>
          <w:p w14:paraId="0803E825">
            <w:pPr>
              <w:keepNext w:val="0"/>
              <w:keepLines w:val="0"/>
              <w:widowControl/>
              <w:suppressLineNumbers w:val="0"/>
              <w:jc w:val="center"/>
              <w:textAlignment w:val="center"/>
              <w:rPr>
                <w:rFonts w:hint="eastAsia" w:ascii="宋体" w:hAnsi="宋体" w:eastAsia="宋体" w:cs="宋体"/>
                <w:sz w:val="18"/>
                <w:szCs w:val="18"/>
                <w:vertAlign w:val="baseline"/>
                <w:lang w:eastAsia="zh-CN"/>
              </w:rPr>
            </w:pPr>
            <w:r>
              <w:rPr>
                <w:rFonts w:hint="eastAsia" w:ascii="宋体" w:hAnsi="宋体" w:eastAsia="宋体" w:cs="宋体"/>
                <w:i w:val="0"/>
                <w:iCs w:val="0"/>
                <w:color w:val="000000"/>
                <w:kern w:val="0"/>
                <w:sz w:val="18"/>
                <w:szCs w:val="18"/>
                <w:u w:val="none"/>
                <w:lang w:val="en-US" w:eastAsia="zh-CN" w:bidi="ar"/>
              </w:rPr>
              <w:t>99390.03</w:t>
            </w:r>
          </w:p>
        </w:tc>
      </w:tr>
    </w:tbl>
    <w:p w14:paraId="11322533">
      <w:pPr>
        <w:spacing w:line="508" w:lineRule="exact"/>
        <w:ind w:firstLine="625" w:firstLineChars="250"/>
        <w:jc w:val="center"/>
        <w:rPr>
          <w:rFonts w:hint="default"/>
          <w:spacing w:val="20"/>
          <w:szCs w:val="21"/>
          <w:highlight w:val="none"/>
          <w:lang w:val="en-US" w:eastAsia="zh-CN"/>
        </w:rPr>
      </w:pPr>
      <w:r>
        <w:rPr>
          <w:rFonts w:hint="eastAsia"/>
          <w:spacing w:val="20"/>
          <w:szCs w:val="21"/>
          <w:highlight w:val="none"/>
          <w:lang w:val="en-US" w:eastAsia="zh-CN"/>
        </w:rPr>
        <w:t>表2：</w:t>
      </w:r>
      <w:r>
        <w:rPr>
          <w:rFonts w:hint="eastAsia"/>
          <w:spacing w:val="20"/>
          <w:szCs w:val="21"/>
          <w:highlight w:val="none"/>
          <w:lang w:eastAsia="zh-CN"/>
        </w:rPr>
        <w:t>泰顺县</w:t>
      </w:r>
      <w:r>
        <w:rPr>
          <w:rFonts w:hint="eastAsia" w:ascii="Times New Roman" w:hAnsi="Times New Roman" w:eastAsia="宋体" w:cs="Times New Roman"/>
          <w:b w:val="0"/>
          <w:spacing w:val="20"/>
          <w:kern w:val="2"/>
          <w:sz w:val="21"/>
          <w:szCs w:val="21"/>
          <w:highlight w:val="none"/>
          <w:lang w:val="en-US" w:eastAsia="zh-CN" w:bidi="ar-SA"/>
        </w:rPr>
        <w:t>康养服务用房</w:t>
      </w:r>
      <w:r>
        <w:rPr>
          <w:rFonts w:hint="eastAsia" w:cs="Times New Roman"/>
          <w:b w:val="0"/>
          <w:spacing w:val="20"/>
          <w:kern w:val="2"/>
          <w:sz w:val="21"/>
          <w:szCs w:val="21"/>
          <w:highlight w:val="none"/>
          <w:lang w:val="en-US" w:eastAsia="zh-CN" w:bidi="ar-SA"/>
        </w:rPr>
        <w:t>明细表</w:t>
      </w:r>
    </w:p>
    <w:tbl>
      <w:tblPr>
        <w:tblStyle w:val="33"/>
        <w:tblW w:w="9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2258"/>
        <w:gridCol w:w="2387"/>
        <w:gridCol w:w="2273"/>
        <w:gridCol w:w="969"/>
        <w:gridCol w:w="764"/>
      </w:tblGrid>
      <w:tr w14:paraId="4BC7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583" w:type="dxa"/>
            <w:vAlign w:val="center"/>
          </w:tcPr>
          <w:p w14:paraId="02404BA3">
            <w:pPr>
              <w:keepNext w:val="0"/>
              <w:keepLines w:val="0"/>
              <w:widowControl/>
              <w:suppressLineNumbers w:val="0"/>
              <w:jc w:val="center"/>
              <w:textAlignment w:val="center"/>
              <w:rPr>
                <w:rFonts w:hint="eastAsia"/>
                <w:spacing w:val="20"/>
                <w:sz w:val="18"/>
                <w:szCs w:val="18"/>
                <w:highlight w:val="none"/>
                <w:vertAlign w:val="baseline"/>
                <w:lang w:eastAsia="zh-CN"/>
              </w:rPr>
            </w:pPr>
            <w:r>
              <w:rPr>
                <w:rFonts w:hint="eastAsia" w:ascii="宋体" w:hAnsi="宋体" w:eastAsia="宋体" w:cs="宋体"/>
                <w:b/>
                <w:bCs/>
                <w:i w:val="0"/>
                <w:iCs w:val="0"/>
                <w:color w:val="000000"/>
                <w:kern w:val="0"/>
                <w:sz w:val="18"/>
                <w:szCs w:val="18"/>
                <w:u w:val="none"/>
                <w:lang w:val="en-US" w:eastAsia="zh-CN" w:bidi="ar"/>
              </w:rPr>
              <w:t>序号</w:t>
            </w:r>
          </w:p>
        </w:tc>
        <w:tc>
          <w:tcPr>
            <w:tcW w:w="2258" w:type="dxa"/>
            <w:vAlign w:val="center"/>
          </w:tcPr>
          <w:p w14:paraId="111914FA">
            <w:pPr>
              <w:keepNext w:val="0"/>
              <w:keepLines w:val="0"/>
              <w:widowControl/>
              <w:suppressLineNumbers w:val="0"/>
              <w:jc w:val="center"/>
              <w:textAlignment w:val="center"/>
              <w:rPr>
                <w:rFonts w:hint="eastAsia"/>
                <w:spacing w:val="20"/>
                <w:sz w:val="18"/>
                <w:szCs w:val="18"/>
                <w:highlight w:val="none"/>
                <w:vertAlign w:val="baseline"/>
                <w:lang w:eastAsia="zh-CN"/>
              </w:rPr>
            </w:pPr>
            <w:r>
              <w:rPr>
                <w:rFonts w:hint="eastAsia" w:ascii="宋体" w:hAnsi="宋体" w:eastAsia="宋体" w:cs="宋体"/>
                <w:b/>
                <w:bCs/>
                <w:i w:val="0"/>
                <w:iCs w:val="0"/>
                <w:color w:val="000000"/>
                <w:kern w:val="0"/>
                <w:sz w:val="18"/>
                <w:szCs w:val="18"/>
                <w:u w:val="none"/>
                <w:lang w:val="en-US" w:eastAsia="zh-CN" w:bidi="ar"/>
              </w:rPr>
              <w:t>资产名称</w:t>
            </w:r>
          </w:p>
        </w:tc>
        <w:tc>
          <w:tcPr>
            <w:tcW w:w="2387" w:type="dxa"/>
            <w:vAlign w:val="center"/>
          </w:tcPr>
          <w:p w14:paraId="2327C6E6">
            <w:pPr>
              <w:keepNext w:val="0"/>
              <w:keepLines w:val="0"/>
              <w:widowControl/>
              <w:suppressLineNumbers w:val="0"/>
              <w:jc w:val="center"/>
              <w:textAlignment w:val="center"/>
              <w:rPr>
                <w:rFonts w:hint="eastAsia"/>
                <w:spacing w:val="20"/>
                <w:sz w:val="18"/>
                <w:szCs w:val="18"/>
                <w:highlight w:val="none"/>
                <w:vertAlign w:val="baseline"/>
                <w:lang w:eastAsia="zh-CN"/>
              </w:rPr>
            </w:pPr>
            <w:r>
              <w:rPr>
                <w:rFonts w:hint="eastAsia" w:ascii="宋体" w:hAnsi="宋体" w:eastAsia="宋体" w:cs="宋体"/>
                <w:b/>
                <w:bCs/>
                <w:i w:val="0"/>
                <w:iCs w:val="0"/>
                <w:color w:val="000000"/>
                <w:kern w:val="0"/>
                <w:sz w:val="18"/>
                <w:szCs w:val="18"/>
                <w:u w:val="none"/>
                <w:lang w:val="en-US" w:eastAsia="zh-CN" w:bidi="ar"/>
              </w:rPr>
              <w:t>坐落</w:t>
            </w:r>
          </w:p>
        </w:tc>
        <w:tc>
          <w:tcPr>
            <w:tcW w:w="2273" w:type="dxa"/>
            <w:vAlign w:val="center"/>
          </w:tcPr>
          <w:p w14:paraId="4A84FB59">
            <w:pPr>
              <w:keepNext w:val="0"/>
              <w:keepLines w:val="0"/>
              <w:widowControl/>
              <w:suppressLineNumbers w:val="0"/>
              <w:jc w:val="center"/>
              <w:textAlignment w:val="center"/>
              <w:rPr>
                <w:rFonts w:hint="eastAsia"/>
                <w:spacing w:val="20"/>
                <w:sz w:val="18"/>
                <w:szCs w:val="18"/>
                <w:highlight w:val="none"/>
                <w:vertAlign w:val="baseline"/>
                <w:lang w:eastAsia="zh-CN"/>
              </w:rPr>
            </w:pPr>
            <w:r>
              <w:rPr>
                <w:rFonts w:hint="eastAsia" w:ascii="宋体" w:hAnsi="宋体" w:eastAsia="宋体" w:cs="宋体"/>
                <w:b/>
                <w:bCs/>
                <w:i w:val="0"/>
                <w:iCs w:val="0"/>
                <w:color w:val="000000"/>
                <w:kern w:val="0"/>
                <w:sz w:val="18"/>
                <w:szCs w:val="18"/>
                <w:u w:val="none"/>
                <w:lang w:val="en-US" w:eastAsia="zh-CN" w:bidi="ar"/>
              </w:rPr>
              <w:t>权属人</w:t>
            </w:r>
          </w:p>
        </w:tc>
        <w:tc>
          <w:tcPr>
            <w:tcW w:w="969" w:type="dxa"/>
            <w:vAlign w:val="center"/>
          </w:tcPr>
          <w:p w14:paraId="263D3D49">
            <w:pPr>
              <w:keepNext w:val="0"/>
              <w:keepLines w:val="0"/>
              <w:widowControl/>
              <w:suppressLineNumbers w:val="0"/>
              <w:jc w:val="center"/>
              <w:textAlignment w:val="center"/>
              <w:rPr>
                <w:rFonts w:hint="eastAsia" w:ascii="宋体" w:hAnsi="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建筑面积</w:t>
            </w:r>
          </w:p>
          <w:p w14:paraId="006AA39C">
            <w:pPr>
              <w:keepNext w:val="0"/>
              <w:keepLines w:val="0"/>
              <w:widowControl/>
              <w:suppressLineNumbers w:val="0"/>
              <w:jc w:val="center"/>
              <w:textAlignment w:val="center"/>
              <w:rPr>
                <w:rFonts w:hint="eastAsia" w:ascii="宋体" w:hAnsi="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w:t>
            </w:r>
          </w:p>
        </w:tc>
        <w:tc>
          <w:tcPr>
            <w:tcW w:w="764" w:type="dxa"/>
            <w:vAlign w:val="center"/>
          </w:tcPr>
          <w:p w14:paraId="5C7B92B6">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备注</w:t>
            </w:r>
          </w:p>
        </w:tc>
      </w:tr>
      <w:tr w14:paraId="19F6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59639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2258" w:type="dxa"/>
            <w:vAlign w:val="center"/>
          </w:tcPr>
          <w:p w14:paraId="0EECE5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罗阳镇南院中心小学</w:t>
            </w:r>
          </w:p>
        </w:tc>
        <w:tc>
          <w:tcPr>
            <w:tcW w:w="2387" w:type="dxa"/>
            <w:vAlign w:val="center"/>
          </w:tcPr>
          <w:p w14:paraId="6A13C0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泰顺县罗阳镇南院村1号</w:t>
            </w:r>
          </w:p>
        </w:tc>
        <w:tc>
          <w:tcPr>
            <w:tcW w:w="2273" w:type="dxa"/>
            <w:vAlign w:val="center"/>
          </w:tcPr>
          <w:p w14:paraId="128EAD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bottom"/>
          </w:tcPr>
          <w:p w14:paraId="4A959B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2179.74</w:t>
            </w:r>
          </w:p>
        </w:tc>
        <w:tc>
          <w:tcPr>
            <w:tcW w:w="764" w:type="dxa"/>
            <w:vAlign w:val="center"/>
          </w:tcPr>
          <w:p w14:paraId="091C9B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015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266E7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w:t>
            </w:r>
          </w:p>
        </w:tc>
        <w:tc>
          <w:tcPr>
            <w:tcW w:w="2258" w:type="dxa"/>
            <w:vAlign w:val="center"/>
          </w:tcPr>
          <w:p w14:paraId="02ADA5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罗阳镇岭北中心小学</w:t>
            </w:r>
          </w:p>
        </w:tc>
        <w:tc>
          <w:tcPr>
            <w:tcW w:w="2387" w:type="dxa"/>
            <w:vAlign w:val="center"/>
          </w:tcPr>
          <w:p w14:paraId="33F321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泰顺县罗阳镇岭北村尾村</w:t>
            </w:r>
          </w:p>
        </w:tc>
        <w:tc>
          <w:tcPr>
            <w:tcW w:w="2273" w:type="dxa"/>
            <w:vAlign w:val="center"/>
          </w:tcPr>
          <w:p w14:paraId="70063F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center"/>
          </w:tcPr>
          <w:p w14:paraId="52F9E0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1063</w:t>
            </w:r>
          </w:p>
        </w:tc>
        <w:tc>
          <w:tcPr>
            <w:tcW w:w="764" w:type="dxa"/>
            <w:vAlign w:val="center"/>
          </w:tcPr>
          <w:p w14:paraId="2D4EFC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24E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50DFE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p>
        </w:tc>
        <w:tc>
          <w:tcPr>
            <w:tcW w:w="2258" w:type="dxa"/>
            <w:vAlign w:val="center"/>
          </w:tcPr>
          <w:p w14:paraId="1A1228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大安乡中心学校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（大丘坪教学点教学楼）</w:t>
            </w:r>
          </w:p>
        </w:tc>
        <w:tc>
          <w:tcPr>
            <w:tcW w:w="2387" w:type="dxa"/>
            <w:vAlign w:val="center"/>
          </w:tcPr>
          <w:p w14:paraId="2E3670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泰顺县大安乡大丘坪村</w:t>
            </w:r>
          </w:p>
        </w:tc>
        <w:tc>
          <w:tcPr>
            <w:tcW w:w="2273" w:type="dxa"/>
            <w:vAlign w:val="center"/>
          </w:tcPr>
          <w:p w14:paraId="704A3B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center"/>
          </w:tcPr>
          <w:p w14:paraId="5A1960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612</w:t>
            </w:r>
          </w:p>
        </w:tc>
        <w:tc>
          <w:tcPr>
            <w:tcW w:w="764" w:type="dxa"/>
            <w:vAlign w:val="center"/>
          </w:tcPr>
          <w:p w14:paraId="0FF7F4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2C9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9DEF5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w:t>
            </w:r>
          </w:p>
        </w:tc>
        <w:tc>
          <w:tcPr>
            <w:tcW w:w="2258" w:type="dxa"/>
            <w:vAlign w:val="center"/>
          </w:tcPr>
          <w:p w14:paraId="5083FE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罗阳镇仙稔中心小学</w:t>
            </w:r>
          </w:p>
        </w:tc>
        <w:tc>
          <w:tcPr>
            <w:tcW w:w="2387" w:type="dxa"/>
            <w:vAlign w:val="center"/>
          </w:tcPr>
          <w:p w14:paraId="49DE9E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泰顺县罗阳镇仙居村</w:t>
            </w:r>
          </w:p>
        </w:tc>
        <w:tc>
          <w:tcPr>
            <w:tcW w:w="2273" w:type="dxa"/>
            <w:vAlign w:val="center"/>
          </w:tcPr>
          <w:p w14:paraId="74E6F7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center"/>
          </w:tcPr>
          <w:p w14:paraId="5CFB67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823</w:t>
            </w:r>
          </w:p>
        </w:tc>
        <w:tc>
          <w:tcPr>
            <w:tcW w:w="764" w:type="dxa"/>
            <w:vAlign w:val="center"/>
          </w:tcPr>
          <w:p w14:paraId="5B003A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907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00C97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w:t>
            </w:r>
          </w:p>
        </w:tc>
        <w:tc>
          <w:tcPr>
            <w:tcW w:w="2258" w:type="dxa"/>
            <w:vAlign w:val="center"/>
          </w:tcPr>
          <w:p w14:paraId="104081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彭溪镇峰文中心小学</w:t>
            </w:r>
          </w:p>
        </w:tc>
        <w:tc>
          <w:tcPr>
            <w:tcW w:w="2387" w:type="dxa"/>
            <w:vAlign w:val="center"/>
          </w:tcPr>
          <w:p w14:paraId="3CFD5B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泰顺县彭溪镇峰文村</w:t>
            </w:r>
          </w:p>
        </w:tc>
        <w:tc>
          <w:tcPr>
            <w:tcW w:w="2273" w:type="dxa"/>
            <w:vAlign w:val="center"/>
          </w:tcPr>
          <w:p w14:paraId="077332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center"/>
          </w:tcPr>
          <w:p w14:paraId="158600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2610</w:t>
            </w:r>
          </w:p>
        </w:tc>
        <w:tc>
          <w:tcPr>
            <w:tcW w:w="764" w:type="dxa"/>
            <w:vAlign w:val="center"/>
          </w:tcPr>
          <w:p w14:paraId="281F23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057E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C8EAF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w:t>
            </w:r>
          </w:p>
        </w:tc>
        <w:tc>
          <w:tcPr>
            <w:tcW w:w="2258" w:type="dxa"/>
            <w:vAlign w:val="center"/>
          </w:tcPr>
          <w:p w14:paraId="5F842A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南浦溪镇联云中心小学</w:t>
            </w:r>
          </w:p>
        </w:tc>
        <w:tc>
          <w:tcPr>
            <w:tcW w:w="2387" w:type="dxa"/>
            <w:vAlign w:val="center"/>
          </w:tcPr>
          <w:p w14:paraId="2EF499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泰顺县南浦溪镇箬垟村</w:t>
            </w:r>
          </w:p>
        </w:tc>
        <w:tc>
          <w:tcPr>
            <w:tcW w:w="2273" w:type="dxa"/>
            <w:vAlign w:val="center"/>
          </w:tcPr>
          <w:p w14:paraId="7DD2A2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center"/>
          </w:tcPr>
          <w:p w14:paraId="3B7F1F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1982</w:t>
            </w:r>
          </w:p>
        </w:tc>
        <w:tc>
          <w:tcPr>
            <w:tcW w:w="764" w:type="dxa"/>
            <w:vAlign w:val="center"/>
          </w:tcPr>
          <w:p w14:paraId="61BCF8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F44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9C385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w:t>
            </w:r>
          </w:p>
        </w:tc>
        <w:tc>
          <w:tcPr>
            <w:tcW w:w="2258" w:type="dxa"/>
            <w:vAlign w:val="center"/>
          </w:tcPr>
          <w:p w14:paraId="3D5E85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彭溪镇五里牌小学</w:t>
            </w:r>
          </w:p>
        </w:tc>
        <w:tc>
          <w:tcPr>
            <w:tcW w:w="2387" w:type="dxa"/>
            <w:vAlign w:val="center"/>
          </w:tcPr>
          <w:p w14:paraId="45B560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泰顺县彭溪镇五里牌村</w:t>
            </w:r>
          </w:p>
        </w:tc>
        <w:tc>
          <w:tcPr>
            <w:tcW w:w="2273" w:type="dxa"/>
            <w:vAlign w:val="center"/>
          </w:tcPr>
          <w:p w14:paraId="543E20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center"/>
          </w:tcPr>
          <w:p w14:paraId="3DF1BB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2750</w:t>
            </w:r>
          </w:p>
        </w:tc>
        <w:tc>
          <w:tcPr>
            <w:tcW w:w="764" w:type="dxa"/>
            <w:vAlign w:val="center"/>
          </w:tcPr>
          <w:p w14:paraId="0FFB84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295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FA568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w:t>
            </w:r>
          </w:p>
        </w:tc>
        <w:tc>
          <w:tcPr>
            <w:tcW w:w="2258" w:type="dxa"/>
            <w:vAlign w:val="center"/>
          </w:tcPr>
          <w:p w14:paraId="185289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罗阳镇洲岭中心小学</w:t>
            </w:r>
          </w:p>
        </w:tc>
        <w:tc>
          <w:tcPr>
            <w:tcW w:w="2387" w:type="dxa"/>
            <w:vAlign w:val="center"/>
          </w:tcPr>
          <w:p w14:paraId="03C1A8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泰顺县罗阳镇洲岭社区</w:t>
            </w:r>
          </w:p>
          <w:p w14:paraId="25706F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葛藤坪组</w:t>
            </w:r>
          </w:p>
        </w:tc>
        <w:tc>
          <w:tcPr>
            <w:tcW w:w="2273" w:type="dxa"/>
            <w:vAlign w:val="center"/>
          </w:tcPr>
          <w:p w14:paraId="2F8189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泰顺县教育局</w:t>
            </w:r>
          </w:p>
        </w:tc>
        <w:tc>
          <w:tcPr>
            <w:tcW w:w="969" w:type="dxa"/>
            <w:vAlign w:val="bottom"/>
          </w:tcPr>
          <w:p w14:paraId="304E80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3766</w:t>
            </w:r>
          </w:p>
        </w:tc>
        <w:tc>
          <w:tcPr>
            <w:tcW w:w="764" w:type="dxa"/>
            <w:vAlign w:val="center"/>
          </w:tcPr>
          <w:p w14:paraId="09A78C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3E2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5C240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w:t>
            </w:r>
          </w:p>
        </w:tc>
        <w:tc>
          <w:tcPr>
            <w:tcW w:w="2258" w:type="dxa"/>
            <w:vAlign w:val="center"/>
          </w:tcPr>
          <w:p w14:paraId="55049C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茶坪小学</w:t>
            </w:r>
          </w:p>
        </w:tc>
        <w:tc>
          <w:tcPr>
            <w:tcW w:w="2387" w:type="dxa"/>
            <w:vAlign w:val="center"/>
          </w:tcPr>
          <w:p w14:paraId="17BECE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茶坪自然村</w:t>
            </w:r>
          </w:p>
        </w:tc>
        <w:tc>
          <w:tcPr>
            <w:tcW w:w="2273" w:type="dxa"/>
            <w:vAlign w:val="center"/>
          </w:tcPr>
          <w:p w14:paraId="27EBCF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泰顺县竹里畲族乡</w:t>
            </w:r>
          </w:p>
          <w:p w14:paraId="22CAD5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人民政府</w:t>
            </w:r>
          </w:p>
        </w:tc>
        <w:tc>
          <w:tcPr>
            <w:tcW w:w="969" w:type="dxa"/>
            <w:vAlign w:val="center"/>
          </w:tcPr>
          <w:p w14:paraId="6B181A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126</w:t>
            </w:r>
          </w:p>
        </w:tc>
        <w:tc>
          <w:tcPr>
            <w:tcW w:w="764" w:type="dxa"/>
            <w:vAlign w:val="center"/>
          </w:tcPr>
          <w:p w14:paraId="149A28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5CB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89698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w:t>
            </w:r>
          </w:p>
        </w:tc>
        <w:tc>
          <w:tcPr>
            <w:tcW w:w="2258" w:type="dxa"/>
            <w:vAlign w:val="center"/>
          </w:tcPr>
          <w:p w14:paraId="39C14F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黄泥岱小学</w:t>
            </w:r>
          </w:p>
        </w:tc>
        <w:tc>
          <w:tcPr>
            <w:tcW w:w="2387" w:type="dxa"/>
            <w:vAlign w:val="center"/>
          </w:tcPr>
          <w:p w14:paraId="380E5F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黄泥岱自然村</w:t>
            </w:r>
          </w:p>
        </w:tc>
        <w:tc>
          <w:tcPr>
            <w:tcW w:w="2273" w:type="dxa"/>
            <w:vAlign w:val="center"/>
          </w:tcPr>
          <w:p w14:paraId="043D6D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泰顺县竹里畲族乡</w:t>
            </w:r>
          </w:p>
          <w:p w14:paraId="618370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人民政府</w:t>
            </w:r>
          </w:p>
        </w:tc>
        <w:tc>
          <w:tcPr>
            <w:tcW w:w="969" w:type="dxa"/>
            <w:vAlign w:val="center"/>
          </w:tcPr>
          <w:p w14:paraId="46A533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135</w:t>
            </w:r>
          </w:p>
        </w:tc>
        <w:tc>
          <w:tcPr>
            <w:tcW w:w="764" w:type="dxa"/>
            <w:vAlign w:val="center"/>
          </w:tcPr>
          <w:p w14:paraId="19771B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0774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C0981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11</w:t>
            </w:r>
          </w:p>
        </w:tc>
        <w:tc>
          <w:tcPr>
            <w:tcW w:w="2258" w:type="dxa"/>
            <w:vAlign w:val="center"/>
          </w:tcPr>
          <w:p w14:paraId="6E9989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雅阳镇百福岩小学</w:t>
            </w:r>
          </w:p>
        </w:tc>
        <w:tc>
          <w:tcPr>
            <w:tcW w:w="2387" w:type="dxa"/>
            <w:vAlign w:val="center"/>
          </w:tcPr>
          <w:p w14:paraId="7BAE99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雅阳镇百福岩村</w:t>
            </w:r>
          </w:p>
        </w:tc>
        <w:tc>
          <w:tcPr>
            <w:tcW w:w="2273" w:type="dxa"/>
            <w:vAlign w:val="center"/>
          </w:tcPr>
          <w:p w14:paraId="5E99ED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泰顺县雅阳镇人民政府</w:t>
            </w:r>
          </w:p>
        </w:tc>
        <w:tc>
          <w:tcPr>
            <w:tcW w:w="969" w:type="dxa"/>
            <w:vAlign w:val="center"/>
          </w:tcPr>
          <w:p w14:paraId="3FCDF0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287.5</w:t>
            </w:r>
          </w:p>
        </w:tc>
        <w:tc>
          <w:tcPr>
            <w:tcW w:w="764" w:type="dxa"/>
            <w:vAlign w:val="center"/>
          </w:tcPr>
          <w:p w14:paraId="57F2AA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139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BA398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w:t>
            </w:r>
          </w:p>
        </w:tc>
        <w:tc>
          <w:tcPr>
            <w:tcW w:w="2258" w:type="dxa"/>
            <w:vAlign w:val="center"/>
          </w:tcPr>
          <w:p w14:paraId="6C9A21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雅阳镇吴家墩小学</w:t>
            </w:r>
          </w:p>
        </w:tc>
        <w:tc>
          <w:tcPr>
            <w:tcW w:w="2387" w:type="dxa"/>
            <w:vAlign w:val="center"/>
          </w:tcPr>
          <w:p w14:paraId="3BC091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雅阳镇吴家墩村</w:t>
            </w:r>
          </w:p>
        </w:tc>
        <w:tc>
          <w:tcPr>
            <w:tcW w:w="2273" w:type="dxa"/>
            <w:vAlign w:val="center"/>
          </w:tcPr>
          <w:p w14:paraId="23E40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泰顺县雅阳镇人民政府</w:t>
            </w:r>
          </w:p>
        </w:tc>
        <w:tc>
          <w:tcPr>
            <w:tcW w:w="969" w:type="dxa"/>
            <w:vAlign w:val="center"/>
          </w:tcPr>
          <w:p w14:paraId="31F303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397.6</w:t>
            </w:r>
          </w:p>
        </w:tc>
        <w:tc>
          <w:tcPr>
            <w:tcW w:w="764" w:type="dxa"/>
            <w:vAlign w:val="center"/>
          </w:tcPr>
          <w:p w14:paraId="53801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6F3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3B844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13</w:t>
            </w:r>
          </w:p>
        </w:tc>
        <w:tc>
          <w:tcPr>
            <w:tcW w:w="2258" w:type="dxa"/>
            <w:vAlign w:val="center"/>
          </w:tcPr>
          <w:p w14:paraId="7E739C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雅阳镇东安小学</w:t>
            </w:r>
          </w:p>
        </w:tc>
        <w:tc>
          <w:tcPr>
            <w:tcW w:w="2387" w:type="dxa"/>
            <w:vAlign w:val="center"/>
          </w:tcPr>
          <w:p w14:paraId="00679D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雅阳镇东安村</w:t>
            </w:r>
          </w:p>
        </w:tc>
        <w:tc>
          <w:tcPr>
            <w:tcW w:w="2273" w:type="dxa"/>
            <w:vAlign w:val="center"/>
          </w:tcPr>
          <w:p w14:paraId="420CF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泰顺县雅阳镇人民政府</w:t>
            </w:r>
          </w:p>
        </w:tc>
        <w:tc>
          <w:tcPr>
            <w:tcW w:w="969" w:type="dxa"/>
            <w:vAlign w:val="center"/>
          </w:tcPr>
          <w:p w14:paraId="45ADBD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465</w:t>
            </w:r>
          </w:p>
        </w:tc>
        <w:tc>
          <w:tcPr>
            <w:tcW w:w="764" w:type="dxa"/>
            <w:vAlign w:val="center"/>
          </w:tcPr>
          <w:p w14:paraId="3B983E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B7D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F6B52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14</w:t>
            </w:r>
          </w:p>
        </w:tc>
        <w:tc>
          <w:tcPr>
            <w:tcW w:w="2258" w:type="dxa"/>
            <w:vAlign w:val="center"/>
          </w:tcPr>
          <w:p w14:paraId="4519BC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翁山和平小学</w:t>
            </w:r>
          </w:p>
        </w:tc>
        <w:tc>
          <w:tcPr>
            <w:tcW w:w="2387" w:type="dxa"/>
            <w:vAlign w:val="center"/>
          </w:tcPr>
          <w:p w14:paraId="0CD124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翁山和平村</w:t>
            </w:r>
          </w:p>
        </w:tc>
        <w:tc>
          <w:tcPr>
            <w:tcW w:w="2273" w:type="dxa"/>
            <w:vAlign w:val="center"/>
          </w:tcPr>
          <w:p w14:paraId="082BA3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泰顺县筱村镇人民政府</w:t>
            </w:r>
          </w:p>
        </w:tc>
        <w:tc>
          <w:tcPr>
            <w:tcW w:w="969" w:type="dxa"/>
            <w:vAlign w:val="center"/>
          </w:tcPr>
          <w:p w14:paraId="37CA79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1085.7</w:t>
            </w:r>
          </w:p>
        </w:tc>
        <w:tc>
          <w:tcPr>
            <w:tcW w:w="764" w:type="dxa"/>
            <w:vAlign w:val="center"/>
          </w:tcPr>
          <w:p w14:paraId="66BAED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C0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1BB70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15</w:t>
            </w:r>
          </w:p>
        </w:tc>
        <w:tc>
          <w:tcPr>
            <w:tcW w:w="2258" w:type="dxa"/>
            <w:vAlign w:val="center"/>
          </w:tcPr>
          <w:p w14:paraId="0332B3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徐岙小学</w:t>
            </w:r>
          </w:p>
        </w:tc>
        <w:tc>
          <w:tcPr>
            <w:tcW w:w="2387" w:type="dxa"/>
            <w:vAlign w:val="center"/>
          </w:tcPr>
          <w:p w14:paraId="075616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徐岙村</w:t>
            </w:r>
          </w:p>
        </w:tc>
        <w:tc>
          <w:tcPr>
            <w:tcW w:w="2273" w:type="dxa"/>
            <w:vAlign w:val="center"/>
          </w:tcPr>
          <w:p w14:paraId="7A6BCE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泰顺县筱村镇人民政府</w:t>
            </w:r>
          </w:p>
        </w:tc>
        <w:tc>
          <w:tcPr>
            <w:tcW w:w="969" w:type="dxa"/>
            <w:vAlign w:val="center"/>
          </w:tcPr>
          <w:p w14:paraId="1ED43C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176</w:t>
            </w:r>
          </w:p>
        </w:tc>
        <w:tc>
          <w:tcPr>
            <w:tcW w:w="764" w:type="dxa"/>
            <w:vAlign w:val="center"/>
          </w:tcPr>
          <w:p w14:paraId="435CD4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8A68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A0C8D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16</w:t>
            </w:r>
          </w:p>
        </w:tc>
        <w:tc>
          <w:tcPr>
            <w:tcW w:w="2258" w:type="dxa"/>
            <w:vAlign w:val="center"/>
          </w:tcPr>
          <w:p w14:paraId="6304E5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翁山新源小学</w:t>
            </w:r>
          </w:p>
        </w:tc>
        <w:tc>
          <w:tcPr>
            <w:tcW w:w="2387" w:type="dxa"/>
            <w:vAlign w:val="center"/>
          </w:tcPr>
          <w:p w14:paraId="0E6AFF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翁山新源村</w:t>
            </w:r>
          </w:p>
        </w:tc>
        <w:tc>
          <w:tcPr>
            <w:tcW w:w="2273" w:type="dxa"/>
            <w:vAlign w:val="center"/>
          </w:tcPr>
          <w:p w14:paraId="2F1387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泰顺县筱村镇人民政府</w:t>
            </w:r>
          </w:p>
        </w:tc>
        <w:tc>
          <w:tcPr>
            <w:tcW w:w="969" w:type="dxa"/>
            <w:vAlign w:val="center"/>
          </w:tcPr>
          <w:p w14:paraId="087F1C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237.4</w:t>
            </w:r>
          </w:p>
        </w:tc>
        <w:tc>
          <w:tcPr>
            <w:tcW w:w="764" w:type="dxa"/>
            <w:vAlign w:val="center"/>
          </w:tcPr>
          <w:p w14:paraId="126849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73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B0AE6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w:t>
            </w:r>
          </w:p>
        </w:tc>
        <w:tc>
          <w:tcPr>
            <w:tcW w:w="2258" w:type="dxa"/>
            <w:vAlign w:val="center"/>
          </w:tcPr>
          <w:p w14:paraId="5A091E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筱村镇葛洋小学</w:t>
            </w:r>
          </w:p>
        </w:tc>
        <w:tc>
          <w:tcPr>
            <w:tcW w:w="2387" w:type="dxa"/>
            <w:vAlign w:val="center"/>
          </w:tcPr>
          <w:p w14:paraId="2424D3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筱村章前垟村</w:t>
            </w:r>
          </w:p>
        </w:tc>
        <w:tc>
          <w:tcPr>
            <w:tcW w:w="2273" w:type="dxa"/>
            <w:vAlign w:val="center"/>
          </w:tcPr>
          <w:p w14:paraId="256732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泰顺县筱村镇人民政府</w:t>
            </w:r>
          </w:p>
        </w:tc>
        <w:tc>
          <w:tcPr>
            <w:tcW w:w="969" w:type="dxa"/>
            <w:vAlign w:val="center"/>
          </w:tcPr>
          <w:p w14:paraId="6A3137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1201.4</w:t>
            </w:r>
          </w:p>
        </w:tc>
        <w:tc>
          <w:tcPr>
            <w:tcW w:w="764" w:type="dxa"/>
            <w:vAlign w:val="center"/>
          </w:tcPr>
          <w:p w14:paraId="1CDB57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502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3B6E2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18</w:t>
            </w:r>
          </w:p>
        </w:tc>
        <w:tc>
          <w:tcPr>
            <w:tcW w:w="2258" w:type="dxa"/>
            <w:vAlign w:val="center"/>
          </w:tcPr>
          <w:p w14:paraId="1E1824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西旸镇竹底小学</w:t>
            </w:r>
          </w:p>
        </w:tc>
        <w:tc>
          <w:tcPr>
            <w:tcW w:w="2387" w:type="dxa"/>
            <w:vAlign w:val="center"/>
          </w:tcPr>
          <w:p w14:paraId="7BA5C7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西旸底西坑村</w:t>
            </w:r>
          </w:p>
        </w:tc>
        <w:tc>
          <w:tcPr>
            <w:tcW w:w="2273" w:type="dxa"/>
            <w:vAlign w:val="center"/>
          </w:tcPr>
          <w:p w14:paraId="37EDE0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泰顺县西旸镇人民政府</w:t>
            </w:r>
          </w:p>
        </w:tc>
        <w:tc>
          <w:tcPr>
            <w:tcW w:w="969" w:type="dxa"/>
            <w:vAlign w:val="center"/>
          </w:tcPr>
          <w:p w14:paraId="073C40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424</w:t>
            </w:r>
          </w:p>
        </w:tc>
        <w:tc>
          <w:tcPr>
            <w:tcW w:w="764" w:type="dxa"/>
            <w:vAlign w:val="center"/>
          </w:tcPr>
          <w:p w14:paraId="653B71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67D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0440A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19</w:t>
            </w:r>
          </w:p>
        </w:tc>
        <w:tc>
          <w:tcPr>
            <w:tcW w:w="2258" w:type="dxa"/>
            <w:vAlign w:val="center"/>
          </w:tcPr>
          <w:p w14:paraId="1656A7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西旸镇底西坑小学</w:t>
            </w:r>
          </w:p>
        </w:tc>
        <w:tc>
          <w:tcPr>
            <w:tcW w:w="2387" w:type="dxa"/>
            <w:vAlign w:val="center"/>
          </w:tcPr>
          <w:p w14:paraId="348BE5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西旸底西坑村</w:t>
            </w:r>
          </w:p>
        </w:tc>
        <w:tc>
          <w:tcPr>
            <w:tcW w:w="2273" w:type="dxa"/>
            <w:vAlign w:val="center"/>
          </w:tcPr>
          <w:p w14:paraId="5ECABC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泰顺县西旸镇人民政府</w:t>
            </w:r>
          </w:p>
        </w:tc>
        <w:tc>
          <w:tcPr>
            <w:tcW w:w="969" w:type="dxa"/>
            <w:vAlign w:val="center"/>
          </w:tcPr>
          <w:p w14:paraId="3FCF79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341</w:t>
            </w:r>
          </w:p>
        </w:tc>
        <w:tc>
          <w:tcPr>
            <w:tcW w:w="764" w:type="dxa"/>
            <w:vAlign w:val="center"/>
          </w:tcPr>
          <w:p w14:paraId="1FA835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9B5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03C5B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w:t>
            </w:r>
          </w:p>
        </w:tc>
        <w:tc>
          <w:tcPr>
            <w:tcW w:w="2258" w:type="dxa"/>
            <w:vAlign w:val="center"/>
          </w:tcPr>
          <w:p w14:paraId="374A50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西旸镇可溪小学</w:t>
            </w:r>
          </w:p>
        </w:tc>
        <w:tc>
          <w:tcPr>
            <w:tcW w:w="2387" w:type="dxa"/>
            <w:vAlign w:val="center"/>
          </w:tcPr>
          <w:p w14:paraId="260976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西阳镇可溪村</w:t>
            </w:r>
          </w:p>
        </w:tc>
        <w:tc>
          <w:tcPr>
            <w:tcW w:w="2273" w:type="dxa"/>
            <w:vAlign w:val="center"/>
          </w:tcPr>
          <w:p w14:paraId="0B1BFE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泰顺县西旸镇人民政府</w:t>
            </w:r>
          </w:p>
        </w:tc>
        <w:tc>
          <w:tcPr>
            <w:tcW w:w="969" w:type="dxa"/>
            <w:vAlign w:val="center"/>
          </w:tcPr>
          <w:p w14:paraId="70882E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309</w:t>
            </w:r>
          </w:p>
        </w:tc>
        <w:tc>
          <w:tcPr>
            <w:tcW w:w="764" w:type="dxa"/>
            <w:vAlign w:val="center"/>
          </w:tcPr>
          <w:p w14:paraId="1B669A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9CD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BCB67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21</w:t>
            </w:r>
          </w:p>
        </w:tc>
        <w:tc>
          <w:tcPr>
            <w:tcW w:w="2258" w:type="dxa"/>
            <w:vAlign w:val="center"/>
          </w:tcPr>
          <w:p w14:paraId="72B76B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西旸镇外西坑小学</w:t>
            </w:r>
          </w:p>
        </w:tc>
        <w:tc>
          <w:tcPr>
            <w:tcW w:w="2387" w:type="dxa"/>
            <w:vAlign w:val="center"/>
          </w:tcPr>
          <w:p w14:paraId="7F6E9D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西旸外西坑村</w:t>
            </w:r>
          </w:p>
        </w:tc>
        <w:tc>
          <w:tcPr>
            <w:tcW w:w="2273" w:type="dxa"/>
            <w:vAlign w:val="center"/>
          </w:tcPr>
          <w:p w14:paraId="7959F9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泰顺县西旸镇人民政府</w:t>
            </w:r>
          </w:p>
        </w:tc>
        <w:tc>
          <w:tcPr>
            <w:tcW w:w="969" w:type="dxa"/>
            <w:vAlign w:val="center"/>
          </w:tcPr>
          <w:p w14:paraId="2F4107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366</w:t>
            </w:r>
          </w:p>
        </w:tc>
        <w:tc>
          <w:tcPr>
            <w:tcW w:w="764" w:type="dxa"/>
            <w:vAlign w:val="center"/>
          </w:tcPr>
          <w:p w14:paraId="4D1182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6A8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65D7B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22</w:t>
            </w:r>
          </w:p>
        </w:tc>
        <w:tc>
          <w:tcPr>
            <w:tcW w:w="2258" w:type="dxa"/>
            <w:vAlign w:val="center"/>
          </w:tcPr>
          <w:p w14:paraId="1ECCF5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西旸镇竹宅小学</w:t>
            </w:r>
          </w:p>
        </w:tc>
        <w:tc>
          <w:tcPr>
            <w:tcW w:w="2387" w:type="dxa"/>
            <w:vAlign w:val="center"/>
          </w:tcPr>
          <w:p w14:paraId="2D4D1D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西旸叶瑞洋村</w:t>
            </w:r>
          </w:p>
        </w:tc>
        <w:tc>
          <w:tcPr>
            <w:tcW w:w="2273" w:type="dxa"/>
            <w:vAlign w:val="center"/>
          </w:tcPr>
          <w:p w14:paraId="489467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泰顺县西旸镇人民政府</w:t>
            </w:r>
          </w:p>
        </w:tc>
        <w:tc>
          <w:tcPr>
            <w:tcW w:w="969" w:type="dxa"/>
            <w:vAlign w:val="center"/>
          </w:tcPr>
          <w:p w14:paraId="69A64A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238</w:t>
            </w:r>
          </w:p>
        </w:tc>
        <w:tc>
          <w:tcPr>
            <w:tcW w:w="764" w:type="dxa"/>
            <w:vAlign w:val="center"/>
          </w:tcPr>
          <w:p w14:paraId="361B8B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4BE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1A64A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23</w:t>
            </w:r>
          </w:p>
        </w:tc>
        <w:tc>
          <w:tcPr>
            <w:tcW w:w="2258" w:type="dxa"/>
            <w:vAlign w:val="center"/>
          </w:tcPr>
          <w:p w14:paraId="50FF5D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泗溪镇九峰小学</w:t>
            </w:r>
          </w:p>
        </w:tc>
        <w:tc>
          <w:tcPr>
            <w:tcW w:w="2387" w:type="dxa"/>
            <w:vAlign w:val="center"/>
          </w:tcPr>
          <w:p w14:paraId="618ABD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九峰村</w:t>
            </w:r>
          </w:p>
        </w:tc>
        <w:tc>
          <w:tcPr>
            <w:tcW w:w="2273" w:type="dxa"/>
            <w:vAlign w:val="center"/>
          </w:tcPr>
          <w:p w14:paraId="181247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798829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315</w:t>
            </w:r>
          </w:p>
        </w:tc>
        <w:tc>
          <w:tcPr>
            <w:tcW w:w="764" w:type="dxa"/>
            <w:vAlign w:val="center"/>
          </w:tcPr>
          <w:p w14:paraId="034319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9644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BF172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24</w:t>
            </w:r>
          </w:p>
        </w:tc>
        <w:tc>
          <w:tcPr>
            <w:tcW w:w="2258" w:type="dxa"/>
            <w:vAlign w:val="center"/>
          </w:tcPr>
          <w:p w14:paraId="2BAE3D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泗溪镇石门小学</w:t>
            </w:r>
          </w:p>
        </w:tc>
        <w:tc>
          <w:tcPr>
            <w:tcW w:w="2387" w:type="dxa"/>
            <w:vAlign w:val="center"/>
          </w:tcPr>
          <w:p w14:paraId="39C0A0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石门村</w:t>
            </w:r>
          </w:p>
        </w:tc>
        <w:tc>
          <w:tcPr>
            <w:tcW w:w="2273" w:type="dxa"/>
            <w:vAlign w:val="center"/>
          </w:tcPr>
          <w:p w14:paraId="1D7B52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791BB6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526.6</w:t>
            </w:r>
          </w:p>
        </w:tc>
        <w:tc>
          <w:tcPr>
            <w:tcW w:w="764" w:type="dxa"/>
            <w:vAlign w:val="center"/>
          </w:tcPr>
          <w:p w14:paraId="39069C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48B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89CDE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25</w:t>
            </w:r>
          </w:p>
        </w:tc>
        <w:tc>
          <w:tcPr>
            <w:tcW w:w="2258" w:type="dxa"/>
            <w:vAlign w:val="center"/>
          </w:tcPr>
          <w:p w14:paraId="690CAF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泗溪镇前坪小学</w:t>
            </w:r>
          </w:p>
        </w:tc>
        <w:tc>
          <w:tcPr>
            <w:tcW w:w="2387" w:type="dxa"/>
            <w:vAlign w:val="center"/>
          </w:tcPr>
          <w:p w14:paraId="3BA6D8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前坪外村猪场</w:t>
            </w:r>
          </w:p>
        </w:tc>
        <w:tc>
          <w:tcPr>
            <w:tcW w:w="2273" w:type="dxa"/>
            <w:vAlign w:val="center"/>
          </w:tcPr>
          <w:p w14:paraId="2C41EA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34A277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392</w:t>
            </w:r>
          </w:p>
        </w:tc>
        <w:tc>
          <w:tcPr>
            <w:tcW w:w="764" w:type="dxa"/>
            <w:vAlign w:val="center"/>
          </w:tcPr>
          <w:p w14:paraId="5AF900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41D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4E67A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26</w:t>
            </w:r>
          </w:p>
        </w:tc>
        <w:tc>
          <w:tcPr>
            <w:tcW w:w="2258" w:type="dxa"/>
            <w:vAlign w:val="center"/>
          </w:tcPr>
          <w:p w14:paraId="760372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泗溪镇斋堂小学</w:t>
            </w:r>
          </w:p>
        </w:tc>
        <w:tc>
          <w:tcPr>
            <w:tcW w:w="2387" w:type="dxa"/>
            <w:vAlign w:val="center"/>
          </w:tcPr>
          <w:p w14:paraId="2474B8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新和村</w:t>
            </w:r>
          </w:p>
        </w:tc>
        <w:tc>
          <w:tcPr>
            <w:tcW w:w="2273" w:type="dxa"/>
            <w:vAlign w:val="center"/>
          </w:tcPr>
          <w:p w14:paraId="68D9B5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6E704B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247</w:t>
            </w:r>
          </w:p>
        </w:tc>
        <w:tc>
          <w:tcPr>
            <w:tcW w:w="764" w:type="dxa"/>
            <w:vAlign w:val="center"/>
          </w:tcPr>
          <w:p w14:paraId="3D9130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16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E79D7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27</w:t>
            </w:r>
          </w:p>
        </w:tc>
        <w:tc>
          <w:tcPr>
            <w:tcW w:w="2258" w:type="dxa"/>
            <w:vAlign w:val="center"/>
          </w:tcPr>
          <w:p w14:paraId="380597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泗溪镇筠竹坑小学</w:t>
            </w:r>
          </w:p>
        </w:tc>
        <w:tc>
          <w:tcPr>
            <w:tcW w:w="2387" w:type="dxa"/>
            <w:vAlign w:val="center"/>
          </w:tcPr>
          <w:p w14:paraId="7700E3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泗溪筠竹坑</w:t>
            </w:r>
          </w:p>
        </w:tc>
        <w:tc>
          <w:tcPr>
            <w:tcW w:w="2273" w:type="dxa"/>
            <w:vAlign w:val="center"/>
          </w:tcPr>
          <w:p w14:paraId="7462FF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41FCFF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228</w:t>
            </w:r>
          </w:p>
        </w:tc>
        <w:tc>
          <w:tcPr>
            <w:tcW w:w="764" w:type="dxa"/>
            <w:vAlign w:val="center"/>
          </w:tcPr>
          <w:p w14:paraId="63908E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290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5C1F5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28</w:t>
            </w:r>
          </w:p>
        </w:tc>
        <w:tc>
          <w:tcPr>
            <w:tcW w:w="2258" w:type="dxa"/>
            <w:vAlign w:val="center"/>
          </w:tcPr>
          <w:p w14:paraId="17956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司前畲族镇黄桥中心小学</w:t>
            </w:r>
          </w:p>
        </w:tc>
        <w:tc>
          <w:tcPr>
            <w:tcW w:w="2387" w:type="dxa"/>
            <w:vAlign w:val="center"/>
          </w:tcPr>
          <w:p w14:paraId="1F2B4C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黄桥园桥自然村</w:t>
            </w:r>
          </w:p>
        </w:tc>
        <w:tc>
          <w:tcPr>
            <w:tcW w:w="2273" w:type="dxa"/>
            <w:vAlign w:val="center"/>
          </w:tcPr>
          <w:p w14:paraId="58F1ED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泰顺县司前畲族镇</w:t>
            </w:r>
          </w:p>
          <w:p w14:paraId="26269C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人民政府</w:t>
            </w:r>
          </w:p>
        </w:tc>
        <w:tc>
          <w:tcPr>
            <w:tcW w:w="969" w:type="dxa"/>
            <w:vAlign w:val="center"/>
          </w:tcPr>
          <w:p w14:paraId="29B8C4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1247.3</w:t>
            </w:r>
          </w:p>
        </w:tc>
        <w:tc>
          <w:tcPr>
            <w:tcW w:w="764" w:type="dxa"/>
            <w:vAlign w:val="center"/>
          </w:tcPr>
          <w:p w14:paraId="6CAFBC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B88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478C1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29</w:t>
            </w:r>
          </w:p>
        </w:tc>
        <w:tc>
          <w:tcPr>
            <w:tcW w:w="2258" w:type="dxa"/>
            <w:vAlign w:val="center"/>
          </w:tcPr>
          <w:p w14:paraId="520FBC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司前畲族镇台边小学</w:t>
            </w:r>
          </w:p>
        </w:tc>
        <w:tc>
          <w:tcPr>
            <w:tcW w:w="2387" w:type="dxa"/>
            <w:vAlign w:val="center"/>
          </w:tcPr>
          <w:p w14:paraId="0E81D2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司前台边自然村</w:t>
            </w:r>
          </w:p>
        </w:tc>
        <w:tc>
          <w:tcPr>
            <w:tcW w:w="2273" w:type="dxa"/>
            <w:vAlign w:val="center"/>
          </w:tcPr>
          <w:p w14:paraId="37DF53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泰顺县司前畲族镇</w:t>
            </w:r>
          </w:p>
          <w:p w14:paraId="7F26E4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人民政府</w:t>
            </w:r>
          </w:p>
        </w:tc>
        <w:tc>
          <w:tcPr>
            <w:tcW w:w="969" w:type="dxa"/>
            <w:vAlign w:val="center"/>
          </w:tcPr>
          <w:p w14:paraId="1FB7B3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1054</w:t>
            </w:r>
          </w:p>
        </w:tc>
        <w:tc>
          <w:tcPr>
            <w:tcW w:w="764" w:type="dxa"/>
            <w:vAlign w:val="center"/>
          </w:tcPr>
          <w:p w14:paraId="3FCEA1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FDE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C41AF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w:t>
            </w:r>
          </w:p>
        </w:tc>
        <w:tc>
          <w:tcPr>
            <w:tcW w:w="2258" w:type="dxa"/>
            <w:vAlign w:val="center"/>
          </w:tcPr>
          <w:p w14:paraId="140DFE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仕阳镇春英小学</w:t>
            </w:r>
          </w:p>
        </w:tc>
        <w:tc>
          <w:tcPr>
            <w:tcW w:w="2387" w:type="dxa"/>
            <w:vAlign w:val="center"/>
          </w:tcPr>
          <w:p w14:paraId="13D438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仕阳社区早阳村</w:t>
            </w:r>
          </w:p>
        </w:tc>
        <w:tc>
          <w:tcPr>
            <w:tcW w:w="2273" w:type="dxa"/>
            <w:vAlign w:val="center"/>
          </w:tcPr>
          <w:p w14:paraId="53EB20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2756E8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924</w:t>
            </w:r>
          </w:p>
        </w:tc>
        <w:tc>
          <w:tcPr>
            <w:tcW w:w="764" w:type="dxa"/>
            <w:vAlign w:val="center"/>
          </w:tcPr>
          <w:p w14:paraId="386B88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049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59518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31</w:t>
            </w:r>
          </w:p>
        </w:tc>
        <w:tc>
          <w:tcPr>
            <w:tcW w:w="2258" w:type="dxa"/>
            <w:vAlign w:val="center"/>
          </w:tcPr>
          <w:p w14:paraId="5427D9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仕阳镇小老校区</w:t>
            </w:r>
          </w:p>
        </w:tc>
        <w:tc>
          <w:tcPr>
            <w:tcW w:w="2387" w:type="dxa"/>
            <w:vAlign w:val="center"/>
          </w:tcPr>
          <w:p w14:paraId="5E57C2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仕阳社区溪东村</w:t>
            </w:r>
          </w:p>
        </w:tc>
        <w:tc>
          <w:tcPr>
            <w:tcW w:w="2273" w:type="dxa"/>
            <w:vAlign w:val="center"/>
          </w:tcPr>
          <w:p w14:paraId="678E0A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6F779E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1358</w:t>
            </w:r>
          </w:p>
        </w:tc>
        <w:tc>
          <w:tcPr>
            <w:tcW w:w="764" w:type="dxa"/>
            <w:vAlign w:val="center"/>
          </w:tcPr>
          <w:p w14:paraId="40E771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C21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6C3F5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32</w:t>
            </w:r>
          </w:p>
        </w:tc>
        <w:tc>
          <w:tcPr>
            <w:tcW w:w="2258" w:type="dxa"/>
            <w:vAlign w:val="center"/>
          </w:tcPr>
          <w:p w14:paraId="3AD83E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仕阳镇沙丘小学</w:t>
            </w:r>
          </w:p>
        </w:tc>
        <w:tc>
          <w:tcPr>
            <w:tcW w:w="2387" w:type="dxa"/>
            <w:vAlign w:val="center"/>
          </w:tcPr>
          <w:p w14:paraId="0726EE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仕阳社区沙丘村</w:t>
            </w:r>
          </w:p>
        </w:tc>
        <w:tc>
          <w:tcPr>
            <w:tcW w:w="2273" w:type="dxa"/>
            <w:vAlign w:val="center"/>
          </w:tcPr>
          <w:p w14:paraId="036F7D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11675E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113.9</w:t>
            </w:r>
          </w:p>
        </w:tc>
        <w:tc>
          <w:tcPr>
            <w:tcW w:w="764" w:type="dxa"/>
            <w:vAlign w:val="center"/>
          </w:tcPr>
          <w:p w14:paraId="5571EA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93B0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654AC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w:t>
            </w:r>
          </w:p>
        </w:tc>
        <w:tc>
          <w:tcPr>
            <w:tcW w:w="2258" w:type="dxa"/>
            <w:vAlign w:val="center"/>
          </w:tcPr>
          <w:p w14:paraId="0D9C1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仕阳镇洋西尾小学</w:t>
            </w:r>
          </w:p>
        </w:tc>
        <w:tc>
          <w:tcPr>
            <w:tcW w:w="2387" w:type="dxa"/>
            <w:vAlign w:val="center"/>
          </w:tcPr>
          <w:p w14:paraId="601DB6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仕阳社区洋西尾村</w:t>
            </w:r>
          </w:p>
        </w:tc>
        <w:tc>
          <w:tcPr>
            <w:tcW w:w="2273" w:type="dxa"/>
            <w:vAlign w:val="center"/>
          </w:tcPr>
          <w:p w14:paraId="1C0326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55B6FA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282.8</w:t>
            </w:r>
          </w:p>
        </w:tc>
        <w:tc>
          <w:tcPr>
            <w:tcW w:w="764" w:type="dxa"/>
            <w:vAlign w:val="center"/>
          </w:tcPr>
          <w:p w14:paraId="60BBB8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56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FCDDD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34</w:t>
            </w:r>
          </w:p>
        </w:tc>
        <w:tc>
          <w:tcPr>
            <w:tcW w:w="2258" w:type="dxa"/>
            <w:vAlign w:val="center"/>
          </w:tcPr>
          <w:p w14:paraId="0B02FD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龟湖乡茶坪坑小学</w:t>
            </w:r>
          </w:p>
        </w:tc>
        <w:tc>
          <w:tcPr>
            <w:tcW w:w="2387" w:type="dxa"/>
            <w:vAlign w:val="center"/>
          </w:tcPr>
          <w:p w14:paraId="2E4D5E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龟湖社区茶坪坑村</w:t>
            </w:r>
          </w:p>
        </w:tc>
        <w:tc>
          <w:tcPr>
            <w:tcW w:w="2273" w:type="dxa"/>
            <w:vAlign w:val="center"/>
          </w:tcPr>
          <w:p w14:paraId="734C68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泰顺县龟湖乡人民政府</w:t>
            </w:r>
          </w:p>
        </w:tc>
        <w:tc>
          <w:tcPr>
            <w:tcW w:w="969" w:type="dxa"/>
            <w:vAlign w:val="center"/>
          </w:tcPr>
          <w:p w14:paraId="685137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189</w:t>
            </w:r>
          </w:p>
        </w:tc>
        <w:tc>
          <w:tcPr>
            <w:tcW w:w="764" w:type="dxa"/>
            <w:vAlign w:val="center"/>
          </w:tcPr>
          <w:p w14:paraId="5E74EF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569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54D3B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w:t>
            </w:r>
          </w:p>
        </w:tc>
        <w:tc>
          <w:tcPr>
            <w:tcW w:w="2258" w:type="dxa"/>
            <w:vAlign w:val="center"/>
          </w:tcPr>
          <w:p w14:paraId="55029F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仕阳镇龙头小学</w:t>
            </w:r>
          </w:p>
        </w:tc>
        <w:tc>
          <w:tcPr>
            <w:tcW w:w="2387" w:type="dxa"/>
            <w:vAlign w:val="center"/>
          </w:tcPr>
          <w:p w14:paraId="721D92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章乡社区龙头村</w:t>
            </w:r>
          </w:p>
        </w:tc>
        <w:tc>
          <w:tcPr>
            <w:tcW w:w="2273" w:type="dxa"/>
            <w:vAlign w:val="center"/>
          </w:tcPr>
          <w:p w14:paraId="62DFC6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605A16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263</w:t>
            </w:r>
          </w:p>
        </w:tc>
        <w:tc>
          <w:tcPr>
            <w:tcW w:w="764" w:type="dxa"/>
            <w:vAlign w:val="center"/>
          </w:tcPr>
          <w:p w14:paraId="4F644C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2ED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8E9C6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36</w:t>
            </w:r>
          </w:p>
        </w:tc>
        <w:tc>
          <w:tcPr>
            <w:tcW w:w="2258" w:type="dxa"/>
            <w:vAlign w:val="center"/>
          </w:tcPr>
          <w:p w14:paraId="41A041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仕阳镇万排下排小学</w:t>
            </w:r>
          </w:p>
        </w:tc>
        <w:tc>
          <w:tcPr>
            <w:tcW w:w="2387" w:type="dxa"/>
            <w:vAlign w:val="center"/>
          </w:tcPr>
          <w:p w14:paraId="33B875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万排社区下排村</w:t>
            </w:r>
          </w:p>
        </w:tc>
        <w:tc>
          <w:tcPr>
            <w:tcW w:w="2273" w:type="dxa"/>
            <w:vAlign w:val="center"/>
          </w:tcPr>
          <w:p w14:paraId="51E451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5923EE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375</w:t>
            </w:r>
          </w:p>
        </w:tc>
        <w:tc>
          <w:tcPr>
            <w:tcW w:w="764" w:type="dxa"/>
            <w:vAlign w:val="center"/>
          </w:tcPr>
          <w:p w14:paraId="49A754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3B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0BDE8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37</w:t>
            </w:r>
          </w:p>
        </w:tc>
        <w:tc>
          <w:tcPr>
            <w:tcW w:w="2258" w:type="dxa"/>
            <w:vAlign w:val="center"/>
          </w:tcPr>
          <w:p w14:paraId="18C9F4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龟湖乡白岩小学</w:t>
            </w:r>
          </w:p>
        </w:tc>
        <w:tc>
          <w:tcPr>
            <w:tcW w:w="2387" w:type="dxa"/>
            <w:vAlign w:val="center"/>
          </w:tcPr>
          <w:p w14:paraId="01AA42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龟湖社区白岩村</w:t>
            </w:r>
          </w:p>
        </w:tc>
        <w:tc>
          <w:tcPr>
            <w:tcW w:w="2273" w:type="dxa"/>
            <w:vAlign w:val="center"/>
          </w:tcPr>
          <w:p w14:paraId="464C00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泰顺县龟湖乡人民政府</w:t>
            </w:r>
          </w:p>
        </w:tc>
        <w:tc>
          <w:tcPr>
            <w:tcW w:w="969" w:type="dxa"/>
            <w:vAlign w:val="center"/>
          </w:tcPr>
          <w:p w14:paraId="3358A6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267</w:t>
            </w:r>
          </w:p>
        </w:tc>
        <w:tc>
          <w:tcPr>
            <w:tcW w:w="764" w:type="dxa"/>
            <w:vAlign w:val="center"/>
          </w:tcPr>
          <w:p w14:paraId="15BC99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D9F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0DFCE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38</w:t>
            </w:r>
          </w:p>
        </w:tc>
        <w:tc>
          <w:tcPr>
            <w:tcW w:w="2258" w:type="dxa"/>
            <w:vAlign w:val="center"/>
          </w:tcPr>
          <w:p w14:paraId="610F57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龟湖乡董庄小学</w:t>
            </w:r>
          </w:p>
        </w:tc>
        <w:tc>
          <w:tcPr>
            <w:tcW w:w="2387" w:type="dxa"/>
            <w:vAlign w:val="center"/>
          </w:tcPr>
          <w:p w14:paraId="39E750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后章社区董庄村</w:t>
            </w:r>
          </w:p>
        </w:tc>
        <w:tc>
          <w:tcPr>
            <w:tcW w:w="2273" w:type="dxa"/>
            <w:vAlign w:val="center"/>
          </w:tcPr>
          <w:p w14:paraId="6ACABE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泰顺县龟湖乡人民政府</w:t>
            </w:r>
          </w:p>
        </w:tc>
        <w:tc>
          <w:tcPr>
            <w:tcW w:w="969" w:type="dxa"/>
            <w:vAlign w:val="center"/>
          </w:tcPr>
          <w:p w14:paraId="0DA741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678</w:t>
            </w:r>
          </w:p>
        </w:tc>
        <w:tc>
          <w:tcPr>
            <w:tcW w:w="764" w:type="dxa"/>
            <w:vAlign w:val="center"/>
          </w:tcPr>
          <w:p w14:paraId="3C2813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140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7F14A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39</w:t>
            </w:r>
          </w:p>
        </w:tc>
        <w:tc>
          <w:tcPr>
            <w:tcW w:w="2258" w:type="dxa"/>
            <w:vAlign w:val="center"/>
          </w:tcPr>
          <w:p w14:paraId="72C90E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雪溪镇北斗小学</w:t>
            </w:r>
          </w:p>
        </w:tc>
        <w:tc>
          <w:tcPr>
            <w:tcW w:w="2387" w:type="dxa"/>
            <w:vAlign w:val="center"/>
          </w:tcPr>
          <w:p w14:paraId="6D0465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雪临社区北斗村</w:t>
            </w:r>
          </w:p>
        </w:tc>
        <w:tc>
          <w:tcPr>
            <w:tcW w:w="2273" w:type="dxa"/>
            <w:vAlign w:val="center"/>
          </w:tcPr>
          <w:p w14:paraId="5F9273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泰顺县雪溪乡人民政府</w:t>
            </w:r>
          </w:p>
        </w:tc>
        <w:tc>
          <w:tcPr>
            <w:tcW w:w="969" w:type="dxa"/>
            <w:vAlign w:val="center"/>
          </w:tcPr>
          <w:p w14:paraId="258861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285</w:t>
            </w:r>
          </w:p>
        </w:tc>
        <w:tc>
          <w:tcPr>
            <w:tcW w:w="764" w:type="dxa"/>
            <w:vAlign w:val="center"/>
          </w:tcPr>
          <w:p w14:paraId="7143CA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55C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F9D3E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40</w:t>
            </w:r>
          </w:p>
        </w:tc>
        <w:tc>
          <w:tcPr>
            <w:tcW w:w="2258" w:type="dxa"/>
            <w:vAlign w:val="center"/>
          </w:tcPr>
          <w:p w14:paraId="5D787A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雪溪乡洋面小学</w:t>
            </w:r>
          </w:p>
        </w:tc>
        <w:tc>
          <w:tcPr>
            <w:tcW w:w="2387" w:type="dxa"/>
            <w:vAlign w:val="center"/>
          </w:tcPr>
          <w:p w14:paraId="72760F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雪溪社区洋面村</w:t>
            </w:r>
          </w:p>
        </w:tc>
        <w:tc>
          <w:tcPr>
            <w:tcW w:w="2273" w:type="dxa"/>
            <w:vAlign w:val="center"/>
          </w:tcPr>
          <w:p w14:paraId="60922D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泰顺县雪溪乡人民政府</w:t>
            </w:r>
          </w:p>
        </w:tc>
        <w:tc>
          <w:tcPr>
            <w:tcW w:w="969" w:type="dxa"/>
            <w:vAlign w:val="center"/>
          </w:tcPr>
          <w:p w14:paraId="7B3A55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180</w:t>
            </w:r>
          </w:p>
        </w:tc>
        <w:tc>
          <w:tcPr>
            <w:tcW w:w="764" w:type="dxa"/>
            <w:vAlign w:val="center"/>
          </w:tcPr>
          <w:p w14:paraId="71FC3C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50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29683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41</w:t>
            </w:r>
          </w:p>
        </w:tc>
        <w:tc>
          <w:tcPr>
            <w:tcW w:w="2258" w:type="dxa"/>
            <w:vAlign w:val="center"/>
          </w:tcPr>
          <w:p w14:paraId="354F5F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龟湖乡龙垟小学</w:t>
            </w:r>
          </w:p>
        </w:tc>
        <w:tc>
          <w:tcPr>
            <w:tcW w:w="2387" w:type="dxa"/>
            <w:vAlign w:val="center"/>
          </w:tcPr>
          <w:p w14:paraId="556D50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龟湖龙垟村</w:t>
            </w:r>
          </w:p>
        </w:tc>
        <w:tc>
          <w:tcPr>
            <w:tcW w:w="2273" w:type="dxa"/>
            <w:vAlign w:val="center"/>
          </w:tcPr>
          <w:p w14:paraId="18AB4C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12EDC6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320</w:t>
            </w:r>
          </w:p>
        </w:tc>
        <w:tc>
          <w:tcPr>
            <w:tcW w:w="764" w:type="dxa"/>
            <w:vAlign w:val="center"/>
          </w:tcPr>
          <w:p w14:paraId="103D8E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1F7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DA175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42</w:t>
            </w:r>
          </w:p>
        </w:tc>
        <w:tc>
          <w:tcPr>
            <w:tcW w:w="2258" w:type="dxa"/>
            <w:vAlign w:val="center"/>
          </w:tcPr>
          <w:p w14:paraId="1ABA7C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仕阳镇坑西小学</w:t>
            </w:r>
          </w:p>
        </w:tc>
        <w:tc>
          <w:tcPr>
            <w:tcW w:w="2387" w:type="dxa"/>
            <w:vAlign w:val="center"/>
          </w:tcPr>
          <w:p w14:paraId="49F131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章乡社区荣西村</w:t>
            </w:r>
          </w:p>
        </w:tc>
        <w:tc>
          <w:tcPr>
            <w:tcW w:w="2273" w:type="dxa"/>
            <w:vAlign w:val="center"/>
          </w:tcPr>
          <w:p w14:paraId="25D6CD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09BA40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229</w:t>
            </w:r>
          </w:p>
        </w:tc>
        <w:tc>
          <w:tcPr>
            <w:tcW w:w="764" w:type="dxa"/>
            <w:vAlign w:val="center"/>
          </w:tcPr>
          <w:p w14:paraId="7606F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83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7C68B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43</w:t>
            </w:r>
          </w:p>
        </w:tc>
        <w:tc>
          <w:tcPr>
            <w:tcW w:w="2258" w:type="dxa"/>
            <w:vAlign w:val="center"/>
          </w:tcPr>
          <w:p w14:paraId="44D155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仕阳镇赵垟小学</w:t>
            </w:r>
          </w:p>
        </w:tc>
        <w:tc>
          <w:tcPr>
            <w:tcW w:w="2387" w:type="dxa"/>
            <w:vAlign w:val="center"/>
          </w:tcPr>
          <w:p w14:paraId="031832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仕阳镇赵垟村</w:t>
            </w:r>
          </w:p>
        </w:tc>
        <w:tc>
          <w:tcPr>
            <w:tcW w:w="2273" w:type="dxa"/>
            <w:vAlign w:val="center"/>
          </w:tcPr>
          <w:p w14:paraId="50375D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657F27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376</w:t>
            </w:r>
          </w:p>
        </w:tc>
        <w:tc>
          <w:tcPr>
            <w:tcW w:w="764" w:type="dxa"/>
            <w:vAlign w:val="center"/>
          </w:tcPr>
          <w:p w14:paraId="5F56C5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96B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75E1C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44</w:t>
            </w:r>
          </w:p>
        </w:tc>
        <w:tc>
          <w:tcPr>
            <w:tcW w:w="2258" w:type="dxa"/>
            <w:vAlign w:val="center"/>
          </w:tcPr>
          <w:p w14:paraId="5E8E5F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三魁镇金加坑小学</w:t>
            </w:r>
          </w:p>
        </w:tc>
        <w:tc>
          <w:tcPr>
            <w:tcW w:w="2387" w:type="dxa"/>
            <w:vAlign w:val="center"/>
          </w:tcPr>
          <w:p w14:paraId="1E88D9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三魁镇金加坑村</w:t>
            </w:r>
          </w:p>
        </w:tc>
        <w:tc>
          <w:tcPr>
            <w:tcW w:w="2273" w:type="dxa"/>
            <w:vAlign w:val="center"/>
          </w:tcPr>
          <w:p w14:paraId="700A7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泰顺县三魁镇人民政府</w:t>
            </w:r>
          </w:p>
        </w:tc>
        <w:tc>
          <w:tcPr>
            <w:tcW w:w="969" w:type="dxa"/>
            <w:vAlign w:val="center"/>
          </w:tcPr>
          <w:p w14:paraId="1B535D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323</w:t>
            </w:r>
          </w:p>
        </w:tc>
        <w:tc>
          <w:tcPr>
            <w:tcW w:w="764" w:type="dxa"/>
            <w:vAlign w:val="center"/>
          </w:tcPr>
          <w:p w14:paraId="329490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C0B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BEEDE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45</w:t>
            </w:r>
          </w:p>
        </w:tc>
        <w:tc>
          <w:tcPr>
            <w:tcW w:w="2258" w:type="dxa"/>
            <w:vAlign w:val="center"/>
          </w:tcPr>
          <w:p w14:paraId="16F51E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三魁镇刘宅小学</w:t>
            </w:r>
          </w:p>
        </w:tc>
        <w:tc>
          <w:tcPr>
            <w:tcW w:w="2387" w:type="dxa"/>
            <w:vAlign w:val="center"/>
          </w:tcPr>
          <w:p w14:paraId="6260A2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三魁镇刘宅村</w:t>
            </w:r>
          </w:p>
        </w:tc>
        <w:tc>
          <w:tcPr>
            <w:tcW w:w="2273" w:type="dxa"/>
            <w:vAlign w:val="center"/>
          </w:tcPr>
          <w:p w14:paraId="56E4BA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泰顺县三魁镇人民政府</w:t>
            </w:r>
          </w:p>
        </w:tc>
        <w:tc>
          <w:tcPr>
            <w:tcW w:w="969" w:type="dxa"/>
            <w:vAlign w:val="center"/>
          </w:tcPr>
          <w:p w14:paraId="125684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1247</w:t>
            </w:r>
          </w:p>
        </w:tc>
        <w:tc>
          <w:tcPr>
            <w:tcW w:w="764" w:type="dxa"/>
            <w:vAlign w:val="center"/>
          </w:tcPr>
          <w:p w14:paraId="556A6C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06ED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32CA9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46</w:t>
            </w:r>
          </w:p>
        </w:tc>
        <w:tc>
          <w:tcPr>
            <w:tcW w:w="2258" w:type="dxa"/>
            <w:vAlign w:val="center"/>
          </w:tcPr>
          <w:p w14:paraId="27118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罗阳镇碑排小学</w:t>
            </w:r>
          </w:p>
        </w:tc>
        <w:tc>
          <w:tcPr>
            <w:tcW w:w="2387" w:type="dxa"/>
            <w:vAlign w:val="center"/>
          </w:tcPr>
          <w:p w14:paraId="460F35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罗阳碑排村</w:t>
            </w:r>
          </w:p>
        </w:tc>
        <w:tc>
          <w:tcPr>
            <w:tcW w:w="2273" w:type="dxa"/>
            <w:vAlign w:val="center"/>
          </w:tcPr>
          <w:p w14:paraId="18CA20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053DB7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453</w:t>
            </w:r>
          </w:p>
        </w:tc>
        <w:tc>
          <w:tcPr>
            <w:tcW w:w="764" w:type="dxa"/>
            <w:vAlign w:val="center"/>
          </w:tcPr>
          <w:p w14:paraId="6DD533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6E7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BE7D0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47</w:t>
            </w:r>
          </w:p>
        </w:tc>
        <w:tc>
          <w:tcPr>
            <w:tcW w:w="2258" w:type="dxa"/>
            <w:vAlign w:val="center"/>
          </w:tcPr>
          <w:p w14:paraId="3458B1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罗阳镇金湖南山小学</w:t>
            </w:r>
          </w:p>
        </w:tc>
        <w:tc>
          <w:tcPr>
            <w:tcW w:w="2387" w:type="dxa"/>
            <w:vAlign w:val="center"/>
          </w:tcPr>
          <w:p w14:paraId="6D654D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南山自然村</w:t>
            </w:r>
          </w:p>
        </w:tc>
        <w:tc>
          <w:tcPr>
            <w:tcW w:w="2273" w:type="dxa"/>
            <w:vAlign w:val="center"/>
          </w:tcPr>
          <w:p w14:paraId="5282EE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CEB46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266</w:t>
            </w:r>
          </w:p>
        </w:tc>
        <w:tc>
          <w:tcPr>
            <w:tcW w:w="764" w:type="dxa"/>
            <w:vAlign w:val="center"/>
          </w:tcPr>
          <w:p w14:paraId="2AF95C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9B4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70254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48</w:t>
            </w:r>
          </w:p>
        </w:tc>
        <w:tc>
          <w:tcPr>
            <w:tcW w:w="2258" w:type="dxa"/>
            <w:vAlign w:val="center"/>
          </w:tcPr>
          <w:p w14:paraId="211B71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罗阳镇南院温洋小学</w:t>
            </w:r>
          </w:p>
        </w:tc>
        <w:tc>
          <w:tcPr>
            <w:tcW w:w="2387" w:type="dxa"/>
            <w:vAlign w:val="center"/>
          </w:tcPr>
          <w:p w14:paraId="2A7201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南院育秀洋村温洋</w:t>
            </w:r>
          </w:p>
        </w:tc>
        <w:tc>
          <w:tcPr>
            <w:tcW w:w="2273" w:type="dxa"/>
            <w:vAlign w:val="center"/>
          </w:tcPr>
          <w:p w14:paraId="1AB1B5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406F6D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176</w:t>
            </w:r>
          </w:p>
        </w:tc>
        <w:tc>
          <w:tcPr>
            <w:tcW w:w="764" w:type="dxa"/>
            <w:vAlign w:val="center"/>
          </w:tcPr>
          <w:p w14:paraId="285A6E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A8B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6C765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49</w:t>
            </w:r>
          </w:p>
        </w:tc>
        <w:tc>
          <w:tcPr>
            <w:tcW w:w="2258" w:type="dxa"/>
            <w:vAlign w:val="center"/>
          </w:tcPr>
          <w:p w14:paraId="4877CB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罗阳镇文祥赤坑小学</w:t>
            </w:r>
          </w:p>
        </w:tc>
        <w:tc>
          <w:tcPr>
            <w:tcW w:w="2387" w:type="dxa"/>
            <w:vAlign w:val="center"/>
          </w:tcPr>
          <w:p w14:paraId="47D6DD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赤坑自然村</w:t>
            </w:r>
          </w:p>
        </w:tc>
        <w:tc>
          <w:tcPr>
            <w:tcW w:w="2273" w:type="dxa"/>
            <w:vAlign w:val="center"/>
          </w:tcPr>
          <w:p w14:paraId="77BB92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0CD455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584</w:t>
            </w:r>
          </w:p>
        </w:tc>
        <w:tc>
          <w:tcPr>
            <w:tcW w:w="764" w:type="dxa"/>
            <w:vAlign w:val="center"/>
          </w:tcPr>
          <w:p w14:paraId="065DAC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08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71396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50</w:t>
            </w:r>
          </w:p>
        </w:tc>
        <w:tc>
          <w:tcPr>
            <w:tcW w:w="2258" w:type="dxa"/>
            <w:vAlign w:val="center"/>
          </w:tcPr>
          <w:p w14:paraId="2A020B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罗阳镇下洪旺杭小学</w:t>
            </w:r>
          </w:p>
        </w:tc>
        <w:tc>
          <w:tcPr>
            <w:tcW w:w="2387" w:type="dxa"/>
            <w:vAlign w:val="center"/>
          </w:tcPr>
          <w:p w14:paraId="2931AE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下洪门楼底村旺坑自然村</w:t>
            </w:r>
          </w:p>
        </w:tc>
        <w:tc>
          <w:tcPr>
            <w:tcW w:w="2273" w:type="dxa"/>
            <w:vAlign w:val="center"/>
          </w:tcPr>
          <w:p w14:paraId="47A252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16B568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237</w:t>
            </w:r>
          </w:p>
        </w:tc>
        <w:tc>
          <w:tcPr>
            <w:tcW w:w="764" w:type="dxa"/>
            <w:vAlign w:val="center"/>
          </w:tcPr>
          <w:p w14:paraId="6A6159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5C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D3E84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w:t>
            </w:r>
          </w:p>
        </w:tc>
        <w:tc>
          <w:tcPr>
            <w:tcW w:w="2258" w:type="dxa"/>
            <w:vAlign w:val="center"/>
          </w:tcPr>
          <w:p w14:paraId="4CCEB1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罗阳镇洲岭瑞岭小学</w:t>
            </w:r>
          </w:p>
        </w:tc>
        <w:tc>
          <w:tcPr>
            <w:tcW w:w="2387" w:type="dxa"/>
            <w:vAlign w:val="center"/>
          </w:tcPr>
          <w:p w14:paraId="33313A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洲岭瑞岭自然村</w:t>
            </w:r>
          </w:p>
        </w:tc>
        <w:tc>
          <w:tcPr>
            <w:tcW w:w="2273" w:type="dxa"/>
            <w:vAlign w:val="center"/>
          </w:tcPr>
          <w:p w14:paraId="206E0F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10F365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242</w:t>
            </w:r>
          </w:p>
        </w:tc>
        <w:tc>
          <w:tcPr>
            <w:tcW w:w="764" w:type="dxa"/>
            <w:vAlign w:val="center"/>
          </w:tcPr>
          <w:p w14:paraId="59AC9A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9C7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073E6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52</w:t>
            </w:r>
          </w:p>
        </w:tc>
        <w:tc>
          <w:tcPr>
            <w:tcW w:w="2258" w:type="dxa"/>
            <w:vAlign w:val="center"/>
          </w:tcPr>
          <w:p w14:paraId="51B4D1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罗阳镇洲岭上舟洋小学</w:t>
            </w:r>
          </w:p>
        </w:tc>
        <w:tc>
          <w:tcPr>
            <w:tcW w:w="2387" w:type="dxa"/>
            <w:vAlign w:val="center"/>
          </w:tcPr>
          <w:p w14:paraId="28AF03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洲岭上舟洋自然村</w:t>
            </w:r>
          </w:p>
        </w:tc>
        <w:tc>
          <w:tcPr>
            <w:tcW w:w="2273" w:type="dxa"/>
            <w:vAlign w:val="center"/>
          </w:tcPr>
          <w:p w14:paraId="672E8A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8379C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694.5</w:t>
            </w:r>
          </w:p>
        </w:tc>
        <w:tc>
          <w:tcPr>
            <w:tcW w:w="764" w:type="dxa"/>
            <w:vAlign w:val="center"/>
          </w:tcPr>
          <w:p w14:paraId="7D74F2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0D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5C784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53</w:t>
            </w:r>
          </w:p>
        </w:tc>
        <w:tc>
          <w:tcPr>
            <w:tcW w:w="2258" w:type="dxa"/>
            <w:vAlign w:val="center"/>
          </w:tcPr>
          <w:p w14:paraId="0AC56B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罗阳镇洲岭下舟洋小学</w:t>
            </w:r>
          </w:p>
        </w:tc>
        <w:tc>
          <w:tcPr>
            <w:tcW w:w="2387" w:type="dxa"/>
            <w:vAlign w:val="center"/>
          </w:tcPr>
          <w:p w14:paraId="57B632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洲岭下舟洋自然村</w:t>
            </w:r>
          </w:p>
        </w:tc>
        <w:tc>
          <w:tcPr>
            <w:tcW w:w="2273" w:type="dxa"/>
            <w:vAlign w:val="center"/>
          </w:tcPr>
          <w:p w14:paraId="7C7CED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1C46D5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264</w:t>
            </w:r>
          </w:p>
        </w:tc>
        <w:tc>
          <w:tcPr>
            <w:tcW w:w="764" w:type="dxa"/>
            <w:vAlign w:val="center"/>
          </w:tcPr>
          <w:p w14:paraId="521C0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09F7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2CEC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54</w:t>
            </w:r>
          </w:p>
        </w:tc>
        <w:tc>
          <w:tcPr>
            <w:tcW w:w="2258" w:type="dxa"/>
            <w:vAlign w:val="center"/>
          </w:tcPr>
          <w:p w14:paraId="2349D1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罗阳镇洲岭小学老校区</w:t>
            </w:r>
          </w:p>
        </w:tc>
        <w:tc>
          <w:tcPr>
            <w:tcW w:w="2387" w:type="dxa"/>
            <w:vAlign w:val="center"/>
          </w:tcPr>
          <w:p w14:paraId="71F9FF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洲岭洲滨村</w:t>
            </w:r>
          </w:p>
        </w:tc>
        <w:tc>
          <w:tcPr>
            <w:tcW w:w="2273" w:type="dxa"/>
            <w:vAlign w:val="center"/>
          </w:tcPr>
          <w:p w14:paraId="340315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135C3A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788.6</w:t>
            </w:r>
          </w:p>
        </w:tc>
        <w:tc>
          <w:tcPr>
            <w:tcW w:w="764" w:type="dxa"/>
            <w:vAlign w:val="center"/>
          </w:tcPr>
          <w:p w14:paraId="6665D4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6C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78626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55</w:t>
            </w:r>
          </w:p>
        </w:tc>
        <w:tc>
          <w:tcPr>
            <w:tcW w:w="2258" w:type="dxa"/>
            <w:vAlign w:val="center"/>
          </w:tcPr>
          <w:p w14:paraId="096304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罗阳镇洲岭宅里小学</w:t>
            </w:r>
          </w:p>
        </w:tc>
        <w:tc>
          <w:tcPr>
            <w:tcW w:w="2387" w:type="dxa"/>
            <w:vAlign w:val="center"/>
          </w:tcPr>
          <w:p w14:paraId="5196B7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洲岭宅里自然村</w:t>
            </w:r>
          </w:p>
        </w:tc>
        <w:tc>
          <w:tcPr>
            <w:tcW w:w="2273" w:type="dxa"/>
            <w:vAlign w:val="center"/>
          </w:tcPr>
          <w:p w14:paraId="7D5B09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4E66B0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219</w:t>
            </w:r>
          </w:p>
        </w:tc>
        <w:tc>
          <w:tcPr>
            <w:tcW w:w="764" w:type="dxa"/>
            <w:vAlign w:val="center"/>
          </w:tcPr>
          <w:p w14:paraId="31FC9E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8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DD5CB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56</w:t>
            </w:r>
          </w:p>
        </w:tc>
        <w:tc>
          <w:tcPr>
            <w:tcW w:w="2258" w:type="dxa"/>
            <w:vAlign w:val="center"/>
          </w:tcPr>
          <w:p w14:paraId="388D60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罗阳镇三滩小学</w:t>
            </w:r>
          </w:p>
        </w:tc>
        <w:tc>
          <w:tcPr>
            <w:tcW w:w="2387" w:type="dxa"/>
            <w:vAlign w:val="center"/>
          </w:tcPr>
          <w:p w14:paraId="4774BB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罗阳镇三滩村</w:t>
            </w:r>
          </w:p>
        </w:tc>
        <w:tc>
          <w:tcPr>
            <w:tcW w:w="2273" w:type="dxa"/>
            <w:vAlign w:val="center"/>
          </w:tcPr>
          <w:p w14:paraId="419DF8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237E85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554.8</w:t>
            </w:r>
          </w:p>
        </w:tc>
        <w:tc>
          <w:tcPr>
            <w:tcW w:w="764" w:type="dxa"/>
            <w:vAlign w:val="center"/>
          </w:tcPr>
          <w:p w14:paraId="00F0F6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DE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065E9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57</w:t>
            </w:r>
          </w:p>
        </w:tc>
        <w:tc>
          <w:tcPr>
            <w:tcW w:w="2258" w:type="dxa"/>
            <w:vAlign w:val="center"/>
          </w:tcPr>
          <w:p w14:paraId="5F8156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罗阳镇下稔小学</w:t>
            </w:r>
          </w:p>
        </w:tc>
        <w:tc>
          <w:tcPr>
            <w:tcW w:w="2387" w:type="dxa"/>
            <w:vAlign w:val="center"/>
          </w:tcPr>
          <w:p w14:paraId="5DBA04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罗阳镇下稔村</w:t>
            </w:r>
          </w:p>
        </w:tc>
        <w:tc>
          <w:tcPr>
            <w:tcW w:w="2273" w:type="dxa"/>
            <w:vAlign w:val="center"/>
          </w:tcPr>
          <w:p w14:paraId="348278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1A6010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545.7</w:t>
            </w:r>
          </w:p>
        </w:tc>
        <w:tc>
          <w:tcPr>
            <w:tcW w:w="764" w:type="dxa"/>
            <w:vAlign w:val="center"/>
          </w:tcPr>
          <w:p w14:paraId="34DDE4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35B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FBE27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58</w:t>
            </w:r>
          </w:p>
        </w:tc>
        <w:tc>
          <w:tcPr>
            <w:tcW w:w="2258" w:type="dxa"/>
            <w:vAlign w:val="center"/>
          </w:tcPr>
          <w:p w14:paraId="2A8884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柳峰乡卓宅小学</w:t>
            </w:r>
          </w:p>
        </w:tc>
        <w:tc>
          <w:tcPr>
            <w:tcW w:w="2387" w:type="dxa"/>
            <w:vAlign w:val="center"/>
          </w:tcPr>
          <w:p w14:paraId="7CBAFA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柳峰乡卓宅村</w:t>
            </w:r>
          </w:p>
        </w:tc>
        <w:tc>
          <w:tcPr>
            <w:tcW w:w="2273" w:type="dxa"/>
            <w:vAlign w:val="center"/>
          </w:tcPr>
          <w:p w14:paraId="5C54B3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泰顺县柳峰乡人民政府</w:t>
            </w:r>
          </w:p>
        </w:tc>
        <w:tc>
          <w:tcPr>
            <w:tcW w:w="969" w:type="dxa"/>
            <w:vAlign w:val="center"/>
          </w:tcPr>
          <w:p w14:paraId="7CE6B4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564</w:t>
            </w:r>
          </w:p>
        </w:tc>
        <w:tc>
          <w:tcPr>
            <w:tcW w:w="764" w:type="dxa"/>
            <w:vAlign w:val="center"/>
          </w:tcPr>
          <w:p w14:paraId="305761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F6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606A6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59</w:t>
            </w:r>
          </w:p>
        </w:tc>
        <w:tc>
          <w:tcPr>
            <w:tcW w:w="2258" w:type="dxa"/>
            <w:vAlign w:val="center"/>
          </w:tcPr>
          <w:p w14:paraId="26CAA2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柳峰乡高场小学</w:t>
            </w:r>
          </w:p>
        </w:tc>
        <w:tc>
          <w:tcPr>
            <w:tcW w:w="2387" w:type="dxa"/>
            <w:vAlign w:val="center"/>
          </w:tcPr>
          <w:p w14:paraId="3FA98D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柳峰乡高场村</w:t>
            </w:r>
          </w:p>
        </w:tc>
        <w:tc>
          <w:tcPr>
            <w:tcW w:w="2273" w:type="dxa"/>
            <w:vAlign w:val="center"/>
          </w:tcPr>
          <w:p w14:paraId="19EABA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泰顺县柳峰乡人民政府</w:t>
            </w:r>
          </w:p>
        </w:tc>
        <w:tc>
          <w:tcPr>
            <w:tcW w:w="969" w:type="dxa"/>
            <w:vAlign w:val="center"/>
          </w:tcPr>
          <w:p w14:paraId="68168A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228</w:t>
            </w:r>
          </w:p>
        </w:tc>
        <w:tc>
          <w:tcPr>
            <w:tcW w:w="764" w:type="dxa"/>
            <w:vAlign w:val="center"/>
          </w:tcPr>
          <w:p w14:paraId="127342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584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BF9F1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60</w:t>
            </w:r>
          </w:p>
        </w:tc>
        <w:tc>
          <w:tcPr>
            <w:tcW w:w="2258" w:type="dxa"/>
            <w:vAlign w:val="center"/>
          </w:tcPr>
          <w:p w14:paraId="66C33B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柳峰乡山茶岚小学</w:t>
            </w:r>
          </w:p>
        </w:tc>
        <w:tc>
          <w:tcPr>
            <w:tcW w:w="2387" w:type="dxa"/>
            <w:vAlign w:val="center"/>
          </w:tcPr>
          <w:p w14:paraId="5591FB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柳峰乡山茶岚村</w:t>
            </w:r>
          </w:p>
        </w:tc>
        <w:tc>
          <w:tcPr>
            <w:tcW w:w="2273" w:type="dxa"/>
            <w:vAlign w:val="center"/>
          </w:tcPr>
          <w:p w14:paraId="77EF0E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泰顺县柳峰乡人民政府</w:t>
            </w:r>
          </w:p>
        </w:tc>
        <w:tc>
          <w:tcPr>
            <w:tcW w:w="969" w:type="dxa"/>
            <w:vAlign w:val="center"/>
          </w:tcPr>
          <w:p w14:paraId="7088AB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271</w:t>
            </w:r>
          </w:p>
        </w:tc>
        <w:tc>
          <w:tcPr>
            <w:tcW w:w="764" w:type="dxa"/>
            <w:vAlign w:val="center"/>
          </w:tcPr>
          <w:p w14:paraId="35AE97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919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1C4CF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61</w:t>
            </w:r>
          </w:p>
        </w:tc>
        <w:tc>
          <w:tcPr>
            <w:tcW w:w="2258" w:type="dxa"/>
            <w:vAlign w:val="center"/>
          </w:tcPr>
          <w:p w14:paraId="395EC6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凤垟乡洋头小学</w:t>
            </w:r>
          </w:p>
        </w:tc>
        <w:tc>
          <w:tcPr>
            <w:tcW w:w="2387" w:type="dxa"/>
            <w:vAlign w:val="center"/>
          </w:tcPr>
          <w:p w14:paraId="1ED0DD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三门洋村洋头自然村</w:t>
            </w:r>
          </w:p>
        </w:tc>
        <w:tc>
          <w:tcPr>
            <w:tcW w:w="2273" w:type="dxa"/>
            <w:vAlign w:val="center"/>
          </w:tcPr>
          <w:p w14:paraId="5BCE82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泰顺县凤垟乡人民政府</w:t>
            </w:r>
          </w:p>
        </w:tc>
        <w:tc>
          <w:tcPr>
            <w:tcW w:w="969" w:type="dxa"/>
            <w:vAlign w:val="center"/>
          </w:tcPr>
          <w:p w14:paraId="4FDAAC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238</w:t>
            </w:r>
          </w:p>
        </w:tc>
        <w:tc>
          <w:tcPr>
            <w:tcW w:w="764" w:type="dxa"/>
            <w:vAlign w:val="center"/>
          </w:tcPr>
          <w:p w14:paraId="5A3B73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1D5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B5584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62</w:t>
            </w:r>
          </w:p>
        </w:tc>
        <w:tc>
          <w:tcPr>
            <w:tcW w:w="2258" w:type="dxa"/>
            <w:vAlign w:val="center"/>
          </w:tcPr>
          <w:p w14:paraId="76102F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凤垟乡李洋小学</w:t>
            </w:r>
          </w:p>
        </w:tc>
        <w:tc>
          <w:tcPr>
            <w:tcW w:w="2387" w:type="dxa"/>
            <w:vAlign w:val="center"/>
          </w:tcPr>
          <w:p w14:paraId="1E7995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李洋村</w:t>
            </w:r>
          </w:p>
        </w:tc>
        <w:tc>
          <w:tcPr>
            <w:tcW w:w="2273" w:type="dxa"/>
            <w:vAlign w:val="center"/>
          </w:tcPr>
          <w:p w14:paraId="613054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泰顺县凤垟乡人民政府</w:t>
            </w:r>
          </w:p>
        </w:tc>
        <w:tc>
          <w:tcPr>
            <w:tcW w:w="969" w:type="dxa"/>
            <w:vAlign w:val="center"/>
          </w:tcPr>
          <w:p w14:paraId="6B1E92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166</w:t>
            </w:r>
          </w:p>
        </w:tc>
        <w:tc>
          <w:tcPr>
            <w:tcW w:w="764" w:type="dxa"/>
            <w:vAlign w:val="center"/>
          </w:tcPr>
          <w:p w14:paraId="7C8E54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BAC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47C82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63</w:t>
            </w:r>
          </w:p>
        </w:tc>
        <w:tc>
          <w:tcPr>
            <w:tcW w:w="2258" w:type="dxa"/>
            <w:vAlign w:val="center"/>
          </w:tcPr>
          <w:p w14:paraId="69A075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凤垟乡坑下小学</w:t>
            </w:r>
          </w:p>
        </w:tc>
        <w:tc>
          <w:tcPr>
            <w:tcW w:w="2387" w:type="dxa"/>
            <w:vAlign w:val="center"/>
          </w:tcPr>
          <w:p w14:paraId="6C91B8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三星村坑下自然村</w:t>
            </w:r>
          </w:p>
        </w:tc>
        <w:tc>
          <w:tcPr>
            <w:tcW w:w="2273" w:type="dxa"/>
            <w:vAlign w:val="center"/>
          </w:tcPr>
          <w:p w14:paraId="57F778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泰顺县凤垟乡人民政府</w:t>
            </w:r>
          </w:p>
        </w:tc>
        <w:tc>
          <w:tcPr>
            <w:tcW w:w="969" w:type="dxa"/>
            <w:vAlign w:val="center"/>
          </w:tcPr>
          <w:p w14:paraId="1E5F3A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279</w:t>
            </w:r>
          </w:p>
        </w:tc>
        <w:tc>
          <w:tcPr>
            <w:tcW w:w="764" w:type="dxa"/>
            <w:vAlign w:val="center"/>
          </w:tcPr>
          <w:p w14:paraId="23D89F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BE3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FC9F1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64</w:t>
            </w:r>
          </w:p>
        </w:tc>
        <w:tc>
          <w:tcPr>
            <w:tcW w:w="2258" w:type="dxa"/>
            <w:vAlign w:val="center"/>
          </w:tcPr>
          <w:p w14:paraId="737027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凤垟乡后斜小学</w:t>
            </w:r>
          </w:p>
        </w:tc>
        <w:tc>
          <w:tcPr>
            <w:tcW w:w="2387" w:type="dxa"/>
            <w:vAlign w:val="center"/>
          </w:tcPr>
          <w:p w14:paraId="5BC05F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三星村后斜自然村</w:t>
            </w:r>
          </w:p>
        </w:tc>
        <w:tc>
          <w:tcPr>
            <w:tcW w:w="2273" w:type="dxa"/>
            <w:vAlign w:val="center"/>
          </w:tcPr>
          <w:p w14:paraId="7A91EF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泰顺县凤垟乡人民政府</w:t>
            </w:r>
          </w:p>
        </w:tc>
        <w:tc>
          <w:tcPr>
            <w:tcW w:w="969" w:type="dxa"/>
            <w:vAlign w:val="center"/>
          </w:tcPr>
          <w:p w14:paraId="718CE4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192</w:t>
            </w:r>
          </w:p>
        </w:tc>
        <w:tc>
          <w:tcPr>
            <w:tcW w:w="764" w:type="dxa"/>
            <w:vAlign w:val="center"/>
          </w:tcPr>
          <w:p w14:paraId="4C2914D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D9C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C50B8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65</w:t>
            </w:r>
          </w:p>
        </w:tc>
        <w:tc>
          <w:tcPr>
            <w:tcW w:w="2258" w:type="dxa"/>
            <w:vAlign w:val="center"/>
          </w:tcPr>
          <w:p w14:paraId="3D5E21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东溪乡徐家庄小学</w:t>
            </w:r>
          </w:p>
        </w:tc>
        <w:tc>
          <w:tcPr>
            <w:tcW w:w="2387" w:type="dxa"/>
            <w:vAlign w:val="center"/>
          </w:tcPr>
          <w:p w14:paraId="136823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泗溪镇蔡宅村徐家庄</w:t>
            </w:r>
          </w:p>
        </w:tc>
        <w:tc>
          <w:tcPr>
            <w:tcW w:w="2273" w:type="dxa"/>
            <w:vAlign w:val="center"/>
          </w:tcPr>
          <w:p w14:paraId="2FF9B1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泰顺县东溪乡人民政府</w:t>
            </w:r>
          </w:p>
        </w:tc>
        <w:tc>
          <w:tcPr>
            <w:tcW w:w="969" w:type="dxa"/>
            <w:vAlign w:val="center"/>
          </w:tcPr>
          <w:p w14:paraId="02A7EF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125</w:t>
            </w:r>
          </w:p>
        </w:tc>
        <w:tc>
          <w:tcPr>
            <w:tcW w:w="764" w:type="dxa"/>
            <w:vAlign w:val="center"/>
          </w:tcPr>
          <w:p w14:paraId="0DA11A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28F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834D2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66</w:t>
            </w:r>
          </w:p>
        </w:tc>
        <w:tc>
          <w:tcPr>
            <w:tcW w:w="2258" w:type="dxa"/>
            <w:vAlign w:val="center"/>
          </w:tcPr>
          <w:p w14:paraId="18E4CA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东溪乡后宅洋小学</w:t>
            </w:r>
          </w:p>
        </w:tc>
        <w:tc>
          <w:tcPr>
            <w:tcW w:w="2387" w:type="dxa"/>
            <w:vAlign w:val="center"/>
          </w:tcPr>
          <w:p w14:paraId="2446C4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泗溪镇琴桥村后宅洋</w:t>
            </w:r>
          </w:p>
        </w:tc>
        <w:tc>
          <w:tcPr>
            <w:tcW w:w="2273" w:type="dxa"/>
            <w:vAlign w:val="center"/>
          </w:tcPr>
          <w:p w14:paraId="631AA1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泰顺县东溪乡人民政府</w:t>
            </w:r>
          </w:p>
        </w:tc>
        <w:tc>
          <w:tcPr>
            <w:tcW w:w="969" w:type="dxa"/>
            <w:vAlign w:val="center"/>
          </w:tcPr>
          <w:p w14:paraId="587989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336</w:t>
            </w:r>
          </w:p>
        </w:tc>
        <w:tc>
          <w:tcPr>
            <w:tcW w:w="764" w:type="dxa"/>
            <w:vAlign w:val="center"/>
          </w:tcPr>
          <w:p w14:paraId="0F3241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F3B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50212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67</w:t>
            </w:r>
          </w:p>
        </w:tc>
        <w:tc>
          <w:tcPr>
            <w:tcW w:w="2258" w:type="dxa"/>
            <w:vAlign w:val="center"/>
          </w:tcPr>
          <w:p w14:paraId="2B25DB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东溪乡秀溪小学</w:t>
            </w:r>
          </w:p>
        </w:tc>
        <w:tc>
          <w:tcPr>
            <w:tcW w:w="2387" w:type="dxa"/>
            <w:vAlign w:val="center"/>
          </w:tcPr>
          <w:p w14:paraId="619E95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泗溪镇秀溪村</w:t>
            </w:r>
          </w:p>
        </w:tc>
        <w:tc>
          <w:tcPr>
            <w:tcW w:w="2273" w:type="dxa"/>
            <w:vAlign w:val="center"/>
          </w:tcPr>
          <w:p w14:paraId="13CC5B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泰顺县东溪乡人民政府</w:t>
            </w:r>
          </w:p>
        </w:tc>
        <w:tc>
          <w:tcPr>
            <w:tcW w:w="969" w:type="dxa"/>
            <w:vAlign w:val="center"/>
          </w:tcPr>
          <w:p w14:paraId="39E86A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442</w:t>
            </w:r>
          </w:p>
        </w:tc>
        <w:tc>
          <w:tcPr>
            <w:tcW w:w="764" w:type="dxa"/>
            <w:vAlign w:val="center"/>
          </w:tcPr>
          <w:p w14:paraId="113824E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13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6F832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68</w:t>
            </w:r>
          </w:p>
        </w:tc>
        <w:tc>
          <w:tcPr>
            <w:tcW w:w="2258" w:type="dxa"/>
            <w:vAlign w:val="center"/>
          </w:tcPr>
          <w:p w14:paraId="3D4750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东溪乡矴步小学</w:t>
            </w:r>
          </w:p>
        </w:tc>
        <w:tc>
          <w:tcPr>
            <w:tcW w:w="2387" w:type="dxa"/>
            <w:vAlign w:val="center"/>
          </w:tcPr>
          <w:p w14:paraId="6671EB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泗溪镇琴桥村丁步头</w:t>
            </w:r>
          </w:p>
        </w:tc>
        <w:tc>
          <w:tcPr>
            <w:tcW w:w="2273" w:type="dxa"/>
            <w:vAlign w:val="center"/>
          </w:tcPr>
          <w:p w14:paraId="55EF88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泰顺县东溪乡人民政府</w:t>
            </w:r>
          </w:p>
        </w:tc>
        <w:tc>
          <w:tcPr>
            <w:tcW w:w="969" w:type="dxa"/>
            <w:vAlign w:val="center"/>
          </w:tcPr>
          <w:p w14:paraId="0482DE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583</w:t>
            </w:r>
          </w:p>
        </w:tc>
        <w:tc>
          <w:tcPr>
            <w:tcW w:w="764" w:type="dxa"/>
            <w:vAlign w:val="center"/>
          </w:tcPr>
          <w:p w14:paraId="680C02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E69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84AD9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69</w:t>
            </w:r>
          </w:p>
        </w:tc>
        <w:tc>
          <w:tcPr>
            <w:tcW w:w="2258" w:type="dxa"/>
            <w:vAlign w:val="center"/>
          </w:tcPr>
          <w:p w14:paraId="512A43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东溪乡吾坪小学</w:t>
            </w:r>
          </w:p>
        </w:tc>
        <w:tc>
          <w:tcPr>
            <w:tcW w:w="2387" w:type="dxa"/>
            <w:vAlign w:val="center"/>
          </w:tcPr>
          <w:p w14:paraId="33C0AE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泗溪镇吾坪村</w:t>
            </w:r>
          </w:p>
        </w:tc>
        <w:tc>
          <w:tcPr>
            <w:tcW w:w="2273" w:type="dxa"/>
            <w:vAlign w:val="center"/>
          </w:tcPr>
          <w:p w14:paraId="770045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泰顺县东溪乡人民政府</w:t>
            </w:r>
          </w:p>
        </w:tc>
        <w:tc>
          <w:tcPr>
            <w:tcW w:w="969" w:type="dxa"/>
            <w:vAlign w:val="center"/>
          </w:tcPr>
          <w:p w14:paraId="0FFD68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208</w:t>
            </w:r>
          </w:p>
        </w:tc>
        <w:tc>
          <w:tcPr>
            <w:tcW w:w="764" w:type="dxa"/>
            <w:vAlign w:val="center"/>
          </w:tcPr>
          <w:p w14:paraId="5C1976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C412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00977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70</w:t>
            </w:r>
          </w:p>
        </w:tc>
        <w:tc>
          <w:tcPr>
            <w:tcW w:w="2258" w:type="dxa"/>
            <w:vAlign w:val="center"/>
          </w:tcPr>
          <w:p w14:paraId="63B97A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大安乡上后洋小学</w:t>
            </w:r>
          </w:p>
        </w:tc>
        <w:tc>
          <w:tcPr>
            <w:tcW w:w="2387" w:type="dxa"/>
            <w:vAlign w:val="center"/>
          </w:tcPr>
          <w:p w14:paraId="49B5CB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大安乡上后洋村</w:t>
            </w:r>
          </w:p>
        </w:tc>
        <w:tc>
          <w:tcPr>
            <w:tcW w:w="2273" w:type="dxa"/>
            <w:vAlign w:val="center"/>
          </w:tcPr>
          <w:p w14:paraId="0AA7AE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泰顺县大安乡人民政府</w:t>
            </w:r>
          </w:p>
        </w:tc>
        <w:tc>
          <w:tcPr>
            <w:tcW w:w="969" w:type="dxa"/>
            <w:vAlign w:val="center"/>
          </w:tcPr>
          <w:p w14:paraId="1FAB29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730.8</w:t>
            </w:r>
          </w:p>
        </w:tc>
        <w:tc>
          <w:tcPr>
            <w:tcW w:w="764" w:type="dxa"/>
            <w:vAlign w:val="center"/>
          </w:tcPr>
          <w:p w14:paraId="777B44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325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AE183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71</w:t>
            </w:r>
          </w:p>
        </w:tc>
        <w:tc>
          <w:tcPr>
            <w:tcW w:w="2258" w:type="dxa"/>
            <w:vAlign w:val="center"/>
          </w:tcPr>
          <w:p w14:paraId="356E1E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大安乡大岗后小学</w:t>
            </w:r>
          </w:p>
        </w:tc>
        <w:tc>
          <w:tcPr>
            <w:tcW w:w="2387" w:type="dxa"/>
            <w:vAlign w:val="center"/>
          </w:tcPr>
          <w:p w14:paraId="686F47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大安乡大岗后村</w:t>
            </w:r>
          </w:p>
        </w:tc>
        <w:tc>
          <w:tcPr>
            <w:tcW w:w="2273" w:type="dxa"/>
            <w:vAlign w:val="center"/>
          </w:tcPr>
          <w:p w14:paraId="7766C5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泰顺县大安乡人民政府</w:t>
            </w:r>
          </w:p>
        </w:tc>
        <w:tc>
          <w:tcPr>
            <w:tcW w:w="969" w:type="dxa"/>
            <w:vAlign w:val="center"/>
          </w:tcPr>
          <w:p w14:paraId="61749F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201.6</w:t>
            </w:r>
          </w:p>
        </w:tc>
        <w:tc>
          <w:tcPr>
            <w:tcW w:w="764" w:type="dxa"/>
            <w:vAlign w:val="center"/>
          </w:tcPr>
          <w:p w14:paraId="4C10E3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76F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96237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72</w:t>
            </w:r>
          </w:p>
        </w:tc>
        <w:tc>
          <w:tcPr>
            <w:tcW w:w="2258" w:type="dxa"/>
            <w:vAlign w:val="center"/>
          </w:tcPr>
          <w:p w14:paraId="23E77C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东溪乡积库学校</w:t>
            </w:r>
          </w:p>
        </w:tc>
        <w:tc>
          <w:tcPr>
            <w:tcW w:w="2387" w:type="dxa"/>
            <w:vAlign w:val="center"/>
          </w:tcPr>
          <w:p w14:paraId="2E3CF5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泰顺县东溪乡普城村</w:t>
            </w:r>
          </w:p>
        </w:tc>
        <w:tc>
          <w:tcPr>
            <w:tcW w:w="2273" w:type="dxa"/>
            <w:vAlign w:val="center"/>
          </w:tcPr>
          <w:p w14:paraId="0F5304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泰顺县东溪乡人民政府</w:t>
            </w:r>
          </w:p>
        </w:tc>
        <w:tc>
          <w:tcPr>
            <w:tcW w:w="969" w:type="dxa"/>
            <w:vAlign w:val="center"/>
          </w:tcPr>
          <w:p w14:paraId="6F0EF3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729</w:t>
            </w:r>
          </w:p>
        </w:tc>
        <w:tc>
          <w:tcPr>
            <w:tcW w:w="764" w:type="dxa"/>
            <w:vAlign w:val="center"/>
          </w:tcPr>
          <w:p w14:paraId="0F0759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03A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583" w:type="dxa"/>
            <w:vAlign w:val="center"/>
          </w:tcPr>
          <w:p w14:paraId="685FEC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w:t>
            </w:r>
          </w:p>
        </w:tc>
        <w:tc>
          <w:tcPr>
            <w:tcW w:w="2258" w:type="dxa"/>
            <w:vAlign w:val="center"/>
          </w:tcPr>
          <w:p w14:paraId="18B046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中佳廊桥康养中心</w:t>
            </w:r>
          </w:p>
        </w:tc>
        <w:tc>
          <w:tcPr>
            <w:tcW w:w="2387" w:type="dxa"/>
            <w:vAlign w:val="center"/>
          </w:tcPr>
          <w:p w14:paraId="30685D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泰顺县泗溪镇南溪村</w:t>
            </w:r>
          </w:p>
        </w:tc>
        <w:tc>
          <w:tcPr>
            <w:tcW w:w="2273" w:type="dxa"/>
            <w:vAlign w:val="center"/>
          </w:tcPr>
          <w:p w14:paraId="4DE519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泰顺县县民政局</w:t>
            </w:r>
          </w:p>
        </w:tc>
        <w:tc>
          <w:tcPr>
            <w:tcW w:w="969" w:type="dxa"/>
            <w:vAlign w:val="center"/>
          </w:tcPr>
          <w:p w14:paraId="09C9CE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9882.22</w:t>
            </w:r>
          </w:p>
        </w:tc>
        <w:tc>
          <w:tcPr>
            <w:tcW w:w="764" w:type="dxa"/>
            <w:vAlign w:val="center"/>
          </w:tcPr>
          <w:p w14:paraId="0D2476C6">
            <w:pPr>
              <w:keepNext w:val="0"/>
              <w:keepLines w:val="0"/>
              <w:widowControl/>
              <w:suppressLineNumbers w:val="0"/>
              <w:jc w:val="center"/>
              <w:textAlignment w:val="center"/>
              <w:rPr>
                <w:rFonts w:hint="eastAsia"/>
                <w:spacing w:val="20"/>
                <w:szCs w:val="21"/>
                <w:highlight w:val="none"/>
                <w:vertAlign w:val="baseline"/>
                <w:lang w:eastAsia="zh-CN"/>
              </w:rPr>
            </w:pPr>
          </w:p>
        </w:tc>
      </w:tr>
      <w:tr w14:paraId="3745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62712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74</w:t>
            </w:r>
          </w:p>
        </w:tc>
        <w:tc>
          <w:tcPr>
            <w:tcW w:w="2258" w:type="dxa"/>
            <w:vAlign w:val="center"/>
          </w:tcPr>
          <w:p w14:paraId="5D4DED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睦邻颐养中心</w:t>
            </w:r>
          </w:p>
        </w:tc>
        <w:tc>
          <w:tcPr>
            <w:tcW w:w="2387" w:type="dxa"/>
            <w:vAlign w:val="center"/>
          </w:tcPr>
          <w:p w14:paraId="157499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泰顺县三魁镇刘宅村</w:t>
            </w:r>
          </w:p>
        </w:tc>
        <w:tc>
          <w:tcPr>
            <w:tcW w:w="2273" w:type="dxa"/>
            <w:vAlign w:val="center"/>
          </w:tcPr>
          <w:p w14:paraId="0107CA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泰顺县三魁镇人民政府</w:t>
            </w:r>
          </w:p>
        </w:tc>
        <w:tc>
          <w:tcPr>
            <w:tcW w:w="969" w:type="dxa"/>
            <w:vAlign w:val="center"/>
          </w:tcPr>
          <w:p w14:paraId="14B544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8754.62</w:t>
            </w:r>
          </w:p>
        </w:tc>
        <w:tc>
          <w:tcPr>
            <w:tcW w:w="764" w:type="dxa"/>
            <w:vAlign w:val="center"/>
          </w:tcPr>
          <w:p w14:paraId="54E7E70C">
            <w:pPr>
              <w:keepNext w:val="0"/>
              <w:keepLines w:val="0"/>
              <w:widowControl/>
              <w:suppressLineNumbers w:val="0"/>
              <w:jc w:val="center"/>
              <w:textAlignment w:val="center"/>
              <w:rPr>
                <w:rFonts w:hint="eastAsia"/>
                <w:spacing w:val="20"/>
                <w:szCs w:val="21"/>
                <w:highlight w:val="none"/>
                <w:vertAlign w:val="baseline"/>
                <w:lang w:eastAsia="zh-CN"/>
              </w:rPr>
            </w:pPr>
          </w:p>
        </w:tc>
      </w:tr>
      <w:tr w14:paraId="42FE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38021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w:t>
            </w:r>
          </w:p>
        </w:tc>
        <w:tc>
          <w:tcPr>
            <w:tcW w:w="2258" w:type="dxa"/>
            <w:vAlign w:val="center"/>
          </w:tcPr>
          <w:p w14:paraId="02F72E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罗阳镇颐乐如养老院</w:t>
            </w:r>
          </w:p>
        </w:tc>
        <w:tc>
          <w:tcPr>
            <w:tcW w:w="2387" w:type="dxa"/>
            <w:vAlign w:val="center"/>
          </w:tcPr>
          <w:p w14:paraId="5605C7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泰顺县罗阳镇白溪村龙井坑</w:t>
            </w:r>
          </w:p>
        </w:tc>
        <w:tc>
          <w:tcPr>
            <w:tcW w:w="2273" w:type="dxa"/>
            <w:vAlign w:val="center"/>
          </w:tcPr>
          <w:p w14:paraId="5A0E27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9E1A8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1630</w:t>
            </w:r>
          </w:p>
        </w:tc>
        <w:tc>
          <w:tcPr>
            <w:tcW w:w="764" w:type="dxa"/>
            <w:vAlign w:val="center"/>
          </w:tcPr>
          <w:p w14:paraId="3EF086C0">
            <w:pPr>
              <w:keepNext w:val="0"/>
              <w:keepLines w:val="0"/>
              <w:widowControl/>
              <w:suppressLineNumbers w:val="0"/>
              <w:jc w:val="center"/>
              <w:textAlignment w:val="center"/>
              <w:rPr>
                <w:rFonts w:hint="eastAsia"/>
                <w:spacing w:val="20"/>
                <w:szCs w:val="21"/>
                <w:highlight w:val="none"/>
                <w:vertAlign w:val="baseline"/>
                <w:lang w:eastAsia="zh-CN"/>
              </w:rPr>
            </w:pPr>
          </w:p>
        </w:tc>
      </w:tr>
      <w:tr w14:paraId="7B25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C029E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76</w:t>
            </w:r>
          </w:p>
        </w:tc>
        <w:tc>
          <w:tcPr>
            <w:tcW w:w="2258" w:type="dxa"/>
            <w:vAlign w:val="center"/>
          </w:tcPr>
          <w:p w14:paraId="4D1D91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筱村镇中心敬老院</w:t>
            </w:r>
          </w:p>
        </w:tc>
        <w:tc>
          <w:tcPr>
            <w:tcW w:w="2387" w:type="dxa"/>
            <w:vAlign w:val="center"/>
          </w:tcPr>
          <w:p w14:paraId="0E78E1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泰顺县筱村镇东洋村村尾</w:t>
            </w:r>
          </w:p>
        </w:tc>
        <w:tc>
          <w:tcPr>
            <w:tcW w:w="2273" w:type="dxa"/>
            <w:vAlign w:val="center"/>
          </w:tcPr>
          <w:p w14:paraId="246F7C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泰顺县筱村镇人民政府</w:t>
            </w:r>
          </w:p>
        </w:tc>
        <w:tc>
          <w:tcPr>
            <w:tcW w:w="969" w:type="dxa"/>
            <w:vAlign w:val="center"/>
          </w:tcPr>
          <w:p w14:paraId="5D96D9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2139.3</w:t>
            </w:r>
          </w:p>
        </w:tc>
        <w:tc>
          <w:tcPr>
            <w:tcW w:w="764" w:type="dxa"/>
          </w:tcPr>
          <w:p w14:paraId="436EC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9F0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10137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77</w:t>
            </w:r>
          </w:p>
        </w:tc>
        <w:tc>
          <w:tcPr>
            <w:tcW w:w="2258" w:type="dxa"/>
            <w:vAlign w:val="center"/>
          </w:tcPr>
          <w:p w14:paraId="7828E7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仕阳镇中心敬老院</w:t>
            </w:r>
          </w:p>
        </w:tc>
        <w:tc>
          <w:tcPr>
            <w:tcW w:w="2387" w:type="dxa"/>
            <w:vAlign w:val="center"/>
          </w:tcPr>
          <w:p w14:paraId="1B5DD5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泰顺县仕阳镇溪东村上沙江</w:t>
            </w:r>
          </w:p>
        </w:tc>
        <w:tc>
          <w:tcPr>
            <w:tcW w:w="2273" w:type="dxa"/>
            <w:vAlign w:val="center"/>
          </w:tcPr>
          <w:p w14:paraId="05766C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泰顺县仕阳镇人民政府</w:t>
            </w:r>
          </w:p>
        </w:tc>
        <w:tc>
          <w:tcPr>
            <w:tcW w:w="969" w:type="dxa"/>
            <w:vAlign w:val="center"/>
          </w:tcPr>
          <w:p w14:paraId="3332C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1283.24</w:t>
            </w:r>
          </w:p>
        </w:tc>
        <w:tc>
          <w:tcPr>
            <w:tcW w:w="764" w:type="dxa"/>
          </w:tcPr>
          <w:p w14:paraId="7A475F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9F4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78279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78</w:t>
            </w:r>
          </w:p>
        </w:tc>
        <w:tc>
          <w:tcPr>
            <w:tcW w:w="2258" w:type="dxa"/>
            <w:vAlign w:val="center"/>
          </w:tcPr>
          <w:p w14:paraId="2C61EA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雅阳镇慈善敬老院</w:t>
            </w:r>
          </w:p>
        </w:tc>
        <w:tc>
          <w:tcPr>
            <w:tcW w:w="2387" w:type="dxa"/>
            <w:vAlign w:val="center"/>
          </w:tcPr>
          <w:p w14:paraId="0833CC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泰顺县雅阳镇和平村</w:t>
            </w:r>
          </w:p>
        </w:tc>
        <w:tc>
          <w:tcPr>
            <w:tcW w:w="2273" w:type="dxa"/>
            <w:vAlign w:val="center"/>
          </w:tcPr>
          <w:p w14:paraId="48EE94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泰顺县雅阳镇人民政府</w:t>
            </w:r>
          </w:p>
        </w:tc>
        <w:tc>
          <w:tcPr>
            <w:tcW w:w="969" w:type="dxa"/>
            <w:vAlign w:val="center"/>
          </w:tcPr>
          <w:p w14:paraId="1517E0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2500</w:t>
            </w:r>
          </w:p>
        </w:tc>
        <w:tc>
          <w:tcPr>
            <w:tcW w:w="764" w:type="dxa"/>
          </w:tcPr>
          <w:p w14:paraId="109705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E77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5F204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79</w:t>
            </w:r>
          </w:p>
        </w:tc>
        <w:tc>
          <w:tcPr>
            <w:tcW w:w="2258" w:type="dxa"/>
            <w:vAlign w:val="center"/>
          </w:tcPr>
          <w:p w14:paraId="66BC0A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彭溪镇中心敬老院</w:t>
            </w:r>
          </w:p>
        </w:tc>
        <w:tc>
          <w:tcPr>
            <w:tcW w:w="2387" w:type="dxa"/>
            <w:vAlign w:val="center"/>
          </w:tcPr>
          <w:p w14:paraId="16ED80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泰顺县彭溪镇外垟村</w:t>
            </w:r>
          </w:p>
        </w:tc>
        <w:tc>
          <w:tcPr>
            <w:tcW w:w="2273" w:type="dxa"/>
            <w:vAlign w:val="center"/>
          </w:tcPr>
          <w:p w14:paraId="1D908F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泰顺县彭溪镇人民政府</w:t>
            </w:r>
          </w:p>
        </w:tc>
        <w:tc>
          <w:tcPr>
            <w:tcW w:w="969" w:type="dxa"/>
            <w:vAlign w:val="center"/>
          </w:tcPr>
          <w:p w14:paraId="33C048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2442.29</w:t>
            </w:r>
          </w:p>
        </w:tc>
        <w:tc>
          <w:tcPr>
            <w:tcW w:w="764" w:type="dxa"/>
          </w:tcPr>
          <w:p w14:paraId="41155B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B2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4D251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80</w:t>
            </w:r>
          </w:p>
        </w:tc>
        <w:tc>
          <w:tcPr>
            <w:tcW w:w="2258" w:type="dxa"/>
            <w:vAlign w:val="center"/>
          </w:tcPr>
          <w:p w14:paraId="733CAC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泰顺县北辰养老服务中心</w:t>
            </w:r>
          </w:p>
        </w:tc>
        <w:tc>
          <w:tcPr>
            <w:tcW w:w="2387" w:type="dxa"/>
            <w:vAlign w:val="center"/>
          </w:tcPr>
          <w:p w14:paraId="3E716D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泰顺县罗阳镇无区域生态移民区“阳光家园･夏风苑”1#、2#、3#楼二楼</w:t>
            </w:r>
          </w:p>
        </w:tc>
        <w:tc>
          <w:tcPr>
            <w:tcW w:w="2273" w:type="dxa"/>
            <w:vAlign w:val="center"/>
          </w:tcPr>
          <w:p w14:paraId="0242F4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泰顺县民政局</w:t>
            </w:r>
          </w:p>
        </w:tc>
        <w:tc>
          <w:tcPr>
            <w:tcW w:w="969" w:type="dxa"/>
            <w:vAlign w:val="center"/>
          </w:tcPr>
          <w:p w14:paraId="6D4BEC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1298.9</w:t>
            </w:r>
          </w:p>
        </w:tc>
        <w:tc>
          <w:tcPr>
            <w:tcW w:w="764" w:type="dxa"/>
          </w:tcPr>
          <w:p w14:paraId="6B4787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78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5FFB7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81</w:t>
            </w:r>
          </w:p>
        </w:tc>
        <w:tc>
          <w:tcPr>
            <w:tcW w:w="2258" w:type="dxa"/>
            <w:vAlign w:val="center"/>
          </w:tcPr>
          <w:p w14:paraId="05C945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司前畲族镇养老服务中心</w:t>
            </w:r>
          </w:p>
        </w:tc>
        <w:tc>
          <w:tcPr>
            <w:tcW w:w="2387" w:type="dxa"/>
            <w:vAlign w:val="center"/>
          </w:tcPr>
          <w:p w14:paraId="71A1D8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273" w:type="dxa"/>
            <w:vAlign w:val="center"/>
          </w:tcPr>
          <w:p w14:paraId="6266CC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泰顺县司前畲族镇</w:t>
            </w:r>
          </w:p>
          <w:p w14:paraId="03BBEF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人民政府</w:t>
            </w:r>
          </w:p>
        </w:tc>
        <w:tc>
          <w:tcPr>
            <w:tcW w:w="969" w:type="dxa"/>
            <w:vAlign w:val="center"/>
          </w:tcPr>
          <w:p w14:paraId="5BE5B2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600</w:t>
            </w:r>
          </w:p>
        </w:tc>
        <w:tc>
          <w:tcPr>
            <w:tcW w:w="764" w:type="dxa"/>
          </w:tcPr>
          <w:p w14:paraId="3B15E6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C2B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83" w:type="dxa"/>
            <w:vAlign w:val="center"/>
          </w:tcPr>
          <w:p w14:paraId="08CAA5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w:t>
            </w:r>
          </w:p>
        </w:tc>
        <w:tc>
          <w:tcPr>
            <w:tcW w:w="2258" w:type="dxa"/>
            <w:vAlign w:val="center"/>
          </w:tcPr>
          <w:p w14:paraId="3FD6E4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峰门村居家养老服务</w:t>
            </w:r>
          </w:p>
          <w:p w14:paraId="4713E8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照料中心</w:t>
            </w:r>
          </w:p>
        </w:tc>
        <w:tc>
          <w:tcPr>
            <w:tcW w:w="2387" w:type="dxa"/>
            <w:vAlign w:val="center"/>
          </w:tcPr>
          <w:p w14:paraId="345931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273" w:type="dxa"/>
            <w:vAlign w:val="center"/>
          </w:tcPr>
          <w:p w14:paraId="0C521C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泰顺县司前畲族镇</w:t>
            </w:r>
          </w:p>
          <w:p w14:paraId="6461CC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人民政府</w:t>
            </w:r>
          </w:p>
        </w:tc>
        <w:tc>
          <w:tcPr>
            <w:tcW w:w="969" w:type="dxa"/>
            <w:vAlign w:val="center"/>
          </w:tcPr>
          <w:p w14:paraId="115354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800</w:t>
            </w:r>
          </w:p>
        </w:tc>
        <w:tc>
          <w:tcPr>
            <w:tcW w:w="764" w:type="dxa"/>
          </w:tcPr>
          <w:p w14:paraId="170272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2F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5AD70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83</w:t>
            </w:r>
          </w:p>
        </w:tc>
        <w:tc>
          <w:tcPr>
            <w:tcW w:w="2258" w:type="dxa"/>
            <w:vAlign w:val="center"/>
          </w:tcPr>
          <w:p w14:paraId="5A4EED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西旸镇养老服务中心</w:t>
            </w:r>
          </w:p>
        </w:tc>
        <w:tc>
          <w:tcPr>
            <w:tcW w:w="2387" w:type="dxa"/>
            <w:vAlign w:val="center"/>
          </w:tcPr>
          <w:p w14:paraId="19FE34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273" w:type="dxa"/>
            <w:vAlign w:val="center"/>
          </w:tcPr>
          <w:p w14:paraId="21F2F1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泰顺县西旸镇人民政府</w:t>
            </w:r>
          </w:p>
        </w:tc>
        <w:tc>
          <w:tcPr>
            <w:tcW w:w="969" w:type="dxa"/>
            <w:vAlign w:val="center"/>
          </w:tcPr>
          <w:p w14:paraId="3DF188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110</w:t>
            </w:r>
          </w:p>
        </w:tc>
        <w:tc>
          <w:tcPr>
            <w:tcW w:w="764" w:type="dxa"/>
          </w:tcPr>
          <w:p w14:paraId="4939BF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26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C7047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84</w:t>
            </w:r>
          </w:p>
        </w:tc>
        <w:tc>
          <w:tcPr>
            <w:tcW w:w="2258" w:type="dxa"/>
            <w:vAlign w:val="center"/>
          </w:tcPr>
          <w:p w14:paraId="138B08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凤垟乡养老服务中心</w:t>
            </w:r>
          </w:p>
        </w:tc>
        <w:tc>
          <w:tcPr>
            <w:tcW w:w="2387" w:type="dxa"/>
            <w:vAlign w:val="center"/>
          </w:tcPr>
          <w:p w14:paraId="7ADF70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273" w:type="dxa"/>
            <w:vAlign w:val="center"/>
          </w:tcPr>
          <w:p w14:paraId="6AFC55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泰顺县凤垟乡人民政府</w:t>
            </w:r>
          </w:p>
        </w:tc>
        <w:tc>
          <w:tcPr>
            <w:tcW w:w="969" w:type="dxa"/>
            <w:vAlign w:val="center"/>
          </w:tcPr>
          <w:p w14:paraId="053765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352</w:t>
            </w:r>
          </w:p>
        </w:tc>
        <w:tc>
          <w:tcPr>
            <w:tcW w:w="764" w:type="dxa"/>
          </w:tcPr>
          <w:p w14:paraId="00D94E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CEEB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B5B3C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85</w:t>
            </w:r>
          </w:p>
        </w:tc>
        <w:tc>
          <w:tcPr>
            <w:tcW w:w="2258" w:type="dxa"/>
            <w:vAlign w:val="center"/>
          </w:tcPr>
          <w:p w14:paraId="341789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三魁镇中心卫生院</w:t>
            </w:r>
          </w:p>
          <w:p w14:paraId="7CABE2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老门诊楼</w:t>
            </w:r>
          </w:p>
        </w:tc>
        <w:tc>
          <w:tcPr>
            <w:tcW w:w="2387" w:type="dxa"/>
            <w:vAlign w:val="center"/>
          </w:tcPr>
          <w:p w14:paraId="625C05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泰顺县三魁镇燕水路123号</w:t>
            </w:r>
          </w:p>
        </w:tc>
        <w:tc>
          <w:tcPr>
            <w:tcW w:w="2273" w:type="dxa"/>
            <w:vAlign w:val="center"/>
          </w:tcPr>
          <w:p w14:paraId="45A566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2E85D1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205</w:t>
            </w:r>
          </w:p>
        </w:tc>
        <w:tc>
          <w:tcPr>
            <w:tcW w:w="764" w:type="dxa"/>
          </w:tcPr>
          <w:p w14:paraId="27E436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C5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A8766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86</w:t>
            </w:r>
          </w:p>
        </w:tc>
        <w:tc>
          <w:tcPr>
            <w:tcW w:w="2258" w:type="dxa"/>
            <w:vAlign w:val="center"/>
          </w:tcPr>
          <w:p w14:paraId="6C7826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泗溪镇横坑卫生院老院</w:t>
            </w:r>
          </w:p>
        </w:tc>
        <w:tc>
          <w:tcPr>
            <w:tcW w:w="2387" w:type="dxa"/>
            <w:vAlign w:val="center"/>
          </w:tcPr>
          <w:p w14:paraId="449BAC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泰顺县泗溪镇建新村</w:t>
            </w:r>
          </w:p>
        </w:tc>
        <w:tc>
          <w:tcPr>
            <w:tcW w:w="2273" w:type="dxa"/>
            <w:vAlign w:val="center"/>
          </w:tcPr>
          <w:p w14:paraId="6577BC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6A24D3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860</w:t>
            </w:r>
          </w:p>
        </w:tc>
        <w:tc>
          <w:tcPr>
            <w:tcW w:w="764" w:type="dxa"/>
          </w:tcPr>
          <w:p w14:paraId="7227EB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505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17F5B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87</w:t>
            </w:r>
          </w:p>
        </w:tc>
        <w:tc>
          <w:tcPr>
            <w:tcW w:w="2258" w:type="dxa"/>
            <w:vAlign w:val="center"/>
          </w:tcPr>
          <w:p w14:paraId="35C795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雅阳镇中心卫生院</w:t>
            </w:r>
          </w:p>
          <w:p w14:paraId="7EA511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老门诊楼</w:t>
            </w:r>
          </w:p>
        </w:tc>
        <w:tc>
          <w:tcPr>
            <w:tcW w:w="2387" w:type="dxa"/>
            <w:vAlign w:val="center"/>
          </w:tcPr>
          <w:p w14:paraId="5A1BA5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泰顺县雅阳镇官口北街2号</w:t>
            </w:r>
          </w:p>
        </w:tc>
        <w:tc>
          <w:tcPr>
            <w:tcW w:w="2273" w:type="dxa"/>
            <w:vAlign w:val="center"/>
          </w:tcPr>
          <w:p w14:paraId="64CE6D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106EA5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1206</w:t>
            </w:r>
          </w:p>
        </w:tc>
        <w:tc>
          <w:tcPr>
            <w:tcW w:w="764" w:type="dxa"/>
          </w:tcPr>
          <w:p w14:paraId="42CCC4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B4D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41B7A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88</w:t>
            </w:r>
          </w:p>
        </w:tc>
        <w:tc>
          <w:tcPr>
            <w:tcW w:w="2258" w:type="dxa"/>
            <w:vAlign w:val="center"/>
          </w:tcPr>
          <w:p w14:paraId="364C40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南浦溪镇卫生院老院</w:t>
            </w:r>
          </w:p>
        </w:tc>
        <w:tc>
          <w:tcPr>
            <w:tcW w:w="2387" w:type="dxa"/>
            <w:vAlign w:val="center"/>
          </w:tcPr>
          <w:p w14:paraId="7D0EFB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泰顺县南浦溪镇库村旁垟</w:t>
            </w:r>
          </w:p>
          <w:p w14:paraId="38DFB8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开发小区溪宾路2号</w:t>
            </w:r>
          </w:p>
        </w:tc>
        <w:tc>
          <w:tcPr>
            <w:tcW w:w="2273" w:type="dxa"/>
            <w:vAlign w:val="center"/>
          </w:tcPr>
          <w:p w14:paraId="21E9C1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7194A3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1910</w:t>
            </w:r>
          </w:p>
        </w:tc>
        <w:tc>
          <w:tcPr>
            <w:tcW w:w="764" w:type="dxa"/>
          </w:tcPr>
          <w:p w14:paraId="4DA0B7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636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33BE4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w:t>
            </w:r>
          </w:p>
        </w:tc>
        <w:tc>
          <w:tcPr>
            <w:tcW w:w="2258" w:type="dxa"/>
            <w:vAlign w:val="center"/>
          </w:tcPr>
          <w:p w14:paraId="4E1BAC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原凤垟乡卫生院</w:t>
            </w:r>
          </w:p>
        </w:tc>
        <w:tc>
          <w:tcPr>
            <w:tcW w:w="2387" w:type="dxa"/>
            <w:vAlign w:val="center"/>
          </w:tcPr>
          <w:p w14:paraId="483E5B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泰顺县凤垟乡凤兴路98号</w:t>
            </w:r>
          </w:p>
        </w:tc>
        <w:tc>
          <w:tcPr>
            <w:tcW w:w="2273" w:type="dxa"/>
            <w:vAlign w:val="center"/>
          </w:tcPr>
          <w:p w14:paraId="6B41C8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38031F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1560</w:t>
            </w:r>
          </w:p>
        </w:tc>
        <w:tc>
          <w:tcPr>
            <w:tcW w:w="764" w:type="dxa"/>
          </w:tcPr>
          <w:p w14:paraId="0AC592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E8E8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2E0CF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90</w:t>
            </w:r>
          </w:p>
        </w:tc>
        <w:tc>
          <w:tcPr>
            <w:tcW w:w="2258" w:type="dxa"/>
            <w:vAlign w:val="center"/>
          </w:tcPr>
          <w:p w14:paraId="41A5AF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原包垟乡卫生院</w:t>
            </w:r>
          </w:p>
        </w:tc>
        <w:tc>
          <w:tcPr>
            <w:tcW w:w="2387" w:type="dxa"/>
            <w:vAlign w:val="center"/>
          </w:tcPr>
          <w:p w14:paraId="056951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泰顺县包垟乡新塘垟村</w:t>
            </w:r>
          </w:p>
          <w:p w14:paraId="2ACC95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桥楼弄11号</w:t>
            </w:r>
          </w:p>
        </w:tc>
        <w:tc>
          <w:tcPr>
            <w:tcW w:w="2273" w:type="dxa"/>
            <w:vAlign w:val="center"/>
          </w:tcPr>
          <w:p w14:paraId="645A25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028072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1530</w:t>
            </w:r>
          </w:p>
        </w:tc>
        <w:tc>
          <w:tcPr>
            <w:tcW w:w="764" w:type="dxa"/>
          </w:tcPr>
          <w:p w14:paraId="56481E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3B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F0132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91</w:t>
            </w:r>
          </w:p>
        </w:tc>
        <w:tc>
          <w:tcPr>
            <w:tcW w:w="2258" w:type="dxa"/>
            <w:vAlign w:val="center"/>
          </w:tcPr>
          <w:p w14:paraId="77621A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原司前畲族镇中心卫生院门诊综合楼</w:t>
            </w:r>
          </w:p>
        </w:tc>
        <w:tc>
          <w:tcPr>
            <w:tcW w:w="2387" w:type="dxa"/>
            <w:vAlign w:val="center"/>
          </w:tcPr>
          <w:p w14:paraId="391384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泰顺县司前畲族镇振兴路95—97号</w:t>
            </w:r>
          </w:p>
        </w:tc>
        <w:tc>
          <w:tcPr>
            <w:tcW w:w="2273" w:type="dxa"/>
            <w:vAlign w:val="center"/>
          </w:tcPr>
          <w:p w14:paraId="3B3D31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205A61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2050</w:t>
            </w:r>
          </w:p>
        </w:tc>
        <w:tc>
          <w:tcPr>
            <w:tcW w:w="764" w:type="dxa"/>
          </w:tcPr>
          <w:p w14:paraId="0136C6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C58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CD915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92</w:t>
            </w:r>
          </w:p>
        </w:tc>
        <w:tc>
          <w:tcPr>
            <w:tcW w:w="2258" w:type="dxa"/>
            <w:vAlign w:val="center"/>
          </w:tcPr>
          <w:p w14:paraId="14D9B4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原泗溪镇中心卫生院</w:t>
            </w:r>
          </w:p>
        </w:tc>
        <w:tc>
          <w:tcPr>
            <w:tcW w:w="2387" w:type="dxa"/>
            <w:vAlign w:val="center"/>
          </w:tcPr>
          <w:p w14:paraId="309753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w:t>
            </w:r>
          </w:p>
          <w:p w14:paraId="0BD81F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泗水东路27号</w:t>
            </w:r>
          </w:p>
        </w:tc>
        <w:tc>
          <w:tcPr>
            <w:tcW w:w="2273" w:type="dxa"/>
            <w:vAlign w:val="center"/>
          </w:tcPr>
          <w:p w14:paraId="715719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泰顺县卫生健康局</w:t>
            </w:r>
          </w:p>
        </w:tc>
        <w:tc>
          <w:tcPr>
            <w:tcW w:w="969" w:type="dxa"/>
            <w:vAlign w:val="center"/>
          </w:tcPr>
          <w:p w14:paraId="0DF61E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3325</w:t>
            </w:r>
          </w:p>
        </w:tc>
        <w:tc>
          <w:tcPr>
            <w:tcW w:w="764" w:type="dxa"/>
          </w:tcPr>
          <w:p w14:paraId="400140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CEB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9904F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93</w:t>
            </w:r>
          </w:p>
        </w:tc>
        <w:tc>
          <w:tcPr>
            <w:tcW w:w="2258" w:type="dxa"/>
            <w:vAlign w:val="center"/>
          </w:tcPr>
          <w:p w14:paraId="7F3FEE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原人民医院住院楼</w:t>
            </w:r>
            <w:r>
              <w:rPr>
                <w:rFonts w:hint="default" w:ascii="宋体" w:hAnsi="宋体" w:eastAsia="宋体" w:cs="宋体"/>
                <w:i w:val="0"/>
                <w:iCs w:val="0"/>
                <w:color w:val="000000"/>
                <w:kern w:val="0"/>
                <w:sz w:val="18"/>
                <w:szCs w:val="18"/>
                <w:u w:val="none"/>
                <w:lang w:val="en-US" w:eastAsia="zh-CN" w:bidi="ar"/>
              </w:rPr>
              <w:t>2-4</w:t>
            </w:r>
            <w:r>
              <w:rPr>
                <w:rFonts w:hint="eastAsia" w:ascii="宋体" w:hAnsi="宋体" w:eastAsia="宋体" w:cs="宋体"/>
                <w:i w:val="0"/>
                <w:iCs w:val="0"/>
                <w:color w:val="000000"/>
                <w:kern w:val="0"/>
                <w:sz w:val="18"/>
                <w:szCs w:val="18"/>
                <w:u w:val="none"/>
                <w:lang w:val="en-US" w:eastAsia="zh-CN" w:bidi="ar"/>
              </w:rPr>
              <w:t>楼</w:t>
            </w:r>
          </w:p>
        </w:tc>
        <w:tc>
          <w:tcPr>
            <w:tcW w:w="2387" w:type="dxa"/>
            <w:vAlign w:val="center"/>
          </w:tcPr>
          <w:p w14:paraId="177FC3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北大街52号</w:t>
            </w:r>
          </w:p>
        </w:tc>
        <w:tc>
          <w:tcPr>
            <w:tcW w:w="2273" w:type="dxa"/>
            <w:vAlign w:val="center"/>
          </w:tcPr>
          <w:p w14:paraId="758781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泰顺县机关事务管理中心</w:t>
            </w:r>
          </w:p>
        </w:tc>
        <w:tc>
          <w:tcPr>
            <w:tcW w:w="969" w:type="dxa"/>
            <w:vAlign w:val="center"/>
          </w:tcPr>
          <w:p w14:paraId="314476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880</w:t>
            </w:r>
          </w:p>
        </w:tc>
        <w:tc>
          <w:tcPr>
            <w:tcW w:w="764" w:type="dxa"/>
          </w:tcPr>
          <w:p w14:paraId="2E7D26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B67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75144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94</w:t>
            </w:r>
          </w:p>
        </w:tc>
        <w:tc>
          <w:tcPr>
            <w:tcW w:w="2258" w:type="dxa"/>
            <w:vAlign w:val="center"/>
          </w:tcPr>
          <w:p w14:paraId="111BB3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罗阳镇公园学苑居家养老服务设施用房</w:t>
            </w:r>
          </w:p>
        </w:tc>
        <w:tc>
          <w:tcPr>
            <w:tcW w:w="2387" w:type="dxa"/>
            <w:vAlign w:val="center"/>
          </w:tcPr>
          <w:p w14:paraId="62759E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罗阳镇公园学苑小区</w:t>
            </w:r>
          </w:p>
          <w:p w14:paraId="1073E2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10幢101室</w:t>
            </w:r>
          </w:p>
        </w:tc>
        <w:tc>
          <w:tcPr>
            <w:tcW w:w="2273" w:type="dxa"/>
            <w:vAlign w:val="center"/>
          </w:tcPr>
          <w:p w14:paraId="1588B2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D4319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110.08</w:t>
            </w:r>
          </w:p>
        </w:tc>
        <w:tc>
          <w:tcPr>
            <w:tcW w:w="764" w:type="dxa"/>
          </w:tcPr>
          <w:p w14:paraId="53796E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17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D8907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2258" w:type="dxa"/>
            <w:vAlign w:val="center"/>
          </w:tcPr>
          <w:p w14:paraId="26C78F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罗阳镇公园学苑居家养老服务设施用房</w:t>
            </w:r>
          </w:p>
        </w:tc>
        <w:tc>
          <w:tcPr>
            <w:tcW w:w="2387" w:type="dxa"/>
            <w:vAlign w:val="center"/>
          </w:tcPr>
          <w:p w14:paraId="347D84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罗阳镇公园学苑小区</w:t>
            </w:r>
          </w:p>
          <w:p w14:paraId="4E563B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10幢102室</w:t>
            </w:r>
          </w:p>
        </w:tc>
        <w:tc>
          <w:tcPr>
            <w:tcW w:w="2273" w:type="dxa"/>
            <w:vAlign w:val="center"/>
          </w:tcPr>
          <w:p w14:paraId="6628E7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05692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191.81</w:t>
            </w:r>
          </w:p>
        </w:tc>
        <w:tc>
          <w:tcPr>
            <w:tcW w:w="764" w:type="dxa"/>
          </w:tcPr>
          <w:p w14:paraId="00D8DF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814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86273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96</w:t>
            </w:r>
          </w:p>
        </w:tc>
        <w:tc>
          <w:tcPr>
            <w:tcW w:w="2258" w:type="dxa"/>
            <w:vAlign w:val="center"/>
          </w:tcPr>
          <w:p w14:paraId="265275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罗阳镇伊号院居家养老</w:t>
            </w:r>
          </w:p>
          <w:p w14:paraId="4425E7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服务设施用房</w:t>
            </w:r>
          </w:p>
        </w:tc>
        <w:tc>
          <w:tcPr>
            <w:tcW w:w="2387" w:type="dxa"/>
            <w:vAlign w:val="center"/>
          </w:tcPr>
          <w:p w14:paraId="42A759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罗阳镇伊号院20幢</w:t>
            </w:r>
          </w:p>
          <w:p w14:paraId="4088B7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2单元101室</w:t>
            </w:r>
          </w:p>
        </w:tc>
        <w:tc>
          <w:tcPr>
            <w:tcW w:w="2273" w:type="dxa"/>
            <w:vAlign w:val="center"/>
          </w:tcPr>
          <w:p w14:paraId="0AC28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BF3FC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215.14</w:t>
            </w:r>
          </w:p>
        </w:tc>
        <w:tc>
          <w:tcPr>
            <w:tcW w:w="764" w:type="dxa"/>
          </w:tcPr>
          <w:p w14:paraId="0C716A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C441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35250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97</w:t>
            </w:r>
          </w:p>
        </w:tc>
        <w:tc>
          <w:tcPr>
            <w:tcW w:w="2258" w:type="dxa"/>
            <w:vAlign w:val="center"/>
          </w:tcPr>
          <w:p w14:paraId="7403FE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罗阳镇樾鸿嘉园居家养老服务设施用房</w:t>
            </w:r>
          </w:p>
        </w:tc>
        <w:tc>
          <w:tcPr>
            <w:tcW w:w="2387" w:type="dxa"/>
            <w:vAlign w:val="center"/>
          </w:tcPr>
          <w:p w14:paraId="6028FA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罗阳镇樾鸿嘉园9幢102室</w:t>
            </w:r>
          </w:p>
        </w:tc>
        <w:tc>
          <w:tcPr>
            <w:tcW w:w="2273" w:type="dxa"/>
            <w:vAlign w:val="center"/>
          </w:tcPr>
          <w:p w14:paraId="43EB5A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45547A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113.01</w:t>
            </w:r>
          </w:p>
        </w:tc>
        <w:tc>
          <w:tcPr>
            <w:tcW w:w="764" w:type="dxa"/>
          </w:tcPr>
          <w:p w14:paraId="37A294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CCC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C922B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98</w:t>
            </w:r>
          </w:p>
        </w:tc>
        <w:tc>
          <w:tcPr>
            <w:tcW w:w="2258" w:type="dxa"/>
            <w:vAlign w:val="center"/>
          </w:tcPr>
          <w:p w14:paraId="384676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罗阳镇都会中心居家养老服务设施用房</w:t>
            </w:r>
          </w:p>
        </w:tc>
        <w:tc>
          <w:tcPr>
            <w:tcW w:w="2387" w:type="dxa"/>
            <w:vAlign w:val="center"/>
          </w:tcPr>
          <w:p w14:paraId="6804EA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罗阳镇都会中心</w:t>
            </w:r>
          </w:p>
          <w:p w14:paraId="3B90F3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24幢102室</w:t>
            </w:r>
          </w:p>
        </w:tc>
        <w:tc>
          <w:tcPr>
            <w:tcW w:w="2273" w:type="dxa"/>
            <w:vAlign w:val="center"/>
          </w:tcPr>
          <w:p w14:paraId="75021E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24E85C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171.26</w:t>
            </w:r>
          </w:p>
        </w:tc>
        <w:tc>
          <w:tcPr>
            <w:tcW w:w="764" w:type="dxa"/>
          </w:tcPr>
          <w:p w14:paraId="7309B2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50D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2EAF7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99</w:t>
            </w:r>
          </w:p>
        </w:tc>
        <w:tc>
          <w:tcPr>
            <w:tcW w:w="2258" w:type="dxa"/>
            <w:vAlign w:val="center"/>
          </w:tcPr>
          <w:p w14:paraId="3A4268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罗阳镇都会中心居家养老服务设施用房</w:t>
            </w:r>
          </w:p>
        </w:tc>
        <w:tc>
          <w:tcPr>
            <w:tcW w:w="2387" w:type="dxa"/>
            <w:vAlign w:val="center"/>
          </w:tcPr>
          <w:p w14:paraId="7E20C6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罗阳镇都会中心</w:t>
            </w:r>
          </w:p>
          <w:p w14:paraId="1E7E31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24幢103室</w:t>
            </w:r>
          </w:p>
        </w:tc>
        <w:tc>
          <w:tcPr>
            <w:tcW w:w="2273" w:type="dxa"/>
            <w:vAlign w:val="center"/>
          </w:tcPr>
          <w:p w14:paraId="122B5E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44CB2D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139.29</w:t>
            </w:r>
          </w:p>
        </w:tc>
        <w:tc>
          <w:tcPr>
            <w:tcW w:w="764" w:type="dxa"/>
          </w:tcPr>
          <w:p w14:paraId="3D023F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86C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D9405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w:t>
            </w:r>
          </w:p>
        </w:tc>
        <w:tc>
          <w:tcPr>
            <w:tcW w:w="2258" w:type="dxa"/>
            <w:vAlign w:val="center"/>
          </w:tcPr>
          <w:p w14:paraId="010728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罗阳镇北辰铭筑居家养老服务设施用房</w:t>
            </w:r>
          </w:p>
        </w:tc>
        <w:tc>
          <w:tcPr>
            <w:tcW w:w="2387" w:type="dxa"/>
            <w:vAlign w:val="center"/>
          </w:tcPr>
          <w:p w14:paraId="6C2989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罗阳镇北辰铭筑</w:t>
            </w:r>
          </w:p>
          <w:p w14:paraId="1958AD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10幢101室</w:t>
            </w:r>
          </w:p>
        </w:tc>
        <w:tc>
          <w:tcPr>
            <w:tcW w:w="2273" w:type="dxa"/>
            <w:vAlign w:val="center"/>
          </w:tcPr>
          <w:p w14:paraId="172B68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24BDCB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138.86</w:t>
            </w:r>
          </w:p>
        </w:tc>
        <w:tc>
          <w:tcPr>
            <w:tcW w:w="764" w:type="dxa"/>
          </w:tcPr>
          <w:p w14:paraId="2B9D82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78B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18144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101</w:t>
            </w:r>
          </w:p>
        </w:tc>
        <w:tc>
          <w:tcPr>
            <w:tcW w:w="2258" w:type="dxa"/>
            <w:vAlign w:val="center"/>
          </w:tcPr>
          <w:p w14:paraId="4B9019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罗阳镇北辰铭筑居家养老服务设施用房</w:t>
            </w:r>
          </w:p>
        </w:tc>
        <w:tc>
          <w:tcPr>
            <w:tcW w:w="2387" w:type="dxa"/>
            <w:vAlign w:val="center"/>
          </w:tcPr>
          <w:p w14:paraId="561811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罗阳镇北辰铭筑</w:t>
            </w:r>
          </w:p>
          <w:p w14:paraId="448DF6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13幢101室</w:t>
            </w:r>
          </w:p>
        </w:tc>
        <w:tc>
          <w:tcPr>
            <w:tcW w:w="2273" w:type="dxa"/>
            <w:vAlign w:val="center"/>
          </w:tcPr>
          <w:p w14:paraId="512DC7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5672CC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171.51</w:t>
            </w:r>
          </w:p>
        </w:tc>
        <w:tc>
          <w:tcPr>
            <w:tcW w:w="764" w:type="dxa"/>
          </w:tcPr>
          <w:p w14:paraId="14D164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925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C3866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102</w:t>
            </w:r>
          </w:p>
        </w:tc>
        <w:tc>
          <w:tcPr>
            <w:tcW w:w="2258" w:type="dxa"/>
            <w:vAlign w:val="center"/>
          </w:tcPr>
          <w:p w14:paraId="36250F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罗阳镇翡丽雅园居家养老服务设施用房</w:t>
            </w:r>
          </w:p>
        </w:tc>
        <w:tc>
          <w:tcPr>
            <w:tcW w:w="2387" w:type="dxa"/>
            <w:vAlign w:val="center"/>
          </w:tcPr>
          <w:p w14:paraId="32FE74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罗阳镇翡丽雅园1幢101室</w:t>
            </w:r>
          </w:p>
        </w:tc>
        <w:tc>
          <w:tcPr>
            <w:tcW w:w="2273" w:type="dxa"/>
            <w:vAlign w:val="center"/>
          </w:tcPr>
          <w:p w14:paraId="48AC4A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7A7858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122.58</w:t>
            </w:r>
          </w:p>
        </w:tc>
        <w:tc>
          <w:tcPr>
            <w:tcW w:w="764" w:type="dxa"/>
          </w:tcPr>
          <w:p w14:paraId="7749F2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727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A9475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103</w:t>
            </w:r>
          </w:p>
        </w:tc>
        <w:tc>
          <w:tcPr>
            <w:tcW w:w="2258" w:type="dxa"/>
            <w:vAlign w:val="center"/>
          </w:tcPr>
          <w:p w14:paraId="16C81D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罗阳镇翡丽雅园居家养老服务设施用房</w:t>
            </w:r>
          </w:p>
        </w:tc>
        <w:tc>
          <w:tcPr>
            <w:tcW w:w="2387" w:type="dxa"/>
            <w:vAlign w:val="center"/>
          </w:tcPr>
          <w:p w14:paraId="253323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罗阳镇翡丽雅园1幢102室</w:t>
            </w:r>
          </w:p>
        </w:tc>
        <w:tc>
          <w:tcPr>
            <w:tcW w:w="2273" w:type="dxa"/>
            <w:vAlign w:val="center"/>
          </w:tcPr>
          <w:p w14:paraId="1938A2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泰顺县罗阳镇人民政府</w:t>
            </w:r>
          </w:p>
        </w:tc>
        <w:tc>
          <w:tcPr>
            <w:tcW w:w="969" w:type="dxa"/>
            <w:vAlign w:val="center"/>
          </w:tcPr>
          <w:p w14:paraId="3B5D48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177.96</w:t>
            </w:r>
          </w:p>
        </w:tc>
        <w:tc>
          <w:tcPr>
            <w:tcW w:w="764" w:type="dxa"/>
          </w:tcPr>
          <w:p w14:paraId="6973D6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03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29588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104</w:t>
            </w:r>
          </w:p>
        </w:tc>
        <w:tc>
          <w:tcPr>
            <w:tcW w:w="2258" w:type="dxa"/>
            <w:vAlign w:val="center"/>
          </w:tcPr>
          <w:p w14:paraId="2BD9C8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泗溪镇泰和轩住宅小区</w:t>
            </w:r>
          </w:p>
          <w:p w14:paraId="0F6E1F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居家养老服务设施用房</w:t>
            </w:r>
          </w:p>
        </w:tc>
        <w:tc>
          <w:tcPr>
            <w:tcW w:w="2387" w:type="dxa"/>
            <w:vAlign w:val="center"/>
          </w:tcPr>
          <w:p w14:paraId="00F057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273" w:type="dxa"/>
            <w:vAlign w:val="center"/>
          </w:tcPr>
          <w:p w14:paraId="18969D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15C9F5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114.2</w:t>
            </w:r>
          </w:p>
        </w:tc>
        <w:tc>
          <w:tcPr>
            <w:tcW w:w="764" w:type="dxa"/>
          </w:tcPr>
          <w:p w14:paraId="6B40B5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660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3B77F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105</w:t>
            </w:r>
          </w:p>
        </w:tc>
        <w:tc>
          <w:tcPr>
            <w:tcW w:w="2258" w:type="dxa"/>
            <w:vAlign w:val="center"/>
          </w:tcPr>
          <w:p w14:paraId="313F92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上佛洋林场配套用房</w:t>
            </w:r>
          </w:p>
        </w:tc>
        <w:tc>
          <w:tcPr>
            <w:tcW w:w="2387" w:type="dxa"/>
            <w:vAlign w:val="center"/>
          </w:tcPr>
          <w:p w14:paraId="0EBD51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浙江省温州市泰顺县</w:t>
            </w:r>
          </w:p>
          <w:p w14:paraId="195677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泗溪镇白粉墙村</w:t>
            </w:r>
          </w:p>
        </w:tc>
        <w:tc>
          <w:tcPr>
            <w:tcW w:w="2273" w:type="dxa"/>
            <w:vAlign w:val="center"/>
          </w:tcPr>
          <w:p w14:paraId="31A87A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泰顺县自然资源和规划局</w:t>
            </w:r>
          </w:p>
        </w:tc>
        <w:tc>
          <w:tcPr>
            <w:tcW w:w="969" w:type="dxa"/>
            <w:vAlign w:val="center"/>
          </w:tcPr>
          <w:p w14:paraId="58D5A0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560</w:t>
            </w:r>
          </w:p>
        </w:tc>
        <w:tc>
          <w:tcPr>
            <w:tcW w:w="764" w:type="dxa"/>
          </w:tcPr>
          <w:p w14:paraId="492164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170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AB956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106</w:t>
            </w:r>
          </w:p>
        </w:tc>
        <w:tc>
          <w:tcPr>
            <w:tcW w:w="2258" w:type="dxa"/>
            <w:vAlign w:val="center"/>
          </w:tcPr>
          <w:p w14:paraId="311AAB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罗阳林业站</w:t>
            </w:r>
          </w:p>
        </w:tc>
        <w:tc>
          <w:tcPr>
            <w:tcW w:w="2387" w:type="dxa"/>
            <w:vAlign w:val="center"/>
          </w:tcPr>
          <w:p w14:paraId="450571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浙江省温州市泰顺县罗阳镇北内村儒学路老区公所</w:t>
            </w:r>
          </w:p>
        </w:tc>
        <w:tc>
          <w:tcPr>
            <w:tcW w:w="2273" w:type="dxa"/>
            <w:vAlign w:val="center"/>
          </w:tcPr>
          <w:p w14:paraId="4A94DD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泰顺县自然资源和规划局</w:t>
            </w:r>
          </w:p>
        </w:tc>
        <w:tc>
          <w:tcPr>
            <w:tcW w:w="969" w:type="dxa"/>
            <w:vAlign w:val="center"/>
          </w:tcPr>
          <w:p w14:paraId="2371EE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132.57</w:t>
            </w:r>
          </w:p>
        </w:tc>
        <w:tc>
          <w:tcPr>
            <w:tcW w:w="764" w:type="dxa"/>
          </w:tcPr>
          <w:p w14:paraId="6A328F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4C2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0F1C03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107</w:t>
            </w:r>
          </w:p>
        </w:tc>
        <w:tc>
          <w:tcPr>
            <w:tcW w:w="2258" w:type="dxa"/>
            <w:vAlign w:val="center"/>
          </w:tcPr>
          <w:p w14:paraId="47170A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雅阳林业站</w:t>
            </w:r>
          </w:p>
        </w:tc>
        <w:tc>
          <w:tcPr>
            <w:tcW w:w="2387" w:type="dxa"/>
            <w:vAlign w:val="center"/>
          </w:tcPr>
          <w:p w14:paraId="4CBC46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浙江省温州市泰顺县雅阳镇氡泉路158、160号</w:t>
            </w:r>
          </w:p>
        </w:tc>
        <w:tc>
          <w:tcPr>
            <w:tcW w:w="2273" w:type="dxa"/>
            <w:vAlign w:val="center"/>
          </w:tcPr>
          <w:p w14:paraId="28E5BD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泰顺县自然资源和规划局</w:t>
            </w:r>
          </w:p>
        </w:tc>
        <w:tc>
          <w:tcPr>
            <w:tcW w:w="969" w:type="dxa"/>
            <w:vAlign w:val="center"/>
          </w:tcPr>
          <w:p w14:paraId="74E2CC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293</w:t>
            </w:r>
          </w:p>
        </w:tc>
        <w:tc>
          <w:tcPr>
            <w:tcW w:w="764" w:type="dxa"/>
          </w:tcPr>
          <w:p w14:paraId="2A781C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71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85CEF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108</w:t>
            </w:r>
          </w:p>
        </w:tc>
        <w:tc>
          <w:tcPr>
            <w:tcW w:w="2258" w:type="dxa"/>
            <w:vAlign w:val="center"/>
          </w:tcPr>
          <w:p w14:paraId="7467C0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县非遗中心</w:t>
            </w:r>
          </w:p>
        </w:tc>
        <w:tc>
          <w:tcPr>
            <w:tcW w:w="2387" w:type="dxa"/>
            <w:vAlign w:val="center"/>
          </w:tcPr>
          <w:p w14:paraId="60B1DA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浙江省温州市泰顺县罗阳镇南大街10号</w:t>
            </w:r>
          </w:p>
        </w:tc>
        <w:tc>
          <w:tcPr>
            <w:tcW w:w="2273" w:type="dxa"/>
            <w:vAlign w:val="center"/>
          </w:tcPr>
          <w:p w14:paraId="54707F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泰顺县文化和广电旅游</w:t>
            </w:r>
          </w:p>
          <w:p w14:paraId="1BC4D7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体育局</w:t>
            </w:r>
          </w:p>
        </w:tc>
        <w:tc>
          <w:tcPr>
            <w:tcW w:w="969" w:type="dxa"/>
            <w:vAlign w:val="center"/>
          </w:tcPr>
          <w:p w14:paraId="555924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2240</w:t>
            </w:r>
          </w:p>
        </w:tc>
        <w:tc>
          <w:tcPr>
            <w:tcW w:w="764" w:type="dxa"/>
          </w:tcPr>
          <w:p w14:paraId="791FBB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FEF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E5B45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109</w:t>
            </w:r>
          </w:p>
        </w:tc>
        <w:tc>
          <w:tcPr>
            <w:tcW w:w="2258" w:type="dxa"/>
            <w:vAlign w:val="center"/>
          </w:tcPr>
          <w:p w14:paraId="3B1302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罗阳镇儒学路房产</w:t>
            </w:r>
          </w:p>
        </w:tc>
        <w:tc>
          <w:tcPr>
            <w:tcW w:w="2387" w:type="dxa"/>
            <w:vAlign w:val="center"/>
          </w:tcPr>
          <w:p w14:paraId="187C30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罗阳镇儒学路6号、12号</w:t>
            </w:r>
          </w:p>
        </w:tc>
        <w:tc>
          <w:tcPr>
            <w:tcW w:w="2273" w:type="dxa"/>
            <w:vAlign w:val="center"/>
          </w:tcPr>
          <w:p w14:paraId="7413A2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泰顺农业农村局</w:t>
            </w:r>
          </w:p>
        </w:tc>
        <w:tc>
          <w:tcPr>
            <w:tcW w:w="969" w:type="dxa"/>
            <w:vAlign w:val="center"/>
          </w:tcPr>
          <w:p w14:paraId="12E9A5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615.54</w:t>
            </w:r>
          </w:p>
        </w:tc>
        <w:tc>
          <w:tcPr>
            <w:tcW w:w="764" w:type="dxa"/>
          </w:tcPr>
          <w:p w14:paraId="6E5828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FA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70404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w:t>
            </w:r>
          </w:p>
        </w:tc>
        <w:tc>
          <w:tcPr>
            <w:tcW w:w="2258" w:type="dxa"/>
            <w:vAlign w:val="center"/>
          </w:tcPr>
          <w:p w14:paraId="668FFF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县农业局原榴房</w:t>
            </w:r>
          </w:p>
        </w:tc>
        <w:tc>
          <w:tcPr>
            <w:tcW w:w="2387" w:type="dxa"/>
            <w:vAlign w:val="center"/>
          </w:tcPr>
          <w:p w14:paraId="7B90BB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罗阳镇北内卢弄底11号</w:t>
            </w:r>
          </w:p>
        </w:tc>
        <w:tc>
          <w:tcPr>
            <w:tcW w:w="2273" w:type="dxa"/>
            <w:vAlign w:val="center"/>
          </w:tcPr>
          <w:p w14:paraId="153B6F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泰顺农业农村局</w:t>
            </w:r>
          </w:p>
        </w:tc>
        <w:tc>
          <w:tcPr>
            <w:tcW w:w="969" w:type="dxa"/>
            <w:vAlign w:val="center"/>
          </w:tcPr>
          <w:p w14:paraId="377583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100.08</w:t>
            </w:r>
          </w:p>
        </w:tc>
        <w:tc>
          <w:tcPr>
            <w:tcW w:w="764" w:type="dxa"/>
          </w:tcPr>
          <w:p w14:paraId="3B7A8A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9C9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56589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111</w:t>
            </w:r>
          </w:p>
        </w:tc>
        <w:tc>
          <w:tcPr>
            <w:tcW w:w="2258" w:type="dxa"/>
            <w:vAlign w:val="center"/>
          </w:tcPr>
          <w:p w14:paraId="4A2ADA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县文博馆</w:t>
            </w:r>
          </w:p>
        </w:tc>
        <w:tc>
          <w:tcPr>
            <w:tcW w:w="2387" w:type="dxa"/>
            <w:vAlign w:val="center"/>
          </w:tcPr>
          <w:p w14:paraId="470E56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罗阳镇南大街36号</w:t>
            </w:r>
          </w:p>
        </w:tc>
        <w:tc>
          <w:tcPr>
            <w:tcW w:w="2273" w:type="dxa"/>
            <w:vAlign w:val="center"/>
          </w:tcPr>
          <w:p w14:paraId="3C3EB8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泰顺县机关事务管理中心</w:t>
            </w:r>
          </w:p>
        </w:tc>
        <w:tc>
          <w:tcPr>
            <w:tcW w:w="969" w:type="dxa"/>
            <w:vAlign w:val="center"/>
          </w:tcPr>
          <w:p w14:paraId="34FF25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352.37</w:t>
            </w:r>
          </w:p>
        </w:tc>
        <w:tc>
          <w:tcPr>
            <w:tcW w:w="764" w:type="dxa"/>
          </w:tcPr>
          <w:p w14:paraId="22A5CC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8CA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70B2E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112</w:t>
            </w:r>
          </w:p>
        </w:tc>
        <w:tc>
          <w:tcPr>
            <w:tcW w:w="2258" w:type="dxa"/>
            <w:vAlign w:val="center"/>
          </w:tcPr>
          <w:p w14:paraId="743A28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筱村派出所、法庭、</w:t>
            </w:r>
          </w:p>
          <w:p w14:paraId="42B2D7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司法所</w:t>
            </w:r>
          </w:p>
        </w:tc>
        <w:tc>
          <w:tcPr>
            <w:tcW w:w="2387" w:type="dxa"/>
            <w:vAlign w:val="center"/>
          </w:tcPr>
          <w:p w14:paraId="0FD8FE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筱村镇枫林村坑边3号</w:t>
            </w:r>
          </w:p>
        </w:tc>
        <w:tc>
          <w:tcPr>
            <w:tcW w:w="2273" w:type="dxa"/>
            <w:vAlign w:val="center"/>
          </w:tcPr>
          <w:p w14:paraId="6F0AD5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泰顺县筱村镇人民政府</w:t>
            </w:r>
          </w:p>
        </w:tc>
        <w:tc>
          <w:tcPr>
            <w:tcW w:w="969" w:type="dxa"/>
            <w:vAlign w:val="center"/>
          </w:tcPr>
          <w:p w14:paraId="0204D1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1028</w:t>
            </w:r>
          </w:p>
        </w:tc>
        <w:tc>
          <w:tcPr>
            <w:tcW w:w="764" w:type="dxa"/>
          </w:tcPr>
          <w:p w14:paraId="600545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327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7CF245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113</w:t>
            </w:r>
          </w:p>
        </w:tc>
        <w:tc>
          <w:tcPr>
            <w:tcW w:w="2258" w:type="dxa"/>
            <w:vAlign w:val="center"/>
          </w:tcPr>
          <w:p w14:paraId="5C4DAF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雅阳派出所、法庭、</w:t>
            </w:r>
          </w:p>
          <w:p w14:paraId="1CC495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司法所</w:t>
            </w:r>
          </w:p>
        </w:tc>
        <w:tc>
          <w:tcPr>
            <w:tcW w:w="2387" w:type="dxa"/>
            <w:vAlign w:val="center"/>
          </w:tcPr>
          <w:p w14:paraId="7AC617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雅阳镇腾阳社区</w:t>
            </w:r>
          </w:p>
        </w:tc>
        <w:tc>
          <w:tcPr>
            <w:tcW w:w="2273" w:type="dxa"/>
            <w:vAlign w:val="center"/>
          </w:tcPr>
          <w:p w14:paraId="6533C9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泰顺县雅阳镇人民政府</w:t>
            </w:r>
          </w:p>
        </w:tc>
        <w:tc>
          <w:tcPr>
            <w:tcW w:w="969" w:type="dxa"/>
            <w:vAlign w:val="center"/>
          </w:tcPr>
          <w:p w14:paraId="4E0EB1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570</w:t>
            </w:r>
          </w:p>
        </w:tc>
        <w:tc>
          <w:tcPr>
            <w:tcW w:w="764" w:type="dxa"/>
          </w:tcPr>
          <w:p w14:paraId="359EFC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A6F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5DB78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114</w:t>
            </w:r>
          </w:p>
        </w:tc>
        <w:tc>
          <w:tcPr>
            <w:tcW w:w="2258" w:type="dxa"/>
            <w:vAlign w:val="center"/>
          </w:tcPr>
          <w:p w14:paraId="43E935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县工人文化宫</w:t>
            </w:r>
          </w:p>
          <w:p w14:paraId="107798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r>
              <w:rPr>
                <w:rFonts w:hint="default" w:ascii="宋体" w:hAnsi="宋体" w:eastAsia="宋体" w:cs="宋体"/>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层、</w:t>
            </w:r>
            <w:r>
              <w:rPr>
                <w:rFonts w:hint="default" w:ascii="宋体" w:hAnsi="宋体" w:eastAsia="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层后侧）</w:t>
            </w:r>
          </w:p>
        </w:tc>
        <w:tc>
          <w:tcPr>
            <w:tcW w:w="2387" w:type="dxa"/>
            <w:vAlign w:val="center"/>
          </w:tcPr>
          <w:p w14:paraId="41722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罗阳镇横街2号</w:t>
            </w:r>
          </w:p>
        </w:tc>
        <w:tc>
          <w:tcPr>
            <w:tcW w:w="2273" w:type="dxa"/>
            <w:vAlign w:val="center"/>
          </w:tcPr>
          <w:p w14:paraId="43EA54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泰顺县机关事务管理中心</w:t>
            </w:r>
          </w:p>
        </w:tc>
        <w:tc>
          <w:tcPr>
            <w:tcW w:w="969" w:type="dxa"/>
            <w:vAlign w:val="center"/>
          </w:tcPr>
          <w:p w14:paraId="76C7DE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515</w:t>
            </w:r>
          </w:p>
        </w:tc>
        <w:tc>
          <w:tcPr>
            <w:tcW w:w="764" w:type="dxa"/>
          </w:tcPr>
          <w:p w14:paraId="272C7D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CB9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2D5D11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115</w:t>
            </w:r>
          </w:p>
        </w:tc>
        <w:tc>
          <w:tcPr>
            <w:tcW w:w="2258" w:type="dxa"/>
            <w:vAlign w:val="center"/>
          </w:tcPr>
          <w:p w14:paraId="37CBDF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农业局房屋</w:t>
            </w:r>
          </w:p>
        </w:tc>
        <w:tc>
          <w:tcPr>
            <w:tcW w:w="2387" w:type="dxa"/>
            <w:vAlign w:val="center"/>
          </w:tcPr>
          <w:p w14:paraId="06641B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273" w:type="dxa"/>
            <w:vAlign w:val="center"/>
          </w:tcPr>
          <w:p w14:paraId="5B7FD2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泰顺农业农村局</w:t>
            </w:r>
          </w:p>
        </w:tc>
        <w:tc>
          <w:tcPr>
            <w:tcW w:w="969" w:type="dxa"/>
            <w:vAlign w:val="center"/>
          </w:tcPr>
          <w:p w14:paraId="4751FE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304.9</w:t>
            </w:r>
          </w:p>
        </w:tc>
        <w:tc>
          <w:tcPr>
            <w:tcW w:w="764" w:type="dxa"/>
          </w:tcPr>
          <w:p w14:paraId="2ECF72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80D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13F654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116</w:t>
            </w:r>
          </w:p>
        </w:tc>
        <w:tc>
          <w:tcPr>
            <w:tcW w:w="2258" w:type="dxa"/>
            <w:vAlign w:val="center"/>
          </w:tcPr>
          <w:p w14:paraId="662316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老党校五楼</w:t>
            </w:r>
          </w:p>
        </w:tc>
        <w:tc>
          <w:tcPr>
            <w:tcW w:w="2387" w:type="dxa"/>
            <w:vAlign w:val="center"/>
          </w:tcPr>
          <w:p w14:paraId="2398F4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罗阳镇化工路46号</w:t>
            </w:r>
          </w:p>
        </w:tc>
        <w:tc>
          <w:tcPr>
            <w:tcW w:w="2273" w:type="dxa"/>
            <w:vAlign w:val="center"/>
          </w:tcPr>
          <w:p w14:paraId="62F9DD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泰顺县机关事务管理中心</w:t>
            </w:r>
          </w:p>
        </w:tc>
        <w:tc>
          <w:tcPr>
            <w:tcW w:w="969" w:type="dxa"/>
            <w:vAlign w:val="center"/>
          </w:tcPr>
          <w:p w14:paraId="6A3F2B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140</w:t>
            </w:r>
          </w:p>
        </w:tc>
        <w:tc>
          <w:tcPr>
            <w:tcW w:w="764" w:type="dxa"/>
          </w:tcPr>
          <w:p w14:paraId="556C62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ED2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452196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117</w:t>
            </w:r>
          </w:p>
        </w:tc>
        <w:tc>
          <w:tcPr>
            <w:tcW w:w="2258" w:type="dxa"/>
            <w:vAlign w:val="center"/>
          </w:tcPr>
          <w:p w14:paraId="0DA1C0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彭溪镇原峰文社区办公楼</w:t>
            </w:r>
          </w:p>
        </w:tc>
        <w:tc>
          <w:tcPr>
            <w:tcW w:w="2387" w:type="dxa"/>
            <w:vAlign w:val="center"/>
          </w:tcPr>
          <w:p w14:paraId="09A1E0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彭溪镇双源村</w:t>
            </w:r>
          </w:p>
        </w:tc>
        <w:tc>
          <w:tcPr>
            <w:tcW w:w="2273" w:type="dxa"/>
            <w:vAlign w:val="center"/>
          </w:tcPr>
          <w:p w14:paraId="09A174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泰顺县彭溪镇人民政府</w:t>
            </w:r>
          </w:p>
        </w:tc>
        <w:tc>
          <w:tcPr>
            <w:tcW w:w="969" w:type="dxa"/>
            <w:vAlign w:val="center"/>
          </w:tcPr>
          <w:p w14:paraId="55126B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790.18</w:t>
            </w:r>
          </w:p>
        </w:tc>
        <w:tc>
          <w:tcPr>
            <w:tcW w:w="764" w:type="dxa"/>
          </w:tcPr>
          <w:p w14:paraId="007380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03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292DE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118</w:t>
            </w:r>
          </w:p>
        </w:tc>
        <w:tc>
          <w:tcPr>
            <w:tcW w:w="2258" w:type="dxa"/>
            <w:vAlign w:val="center"/>
          </w:tcPr>
          <w:p w14:paraId="70781B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彭溪镇原五里牌</w:t>
            </w:r>
          </w:p>
          <w:p w14:paraId="002CB2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社区办公楼</w:t>
            </w:r>
          </w:p>
        </w:tc>
        <w:tc>
          <w:tcPr>
            <w:tcW w:w="2387" w:type="dxa"/>
            <w:vAlign w:val="center"/>
          </w:tcPr>
          <w:p w14:paraId="42B854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彭溪镇五里牌村</w:t>
            </w:r>
          </w:p>
        </w:tc>
        <w:tc>
          <w:tcPr>
            <w:tcW w:w="2273" w:type="dxa"/>
            <w:vAlign w:val="center"/>
          </w:tcPr>
          <w:p w14:paraId="6D6487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泰顺县彭溪镇人民政府</w:t>
            </w:r>
          </w:p>
        </w:tc>
        <w:tc>
          <w:tcPr>
            <w:tcW w:w="969" w:type="dxa"/>
            <w:vAlign w:val="center"/>
          </w:tcPr>
          <w:p w14:paraId="77DF0B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316.7</w:t>
            </w:r>
          </w:p>
        </w:tc>
        <w:tc>
          <w:tcPr>
            <w:tcW w:w="764" w:type="dxa"/>
          </w:tcPr>
          <w:p w14:paraId="2AB9F6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845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5C57C4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119</w:t>
            </w:r>
          </w:p>
        </w:tc>
        <w:tc>
          <w:tcPr>
            <w:tcW w:w="2258" w:type="dxa"/>
            <w:vAlign w:val="center"/>
          </w:tcPr>
          <w:p w14:paraId="11F99A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彭溪镇原五里牌</w:t>
            </w:r>
          </w:p>
          <w:p w14:paraId="2D62BA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社区办公楼</w:t>
            </w:r>
          </w:p>
        </w:tc>
        <w:tc>
          <w:tcPr>
            <w:tcW w:w="2387" w:type="dxa"/>
            <w:vAlign w:val="center"/>
          </w:tcPr>
          <w:p w14:paraId="3F1E1B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彭溪镇五里牌村</w:t>
            </w:r>
          </w:p>
        </w:tc>
        <w:tc>
          <w:tcPr>
            <w:tcW w:w="2273" w:type="dxa"/>
            <w:vAlign w:val="center"/>
          </w:tcPr>
          <w:p w14:paraId="4424B7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泰顺县彭溪镇人民政府</w:t>
            </w:r>
          </w:p>
        </w:tc>
        <w:tc>
          <w:tcPr>
            <w:tcW w:w="969" w:type="dxa"/>
            <w:vAlign w:val="center"/>
          </w:tcPr>
          <w:p w14:paraId="43A8F1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172.82</w:t>
            </w:r>
          </w:p>
        </w:tc>
        <w:tc>
          <w:tcPr>
            <w:tcW w:w="764" w:type="dxa"/>
          </w:tcPr>
          <w:p w14:paraId="464CD0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599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6CE626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w:t>
            </w:r>
          </w:p>
        </w:tc>
        <w:tc>
          <w:tcPr>
            <w:tcW w:w="2258" w:type="dxa"/>
            <w:vAlign w:val="center"/>
          </w:tcPr>
          <w:p w14:paraId="5E0E46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泗溪镇永安东路</w:t>
            </w:r>
            <w:r>
              <w:rPr>
                <w:rFonts w:hint="default" w:ascii="宋体" w:hAnsi="宋体" w:eastAsia="宋体" w:cs="宋体"/>
                <w:i w:val="0"/>
                <w:iCs w:val="0"/>
                <w:color w:val="000000"/>
                <w:kern w:val="0"/>
                <w:sz w:val="18"/>
                <w:szCs w:val="18"/>
                <w:u w:val="none"/>
                <w:lang w:val="en-US" w:eastAsia="zh-CN" w:bidi="ar"/>
              </w:rPr>
              <w:t>91</w:t>
            </w:r>
            <w:r>
              <w:rPr>
                <w:rFonts w:hint="eastAsia" w:ascii="宋体" w:hAnsi="宋体" w:eastAsia="宋体" w:cs="宋体"/>
                <w:i w:val="0"/>
                <w:iCs w:val="0"/>
                <w:color w:val="000000"/>
                <w:kern w:val="0"/>
                <w:sz w:val="18"/>
                <w:szCs w:val="18"/>
                <w:u w:val="none"/>
                <w:lang w:val="en-US" w:eastAsia="zh-CN" w:bidi="ar"/>
              </w:rPr>
              <w:t>号</w:t>
            </w:r>
          </w:p>
        </w:tc>
        <w:tc>
          <w:tcPr>
            <w:tcW w:w="2387" w:type="dxa"/>
            <w:vAlign w:val="center"/>
          </w:tcPr>
          <w:p w14:paraId="0817BE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w:t>
            </w:r>
          </w:p>
          <w:p w14:paraId="32A252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永安东路91号</w:t>
            </w:r>
          </w:p>
        </w:tc>
        <w:tc>
          <w:tcPr>
            <w:tcW w:w="2273" w:type="dxa"/>
            <w:vAlign w:val="center"/>
          </w:tcPr>
          <w:p w14:paraId="605273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泰顺县泗溪镇人民政府</w:t>
            </w:r>
          </w:p>
        </w:tc>
        <w:tc>
          <w:tcPr>
            <w:tcW w:w="969" w:type="dxa"/>
            <w:vAlign w:val="center"/>
          </w:tcPr>
          <w:p w14:paraId="41BAF9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960.66</w:t>
            </w:r>
          </w:p>
        </w:tc>
        <w:tc>
          <w:tcPr>
            <w:tcW w:w="764" w:type="dxa"/>
          </w:tcPr>
          <w:p w14:paraId="6E665A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404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vAlign w:val="center"/>
          </w:tcPr>
          <w:p w14:paraId="32723BA9">
            <w:pPr>
              <w:keepNext w:val="0"/>
              <w:keepLines w:val="0"/>
              <w:widowControl/>
              <w:suppressLineNumbers w:val="0"/>
              <w:jc w:val="center"/>
              <w:textAlignment w:val="center"/>
              <w:rPr>
                <w:rFonts w:hint="default" w:ascii="宋体" w:hAnsi="宋体" w:eastAsia="宋体" w:cs="宋体"/>
                <w:spacing w:val="20"/>
                <w:sz w:val="18"/>
                <w:szCs w:val="18"/>
                <w:highlight w:val="none"/>
                <w:vertAlign w:val="baseline"/>
                <w:lang w:val="en-US" w:eastAsia="zh-CN"/>
              </w:rPr>
            </w:pPr>
            <w:r>
              <w:rPr>
                <w:rFonts w:hint="eastAsia" w:ascii="宋体" w:hAnsi="宋体" w:eastAsia="宋体" w:cs="宋体"/>
                <w:i w:val="0"/>
                <w:iCs w:val="0"/>
                <w:color w:val="000000"/>
                <w:kern w:val="0"/>
                <w:sz w:val="18"/>
                <w:szCs w:val="18"/>
                <w:u w:val="none"/>
                <w:lang w:val="en-US" w:eastAsia="zh-CN" w:bidi="ar"/>
              </w:rPr>
              <w:t>121</w:t>
            </w:r>
          </w:p>
        </w:tc>
        <w:tc>
          <w:tcPr>
            <w:tcW w:w="2258" w:type="dxa"/>
            <w:vAlign w:val="center"/>
          </w:tcPr>
          <w:p w14:paraId="40F22F09">
            <w:pPr>
              <w:keepNext w:val="0"/>
              <w:keepLines w:val="0"/>
              <w:widowControl/>
              <w:suppressLineNumbers w:val="0"/>
              <w:jc w:val="center"/>
              <w:textAlignment w:val="center"/>
              <w:rPr>
                <w:rFonts w:hint="default"/>
                <w:spacing w:val="20"/>
                <w:szCs w:val="21"/>
                <w:highlight w:val="none"/>
                <w:vertAlign w:val="baseline"/>
                <w:lang w:val="en-US" w:eastAsia="zh-CN"/>
              </w:rPr>
            </w:pPr>
            <w:r>
              <w:rPr>
                <w:rFonts w:hint="eastAsia"/>
                <w:spacing w:val="20"/>
                <w:szCs w:val="21"/>
                <w:highlight w:val="none"/>
                <w:vertAlign w:val="baseline"/>
                <w:lang w:val="en-US" w:eastAsia="zh-CN"/>
              </w:rPr>
              <w:t>合计</w:t>
            </w:r>
          </w:p>
        </w:tc>
        <w:tc>
          <w:tcPr>
            <w:tcW w:w="2387" w:type="dxa"/>
            <w:vAlign w:val="center"/>
          </w:tcPr>
          <w:p w14:paraId="37323DEA">
            <w:pPr>
              <w:keepNext w:val="0"/>
              <w:keepLines w:val="0"/>
              <w:widowControl/>
              <w:suppressLineNumbers w:val="0"/>
              <w:jc w:val="center"/>
              <w:textAlignment w:val="center"/>
              <w:rPr>
                <w:rFonts w:hint="eastAsia"/>
                <w:spacing w:val="20"/>
                <w:szCs w:val="21"/>
                <w:highlight w:val="none"/>
                <w:vertAlign w:val="baseline"/>
                <w:lang w:eastAsia="zh-CN"/>
              </w:rPr>
            </w:pPr>
          </w:p>
        </w:tc>
        <w:tc>
          <w:tcPr>
            <w:tcW w:w="2273" w:type="dxa"/>
            <w:vAlign w:val="center"/>
          </w:tcPr>
          <w:p w14:paraId="12EA3DC1">
            <w:pPr>
              <w:keepNext w:val="0"/>
              <w:keepLines w:val="0"/>
              <w:widowControl/>
              <w:suppressLineNumbers w:val="0"/>
              <w:jc w:val="center"/>
              <w:textAlignment w:val="center"/>
              <w:rPr>
                <w:rFonts w:hint="eastAsia"/>
                <w:spacing w:val="20"/>
                <w:szCs w:val="21"/>
                <w:highlight w:val="none"/>
                <w:vertAlign w:val="baseline"/>
                <w:lang w:eastAsia="zh-CN"/>
              </w:rPr>
            </w:pPr>
          </w:p>
        </w:tc>
        <w:tc>
          <w:tcPr>
            <w:tcW w:w="969" w:type="dxa"/>
            <w:shd w:val="clear" w:color="auto" w:fill="auto"/>
            <w:vAlign w:val="center"/>
          </w:tcPr>
          <w:p w14:paraId="498CA8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99390.03</w:t>
            </w:r>
          </w:p>
        </w:tc>
        <w:tc>
          <w:tcPr>
            <w:tcW w:w="764" w:type="dxa"/>
          </w:tcPr>
          <w:p w14:paraId="461D79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7DB2AB6A">
      <w:pPr>
        <w:spacing w:line="508" w:lineRule="exact"/>
        <w:ind w:firstLine="625" w:firstLineChars="250"/>
        <w:rPr>
          <w:rFonts w:hint="eastAsia"/>
          <w:spacing w:val="20"/>
          <w:szCs w:val="21"/>
          <w:highlight w:val="none"/>
        </w:rPr>
      </w:pPr>
      <w:r>
        <w:rPr>
          <w:rFonts w:hint="eastAsia"/>
          <w:spacing w:val="20"/>
          <w:szCs w:val="21"/>
          <w:highlight w:val="none"/>
          <w:lang w:eastAsia="zh-CN"/>
        </w:rPr>
        <w:t>本次纳入评估范围的全部资产与经济行为涉及的评估对象和评估范围一致。</w:t>
      </w:r>
    </w:p>
    <w:p w14:paraId="2ACC9928">
      <w:pPr>
        <w:pStyle w:val="3"/>
        <w:tabs>
          <w:tab w:val="left" w:pos="1148"/>
        </w:tabs>
        <w:spacing w:line="480" w:lineRule="auto"/>
        <w:ind w:left="574"/>
        <w:rPr>
          <w:rFonts w:ascii="黑体" w:hAnsi="宋体"/>
          <w:b w:val="0"/>
          <w:spacing w:val="20"/>
          <w:sz w:val="22"/>
          <w:szCs w:val="21"/>
          <w:highlight w:val="none"/>
        </w:rPr>
      </w:pPr>
      <w:bookmarkStart w:id="10" w:name="_Toc430098849"/>
      <w:r>
        <w:rPr>
          <w:rFonts w:hint="eastAsia" w:ascii="黑体" w:hAnsi="宋体"/>
          <w:b w:val="0"/>
          <w:spacing w:val="20"/>
          <w:sz w:val="22"/>
          <w:szCs w:val="21"/>
          <w:highlight w:val="none"/>
        </w:rPr>
        <w:t>四、</w:t>
      </w:r>
      <w:r>
        <w:rPr>
          <w:rFonts w:ascii="黑体" w:hAnsi="宋体"/>
          <w:b w:val="0"/>
          <w:spacing w:val="20"/>
          <w:sz w:val="22"/>
          <w:szCs w:val="21"/>
          <w:highlight w:val="none"/>
        </w:rPr>
        <w:t>价值类型及其定义</w:t>
      </w:r>
      <w:bookmarkEnd w:id="10"/>
    </w:p>
    <w:p w14:paraId="6CB32D72">
      <w:pPr>
        <w:spacing w:line="360" w:lineRule="auto"/>
        <w:ind w:firstLine="500" w:firstLineChars="200"/>
        <w:rPr>
          <w:rFonts w:hint="eastAsia" w:ascii="宋体" w:hAnsi="宋体"/>
          <w:spacing w:val="20"/>
          <w:szCs w:val="21"/>
          <w:highlight w:val="none"/>
        </w:rPr>
      </w:pPr>
      <w:r>
        <w:rPr>
          <w:rFonts w:ascii="宋体" w:hAnsi="宋体"/>
          <w:spacing w:val="20"/>
          <w:szCs w:val="21"/>
          <w:highlight w:val="none"/>
        </w:rPr>
        <w:t>本</w:t>
      </w:r>
      <w:r>
        <w:rPr>
          <w:rFonts w:hint="eastAsia" w:ascii="宋体" w:hAnsi="宋体"/>
          <w:spacing w:val="20"/>
          <w:szCs w:val="21"/>
          <w:highlight w:val="none"/>
        </w:rPr>
        <w:t>报告</w:t>
      </w:r>
      <w:r>
        <w:rPr>
          <w:rFonts w:ascii="宋体" w:hAnsi="宋体"/>
          <w:spacing w:val="20"/>
          <w:szCs w:val="21"/>
          <w:highlight w:val="none"/>
        </w:rPr>
        <w:t>评估结论的价值类型为</w:t>
      </w:r>
      <w:r>
        <w:rPr>
          <w:rFonts w:hint="eastAsia" w:ascii="宋体" w:hAnsi="宋体"/>
          <w:spacing w:val="20"/>
          <w:szCs w:val="21"/>
          <w:highlight w:val="none"/>
        </w:rPr>
        <w:t>市场</w:t>
      </w:r>
      <w:r>
        <w:rPr>
          <w:rFonts w:ascii="宋体" w:hAnsi="宋体"/>
          <w:spacing w:val="20"/>
          <w:szCs w:val="21"/>
          <w:highlight w:val="none"/>
        </w:rPr>
        <w:t>价值。</w:t>
      </w:r>
    </w:p>
    <w:p w14:paraId="41B08073">
      <w:pPr>
        <w:spacing w:line="360" w:lineRule="auto"/>
        <w:ind w:firstLine="500" w:firstLineChars="200"/>
        <w:rPr>
          <w:rFonts w:hint="eastAsia" w:ascii="宋体" w:hAnsi="宋体"/>
          <w:spacing w:val="20"/>
          <w:szCs w:val="21"/>
          <w:highlight w:val="none"/>
        </w:rPr>
      </w:pPr>
      <w:r>
        <w:rPr>
          <w:rFonts w:ascii="宋体" w:hAnsi="宋体"/>
          <w:spacing w:val="20"/>
          <w:szCs w:val="21"/>
          <w:highlight w:val="none"/>
        </w:rPr>
        <w:t>市场价值是指自愿买方和自愿卖方在各自理性行事且未受强迫的情况下，评估对象在评估基准日进行正常公平交易的价值估计数额。</w:t>
      </w:r>
    </w:p>
    <w:p w14:paraId="213E326D">
      <w:pPr>
        <w:pStyle w:val="3"/>
        <w:tabs>
          <w:tab w:val="left" w:pos="1148"/>
        </w:tabs>
        <w:spacing w:line="480" w:lineRule="auto"/>
        <w:ind w:firstLine="520" w:firstLineChars="200"/>
        <w:rPr>
          <w:rFonts w:ascii="黑体" w:hAnsi="宋体"/>
          <w:b w:val="0"/>
          <w:spacing w:val="20"/>
          <w:sz w:val="22"/>
          <w:szCs w:val="21"/>
          <w:highlight w:val="none"/>
        </w:rPr>
      </w:pPr>
      <w:bookmarkStart w:id="11" w:name="_Toc430098850"/>
      <w:r>
        <w:rPr>
          <w:rFonts w:hint="eastAsia" w:ascii="黑体" w:hAnsi="宋体"/>
          <w:b w:val="0"/>
          <w:spacing w:val="20"/>
          <w:sz w:val="22"/>
          <w:szCs w:val="21"/>
          <w:highlight w:val="none"/>
        </w:rPr>
        <w:t>五、</w:t>
      </w:r>
      <w:r>
        <w:rPr>
          <w:rFonts w:ascii="黑体" w:hAnsi="宋体"/>
          <w:b w:val="0"/>
          <w:spacing w:val="20"/>
          <w:sz w:val="22"/>
          <w:szCs w:val="21"/>
          <w:highlight w:val="none"/>
        </w:rPr>
        <w:t>评估基准日</w:t>
      </w:r>
      <w:bookmarkEnd w:id="11"/>
    </w:p>
    <w:p w14:paraId="11C69CE1">
      <w:pPr>
        <w:pStyle w:val="4"/>
        <w:spacing w:line="360" w:lineRule="auto"/>
        <w:ind w:firstLine="437" w:firstLineChars="175"/>
        <w:rPr>
          <w:spacing w:val="20"/>
          <w:szCs w:val="21"/>
          <w:highlight w:val="none"/>
        </w:rPr>
      </w:pPr>
      <w:r>
        <w:rPr>
          <w:spacing w:val="20"/>
          <w:szCs w:val="21"/>
          <w:highlight w:val="none"/>
        </w:rPr>
        <w:t>评估基准日为</w:t>
      </w:r>
      <w:r>
        <w:rPr>
          <w:rFonts w:hint="eastAsia"/>
          <w:spacing w:val="20"/>
          <w:szCs w:val="21"/>
          <w:highlight w:val="none"/>
          <w:lang w:eastAsia="zh-CN"/>
        </w:rPr>
        <w:t>2025年9月5日</w:t>
      </w:r>
      <w:r>
        <w:rPr>
          <w:spacing w:val="20"/>
          <w:szCs w:val="21"/>
          <w:highlight w:val="none"/>
        </w:rPr>
        <w:t>。</w:t>
      </w:r>
    </w:p>
    <w:p w14:paraId="09C29EA9">
      <w:pPr>
        <w:pStyle w:val="4"/>
        <w:spacing w:line="360" w:lineRule="auto"/>
        <w:ind w:firstLine="437" w:firstLineChars="175"/>
        <w:rPr>
          <w:spacing w:val="20"/>
          <w:szCs w:val="21"/>
          <w:highlight w:val="none"/>
        </w:rPr>
      </w:pPr>
      <w:r>
        <w:rPr>
          <w:spacing w:val="20"/>
          <w:szCs w:val="21"/>
          <w:highlight w:val="none"/>
        </w:rPr>
        <w:t>选取上述日期为评估基准日的理由是：</w:t>
      </w:r>
    </w:p>
    <w:p w14:paraId="54B14507">
      <w:pPr>
        <w:pStyle w:val="4"/>
        <w:spacing w:line="360" w:lineRule="auto"/>
        <w:ind w:firstLine="437" w:firstLineChars="175"/>
        <w:rPr>
          <w:spacing w:val="20"/>
          <w:szCs w:val="21"/>
          <w:highlight w:val="none"/>
        </w:rPr>
      </w:pPr>
      <w:r>
        <w:rPr>
          <w:spacing w:val="20"/>
          <w:szCs w:val="21"/>
          <w:highlight w:val="none"/>
        </w:rPr>
        <w:t>根据评估目的与委托方协商确定评估基准日。主要考虑使评估基准日尽可能与评估目的实现日接近，更符合经济行为的具体情况，使评估结论较合理地为评估目的服务。</w:t>
      </w:r>
    </w:p>
    <w:p w14:paraId="5098B4E5">
      <w:pPr>
        <w:pStyle w:val="4"/>
        <w:spacing w:line="360" w:lineRule="auto"/>
        <w:ind w:firstLine="437" w:firstLineChars="175"/>
        <w:rPr>
          <w:spacing w:val="20"/>
          <w:szCs w:val="21"/>
          <w:highlight w:val="none"/>
        </w:rPr>
      </w:pPr>
      <w:r>
        <w:rPr>
          <w:spacing w:val="20"/>
          <w:szCs w:val="21"/>
          <w:highlight w:val="none"/>
        </w:rPr>
        <w:t>本次评估中所采用的取价标准是评估基准日有效的价格标准。</w:t>
      </w:r>
    </w:p>
    <w:p w14:paraId="0BEA4FFA">
      <w:pPr>
        <w:pStyle w:val="3"/>
        <w:tabs>
          <w:tab w:val="left" w:pos="1148"/>
        </w:tabs>
        <w:spacing w:line="480" w:lineRule="auto"/>
        <w:ind w:left="574"/>
        <w:rPr>
          <w:rFonts w:ascii="黑体" w:hAnsi="宋体"/>
          <w:b w:val="0"/>
          <w:spacing w:val="20"/>
          <w:sz w:val="22"/>
          <w:szCs w:val="21"/>
          <w:highlight w:val="none"/>
        </w:rPr>
      </w:pPr>
      <w:bookmarkStart w:id="12" w:name="_Toc430098851"/>
      <w:r>
        <w:rPr>
          <w:rFonts w:hint="eastAsia" w:ascii="黑体" w:hAnsi="宋体"/>
          <w:b w:val="0"/>
          <w:spacing w:val="20"/>
          <w:sz w:val="22"/>
          <w:szCs w:val="21"/>
          <w:highlight w:val="none"/>
        </w:rPr>
        <w:t>六、</w:t>
      </w:r>
      <w:r>
        <w:rPr>
          <w:rFonts w:ascii="黑体" w:hAnsi="宋体"/>
          <w:b w:val="0"/>
          <w:spacing w:val="20"/>
          <w:sz w:val="22"/>
          <w:szCs w:val="21"/>
          <w:highlight w:val="none"/>
        </w:rPr>
        <w:t>评估依据</w:t>
      </w:r>
      <w:bookmarkEnd w:id="12"/>
    </w:p>
    <w:p w14:paraId="7DC062E7">
      <w:pPr>
        <w:numPr>
          <w:ilvl w:val="0"/>
          <w:numId w:val="9"/>
        </w:numPr>
        <w:tabs>
          <w:tab w:val="left" w:pos="0"/>
          <w:tab w:val="left" w:pos="1512"/>
          <w:tab w:val="clear" w:pos="1061"/>
        </w:tabs>
        <w:spacing w:line="360" w:lineRule="auto"/>
        <w:ind w:left="0" w:firstLine="588"/>
        <w:rPr>
          <w:rFonts w:hint="eastAsia" w:ascii="宋体" w:hAnsi="宋体"/>
          <w:spacing w:val="20"/>
          <w:szCs w:val="21"/>
          <w:highlight w:val="none"/>
        </w:rPr>
      </w:pPr>
      <w:r>
        <w:rPr>
          <w:rFonts w:hint="eastAsia" w:ascii="宋体" w:hAnsi="宋体"/>
          <w:spacing w:val="20"/>
          <w:szCs w:val="21"/>
          <w:highlight w:val="none"/>
        </w:rPr>
        <w:t>经济行为依据</w:t>
      </w:r>
    </w:p>
    <w:p w14:paraId="10A25847">
      <w:pPr>
        <w:pStyle w:val="4"/>
        <w:numPr>
          <w:ilvl w:val="0"/>
          <w:numId w:val="10"/>
        </w:numPr>
        <w:spacing w:line="360" w:lineRule="auto"/>
        <w:ind w:firstLine="562" w:firstLineChars="225"/>
        <w:rPr>
          <w:rFonts w:hint="eastAsia"/>
          <w:spacing w:val="20"/>
          <w:szCs w:val="21"/>
          <w:highlight w:val="none"/>
          <w:lang w:val="en-US" w:eastAsia="zh-CN"/>
        </w:rPr>
      </w:pPr>
      <w:r>
        <w:rPr>
          <w:rFonts w:hint="eastAsia"/>
          <w:spacing w:val="20"/>
          <w:szCs w:val="21"/>
          <w:highlight w:val="none"/>
          <w:lang w:val="en-US" w:eastAsia="zh-CN"/>
        </w:rPr>
        <w:t>经济行为依据；</w:t>
      </w:r>
    </w:p>
    <w:p w14:paraId="66A5D120">
      <w:pPr>
        <w:pStyle w:val="4"/>
        <w:numPr>
          <w:ilvl w:val="0"/>
          <w:numId w:val="10"/>
        </w:numPr>
        <w:spacing w:line="360" w:lineRule="auto"/>
        <w:ind w:firstLine="562" w:firstLineChars="225"/>
        <w:rPr>
          <w:spacing w:val="20"/>
          <w:szCs w:val="21"/>
          <w:highlight w:val="none"/>
        </w:rPr>
      </w:pPr>
      <w:r>
        <w:rPr>
          <w:rFonts w:hint="eastAsia"/>
          <w:spacing w:val="20"/>
          <w:szCs w:val="21"/>
          <w:highlight w:val="none"/>
        </w:rPr>
        <w:t>《资产评估委托合同》。</w:t>
      </w:r>
    </w:p>
    <w:p w14:paraId="7AF996A5">
      <w:pPr>
        <w:numPr>
          <w:ilvl w:val="0"/>
          <w:numId w:val="9"/>
        </w:numPr>
        <w:tabs>
          <w:tab w:val="left" w:pos="0"/>
          <w:tab w:val="left" w:pos="1512"/>
          <w:tab w:val="clear" w:pos="1061"/>
        </w:tabs>
        <w:spacing w:line="360" w:lineRule="auto"/>
        <w:ind w:left="0" w:firstLine="588"/>
        <w:rPr>
          <w:spacing w:val="20"/>
          <w:szCs w:val="21"/>
          <w:highlight w:val="none"/>
        </w:rPr>
      </w:pPr>
      <w:r>
        <w:rPr>
          <w:spacing w:val="20"/>
          <w:szCs w:val="21"/>
          <w:highlight w:val="none"/>
        </w:rPr>
        <w:t>法律、法规依据</w:t>
      </w:r>
    </w:p>
    <w:p w14:paraId="769D70D5">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《中华人民共和国资产评估法》(2016年7月2日中华人民共和国第十二届全国人民代表大会常务委员会第二十一次会议通过) ；</w:t>
      </w:r>
    </w:p>
    <w:p w14:paraId="7DB2D5B1">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《中华人民共和国公司法》(根据 2018 年 10 月 26 日第十三届全国人民代表大会常务委员会第六次会议《关于修改〈中华人民共和国公司法〉的决定》第四次修正)；</w:t>
      </w:r>
    </w:p>
    <w:p w14:paraId="798656EB">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《中华人民共和国民法典》（2020年5月28日第十三届全国人民代表大会第三次会议通过）；</w:t>
      </w:r>
    </w:p>
    <w:p w14:paraId="26B1ABAF">
      <w:pPr>
        <w:numPr>
          <w:ilvl w:val="0"/>
          <w:numId w:val="11"/>
        </w:numPr>
        <w:tabs>
          <w:tab w:val="left" w:pos="900"/>
          <w:tab w:val="left" w:pos="980"/>
          <w:tab w:val="left" w:pos="1008"/>
        </w:tabs>
        <w:spacing w:line="360" w:lineRule="auto"/>
        <w:ind w:left="0" w:firstLine="540"/>
        <w:rPr>
          <w:rFonts w:hint="eastAsia"/>
          <w:spacing w:val="20"/>
          <w:szCs w:val="21"/>
          <w:highlight w:val="none"/>
        </w:rPr>
      </w:pPr>
      <w:r>
        <w:rPr>
          <w:rFonts w:hint="eastAsia"/>
          <w:spacing w:val="20"/>
          <w:szCs w:val="21"/>
          <w:highlight w:val="none"/>
          <w:lang w:val="en-US" w:eastAsia="zh-CN"/>
        </w:rPr>
        <w:t>《中华人民共和国企业所得税法》 (2018 年 12 月 29 日第十三届全国人民代表大会常务委员会第七次会议修正)及其实</w:t>
      </w:r>
      <w:r>
        <w:rPr>
          <w:rFonts w:hint="eastAsia"/>
          <w:spacing w:val="20"/>
          <w:szCs w:val="21"/>
          <w:highlight w:val="none"/>
        </w:rPr>
        <w:t>施条例；</w:t>
      </w:r>
    </w:p>
    <w:p w14:paraId="67649F1F">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《资产评估行业财政监督管理办法》（财政部令第 86 号，2017，财政部令第97 号--财政部关于修改《会计师事务所执业许可和监督管理办法》等 2 部部门规章的决定 2019 年 1 月 2 日）；</w:t>
      </w:r>
    </w:p>
    <w:p w14:paraId="76277A96">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《中华人民共和国企业国有资产法》(2008 年 10 月 28 日第十一届全国人民代表大会常务委员会第五次会议通过)；</w:t>
      </w:r>
    </w:p>
    <w:p w14:paraId="6C68D9F8">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《国有资产评估管理办法》(国务院令第 91 号，1991)；</w:t>
      </w:r>
    </w:p>
    <w:p w14:paraId="34B925ED">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《企业国有资产监督管理暂行条例》(国务院令第 378 号，国务院令第 588 号修改，国务院令第 709 号 2019 年 3 月 2 日修订)；</w:t>
      </w:r>
    </w:p>
    <w:p w14:paraId="4938CEFC">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《国有资产评估管理若干问题的规定》（财政部令第 14 号，2001）；</w:t>
      </w:r>
    </w:p>
    <w:p w14:paraId="1607CCFF">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《企业国有资产评估管理暂行办法》(国资委第 12 号令，2005)；</w:t>
      </w:r>
    </w:p>
    <w:p w14:paraId="6B8415DF">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《企业国有资产交易监督管理办法》(国资委、财政部第 32 号令，2016 年 6 月24 日)；</w:t>
      </w:r>
    </w:p>
    <w:p w14:paraId="380F560B">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《上市公司国有股权监督管理办法》(国资委、财政部、证监会第 36 号令 2018年 5 月 16 日)；</w:t>
      </w:r>
    </w:p>
    <w:p w14:paraId="1CFF248F">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《关于加强企业国有资产评估管理工作有关问题的通知》( 国资委产权[2006]274 号)；</w:t>
      </w:r>
    </w:p>
    <w:p w14:paraId="2B233ED4">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《关于企业国有资产评估报告审核工作有关事项的通知》(国资产权〔2009〕941 号)；</w:t>
      </w:r>
    </w:p>
    <w:p w14:paraId="28E6E59B">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《关于印发〈企业国有资产评估项目备案工作指引〉的通知》(国资发产权〔2013〕64 号)；</w:t>
      </w:r>
    </w:p>
    <w:p w14:paraId="2CB9A41D">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《中华人民共和国增值税暂行条例》（2017年国务院令第691 号）；</w:t>
      </w:r>
    </w:p>
    <w:p w14:paraId="01B2787C">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《中华人民共和国城镇土地使用税暂行条例》(2019 年月 2 日中华人民共和国国务院令第 709 号)；</w:t>
      </w:r>
    </w:p>
    <w:p w14:paraId="0D690F63">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《中华人民共和国增值税暂行条例实施细则》（财政部、国家税务总局令第 65号）；</w:t>
      </w:r>
    </w:p>
    <w:p w14:paraId="041725FD">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.《关于全面推开营业税改征增值税试点的通知》(财政部、国家税务总局财税〔2016〕36 号)；</w:t>
      </w:r>
    </w:p>
    <w:p w14:paraId="76899C34">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《关于深化增值税改革有关政策的公告》(财政部 税务总局 海关总署公告2019 年第 39 号)；</w:t>
      </w:r>
    </w:p>
    <w:p w14:paraId="522CA551">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关于印发《温州市属国有企业国有资产交易监督管理办法》的通知（温国资委﹝2017﹞156号）；</w:t>
      </w:r>
    </w:p>
    <w:p w14:paraId="59CA9965">
      <w:pPr>
        <w:numPr>
          <w:ilvl w:val="0"/>
          <w:numId w:val="11"/>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其他与资产评估相关的法律、法规等。</w:t>
      </w:r>
    </w:p>
    <w:p w14:paraId="433D5E74">
      <w:pPr>
        <w:numPr>
          <w:ilvl w:val="0"/>
          <w:numId w:val="9"/>
        </w:numPr>
        <w:tabs>
          <w:tab w:val="left" w:pos="0"/>
          <w:tab w:val="left" w:pos="1512"/>
          <w:tab w:val="clear" w:pos="1061"/>
        </w:tabs>
        <w:spacing w:line="360" w:lineRule="auto"/>
        <w:ind w:left="0" w:firstLine="588"/>
        <w:rPr>
          <w:spacing w:val="20"/>
          <w:szCs w:val="21"/>
          <w:highlight w:val="none"/>
        </w:rPr>
      </w:pPr>
      <w:r>
        <w:rPr>
          <w:spacing w:val="20"/>
          <w:szCs w:val="21"/>
          <w:highlight w:val="none"/>
        </w:rPr>
        <w:t>准则依据</w:t>
      </w:r>
    </w:p>
    <w:p w14:paraId="3D60AEDB">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《资产评估基本准则》（财资〔2017〕43号）；</w:t>
      </w:r>
    </w:p>
    <w:p w14:paraId="3BADCA31">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《资产评估职业道德准则》（中评协〔2017〕30号）；</w:t>
      </w:r>
    </w:p>
    <w:p w14:paraId="076A44C2">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《资产评估执业准则——资产评估报告》（中评协〔2018〕35号）；</w:t>
      </w:r>
    </w:p>
    <w:p w14:paraId="0E0140CD">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《资产评估执业准则——资产评估程序》（中评协〔2018〕36号）；</w:t>
      </w:r>
    </w:p>
    <w:p w14:paraId="4F897F01">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《资产评估执业准则——资产评估方法》（中评协〔2019〕35号）；</w:t>
      </w:r>
    </w:p>
    <w:p w14:paraId="30B239C9">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《资产评估执业准则——资产评估委托合同》（中评协〔2017〕33号）；</w:t>
      </w:r>
    </w:p>
    <w:p w14:paraId="4A439EB2">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《资产评估执业准则——资产评估档案》（中评协〔2018〕37号）；</w:t>
      </w:r>
    </w:p>
    <w:p w14:paraId="356DB7A1">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《资产评估执业准则——不动产》（中评协〔2017〕38号）；</w:t>
      </w:r>
    </w:p>
    <w:p w14:paraId="622EAF42">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《资产评估执业准则——无形资产》（中评协〔2017〕37号）；</w:t>
      </w:r>
    </w:p>
    <w:p w14:paraId="718C63D5">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《企业国有资产评估报告指南》（中评协〔2017〕42号）；</w:t>
      </w:r>
    </w:p>
    <w:p w14:paraId="00A3E36A">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《资产评估机构业务质量控制指南》（中评协〔2017〕46号）；</w:t>
      </w:r>
    </w:p>
    <w:p w14:paraId="3B0869C6">
      <w:pPr>
        <w:numPr>
          <w:ilvl w:val="0"/>
          <w:numId w:val="12"/>
        </w:numPr>
        <w:tabs>
          <w:tab w:val="left" w:pos="900"/>
          <w:tab w:val="left" w:pos="980"/>
          <w:tab w:val="left" w:pos="1008"/>
        </w:tabs>
        <w:spacing w:line="360" w:lineRule="auto"/>
        <w:ind w:left="0" w:firstLine="540"/>
        <w:rPr>
          <w:rFonts w:hint="eastAsia"/>
          <w:spacing w:val="20"/>
          <w:szCs w:val="21"/>
          <w:highlight w:val="none"/>
          <w:lang w:val="en-US" w:eastAsia="zh-CN"/>
        </w:rPr>
      </w:pPr>
      <w:r>
        <w:rPr>
          <w:rFonts w:hint="eastAsia"/>
          <w:spacing w:val="20"/>
          <w:szCs w:val="21"/>
          <w:highlight w:val="none"/>
          <w:lang w:val="en-US" w:eastAsia="zh-CN"/>
        </w:rPr>
        <w:t>《资产评估价值类型指导意见》（中评协〔2017〕47号）；</w:t>
      </w:r>
    </w:p>
    <w:p w14:paraId="23D56014">
      <w:pPr>
        <w:numPr>
          <w:ilvl w:val="0"/>
          <w:numId w:val="12"/>
        </w:numPr>
        <w:tabs>
          <w:tab w:val="left" w:pos="900"/>
          <w:tab w:val="left" w:pos="980"/>
          <w:tab w:val="left" w:pos="1008"/>
        </w:tabs>
        <w:spacing w:line="360" w:lineRule="auto"/>
        <w:ind w:left="0" w:firstLine="540"/>
        <w:rPr>
          <w:spacing w:val="20"/>
          <w:szCs w:val="21"/>
          <w:highlight w:val="none"/>
        </w:rPr>
      </w:pPr>
      <w:r>
        <w:rPr>
          <w:rFonts w:hint="eastAsia"/>
          <w:spacing w:val="20"/>
          <w:szCs w:val="21"/>
          <w:highlight w:val="none"/>
          <w:lang w:val="en-US" w:eastAsia="zh-CN"/>
        </w:rPr>
        <w:t>《资产评估对象法律权属指导意见》</w:t>
      </w:r>
      <w:r>
        <w:rPr>
          <w:rFonts w:hint="eastAsia" w:ascii="宋体" w:hAnsi="宋体"/>
          <w:spacing w:val="20"/>
          <w:szCs w:val="21"/>
          <w:lang w:val="en-US" w:eastAsia="zh-CN"/>
        </w:rPr>
        <w:t>（中评协〔2017〕48号）。</w:t>
      </w:r>
    </w:p>
    <w:p w14:paraId="61863E96">
      <w:pPr>
        <w:numPr>
          <w:ilvl w:val="0"/>
          <w:numId w:val="9"/>
        </w:numPr>
        <w:tabs>
          <w:tab w:val="left" w:pos="0"/>
          <w:tab w:val="left" w:pos="1512"/>
          <w:tab w:val="clear" w:pos="1061"/>
        </w:tabs>
        <w:spacing w:line="360" w:lineRule="auto"/>
        <w:ind w:left="0" w:firstLine="546"/>
        <w:rPr>
          <w:spacing w:val="20"/>
          <w:szCs w:val="21"/>
          <w:highlight w:val="none"/>
        </w:rPr>
      </w:pPr>
      <w:r>
        <w:rPr>
          <w:spacing w:val="20"/>
          <w:szCs w:val="21"/>
          <w:highlight w:val="none"/>
        </w:rPr>
        <w:t>权属依据</w:t>
      </w:r>
    </w:p>
    <w:p w14:paraId="5203E82C">
      <w:pPr>
        <w:pStyle w:val="4"/>
        <w:spacing w:line="360" w:lineRule="auto"/>
        <w:ind w:firstLine="545" w:firstLineChars="218"/>
        <w:rPr>
          <w:rFonts w:hint="eastAsia"/>
          <w:spacing w:val="20"/>
          <w:szCs w:val="21"/>
          <w:highlight w:val="none"/>
        </w:rPr>
      </w:pPr>
      <w:r>
        <w:rPr>
          <w:rFonts w:hint="eastAsia"/>
          <w:spacing w:val="20"/>
          <w:szCs w:val="21"/>
          <w:highlight w:val="none"/>
        </w:rPr>
        <w:t>1、</w:t>
      </w:r>
      <w:r>
        <w:rPr>
          <w:rFonts w:hint="eastAsia"/>
          <w:spacing w:val="20"/>
          <w:szCs w:val="21"/>
          <w:highlight w:val="none"/>
          <w:lang w:val="en-US" w:eastAsia="zh-CN"/>
        </w:rPr>
        <w:t>资产</w:t>
      </w:r>
      <w:r>
        <w:rPr>
          <w:rFonts w:hint="eastAsia"/>
          <w:spacing w:val="20"/>
          <w:szCs w:val="21"/>
          <w:highlight w:val="none"/>
        </w:rPr>
        <w:t>评估申报明细表及其他有关资料；</w:t>
      </w:r>
    </w:p>
    <w:p w14:paraId="4FAFFDF2">
      <w:pPr>
        <w:pStyle w:val="4"/>
        <w:spacing w:line="360" w:lineRule="auto"/>
        <w:ind w:firstLine="545" w:firstLineChars="218"/>
        <w:rPr>
          <w:rFonts w:hint="eastAsia"/>
          <w:spacing w:val="20"/>
          <w:szCs w:val="21"/>
          <w:highlight w:val="none"/>
        </w:rPr>
      </w:pPr>
      <w:r>
        <w:rPr>
          <w:rFonts w:hint="eastAsia"/>
          <w:spacing w:val="20"/>
          <w:szCs w:val="21"/>
          <w:highlight w:val="none"/>
          <w:lang w:val="en-US" w:eastAsia="zh-CN"/>
        </w:rPr>
        <w:t>2</w:t>
      </w:r>
      <w:r>
        <w:rPr>
          <w:rFonts w:hint="eastAsia"/>
          <w:spacing w:val="20"/>
          <w:szCs w:val="21"/>
          <w:highlight w:val="none"/>
        </w:rPr>
        <w:t>、其它权属证明资料。</w:t>
      </w:r>
    </w:p>
    <w:p w14:paraId="042BA76D">
      <w:pPr>
        <w:numPr>
          <w:ilvl w:val="0"/>
          <w:numId w:val="9"/>
        </w:numPr>
        <w:tabs>
          <w:tab w:val="left" w:pos="0"/>
          <w:tab w:val="left" w:pos="1512"/>
          <w:tab w:val="clear" w:pos="1061"/>
        </w:tabs>
        <w:spacing w:line="360" w:lineRule="auto"/>
        <w:ind w:left="0" w:firstLine="546"/>
        <w:rPr>
          <w:spacing w:val="20"/>
          <w:szCs w:val="21"/>
          <w:highlight w:val="none"/>
        </w:rPr>
      </w:pPr>
      <w:r>
        <w:rPr>
          <w:spacing w:val="20"/>
          <w:szCs w:val="21"/>
          <w:highlight w:val="none"/>
        </w:rPr>
        <w:t xml:space="preserve">取价依据  </w:t>
      </w:r>
    </w:p>
    <w:p w14:paraId="167763F8">
      <w:pPr>
        <w:pStyle w:val="4"/>
        <w:spacing w:line="360" w:lineRule="auto"/>
        <w:ind w:firstLine="545" w:firstLineChars="218"/>
        <w:rPr>
          <w:spacing w:val="20"/>
          <w:szCs w:val="21"/>
          <w:highlight w:val="none"/>
        </w:rPr>
      </w:pPr>
      <w:r>
        <w:rPr>
          <w:spacing w:val="20"/>
          <w:szCs w:val="21"/>
          <w:highlight w:val="none"/>
        </w:rPr>
        <w:t>1</w:t>
      </w:r>
      <w:r>
        <w:rPr>
          <w:rFonts w:hint="eastAsia"/>
          <w:spacing w:val="20"/>
          <w:szCs w:val="21"/>
          <w:highlight w:val="none"/>
        </w:rPr>
        <w:t>、国家有关部门发布的统计资料和技术标准资料；</w:t>
      </w:r>
    </w:p>
    <w:p w14:paraId="7EAAA532">
      <w:pPr>
        <w:pStyle w:val="4"/>
        <w:spacing w:line="360" w:lineRule="auto"/>
        <w:ind w:firstLine="545" w:firstLineChars="218"/>
        <w:rPr>
          <w:spacing w:val="20"/>
          <w:szCs w:val="21"/>
          <w:highlight w:val="none"/>
        </w:rPr>
      </w:pPr>
      <w:r>
        <w:rPr>
          <w:rFonts w:hint="eastAsia"/>
          <w:spacing w:val="20"/>
          <w:szCs w:val="21"/>
          <w:highlight w:val="none"/>
          <w:lang w:val="en-US" w:eastAsia="zh-CN"/>
        </w:rPr>
        <w:t>2、</w:t>
      </w:r>
      <w:r>
        <w:rPr>
          <w:rFonts w:hint="eastAsia"/>
          <w:spacing w:val="20"/>
          <w:szCs w:val="21"/>
          <w:highlight w:val="none"/>
        </w:rPr>
        <w:t>互联网查询信息及评估基准日市场有关价格信息资料；</w:t>
      </w:r>
    </w:p>
    <w:p w14:paraId="253569E1">
      <w:pPr>
        <w:pStyle w:val="4"/>
        <w:spacing w:line="360" w:lineRule="auto"/>
        <w:ind w:firstLine="545" w:firstLineChars="218"/>
        <w:rPr>
          <w:rFonts w:hint="eastAsia" w:eastAsia="宋体"/>
          <w:spacing w:val="20"/>
          <w:szCs w:val="21"/>
          <w:highlight w:val="none"/>
          <w:lang w:eastAsia="zh-CN"/>
        </w:rPr>
      </w:pPr>
      <w:r>
        <w:rPr>
          <w:rFonts w:hint="eastAsia"/>
          <w:spacing w:val="20"/>
          <w:szCs w:val="21"/>
          <w:highlight w:val="none"/>
          <w:lang w:val="en-US" w:eastAsia="zh-CN"/>
        </w:rPr>
        <w:t>3、</w:t>
      </w:r>
      <w:r>
        <w:rPr>
          <w:rFonts w:hint="eastAsia"/>
          <w:spacing w:val="20"/>
          <w:szCs w:val="21"/>
          <w:highlight w:val="none"/>
        </w:rPr>
        <w:t>评估人员收集的各类与评估相关的佐证资料</w:t>
      </w:r>
      <w:r>
        <w:rPr>
          <w:rFonts w:hint="eastAsia" w:eastAsia="宋体"/>
          <w:spacing w:val="20"/>
          <w:szCs w:val="21"/>
          <w:highlight w:val="none"/>
          <w:lang w:eastAsia="zh-CN"/>
        </w:rPr>
        <w:t>；</w:t>
      </w:r>
    </w:p>
    <w:p w14:paraId="6EC189B7">
      <w:pPr>
        <w:pStyle w:val="4"/>
        <w:spacing w:line="360" w:lineRule="auto"/>
        <w:ind w:firstLine="545" w:firstLineChars="218"/>
        <w:rPr>
          <w:rFonts w:hint="default" w:eastAsia="宋体"/>
          <w:spacing w:val="20"/>
          <w:szCs w:val="21"/>
          <w:highlight w:val="none"/>
          <w:lang w:val="en-US" w:eastAsia="zh-CN"/>
        </w:rPr>
      </w:pPr>
      <w:r>
        <w:rPr>
          <w:rFonts w:hint="eastAsia" w:eastAsia="宋体"/>
          <w:spacing w:val="20"/>
          <w:szCs w:val="21"/>
          <w:highlight w:val="none"/>
          <w:lang w:val="en-US" w:eastAsia="zh-CN"/>
        </w:rPr>
        <w:t>4、其他相关资料。</w:t>
      </w:r>
    </w:p>
    <w:p w14:paraId="17BAD464">
      <w:pPr>
        <w:pStyle w:val="3"/>
        <w:tabs>
          <w:tab w:val="left" w:pos="1148"/>
        </w:tabs>
        <w:spacing w:line="480" w:lineRule="auto"/>
        <w:ind w:left="574"/>
        <w:rPr>
          <w:rFonts w:hint="eastAsia" w:ascii="黑体" w:hAnsi="宋体"/>
          <w:b w:val="0"/>
          <w:spacing w:val="20"/>
          <w:sz w:val="22"/>
          <w:szCs w:val="21"/>
          <w:highlight w:val="none"/>
        </w:rPr>
      </w:pPr>
      <w:bookmarkStart w:id="13" w:name="_Toc430098852"/>
      <w:r>
        <w:rPr>
          <w:rFonts w:hint="eastAsia" w:ascii="黑体" w:hAnsi="宋体"/>
          <w:b w:val="0"/>
          <w:spacing w:val="20"/>
          <w:sz w:val="22"/>
          <w:szCs w:val="21"/>
          <w:highlight w:val="none"/>
        </w:rPr>
        <w:t>七、</w:t>
      </w:r>
      <w:r>
        <w:rPr>
          <w:rFonts w:ascii="黑体" w:hAnsi="宋体"/>
          <w:b w:val="0"/>
          <w:spacing w:val="20"/>
          <w:sz w:val="22"/>
          <w:szCs w:val="21"/>
          <w:highlight w:val="none"/>
        </w:rPr>
        <w:t>评估方法</w:t>
      </w:r>
      <w:bookmarkEnd w:id="13"/>
    </w:p>
    <w:p w14:paraId="5CE61141">
      <w:pPr>
        <w:pStyle w:val="4"/>
        <w:keepNext w:val="0"/>
        <w:keepLines w:val="0"/>
        <w:pageBreakBefore w:val="0"/>
        <w:widowControl w:val="0"/>
        <w:kinsoku/>
        <w:wordWrap/>
        <w:overflowPunct/>
        <w:topLinePunct w:val="0"/>
        <w:autoSpaceDE/>
        <w:autoSpaceDN/>
        <w:bidi w:val="0"/>
        <w:snapToGrid/>
        <w:spacing w:line="480" w:lineRule="atLeast"/>
        <w:ind w:firstLine="625" w:firstLineChars="250"/>
        <w:textAlignment w:val="auto"/>
        <w:rPr>
          <w:rFonts w:hint="eastAsia" w:ascii="宋体" w:hAnsi="宋体"/>
          <w:spacing w:val="20"/>
          <w:szCs w:val="21"/>
          <w:highlight w:val="none"/>
        </w:rPr>
      </w:pPr>
      <w:r>
        <w:rPr>
          <w:rFonts w:hint="eastAsia" w:ascii="宋体" w:hAnsi="宋体"/>
          <w:spacing w:val="20"/>
          <w:szCs w:val="21"/>
          <w:highlight w:val="none"/>
        </w:rPr>
        <w:t>(一)评估方法介绍</w:t>
      </w:r>
    </w:p>
    <w:p w14:paraId="34B0F235">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资产评估基本方法一般有市场法、成本法与收益法。</w:t>
      </w:r>
    </w:p>
    <w:p w14:paraId="3B3A925A">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1.市场法是指利用市场上同样或类似资产的近期交易价格，经过直接比较或类比分析以估测资产价值的评估方法。其使用的基本前提有：</w:t>
      </w:r>
    </w:p>
    <w:p w14:paraId="7B424A77">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（1）存在一个活跃的公开市场；</w:t>
      </w:r>
    </w:p>
    <w:p w14:paraId="2F785A8C">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（2）公开市场上存在可比的资产及其交易活动。</w:t>
      </w:r>
    </w:p>
    <w:p w14:paraId="1D5DCF14">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2.成本法是指首先估测被评估资产的现行再取得成本（重置成本），然后估测被评估资产已存在的各种贬值因素，并将其从重置成本中扣除而得到被评估资产价值的评估方法。成本法的适用范围为：</w:t>
      </w:r>
    </w:p>
    <w:p w14:paraId="0CF587B6">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 xml:space="preserve">（1）被评估资产处于持续使用状态或设定处于持续使用状态，成本法一般不宜评估非续用状态下的资产； </w:t>
      </w:r>
    </w:p>
    <w:p w14:paraId="4567E4E9">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（2）可以调查取得购建被评估资产的现行途径及相应的社会平均成本资料。</w:t>
      </w:r>
    </w:p>
    <w:p w14:paraId="5D71724D">
      <w:pPr>
        <w:pStyle w:val="13"/>
        <w:keepNext w:val="0"/>
        <w:keepLines w:val="0"/>
        <w:pageBreakBefore w:val="0"/>
        <w:widowControl w:val="0"/>
        <w:kinsoku/>
        <w:wordWrap/>
        <w:overflowPunct/>
        <w:topLinePunct w:val="0"/>
        <w:autoSpaceDE/>
        <w:autoSpaceDN/>
        <w:bidi w:val="0"/>
        <w:snapToGrid/>
        <w:spacing w:line="480" w:lineRule="atLeast"/>
        <w:ind w:right="-18" w:rightChars="-9" w:firstLine="500" w:firstLineChars="200"/>
        <w:jc w:val="both"/>
        <w:textAlignment w:val="auto"/>
        <w:rPr>
          <w:rFonts w:hint="eastAsia"/>
          <w:spacing w:val="20"/>
          <w:szCs w:val="21"/>
          <w:highlight w:val="none"/>
        </w:rPr>
      </w:pPr>
      <w:r>
        <w:rPr>
          <w:rFonts w:hint="eastAsia"/>
          <w:spacing w:val="20"/>
          <w:szCs w:val="21"/>
          <w:highlight w:val="none"/>
        </w:rPr>
        <w:t xml:space="preserve">3.收益法是指通过估测被评估资产未来预期收益的现值来判断资产价值的评估方法。应用收益法必须具备的基本前提有： </w:t>
      </w:r>
    </w:p>
    <w:p w14:paraId="70616936">
      <w:pPr>
        <w:pStyle w:val="4"/>
        <w:keepNext w:val="0"/>
        <w:keepLines w:val="0"/>
        <w:pageBreakBefore w:val="0"/>
        <w:widowControl w:val="0"/>
        <w:kinsoku/>
        <w:wordWrap/>
        <w:overflowPunct/>
        <w:topLinePunct w:val="0"/>
        <w:autoSpaceDE/>
        <w:autoSpaceDN/>
        <w:bidi w:val="0"/>
        <w:snapToGrid/>
        <w:spacing w:line="480" w:lineRule="atLeast"/>
        <w:ind w:firstLine="545" w:firstLineChars="218"/>
        <w:textAlignment w:val="auto"/>
        <w:rPr>
          <w:rFonts w:hint="eastAsia"/>
          <w:spacing w:val="20"/>
          <w:szCs w:val="21"/>
          <w:highlight w:val="none"/>
        </w:rPr>
      </w:pPr>
      <w:r>
        <w:rPr>
          <w:rFonts w:hint="eastAsia"/>
          <w:spacing w:val="20"/>
          <w:szCs w:val="21"/>
          <w:highlight w:val="none"/>
        </w:rPr>
        <w:t xml:space="preserve">（1）被评估资产的未来预期收益可以预测并可以用货币衡量； </w:t>
      </w:r>
    </w:p>
    <w:p w14:paraId="4F89B604">
      <w:pPr>
        <w:pStyle w:val="4"/>
        <w:keepNext w:val="0"/>
        <w:keepLines w:val="0"/>
        <w:pageBreakBefore w:val="0"/>
        <w:widowControl w:val="0"/>
        <w:kinsoku/>
        <w:wordWrap/>
        <w:overflowPunct/>
        <w:topLinePunct w:val="0"/>
        <w:autoSpaceDE/>
        <w:autoSpaceDN/>
        <w:bidi w:val="0"/>
        <w:snapToGrid/>
        <w:spacing w:line="480" w:lineRule="atLeast"/>
        <w:ind w:firstLine="545" w:firstLineChars="218"/>
        <w:textAlignment w:val="auto"/>
        <w:rPr>
          <w:rFonts w:hint="eastAsia"/>
          <w:spacing w:val="20"/>
          <w:szCs w:val="21"/>
          <w:highlight w:val="none"/>
        </w:rPr>
      </w:pPr>
      <w:r>
        <w:rPr>
          <w:rFonts w:hint="eastAsia"/>
          <w:spacing w:val="20"/>
          <w:szCs w:val="21"/>
          <w:highlight w:val="none"/>
        </w:rPr>
        <w:t>（2）资产拥有者获得预期收益所承担的风险可以预测并可用货币衡量；</w:t>
      </w:r>
    </w:p>
    <w:p w14:paraId="318708D3">
      <w:pPr>
        <w:pStyle w:val="4"/>
        <w:keepNext w:val="0"/>
        <w:keepLines w:val="0"/>
        <w:pageBreakBefore w:val="0"/>
        <w:widowControl w:val="0"/>
        <w:kinsoku/>
        <w:wordWrap/>
        <w:overflowPunct/>
        <w:topLinePunct w:val="0"/>
        <w:autoSpaceDE/>
        <w:autoSpaceDN/>
        <w:bidi w:val="0"/>
        <w:snapToGrid/>
        <w:spacing w:line="480" w:lineRule="atLeast"/>
        <w:ind w:firstLine="545" w:firstLineChars="218"/>
        <w:textAlignment w:val="auto"/>
        <w:rPr>
          <w:rFonts w:hint="eastAsia"/>
          <w:spacing w:val="20"/>
          <w:szCs w:val="21"/>
          <w:highlight w:val="none"/>
        </w:rPr>
      </w:pPr>
      <w:r>
        <w:rPr>
          <w:rFonts w:hint="eastAsia"/>
          <w:spacing w:val="20"/>
          <w:szCs w:val="21"/>
          <w:highlight w:val="none"/>
        </w:rPr>
        <w:t xml:space="preserve">（3）被评估资产预期获利年限可以预测； </w:t>
      </w:r>
    </w:p>
    <w:p w14:paraId="359F4DB3">
      <w:pPr>
        <w:pStyle w:val="4"/>
        <w:keepNext w:val="0"/>
        <w:keepLines w:val="0"/>
        <w:pageBreakBefore w:val="0"/>
        <w:widowControl w:val="0"/>
        <w:kinsoku/>
        <w:wordWrap/>
        <w:overflowPunct/>
        <w:topLinePunct w:val="0"/>
        <w:autoSpaceDE/>
        <w:autoSpaceDN/>
        <w:bidi w:val="0"/>
        <w:snapToGrid/>
        <w:spacing w:line="480" w:lineRule="atLeast"/>
        <w:ind w:firstLine="545" w:firstLineChars="218"/>
        <w:textAlignment w:val="auto"/>
        <w:rPr>
          <w:rFonts w:hint="eastAsia"/>
          <w:spacing w:val="20"/>
          <w:szCs w:val="21"/>
          <w:highlight w:val="none"/>
        </w:rPr>
      </w:pPr>
      <w:r>
        <w:rPr>
          <w:rFonts w:hint="eastAsia"/>
          <w:spacing w:val="20"/>
          <w:szCs w:val="21"/>
          <w:highlight w:val="none"/>
        </w:rPr>
        <w:t>（4）企业能通过不断地自我调节，使企业持续经营下去并保证其获利能力。</w:t>
      </w:r>
    </w:p>
    <w:p w14:paraId="082C240E">
      <w:pPr>
        <w:pStyle w:val="4"/>
        <w:keepNext w:val="0"/>
        <w:keepLines w:val="0"/>
        <w:pageBreakBefore w:val="0"/>
        <w:widowControl w:val="0"/>
        <w:kinsoku/>
        <w:wordWrap/>
        <w:overflowPunct/>
        <w:topLinePunct w:val="0"/>
        <w:autoSpaceDE/>
        <w:autoSpaceDN/>
        <w:bidi w:val="0"/>
        <w:snapToGrid/>
        <w:spacing w:line="480" w:lineRule="atLeast"/>
        <w:ind w:firstLine="625" w:firstLineChars="250"/>
        <w:textAlignment w:val="auto"/>
        <w:rPr>
          <w:rFonts w:ascii="宋体" w:hAnsi="宋体"/>
          <w:spacing w:val="20"/>
          <w:szCs w:val="21"/>
          <w:highlight w:val="none"/>
        </w:rPr>
      </w:pPr>
      <w:r>
        <w:rPr>
          <w:rFonts w:hint="eastAsia" w:ascii="宋体" w:hAnsi="宋体"/>
          <w:spacing w:val="20"/>
          <w:szCs w:val="21"/>
          <w:highlight w:val="none"/>
        </w:rPr>
        <w:t>(二)评估方法的选取</w:t>
      </w:r>
    </w:p>
    <w:p w14:paraId="1C7F0838">
      <w:pPr>
        <w:pStyle w:val="4"/>
        <w:keepNext w:val="0"/>
        <w:keepLines w:val="0"/>
        <w:pageBreakBefore w:val="0"/>
        <w:widowControl w:val="0"/>
        <w:tabs>
          <w:tab w:val="left" w:pos="945"/>
          <w:tab w:val="left" w:pos="1155"/>
        </w:tabs>
        <w:kinsoku/>
        <w:wordWrap/>
        <w:overflowPunct/>
        <w:topLinePunct w:val="0"/>
        <w:autoSpaceDE/>
        <w:autoSpaceDN/>
        <w:bidi w:val="0"/>
        <w:adjustRightInd w:val="0"/>
        <w:snapToGrid/>
        <w:spacing w:line="480" w:lineRule="atLeast"/>
        <w:ind w:firstLine="562" w:firstLineChars="225"/>
        <w:textAlignment w:val="auto"/>
        <w:rPr>
          <w:rFonts w:hint="eastAsia"/>
          <w:spacing w:val="20"/>
          <w:szCs w:val="21"/>
          <w:lang w:eastAsia="zh-CN"/>
        </w:rPr>
      </w:pPr>
      <w:bookmarkStart w:id="14" w:name="_Toc430098853"/>
      <w:r>
        <w:rPr>
          <w:rFonts w:hint="eastAsia"/>
          <w:spacing w:val="20"/>
          <w:szCs w:val="21"/>
          <w:lang w:eastAsia="zh-CN"/>
        </w:rPr>
        <w:t>资产评估师根据</w:t>
      </w:r>
      <w:r>
        <w:rPr>
          <w:rFonts w:hint="eastAsia"/>
          <w:spacing w:val="20"/>
          <w:szCs w:val="21"/>
          <w:lang w:val="en-US" w:eastAsia="zh-CN"/>
        </w:rPr>
        <w:t>评估</w:t>
      </w:r>
      <w:r>
        <w:rPr>
          <w:rFonts w:hint="eastAsia"/>
          <w:spacing w:val="20"/>
          <w:szCs w:val="21"/>
          <w:lang w:eastAsia="zh-CN"/>
        </w:rPr>
        <w:t>对象、价值类型、资料收集情况等相关条件，并分析了 成本法、收益法等三种资产</w:t>
      </w:r>
      <w:r>
        <w:rPr>
          <w:rFonts w:hint="eastAsia"/>
          <w:spacing w:val="20"/>
          <w:szCs w:val="21"/>
          <w:lang w:val="en-US" w:eastAsia="zh-CN"/>
        </w:rPr>
        <w:t>评估</w:t>
      </w:r>
      <w:r>
        <w:rPr>
          <w:rFonts w:hint="eastAsia"/>
          <w:spacing w:val="20"/>
          <w:szCs w:val="21"/>
          <w:lang w:eastAsia="zh-CN"/>
        </w:rPr>
        <w:t>基本方法的适用性。</w:t>
      </w:r>
    </w:p>
    <w:p w14:paraId="6C091090">
      <w:pPr>
        <w:pStyle w:val="4"/>
        <w:keepNext w:val="0"/>
        <w:keepLines w:val="0"/>
        <w:pageBreakBefore w:val="0"/>
        <w:widowControl w:val="0"/>
        <w:tabs>
          <w:tab w:val="left" w:pos="945"/>
          <w:tab w:val="left" w:pos="1155"/>
        </w:tabs>
        <w:kinsoku/>
        <w:wordWrap/>
        <w:overflowPunct/>
        <w:topLinePunct w:val="0"/>
        <w:autoSpaceDE/>
        <w:autoSpaceDN/>
        <w:bidi w:val="0"/>
        <w:adjustRightInd w:val="0"/>
        <w:snapToGrid/>
        <w:spacing w:line="480" w:lineRule="atLeast"/>
        <w:ind w:firstLine="562" w:firstLineChars="225"/>
        <w:textAlignment w:val="auto"/>
        <w:rPr>
          <w:rFonts w:hint="eastAsia"/>
          <w:spacing w:val="20"/>
          <w:szCs w:val="21"/>
          <w:lang w:eastAsia="zh-CN"/>
        </w:rPr>
      </w:pPr>
      <w:r>
        <w:rPr>
          <w:rFonts w:hint="eastAsia"/>
          <w:spacing w:val="20"/>
          <w:szCs w:val="21"/>
          <w:lang w:eastAsia="zh-CN"/>
        </w:rPr>
        <w:t>本次委托</w:t>
      </w:r>
      <w:r>
        <w:rPr>
          <w:rFonts w:hint="eastAsia"/>
          <w:spacing w:val="20"/>
          <w:szCs w:val="21"/>
          <w:lang w:val="en-US" w:eastAsia="zh-CN"/>
        </w:rPr>
        <w:t>评估</w:t>
      </w:r>
      <w:r>
        <w:rPr>
          <w:rFonts w:hint="eastAsia"/>
          <w:spacing w:val="20"/>
          <w:szCs w:val="21"/>
          <w:lang w:eastAsia="zh-CN"/>
        </w:rPr>
        <w:t>的资产为坐落于罗阳镇、司前镇、筱村镇等17个乡镇的120处</w:t>
      </w:r>
      <w:r>
        <w:rPr>
          <w:rFonts w:hint="eastAsia"/>
          <w:spacing w:val="20"/>
          <w:szCs w:val="21"/>
          <w:lang w:val="en-US" w:eastAsia="zh-CN"/>
        </w:rPr>
        <w:t>房产，</w:t>
      </w:r>
      <w:r>
        <w:rPr>
          <w:rFonts w:hint="eastAsia"/>
          <w:spacing w:val="20"/>
          <w:szCs w:val="21"/>
          <w:lang w:eastAsia="zh-CN"/>
        </w:rPr>
        <w:t>共计建筑面积99390.03㎡的康养服务用房，被</w:t>
      </w:r>
      <w:r>
        <w:rPr>
          <w:rFonts w:hint="eastAsia"/>
          <w:spacing w:val="20"/>
          <w:szCs w:val="21"/>
          <w:lang w:val="en-US" w:eastAsia="zh-CN"/>
        </w:rPr>
        <w:t>评估</w:t>
      </w:r>
      <w:r>
        <w:rPr>
          <w:rFonts w:hint="eastAsia"/>
          <w:spacing w:val="20"/>
          <w:szCs w:val="21"/>
          <w:lang w:eastAsia="zh-CN"/>
        </w:rPr>
        <w:t>资产现保留的可利用历史资料不全面，故未选择成本法进行</w:t>
      </w:r>
      <w:r>
        <w:rPr>
          <w:rFonts w:hint="eastAsia"/>
          <w:spacing w:val="20"/>
          <w:szCs w:val="21"/>
          <w:lang w:val="en-US" w:eastAsia="zh-CN"/>
        </w:rPr>
        <w:t>评估</w:t>
      </w:r>
      <w:r>
        <w:rPr>
          <w:rFonts w:hint="eastAsia"/>
          <w:spacing w:val="20"/>
          <w:szCs w:val="21"/>
          <w:lang w:eastAsia="zh-CN"/>
        </w:rPr>
        <w:t>；因未来收益不可预测，故未采用收益法进行价值</w:t>
      </w:r>
      <w:r>
        <w:rPr>
          <w:rFonts w:hint="eastAsia"/>
          <w:spacing w:val="20"/>
          <w:szCs w:val="21"/>
          <w:lang w:val="en-US" w:eastAsia="zh-CN"/>
        </w:rPr>
        <w:t>评估</w:t>
      </w:r>
      <w:r>
        <w:rPr>
          <w:rFonts w:hint="eastAsia"/>
          <w:spacing w:val="20"/>
          <w:szCs w:val="21"/>
          <w:lang w:eastAsia="zh-CN"/>
        </w:rPr>
        <w:t>；房地产同类市场交易比较频繁，评估人员根据委估资产的实际状况和特点，采用市场法对其租赁权价值进行</w:t>
      </w:r>
      <w:r>
        <w:rPr>
          <w:rFonts w:hint="eastAsia"/>
          <w:spacing w:val="20"/>
          <w:szCs w:val="21"/>
          <w:lang w:val="en-US" w:eastAsia="zh-CN"/>
        </w:rPr>
        <w:t>评估</w:t>
      </w:r>
      <w:r>
        <w:rPr>
          <w:rFonts w:hint="eastAsia"/>
          <w:spacing w:val="20"/>
          <w:szCs w:val="21"/>
          <w:lang w:eastAsia="zh-CN"/>
        </w:rPr>
        <w:t>。</w:t>
      </w:r>
    </w:p>
    <w:p w14:paraId="6DBE6498">
      <w:pPr>
        <w:keepNext w:val="0"/>
        <w:keepLines w:val="0"/>
        <w:pageBreakBefore w:val="0"/>
        <w:widowControl w:val="0"/>
        <w:kinsoku/>
        <w:wordWrap/>
        <w:overflowPunct/>
        <w:topLinePunct w:val="0"/>
        <w:autoSpaceDE/>
        <w:autoSpaceDN/>
        <w:bidi w:val="0"/>
        <w:adjustRightInd/>
        <w:snapToGrid/>
        <w:spacing w:before="8" w:line="480" w:lineRule="atLeast"/>
        <w:ind w:right="22" w:firstLine="500" w:firstLineChars="200"/>
        <w:textAlignment w:val="auto"/>
        <w:rPr>
          <w:rFonts w:hint="eastAsia" w:ascii="Times New Roman" w:hAnsi="Times New Roman" w:eastAsia="宋体" w:cs="Times New Roman"/>
          <w:spacing w:val="20"/>
          <w:kern w:val="2"/>
          <w:sz w:val="21"/>
          <w:szCs w:val="21"/>
          <w:lang w:val="en-US" w:eastAsia="zh-CN" w:bidi="ar-SA"/>
        </w:rPr>
      </w:pPr>
      <w:r>
        <w:rPr>
          <w:rFonts w:hint="eastAsia" w:ascii="Times New Roman" w:hAnsi="Times New Roman" w:eastAsia="宋体" w:cs="Times New Roman"/>
          <w:spacing w:val="20"/>
          <w:kern w:val="2"/>
          <w:sz w:val="21"/>
          <w:szCs w:val="21"/>
          <w:lang w:val="en-US" w:eastAsia="zh-CN" w:bidi="ar-SA"/>
        </w:rPr>
        <w:t>评估方法的确定：对上述三种方法进行上述分析之后，本次采用市场法进行价值评估。</w:t>
      </w:r>
    </w:p>
    <w:p w14:paraId="60230272">
      <w:pPr>
        <w:keepNext w:val="0"/>
        <w:keepLines w:val="0"/>
        <w:pageBreakBefore w:val="0"/>
        <w:widowControl w:val="0"/>
        <w:kinsoku/>
        <w:wordWrap/>
        <w:overflowPunct/>
        <w:topLinePunct w:val="0"/>
        <w:autoSpaceDE/>
        <w:autoSpaceDN/>
        <w:bidi w:val="0"/>
        <w:adjustRightInd/>
        <w:snapToGrid/>
        <w:spacing w:before="2" w:line="480" w:lineRule="atLeast"/>
        <w:ind w:right="15" w:firstLine="500" w:firstLineChars="200"/>
        <w:textAlignment w:val="auto"/>
        <w:rPr>
          <w:rFonts w:hint="eastAsia" w:ascii="Times New Roman" w:hAnsi="Times New Roman" w:eastAsia="宋体" w:cs="Times New Roman"/>
          <w:spacing w:val="20"/>
          <w:kern w:val="2"/>
          <w:sz w:val="21"/>
          <w:szCs w:val="21"/>
          <w:lang w:val="en-US" w:eastAsia="zh-CN" w:bidi="ar-SA"/>
        </w:rPr>
      </w:pPr>
      <w:r>
        <w:rPr>
          <w:rFonts w:hint="eastAsia" w:ascii="Times New Roman" w:hAnsi="Times New Roman" w:eastAsia="宋体" w:cs="Times New Roman"/>
          <w:spacing w:val="20"/>
          <w:kern w:val="2"/>
          <w:sz w:val="21"/>
          <w:szCs w:val="21"/>
          <w:lang w:val="en-US" w:eastAsia="zh-CN" w:bidi="ar-SA"/>
        </w:rPr>
        <w:t>本次评估采用市场法测算出第一年房地产租赁权价值，再根据未来经济形势的发展，</w:t>
      </w:r>
      <w:r>
        <w:rPr>
          <w:rFonts w:hint="eastAsia" w:cs="Times New Roman"/>
          <w:spacing w:val="20"/>
          <w:kern w:val="2"/>
          <w:sz w:val="21"/>
          <w:szCs w:val="21"/>
          <w:lang w:val="en-US" w:eastAsia="zh-CN" w:bidi="ar-SA"/>
        </w:rPr>
        <w:t>年租金按每过5年增长10%，采用合适的折现率将</w:t>
      </w:r>
      <w:r>
        <w:rPr>
          <w:rFonts w:hint="eastAsia" w:ascii="Times New Roman" w:hAnsi="Times New Roman" w:eastAsia="宋体" w:cs="Times New Roman"/>
          <w:spacing w:val="20"/>
          <w:kern w:val="2"/>
          <w:sz w:val="21"/>
          <w:szCs w:val="21"/>
          <w:lang w:val="en-US" w:eastAsia="zh-CN" w:bidi="ar-SA"/>
        </w:rPr>
        <w:t>未来20年的</w:t>
      </w:r>
      <w:r>
        <w:rPr>
          <w:rFonts w:hint="eastAsia" w:cs="Times New Roman"/>
          <w:spacing w:val="20"/>
          <w:kern w:val="2"/>
          <w:sz w:val="21"/>
          <w:szCs w:val="21"/>
          <w:lang w:val="en-US" w:eastAsia="zh-CN" w:bidi="ar-SA"/>
        </w:rPr>
        <w:t>年</w:t>
      </w:r>
      <w:r>
        <w:rPr>
          <w:rFonts w:hint="eastAsia" w:ascii="Times New Roman" w:hAnsi="Times New Roman" w:eastAsia="宋体" w:cs="Times New Roman"/>
          <w:spacing w:val="20"/>
          <w:kern w:val="2"/>
          <w:sz w:val="21"/>
          <w:szCs w:val="21"/>
          <w:lang w:val="en-US" w:eastAsia="zh-CN" w:bidi="ar-SA"/>
        </w:rPr>
        <w:t>租赁权价值</w:t>
      </w:r>
      <w:r>
        <w:rPr>
          <w:rFonts w:hint="eastAsia" w:cs="Times New Roman"/>
          <w:spacing w:val="20"/>
          <w:kern w:val="2"/>
          <w:sz w:val="21"/>
          <w:szCs w:val="21"/>
          <w:lang w:val="en-US" w:eastAsia="zh-CN" w:bidi="ar-SA"/>
        </w:rPr>
        <w:t>进行折现</w:t>
      </w:r>
      <w:r>
        <w:rPr>
          <w:rFonts w:hint="eastAsia" w:ascii="Times New Roman" w:hAnsi="Times New Roman" w:eastAsia="宋体" w:cs="Times New Roman"/>
          <w:spacing w:val="20"/>
          <w:kern w:val="2"/>
          <w:sz w:val="21"/>
          <w:szCs w:val="21"/>
          <w:lang w:val="en-US" w:eastAsia="zh-CN" w:bidi="ar-SA"/>
        </w:rPr>
        <w:t>，最终得出委估康养服务用房20年租赁权价值总和。</w:t>
      </w:r>
    </w:p>
    <w:p w14:paraId="7FB36889">
      <w:pPr>
        <w:pStyle w:val="3"/>
        <w:tabs>
          <w:tab w:val="left" w:pos="1148"/>
        </w:tabs>
        <w:spacing w:line="480" w:lineRule="auto"/>
        <w:ind w:left="574"/>
        <w:rPr>
          <w:rFonts w:hint="eastAsia" w:ascii="宋体" w:hAnsi="宋体" w:eastAsia="宋体" w:cs="宋体"/>
          <w:b/>
          <w:bCs/>
          <w:spacing w:val="20"/>
          <w:sz w:val="22"/>
          <w:szCs w:val="21"/>
          <w:highlight w:val="none"/>
        </w:rPr>
      </w:pPr>
      <w:r>
        <w:rPr>
          <w:rFonts w:hint="eastAsia" w:ascii="宋体" w:hAnsi="宋体" w:eastAsia="宋体" w:cs="宋体"/>
          <w:b/>
          <w:bCs/>
          <w:spacing w:val="20"/>
          <w:sz w:val="22"/>
          <w:szCs w:val="21"/>
          <w:highlight w:val="none"/>
        </w:rPr>
        <w:t>八、评估程序</w:t>
      </w:r>
      <w:bookmarkEnd w:id="14"/>
    </w:p>
    <w:p w14:paraId="2B35C7BC">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rFonts w:hint="eastAsia" w:eastAsia="宋体"/>
          <w:spacing w:val="20"/>
          <w:szCs w:val="21"/>
          <w:lang w:val="en-US" w:eastAsia="zh-CN"/>
        </w:rPr>
      </w:pPr>
      <w:r>
        <w:rPr>
          <w:spacing w:val="20"/>
          <w:szCs w:val="21"/>
        </w:rPr>
        <w:t>（一）接受委托</w:t>
      </w:r>
    </w:p>
    <w:p w14:paraId="415B8026">
      <w:pPr>
        <w:pStyle w:val="4"/>
        <w:keepNext w:val="0"/>
        <w:keepLines w:val="0"/>
        <w:pageBreakBefore w:val="0"/>
        <w:widowControl w:val="0"/>
        <w:kinsoku/>
        <w:wordWrap/>
        <w:overflowPunct/>
        <w:topLinePunct w:val="0"/>
        <w:autoSpaceDE/>
        <w:autoSpaceDN/>
        <w:bidi w:val="0"/>
        <w:adjustRightInd/>
        <w:snapToGrid/>
        <w:spacing w:line="460" w:lineRule="atLeast"/>
        <w:ind w:firstLine="625" w:firstLineChars="250"/>
        <w:textAlignment w:val="auto"/>
        <w:rPr>
          <w:spacing w:val="20"/>
          <w:szCs w:val="21"/>
        </w:rPr>
      </w:pPr>
      <w:r>
        <w:rPr>
          <w:rFonts w:hint="eastAsia" w:ascii="宋体" w:hAnsi="宋体" w:eastAsia="宋体" w:cs="宋体"/>
          <w:spacing w:val="20"/>
          <w:kern w:val="2"/>
          <w:sz w:val="21"/>
          <w:szCs w:val="21"/>
          <w:lang w:val="en-US" w:eastAsia="zh-CN" w:bidi="ar-SA"/>
        </w:rPr>
        <w:t>本公司与委托方、产权持有单位协商，确定评估目的和评估对象及范围，选定评估基准日。听取产权持有单位有关人员对企业情况及委估资产历史和现</w:t>
      </w:r>
      <w:r>
        <w:rPr>
          <w:spacing w:val="20"/>
          <w:kern w:val="0"/>
          <w:szCs w:val="21"/>
        </w:rPr>
        <w:t>状的介绍，拟定评估计划，组建评估小组</w:t>
      </w:r>
      <w:r>
        <w:rPr>
          <w:spacing w:val="20"/>
          <w:szCs w:val="21"/>
        </w:rPr>
        <w:t>。</w:t>
      </w:r>
    </w:p>
    <w:p w14:paraId="43ABCEDA">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rPr>
      </w:pPr>
      <w:r>
        <w:rPr>
          <w:spacing w:val="20"/>
          <w:szCs w:val="21"/>
        </w:rPr>
        <w:t>（二）现场清查</w:t>
      </w:r>
    </w:p>
    <w:p w14:paraId="73CAA392">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rPr>
      </w:pPr>
      <w:r>
        <w:rPr>
          <w:spacing w:val="20"/>
          <w:kern w:val="0"/>
          <w:szCs w:val="21"/>
        </w:rPr>
        <w:t>评估小组对</w:t>
      </w:r>
      <w:r>
        <w:rPr>
          <w:spacing w:val="20"/>
          <w:szCs w:val="21"/>
        </w:rPr>
        <w:t>委托方提供的资产评估材料</w:t>
      </w:r>
      <w:r>
        <w:rPr>
          <w:spacing w:val="20"/>
          <w:kern w:val="0"/>
          <w:szCs w:val="21"/>
        </w:rPr>
        <w:t>进行现场调查，通过询问、核对、勘察等方式，获取评估业务需要的基础资料，了解评估对象现状，关注评估对象的法律权属。</w:t>
      </w:r>
    </w:p>
    <w:p w14:paraId="7E0F39F2">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rPr>
      </w:pPr>
      <w:r>
        <w:rPr>
          <w:spacing w:val="20"/>
          <w:szCs w:val="21"/>
        </w:rPr>
        <w:t>（三）评定估算</w:t>
      </w:r>
    </w:p>
    <w:p w14:paraId="5031549E">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rPr>
      </w:pPr>
      <w:r>
        <w:rPr>
          <w:spacing w:val="20"/>
          <w:kern w:val="0"/>
          <w:szCs w:val="21"/>
        </w:rPr>
        <w:t>评估小组根据评估业务的需要开展独立的市场调研，收集相关的信息资料，并进行必要筛选、分析、归纳和整理，并根据评估对象、价值类型、评估资料收集情况等相关条件，恰当选择评估方法；评估小组根据所选用的评估方法，选取相应的公式和参数进行分析、计算和判断，形成初步评估结果。</w:t>
      </w:r>
    </w:p>
    <w:p w14:paraId="326E0343">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rPr>
      </w:pPr>
      <w:r>
        <w:rPr>
          <w:spacing w:val="20"/>
          <w:szCs w:val="21"/>
        </w:rPr>
        <w:t>（四）形成报告</w:t>
      </w:r>
    </w:p>
    <w:p w14:paraId="00656233">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rPr>
      </w:pPr>
      <w:r>
        <w:rPr>
          <w:spacing w:val="20"/>
          <w:kern w:val="0"/>
          <w:szCs w:val="21"/>
        </w:rPr>
        <w:t>资产评估师对初步评估结果进行综合，确定最终评估结论。资产评估师在以上工作的基础上编制评估报告。评估报告经本公司三级复核，在与委托方和委托方许可的相关当事方就评估报告的有关内容进行必要的沟通后，向委托方提交正式评估报告</w:t>
      </w:r>
      <w:r>
        <w:rPr>
          <w:spacing w:val="20"/>
          <w:szCs w:val="21"/>
        </w:rPr>
        <w:t>。</w:t>
      </w:r>
    </w:p>
    <w:p w14:paraId="57B746E8">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rFonts w:hint="eastAsia"/>
          <w:spacing w:val="20"/>
          <w:szCs w:val="21"/>
          <w:highlight w:val="none"/>
        </w:rPr>
      </w:pPr>
      <w:r>
        <w:rPr>
          <w:rFonts w:hint="eastAsia"/>
          <w:spacing w:val="20"/>
          <w:szCs w:val="21"/>
          <w:highlight w:val="none"/>
        </w:rPr>
        <w:t>（五）整理归集评估档案</w:t>
      </w:r>
    </w:p>
    <w:p w14:paraId="79E24F06">
      <w:pPr>
        <w:keepNext w:val="0"/>
        <w:keepLines w:val="0"/>
        <w:pageBreakBefore w:val="0"/>
        <w:widowControl w:val="0"/>
        <w:kinsoku/>
        <w:wordWrap/>
        <w:overflowPunct/>
        <w:topLinePunct w:val="0"/>
        <w:autoSpaceDE/>
        <w:autoSpaceDN/>
        <w:bidi w:val="0"/>
        <w:adjustRightInd/>
        <w:snapToGrid/>
        <w:spacing w:line="460" w:lineRule="atLeast"/>
        <w:ind w:firstLine="570"/>
        <w:textAlignment w:val="auto"/>
        <w:rPr>
          <w:spacing w:val="20"/>
          <w:szCs w:val="21"/>
          <w:highlight w:val="none"/>
        </w:rPr>
      </w:pPr>
      <w:r>
        <w:rPr>
          <w:rFonts w:hint="eastAsia"/>
          <w:spacing w:val="20"/>
          <w:szCs w:val="21"/>
          <w:highlight w:val="none"/>
        </w:rPr>
        <w:t>编制资产评估档案，遵循公司档案管理制度及时归档。</w:t>
      </w:r>
    </w:p>
    <w:p w14:paraId="0919B31A">
      <w:pPr>
        <w:pStyle w:val="3"/>
        <w:tabs>
          <w:tab w:val="left" w:pos="1148"/>
        </w:tabs>
        <w:spacing w:line="480" w:lineRule="auto"/>
        <w:ind w:left="574"/>
        <w:rPr>
          <w:rFonts w:hint="eastAsia" w:ascii="宋体" w:hAnsi="宋体" w:eastAsia="宋体" w:cs="宋体"/>
          <w:b/>
          <w:bCs/>
          <w:spacing w:val="20"/>
          <w:sz w:val="22"/>
          <w:szCs w:val="21"/>
          <w:highlight w:val="none"/>
        </w:rPr>
      </w:pPr>
      <w:bookmarkStart w:id="15" w:name="_Toc430098854"/>
      <w:r>
        <w:rPr>
          <w:rFonts w:hint="eastAsia" w:ascii="宋体" w:hAnsi="宋体" w:eastAsia="宋体" w:cs="宋体"/>
          <w:b/>
          <w:bCs/>
          <w:spacing w:val="20"/>
          <w:sz w:val="22"/>
          <w:szCs w:val="21"/>
          <w:highlight w:val="none"/>
        </w:rPr>
        <w:t>九、评估假设</w:t>
      </w:r>
      <w:bookmarkEnd w:id="15"/>
      <w:r>
        <w:rPr>
          <w:rFonts w:hint="eastAsia" w:ascii="宋体" w:hAnsi="宋体" w:eastAsia="宋体" w:cs="宋体"/>
          <w:b/>
          <w:bCs/>
          <w:spacing w:val="20"/>
          <w:sz w:val="22"/>
          <w:szCs w:val="21"/>
          <w:highlight w:val="none"/>
        </w:rPr>
        <w:t xml:space="preserve"> </w:t>
      </w:r>
    </w:p>
    <w:p w14:paraId="643240FD">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spacing w:val="20"/>
          <w:kern w:val="0"/>
          <w:szCs w:val="21"/>
          <w:highlight w:val="none"/>
        </w:rPr>
      </w:pPr>
      <w:r>
        <w:rPr>
          <w:rFonts w:hint="eastAsia"/>
          <w:spacing w:val="20"/>
          <w:kern w:val="0"/>
          <w:szCs w:val="21"/>
          <w:highlight w:val="none"/>
        </w:rPr>
        <w:t>在评估过程中，我们所依据和使用的评估假设是评估报告撰写的基本前提，同时提请评估报告使用人关注评估假设内容，以正确理解和使用评估结论。我们遵循以下评估假设条件，如评估报告日后评估假设发生重要变化，将对评估结论产生重大影响。</w:t>
      </w:r>
    </w:p>
    <w:p w14:paraId="475807EB">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ascii="Times New Roman" w:hAnsi="Times New Roman" w:eastAsia="宋体" w:cs="Times New Roman"/>
          <w:spacing w:val="20"/>
          <w:kern w:val="0"/>
          <w:szCs w:val="21"/>
          <w:highlight w:val="none"/>
        </w:rPr>
      </w:pPr>
      <w:r>
        <w:rPr>
          <w:rFonts w:hint="eastAsia" w:ascii="Times New Roman" w:hAnsi="Times New Roman" w:eastAsia="宋体" w:cs="Times New Roman"/>
          <w:spacing w:val="20"/>
          <w:kern w:val="0"/>
          <w:szCs w:val="21"/>
          <w:highlight w:val="none"/>
        </w:rPr>
        <w:t>（一）交易假设：假定所有待评估资产已经处在交易过程中，评估师根据待评估资产的交易条件等模拟市场进行估价。</w:t>
      </w:r>
    </w:p>
    <w:p w14:paraId="527DB78D">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ascii="Times New Roman" w:hAnsi="Times New Roman" w:eastAsia="宋体" w:cs="Times New Roman"/>
          <w:spacing w:val="20"/>
          <w:kern w:val="0"/>
          <w:szCs w:val="21"/>
          <w:highlight w:val="none"/>
        </w:rPr>
      </w:pPr>
      <w:r>
        <w:rPr>
          <w:rFonts w:hint="eastAsia" w:ascii="Times New Roman" w:hAnsi="Times New Roman" w:eastAsia="宋体" w:cs="Times New Roman"/>
          <w:spacing w:val="20"/>
          <w:kern w:val="0"/>
          <w:szCs w:val="21"/>
          <w:highlight w:val="none"/>
        </w:rPr>
        <w:t>（二）市场假设：本次评估对象对应的市场交易条件为公开市场假设。</w:t>
      </w:r>
    </w:p>
    <w:p w14:paraId="5A697A7C">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ascii="Times New Roman" w:hAnsi="Times New Roman" w:eastAsia="宋体" w:cs="Times New Roman"/>
          <w:spacing w:val="20"/>
          <w:kern w:val="0"/>
          <w:szCs w:val="21"/>
          <w:highlight w:val="none"/>
        </w:rPr>
      </w:pPr>
      <w:r>
        <w:rPr>
          <w:rFonts w:hint="eastAsia" w:ascii="Times New Roman" w:hAnsi="Times New Roman" w:eastAsia="宋体" w:cs="Times New Roman"/>
          <w:spacing w:val="20"/>
          <w:kern w:val="0"/>
          <w:szCs w:val="21"/>
          <w:highlight w:val="none"/>
        </w:rPr>
        <w:t>（三）使用假设：评估范围内的房屋按其现行用途及方式持续使用。</w:t>
      </w:r>
    </w:p>
    <w:p w14:paraId="1A92DF86">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ascii="Times New Roman" w:hAnsi="Times New Roman" w:eastAsia="宋体" w:cs="Times New Roman"/>
          <w:spacing w:val="20"/>
          <w:kern w:val="0"/>
          <w:szCs w:val="21"/>
          <w:highlight w:val="none"/>
        </w:rPr>
      </w:pPr>
      <w:r>
        <w:rPr>
          <w:rFonts w:hint="eastAsia" w:ascii="Times New Roman" w:hAnsi="Times New Roman" w:eastAsia="宋体" w:cs="Times New Roman"/>
          <w:spacing w:val="20"/>
          <w:kern w:val="0"/>
          <w:szCs w:val="21"/>
          <w:highlight w:val="none"/>
        </w:rPr>
        <w:t>（四）外部环境假设：国家现行的有关法律、法规及方针政策无重大变化；本次交易各方所处的地区政治、经济和社会环境无重大变化；有关利率、汇率、赋税基准及税率、政策性征收费用等不发生重大变化。</w:t>
      </w:r>
    </w:p>
    <w:p w14:paraId="26E20F25">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ascii="Times New Roman" w:hAnsi="Times New Roman" w:eastAsia="宋体" w:cs="Times New Roman"/>
          <w:spacing w:val="20"/>
          <w:kern w:val="0"/>
          <w:szCs w:val="21"/>
          <w:highlight w:val="none"/>
        </w:rPr>
      </w:pPr>
      <w:r>
        <w:rPr>
          <w:rFonts w:hint="eastAsia" w:ascii="Times New Roman" w:hAnsi="Times New Roman" w:eastAsia="宋体" w:cs="Times New Roman"/>
          <w:spacing w:val="20"/>
          <w:kern w:val="0"/>
          <w:szCs w:val="21"/>
          <w:highlight w:val="none"/>
        </w:rPr>
        <w:t>（五）假定产权持有人对有关资产实行了有效的管理。评估对象在使用过程中没有任何违反国家法律、法规的行为。</w:t>
      </w:r>
    </w:p>
    <w:p w14:paraId="030B6618">
      <w:pPr>
        <w:keepNext w:val="0"/>
        <w:keepLines w:val="0"/>
        <w:pageBreakBefore w:val="0"/>
        <w:widowControl w:val="0"/>
        <w:kinsoku/>
        <w:wordWrap/>
        <w:overflowPunct/>
        <w:topLinePunct w:val="0"/>
        <w:autoSpaceDE/>
        <w:autoSpaceDN/>
        <w:bidi w:val="0"/>
        <w:adjustRightInd w:val="0"/>
        <w:snapToGrid w:val="0"/>
        <w:spacing w:line="460" w:lineRule="atLeast"/>
        <w:ind w:firstLine="375" w:firstLineChars="150"/>
        <w:textAlignment w:val="auto"/>
        <w:rPr>
          <w:rFonts w:hint="eastAsia" w:ascii="Times New Roman" w:hAnsi="Times New Roman" w:eastAsia="宋体" w:cs="Times New Roman"/>
          <w:spacing w:val="20"/>
          <w:kern w:val="0"/>
          <w:szCs w:val="21"/>
          <w:highlight w:val="none"/>
        </w:rPr>
      </w:pPr>
      <w:r>
        <w:rPr>
          <w:rFonts w:hint="eastAsia" w:ascii="Times New Roman" w:hAnsi="Times New Roman" w:eastAsia="宋体" w:cs="Times New Roman"/>
          <w:spacing w:val="20"/>
          <w:kern w:val="0"/>
          <w:szCs w:val="21"/>
          <w:highlight w:val="none"/>
        </w:rPr>
        <w:t>（六）没有考虑将来可能承担的抵押、担保事宜，以及特殊的交易方式可能追加付出的价格等对评估结论的影响。</w:t>
      </w:r>
    </w:p>
    <w:p w14:paraId="0D6C4752">
      <w:pPr>
        <w:keepNext w:val="0"/>
        <w:keepLines w:val="0"/>
        <w:pageBreakBefore w:val="0"/>
        <w:widowControl w:val="0"/>
        <w:kinsoku/>
        <w:wordWrap/>
        <w:overflowPunct/>
        <w:topLinePunct w:val="0"/>
        <w:autoSpaceDE/>
        <w:autoSpaceDN/>
        <w:bidi w:val="0"/>
        <w:spacing w:line="460" w:lineRule="atLeast"/>
        <w:ind w:firstLine="500" w:firstLineChars="200"/>
        <w:textAlignment w:val="auto"/>
        <w:rPr>
          <w:rFonts w:hint="eastAsia"/>
          <w:spacing w:val="20"/>
          <w:kern w:val="0"/>
          <w:szCs w:val="21"/>
          <w:highlight w:val="none"/>
        </w:rPr>
      </w:pPr>
      <w:r>
        <w:rPr>
          <w:rFonts w:hint="eastAsia"/>
          <w:spacing w:val="20"/>
          <w:kern w:val="0"/>
          <w:szCs w:val="21"/>
          <w:highlight w:val="none"/>
        </w:rPr>
        <w:t>根据资产评估的要求，我们认定这些假设条件在评估基准日时成立。当评估报告日后评估假设发生较大变化时，我们将不承担由于评估假设改变而推导出不同评估结论的责任。</w:t>
      </w:r>
    </w:p>
    <w:p w14:paraId="68196618">
      <w:pPr>
        <w:pStyle w:val="3"/>
        <w:tabs>
          <w:tab w:val="left" w:pos="1148"/>
        </w:tabs>
        <w:spacing w:line="480" w:lineRule="auto"/>
        <w:ind w:left="574"/>
        <w:rPr>
          <w:rFonts w:ascii="黑体" w:hAnsi="宋体"/>
          <w:b w:val="0"/>
          <w:spacing w:val="20"/>
          <w:sz w:val="22"/>
          <w:szCs w:val="21"/>
          <w:highlight w:val="none"/>
        </w:rPr>
      </w:pPr>
      <w:bookmarkStart w:id="16" w:name="_Toc430098855"/>
      <w:r>
        <w:rPr>
          <w:rFonts w:hint="eastAsia" w:ascii="黑体" w:hAnsi="宋体"/>
          <w:b w:val="0"/>
          <w:spacing w:val="20"/>
          <w:sz w:val="22"/>
          <w:szCs w:val="21"/>
          <w:highlight w:val="none"/>
        </w:rPr>
        <w:t>十、</w:t>
      </w:r>
      <w:r>
        <w:rPr>
          <w:rFonts w:ascii="黑体" w:hAnsi="宋体"/>
          <w:b w:val="0"/>
          <w:spacing w:val="20"/>
          <w:sz w:val="22"/>
          <w:szCs w:val="21"/>
          <w:highlight w:val="none"/>
        </w:rPr>
        <w:t>评估结论</w:t>
      </w:r>
      <w:bookmarkEnd w:id="16"/>
    </w:p>
    <w:p w14:paraId="358C9F13">
      <w:pPr>
        <w:keepNext w:val="0"/>
        <w:keepLines w:val="0"/>
        <w:pageBreakBefore w:val="0"/>
        <w:widowControl w:val="0"/>
        <w:tabs>
          <w:tab w:val="left" w:pos="900"/>
          <w:tab w:val="left" w:pos="1064"/>
        </w:tabs>
        <w:kinsoku/>
        <w:wordWrap/>
        <w:overflowPunct/>
        <w:topLinePunct w:val="0"/>
        <w:autoSpaceDE/>
        <w:autoSpaceDN/>
        <w:bidi w:val="0"/>
        <w:adjustRightInd/>
        <w:snapToGrid/>
        <w:spacing w:line="480" w:lineRule="exact"/>
        <w:ind w:firstLine="500" w:firstLineChars="200"/>
        <w:textAlignment w:val="auto"/>
        <w:rPr>
          <w:rFonts w:hint="eastAsia"/>
          <w:spacing w:val="20"/>
          <w:sz w:val="21"/>
          <w:szCs w:val="21"/>
          <w:lang w:eastAsia="zh-CN"/>
        </w:rPr>
      </w:pPr>
      <w:r>
        <w:rPr>
          <w:rFonts w:hint="eastAsia"/>
          <w:color w:val="auto"/>
          <w:spacing w:val="20"/>
          <w:szCs w:val="21"/>
          <w:highlight w:val="none"/>
          <w:lang w:val="en-US" w:eastAsia="zh-CN"/>
        </w:rPr>
        <w:t>泰顺县民政局委托评估的坐落于罗阳镇、司前镇、筱村镇等17个乡镇的120处康养服务用房20年租赁权于评估基准日评估价值为</w:t>
      </w:r>
      <w:r>
        <w:rPr>
          <w:rFonts w:hint="eastAsia"/>
          <w:b/>
          <w:bCs/>
          <w:color w:val="auto"/>
          <w:spacing w:val="20"/>
          <w:szCs w:val="21"/>
          <w:highlight w:val="none"/>
          <w:lang w:val="en-US" w:eastAsia="zh-CN"/>
        </w:rPr>
        <w:t>叁亿捌仟壹佰玖拾贰万叁仟陆佰元整（¥381,923,600元）</w:t>
      </w:r>
      <w:r>
        <w:rPr>
          <w:rFonts w:hint="eastAsia"/>
          <w:color w:val="auto"/>
          <w:spacing w:val="20"/>
          <w:szCs w:val="21"/>
          <w:highlight w:val="none"/>
          <w:lang w:val="en-US" w:eastAsia="zh-CN"/>
        </w:rPr>
        <w:t>，详见《泰顺县康养服务用房20年租赁权价值评估明细表》</w:t>
      </w:r>
      <w:r>
        <w:rPr>
          <w:rFonts w:hint="eastAsia"/>
          <w:spacing w:val="20"/>
          <w:szCs w:val="21"/>
        </w:rPr>
        <w:t>。</w:t>
      </w:r>
    </w:p>
    <w:p w14:paraId="37A25049">
      <w:pPr>
        <w:keepNext w:val="0"/>
        <w:keepLines w:val="0"/>
        <w:pageBreakBefore w:val="0"/>
        <w:widowControl w:val="0"/>
        <w:tabs>
          <w:tab w:val="left" w:pos="900"/>
          <w:tab w:val="left" w:pos="1064"/>
        </w:tabs>
        <w:kinsoku/>
        <w:wordWrap/>
        <w:overflowPunct/>
        <w:topLinePunct w:val="0"/>
        <w:autoSpaceDE/>
        <w:autoSpaceDN/>
        <w:bidi w:val="0"/>
        <w:adjustRightInd/>
        <w:snapToGrid/>
        <w:spacing w:line="480" w:lineRule="exact"/>
        <w:ind w:firstLine="500" w:firstLineChars="200"/>
        <w:textAlignment w:val="auto"/>
        <w:rPr>
          <w:rFonts w:hint="eastAsia"/>
          <w:spacing w:val="20"/>
          <w:sz w:val="21"/>
          <w:szCs w:val="21"/>
          <w:lang w:val="en-US" w:eastAsia="zh-CN"/>
        </w:rPr>
      </w:pPr>
      <w:r>
        <w:rPr>
          <w:rFonts w:hint="eastAsia"/>
          <w:spacing w:val="20"/>
          <w:sz w:val="21"/>
          <w:szCs w:val="21"/>
          <w:lang w:val="en-US" w:eastAsia="zh-CN"/>
        </w:rPr>
        <w:t>评估结论的使用有效期</w:t>
      </w:r>
    </w:p>
    <w:p w14:paraId="6C38FA1E">
      <w:pPr>
        <w:keepNext w:val="0"/>
        <w:keepLines w:val="0"/>
        <w:pageBreakBefore w:val="0"/>
        <w:widowControl w:val="0"/>
        <w:tabs>
          <w:tab w:val="left" w:pos="900"/>
          <w:tab w:val="left" w:pos="1064"/>
        </w:tabs>
        <w:kinsoku/>
        <w:wordWrap/>
        <w:overflowPunct/>
        <w:topLinePunct w:val="0"/>
        <w:autoSpaceDE/>
        <w:autoSpaceDN/>
        <w:bidi w:val="0"/>
        <w:adjustRightInd/>
        <w:snapToGrid/>
        <w:spacing w:line="480" w:lineRule="exact"/>
        <w:ind w:firstLine="500" w:firstLineChars="200"/>
        <w:textAlignment w:val="auto"/>
        <w:rPr>
          <w:rFonts w:hint="default"/>
          <w:spacing w:val="20"/>
          <w:sz w:val="21"/>
          <w:szCs w:val="21"/>
          <w:lang w:val="en-US" w:eastAsia="zh-CN"/>
        </w:rPr>
      </w:pPr>
      <w:r>
        <w:rPr>
          <w:rFonts w:hint="default"/>
          <w:spacing w:val="20"/>
          <w:sz w:val="21"/>
          <w:szCs w:val="21"/>
          <w:lang w:val="en-US" w:eastAsia="zh-CN"/>
        </w:rPr>
        <w:t>本资产评估报告所揭示评估结论的使用有效期为一年，自评估基准日</w:t>
      </w:r>
      <w:r>
        <w:rPr>
          <w:rFonts w:hint="eastAsia"/>
          <w:spacing w:val="20"/>
          <w:sz w:val="21"/>
          <w:szCs w:val="21"/>
          <w:lang w:val="en-US" w:eastAsia="zh-CN"/>
        </w:rPr>
        <w:t>2025年9月5日</w:t>
      </w:r>
      <w:r>
        <w:rPr>
          <w:rFonts w:hint="default"/>
          <w:spacing w:val="20"/>
          <w:sz w:val="21"/>
          <w:szCs w:val="21"/>
          <w:lang w:val="en-US" w:eastAsia="zh-CN"/>
        </w:rPr>
        <w:t>起至202</w:t>
      </w:r>
      <w:r>
        <w:rPr>
          <w:rFonts w:hint="eastAsia"/>
          <w:spacing w:val="20"/>
          <w:sz w:val="21"/>
          <w:szCs w:val="21"/>
          <w:lang w:val="en-US" w:eastAsia="zh-CN"/>
        </w:rPr>
        <w:t>6</w:t>
      </w:r>
      <w:r>
        <w:rPr>
          <w:rFonts w:hint="default"/>
          <w:spacing w:val="20"/>
          <w:sz w:val="21"/>
          <w:szCs w:val="21"/>
          <w:lang w:val="en-US" w:eastAsia="zh-CN"/>
        </w:rPr>
        <w:t>年</w:t>
      </w:r>
      <w:r>
        <w:rPr>
          <w:rFonts w:hint="eastAsia"/>
          <w:spacing w:val="20"/>
          <w:sz w:val="21"/>
          <w:szCs w:val="21"/>
          <w:lang w:val="en-US" w:eastAsia="zh-CN"/>
        </w:rPr>
        <w:t>9</w:t>
      </w:r>
      <w:r>
        <w:rPr>
          <w:rFonts w:hint="default"/>
          <w:spacing w:val="20"/>
          <w:sz w:val="21"/>
          <w:szCs w:val="21"/>
          <w:lang w:val="en-US" w:eastAsia="zh-CN"/>
        </w:rPr>
        <w:t>月</w:t>
      </w:r>
      <w:r>
        <w:rPr>
          <w:rFonts w:hint="eastAsia"/>
          <w:spacing w:val="20"/>
          <w:sz w:val="21"/>
          <w:szCs w:val="21"/>
          <w:lang w:val="en-US" w:eastAsia="zh-CN"/>
        </w:rPr>
        <w:t>4</w:t>
      </w:r>
      <w:r>
        <w:rPr>
          <w:rFonts w:hint="default"/>
          <w:spacing w:val="20"/>
          <w:sz w:val="21"/>
          <w:szCs w:val="21"/>
          <w:lang w:val="en-US" w:eastAsia="zh-CN"/>
        </w:rPr>
        <w:t>日止。超过一年使用本资产评估报告所列示的评估结论无效。国家法律、行政法规另有规定的除外。</w:t>
      </w:r>
    </w:p>
    <w:p w14:paraId="77F2F70A">
      <w:pPr>
        <w:pStyle w:val="3"/>
        <w:tabs>
          <w:tab w:val="left" w:pos="1148"/>
        </w:tabs>
        <w:spacing w:line="480" w:lineRule="auto"/>
        <w:ind w:left="574"/>
        <w:rPr>
          <w:rFonts w:hint="eastAsia" w:ascii="黑体" w:hAnsi="宋体"/>
          <w:b w:val="0"/>
          <w:spacing w:val="20"/>
          <w:sz w:val="22"/>
          <w:szCs w:val="21"/>
          <w:highlight w:val="none"/>
        </w:rPr>
      </w:pPr>
      <w:bookmarkStart w:id="17" w:name="_Toc430098856"/>
      <w:r>
        <w:rPr>
          <w:rFonts w:hint="eastAsia" w:ascii="黑体" w:hAnsi="宋体"/>
          <w:b w:val="0"/>
          <w:spacing w:val="20"/>
          <w:sz w:val="22"/>
          <w:szCs w:val="21"/>
          <w:highlight w:val="none"/>
        </w:rPr>
        <w:t>十一、</w:t>
      </w:r>
      <w:r>
        <w:rPr>
          <w:rFonts w:ascii="黑体" w:hAnsi="宋体"/>
          <w:b w:val="0"/>
          <w:spacing w:val="20"/>
          <w:sz w:val="22"/>
          <w:szCs w:val="21"/>
          <w:highlight w:val="none"/>
        </w:rPr>
        <w:t>特别事项说明</w:t>
      </w:r>
      <w:bookmarkEnd w:id="17"/>
    </w:p>
    <w:p w14:paraId="42ACA553">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lang w:eastAsia="zh-CN"/>
        </w:rPr>
      </w:pPr>
      <w:bookmarkStart w:id="18" w:name="_Toc430098857"/>
      <w:r>
        <w:rPr>
          <w:rFonts w:hint="eastAsia" w:ascii="宋体" w:hAnsi="宋体" w:eastAsia="宋体" w:cs="宋体"/>
          <w:spacing w:val="20"/>
          <w:sz w:val="21"/>
          <w:szCs w:val="21"/>
          <w:lang w:eastAsia="zh-CN"/>
        </w:rPr>
        <w:t>（一）</w:t>
      </w:r>
      <w:r>
        <w:rPr>
          <w:rFonts w:hint="eastAsia" w:ascii="宋体" w:hAnsi="宋体" w:cs="宋体"/>
          <w:spacing w:val="20"/>
          <w:sz w:val="21"/>
          <w:szCs w:val="21"/>
          <w:lang w:val="en-US" w:eastAsia="zh-CN"/>
        </w:rPr>
        <w:t>本次评估对象范围为坐落于罗阳镇、司前镇、筱村镇等17个乡镇120处共计建筑面积99390.03平方米的康养服务用房，委托方未能提供相关的权属资料。本次委托房地产坐落地址、建筑面积、房屋现用途及拟租赁用途等均以委托方申报为准</w:t>
      </w:r>
      <w:r>
        <w:rPr>
          <w:rFonts w:hint="eastAsia" w:ascii="宋体" w:hAnsi="宋体" w:eastAsia="宋体" w:cs="宋体"/>
          <w:spacing w:val="20"/>
          <w:sz w:val="21"/>
          <w:szCs w:val="21"/>
          <w:lang w:eastAsia="zh-CN"/>
        </w:rPr>
        <w:t>。</w:t>
      </w:r>
    </w:p>
    <w:p w14:paraId="7ED8DA17">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lang w:eastAsia="zh-CN"/>
        </w:rPr>
      </w:pPr>
      <w:r>
        <w:rPr>
          <w:rFonts w:hint="eastAsia" w:ascii="宋体" w:hAnsi="宋体" w:eastAsia="宋体" w:cs="宋体"/>
          <w:spacing w:val="20"/>
          <w:sz w:val="21"/>
          <w:szCs w:val="21"/>
        </w:rPr>
        <w:t>（</w:t>
      </w:r>
      <w:r>
        <w:rPr>
          <w:rFonts w:hint="eastAsia" w:ascii="宋体" w:hAnsi="宋体" w:eastAsia="宋体" w:cs="宋体"/>
          <w:spacing w:val="20"/>
          <w:sz w:val="21"/>
          <w:szCs w:val="21"/>
          <w:lang w:eastAsia="zh-CN"/>
        </w:rPr>
        <w:t>二</w:t>
      </w:r>
      <w:r>
        <w:rPr>
          <w:rFonts w:hint="eastAsia" w:ascii="宋体" w:hAnsi="宋体" w:eastAsia="宋体" w:cs="宋体"/>
          <w:spacing w:val="20"/>
          <w:sz w:val="21"/>
          <w:szCs w:val="21"/>
        </w:rPr>
        <w:t>）本</w:t>
      </w:r>
      <w:r>
        <w:rPr>
          <w:rFonts w:hint="eastAsia" w:ascii="宋体" w:hAnsi="宋体" w:eastAsia="宋体" w:cs="宋体"/>
          <w:spacing w:val="20"/>
          <w:sz w:val="21"/>
          <w:szCs w:val="21"/>
          <w:lang w:val="en-US" w:eastAsia="zh-CN"/>
        </w:rPr>
        <w:t>评估</w:t>
      </w:r>
      <w:r>
        <w:rPr>
          <w:rFonts w:hint="eastAsia" w:ascii="宋体" w:hAnsi="宋体" w:eastAsia="宋体" w:cs="宋体"/>
          <w:spacing w:val="20"/>
          <w:sz w:val="21"/>
          <w:szCs w:val="21"/>
        </w:rPr>
        <w:t>报告结论仅对罗阳镇、司前镇、筱村镇等17个乡镇120处共计建筑面积</w:t>
      </w:r>
      <w:r>
        <w:rPr>
          <w:rFonts w:hint="eastAsia" w:ascii="宋体" w:hAnsi="宋体" w:eastAsia="宋体" w:cs="宋体"/>
          <w:spacing w:val="20"/>
          <w:sz w:val="21"/>
          <w:szCs w:val="21"/>
          <w:lang w:val="en-US" w:eastAsia="zh-CN"/>
        </w:rPr>
        <w:t>99390.03</w:t>
      </w:r>
      <w:r>
        <w:rPr>
          <w:rFonts w:hint="eastAsia" w:ascii="宋体" w:hAnsi="宋体" w:eastAsia="宋体" w:cs="宋体"/>
          <w:spacing w:val="20"/>
          <w:sz w:val="21"/>
          <w:szCs w:val="21"/>
        </w:rPr>
        <w:t>平方米的康养服务用房20年租赁权价值进行</w:t>
      </w:r>
      <w:r>
        <w:rPr>
          <w:rFonts w:hint="eastAsia" w:ascii="宋体" w:hAnsi="宋体" w:eastAsia="宋体" w:cs="宋体"/>
          <w:spacing w:val="20"/>
          <w:sz w:val="21"/>
          <w:szCs w:val="21"/>
          <w:lang w:val="en-US" w:eastAsia="zh-CN"/>
        </w:rPr>
        <w:t>评估</w:t>
      </w:r>
      <w:r>
        <w:rPr>
          <w:rFonts w:hint="eastAsia" w:ascii="宋体" w:hAnsi="宋体" w:eastAsia="宋体" w:cs="宋体"/>
          <w:spacing w:val="20"/>
          <w:sz w:val="21"/>
          <w:szCs w:val="21"/>
        </w:rPr>
        <w:t>，未考虑房屋未来租赁收益的房屋空置率、维修费、管理费等对</w:t>
      </w:r>
      <w:r>
        <w:rPr>
          <w:rFonts w:hint="eastAsia" w:ascii="宋体" w:hAnsi="宋体" w:eastAsia="宋体" w:cs="宋体"/>
          <w:spacing w:val="20"/>
          <w:sz w:val="21"/>
          <w:szCs w:val="21"/>
          <w:lang w:val="en-US" w:eastAsia="zh-CN"/>
        </w:rPr>
        <w:t>评估</w:t>
      </w:r>
      <w:r>
        <w:rPr>
          <w:rFonts w:hint="eastAsia" w:ascii="宋体" w:hAnsi="宋体" w:eastAsia="宋体" w:cs="宋体"/>
          <w:spacing w:val="20"/>
          <w:sz w:val="21"/>
          <w:szCs w:val="21"/>
        </w:rPr>
        <w:t>结论的影响</w:t>
      </w:r>
      <w:r>
        <w:rPr>
          <w:rFonts w:hint="eastAsia" w:ascii="宋体" w:hAnsi="宋体" w:eastAsia="宋体" w:cs="宋体"/>
          <w:spacing w:val="20"/>
          <w:sz w:val="21"/>
          <w:szCs w:val="21"/>
          <w:lang w:eastAsia="zh-CN"/>
        </w:rPr>
        <w:t>。</w:t>
      </w:r>
    </w:p>
    <w:p w14:paraId="507D4B02">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w:t>
      </w:r>
      <w:r>
        <w:rPr>
          <w:rFonts w:hint="eastAsia" w:ascii="宋体" w:hAnsi="宋体" w:cs="宋体"/>
          <w:spacing w:val="20"/>
          <w:sz w:val="21"/>
          <w:szCs w:val="21"/>
          <w:lang w:val="en-US" w:eastAsia="zh-CN"/>
        </w:rPr>
        <w:t>三</w:t>
      </w:r>
      <w:r>
        <w:rPr>
          <w:rFonts w:hint="eastAsia" w:ascii="宋体" w:hAnsi="宋体" w:eastAsia="宋体" w:cs="宋体"/>
          <w:spacing w:val="20"/>
          <w:sz w:val="21"/>
          <w:szCs w:val="21"/>
        </w:rPr>
        <w:t>）评估人员依据委托方提供资产评估申报资料，关注评估对象及其所涉及资产的权属状况，评估机构不对评估对象的法律权属提供保证。</w:t>
      </w:r>
    </w:p>
    <w:p w14:paraId="775C7FB8">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w:t>
      </w:r>
      <w:r>
        <w:rPr>
          <w:rFonts w:hint="eastAsia" w:ascii="宋体" w:hAnsi="宋体" w:cs="宋体"/>
          <w:spacing w:val="20"/>
          <w:sz w:val="21"/>
          <w:szCs w:val="21"/>
          <w:lang w:val="en-US" w:eastAsia="zh-CN"/>
        </w:rPr>
        <w:t>四</w:t>
      </w:r>
      <w:r>
        <w:rPr>
          <w:rFonts w:hint="eastAsia" w:ascii="宋体" w:hAnsi="宋体" w:eastAsia="宋体" w:cs="宋体"/>
          <w:spacing w:val="20"/>
          <w:sz w:val="21"/>
          <w:szCs w:val="21"/>
        </w:rPr>
        <w:t>）提供必要的与委估资产产权、价值有关的资料并保证所提供资料的真实性、合法性和完整性，恰当使用评估报告是委托方、资产产权持有方和相关当事方的责任。</w:t>
      </w:r>
    </w:p>
    <w:p w14:paraId="09D7DD71">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w:t>
      </w:r>
      <w:r>
        <w:rPr>
          <w:rFonts w:hint="eastAsia" w:ascii="宋体" w:hAnsi="宋体" w:cs="宋体"/>
          <w:spacing w:val="20"/>
          <w:sz w:val="21"/>
          <w:szCs w:val="21"/>
          <w:lang w:val="en-US" w:eastAsia="zh-CN"/>
        </w:rPr>
        <w:t>五</w:t>
      </w:r>
      <w:r>
        <w:rPr>
          <w:rFonts w:hint="eastAsia" w:ascii="宋体" w:hAnsi="宋体" w:eastAsia="宋体" w:cs="宋体"/>
          <w:spacing w:val="20"/>
          <w:sz w:val="21"/>
          <w:szCs w:val="21"/>
        </w:rPr>
        <w:t>）评估基准日至评估报告日之间可能对评估结论产生影响的事项</w:t>
      </w:r>
    </w:p>
    <w:p w14:paraId="138CD62A">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1、评估基准日期后事项系评估基准日至评估报告提出日期之间发生的重大事项；</w:t>
      </w:r>
    </w:p>
    <w:p w14:paraId="37B4EBA6">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2、在评估基准日后，当被评估资产因不可抗力而发生毁损、灭失等影响资产价值的期后事项时，不能直接使用评估结论；</w:t>
      </w:r>
    </w:p>
    <w:p w14:paraId="26A73821">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3、发生评估基准日期后重大事项时，不能直接使用本评估结论。</w:t>
      </w:r>
    </w:p>
    <w:p w14:paraId="0D34D4D2">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在本次评估结果有效期内若资产数量</w:t>
      </w:r>
      <w:r>
        <w:rPr>
          <w:rFonts w:hint="eastAsia" w:ascii="宋体" w:hAnsi="宋体" w:eastAsia="宋体" w:cs="宋体"/>
          <w:spacing w:val="20"/>
          <w:sz w:val="21"/>
          <w:szCs w:val="21"/>
          <w:lang w:eastAsia="zh-CN"/>
        </w:rPr>
        <w:t>、收费标准、项目建设方案、设定条件等</w:t>
      </w:r>
      <w:r>
        <w:rPr>
          <w:rFonts w:hint="eastAsia" w:ascii="宋体" w:hAnsi="宋体" w:eastAsia="宋体" w:cs="宋体"/>
          <w:spacing w:val="20"/>
          <w:sz w:val="21"/>
          <w:szCs w:val="21"/>
        </w:rPr>
        <w:t>发生变化，应根据原评估方法对评估价值进行相应调整。</w:t>
      </w:r>
    </w:p>
    <w:p w14:paraId="05C1435C">
      <w:pPr>
        <w:keepNext w:val="0"/>
        <w:keepLines w:val="0"/>
        <w:pageBreakBefore w:val="0"/>
        <w:widowControl w:val="0"/>
        <w:tabs>
          <w:tab w:val="left" w:pos="900"/>
          <w:tab w:val="left" w:pos="1064"/>
        </w:tabs>
        <w:kinsoku/>
        <w:wordWrap/>
        <w:overflowPunct/>
        <w:topLinePunct w:val="0"/>
        <w:autoSpaceDE/>
        <w:autoSpaceDN/>
        <w:bidi w:val="0"/>
        <w:adjustRightInd/>
        <w:snapToGrid/>
        <w:spacing w:line="460" w:lineRule="exact"/>
        <w:ind w:firstLine="500" w:firstLineChars="200"/>
        <w:textAlignment w:val="auto"/>
        <w:rPr>
          <w:rFonts w:hint="eastAsia" w:ascii="宋体" w:hAnsi="宋体" w:eastAsia="宋体" w:cs="宋体"/>
          <w:spacing w:val="20"/>
          <w:sz w:val="21"/>
          <w:szCs w:val="21"/>
        </w:rPr>
      </w:pPr>
      <w:r>
        <w:rPr>
          <w:rFonts w:hint="eastAsia" w:ascii="宋体" w:hAnsi="宋体" w:eastAsia="宋体" w:cs="宋体"/>
          <w:spacing w:val="20"/>
          <w:sz w:val="21"/>
          <w:szCs w:val="21"/>
        </w:rPr>
        <w:t>以上事项请报告书使用者予以关注。</w:t>
      </w:r>
    </w:p>
    <w:p w14:paraId="0070FAE0">
      <w:pPr>
        <w:pStyle w:val="3"/>
        <w:tabs>
          <w:tab w:val="left" w:pos="1148"/>
        </w:tabs>
        <w:spacing w:line="480" w:lineRule="auto"/>
        <w:ind w:left="574"/>
        <w:rPr>
          <w:rFonts w:hint="eastAsia" w:ascii="黑体" w:hAnsi="宋体"/>
          <w:b w:val="0"/>
          <w:spacing w:val="20"/>
          <w:sz w:val="22"/>
          <w:szCs w:val="21"/>
          <w:highlight w:val="none"/>
        </w:rPr>
      </w:pPr>
      <w:r>
        <w:rPr>
          <w:rFonts w:hint="eastAsia" w:ascii="黑体" w:hAnsi="宋体"/>
          <w:b w:val="0"/>
          <w:spacing w:val="20"/>
          <w:sz w:val="22"/>
          <w:szCs w:val="21"/>
          <w:highlight w:val="none"/>
        </w:rPr>
        <w:t>十二、</w:t>
      </w:r>
      <w:r>
        <w:rPr>
          <w:rFonts w:ascii="黑体" w:hAnsi="宋体"/>
          <w:b w:val="0"/>
          <w:spacing w:val="20"/>
          <w:sz w:val="22"/>
          <w:szCs w:val="21"/>
          <w:highlight w:val="none"/>
        </w:rPr>
        <w:t>评估报告使用限制</w:t>
      </w:r>
      <w:bookmarkEnd w:id="18"/>
      <w:r>
        <w:rPr>
          <w:rFonts w:hint="eastAsia" w:ascii="黑体" w:hAnsi="宋体"/>
          <w:b w:val="0"/>
          <w:spacing w:val="20"/>
          <w:sz w:val="22"/>
          <w:szCs w:val="21"/>
          <w:highlight w:val="none"/>
        </w:rPr>
        <w:t>说明</w:t>
      </w:r>
    </w:p>
    <w:p w14:paraId="7E99B736">
      <w:pPr>
        <w:numPr>
          <w:ilvl w:val="0"/>
          <w:numId w:val="13"/>
        </w:numPr>
        <w:tabs>
          <w:tab w:val="left" w:pos="1008"/>
          <w:tab w:val="left" w:pos="1064"/>
          <w:tab w:val="clear" w:pos="1409"/>
        </w:tabs>
        <w:autoSpaceDE w:val="0"/>
        <w:autoSpaceDN w:val="0"/>
        <w:adjustRightInd w:val="0"/>
        <w:spacing w:line="440" w:lineRule="exact"/>
        <w:ind w:left="0" w:firstLine="602"/>
        <w:jc w:val="left"/>
        <w:rPr>
          <w:rFonts w:hint="eastAsia" w:ascii="宋体" w:hAnsi="宋体"/>
          <w:spacing w:val="20"/>
          <w:kern w:val="0"/>
          <w:szCs w:val="21"/>
          <w:highlight w:val="none"/>
        </w:rPr>
      </w:pPr>
      <w:r>
        <w:rPr>
          <w:rFonts w:hint="eastAsia" w:ascii="宋体" w:hAnsi="宋体"/>
          <w:spacing w:val="20"/>
          <w:kern w:val="0"/>
          <w:szCs w:val="21"/>
          <w:highlight w:val="none"/>
        </w:rPr>
        <w:t>评估报告使用范围为委托人、资产评估委托合同中约定的其他资产评估报告使用人和法律、行政法规规定的资产评估报告使用人。</w:t>
      </w:r>
    </w:p>
    <w:p w14:paraId="257A73CE">
      <w:pPr>
        <w:numPr>
          <w:ilvl w:val="0"/>
          <w:numId w:val="13"/>
        </w:numPr>
        <w:tabs>
          <w:tab w:val="left" w:pos="1008"/>
          <w:tab w:val="left" w:pos="1064"/>
          <w:tab w:val="clear" w:pos="1409"/>
        </w:tabs>
        <w:autoSpaceDE w:val="0"/>
        <w:autoSpaceDN w:val="0"/>
        <w:adjustRightInd w:val="0"/>
        <w:spacing w:line="440" w:lineRule="exact"/>
        <w:ind w:left="0" w:firstLine="602"/>
        <w:jc w:val="left"/>
        <w:rPr>
          <w:rFonts w:hint="eastAsia" w:ascii="宋体" w:hAnsi="宋体"/>
          <w:spacing w:val="20"/>
          <w:kern w:val="0"/>
          <w:szCs w:val="21"/>
          <w:highlight w:val="none"/>
        </w:rPr>
      </w:pPr>
      <w:r>
        <w:rPr>
          <w:rFonts w:hint="eastAsia" w:ascii="宋体" w:hAnsi="宋体"/>
          <w:spacing w:val="20"/>
          <w:kern w:val="0"/>
          <w:szCs w:val="21"/>
          <w:highlight w:val="none"/>
        </w:rPr>
        <w:t>委托人或者其他资产评估报告使用人未按照法律、行政法规规定和资产评估报告载明的使用范围使用资产评估报告的，资产评估机构及其资产评估专业人员不承担责任。</w:t>
      </w:r>
    </w:p>
    <w:p w14:paraId="276BA774">
      <w:pPr>
        <w:numPr>
          <w:ilvl w:val="0"/>
          <w:numId w:val="13"/>
        </w:numPr>
        <w:tabs>
          <w:tab w:val="left" w:pos="1008"/>
          <w:tab w:val="left" w:pos="1064"/>
          <w:tab w:val="clear" w:pos="1409"/>
        </w:tabs>
        <w:autoSpaceDE w:val="0"/>
        <w:autoSpaceDN w:val="0"/>
        <w:adjustRightInd w:val="0"/>
        <w:spacing w:line="440" w:lineRule="exact"/>
        <w:ind w:left="0" w:firstLine="602"/>
        <w:jc w:val="left"/>
        <w:rPr>
          <w:rFonts w:hint="eastAsia" w:ascii="宋体" w:hAnsi="宋体"/>
          <w:spacing w:val="20"/>
          <w:kern w:val="0"/>
          <w:szCs w:val="21"/>
          <w:highlight w:val="none"/>
        </w:rPr>
      </w:pPr>
      <w:r>
        <w:rPr>
          <w:rFonts w:hint="eastAsia" w:ascii="宋体" w:hAnsi="宋体"/>
          <w:spacing w:val="20"/>
          <w:kern w:val="0"/>
          <w:szCs w:val="21"/>
          <w:highlight w:val="none"/>
        </w:rPr>
        <w:t>除委托人、资产评估委托合同中约定的其他资产评估报告使用人和法律、行政法规规定的资产评估报告使用人之外，其他任何机构和个人不能成为资产评估报告的使用人。</w:t>
      </w:r>
    </w:p>
    <w:p w14:paraId="57975171">
      <w:pPr>
        <w:numPr>
          <w:ilvl w:val="0"/>
          <w:numId w:val="13"/>
        </w:numPr>
        <w:tabs>
          <w:tab w:val="left" w:pos="1008"/>
          <w:tab w:val="left" w:pos="1064"/>
          <w:tab w:val="clear" w:pos="1409"/>
        </w:tabs>
        <w:autoSpaceDE w:val="0"/>
        <w:autoSpaceDN w:val="0"/>
        <w:adjustRightInd w:val="0"/>
        <w:spacing w:line="440" w:lineRule="exact"/>
        <w:ind w:left="0" w:firstLine="602"/>
        <w:jc w:val="left"/>
        <w:rPr>
          <w:rFonts w:hint="eastAsia" w:ascii="宋体" w:hAnsi="宋体"/>
          <w:spacing w:val="20"/>
          <w:kern w:val="0"/>
          <w:szCs w:val="21"/>
          <w:highlight w:val="none"/>
        </w:rPr>
      </w:pPr>
      <w:r>
        <w:rPr>
          <w:rFonts w:hint="eastAsia" w:ascii="宋体" w:hAnsi="宋体"/>
          <w:spacing w:val="20"/>
          <w:kern w:val="0"/>
          <w:szCs w:val="21"/>
          <w:highlight w:val="none"/>
        </w:rPr>
        <w:t xml:space="preserve">资产评估报告使用人应当正确理解评估结论。评估结论不等同于评估对象可实现价格，评估结论不应当被认为是对评估对象可实现价格的保证。    </w:t>
      </w:r>
    </w:p>
    <w:p w14:paraId="23C802F4">
      <w:pPr>
        <w:numPr>
          <w:ilvl w:val="0"/>
          <w:numId w:val="13"/>
        </w:numPr>
        <w:tabs>
          <w:tab w:val="left" w:pos="1008"/>
          <w:tab w:val="left" w:pos="1064"/>
          <w:tab w:val="clear" w:pos="1409"/>
        </w:tabs>
        <w:autoSpaceDE w:val="0"/>
        <w:autoSpaceDN w:val="0"/>
        <w:adjustRightInd w:val="0"/>
        <w:spacing w:line="440" w:lineRule="exact"/>
        <w:ind w:left="0" w:firstLine="602"/>
        <w:jc w:val="left"/>
        <w:rPr>
          <w:spacing w:val="20"/>
          <w:kern w:val="0"/>
          <w:szCs w:val="21"/>
          <w:highlight w:val="none"/>
        </w:rPr>
      </w:pPr>
      <w:r>
        <w:rPr>
          <w:rFonts w:hint="eastAsia" w:ascii="宋体" w:hAnsi="宋体"/>
          <w:spacing w:val="20"/>
          <w:kern w:val="0"/>
          <w:szCs w:val="21"/>
          <w:highlight w:val="none"/>
        </w:rPr>
        <w:t>评估报告的全部或者部分内容被摘抄、引用或者披露于公开媒体，需评估机构审</w:t>
      </w:r>
      <w:r>
        <w:rPr>
          <w:spacing w:val="20"/>
          <w:kern w:val="0"/>
          <w:szCs w:val="21"/>
          <w:highlight w:val="none"/>
        </w:rPr>
        <w:t>阅相关内容，法律、行政法规规定以及相关当事方另有约定的除外。</w:t>
      </w:r>
    </w:p>
    <w:p w14:paraId="3E4D9967">
      <w:pPr>
        <w:pStyle w:val="3"/>
        <w:tabs>
          <w:tab w:val="left" w:pos="1148"/>
        </w:tabs>
        <w:spacing w:line="480" w:lineRule="auto"/>
        <w:ind w:left="574"/>
        <w:rPr>
          <w:rFonts w:hint="eastAsia" w:ascii="黑体" w:hAnsi="宋体" w:cs="Times New Roman"/>
          <w:b w:val="0"/>
          <w:spacing w:val="20"/>
          <w:sz w:val="22"/>
          <w:szCs w:val="21"/>
          <w:highlight w:val="none"/>
        </w:rPr>
      </w:pPr>
      <w:bookmarkStart w:id="19" w:name="_Toc430098858"/>
      <w:r>
        <w:rPr>
          <w:rFonts w:hint="eastAsia" w:ascii="黑体" w:hAnsi="宋体" w:cs="Times New Roman"/>
          <w:b w:val="0"/>
          <w:spacing w:val="20"/>
          <w:sz w:val="22"/>
          <w:szCs w:val="21"/>
          <w:highlight w:val="none"/>
        </w:rPr>
        <w:t>十三、评估报告提出日期</w:t>
      </w:r>
      <w:bookmarkEnd w:id="19"/>
    </w:p>
    <w:p w14:paraId="184C70F1">
      <w:pPr>
        <w:spacing w:line="360" w:lineRule="auto"/>
        <w:ind w:firstLine="570"/>
        <w:rPr>
          <w:rFonts w:hint="eastAsia" w:ascii="宋体" w:hAnsi="宋体" w:eastAsia="宋体" w:cs="宋体"/>
          <w:spacing w:val="20"/>
          <w:szCs w:val="21"/>
          <w:highlight w:val="none"/>
        </w:rPr>
      </w:pPr>
      <w:r>
        <w:rPr>
          <w:rFonts w:hint="eastAsia" w:ascii="宋体" w:hAnsi="宋体" w:eastAsia="宋体" w:cs="宋体"/>
          <w:spacing w:val="20"/>
          <w:szCs w:val="21"/>
          <w:highlight w:val="none"/>
        </w:rPr>
        <w:t>资产评估报告日为：</w:t>
      </w:r>
      <w:r>
        <w:rPr>
          <w:rFonts w:hint="eastAsia" w:ascii="宋体" w:hAnsi="宋体" w:cs="宋体"/>
          <w:spacing w:val="20"/>
          <w:kern w:val="0"/>
          <w:szCs w:val="21"/>
          <w:highlight w:val="none"/>
          <w:lang w:eastAsia="zh-CN"/>
        </w:rPr>
        <w:t>2025年9月8日</w:t>
      </w:r>
      <w:r>
        <w:rPr>
          <w:rFonts w:hint="eastAsia" w:ascii="宋体" w:hAnsi="宋体" w:eastAsia="宋体" w:cs="宋体"/>
          <w:spacing w:val="20"/>
          <w:szCs w:val="21"/>
          <w:highlight w:val="none"/>
        </w:rPr>
        <w:t>。</w:t>
      </w:r>
    </w:p>
    <w:p w14:paraId="0694F2D9">
      <w:pPr>
        <w:spacing w:line="600" w:lineRule="auto"/>
        <w:rPr>
          <w:rFonts w:hint="eastAsia" w:ascii="宋体" w:hAnsi="宋体" w:eastAsia="宋体" w:cs="宋体"/>
          <w:spacing w:val="20"/>
          <w:sz w:val="22"/>
          <w:szCs w:val="21"/>
          <w:highlight w:val="none"/>
          <w:lang w:eastAsia="zh-CN"/>
        </w:rPr>
      </w:pPr>
    </w:p>
    <w:p w14:paraId="1DD3E36A">
      <w:pPr>
        <w:spacing w:line="600" w:lineRule="auto"/>
        <w:rPr>
          <w:rFonts w:hint="eastAsia" w:ascii="宋体" w:hAnsi="宋体" w:eastAsia="宋体" w:cs="宋体"/>
          <w:spacing w:val="20"/>
          <w:sz w:val="22"/>
          <w:szCs w:val="21"/>
          <w:highlight w:val="none"/>
        </w:rPr>
      </w:pPr>
      <w:r>
        <w:rPr>
          <w:rFonts w:hint="eastAsia" w:ascii="宋体" w:hAnsi="宋体" w:cs="宋体"/>
          <w:spacing w:val="20"/>
          <w:sz w:val="22"/>
          <w:szCs w:val="21"/>
          <w:highlight w:val="none"/>
          <w:lang w:eastAsia="zh-CN"/>
        </w:rPr>
        <w:t>温州宏正房地产评估测绘有限公司</w:t>
      </w:r>
      <w:r>
        <w:rPr>
          <w:rFonts w:hint="eastAsia" w:ascii="宋体" w:hAnsi="宋体" w:eastAsia="宋体" w:cs="宋体"/>
          <w:spacing w:val="20"/>
          <w:sz w:val="22"/>
          <w:szCs w:val="21"/>
          <w:highlight w:val="none"/>
        </w:rPr>
        <w:t xml:space="preserve">            资产评估师：</w:t>
      </w:r>
    </w:p>
    <w:p w14:paraId="3B8644CC">
      <w:pPr>
        <w:spacing w:line="600" w:lineRule="auto"/>
        <w:rPr>
          <w:rFonts w:hint="eastAsia" w:ascii="宋体" w:hAnsi="宋体" w:eastAsia="宋体" w:cs="宋体"/>
          <w:spacing w:val="20"/>
          <w:sz w:val="22"/>
          <w:szCs w:val="21"/>
          <w:highlight w:val="none"/>
        </w:rPr>
      </w:pPr>
      <w:r>
        <w:rPr>
          <w:rFonts w:hint="eastAsia" w:ascii="宋体" w:hAnsi="宋体" w:eastAsia="宋体" w:cs="宋体"/>
          <w:spacing w:val="20"/>
          <w:sz w:val="22"/>
          <w:szCs w:val="21"/>
          <w:highlight w:val="none"/>
        </w:rPr>
        <w:t xml:space="preserve">法定代表人：                 </w:t>
      </w:r>
      <w:r>
        <w:rPr>
          <w:rFonts w:hint="eastAsia" w:ascii="宋体" w:hAnsi="宋体" w:eastAsia="宋体" w:cs="宋体"/>
          <w:spacing w:val="20"/>
          <w:sz w:val="22"/>
          <w:szCs w:val="21"/>
          <w:highlight w:val="none"/>
          <w:lang w:val="en-US" w:eastAsia="zh-CN"/>
        </w:rPr>
        <w:t xml:space="preserve">      </w:t>
      </w:r>
      <w:r>
        <w:rPr>
          <w:rFonts w:hint="eastAsia" w:ascii="宋体" w:hAnsi="宋体" w:eastAsia="宋体" w:cs="宋体"/>
          <w:spacing w:val="20"/>
          <w:sz w:val="22"/>
          <w:szCs w:val="21"/>
          <w:highlight w:val="none"/>
        </w:rPr>
        <w:t xml:space="preserve">     资产评估师：</w:t>
      </w:r>
      <w:bookmarkStart w:id="21" w:name="_GoBack"/>
      <w:bookmarkEnd w:id="21"/>
    </w:p>
    <w:p w14:paraId="293F47D1">
      <w:pPr>
        <w:spacing w:line="360" w:lineRule="auto"/>
        <w:rPr>
          <w:rFonts w:hint="eastAsia" w:ascii="宋体" w:hAnsi="宋体" w:eastAsia="宋体" w:cs="宋体"/>
          <w:spacing w:val="20"/>
          <w:sz w:val="22"/>
          <w:szCs w:val="21"/>
          <w:highlight w:val="none"/>
        </w:rPr>
      </w:pPr>
      <w:r>
        <w:rPr>
          <w:rFonts w:hint="eastAsia" w:ascii="宋体" w:hAnsi="宋体" w:eastAsia="宋体" w:cs="宋体"/>
          <w:spacing w:val="20"/>
          <w:sz w:val="22"/>
          <w:szCs w:val="21"/>
          <w:highlight w:val="none"/>
        </w:rPr>
        <w:t>地址：泰顺县罗阳镇新城大道256号</w:t>
      </w:r>
    </w:p>
    <w:p w14:paraId="2FC2B472">
      <w:pPr>
        <w:spacing w:line="360" w:lineRule="auto"/>
        <w:rPr>
          <w:rFonts w:hint="eastAsia" w:ascii="宋体" w:hAnsi="宋体" w:eastAsia="宋体" w:cs="宋体"/>
          <w:spacing w:val="20"/>
          <w:sz w:val="22"/>
          <w:szCs w:val="21"/>
          <w:highlight w:val="none"/>
        </w:rPr>
      </w:pPr>
      <w:r>
        <w:rPr>
          <w:rFonts w:hint="eastAsia" w:ascii="宋体" w:hAnsi="宋体" w:eastAsia="宋体" w:cs="宋体"/>
          <w:spacing w:val="20"/>
          <w:sz w:val="22"/>
          <w:szCs w:val="21"/>
          <w:highlight w:val="none"/>
        </w:rPr>
        <w:t xml:space="preserve">电话：0577-67599669、67592789    </w:t>
      </w:r>
    </w:p>
    <w:p w14:paraId="5655E57C">
      <w:pPr>
        <w:jc w:val="right"/>
        <w:rPr>
          <w:rFonts w:hint="eastAsia" w:ascii="宋体" w:hAnsi="宋体" w:eastAsia="宋体" w:cs="宋体"/>
          <w:spacing w:val="20"/>
          <w:sz w:val="22"/>
          <w:szCs w:val="21"/>
          <w:highlight w:val="none"/>
          <w:lang w:eastAsia="zh-CN"/>
        </w:rPr>
      </w:pPr>
      <w:r>
        <w:rPr>
          <w:rFonts w:hint="eastAsia" w:ascii="宋体" w:hAnsi="宋体" w:eastAsia="宋体" w:cs="宋体"/>
          <w:spacing w:val="20"/>
          <w:sz w:val="22"/>
          <w:szCs w:val="21"/>
          <w:highlight w:val="none"/>
        </w:rPr>
        <w:t xml:space="preserve">                      </w:t>
      </w:r>
      <w:r>
        <w:rPr>
          <w:rFonts w:hint="eastAsia" w:ascii="宋体" w:hAnsi="宋体" w:cs="宋体"/>
          <w:spacing w:val="20"/>
          <w:sz w:val="22"/>
          <w:szCs w:val="21"/>
          <w:highlight w:val="none"/>
          <w:lang w:eastAsia="zh-CN"/>
        </w:rPr>
        <w:t>2025年9月8日</w:t>
      </w:r>
    </w:p>
    <w:p w14:paraId="6EB7D55F">
      <w:pPr>
        <w:pStyle w:val="2"/>
        <w:numPr>
          <w:ilvl w:val="0"/>
          <w:numId w:val="0"/>
        </w:numPr>
        <w:ind w:left="419" w:hanging="418" w:hangingChars="161"/>
        <w:rPr>
          <w:rFonts w:ascii="黑体" w:hAnsi="宋体" w:eastAsia="黑体"/>
          <w:spacing w:val="20"/>
          <w:kern w:val="0"/>
          <w:sz w:val="22"/>
          <w:szCs w:val="21"/>
          <w:highlight w:val="none"/>
        </w:rPr>
      </w:pPr>
      <w:bookmarkStart w:id="20" w:name="_Toc430098859"/>
      <w:r>
        <w:rPr>
          <w:rFonts w:hint="eastAsia" w:ascii="黑体" w:hAnsi="宋体" w:eastAsia="黑体"/>
          <w:spacing w:val="20"/>
          <w:kern w:val="0"/>
          <w:sz w:val="22"/>
          <w:szCs w:val="21"/>
          <w:highlight w:val="none"/>
        </w:rPr>
        <w:br w:type="page"/>
      </w:r>
      <w:r>
        <w:rPr>
          <w:rFonts w:hint="eastAsia" w:ascii="黑体" w:hAnsi="宋体" w:eastAsia="黑体"/>
          <w:spacing w:val="20"/>
          <w:kern w:val="0"/>
          <w:sz w:val="22"/>
          <w:szCs w:val="21"/>
          <w:highlight w:val="none"/>
        </w:rPr>
        <w:t>附件：</w:t>
      </w:r>
      <w:bookmarkEnd w:id="20"/>
    </w:p>
    <w:p w14:paraId="72E6C058">
      <w:pPr>
        <w:numPr>
          <w:ilvl w:val="0"/>
          <w:numId w:val="14"/>
        </w:numPr>
        <w:tabs>
          <w:tab w:val="left" w:pos="0"/>
          <w:tab w:val="left" w:pos="900"/>
          <w:tab w:val="left" w:pos="1050"/>
        </w:tabs>
        <w:spacing w:line="360" w:lineRule="auto"/>
        <w:ind w:left="0" w:firstLine="602"/>
        <w:rPr>
          <w:rFonts w:hint="eastAsia"/>
          <w:sz w:val="21"/>
          <w:szCs w:val="21"/>
          <w:highlight w:val="none"/>
        </w:rPr>
      </w:pPr>
      <w:r>
        <w:rPr>
          <w:rFonts w:hint="eastAsia"/>
          <w:sz w:val="21"/>
          <w:szCs w:val="21"/>
          <w:highlight w:val="none"/>
          <w:lang w:val="en-US" w:eastAsia="zh-CN"/>
        </w:rPr>
        <w:t>经济行为依据；</w:t>
      </w:r>
    </w:p>
    <w:p w14:paraId="77B71956">
      <w:pPr>
        <w:numPr>
          <w:ilvl w:val="0"/>
          <w:numId w:val="14"/>
        </w:numPr>
        <w:tabs>
          <w:tab w:val="left" w:pos="0"/>
          <w:tab w:val="left" w:pos="900"/>
          <w:tab w:val="left" w:pos="1050"/>
        </w:tabs>
        <w:spacing w:line="360" w:lineRule="auto"/>
        <w:ind w:left="0" w:firstLine="602"/>
        <w:rPr>
          <w:rFonts w:hint="eastAsia"/>
          <w:sz w:val="21"/>
          <w:szCs w:val="21"/>
          <w:highlight w:val="none"/>
        </w:rPr>
      </w:pPr>
      <w:r>
        <w:rPr>
          <w:rFonts w:hint="eastAsia"/>
          <w:sz w:val="21"/>
          <w:szCs w:val="21"/>
          <w:highlight w:val="none"/>
        </w:rPr>
        <w:t>委托方承诺函；</w:t>
      </w:r>
    </w:p>
    <w:p w14:paraId="71461C01">
      <w:pPr>
        <w:numPr>
          <w:ilvl w:val="0"/>
          <w:numId w:val="14"/>
        </w:numPr>
        <w:tabs>
          <w:tab w:val="left" w:pos="0"/>
          <w:tab w:val="left" w:pos="900"/>
          <w:tab w:val="left" w:pos="1050"/>
        </w:tabs>
        <w:spacing w:line="360" w:lineRule="auto"/>
        <w:ind w:left="0" w:firstLine="602"/>
        <w:rPr>
          <w:rFonts w:hint="eastAsia" w:ascii="宋体" w:hAnsi="宋体"/>
          <w:spacing w:val="20"/>
          <w:sz w:val="21"/>
          <w:szCs w:val="21"/>
          <w:highlight w:val="none"/>
        </w:rPr>
      </w:pPr>
      <w:r>
        <w:rPr>
          <w:rFonts w:hint="eastAsia" w:ascii="宋体" w:hAnsi="宋体"/>
          <w:spacing w:val="20"/>
          <w:sz w:val="21"/>
          <w:szCs w:val="21"/>
          <w:highlight w:val="none"/>
        </w:rPr>
        <w:t>签字资产评估师</w:t>
      </w:r>
      <w:r>
        <w:rPr>
          <w:rFonts w:ascii="宋体" w:hAnsi="宋体"/>
          <w:spacing w:val="20"/>
          <w:sz w:val="21"/>
          <w:szCs w:val="21"/>
          <w:highlight w:val="none"/>
        </w:rPr>
        <w:t>承诺函</w:t>
      </w:r>
      <w:r>
        <w:rPr>
          <w:rFonts w:hint="eastAsia" w:ascii="宋体" w:hAnsi="宋体"/>
          <w:spacing w:val="20"/>
          <w:sz w:val="21"/>
          <w:szCs w:val="21"/>
          <w:highlight w:val="none"/>
        </w:rPr>
        <w:t>；</w:t>
      </w:r>
    </w:p>
    <w:p w14:paraId="38E6D21D">
      <w:pPr>
        <w:numPr>
          <w:ilvl w:val="0"/>
          <w:numId w:val="14"/>
        </w:numPr>
        <w:tabs>
          <w:tab w:val="left" w:pos="0"/>
          <w:tab w:val="left" w:pos="900"/>
          <w:tab w:val="left" w:pos="1050"/>
        </w:tabs>
        <w:spacing w:line="360" w:lineRule="auto"/>
        <w:ind w:left="0" w:firstLine="602"/>
        <w:rPr>
          <w:rFonts w:ascii="宋体" w:hAnsi="宋体"/>
          <w:spacing w:val="20"/>
          <w:sz w:val="21"/>
          <w:szCs w:val="21"/>
          <w:highlight w:val="none"/>
        </w:rPr>
      </w:pPr>
      <w:r>
        <w:rPr>
          <w:rFonts w:hint="eastAsia" w:ascii="宋体" w:hAnsi="宋体"/>
          <w:spacing w:val="20"/>
          <w:sz w:val="21"/>
          <w:szCs w:val="21"/>
          <w:highlight w:val="none"/>
        </w:rPr>
        <w:t>评估机构资质备案公告</w:t>
      </w:r>
      <w:r>
        <w:rPr>
          <w:rFonts w:ascii="宋体" w:hAnsi="宋体"/>
          <w:spacing w:val="20"/>
          <w:sz w:val="21"/>
          <w:szCs w:val="21"/>
          <w:highlight w:val="none"/>
        </w:rPr>
        <w:t>；</w:t>
      </w:r>
    </w:p>
    <w:p w14:paraId="268470B8">
      <w:pPr>
        <w:numPr>
          <w:ilvl w:val="0"/>
          <w:numId w:val="14"/>
        </w:numPr>
        <w:tabs>
          <w:tab w:val="left" w:pos="0"/>
          <w:tab w:val="left" w:pos="900"/>
          <w:tab w:val="left" w:pos="1050"/>
        </w:tabs>
        <w:spacing w:line="360" w:lineRule="auto"/>
        <w:ind w:left="0" w:firstLine="602"/>
        <w:rPr>
          <w:rFonts w:hint="eastAsia" w:ascii="宋体" w:hAnsi="宋体"/>
          <w:spacing w:val="20"/>
          <w:sz w:val="21"/>
          <w:szCs w:val="21"/>
          <w:highlight w:val="none"/>
        </w:rPr>
      </w:pPr>
      <w:r>
        <w:rPr>
          <w:rFonts w:hint="eastAsia" w:ascii="宋体" w:hAnsi="宋体"/>
          <w:spacing w:val="20"/>
          <w:sz w:val="21"/>
          <w:szCs w:val="21"/>
          <w:highlight w:val="none"/>
        </w:rPr>
        <w:t>评估机构营业执照副本；</w:t>
      </w:r>
    </w:p>
    <w:p w14:paraId="54D21242">
      <w:pPr>
        <w:numPr>
          <w:ilvl w:val="0"/>
          <w:numId w:val="14"/>
        </w:numPr>
        <w:tabs>
          <w:tab w:val="left" w:pos="0"/>
          <w:tab w:val="left" w:pos="900"/>
          <w:tab w:val="left" w:pos="1050"/>
          <w:tab w:val="clear" w:pos="3681"/>
        </w:tabs>
        <w:spacing w:line="360" w:lineRule="auto"/>
        <w:ind w:left="0" w:leftChars="0" w:firstLine="602" w:firstLineChars="0"/>
        <w:rPr>
          <w:rFonts w:ascii="宋体" w:hAnsi="宋体"/>
          <w:spacing w:val="20"/>
          <w:sz w:val="21"/>
          <w:szCs w:val="21"/>
          <w:highlight w:val="none"/>
        </w:rPr>
      </w:pPr>
      <w:r>
        <w:rPr>
          <w:rFonts w:hint="eastAsia" w:ascii="宋体" w:hAnsi="宋体"/>
          <w:spacing w:val="20"/>
          <w:sz w:val="21"/>
          <w:szCs w:val="21"/>
          <w:highlight w:val="none"/>
        </w:rPr>
        <w:t>签字</w:t>
      </w:r>
      <w:r>
        <w:rPr>
          <w:rFonts w:ascii="宋体" w:hAnsi="宋体"/>
          <w:spacing w:val="20"/>
          <w:sz w:val="21"/>
          <w:szCs w:val="21"/>
          <w:highlight w:val="none"/>
        </w:rPr>
        <w:t>资产评估师资格证书</w:t>
      </w:r>
      <w:r>
        <w:rPr>
          <w:rFonts w:hint="eastAsia" w:ascii="宋体" w:hAnsi="宋体" w:eastAsia="宋体"/>
          <w:spacing w:val="20"/>
          <w:sz w:val="21"/>
          <w:szCs w:val="21"/>
          <w:highlight w:val="none"/>
          <w:lang w:eastAsia="zh-CN"/>
        </w:rPr>
        <w:t>；</w:t>
      </w:r>
    </w:p>
    <w:p w14:paraId="3EE879A6">
      <w:pPr>
        <w:tabs>
          <w:tab w:val="left" w:pos="0"/>
          <w:tab w:val="left" w:pos="900"/>
          <w:tab w:val="left" w:pos="1050"/>
        </w:tabs>
        <w:spacing w:line="360" w:lineRule="auto"/>
        <w:ind w:left="602"/>
        <w:rPr>
          <w:rFonts w:ascii="宋体" w:hAnsi="宋体"/>
          <w:spacing w:val="20"/>
          <w:szCs w:val="21"/>
          <w:highlight w:val="none"/>
        </w:rPr>
      </w:pPr>
    </w:p>
    <w:sectPr>
      <w:headerReference r:id="rId13" w:type="first"/>
      <w:footerReference r:id="rId15" w:type="first"/>
      <w:footerReference r:id="rId14" w:type="default"/>
      <w:pgSz w:w="11906" w:h="16838"/>
      <w:pgMar w:top="1440" w:right="1548" w:bottom="1440" w:left="1797" w:header="851" w:footer="964" w:gutter="0"/>
      <w:pgNumType w:start="2"/>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lgerian">
    <w:panose1 w:val="04020705040A02060702"/>
    <w:charset w:val="00"/>
    <w:family w:val="decorative"/>
    <w:pitch w:val="default"/>
    <w:sig w:usb0="00000003" w:usb1="00000000" w:usb2="00000000" w:usb3="00000000" w:csb0="20000001" w:csb1="00000000"/>
  </w:font>
  <w:font w:name="Arial Unicode MS">
    <w:panose1 w:val="020B0604020202020204"/>
    <w:charset w:val="86"/>
    <w:family w:val="swiss"/>
    <w:pitch w:val="default"/>
    <w:sig w:usb0="FFFFFFFF" w:usb1="E9FFFFFF" w:usb2="0000003F" w:usb3="00000000" w:csb0="603F01FF" w:csb1="FFFF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Cambria">
    <w:panose1 w:val="02040503050406030204"/>
    <w:charset w:val="00"/>
    <w:family w:val="roman"/>
    <w:pitch w:val="default"/>
    <w:sig w:usb0="E00002FF" w:usb1="40000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DB2B7">
    <w:pPr>
      <w:pStyle w:val="22"/>
      <w:tabs>
        <w:tab w:val="clear" w:pos="8306"/>
      </w:tabs>
      <w:jc w:val="center"/>
      <w:rPr>
        <w:rFonts w:hint="eastAsia"/>
        <w:sz w:val="15"/>
      </w:rPr>
    </w:pPr>
    <w:r>
      <w:rPr>
        <w:rFonts w:ascii="Cambria" w:hAnsi="Cambria"/>
        <w:sz w:val="22"/>
        <w:szCs w:val="28"/>
        <w:lang w:val="zh-CN"/>
      </w:rPr>
      <w:t xml:space="preserve">~ </w:t>
    </w:r>
    <w:r>
      <w:rPr>
        <w:sz w:val="15"/>
      </w:rPr>
      <w:fldChar w:fldCharType="begin"/>
    </w:r>
    <w:r>
      <w:rPr>
        <w:sz w:val="15"/>
      </w:rPr>
      <w:instrText xml:space="preserve"> PAGE    \* MERGEFORMAT </w:instrText>
    </w:r>
    <w:r>
      <w:rPr>
        <w:sz w:val="15"/>
      </w:rPr>
      <w:fldChar w:fldCharType="separate"/>
    </w:r>
    <w:r>
      <w:rPr>
        <w:rFonts w:ascii="Cambria" w:hAnsi="Cambria"/>
        <w:sz w:val="22"/>
        <w:szCs w:val="28"/>
        <w:lang w:val="zh-CN"/>
      </w:rPr>
      <w:t>2</w:t>
    </w:r>
    <w:r>
      <w:rPr>
        <w:sz w:val="15"/>
      </w:rPr>
      <w:fldChar w:fldCharType="end"/>
    </w:r>
    <w:r>
      <w:rPr>
        <w:rFonts w:ascii="Cambria" w:hAnsi="Cambria"/>
        <w:sz w:val="22"/>
        <w:szCs w:val="28"/>
        <w:lang w:val="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BE62A">
    <w:pPr>
      <w:pStyle w:val="22"/>
      <w:framePr w:wrap="around" w:vAnchor="text" w:hAnchor="margin" w:xAlign="center" w:y="1"/>
      <w:rPr>
        <w:rStyle w:val="35"/>
      </w:rPr>
    </w:pPr>
    <w:r>
      <w:fldChar w:fldCharType="begin"/>
    </w:r>
    <w:r>
      <w:rPr>
        <w:rStyle w:val="35"/>
      </w:rPr>
      <w:instrText xml:space="preserve">PAGE  </w:instrText>
    </w:r>
    <w:r>
      <w:fldChar w:fldCharType="end"/>
    </w:r>
  </w:p>
  <w:p w14:paraId="3CA9C45E">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A440D">
    <w:pPr>
      <w:pStyle w:val="22"/>
      <w:tabs>
        <w:tab w:val="clear" w:pos="8306"/>
      </w:tabs>
      <w:wordWrap w:val="0"/>
      <w:jc w:val="right"/>
      <w:rPr>
        <w:rFonts w:hint="eastAsia"/>
        <w:sz w:val="11"/>
      </w:rPr>
    </w:pPr>
    <w:r>
      <w:rPr>
        <w:rFonts w:hint="eastAsia" w:ascii="Cambria" w:hAnsi="Cambria"/>
        <w:sz w:val="20"/>
        <w:szCs w:val="28"/>
        <w:lang w:val="zh-CN"/>
      </w:rPr>
      <w:t xml:space="preserve">                      </w:t>
    </w:r>
    <w:r>
      <w:rPr>
        <w:rFonts w:ascii="Cambria" w:hAnsi="Cambria"/>
        <w:sz w:val="20"/>
        <w:szCs w:val="28"/>
        <w:lang w:val="zh-CN"/>
      </w:rPr>
      <w:t xml:space="preserve">~ </w:t>
    </w:r>
    <w:r>
      <w:rPr>
        <w:sz w:val="11"/>
      </w:rPr>
      <w:fldChar w:fldCharType="begin"/>
    </w:r>
    <w:r>
      <w:rPr>
        <w:sz w:val="11"/>
      </w:rPr>
      <w:instrText xml:space="preserve"> PAGE    \* MERGEFORMAT </w:instrText>
    </w:r>
    <w:r>
      <w:rPr>
        <w:sz w:val="11"/>
      </w:rPr>
      <w:fldChar w:fldCharType="separate"/>
    </w:r>
    <w:r>
      <w:rPr>
        <w:rFonts w:ascii="Cambria" w:hAnsi="Cambria"/>
        <w:sz w:val="20"/>
        <w:szCs w:val="28"/>
        <w:lang w:val="zh-CN"/>
      </w:rPr>
      <w:t>1</w:t>
    </w:r>
    <w:r>
      <w:rPr>
        <w:sz w:val="11"/>
      </w:rPr>
      <w:fldChar w:fldCharType="end"/>
    </w:r>
    <w:r>
      <w:rPr>
        <w:rFonts w:ascii="Cambria" w:hAnsi="Cambria"/>
        <w:sz w:val="20"/>
        <w:szCs w:val="28"/>
        <w:lang w:val="zh-CN"/>
      </w:rPr>
      <w:t xml:space="preserve"> ~</w:t>
    </w:r>
    <w:r>
      <w:rPr>
        <w:rFonts w:hint="eastAsia" w:ascii="Cambria" w:hAnsi="Cambria"/>
        <w:sz w:val="20"/>
        <w:szCs w:val="28"/>
        <w:lang w:val="zh-CN"/>
      </w:rPr>
      <w:t xml:space="preserve">              温州宏正房地产评估测绘有限公司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9B399">
    <w:pPr>
      <w:pStyle w:val="22"/>
      <w:tabs>
        <w:tab w:val="clear" w:pos="8306"/>
      </w:tabs>
      <w:wordWrap w:val="0"/>
      <w:jc w:val="right"/>
      <w:rPr>
        <w:rFonts w:hint="eastAsia"/>
        <w:sz w:val="11"/>
      </w:rPr>
    </w:pPr>
    <w:r>
      <w:rPr>
        <w:sz w:val="1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47394">
                          <w:pPr>
                            <w:pStyle w:val="22"/>
                            <w:tabs>
                              <w:tab w:val="clear" w:pos="8306"/>
                            </w:tabs>
                            <w:wordWrap w:val="0"/>
                            <w:jc w:val="right"/>
                          </w:pPr>
                          <w:r>
                            <w:rPr>
                              <w:rFonts w:hint="eastAsia" w:ascii="Cambria" w:hAnsi="Cambria"/>
                              <w:sz w:val="20"/>
                              <w:szCs w:val="28"/>
                              <w:lang w:val="zh-CN"/>
                            </w:rPr>
                            <w:t xml:space="preserve">                      </w:t>
                          </w:r>
                          <w:r>
                            <w:rPr>
                              <w:rFonts w:ascii="Cambria" w:hAnsi="Cambria"/>
                              <w:sz w:val="20"/>
                              <w:szCs w:val="28"/>
                              <w:lang w:val="zh-CN"/>
                            </w:rPr>
                            <w:t xml:space="preserve">~ </w:t>
                          </w:r>
                          <w:r>
                            <w:rPr>
                              <w:sz w:val="11"/>
                            </w:rPr>
                            <w:fldChar w:fldCharType="begin"/>
                          </w:r>
                          <w:r>
                            <w:rPr>
                              <w:sz w:val="11"/>
                            </w:rPr>
                            <w:instrText xml:space="preserve"> PAGE    \* MERGEFORMAT </w:instrText>
                          </w:r>
                          <w:r>
                            <w:rPr>
                              <w:sz w:val="11"/>
                            </w:rPr>
                            <w:fldChar w:fldCharType="separate"/>
                          </w:r>
                          <w:r>
                            <w:rPr>
                              <w:rFonts w:ascii="Cambria" w:hAnsi="Cambria"/>
                              <w:sz w:val="20"/>
                              <w:szCs w:val="28"/>
                              <w:lang w:val="zh-CN"/>
                            </w:rPr>
                            <w:t>1</w:t>
                          </w:r>
                          <w:r>
                            <w:rPr>
                              <w:sz w:val="11"/>
                            </w:rPr>
                            <w:fldChar w:fldCharType="end"/>
                          </w:r>
                          <w:r>
                            <w:rPr>
                              <w:rFonts w:ascii="Cambria" w:hAnsi="Cambria"/>
                              <w:sz w:val="20"/>
                              <w:szCs w:val="28"/>
                              <w:lang w:val="zh-CN"/>
                            </w:rPr>
                            <w:t xml:space="preserve"> ~</w:t>
                          </w:r>
                          <w:r>
                            <w:rPr>
                              <w:rFonts w:hint="eastAsia" w:ascii="Cambria" w:hAnsi="Cambria"/>
                              <w:sz w:val="20"/>
                              <w:szCs w:val="28"/>
                              <w:lang w:val="zh-CN"/>
                            </w:rPr>
                            <w:t xml:space="preserve">              温州宏正房地产评估测绘有限公司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D47394">
                    <w:pPr>
                      <w:pStyle w:val="22"/>
                      <w:tabs>
                        <w:tab w:val="clear" w:pos="8306"/>
                      </w:tabs>
                      <w:wordWrap w:val="0"/>
                      <w:jc w:val="right"/>
                    </w:pPr>
                    <w:r>
                      <w:rPr>
                        <w:rFonts w:hint="eastAsia" w:ascii="Cambria" w:hAnsi="Cambria"/>
                        <w:sz w:val="20"/>
                        <w:szCs w:val="28"/>
                        <w:lang w:val="zh-CN"/>
                      </w:rPr>
                      <w:t xml:space="preserve">                      </w:t>
                    </w:r>
                    <w:r>
                      <w:rPr>
                        <w:rFonts w:ascii="Cambria" w:hAnsi="Cambria"/>
                        <w:sz w:val="20"/>
                        <w:szCs w:val="28"/>
                        <w:lang w:val="zh-CN"/>
                      </w:rPr>
                      <w:t xml:space="preserve">~ </w:t>
                    </w:r>
                    <w:r>
                      <w:rPr>
                        <w:sz w:val="11"/>
                      </w:rPr>
                      <w:fldChar w:fldCharType="begin"/>
                    </w:r>
                    <w:r>
                      <w:rPr>
                        <w:sz w:val="11"/>
                      </w:rPr>
                      <w:instrText xml:space="preserve"> PAGE    \* MERGEFORMAT </w:instrText>
                    </w:r>
                    <w:r>
                      <w:rPr>
                        <w:sz w:val="11"/>
                      </w:rPr>
                      <w:fldChar w:fldCharType="separate"/>
                    </w:r>
                    <w:r>
                      <w:rPr>
                        <w:rFonts w:ascii="Cambria" w:hAnsi="Cambria"/>
                        <w:sz w:val="20"/>
                        <w:szCs w:val="28"/>
                        <w:lang w:val="zh-CN"/>
                      </w:rPr>
                      <w:t>1</w:t>
                    </w:r>
                    <w:r>
                      <w:rPr>
                        <w:sz w:val="11"/>
                      </w:rPr>
                      <w:fldChar w:fldCharType="end"/>
                    </w:r>
                    <w:r>
                      <w:rPr>
                        <w:rFonts w:ascii="Cambria" w:hAnsi="Cambria"/>
                        <w:sz w:val="20"/>
                        <w:szCs w:val="28"/>
                        <w:lang w:val="zh-CN"/>
                      </w:rPr>
                      <w:t xml:space="preserve"> ~</w:t>
                    </w:r>
                    <w:r>
                      <w:rPr>
                        <w:rFonts w:hint="eastAsia" w:ascii="Cambria" w:hAnsi="Cambria"/>
                        <w:sz w:val="20"/>
                        <w:szCs w:val="28"/>
                        <w:lang w:val="zh-CN"/>
                      </w:rPr>
                      <w:t xml:space="preserve">              温州宏正房地产评估测绘有限公司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32E8D">
    <w:pPr>
      <w:pStyle w:val="22"/>
    </w:pPr>
    <w:r>
      <w:rPr>
        <w:sz w:val="18"/>
      </w:rPr>
      <mc:AlternateContent>
        <mc:Choice Requires="wps">
          <w:drawing>
            <wp:anchor distT="0" distB="0" distL="114300" distR="114300" simplePos="0" relativeHeight="251662336" behindDoc="0" locked="0" layoutInCell="1" allowOverlap="1">
              <wp:simplePos x="0" y="0"/>
              <wp:positionH relativeFrom="margin">
                <wp:posOffset>2757805</wp:posOffset>
              </wp:positionH>
              <wp:positionV relativeFrom="paragraph">
                <wp:posOffset>0</wp:posOffset>
              </wp:positionV>
              <wp:extent cx="348615" cy="12954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48615" cy="129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3720B">
                          <w:pPr>
                            <w:pStyle w:val="22"/>
                            <w:rPr>
                              <w:rFonts w:hint="default"/>
                              <w:lang w:val="en-US"/>
                            </w:rPr>
                          </w:pPr>
                          <w:r>
                            <w:rPr>
                              <w:rFonts w:hint="eastAsia"/>
                            </w:rPr>
                            <w:t>~</w:t>
                          </w:r>
                          <w:r>
                            <w:rPr>
                              <w:rFonts w:hint="eastAsia"/>
                              <w:lang w:val="en-US" w:eastAsia="zh-CN"/>
                            </w:rPr>
                            <w:t xml:space="preserve"> 1 </w:t>
                          </w:r>
                          <w:r>
                            <w:rPr>
                              <w:rFonts w:hint="eastAsia"/>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7.15pt;margin-top:0pt;height:10.2pt;width:27.45pt;mso-position-horizontal-relative:margin;z-index:251662336;mso-width-relative:page;mso-height-relative:page;" filled="f" stroked="f" coordsize="21600,21600" o:gfxdata="UEsDBAoAAAAAAIdO4kAAAAAAAAAAAAAAAAAEAAAAZHJzL1BLAwQUAAAACACHTuJA0XPq5tYAAAAH&#10;AQAADwAAAGRycy9kb3ducmV2LnhtbE2PO0/EMBCEeyT+g7VIdJydXISOEOcKHh3PAyTonHhJIuJ1&#10;ZDu549+zVFCOZjTzTbU9uFEsGOLgSUO2UiCQWm8H6jS8vtyebUDEZMia0RNq+MYI2/r4qDKl9Xt6&#10;xmWXOsElFEujoU9pKqWMbY/OxJWfkNj79MGZxDJ00gaz53I3ylypc+nMQLzQmwmvemy/drPTML7H&#10;cNeo9LFcd/fp6VHObzfZg9anJ5m6BJHwkP7C8IvP6FAzU+NnslGMGop1seaoBn7EdrG5yEE0GnJV&#10;gKwr+Z+//gFQSwMEFAAAAAgAh07iQL6kuVY3AgAAYQQAAA4AAABkcnMvZTJvRG9jLnhtbK1UzY7T&#10;MBC+I/EOlu80bXdbLVXTVdmqCKliVyqIs+s4jSXbY2y3SXkAeANOXLjzXH0Oxk7SRQuHPXBxJ/P/&#10;fTPT+W2jFTkK5yWYnI4GQ0qE4VBIs8/pxw/rVzeU+MBMwRQYkdOT8PR28fLFvLYzMYYKVCEcwSTG&#10;z2qb0yoEO8syzyuhmR+AFQaNJTjNAn66fVY4VmN2rbLxcDjNanCFdcCF96hdtUbaZXTPSQhlKblY&#10;AT9oYUKb1QnFAkLylbSeLlK3ZSl4uC9LLwJROUWkIb1YBOVdfLPFnM32jtlK8q4F9pwWnmDSTBos&#10;ekm1YoGRg5N/pdKSO/BQhgEHnbVAEiOIYjR8ws22YlYkLEi1txfS/f9Ly98fHxyRRU4nlBimceDn&#10;79/OP36df34lk0hPbf0MvbYW/ULzBhpcml7vURlRN6XT8RfxELQjuacLuaIJhKPy6vpmOsIiHE2j&#10;8evJdSI/ewy2zoe3AjSJQk4dzi5Ryo4bH7ARdO1dYi0Da6lUmp8ypM7p9GoyTAEXC0Yog4ERQttq&#10;lEKzazpcOyhOCMtBuxfe8rXE4hvmwwNzuAiIBE8l3ONTKsAi0EmUVOC+/Esf/XE+aKWkxsXKqf98&#10;YE5Qot4ZnFzcwl5wvbDrBXPQd4C7OsIjtDyJGOCC6sXSgf6EF7SMVdDEDMdaOQ29eBfa9cYL5GK5&#10;TE4H6+S+agNw7ywLG7O1PJZpqVweApQysRwpannpmMPNS+R3VxJX+8/v5PX4z7D4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NFz6ubWAAAABwEAAA8AAAAAAAAAAQAgAAAAIgAAAGRycy9kb3ducmV2&#10;LnhtbFBLAQIUABQAAAAIAIdO4kC+pLlWNwIAAGEEAAAOAAAAAAAAAAEAIAAAACUBAABkcnMvZTJv&#10;RG9jLnhtbFBLBQYAAAAABgAGAFkBAADOBQAAAAA=&#10;">
              <v:fill on="f" focussize="0,0"/>
              <v:stroke on="f" weight="0.5pt"/>
              <v:imagedata o:title=""/>
              <o:lock v:ext="edit" aspectratio="f"/>
              <v:textbox inset="0mm,0mm,0mm,0mm">
                <w:txbxContent>
                  <w:p w14:paraId="4033720B">
                    <w:pPr>
                      <w:pStyle w:val="22"/>
                      <w:rPr>
                        <w:rFonts w:hint="default"/>
                        <w:lang w:val="en-US"/>
                      </w:rPr>
                    </w:pPr>
                    <w:r>
                      <w:rPr>
                        <w:rFonts w:hint="eastAsia"/>
                      </w:rPr>
                      <w:t>~</w:t>
                    </w:r>
                    <w:r>
                      <w:rPr>
                        <w:rFonts w:hint="eastAsia"/>
                        <w:lang w:val="en-US" w:eastAsia="zh-CN"/>
                      </w:rPr>
                      <w:t xml:space="preserve"> 1 </w:t>
                    </w:r>
                    <w:r>
                      <w:rPr>
                        <w:rFonts w:hint="eastAsia"/>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7B644">
    <w:pPr>
      <w:pStyle w:val="22"/>
      <w:tabs>
        <w:tab w:val="clear" w:pos="8306"/>
      </w:tabs>
      <w:wordWrap w:val="0"/>
      <w:jc w:val="right"/>
      <w:rPr>
        <w:rFonts w:hint="eastAsia"/>
        <w:sz w:val="11"/>
      </w:rPr>
    </w:pPr>
    <w:r>
      <w:rPr>
        <w:sz w:val="1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B588E62">
                          <w:pPr>
                            <w:pStyle w:val="22"/>
                            <w:tabs>
                              <w:tab w:val="clear" w:pos="8306"/>
                            </w:tabs>
                            <w:wordWrap w:val="0"/>
                            <w:jc w:val="right"/>
                          </w:pPr>
                          <w:r>
                            <w:rPr>
                              <w:rFonts w:hint="eastAsia" w:ascii="Cambria" w:hAnsi="Cambria"/>
                              <w:sz w:val="20"/>
                              <w:szCs w:val="28"/>
                              <w:lang w:val="zh-CN"/>
                            </w:rPr>
                            <w:t xml:space="preserve">                     </w:t>
                          </w:r>
                          <w:r>
                            <w:rPr>
                              <w:rFonts w:hint="eastAsia" w:ascii="Cambria" w:hAnsi="Cambria"/>
                              <w:sz w:val="20"/>
                              <w:szCs w:val="28"/>
                              <w:lang w:val="en-US" w:eastAsia="zh-CN"/>
                            </w:rPr>
                            <w:t xml:space="preserve">            </w:t>
                          </w:r>
                          <w:r>
                            <w:rPr>
                              <w:rFonts w:hint="eastAsia" w:ascii="Cambria" w:hAnsi="Cambria"/>
                              <w:sz w:val="20"/>
                              <w:szCs w:val="28"/>
                              <w:lang w:val="zh-CN"/>
                            </w:rPr>
                            <w:t xml:space="preserve"> </w:t>
                          </w:r>
                          <w:r>
                            <w:rPr>
                              <w:rFonts w:ascii="Cambria" w:hAnsi="Cambria"/>
                              <w:sz w:val="20"/>
                              <w:szCs w:val="28"/>
                              <w:lang w:val="zh-CN"/>
                            </w:rPr>
                            <w:t>~</w:t>
                          </w:r>
                          <w:r>
                            <w:rPr>
                              <w:rFonts w:ascii="Cambria" w:hAnsi="Cambria"/>
                              <w:sz w:val="16"/>
                              <w:szCs w:val="16"/>
                              <w:lang w:val="zh-CN"/>
                            </w:rPr>
                            <w:t xml:space="preserve"> </w:t>
                          </w:r>
                          <w:r>
                            <w:rPr>
                              <w:sz w:val="16"/>
                              <w:szCs w:val="16"/>
                            </w:rPr>
                            <w:fldChar w:fldCharType="begin"/>
                          </w:r>
                          <w:r>
                            <w:rPr>
                              <w:sz w:val="16"/>
                              <w:szCs w:val="16"/>
                            </w:rPr>
                            <w:instrText xml:space="preserve"> PAGE    \* MERGEFORMAT </w:instrText>
                          </w:r>
                          <w:r>
                            <w:rPr>
                              <w:sz w:val="16"/>
                              <w:szCs w:val="16"/>
                            </w:rPr>
                            <w:fldChar w:fldCharType="separate"/>
                          </w:r>
                          <w:r>
                            <w:rPr>
                              <w:rFonts w:ascii="Cambria" w:hAnsi="Cambria"/>
                              <w:sz w:val="16"/>
                              <w:szCs w:val="16"/>
                              <w:lang w:val="zh-CN"/>
                            </w:rPr>
                            <w:t>15</w:t>
                          </w:r>
                          <w:r>
                            <w:rPr>
                              <w:sz w:val="16"/>
                              <w:szCs w:val="16"/>
                            </w:rPr>
                            <w:fldChar w:fldCharType="end"/>
                          </w:r>
                          <w:r>
                            <w:rPr>
                              <w:rFonts w:ascii="Cambria" w:hAnsi="Cambria"/>
                              <w:sz w:val="16"/>
                              <w:szCs w:val="16"/>
                              <w:lang w:val="zh-CN"/>
                            </w:rPr>
                            <w:t xml:space="preserve"> </w:t>
                          </w:r>
                          <w:r>
                            <w:rPr>
                              <w:rFonts w:ascii="Cambria" w:hAnsi="Cambria"/>
                              <w:sz w:val="20"/>
                              <w:szCs w:val="28"/>
                              <w:lang w:val="zh-CN"/>
                            </w:rPr>
                            <w:t>~</w:t>
                          </w:r>
                          <w:r>
                            <w:rPr>
                              <w:rFonts w:hint="eastAsia" w:ascii="Cambria" w:hAnsi="Cambria"/>
                              <w:sz w:val="20"/>
                              <w:szCs w:val="28"/>
                              <w:lang w:val="zh-CN"/>
                            </w:rPr>
                            <w:t xml:space="preserve">           </w:t>
                          </w:r>
                          <w:r>
                            <w:rPr>
                              <w:rFonts w:hint="eastAsia" w:ascii="Cambria" w:hAnsi="Cambria"/>
                              <w:sz w:val="20"/>
                              <w:szCs w:val="28"/>
                            </w:rPr>
                            <w:t xml:space="preserve">   </w:t>
                          </w:r>
                          <w:r>
                            <w:rPr>
                              <w:rFonts w:hint="eastAsia" w:ascii="宋体" w:hAnsi="宋体" w:cs="Arial"/>
                              <w:sz w:val="21"/>
                              <w:szCs w:val="21"/>
                              <w:lang w:eastAsia="zh-CN"/>
                            </w:rPr>
                            <w:t>温州宏正房地产评估测绘有限公司</w:t>
                          </w:r>
                          <w:r>
                            <w:rPr>
                              <w:rFonts w:hint="eastAsia" w:ascii="Cambria" w:hAnsi="Cambria"/>
                              <w:sz w:val="20"/>
                              <w:szCs w:val="28"/>
                              <w:lang w:val="zh-CN"/>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d9zxHSAQAAowMAAA4AAABkcnMvZTJvRG9jLnhtbK1TS27bMBDd&#10;F8gdCO5jKQbSCILlIIGRokCRFkh7AJoiLQL8gUNb8gXSG3TVTfc9l8/RISU5RbrJohtqhjN8M+/N&#10;aHU7GE0OIoBytqFXi5ISYblrld019NvXh8uKEojMtkw7Kxp6FEBv1xfvVr2vxdJ1TrciEASxUPe+&#10;oV2Mvi4K4J0wDBbOC4tB6YJhEd2wK9rAekQ3uliW5fuid6H1wXEBgLebMUgnxPAWQCel4mLj+N4I&#10;G0fUIDSLSAk65YGuc7dSCh4/SwkiEt1QZBrziUXQ3qazWK9YvQvMd4pPLbC3tPCKk2HKYtEz1IZF&#10;RvZB/QNlFA8OnIwL7kwxEsmKIIur8pU2Tx3zInNBqcGfRYf/B8sfD18CUW1Dl5RYZnDgpx/fTz9/&#10;n349k5skT++hxqwnj3lxuHcDLs18D3iZWA8ymPRFPgTjKO7xLK4YIuHpUbWsqhJDHGOzg/jFy3Mf&#10;IH4QzpBkNDTg9LKo7PAJ4pg6p6Rq1j0orfMEtSU9ol5XN9f5xTmE6NpikcRi7DZZcdgOE7Wta4/I&#10;rMcVaKjFjadEf7SocNqW2QizsZ2NvQ9q1+V1Sq2Av9tHbCd3mSqMsFNhnF3mOe1ZWo6//Zz18m+t&#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J33PEdIBAACjAwAADgAAAAAAAAABACAAAAAi&#10;AQAAZHJzL2Uyb0RvYy54bWxQSwUGAAAAAAYABgBZAQAAZgUAAAAA&#10;">
              <v:fill on="f" focussize="0,0"/>
              <v:stroke on="f" weight="1.25pt"/>
              <v:imagedata o:title=""/>
              <o:lock v:ext="edit" aspectratio="f"/>
              <v:textbox inset="0mm,0mm,0mm,0mm" style="mso-fit-shape-to-text:t;">
                <w:txbxContent>
                  <w:p w14:paraId="2B588E62">
                    <w:pPr>
                      <w:pStyle w:val="22"/>
                      <w:tabs>
                        <w:tab w:val="clear" w:pos="8306"/>
                      </w:tabs>
                      <w:wordWrap w:val="0"/>
                      <w:jc w:val="right"/>
                    </w:pPr>
                    <w:r>
                      <w:rPr>
                        <w:rFonts w:hint="eastAsia" w:ascii="Cambria" w:hAnsi="Cambria"/>
                        <w:sz w:val="20"/>
                        <w:szCs w:val="28"/>
                        <w:lang w:val="zh-CN"/>
                      </w:rPr>
                      <w:t xml:space="preserve">                     </w:t>
                    </w:r>
                    <w:r>
                      <w:rPr>
                        <w:rFonts w:hint="eastAsia" w:ascii="Cambria" w:hAnsi="Cambria"/>
                        <w:sz w:val="20"/>
                        <w:szCs w:val="28"/>
                        <w:lang w:val="en-US" w:eastAsia="zh-CN"/>
                      </w:rPr>
                      <w:t xml:space="preserve">            </w:t>
                    </w:r>
                    <w:r>
                      <w:rPr>
                        <w:rFonts w:hint="eastAsia" w:ascii="Cambria" w:hAnsi="Cambria"/>
                        <w:sz w:val="20"/>
                        <w:szCs w:val="28"/>
                        <w:lang w:val="zh-CN"/>
                      </w:rPr>
                      <w:t xml:space="preserve"> </w:t>
                    </w:r>
                    <w:r>
                      <w:rPr>
                        <w:rFonts w:ascii="Cambria" w:hAnsi="Cambria"/>
                        <w:sz w:val="20"/>
                        <w:szCs w:val="28"/>
                        <w:lang w:val="zh-CN"/>
                      </w:rPr>
                      <w:t>~</w:t>
                    </w:r>
                    <w:r>
                      <w:rPr>
                        <w:rFonts w:ascii="Cambria" w:hAnsi="Cambria"/>
                        <w:sz w:val="16"/>
                        <w:szCs w:val="16"/>
                        <w:lang w:val="zh-CN"/>
                      </w:rPr>
                      <w:t xml:space="preserve"> </w:t>
                    </w:r>
                    <w:r>
                      <w:rPr>
                        <w:sz w:val="16"/>
                        <w:szCs w:val="16"/>
                      </w:rPr>
                      <w:fldChar w:fldCharType="begin"/>
                    </w:r>
                    <w:r>
                      <w:rPr>
                        <w:sz w:val="16"/>
                        <w:szCs w:val="16"/>
                      </w:rPr>
                      <w:instrText xml:space="preserve"> PAGE    \* MERGEFORMAT </w:instrText>
                    </w:r>
                    <w:r>
                      <w:rPr>
                        <w:sz w:val="16"/>
                        <w:szCs w:val="16"/>
                      </w:rPr>
                      <w:fldChar w:fldCharType="separate"/>
                    </w:r>
                    <w:r>
                      <w:rPr>
                        <w:rFonts w:ascii="Cambria" w:hAnsi="Cambria"/>
                        <w:sz w:val="16"/>
                        <w:szCs w:val="16"/>
                        <w:lang w:val="zh-CN"/>
                      </w:rPr>
                      <w:t>15</w:t>
                    </w:r>
                    <w:r>
                      <w:rPr>
                        <w:sz w:val="16"/>
                        <w:szCs w:val="16"/>
                      </w:rPr>
                      <w:fldChar w:fldCharType="end"/>
                    </w:r>
                    <w:r>
                      <w:rPr>
                        <w:rFonts w:ascii="Cambria" w:hAnsi="Cambria"/>
                        <w:sz w:val="16"/>
                        <w:szCs w:val="16"/>
                        <w:lang w:val="zh-CN"/>
                      </w:rPr>
                      <w:t xml:space="preserve"> </w:t>
                    </w:r>
                    <w:r>
                      <w:rPr>
                        <w:rFonts w:ascii="Cambria" w:hAnsi="Cambria"/>
                        <w:sz w:val="20"/>
                        <w:szCs w:val="28"/>
                        <w:lang w:val="zh-CN"/>
                      </w:rPr>
                      <w:t>~</w:t>
                    </w:r>
                    <w:r>
                      <w:rPr>
                        <w:rFonts w:hint="eastAsia" w:ascii="Cambria" w:hAnsi="Cambria"/>
                        <w:sz w:val="20"/>
                        <w:szCs w:val="28"/>
                        <w:lang w:val="zh-CN"/>
                      </w:rPr>
                      <w:t xml:space="preserve">           </w:t>
                    </w:r>
                    <w:r>
                      <w:rPr>
                        <w:rFonts w:hint="eastAsia" w:ascii="Cambria" w:hAnsi="Cambria"/>
                        <w:sz w:val="20"/>
                        <w:szCs w:val="28"/>
                      </w:rPr>
                      <w:t xml:space="preserve">   </w:t>
                    </w:r>
                    <w:r>
                      <w:rPr>
                        <w:rFonts w:hint="eastAsia" w:ascii="宋体" w:hAnsi="宋体" w:cs="Arial"/>
                        <w:sz w:val="21"/>
                        <w:szCs w:val="21"/>
                        <w:lang w:eastAsia="zh-CN"/>
                      </w:rPr>
                      <w:t>温州宏正房地产评估测绘有限公司</w:t>
                    </w:r>
                    <w:r>
                      <w:rPr>
                        <w:rFonts w:hint="eastAsia" w:ascii="Cambria" w:hAnsi="Cambria"/>
                        <w:sz w:val="20"/>
                        <w:szCs w:val="28"/>
                        <w:lang w:val="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6F8C6">
    <w:pPr>
      <w:pStyle w:val="22"/>
      <w:ind w:firstLine="3960" w:firstLineChars="2200"/>
    </w:pPr>
    <w:r>
      <mc:AlternateContent>
        <mc:Choice Requires="wps">
          <w:drawing>
            <wp:anchor distT="0" distB="0" distL="114300" distR="114300" simplePos="0" relativeHeight="251660288" behindDoc="0" locked="0" layoutInCell="1" allowOverlap="1">
              <wp:simplePos x="0" y="0"/>
              <wp:positionH relativeFrom="margin">
                <wp:posOffset>2651125</wp:posOffset>
              </wp:positionH>
              <wp:positionV relativeFrom="paragraph">
                <wp:posOffset>0</wp:posOffset>
              </wp:positionV>
              <wp:extent cx="95250" cy="159385"/>
              <wp:effectExtent l="0" t="0" r="0" b="0"/>
              <wp:wrapNone/>
              <wp:docPr id="3" name="文本框 8"/>
              <wp:cNvGraphicFramePr/>
              <a:graphic xmlns:a="http://schemas.openxmlformats.org/drawingml/2006/main">
                <a:graphicData uri="http://schemas.microsoft.com/office/word/2010/wordprocessingShape">
                  <wps:wsp>
                    <wps:cNvSpPr txBox="1"/>
                    <wps:spPr>
                      <a:xfrm>
                        <a:off x="0" y="0"/>
                        <a:ext cx="95250" cy="159385"/>
                      </a:xfrm>
                      <a:prstGeom prst="rect">
                        <a:avLst/>
                      </a:prstGeom>
                      <a:noFill/>
                      <a:ln w="15875">
                        <a:noFill/>
                      </a:ln>
                    </wps:spPr>
                    <wps:txbx>
                      <w:txbxContent>
                        <w:p w14:paraId="71B09834">
                          <w:pPr>
                            <w:pStyle w:val="22"/>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p>
                      </w:txbxContent>
                    </wps:txbx>
                    <wps:bodyPr wrap="square" lIns="0" tIns="0" rIns="0" bIns="0" upright="0"/>
                  </wps:wsp>
                </a:graphicData>
              </a:graphic>
            </wp:anchor>
          </w:drawing>
        </mc:Choice>
        <mc:Fallback>
          <w:pict>
            <v:shape id="文本框 8" o:spid="_x0000_s1026" o:spt="202" type="#_x0000_t202" style="position:absolute;left:0pt;margin-left:208.75pt;margin-top:0pt;height:12.55pt;width:7.5pt;mso-position-horizontal-relative:margin;z-index:251660288;mso-width-relative:page;mso-height-relative:page;" filled="f" stroked="f" coordsize="21600,21600" o:gfxdata="UEsDBAoAAAAAAIdO4kAAAAAAAAAAAAAAAAAEAAAAZHJzL1BLAwQUAAAACACHTuJAWu7xqdYAAAAH&#10;AQAADwAAAGRycy9kb3ducmV2LnhtbE2PwU7DMBBE70j8g7VIXBB1kjYFhTgVqoSQOEHgA5x4iSPi&#10;dWS7acvXs5zgOJrRzJt6d3KTWDDE0ZOCfJWBQOq9GWlQ8PH+dHsPIiZNRk+eUMEZI+yay4taV8Yf&#10;6Q2XNg2CSyhWWoFNaa6kjL1Fp+PKz0jsffrgdGIZBmmCPnK5m2SRZVvp9Ei8YPWMe4v9V3twCtqX&#10;tA7753K2y+N8Y16/u357DkpdX+XZA4iEp/QXhl98RoeGmTp/IBPFpGCT35UcVcCP2N6sC5adgqLM&#10;QTa1/M/f/ABQSwMEFAAAAAgAh07iQEIJfgPLAQAAiAMAAA4AAABkcnMvZTJvRG9jLnhtbK1TzW7b&#10;MAy+D9g7CLovTlJkS404BYqgw4BhG9DtARRZjgXob6QSOy+wvcFOu+y+58pzlJLjdOguPfQiUyT1&#10;kd9HenXTW8MOClB7V/HZZMqZctLX2u0q/u3r3ZslZxiFq4XxTlX8qJDfrF+/WnWhVHPfelMrYATi&#10;sOxCxdsYQ1kUKFtlBU58UI6CjQcrIl1hV9QgOkK3pphPp2+LzkMdwEuFSN7NEORnRHgOoG8aLdXG&#10;y71VLg6ooIyIRAlbHZCvc7dNo2T83DSoIjMVJ6Yxn1SE7G06i/VKlDsQodXy3IJ4TgtPOFmhHRW9&#10;QG1EFGwP+j8oqyV49E2cSG+LgUhWhFjMpk+0uW9FUJkLSY3hIjq+HKz8dPgCTNcVv+LMCUsDP/36&#10;efr99/TnB1smebqAJWXdB8qL/a3vaWlGP5Izse4bsOlLfBjFSdzjRVzVRybJeb2YLyggKTJbXF8t&#10;FwmkeHwbAON75S1LRsWBRpcVFYePGIfUMSWVcv5OG5PHZxzrEujy3SK/uIQI3TgqkigMrSYr9tv+&#10;zGvr6yPR6mj+FcfvewGKM/PBkcBpWUYDRmM7GvsAetfmbUqtJVgaUOZzXqa0Af/ec9bjD7R+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ru8anWAAAABwEAAA8AAAAAAAAAAQAgAAAAIgAAAGRycy9k&#10;b3ducmV2LnhtbFBLAQIUABQAAAAIAIdO4kBCCX4DywEAAIgDAAAOAAAAAAAAAAEAIAAAACUBAABk&#10;cnMvZTJvRG9jLnhtbFBLBQYAAAAABgAGAFkBAABiBQAAAAA=&#10;">
              <v:fill on="f" focussize="0,0"/>
              <v:stroke on="f" weight="1.25pt"/>
              <v:imagedata o:title=""/>
              <o:lock v:ext="edit" aspectratio="f"/>
              <v:textbox inset="0mm,0mm,0mm,0mm">
                <w:txbxContent>
                  <w:p w14:paraId="71B09834">
                    <w:pPr>
                      <w:pStyle w:val="22"/>
                      <w:rPr>
                        <w:rFonts w:hint="eastAsia"/>
                      </w:rP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p>
                </w:txbxContent>
              </v:textbox>
            </v:shape>
          </w:pict>
        </mc:Fallback>
      </mc:AlternateContent>
    </w:r>
    <w:r>
      <w:rPr>
        <w:rFonts w:hint="eastAsia"/>
      </w:rPr>
      <w:t>~   ~</w:t>
    </w:r>
    <w:r>
      <w:rPr>
        <w:rFonts w:hint="eastAsia" w:ascii="Cambria" w:hAnsi="Cambria"/>
        <w:sz w:val="20"/>
        <w:szCs w:val="28"/>
      </w:rPr>
      <w:t xml:space="preserve">  </w:t>
    </w:r>
    <w:r>
      <w:rPr>
        <w:rFonts w:hint="eastAsia" w:ascii="宋体" w:hAnsi="宋体" w:cs="Arial"/>
        <w:sz w:val="21"/>
        <w:szCs w:val="21"/>
        <w:lang w:eastAsia="zh-CN"/>
      </w:rPr>
      <w:t>温州宏正房地产评估测绘有限公司</w:t>
    </w:r>
    <w:r>
      <w:rPr>
        <w:rFonts w:hint="eastAsia" w:ascii="Cambria" w:hAnsi="Cambria"/>
        <w:sz w:val="20"/>
        <w:szCs w:val="28"/>
        <w:lang w:val="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7556E">
    <w:pPr>
      <w:pStyle w:val="23"/>
      <w:rPr>
        <w:rFonts w:hint="eastAsia" w:eastAsia="黑体"/>
        <w:kern w:val="0"/>
        <w:sz w:val="15"/>
        <w:szCs w:val="15"/>
        <w:lang w:eastAsia="zh-CN"/>
      </w:rPr>
    </w:pPr>
    <w:r>
      <w:rPr>
        <w:rFonts w:hint="eastAsia" w:eastAsia="黑体"/>
        <w:kern w:val="0"/>
        <w:sz w:val="15"/>
        <w:szCs w:val="15"/>
        <w:lang w:eastAsia="zh-CN"/>
      </w:rPr>
      <w:t>泰顺县民政局拟公开拍卖所涉及泰顺县工程渣土消纳20年租赁权资产评估报告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FD7EA">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F379A">
    <w:pPr>
      <w:pStyle w:val="2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79B1B">
    <w:pPr>
      <w:pStyle w:val="23"/>
      <w:rPr>
        <w:rFonts w:hint="eastAsia" w:eastAsia="黑体"/>
        <w:kern w:val="0"/>
        <w:sz w:val="13"/>
        <w:szCs w:val="13"/>
        <w:lang w:val="en-US" w:eastAsia="zh-CN"/>
      </w:rPr>
    </w:pPr>
    <w:r>
      <w:rPr>
        <w:rFonts w:hint="eastAsia" w:eastAsia="黑体"/>
        <w:kern w:val="0"/>
        <w:sz w:val="13"/>
        <w:szCs w:val="13"/>
        <w:lang w:eastAsia="zh-CN"/>
      </w:rPr>
      <w:t>泰顺县民政局拟出租房产所涉及的泰顺县120处康养服务用房20年租赁权价值资产评估报告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04DDE">
    <w:pPr>
      <w:pStyle w:val="23"/>
      <w:rPr>
        <w:rFonts w:hint="eastAsia" w:eastAsia="黑体"/>
        <w:kern w:val="0"/>
        <w:sz w:val="13"/>
        <w:szCs w:val="13"/>
        <w:lang w:eastAsia="zh-CN"/>
      </w:rPr>
    </w:pPr>
    <w:r>
      <w:rPr>
        <w:rFonts w:hint="eastAsia" w:eastAsia="黑体"/>
        <w:kern w:val="0"/>
        <w:sz w:val="13"/>
        <w:szCs w:val="13"/>
        <w:lang w:eastAsia="zh-CN"/>
      </w:rPr>
      <w:t>泰顺县民政局拟出租房产所涉及的泰顺县120处康养服务用房20年租赁权价值资产评估报告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BB1B7">
    <w:pPr>
      <w:pStyle w:val="23"/>
      <w:rPr>
        <w:rFonts w:hint="eastAsia" w:eastAsia="黑体"/>
        <w:kern w:val="0"/>
        <w:sz w:val="13"/>
        <w:szCs w:val="13"/>
        <w:lang w:eastAsia="zh-CN"/>
      </w:rPr>
    </w:pPr>
    <w:r>
      <w:rPr>
        <w:rFonts w:hint="eastAsia" w:eastAsia="黑体"/>
        <w:kern w:val="0"/>
        <w:sz w:val="13"/>
        <w:szCs w:val="13"/>
        <w:lang w:eastAsia="zh-CN"/>
      </w:rPr>
      <w:t>泰顺县民政局拟出租房产所涉及的泰顺县120处康养服务用房20年租赁权价值资产评估报告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B6A91"/>
    <w:multiLevelType w:val="multilevel"/>
    <w:tmpl w:val="834B6A91"/>
    <w:lvl w:ilvl="0" w:tentative="0">
      <w:start w:val="1"/>
      <w:numFmt w:val="decimal"/>
      <w:lvlText w:val="%1、"/>
      <w:lvlJc w:val="left"/>
      <w:pPr>
        <w:tabs>
          <w:tab w:val="left" w:pos="846"/>
        </w:tabs>
        <w:ind w:left="846" w:hanging="420"/>
      </w:pPr>
      <w:rPr>
        <w:rFonts w:hint="eastAsia"/>
      </w:rPr>
    </w:lvl>
    <w:lvl w:ilvl="1" w:tentative="0">
      <w:start w:val="1"/>
      <w:numFmt w:val="lowerLetter"/>
      <w:lvlText w:val="%2)"/>
      <w:lvlJc w:val="left"/>
      <w:pPr>
        <w:tabs>
          <w:tab w:val="left" w:pos="277"/>
        </w:tabs>
        <w:ind w:left="277" w:hanging="420"/>
      </w:pPr>
    </w:lvl>
    <w:lvl w:ilvl="2" w:tentative="0">
      <w:start w:val="1"/>
      <w:numFmt w:val="lowerRoman"/>
      <w:lvlText w:val="%3."/>
      <w:lvlJc w:val="right"/>
      <w:pPr>
        <w:tabs>
          <w:tab w:val="left" w:pos="697"/>
        </w:tabs>
        <w:ind w:left="697" w:hanging="420"/>
      </w:pPr>
    </w:lvl>
    <w:lvl w:ilvl="3" w:tentative="0">
      <w:start w:val="1"/>
      <w:numFmt w:val="decimal"/>
      <w:lvlText w:val="%4."/>
      <w:lvlJc w:val="left"/>
      <w:pPr>
        <w:tabs>
          <w:tab w:val="left" w:pos="1117"/>
        </w:tabs>
        <w:ind w:left="1117" w:hanging="420"/>
      </w:pPr>
    </w:lvl>
    <w:lvl w:ilvl="4" w:tentative="0">
      <w:start w:val="1"/>
      <w:numFmt w:val="lowerLetter"/>
      <w:lvlText w:val="%5)"/>
      <w:lvlJc w:val="left"/>
      <w:pPr>
        <w:tabs>
          <w:tab w:val="left" w:pos="1537"/>
        </w:tabs>
        <w:ind w:left="1537" w:hanging="420"/>
      </w:pPr>
    </w:lvl>
    <w:lvl w:ilvl="5" w:tentative="0">
      <w:start w:val="1"/>
      <w:numFmt w:val="lowerRoman"/>
      <w:lvlText w:val="%6."/>
      <w:lvlJc w:val="right"/>
      <w:pPr>
        <w:tabs>
          <w:tab w:val="left" w:pos="1957"/>
        </w:tabs>
        <w:ind w:left="1957" w:hanging="420"/>
      </w:pPr>
    </w:lvl>
    <w:lvl w:ilvl="6" w:tentative="0">
      <w:start w:val="1"/>
      <w:numFmt w:val="decimal"/>
      <w:lvlText w:val="%7."/>
      <w:lvlJc w:val="left"/>
      <w:pPr>
        <w:tabs>
          <w:tab w:val="left" w:pos="2377"/>
        </w:tabs>
        <w:ind w:left="2377" w:hanging="420"/>
      </w:pPr>
    </w:lvl>
    <w:lvl w:ilvl="7" w:tentative="0">
      <w:start w:val="1"/>
      <w:numFmt w:val="lowerLetter"/>
      <w:lvlText w:val="%8)"/>
      <w:lvlJc w:val="left"/>
      <w:pPr>
        <w:tabs>
          <w:tab w:val="left" w:pos="2797"/>
        </w:tabs>
        <w:ind w:left="2797" w:hanging="420"/>
      </w:pPr>
    </w:lvl>
    <w:lvl w:ilvl="8" w:tentative="0">
      <w:start w:val="1"/>
      <w:numFmt w:val="lowerRoman"/>
      <w:lvlText w:val="%9."/>
      <w:lvlJc w:val="right"/>
      <w:pPr>
        <w:tabs>
          <w:tab w:val="left" w:pos="3217"/>
        </w:tabs>
        <w:ind w:left="3217" w:hanging="420"/>
      </w:pPr>
    </w:lvl>
  </w:abstractNum>
  <w:abstractNum w:abstractNumId="1">
    <w:nsid w:val="DFE68232"/>
    <w:multiLevelType w:val="singleLevel"/>
    <w:tmpl w:val="DFE68232"/>
    <w:lvl w:ilvl="0" w:tentative="0">
      <w:start w:val="1"/>
      <w:numFmt w:val="decimal"/>
      <w:lvlText w:val="(%1)"/>
      <w:lvlJc w:val="left"/>
      <w:pPr>
        <w:ind w:left="425" w:hanging="425"/>
      </w:pPr>
      <w:rPr>
        <w:rFonts w:hint="default"/>
      </w:rPr>
    </w:lvl>
  </w:abstractNum>
  <w:abstractNum w:abstractNumId="2">
    <w:nsid w:val="F59CCF6F"/>
    <w:multiLevelType w:val="singleLevel"/>
    <w:tmpl w:val="F59CCF6F"/>
    <w:lvl w:ilvl="0" w:tentative="0">
      <w:start w:val="1"/>
      <w:numFmt w:val="decimal"/>
      <w:suff w:val="nothing"/>
      <w:lvlText w:val="%1、"/>
      <w:lvlJc w:val="left"/>
    </w:lvl>
  </w:abstractNum>
  <w:abstractNum w:abstractNumId="3">
    <w:nsid w:val="FFFFFF83"/>
    <w:multiLevelType w:val="singleLevel"/>
    <w:tmpl w:val="FFFFFF83"/>
    <w:lvl w:ilvl="0" w:tentative="0">
      <w:start w:val="1"/>
      <w:numFmt w:val="bullet"/>
      <w:pStyle w:val="16"/>
      <w:lvlText w:val=""/>
      <w:lvlJc w:val="left"/>
      <w:pPr>
        <w:tabs>
          <w:tab w:val="left" w:pos="780"/>
        </w:tabs>
        <w:ind w:left="780" w:hanging="360"/>
      </w:pPr>
      <w:rPr>
        <w:rFonts w:hint="default" w:ascii="Wingdings" w:hAnsi="Wingdings"/>
      </w:rPr>
    </w:lvl>
  </w:abstractNum>
  <w:abstractNum w:abstractNumId="4">
    <w:nsid w:val="0E0637A3"/>
    <w:multiLevelType w:val="multilevel"/>
    <w:tmpl w:val="0E0637A3"/>
    <w:lvl w:ilvl="0" w:tentative="0">
      <w:start w:val="1"/>
      <w:numFmt w:val="japaneseCounting"/>
      <w:lvlText w:val="%1、"/>
      <w:lvlJc w:val="left"/>
      <w:pPr>
        <w:ind w:left="1114" w:hanging="540"/>
      </w:pPr>
      <w:rPr>
        <w:rFonts w:hint="default"/>
      </w:rPr>
    </w:lvl>
    <w:lvl w:ilvl="1" w:tentative="0">
      <w:start w:val="1"/>
      <w:numFmt w:val="lowerLetter"/>
      <w:lvlText w:val="%2)"/>
      <w:lvlJc w:val="left"/>
      <w:pPr>
        <w:ind w:left="1414" w:hanging="420"/>
      </w:pPr>
    </w:lvl>
    <w:lvl w:ilvl="2" w:tentative="0">
      <w:start w:val="1"/>
      <w:numFmt w:val="lowerRoman"/>
      <w:lvlText w:val="%3."/>
      <w:lvlJc w:val="right"/>
      <w:pPr>
        <w:ind w:left="1834" w:hanging="420"/>
      </w:pPr>
    </w:lvl>
    <w:lvl w:ilvl="3" w:tentative="0">
      <w:start w:val="1"/>
      <w:numFmt w:val="decimal"/>
      <w:lvlText w:val="%4."/>
      <w:lvlJc w:val="left"/>
      <w:pPr>
        <w:ind w:left="2254" w:hanging="420"/>
      </w:pPr>
    </w:lvl>
    <w:lvl w:ilvl="4" w:tentative="0">
      <w:start w:val="1"/>
      <w:numFmt w:val="lowerLetter"/>
      <w:lvlText w:val="%5)"/>
      <w:lvlJc w:val="left"/>
      <w:pPr>
        <w:ind w:left="2674" w:hanging="420"/>
      </w:pPr>
    </w:lvl>
    <w:lvl w:ilvl="5" w:tentative="0">
      <w:start w:val="1"/>
      <w:numFmt w:val="lowerRoman"/>
      <w:lvlText w:val="%6."/>
      <w:lvlJc w:val="right"/>
      <w:pPr>
        <w:ind w:left="3094" w:hanging="420"/>
      </w:pPr>
    </w:lvl>
    <w:lvl w:ilvl="6" w:tentative="0">
      <w:start w:val="1"/>
      <w:numFmt w:val="decimal"/>
      <w:lvlText w:val="%7."/>
      <w:lvlJc w:val="left"/>
      <w:pPr>
        <w:ind w:left="3514" w:hanging="420"/>
      </w:pPr>
    </w:lvl>
    <w:lvl w:ilvl="7" w:tentative="0">
      <w:start w:val="1"/>
      <w:numFmt w:val="lowerLetter"/>
      <w:lvlText w:val="%8)"/>
      <w:lvlJc w:val="left"/>
      <w:pPr>
        <w:ind w:left="3934" w:hanging="420"/>
      </w:pPr>
    </w:lvl>
    <w:lvl w:ilvl="8" w:tentative="0">
      <w:start w:val="1"/>
      <w:numFmt w:val="lowerRoman"/>
      <w:lvlText w:val="%9."/>
      <w:lvlJc w:val="right"/>
      <w:pPr>
        <w:ind w:left="4354" w:hanging="420"/>
      </w:pPr>
    </w:lvl>
  </w:abstractNum>
  <w:abstractNum w:abstractNumId="5">
    <w:nsid w:val="10D455CE"/>
    <w:multiLevelType w:val="multilevel"/>
    <w:tmpl w:val="10D455CE"/>
    <w:lvl w:ilvl="0" w:tentative="0">
      <w:start w:val="1"/>
      <w:numFmt w:val="chineseCountingThousand"/>
      <w:lvlText w:val="（%1）"/>
      <w:lvlJc w:val="left"/>
      <w:pPr>
        <w:tabs>
          <w:tab w:val="left" w:pos="1061"/>
        </w:tabs>
        <w:ind w:left="1061"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09F3A09"/>
    <w:multiLevelType w:val="multilevel"/>
    <w:tmpl w:val="209F3A09"/>
    <w:lvl w:ilvl="0" w:tentative="0">
      <w:start w:val="1"/>
      <w:numFmt w:val="decimal"/>
      <w:lvlText w:val="%1、"/>
      <w:lvlJc w:val="left"/>
      <w:pPr>
        <w:tabs>
          <w:tab w:val="left" w:pos="846"/>
        </w:tabs>
        <w:ind w:left="846" w:hanging="420"/>
      </w:pPr>
      <w:rPr>
        <w:rFonts w:hint="eastAsia"/>
      </w:rPr>
    </w:lvl>
    <w:lvl w:ilvl="1" w:tentative="0">
      <w:start w:val="1"/>
      <w:numFmt w:val="lowerLetter"/>
      <w:lvlText w:val="%2)"/>
      <w:lvlJc w:val="left"/>
      <w:pPr>
        <w:tabs>
          <w:tab w:val="left" w:pos="277"/>
        </w:tabs>
        <w:ind w:left="277" w:hanging="420"/>
      </w:pPr>
    </w:lvl>
    <w:lvl w:ilvl="2" w:tentative="0">
      <w:start w:val="1"/>
      <w:numFmt w:val="lowerRoman"/>
      <w:lvlText w:val="%3."/>
      <w:lvlJc w:val="right"/>
      <w:pPr>
        <w:tabs>
          <w:tab w:val="left" w:pos="697"/>
        </w:tabs>
        <w:ind w:left="697" w:hanging="420"/>
      </w:pPr>
    </w:lvl>
    <w:lvl w:ilvl="3" w:tentative="0">
      <w:start w:val="1"/>
      <w:numFmt w:val="decimal"/>
      <w:lvlText w:val="%4."/>
      <w:lvlJc w:val="left"/>
      <w:pPr>
        <w:tabs>
          <w:tab w:val="left" w:pos="1117"/>
        </w:tabs>
        <w:ind w:left="1117" w:hanging="420"/>
      </w:pPr>
    </w:lvl>
    <w:lvl w:ilvl="4" w:tentative="0">
      <w:start w:val="1"/>
      <w:numFmt w:val="lowerLetter"/>
      <w:lvlText w:val="%5)"/>
      <w:lvlJc w:val="left"/>
      <w:pPr>
        <w:tabs>
          <w:tab w:val="left" w:pos="1537"/>
        </w:tabs>
        <w:ind w:left="1537" w:hanging="420"/>
      </w:pPr>
    </w:lvl>
    <w:lvl w:ilvl="5" w:tentative="0">
      <w:start w:val="1"/>
      <w:numFmt w:val="lowerRoman"/>
      <w:lvlText w:val="%6."/>
      <w:lvlJc w:val="right"/>
      <w:pPr>
        <w:tabs>
          <w:tab w:val="left" w:pos="1957"/>
        </w:tabs>
        <w:ind w:left="1957" w:hanging="420"/>
      </w:pPr>
    </w:lvl>
    <w:lvl w:ilvl="6" w:tentative="0">
      <w:start w:val="1"/>
      <w:numFmt w:val="decimal"/>
      <w:lvlText w:val="%7."/>
      <w:lvlJc w:val="left"/>
      <w:pPr>
        <w:tabs>
          <w:tab w:val="left" w:pos="2377"/>
        </w:tabs>
        <w:ind w:left="2377" w:hanging="420"/>
      </w:pPr>
    </w:lvl>
    <w:lvl w:ilvl="7" w:tentative="0">
      <w:start w:val="1"/>
      <w:numFmt w:val="lowerLetter"/>
      <w:lvlText w:val="%8)"/>
      <w:lvlJc w:val="left"/>
      <w:pPr>
        <w:tabs>
          <w:tab w:val="left" w:pos="2797"/>
        </w:tabs>
        <w:ind w:left="2797" w:hanging="420"/>
      </w:pPr>
    </w:lvl>
    <w:lvl w:ilvl="8" w:tentative="0">
      <w:start w:val="1"/>
      <w:numFmt w:val="lowerRoman"/>
      <w:lvlText w:val="%9."/>
      <w:lvlJc w:val="right"/>
      <w:pPr>
        <w:tabs>
          <w:tab w:val="left" w:pos="3217"/>
        </w:tabs>
        <w:ind w:left="3217" w:hanging="420"/>
      </w:pPr>
    </w:lvl>
  </w:abstractNum>
  <w:abstractNum w:abstractNumId="7">
    <w:nsid w:val="37E466BB"/>
    <w:multiLevelType w:val="multilevel"/>
    <w:tmpl w:val="37E466BB"/>
    <w:lvl w:ilvl="0" w:tentative="0">
      <w:start w:val="1"/>
      <w:numFmt w:val="decimal"/>
      <w:lvlText w:val="%1、"/>
      <w:lvlJc w:val="left"/>
      <w:pPr>
        <w:tabs>
          <w:tab w:val="left" w:pos="3681"/>
        </w:tabs>
        <w:ind w:left="3681" w:hanging="420"/>
      </w:pPr>
      <w:rPr>
        <w:rFonts w:hint="eastAsia"/>
      </w:rPr>
    </w:lvl>
    <w:lvl w:ilvl="1" w:tentative="0">
      <w:start w:val="1"/>
      <w:numFmt w:val="lowerLetter"/>
      <w:lvlText w:val="%2)"/>
      <w:lvlJc w:val="left"/>
      <w:pPr>
        <w:tabs>
          <w:tab w:val="left" w:pos="930"/>
        </w:tabs>
        <w:ind w:left="930" w:hanging="420"/>
      </w:pPr>
    </w:lvl>
    <w:lvl w:ilvl="2" w:tentative="0">
      <w:start w:val="1"/>
      <w:numFmt w:val="lowerRoman"/>
      <w:lvlText w:val="%3."/>
      <w:lvlJc w:val="right"/>
      <w:pPr>
        <w:tabs>
          <w:tab w:val="left" w:pos="1350"/>
        </w:tabs>
        <w:ind w:left="1350" w:hanging="420"/>
      </w:pPr>
    </w:lvl>
    <w:lvl w:ilvl="3" w:tentative="0">
      <w:start w:val="1"/>
      <w:numFmt w:val="decimal"/>
      <w:lvlText w:val="%4."/>
      <w:lvlJc w:val="left"/>
      <w:pPr>
        <w:tabs>
          <w:tab w:val="left" w:pos="1770"/>
        </w:tabs>
        <w:ind w:left="1770" w:hanging="420"/>
      </w:pPr>
    </w:lvl>
    <w:lvl w:ilvl="4" w:tentative="0">
      <w:start w:val="1"/>
      <w:numFmt w:val="lowerLetter"/>
      <w:lvlText w:val="%5)"/>
      <w:lvlJc w:val="left"/>
      <w:pPr>
        <w:tabs>
          <w:tab w:val="left" w:pos="2190"/>
        </w:tabs>
        <w:ind w:left="2190" w:hanging="420"/>
      </w:pPr>
    </w:lvl>
    <w:lvl w:ilvl="5" w:tentative="0">
      <w:start w:val="1"/>
      <w:numFmt w:val="lowerRoman"/>
      <w:lvlText w:val="%6."/>
      <w:lvlJc w:val="right"/>
      <w:pPr>
        <w:tabs>
          <w:tab w:val="left" w:pos="2610"/>
        </w:tabs>
        <w:ind w:left="2610" w:hanging="420"/>
      </w:pPr>
    </w:lvl>
    <w:lvl w:ilvl="6" w:tentative="0">
      <w:start w:val="1"/>
      <w:numFmt w:val="decimal"/>
      <w:lvlText w:val="%7."/>
      <w:lvlJc w:val="left"/>
      <w:pPr>
        <w:tabs>
          <w:tab w:val="left" w:pos="3030"/>
        </w:tabs>
        <w:ind w:left="3030" w:hanging="420"/>
      </w:pPr>
    </w:lvl>
    <w:lvl w:ilvl="7" w:tentative="0">
      <w:start w:val="1"/>
      <w:numFmt w:val="lowerLetter"/>
      <w:lvlText w:val="%8)"/>
      <w:lvlJc w:val="left"/>
      <w:pPr>
        <w:tabs>
          <w:tab w:val="left" w:pos="3450"/>
        </w:tabs>
        <w:ind w:left="3450" w:hanging="420"/>
      </w:pPr>
    </w:lvl>
    <w:lvl w:ilvl="8" w:tentative="0">
      <w:start w:val="1"/>
      <w:numFmt w:val="lowerRoman"/>
      <w:lvlText w:val="%9."/>
      <w:lvlJc w:val="right"/>
      <w:pPr>
        <w:tabs>
          <w:tab w:val="left" w:pos="3870"/>
        </w:tabs>
        <w:ind w:left="3870" w:hanging="420"/>
      </w:pPr>
    </w:lvl>
  </w:abstractNum>
  <w:abstractNum w:abstractNumId="8">
    <w:nsid w:val="439F7F83"/>
    <w:multiLevelType w:val="multilevel"/>
    <w:tmpl w:val="439F7F83"/>
    <w:lvl w:ilvl="0" w:tentative="0">
      <w:start w:val="1"/>
      <w:numFmt w:val="decimal"/>
      <w:lvlText w:val="%1、"/>
      <w:lvlJc w:val="left"/>
      <w:pPr>
        <w:tabs>
          <w:tab w:val="left" w:pos="1409"/>
        </w:tabs>
        <w:ind w:left="1409"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5E76BF8"/>
    <w:multiLevelType w:val="singleLevel"/>
    <w:tmpl w:val="45E76BF8"/>
    <w:lvl w:ilvl="0" w:tentative="0">
      <w:start w:val="1"/>
      <w:numFmt w:val="upperLetter"/>
      <w:pStyle w:val="2"/>
      <w:lvlText w:val="%1、"/>
      <w:lvlJc w:val="left"/>
      <w:pPr>
        <w:tabs>
          <w:tab w:val="left" w:pos="1410"/>
        </w:tabs>
        <w:ind w:left="1410" w:hanging="420"/>
      </w:pPr>
      <w:rPr>
        <w:rFonts w:hint="eastAsia"/>
      </w:rPr>
    </w:lvl>
  </w:abstractNum>
  <w:abstractNum w:abstractNumId="10">
    <w:nsid w:val="48331264"/>
    <w:multiLevelType w:val="singleLevel"/>
    <w:tmpl w:val="48331264"/>
    <w:lvl w:ilvl="0" w:tentative="0">
      <w:start w:val="1"/>
      <w:numFmt w:val="decimal"/>
      <w:pStyle w:val="11"/>
      <w:lvlText w:val="表%1."/>
      <w:lvlJc w:val="left"/>
      <w:pPr>
        <w:tabs>
          <w:tab w:val="left" w:pos="720"/>
        </w:tabs>
      </w:pPr>
      <w:rPr>
        <w:rFonts w:hint="eastAsia"/>
      </w:rPr>
    </w:lvl>
  </w:abstractNum>
  <w:abstractNum w:abstractNumId="11">
    <w:nsid w:val="49201727"/>
    <w:multiLevelType w:val="singleLevel"/>
    <w:tmpl w:val="49201727"/>
    <w:lvl w:ilvl="0" w:tentative="0">
      <w:start w:val="1"/>
      <w:numFmt w:val="chineseCountingThousand"/>
      <w:pStyle w:val="5"/>
      <w:lvlText w:val="%1、"/>
      <w:lvlJc w:val="left"/>
      <w:pPr>
        <w:tabs>
          <w:tab w:val="left" w:pos="1260"/>
        </w:tabs>
        <w:ind w:left="960" w:hanging="420"/>
      </w:pPr>
      <w:rPr>
        <w:rFonts w:hint="eastAsia"/>
      </w:rPr>
    </w:lvl>
  </w:abstractNum>
  <w:abstractNum w:abstractNumId="12">
    <w:nsid w:val="4BCD1563"/>
    <w:multiLevelType w:val="singleLevel"/>
    <w:tmpl w:val="4BCD1563"/>
    <w:lvl w:ilvl="0" w:tentative="0">
      <w:start w:val="1"/>
      <w:numFmt w:val="decimal"/>
      <w:lvlText w:val="(%1)"/>
      <w:lvlJc w:val="left"/>
      <w:pPr>
        <w:ind w:left="425" w:hanging="425"/>
      </w:pPr>
      <w:rPr>
        <w:rFonts w:hint="default"/>
      </w:rPr>
    </w:lvl>
  </w:abstractNum>
  <w:abstractNum w:abstractNumId="13">
    <w:nsid w:val="78DA0E0B"/>
    <w:multiLevelType w:val="multilevel"/>
    <w:tmpl w:val="78DA0E0B"/>
    <w:lvl w:ilvl="0" w:tentative="0">
      <w:start w:val="3"/>
      <w:numFmt w:val="japaneseCounting"/>
      <w:lvlText w:val="%1、"/>
      <w:lvlJc w:val="left"/>
      <w:pPr>
        <w:ind w:left="1260" w:hanging="720"/>
      </w:pPr>
      <w:rPr>
        <w:rFonts w:hint="default"/>
      </w:rPr>
    </w:lvl>
    <w:lvl w:ilvl="1" w:tentative="0">
      <w:start w:val="1"/>
      <w:numFmt w:val="lowerLetter"/>
      <w:lvlText w:val="%2)"/>
      <w:lvlJc w:val="left"/>
      <w:pPr>
        <w:ind w:left="1380" w:hanging="420"/>
      </w:pPr>
    </w:lvl>
    <w:lvl w:ilvl="2" w:tentative="0">
      <w:start w:val="1"/>
      <w:numFmt w:val="lowerRoman"/>
      <w:lvlText w:val="%3."/>
      <w:lvlJc w:val="right"/>
      <w:pPr>
        <w:ind w:left="1800" w:hanging="420"/>
      </w:pPr>
    </w:lvl>
    <w:lvl w:ilvl="3" w:tentative="0">
      <w:start w:val="1"/>
      <w:numFmt w:val="decimal"/>
      <w:lvlText w:val="%4."/>
      <w:lvlJc w:val="left"/>
      <w:pPr>
        <w:ind w:left="2220" w:hanging="420"/>
      </w:pPr>
    </w:lvl>
    <w:lvl w:ilvl="4" w:tentative="0">
      <w:start w:val="1"/>
      <w:numFmt w:val="lowerLetter"/>
      <w:lvlText w:val="%5)"/>
      <w:lvlJc w:val="left"/>
      <w:pPr>
        <w:ind w:left="2640" w:hanging="420"/>
      </w:pPr>
    </w:lvl>
    <w:lvl w:ilvl="5" w:tentative="0">
      <w:start w:val="1"/>
      <w:numFmt w:val="lowerRoman"/>
      <w:lvlText w:val="%6."/>
      <w:lvlJc w:val="right"/>
      <w:pPr>
        <w:ind w:left="3060" w:hanging="420"/>
      </w:pPr>
    </w:lvl>
    <w:lvl w:ilvl="6" w:tentative="0">
      <w:start w:val="1"/>
      <w:numFmt w:val="decimal"/>
      <w:lvlText w:val="%7."/>
      <w:lvlJc w:val="left"/>
      <w:pPr>
        <w:ind w:left="3480" w:hanging="420"/>
      </w:pPr>
    </w:lvl>
    <w:lvl w:ilvl="7" w:tentative="0">
      <w:start w:val="1"/>
      <w:numFmt w:val="lowerLetter"/>
      <w:lvlText w:val="%8)"/>
      <w:lvlJc w:val="left"/>
      <w:pPr>
        <w:ind w:left="3900" w:hanging="420"/>
      </w:pPr>
    </w:lvl>
    <w:lvl w:ilvl="8" w:tentative="0">
      <w:start w:val="1"/>
      <w:numFmt w:val="lowerRoman"/>
      <w:lvlText w:val="%9."/>
      <w:lvlJc w:val="right"/>
      <w:pPr>
        <w:ind w:left="4320" w:hanging="420"/>
      </w:pPr>
    </w:lvl>
  </w:abstractNum>
  <w:num w:numId="1">
    <w:abstractNumId w:val="9"/>
  </w:num>
  <w:num w:numId="2">
    <w:abstractNumId w:val="11"/>
  </w:num>
  <w:num w:numId="3">
    <w:abstractNumId w:val="10"/>
  </w:num>
  <w:num w:numId="4">
    <w:abstractNumId w:val="3"/>
  </w:num>
  <w:num w:numId="5">
    <w:abstractNumId w:val="4"/>
  </w:num>
  <w:num w:numId="6">
    <w:abstractNumId w:val="1"/>
  </w:num>
  <w:num w:numId="7">
    <w:abstractNumId w:val="12"/>
  </w:num>
  <w:num w:numId="8">
    <w:abstractNumId w:val="13"/>
  </w:num>
  <w:num w:numId="9">
    <w:abstractNumId w:val="5"/>
  </w:num>
  <w:num w:numId="10">
    <w:abstractNumId w:val="2"/>
  </w:num>
  <w:num w:numId="11">
    <w:abstractNumId w:val="6"/>
  </w:num>
  <w:num w:numId="12">
    <w:abstractNumId w:val="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0D5"/>
    <w:rsid w:val="00000387"/>
    <w:rsid w:val="00000EF3"/>
    <w:rsid w:val="00001C83"/>
    <w:rsid w:val="00003A50"/>
    <w:rsid w:val="00004E69"/>
    <w:rsid w:val="000060C4"/>
    <w:rsid w:val="0000724B"/>
    <w:rsid w:val="00007E93"/>
    <w:rsid w:val="000101D4"/>
    <w:rsid w:val="00010535"/>
    <w:rsid w:val="00010BC9"/>
    <w:rsid w:val="00011446"/>
    <w:rsid w:val="00011C15"/>
    <w:rsid w:val="00011F78"/>
    <w:rsid w:val="000130EF"/>
    <w:rsid w:val="00014426"/>
    <w:rsid w:val="00016E72"/>
    <w:rsid w:val="00020713"/>
    <w:rsid w:val="00020B25"/>
    <w:rsid w:val="0002200A"/>
    <w:rsid w:val="00022D05"/>
    <w:rsid w:val="00025617"/>
    <w:rsid w:val="00025651"/>
    <w:rsid w:val="00025BB0"/>
    <w:rsid w:val="00025BC0"/>
    <w:rsid w:val="000265B0"/>
    <w:rsid w:val="00030FBE"/>
    <w:rsid w:val="0003359E"/>
    <w:rsid w:val="00034696"/>
    <w:rsid w:val="0003569C"/>
    <w:rsid w:val="00037281"/>
    <w:rsid w:val="00040015"/>
    <w:rsid w:val="00041313"/>
    <w:rsid w:val="00041D51"/>
    <w:rsid w:val="00045675"/>
    <w:rsid w:val="000460F4"/>
    <w:rsid w:val="000461AE"/>
    <w:rsid w:val="0005175F"/>
    <w:rsid w:val="00053895"/>
    <w:rsid w:val="00053C56"/>
    <w:rsid w:val="000543A6"/>
    <w:rsid w:val="00062793"/>
    <w:rsid w:val="00063A85"/>
    <w:rsid w:val="000646A1"/>
    <w:rsid w:val="00064A04"/>
    <w:rsid w:val="000650D4"/>
    <w:rsid w:val="00065A2A"/>
    <w:rsid w:val="00065E23"/>
    <w:rsid w:val="00066DE9"/>
    <w:rsid w:val="000672AB"/>
    <w:rsid w:val="00067E1B"/>
    <w:rsid w:val="000702EC"/>
    <w:rsid w:val="00072EBF"/>
    <w:rsid w:val="00073268"/>
    <w:rsid w:val="00073356"/>
    <w:rsid w:val="00076AD8"/>
    <w:rsid w:val="00076B46"/>
    <w:rsid w:val="00083F57"/>
    <w:rsid w:val="00085171"/>
    <w:rsid w:val="00085E06"/>
    <w:rsid w:val="00087328"/>
    <w:rsid w:val="000879A9"/>
    <w:rsid w:val="00090F40"/>
    <w:rsid w:val="000A0719"/>
    <w:rsid w:val="000A0F1A"/>
    <w:rsid w:val="000A18EC"/>
    <w:rsid w:val="000A1B37"/>
    <w:rsid w:val="000A2B01"/>
    <w:rsid w:val="000A6178"/>
    <w:rsid w:val="000A66B9"/>
    <w:rsid w:val="000A6ED2"/>
    <w:rsid w:val="000A79E1"/>
    <w:rsid w:val="000B070F"/>
    <w:rsid w:val="000B1C94"/>
    <w:rsid w:val="000B1ED8"/>
    <w:rsid w:val="000B35FF"/>
    <w:rsid w:val="000B37E4"/>
    <w:rsid w:val="000B4A20"/>
    <w:rsid w:val="000B6963"/>
    <w:rsid w:val="000B69A1"/>
    <w:rsid w:val="000C030F"/>
    <w:rsid w:val="000C13E5"/>
    <w:rsid w:val="000C2465"/>
    <w:rsid w:val="000C2BE6"/>
    <w:rsid w:val="000C431B"/>
    <w:rsid w:val="000C5E56"/>
    <w:rsid w:val="000C635A"/>
    <w:rsid w:val="000C6FA4"/>
    <w:rsid w:val="000C7526"/>
    <w:rsid w:val="000C7A03"/>
    <w:rsid w:val="000D0683"/>
    <w:rsid w:val="000D0FF2"/>
    <w:rsid w:val="000D190E"/>
    <w:rsid w:val="000D1E76"/>
    <w:rsid w:val="000D1E77"/>
    <w:rsid w:val="000D4548"/>
    <w:rsid w:val="000D4A68"/>
    <w:rsid w:val="000D6796"/>
    <w:rsid w:val="000D6FAD"/>
    <w:rsid w:val="000E1CAC"/>
    <w:rsid w:val="000E2CD2"/>
    <w:rsid w:val="000E3D01"/>
    <w:rsid w:val="000E4DE5"/>
    <w:rsid w:val="000E5AC0"/>
    <w:rsid w:val="000E7B63"/>
    <w:rsid w:val="000F1395"/>
    <w:rsid w:val="000F1B39"/>
    <w:rsid w:val="000F1B7E"/>
    <w:rsid w:val="000F20E4"/>
    <w:rsid w:val="000F2761"/>
    <w:rsid w:val="000F3358"/>
    <w:rsid w:val="000F3B14"/>
    <w:rsid w:val="000F6D5A"/>
    <w:rsid w:val="000F71F3"/>
    <w:rsid w:val="0010116D"/>
    <w:rsid w:val="001012B5"/>
    <w:rsid w:val="00102020"/>
    <w:rsid w:val="00102E3B"/>
    <w:rsid w:val="001031F5"/>
    <w:rsid w:val="001042E8"/>
    <w:rsid w:val="001074EF"/>
    <w:rsid w:val="001118BD"/>
    <w:rsid w:val="00111AC2"/>
    <w:rsid w:val="00112AE0"/>
    <w:rsid w:val="00113C3D"/>
    <w:rsid w:val="001149FA"/>
    <w:rsid w:val="00117662"/>
    <w:rsid w:val="0012048C"/>
    <w:rsid w:val="001204C9"/>
    <w:rsid w:val="001215CD"/>
    <w:rsid w:val="00122C52"/>
    <w:rsid w:val="00122EE1"/>
    <w:rsid w:val="001230A9"/>
    <w:rsid w:val="00131BE7"/>
    <w:rsid w:val="00134234"/>
    <w:rsid w:val="00134374"/>
    <w:rsid w:val="00135EB6"/>
    <w:rsid w:val="001404C8"/>
    <w:rsid w:val="00140ECE"/>
    <w:rsid w:val="001423F7"/>
    <w:rsid w:val="00142821"/>
    <w:rsid w:val="00142D5F"/>
    <w:rsid w:val="001435A6"/>
    <w:rsid w:val="00145167"/>
    <w:rsid w:val="00145572"/>
    <w:rsid w:val="001461AC"/>
    <w:rsid w:val="0014746D"/>
    <w:rsid w:val="001512EC"/>
    <w:rsid w:val="0015226C"/>
    <w:rsid w:val="00153206"/>
    <w:rsid w:val="00153E82"/>
    <w:rsid w:val="00154D7E"/>
    <w:rsid w:val="001555DC"/>
    <w:rsid w:val="001629AE"/>
    <w:rsid w:val="00162C12"/>
    <w:rsid w:val="00163852"/>
    <w:rsid w:val="00164DB4"/>
    <w:rsid w:val="00164E8C"/>
    <w:rsid w:val="001670C6"/>
    <w:rsid w:val="00170057"/>
    <w:rsid w:val="00170575"/>
    <w:rsid w:val="00173F99"/>
    <w:rsid w:val="001747DE"/>
    <w:rsid w:val="00174A1F"/>
    <w:rsid w:val="001757DE"/>
    <w:rsid w:val="0017730D"/>
    <w:rsid w:val="00177845"/>
    <w:rsid w:val="001809B8"/>
    <w:rsid w:val="00182573"/>
    <w:rsid w:val="00183FF7"/>
    <w:rsid w:val="00185132"/>
    <w:rsid w:val="00185D97"/>
    <w:rsid w:val="00185EEC"/>
    <w:rsid w:val="00186511"/>
    <w:rsid w:val="00186FA8"/>
    <w:rsid w:val="00187526"/>
    <w:rsid w:val="001927E8"/>
    <w:rsid w:val="00192D5B"/>
    <w:rsid w:val="0019534A"/>
    <w:rsid w:val="001958A2"/>
    <w:rsid w:val="0019653D"/>
    <w:rsid w:val="00196D7D"/>
    <w:rsid w:val="001976A5"/>
    <w:rsid w:val="001A0265"/>
    <w:rsid w:val="001A0A8F"/>
    <w:rsid w:val="001A3508"/>
    <w:rsid w:val="001A5FD1"/>
    <w:rsid w:val="001A6276"/>
    <w:rsid w:val="001A6971"/>
    <w:rsid w:val="001B1173"/>
    <w:rsid w:val="001B2547"/>
    <w:rsid w:val="001B3762"/>
    <w:rsid w:val="001B3BDE"/>
    <w:rsid w:val="001B3CD7"/>
    <w:rsid w:val="001B4CC8"/>
    <w:rsid w:val="001B77B9"/>
    <w:rsid w:val="001C02E8"/>
    <w:rsid w:val="001C08C2"/>
    <w:rsid w:val="001C160E"/>
    <w:rsid w:val="001C5A43"/>
    <w:rsid w:val="001D0012"/>
    <w:rsid w:val="001D0E01"/>
    <w:rsid w:val="001D1277"/>
    <w:rsid w:val="001D1CE2"/>
    <w:rsid w:val="001D6CFE"/>
    <w:rsid w:val="001D7005"/>
    <w:rsid w:val="001E6032"/>
    <w:rsid w:val="001E693A"/>
    <w:rsid w:val="001E71DE"/>
    <w:rsid w:val="001E7BE8"/>
    <w:rsid w:val="001F1740"/>
    <w:rsid w:val="001F1D54"/>
    <w:rsid w:val="001F5451"/>
    <w:rsid w:val="001F57E3"/>
    <w:rsid w:val="001F59B6"/>
    <w:rsid w:val="001F7C42"/>
    <w:rsid w:val="00200A84"/>
    <w:rsid w:val="00200D74"/>
    <w:rsid w:val="0020215C"/>
    <w:rsid w:val="0020256D"/>
    <w:rsid w:val="00202F5E"/>
    <w:rsid w:val="002056F3"/>
    <w:rsid w:val="00205A8F"/>
    <w:rsid w:val="00206E7D"/>
    <w:rsid w:val="0021040C"/>
    <w:rsid w:val="0021123E"/>
    <w:rsid w:val="00211AD9"/>
    <w:rsid w:val="00213BBA"/>
    <w:rsid w:val="0021609E"/>
    <w:rsid w:val="00216B68"/>
    <w:rsid w:val="00217145"/>
    <w:rsid w:val="002210B6"/>
    <w:rsid w:val="00223A16"/>
    <w:rsid w:val="00223F0B"/>
    <w:rsid w:val="0022517E"/>
    <w:rsid w:val="0022537E"/>
    <w:rsid w:val="00225784"/>
    <w:rsid w:val="00225FB7"/>
    <w:rsid w:val="0022665D"/>
    <w:rsid w:val="00226804"/>
    <w:rsid w:val="002270D9"/>
    <w:rsid w:val="00227C37"/>
    <w:rsid w:val="00230CCD"/>
    <w:rsid w:val="0023138B"/>
    <w:rsid w:val="00231E92"/>
    <w:rsid w:val="00232EAB"/>
    <w:rsid w:val="00233321"/>
    <w:rsid w:val="00233C87"/>
    <w:rsid w:val="00233ED6"/>
    <w:rsid w:val="002340D6"/>
    <w:rsid w:val="00235E89"/>
    <w:rsid w:val="00236FE7"/>
    <w:rsid w:val="00237521"/>
    <w:rsid w:val="002407BB"/>
    <w:rsid w:val="00240CBC"/>
    <w:rsid w:val="00240E63"/>
    <w:rsid w:val="00242D57"/>
    <w:rsid w:val="00243938"/>
    <w:rsid w:val="0024399E"/>
    <w:rsid w:val="002446AC"/>
    <w:rsid w:val="0024678C"/>
    <w:rsid w:val="00246CC9"/>
    <w:rsid w:val="00247501"/>
    <w:rsid w:val="0024780D"/>
    <w:rsid w:val="002479C2"/>
    <w:rsid w:val="00251771"/>
    <w:rsid w:val="00252622"/>
    <w:rsid w:val="002540EE"/>
    <w:rsid w:val="0025733F"/>
    <w:rsid w:val="002579CC"/>
    <w:rsid w:val="00257B6F"/>
    <w:rsid w:val="0026093E"/>
    <w:rsid w:val="00260C35"/>
    <w:rsid w:val="002619C9"/>
    <w:rsid w:val="00261F28"/>
    <w:rsid w:val="00262041"/>
    <w:rsid w:val="002627DF"/>
    <w:rsid w:val="00263BDB"/>
    <w:rsid w:val="0026527E"/>
    <w:rsid w:val="00267523"/>
    <w:rsid w:val="00267773"/>
    <w:rsid w:val="00270040"/>
    <w:rsid w:val="00270543"/>
    <w:rsid w:val="00270DBF"/>
    <w:rsid w:val="00271070"/>
    <w:rsid w:val="00272107"/>
    <w:rsid w:val="00273A46"/>
    <w:rsid w:val="002744F3"/>
    <w:rsid w:val="00276C0B"/>
    <w:rsid w:val="002800B5"/>
    <w:rsid w:val="00281830"/>
    <w:rsid w:val="00283381"/>
    <w:rsid w:val="00285418"/>
    <w:rsid w:val="00287B8D"/>
    <w:rsid w:val="002920A7"/>
    <w:rsid w:val="0029258F"/>
    <w:rsid w:val="00293254"/>
    <w:rsid w:val="00294710"/>
    <w:rsid w:val="00295568"/>
    <w:rsid w:val="00295CE2"/>
    <w:rsid w:val="002972F6"/>
    <w:rsid w:val="002A054A"/>
    <w:rsid w:val="002A0C79"/>
    <w:rsid w:val="002A53FC"/>
    <w:rsid w:val="002A5849"/>
    <w:rsid w:val="002A6710"/>
    <w:rsid w:val="002B0B37"/>
    <w:rsid w:val="002B0E6D"/>
    <w:rsid w:val="002B3E1F"/>
    <w:rsid w:val="002B5EFF"/>
    <w:rsid w:val="002C06BA"/>
    <w:rsid w:val="002C0D13"/>
    <w:rsid w:val="002C3FCA"/>
    <w:rsid w:val="002C4118"/>
    <w:rsid w:val="002C48FC"/>
    <w:rsid w:val="002C4D27"/>
    <w:rsid w:val="002C4DA5"/>
    <w:rsid w:val="002C525D"/>
    <w:rsid w:val="002C54D3"/>
    <w:rsid w:val="002C6999"/>
    <w:rsid w:val="002C6E7A"/>
    <w:rsid w:val="002C7C24"/>
    <w:rsid w:val="002D1812"/>
    <w:rsid w:val="002D337C"/>
    <w:rsid w:val="002D3F16"/>
    <w:rsid w:val="002D6189"/>
    <w:rsid w:val="002D61C9"/>
    <w:rsid w:val="002E10E2"/>
    <w:rsid w:val="002E11E1"/>
    <w:rsid w:val="002E31A5"/>
    <w:rsid w:val="002E32D2"/>
    <w:rsid w:val="002E44CA"/>
    <w:rsid w:val="002E6092"/>
    <w:rsid w:val="002E6200"/>
    <w:rsid w:val="002E6EF6"/>
    <w:rsid w:val="002E7D9A"/>
    <w:rsid w:val="002F099B"/>
    <w:rsid w:val="002F54D6"/>
    <w:rsid w:val="002F64B1"/>
    <w:rsid w:val="002F6836"/>
    <w:rsid w:val="002F6B0C"/>
    <w:rsid w:val="00300DAF"/>
    <w:rsid w:val="003019D8"/>
    <w:rsid w:val="003023CD"/>
    <w:rsid w:val="003024E0"/>
    <w:rsid w:val="00302903"/>
    <w:rsid w:val="00304762"/>
    <w:rsid w:val="00304CE9"/>
    <w:rsid w:val="00305CB3"/>
    <w:rsid w:val="00307DDE"/>
    <w:rsid w:val="0031188D"/>
    <w:rsid w:val="00313A38"/>
    <w:rsid w:val="00314042"/>
    <w:rsid w:val="00314516"/>
    <w:rsid w:val="003145F7"/>
    <w:rsid w:val="00316474"/>
    <w:rsid w:val="00316E8D"/>
    <w:rsid w:val="00320353"/>
    <w:rsid w:val="00320B09"/>
    <w:rsid w:val="003220AC"/>
    <w:rsid w:val="00322925"/>
    <w:rsid w:val="003236AD"/>
    <w:rsid w:val="00324028"/>
    <w:rsid w:val="00324949"/>
    <w:rsid w:val="00325B88"/>
    <w:rsid w:val="00330E08"/>
    <w:rsid w:val="00331A73"/>
    <w:rsid w:val="00334CED"/>
    <w:rsid w:val="0033543B"/>
    <w:rsid w:val="003365A1"/>
    <w:rsid w:val="00336F3C"/>
    <w:rsid w:val="003370D3"/>
    <w:rsid w:val="00337723"/>
    <w:rsid w:val="00337D71"/>
    <w:rsid w:val="00340989"/>
    <w:rsid w:val="0034116D"/>
    <w:rsid w:val="00342F13"/>
    <w:rsid w:val="00343C1D"/>
    <w:rsid w:val="00345A11"/>
    <w:rsid w:val="00346936"/>
    <w:rsid w:val="00347E46"/>
    <w:rsid w:val="00350806"/>
    <w:rsid w:val="00351000"/>
    <w:rsid w:val="00351B69"/>
    <w:rsid w:val="003526CC"/>
    <w:rsid w:val="00352A63"/>
    <w:rsid w:val="003530B4"/>
    <w:rsid w:val="00353F61"/>
    <w:rsid w:val="003549E2"/>
    <w:rsid w:val="003557ED"/>
    <w:rsid w:val="00357D64"/>
    <w:rsid w:val="00357DFB"/>
    <w:rsid w:val="00362398"/>
    <w:rsid w:val="0036440A"/>
    <w:rsid w:val="003649FD"/>
    <w:rsid w:val="00366E1A"/>
    <w:rsid w:val="00367151"/>
    <w:rsid w:val="00371EB0"/>
    <w:rsid w:val="003739AF"/>
    <w:rsid w:val="003755D2"/>
    <w:rsid w:val="00376413"/>
    <w:rsid w:val="00377B0D"/>
    <w:rsid w:val="003803E1"/>
    <w:rsid w:val="0038043D"/>
    <w:rsid w:val="0038491E"/>
    <w:rsid w:val="00386141"/>
    <w:rsid w:val="00387AA7"/>
    <w:rsid w:val="00387E35"/>
    <w:rsid w:val="00387EE3"/>
    <w:rsid w:val="0039528A"/>
    <w:rsid w:val="003967BA"/>
    <w:rsid w:val="003A1B78"/>
    <w:rsid w:val="003A2CE2"/>
    <w:rsid w:val="003A3780"/>
    <w:rsid w:val="003A475C"/>
    <w:rsid w:val="003A4856"/>
    <w:rsid w:val="003A69B1"/>
    <w:rsid w:val="003A6FD3"/>
    <w:rsid w:val="003A7AF5"/>
    <w:rsid w:val="003B18E5"/>
    <w:rsid w:val="003B537E"/>
    <w:rsid w:val="003B676F"/>
    <w:rsid w:val="003B67CE"/>
    <w:rsid w:val="003B71DB"/>
    <w:rsid w:val="003B76CF"/>
    <w:rsid w:val="003C0AB8"/>
    <w:rsid w:val="003C1B9F"/>
    <w:rsid w:val="003C21B8"/>
    <w:rsid w:val="003C2E05"/>
    <w:rsid w:val="003C508B"/>
    <w:rsid w:val="003C6CFE"/>
    <w:rsid w:val="003C7165"/>
    <w:rsid w:val="003C73A1"/>
    <w:rsid w:val="003C74A5"/>
    <w:rsid w:val="003D23B2"/>
    <w:rsid w:val="003D4706"/>
    <w:rsid w:val="003D492A"/>
    <w:rsid w:val="003D4A3F"/>
    <w:rsid w:val="003D5850"/>
    <w:rsid w:val="003D6591"/>
    <w:rsid w:val="003D6BD4"/>
    <w:rsid w:val="003E2E0A"/>
    <w:rsid w:val="003E6D23"/>
    <w:rsid w:val="003E7437"/>
    <w:rsid w:val="003E7D61"/>
    <w:rsid w:val="003F0F30"/>
    <w:rsid w:val="003F15A1"/>
    <w:rsid w:val="003F2B34"/>
    <w:rsid w:val="003F3C2E"/>
    <w:rsid w:val="003F4D64"/>
    <w:rsid w:val="003F73F9"/>
    <w:rsid w:val="003F7426"/>
    <w:rsid w:val="003F762B"/>
    <w:rsid w:val="003F793B"/>
    <w:rsid w:val="00401EDE"/>
    <w:rsid w:val="00403235"/>
    <w:rsid w:val="004051C9"/>
    <w:rsid w:val="00406E80"/>
    <w:rsid w:val="004113DD"/>
    <w:rsid w:val="00411ECA"/>
    <w:rsid w:val="00412574"/>
    <w:rsid w:val="00412CDF"/>
    <w:rsid w:val="0041388F"/>
    <w:rsid w:val="00420035"/>
    <w:rsid w:val="00420BB3"/>
    <w:rsid w:val="004236A4"/>
    <w:rsid w:val="00425E92"/>
    <w:rsid w:val="00427ABF"/>
    <w:rsid w:val="0043069C"/>
    <w:rsid w:val="00430E69"/>
    <w:rsid w:val="00431A60"/>
    <w:rsid w:val="00431DAD"/>
    <w:rsid w:val="00432F87"/>
    <w:rsid w:val="00433032"/>
    <w:rsid w:val="00433083"/>
    <w:rsid w:val="00433269"/>
    <w:rsid w:val="00433EAE"/>
    <w:rsid w:val="00434ABB"/>
    <w:rsid w:val="00434AD4"/>
    <w:rsid w:val="004361B3"/>
    <w:rsid w:val="00436769"/>
    <w:rsid w:val="00442612"/>
    <w:rsid w:val="00442D16"/>
    <w:rsid w:val="00443CD8"/>
    <w:rsid w:val="00444366"/>
    <w:rsid w:val="00444AC9"/>
    <w:rsid w:val="00445906"/>
    <w:rsid w:val="00446258"/>
    <w:rsid w:val="00446705"/>
    <w:rsid w:val="004471B0"/>
    <w:rsid w:val="0045152E"/>
    <w:rsid w:val="00451B22"/>
    <w:rsid w:val="004522BD"/>
    <w:rsid w:val="004531B6"/>
    <w:rsid w:val="00453584"/>
    <w:rsid w:val="00455BB1"/>
    <w:rsid w:val="00455C1E"/>
    <w:rsid w:val="00456C55"/>
    <w:rsid w:val="00461175"/>
    <w:rsid w:val="00461CD5"/>
    <w:rsid w:val="00461E33"/>
    <w:rsid w:val="004623B8"/>
    <w:rsid w:val="00462C1A"/>
    <w:rsid w:val="00463D30"/>
    <w:rsid w:val="00464A3C"/>
    <w:rsid w:val="0046796A"/>
    <w:rsid w:val="0047026B"/>
    <w:rsid w:val="00472376"/>
    <w:rsid w:val="00473087"/>
    <w:rsid w:val="00473190"/>
    <w:rsid w:val="00473454"/>
    <w:rsid w:val="00473E04"/>
    <w:rsid w:val="00474081"/>
    <w:rsid w:val="0047464B"/>
    <w:rsid w:val="00474C42"/>
    <w:rsid w:val="00475D62"/>
    <w:rsid w:val="00475F2B"/>
    <w:rsid w:val="0047701E"/>
    <w:rsid w:val="0048113B"/>
    <w:rsid w:val="004854DD"/>
    <w:rsid w:val="00485FF5"/>
    <w:rsid w:val="00486BBE"/>
    <w:rsid w:val="00486E2C"/>
    <w:rsid w:val="00490BCA"/>
    <w:rsid w:val="00491576"/>
    <w:rsid w:val="00491FF7"/>
    <w:rsid w:val="0049228F"/>
    <w:rsid w:val="004930CE"/>
    <w:rsid w:val="004A1395"/>
    <w:rsid w:val="004A16A7"/>
    <w:rsid w:val="004A17C3"/>
    <w:rsid w:val="004A1C71"/>
    <w:rsid w:val="004A3E21"/>
    <w:rsid w:val="004A5FA1"/>
    <w:rsid w:val="004A716D"/>
    <w:rsid w:val="004B1220"/>
    <w:rsid w:val="004B3337"/>
    <w:rsid w:val="004B3954"/>
    <w:rsid w:val="004B69CB"/>
    <w:rsid w:val="004C02A9"/>
    <w:rsid w:val="004C10CC"/>
    <w:rsid w:val="004C1635"/>
    <w:rsid w:val="004C52ED"/>
    <w:rsid w:val="004C5D21"/>
    <w:rsid w:val="004C6E51"/>
    <w:rsid w:val="004C70B1"/>
    <w:rsid w:val="004D04D4"/>
    <w:rsid w:val="004D190E"/>
    <w:rsid w:val="004D2AC3"/>
    <w:rsid w:val="004E147F"/>
    <w:rsid w:val="004E198F"/>
    <w:rsid w:val="004E1E0D"/>
    <w:rsid w:val="004E2155"/>
    <w:rsid w:val="004F1089"/>
    <w:rsid w:val="004F1640"/>
    <w:rsid w:val="004F240C"/>
    <w:rsid w:val="004F2A4A"/>
    <w:rsid w:val="004F3200"/>
    <w:rsid w:val="004F4590"/>
    <w:rsid w:val="004F4E28"/>
    <w:rsid w:val="004F6373"/>
    <w:rsid w:val="004F6FE9"/>
    <w:rsid w:val="004F728E"/>
    <w:rsid w:val="00500ECE"/>
    <w:rsid w:val="005022B0"/>
    <w:rsid w:val="00503A12"/>
    <w:rsid w:val="00503B50"/>
    <w:rsid w:val="005076A8"/>
    <w:rsid w:val="00512634"/>
    <w:rsid w:val="00513718"/>
    <w:rsid w:val="00514028"/>
    <w:rsid w:val="00514193"/>
    <w:rsid w:val="0051439D"/>
    <w:rsid w:val="00515DCB"/>
    <w:rsid w:val="00516DD2"/>
    <w:rsid w:val="00517E61"/>
    <w:rsid w:val="0052059E"/>
    <w:rsid w:val="00520649"/>
    <w:rsid w:val="0052065A"/>
    <w:rsid w:val="005221F3"/>
    <w:rsid w:val="00524C71"/>
    <w:rsid w:val="00525394"/>
    <w:rsid w:val="00527765"/>
    <w:rsid w:val="00527F6B"/>
    <w:rsid w:val="00530257"/>
    <w:rsid w:val="00530F15"/>
    <w:rsid w:val="0053114A"/>
    <w:rsid w:val="005317AB"/>
    <w:rsid w:val="00531FA4"/>
    <w:rsid w:val="00534B97"/>
    <w:rsid w:val="0053630F"/>
    <w:rsid w:val="005375C7"/>
    <w:rsid w:val="00537624"/>
    <w:rsid w:val="00540D09"/>
    <w:rsid w:val="005423D8"/>
    <w:rsid w:val="00542974"/>
    <w:rsid w:val="005430EC"/>
    <w:rsid w:val="0054364F"/>
    <w:rsid w:val="00544948"/>
    <w:rsid w:val="00546845"/>
    <w:rsid w:val="00546BD3"/>
    <w:rsid w:val="00550661"/>
    <w:rsid w:val="00551FC9"/>
    <w:rsid w:val="0055201C"/>
    <w:rsid w:val="00553058"/>
    <w:rsid w:val="00555271"/>
    <w:rsid w:val="00555385"/>
    <w:rsid w:val="00555E2C"/>
    <w:rsid w:val="00557827"/>
    <w:rsid w:val="00560C4E"/>
    <w:rsid w:val="00561B35"/>
    <w:rsid w:val="0056223F"/>
    <w:rsid w:val="005644FB"/>
    <w:rsid w:val="005650D0"/>
    <w:rsid w:val="0056563D"/>
    <w:rsid w:val="005660C2"/>
    <w:rsid w:val="00566232"/>
    <w:rsid w:val="00566E70"/>
    <w:rsid w:val="00567D95"/>
    <w:rsid w:val="0057125F"/>
    <w:rsid w:val="00572648"/>
    <w:rsid w:val="00573D62"/>
    <w:rsid w:val="00575A20"/>
    <w:rsid w:val="00577236"/>
    <w:rsid w:val="0057765C"/>
    <w:rsid w:val="005819B5"/>
    <w:rsid w:val="00582CAA"/>
    <w:rsid w:val="00591233"/>
    <w:rsid w:val="00592812"/>
    <w:rsid w:val="00596381"/>
    <w:rsid w:val="00597567"/>
    <w:rsid w:val="005A31E4"/>
    <w:rsid w:val="005A6700"/>
    <w:rsid w:val="005A68ED"/>
    <w:rsid w:val="005A7434"/>
    <w:rsid w:val="005B0B4B"/>
    <w:rsid w:val="005B191B"/>
    <w:rsid w:val="005B1E89"/>
    <w:rsid w:val="005B1EEE"/>
    <w:rsid w:val="005B31C1"/>
    <w:rsid w:val="005B3D2C"/>
    <w:rsid w:val="005B4915"/>
    <w:rsid w:val="005B4AA1"/>
    <w:rsid w:val="005B52C3"/>
    <w:rsid w:val="005B5C00"/>
    <w:rsid w:val="005B726B"/>
    <w:rsid w:val="005C01DC"/>
    <w:rsid w:val="005C03DF"/>
    <w:rsid w:val="005C08C4"/>
    <w:rsid w:val="005C0A64"/>
    <w:rsid w:val="005C1C13"/>
    <w:rsid w:val="005C1CFF"/>
    <w:rsid w:val="005C1D3D"/>
    <w:rsid w:val="005C486B"/>
    <w:rsid w:val="005C4D79"/>
    <w:rsid w:val="005C5913"/>
    <w:rsid w:val="005D0D27"/>
    <w:rsid w:val="005D4C92"/>
    <w:rsid w:val="005D59FD"/>
    <w:rsid w:val="005E03E5"/>
    <w:rsid w:val="005E0F21"/>
    <w:rsid w:val="005E1D2D"/>
    <w:rsid w:val="005E2240"/>
    <w:rsid w:val="005E4FF8"/>
    <w:rsid w:val="005E55ED"/>
    <w:rsid w:val="005E58D2"/>
    <w:rsid w:val="005E6F9B"/>
    <w:rsid w:val="005E794A"/>
    <w:rsid w:val="005F0EE2"/>
    <w:rsid w:val="005F1CD6"/>
    <w:rsid w:val="005F1E96"/>
    <w:rsid w:val="005F22CE"/>
    <w:rsid w:val="005F23D3"/>
    <w:rsid w:val="005F696F"/>
    <w:rsid w:val="005F69E0"/>
    <w:rsid w:val="00600C18"/>
    <w:rsid w:val="00601759"/>
    <w:rsid w:val="006023CE"/>
    <w:rsid w:val="00603114"/>
    <w:rsid w:val="006039CB"/>
    <w:rsid w:val="0060461B"/>
    <w:rsid w:val="00605139"/>
    <w:rsid w:val="00605ED3"/>
    <w:rsid w:val="006073D6"/>
    <w:rsid w:val="0061089D"/>
    <w:rsid w:val="00611010"/>
    <w:rsid w:val="006136AC"/>
    <w:rsid w:val="006159C4"/>
    <w:rsid w:val="00616D37"/>
    <w:rsid w:val="00616D44"/>
    <w:rsid w:val="006200DF"/>
    <w:rsid w:val="00622AD2"/>
    <w:rsid w:val="0062397F"/>
    <w:rsid w:val="006246B9"/>
    <w:rsid w:val="00625506"/>
    <w:rsid w:val="0062676A"/>
    <w:rsid w:val="006304F9"/>
    <w:rsid w:val="006336AB"/>
    <w:rsid w:val="0063456B"/>
    <w:rsid w:val="00634A61"/>
    <w:rsid w:val="006363F8"/>
    <w:rsid w:val="00636779"/>
    <w:rsid w:val="00637D65"/>
    <w:rsid w:val="00641148"/>
    <w:rsid w:val="00641DE2"/>
    <w:rsid w:val="006425BD"/>
    <w:rsid w:val="00642B1E"/>
    <w:rsid w:val="00643019"/>
    <w:rsid w:val="006451F7"/>
    <w:rsid w:val="006473FE"/>
    <w:rsid w:val="006518D4"/>
    <w:rsid w:val="0065345B"/>
    <w:rsid w:val="00653504"/>
    <w:rsid w:val="00653819"/>
    <w:rsid w:val="00653FB1"/>
    <w:rsid w:val="00654FA9"/>
    <w:rsid w:val="00655FC1"/>
    <w:rsid w:val="0066325C"/>
    <w:rsid w:val="0066387D"/>
    <w:rsid w:val="0066397B"/>
    <w:rsid w:val="00666053"/>
    <w:rsid w:val="00666803"/>
    <w:rsid w:val="00670D6E"/>
    <w:rsid w:val="00671181"/>
    <w:rsid w:val="00671F4E"/>
    <w:rsid w:val="0067208E"/>
    <w:rsid w:val="00674F10"/>
    <w:rsid w:val="006757F1"/>
    <w:rsid w:val="00677E83"/>
    <w:rsid w:val="00680AF7"/>
    <w:rsid w:val="00680BDC"/>
    <w:rsid w:val="00681449"/>
    <w:rsid w:val="00684B78"/>
    <w:rsid w:val="00685145"/>
    <w:rsid w:val="00685CC8"/>
    <w:rsid w:val="00686DF3"/>
    <w:rsid w:val="0068702B"/>
    <w:rsid w:val="00687FD9"/>
    <w:rsid w:val="006928A8"/>
    <w:rsid w:val="00693FE0"/>
    <w:rsid w:val="006950E5"/>
    <w:rsid w:val="00695DCA"/>
    <w:rsid w:val="00696407"/>
    <w:rsid w:val="006976B9"/>
    <w:rsid w:val="006A05E5"/>
    <w:rsid w:val="006A1A6F"/>
    <w:rsid w:val="006A28B3"/>
    <w:rsid w:val="006A2E25"/>
    <w:rsid w:val="006A38E5"/>
    <w:rsid w:val="006A4595"/>
    <w:rsid w:val="006A558D"/>
    <w:rsid w:val="006A5905"/>
    <w:rsid w:val="006A7558"/>
    <w:rsid w:val="006B093B"/>
    <w:rsid w:val="006B23A7"/>
    <w:rsid w:val="006B258A"/>
    <w:rsid w:val="006B25ED"/>
    <w:rsid w:val="006B2E68"/>
    <w:rsid w:val="006B4282"/>
    <w:rsid w:val="006B4636"/>
    <w:rsid w:val="006B4C59"/>
    <w:rsid w:val="006B6DBA"/>
    <w:rsid w:val="006B72B0"/>
    <w:rsid w:val="006C0E1E"/>
    <w:rsid w:val="006C0F54"/>
    <w:rsid w:val="006C2916"/>
    <w:rsid w:val="006C2EB6"/>
    <w:rsid w:val="006C3906"/>
    <w:rsid w:val="006C5020"/>
    <w:rsid w:val="006C5366"/>
    <w:rsid w:val="006C7A91"/>
    <w:rsid w:val="006D0A4C"/>
    <w:rsid w:val="006D0A92"/>
    <w:rsid w:val="006D131D"/>
    <w:rsid w:val="006D245B"/>
    <w:rsid w:val="006D24EA"/>
    <w:rsid w:val="006D3247"/>
    <w:rsid w:val="006D428F"/>
    <w:rsid w:val="006D5263"/>
    <w:rsid w:val="006D5554"/>
    <w:rsid w:val="006D7C2B"/>
    <w:rsid w:val="006E075B"/>
    <w:rsid w:val="006E2001"/>
    <w:rsid w:val="006E204C"/>
    <w:rsid w:val="006E26E1"/>
    <w:rsid w:val="006E4D5A"/>
    <w:rsid w:val="006E53DC"/>
    <w:rsid w:val="006E55FD"/>
    <w:rsid w:val="006E6131"/>
    <w:rsid w:val="006E6626"/>
    <w:rsid w:val="006E6D29"/>
    <w:rsid w:val="006E7DB5"/>
    <w:rsid w:val="006F0162"/>
    <w:rsid w:val="006F0F41"/>
    <w:rsid w:val="006F1280"/>
    <w:rsid w:val="006F402F"/>
    <w:rsid w:val="006F5679"/>
    <w:rsid w:val="006F64B8"/>
    <w:rsid w:val="00700730"/>
    <w:rsid w:val="007012E6"/>
    <w:rsid w:val="00701DA4"/>
    <w:rsid w:val="00703F95"/>
    <w:rsid w:val="00706A02"/>
    <w:rsid w:val="00706CD3"/>
    <w:rsid w:val="00706F0E"/>
    <w:rsid w:val="0070797E"/>
    <w:rsid w:val="00707D97"/>
    <w:rsid w:val="007113CD"/>
    <w:rsid w:val="00712681"/>
    <w:rsid w:val="00713E8A"/>
    <w:rsid w:val="00715CDA"/>
    <w:rsid w:val="00716EA3"/>
    <w:rsid w:val="007178F4"/>
    <w:rsid w:val="00720AAB"/>
    <w:rsid w:val="00721130"/>
    <w:rsid w:val="00721278"/>
    <w:rsid w:val="00721BB8"/>
    <w:rsid w:val="00721F51"/>
    <w:rsid w:val="00722455"/>
    <w:rsid w:val="00724D3F"/>
    <w:rsid w:val="0072571A"/>
    <w:rsid w:val="00726343"/>
    <w:rsid w:val="0072645F"/>
    <w:rsid w:val="00726AD0"/>
    <w:rsid w:val="007302D9"/>
    <w:rsid w:val="00732CB0"/>
    <w:rsid w:val="0073382E"/>
    <w:rsid w:val="00734044"/>
    <w:rsid w:val="007350CC"/>
    <w:rsid w:val="0073657D"/>
    <w:rsid w:val="007366C4"/>
    <w:rsid w:val="007372AC"/>
    <w:rsid w:val="00740053"/>
    <w:rsid w:val="007428A3"/>
    <w:rsid w:val="007432F3"/>
    <w:rsid w:val="00745060"/>
    <w:rsid w:val="00745326"/>
    <w:rsid w:val="007458D6"/>
    <w:rsid w:val="0074594C"/>
    <w:rsid w:val="00745F5A"/>
    <w:rsid w:val="00746369"/>
    <w:rsid w:val="00746EC7"/>
    <w:rsid w:val="0075227B"/>
    <w:rsid w:val="007538B5"/>
    <w:rsid w:val="00753BAC"/>
    <w:rsid w:val="007560EC"/>
    <w:rsid w:val="0075776E"/>
    <w:rsid w:val="00761E97"/>
    <w:rsid w:val="00765302"/>
    <w:rsid w:val="007662AA"/>
    <w:rsid w:val="0076696A"/>
    <w:rsid w:val="0076698F"/>
    <w:rsid w:val="007670C3"/>
    <w:rsid w:val="00770839"/>
    <w:rsid w:val="0077087D"/>
    <w:rsid w:val="00771E95"/>
    <w:rsid w:val="0077257C"/>
    <w:rsid w:val="00772FC3"/>
    <w:rsid w:val="007739CF"/>
    <w:rsid w:val="007755EF"/>
    <w:rsid w:val="00775A1C"/>
    <w:rsid w:val="007766F9"/>
    <w:rsid w:val="007775AE"/>
    <w:rsid w:val="00783A54"/>
    <w:rsid w:val="00783F7B"/>
    <w:rsid w:val="00784193"/>
    <w:rsid w:val="00784399"/>
    <w:rsid w:val="007844CF"/>
    <w:rsid w:val="007870E4"/>
    <w:rsid w:val="00787E73"/>
    <w:rsid w:val="00790CD2"/>
    <w:rsid w:val="0079142A"/>
    <w:rsid w:val="00791EC9"/>
    <w:rsid w:val="00792751"/>
    <w:rsid w:val="00792F43"/>
    <w:rsid w:val="00793570"/>
    <w:rsid w:val="007939DD"/>
    <w:rsid w:val="00793CF8"/>
    <w:rsid w:val="00794499"/>
    <w:rsid w:val="00794EEF"/>
    <w:rsid w:val="007A02DA"/>
    <w:rsid w:val="007A1982"/>
    <w:rsid w:val="007A21BC"/>
    <w:rsid w:val="007A22B9"/>
    <w:rsid w:val="007A3372"/>
    <w:rsid w:val="007A3AFC"/>
    <w:rsid w:val="007A4C52"/>
    <w:rsid w:val="007A613C"/>
    <w:rsid w:val="007B0BD7"/>
    <w:rsid w:val="007B1671"/>
    <w:rsid w:val="007B1C11"/>
    <w:rsid w:val="007B1DE8"/>
    <w:rsid w:val="007B57F0"/>
    <w:rsid w:val="007B58D5"/>
    <w:rsid w:val="007B5D3A"/>
    <w:rsid w:val="007B5E46"/>
    <w:rsid w:val="007B7702"/>
    <w:rsid w:val="007C0AA9"/>
    <w:rsid w:val="007C10C9"/>
    <w:rsid w:val="007C10DA"/>
    <w:rsid w:val="007C1146"/>
    <w:rsid w:val="007C1BC8"/>
    <w:rsid w:val="007C2B91"/>
    <w:rsid w:val="007C436E"/>
    <w:rsid w:val="007C53E0"/>
    <w:rsid w:val="007C57EE"/>
    <w:rsid w:val="007C5930"/>
    <w:rsid w:val="007C68F3"/>
    <w:rsid w:val="007C7CF8"/>
    <w:rsid w:val="007D01C3"/>
    <w:rsid w:val="007D0C83"/>
    <w:rsid w:val="007D19C8"/>
    <w:rsid w:val="007D209F"/>
    <w:rsid w:val="007D2DA8"/>
    <w:rsid w:val="007D3932"/>
    <w:rsid w:val="007D3981"/>
    <w:rsid w:val="007D443D"/>
    <w:rsid w:val="007D44FF"/>
    <w:rsid w:val="007D495D"/>
    <w:rsid w:val="007D4B03"/>
    <w:rsid w:val="007D5CD9"/>
    <w:rsid w:val="007D5FFF"/>
    <w:rsid w:val="007D62F5"/>
    <w:rsid w:val="007D6846"/>
    <w:rsid w:val="007E0187"/>
    <w:rsid w:val="007E0C13"/>
    <w:rsid w:val="007E10B5"/>
    <w:rsid w:val="007E11AC"/>
    <w:rsid w:val="007E4879"/>
    <w:rsid w:val="007E63A5"/>
    <w:rsid w:val="007E789A"/>
    <w:rsid w:val="007F09F8"/>
    <w:rsid w:val="007F0B6A"/>
    <w:rsid w:val="007F0BBB"/>
    <w:rsid w:val="007F28D8"/>
    <w:rsid w:val="007F6929"/>
    <w:rsid w:val="007F6A67"/>
    <w:rsid w:val="007F78BC"/>
    <w:rsid w:val="007F78C3"/>
    <w:rsid w:val="00801713"/>
    <w:rsid w:val="0080228C"/>
    <w:rsid w:val="008026EE"/>
    <w:rsid w:val="0080327A"/>
    <w:rsid w:val="00803AC4"/>
    <w:rsid w:val="008055A8"/>
    <w:rsid w:val="0080646F"/>
    <w:rsid w:val="00813428"/>
    <w:rsid w:val="00813C84"/>
    <w:rsid w:val="008141BA"/>
    <w:rsid w:val="008141CF"/>
    <w:rsid w:val="008153C4"/>
    <w:rsid w:val="008159EE"/>
    <w:rsid w:val="0081603B"/>
    <w:rsid w:val="0081708B"/>
    <w:rsid w:val="008201C5"/>
    <w:rsid w:val="0082206E"/>
    <w:rsid w:val="008226D7"/>
    <w:rsid w:val="00823666"/>
    <w:rsid w:val="00823834"/>
    <w:rsid w:val="008303DA"/>
    <w:rsid w:val="00830C49"/>
    <w:rsid w:val="0083235F"/>
    <w:rsid w:val="00833FDF"/>
    <w:rsid w:val="00835838"/>
    <w:rsid w:val="008367E0"/>
    <w:rsid w:val="00837800"/>
    <w:rsid w:val="00842BEF"/>
    <w:rsid w:val="0084589D"/>
    <w:rsid w:val="00846027"/>
    <w:rsid w:val="00846537"/>
    <w:rsid w:val="00850541"/>
    <w:rsid w:val="00850CC2"/>
    <w:rsid w:val="00850FCF"/>
    <w:rsid w:val="0085124E"/>
    <w:rsid w:val="00852D27"/>
    <w:rsid w:val="00854A4B"/>
    <w:rsid w:val="008600FA"/>
    <w:rsid w:val="00861D00"/>
    <w:rsid w:val="008672B5"/>
    <w:rsid w:val="0086746D"/>
    <w:rsid w:val="00867842"/>
    <w:rsid w:val="008678BF"/>
    <w:rsid w:val="00867FA4"/>
    <w:rsid w:val="008728D1"/>
    <w:rsid w:val="00873379"/>
    <w:rsid w:val="008737B3"/>
    <w:rsid w:val="00875B65"/>
    <w:rsid w:val="00876E4D"/>
    <w:rsid w:val="00880130"/>
    <w:rsid w:val="00880212"/>
    <w:rsid w:val="00880CE1"/>
    <w:rsid w:val="00880EE8"/>
    <w:rsid w:val="00881334"/>
    <w:rsid w:val="00881C0F"/>
    <w:rsid w:val="0088293E"/>
    <w:rsid w:val="00883420"/>
    <w:rsid w:val="00884094"/>
    <w:rsid w:val="00884AE3"/>
    <w:rsid w:val="008855D0"/>
    <w:rsid w:val="00885C32"/>
    <w:rsid w:val="00886125"/>
    <w:rsid w:val="00886194"/>
    <w:rsid w:val="00886FA3"/>
    <w:rsid w:val="0088701C"/>
    <w:rsid w:val="00887325"/>
    <w:rsid w:val="0088736E"/>
    <w:rsid w:val="0088774C"/>
    <w:rsid w:val="008879FC"/>
    <w:rsid w:val="008919E5"/>
    <w:rsid w:val="008924AA"/>
    <w:rsid w:val="0089321C"/>
    <w:rsid w:val="00893BD7"/>
    <w:rsid w:val="00894191"/>
    <w:rsid w:val="00895646"/>
    <w:rsid w:val="00895B5E"/>
    <w:rsid w:val="0089771A"/>
    <w:rsid w:val="008A0622"/>
    <w:rsid w:val="008A0BD7"/>
    <w:rsid w:val="008A0C30"/>
    <w:rsid w:val="008A185E"/>
    <w:rsid w:val="008A3DE8"/>
    <w:rsid w:val="008A3FAA"/>
    <w:rsid w:val="008A585A"/>
    <w:rsid w:val="008A65AF"/>
    <w:rsid w:val="008B08B5"/>
    <w:rsid w:val="008B091C"/>
    <w:rsid w:val="008B1BE7"/>
    <w:rsid w:val="008B3473"/>
    <w:rsid w:val="008B36D5"/>
    <w:rsid w:val="008B70C8"/>
    <w:rsid w:val="008C0C4A"/>
    <w:rsid w:val="008C1600"/>
    <w:rsid w:val="008C3579"/>
    <w:rsid w:val="008C50ED"/>
    <w:rsid w:val="008C5542"/>
    <w:rsid w:val="008C5AEC"/>
    <w:rsid w:val="008C68FB"/>
    <w:rsid w:val="008C6DE7"/>
    <w:rsid w:val="008C74E8"/>
    <w:rsid w:val="008D2E3B"/>
    <w:rsid w:val="008D3204"/>
    <w:rsid w:val="008D3461"/>
    <w:rsid w:val="008D3E3C"/>
    <w:rsid w:val="008D42BE"/>
    <w:rsid w:val="008D5863"/>
    <w:rsid w:val="008D5E3A"/>
    <w:rsid w:val="008D65BE"/>
    <w:rsid w:val="008D6FC9"/>
    <w:rsid w:val="008D7BA4"/>
    <w:rsid w:val="008E0292"/>
    <w:rsid w:val="008E11DB"/>
    <w:rsid w:val="008F251E"/>
    <w:rsid w:val="008F5525"/>
    <w:rsid w:val="00900A3A"/>
    <w:rsid w:val="009015F3"/>
    <w:rsid w:val="0090366A"/>
    <w:rsid w:val="00903AF8"/>
    <w:rsid w:val="0090400D"/>
    <w:rsid w:val="00904D2E"/>
    <w:rsid w:val="009055ED"/>
    <w:rsid w:val="00905A15"/>
    <w:rsid w:val="00913245"/>
    <w:rsid w:val="009142D0"/>
    <w:rsid w:val="0091468A"/>
    <w:rsid w:val="00914956"/>
    <w:rsid w:val="00914C05"/>
    <w:rsid w:val="00915F74"/>
    <w:rsid w:val="00917024"/>
    <w:rsid w:val="00917DBF"/>
    <w:rsid w:val="00921EA2"/>
    <w:rsid w:val="00922444"/>
    <w:rsid w:val="009239F1"/>
    <w:rsid w:val="009264D9"/>
    <w:rsid w:val="0092706C"/>
    <w:rsid w:val="00930D8F"/>
    <w:rsid w:val="00931251"/>
    <w:rsid w:val="009312FD"/>
    <w:rsid w:val="00931B49"/>
    <w:rsid w:val="00931C06"/>
    <w:rsid w:val="00931CCD"/>
    <w:rsid w:val="00933062"/>
    <w:rsid w:val="0093345D"/>
    <w:rsid w:val="00933F55"/>
    <w:rsid w:val="00935319"/>
    <w:rsid w:val="009353F2"/>
    <w:rsid w:val="00936C56"/>
    <w:rsid w:val="00936DD0"/>
    <w:rsid w:val="00937D13"/>
    <w:rsid w:val="0094077C"/>
    <w:rsid w:val="00945563"/>
    <w:rsid w:val="009500AF"/>
    <w:rsid w:val="00950A04"/>
    <w:rsid w:val="00951A62"/>
    <w:rsid w:val="00951E39"/>
    <w:rsid w:val="0095200C"/>
    <w:rsid w:val="009531F0"/>
    <w:rsid w:val="0095546F"/>
    <w:rsid w:val="00957614"/>
    <w:rsid w:val="00961428"/>
    <w:rsid w:val="00961511"/>
    <w:rsid w:val="00962603"/>
    <w:rsid w:val="00966BC8"/>
    <w:rsid w:val="00966DB3"/>
    <w:rsid w:val="00970D15"/>
    <w:rsid w:val="00970E7C"/>
    <w:rsid w:val="00972FDF"/>
    <w:rsid w:val="009760C7"/>
    <w:rsid w:val="00981BF9"/>
    <w:rsid w:val="00982997"/>
    <w:rsid w:val="00983A77"/>
    <w:rsid w:val="00983FA3"/>
    <w:rsid w:val="0098587B"/>
    <w:rsid w:val="00985A8A"/>
    <w:rsid w:val="00986DA4"/>
    <w:rsid w:val="00987709"/>
    <w:rsid w:val="00987BFB"/>
    <w:rsid w:val="00987F27"/>
    <w:rsid w:val="0099287E"/>
    <w:rsid w:val="00993598"/>
    <w:rsid w:val="0099605E"/>
    <w:rsid w:val="009974F5"/>
    <w:rsid w:val="009978D8"/>
    <w:rsid w:val="00997C1D"/>
    <w:rsid w:val="00997F57"/>
    <w:rsid w:val="009A1176"/>
    <w:rsid w:val="009A24C9"/>
    <w:rsid w:val="009A3E30"/>
    <w:rsid w:val="009A5070"/>
    <w:rsid w:val="009A58DB"/>
    <w:rsid w:val="009B0034"/>
    <w:rsid w:val="009B0F85"/>
    <w:rsid w:val="009B1CE2"/>
    <w:rsid w:val="009B25D1"/>
    <w:rsid w:val="009B25FA"/>
    <w:rsid w:val="009B37F1"/>
    <w:rsid w:val="009B5AFA"/>
    <w:rsid w:val="009B621D"/>
    <w:rsid w:val="009C0903"/>
    <w:rsid w:val="009C3A1A"/>
    <w:rsid w:val="009C522B"/>
    <w:rsid w:val="009C58F2"/>
    <w:rsid w:val="009C730A"/>
    <w:rsid w:val="009C7A5A"/>
    <w:rsid w:val="009C7AC3"/>
    <w:rsid w:val="009C7C8D"/>
    <w:rsid w:val="009D0561"/>
    <w:rsid w:val="009D17D7"/>
    <w:rsid w:val="009D17DE"/>
    <w:rsid w:val="009D1DD8"/>
    <w:rsid w:val="009D38DA"/>
    <w:rsid w:val="009D761C"/>
    <w:rsid w:val="009E0243"/>
    <w:rsid w:val="009E1387"/>
    <w:rsid w:val="009E4CCE"/>
    <w:rsid w:val="009E57E6"/>
    <w:rsid w:val="009E5A3E"/>
    <w:rsid w:val="009E5BAB"/>
    <w:rsid w:val="009E74B5"/>
    <w:rsid w:val="009F0EFA"/>
    <w:rsid w:val="009F0F5E"/>
    <w:rsid w:val="009F172C"/>
    <w:rsid w:val="009F46CD"/>
    <w:rsid w:val="009F4AF7"/>
    <w:rsid w:val="009F54A6"/>
    <w:rsid w:val="009F5B1F"/>
    <w:rsid w:val="009F5B9C"/>
    <w:rsid w:val="009F6C5C"/>
    <w:rsid w:val="00A00249"/>
    <w:rsid w:val="00A00379"/>
    <w:rsid w:val="00A00863"/>
    <w:rsid w:val="00A01084"/>
    <w:rsid w:val="00A010AE"/>
    <w:rsid w:val="00A027E9"/>
    <w:rsid w:val="00A05336"/>
    <w:rsid w:val="00A05F32"/>
    <w:rsid w:val="00A05F50"/>
    <w:rsid w:val="00A060B9"/>
    <w:rsid w:val="00A068FB"/>
    <w:rsid w:val="00A06C3D"/>
    <w:rsid w:val="00A10DCF"/>
    <w:rsid w:val="00A11540"/>
    <w:rsid w:val="00A11A5C"/>
    <w:rsid w:val="00A122B9"/>
    <w:rsid w:val="00A142A3"/>
    <w:rsid w:val="00A16FA3"/>
    <w:rsid w:val="00A213DF"/>
    <w:rsid w:val="00A22571"/>
    <w:rsid w:val="00A22BE8"/>
    <w:rsid w:val="00A24077"/>
    <w:rsid w:val="00A24507"/>
    <w:rsid w:val="00A24A19"/>
    <w:rsid w:val="00A303F0"/>
    <w:rsid w:val="00A305FF"/>
    <w:rsid w:val="00A318C7"/>
    <w:rsid w:val="00A354EC"/>
    <w:rsid w:val="00A35B21"/>
    <w:rsid w:val="00A36558"/>
    <w:rsid w:val="00A368B3"/>
    <w:rsid w:val="00A36919"/>
    <w:rsid w:val="00A36FC9"/>
    <w:rsid w:val="00A41B35"/>
    <w:rsid w:val="00A42556"/>
    <w:rsid w:val="00A438EC"/>
    <w:rsid w:val="00A43A9D"/>
    <w:rsid w:val="00A45EB0"/>
    <w:rsid w:val="00A477C4"/>
    <w:rsid w:val="00A47C7F"/>
    <w:rsid w:val="00A512D5"/>
    <w:rsid w:val="00A51390"/>
    <w:rsid w:val="00A51655"/>
    <w:rsid w:val="00A52987"/>
    <w:rsid w:val="00A53A5D"/>
    <w:rsid w:val="00A57454"/>
    <w:rsid w:val="00A574EE"/>
    <w:rsid w:val="00A57EDD"/>
    <w:rsid w:val="00A60130"/>
    <w:rsid w:val="00A60181"/>
    <w:rsid w:val="00A60C76"/>
    <w:rsid w:val="00A61D16"/>
    <w:rsid w:val="00A62D91"/>
    <w:rsid w:val="00A63314"/>
    <w:rsid w:val="00A636EB"/>
    <w:rsid w:val="00A640BE"/>
    <w:rsid w:val="00A64C2A"/>
    <w:rsid w:val="00A66051"/>
    <w:rsid w:val="00A6763F"/>
    <w:rsid w:val="00A700A2"/>
    <w:rsid w:val="00A7126F"/>
    <w:rsid w:val="00A71ED4"/>
    <w:rsid w:val="00A72D8E"/>
    <w:rsid w:val="00A73A2C"/>
    <w:rsid w:val="00A7472A"/>
    <w:rsid w:val="00A81894"/>
    <w:rsid w:val="00A81DB0"/>
    <w:rsid w:val="00A826F0"/>
    <w:rsid w:val="00A83393"/>
    <w:rsid w:val="00A834AF"/>
    <w:rsid w:val="00A839CF"/>
    <w:rsid w:val="00A83C49"/>
    <w:rsid w:val="00A84B44"/>
    <w:rsid w:val="00A84B9D"/>
    <w:rsid w:val="00A85DDD"/>
    <w:rsid w:val="00A8649A"/>
    <w:rsid w:val="00A8774A"/>
    <w:rsid w:val="00A87B87"/>
    <w:rsid w:val="00A90EB0"/>
    <w:rsid w:val="00A917EF"/>
    <w:rsid w:val="00A9392D"/>
    <w:rsid w:val="00A952E6"/>
    <w:rsid w:val="00A96B8C"/>
    <w:rsid w:val="00A97211"/>
    <w:rsid w:val="00A973CA"/>
    <w:rsid w:val="00AA0386"/>
    <w:rsid w:val="00AA30B2"/>
    <w:rsid w:val="00AA4597"/>
    <w:rsid w:val="00AA4C60"/>
    <w:rsid w:val="00AA5812"/>
    <w:rsid w:val="00AA7D75"/>
    <w:rsid w:val="00AB0464"/>
    <w:rsid w:val="00AB1576"/>
    <w:rsid w:val="00AB277C"/>
    <w:rsid w:val="00AB3795"/>
    <w:rsid w:val="00AB5450"/>
    <w:rsid w:val="00AB6C59"/>
    <w:rsid w:val="00AB7D73"/>
    <w:rsid w:val="00AC07CA"/>
    <w:rsid w:val="00AC4FE1"/>
    <w:rsid w:val="00AC7036"/>
    <w:rsid w:val="00AD0DBA"/>
    <w:rsid w:val="00AD17AD"/>
    <w:rsid w:val="00AD24FC"/>
    <w:rsid w:val="00AD3FB2"/>
    <w:rsid w:val="00AD4D00"/>
    <w:rsid w:val="00AD5B65"/>
    <w:rsid w:val="00AD61EC"/>
    <w:rsid w:val="00AD6339"/>
    <w:rsid w:val="00AE197D"/>
    <w:rsid w:val="00AE28B3"/>
    <w:rsid w:val="00AE2996"/>
    <w:rsid w:val="00AE445C"/>
    <w:rsid w:val="00AE6B54"/>
    <w:rsid w:val="00AF224D"/>
    <w:rsid w:val="00AF551E"/>
    <w:rsid w:val="00AF5C2F"/>
    <w:rsid w:val="00AF6E14"/>
    <w:rsid w:val="00AF6EFE"/>
    <w:rsid w:val="00B00D20"/>
    <w:rsid w:val="00B014F2"/>
    <w:rsid w:val="00B02451"/>
    <w:rsid w:val="00B0526D"/>
    <w:rsid w:val="00B0736E"/>
    <w:rsid w:val="00B07451"/>
    <w:rsid w:val="00B0763C"/>
    <w:rsid w:val="00B10C2D"/>
    <w:rsid w:val="00B11859"/>
    <w:rsid w:val="00B11E39"/>
    <w:rsid w:val="00B1455A"/>
    <w:rsid w:val="00B14B50"/>
    <w:rsid w:val="00B16157"/>
    <w:rsid w:val="00B16B80"/>
    <w:rsid w:val="00B16FE1"/>
    <w:rsid w:val="00B2093F"/>
    <w:rsid w:val="00B20DEB"/>
    <w:rsid w:val="00B21442"/>
    <w:rsid w:val="00B228E7"/>
    <w:rsid w:val="00B235E0"/>
    <w:rsid w:val="00B23F78"/>
    <w:rsid w:val="00B24136"/>
    <w:rsid w:val="00B25C14"/>
    <w:rsid w:val="00B307A8"/>
    <w:rsid w:val="00B31654"/>
    <w:rsid w:val="00B317B9"/>
    <w:rsid w:val="00B35E12"/>
    <w:rsid w:val="00B3762C"/>
    <w:rsid w:val="00B40379"/>
    <w:rsid w:val="00B40408"/>
    <w:rsid w:val="00B408A8"/>
    <w:rsid w:val="00B4241C"/>
    <w:rsid w:val="00B42D55"/>
    <w:rsid w:val="00B43DCF"/>
    <w:rsid w:val="00B44268"/>
    <w:rsid w:val="00B449D8"/>
    <w:rsid w:val="00B44A74"/>
    <w:rsid w:val="00B47A40"/>
    <w:rsid w:val="00B47BB6"/>
    <w:rsid w:val="00B50E04"/>
    <w:rsid w:val="00B521DC"/>
    <w:rsid w:val="00B528E6"/>
    <w:rsid w:val="00B53CEA"/>
    <w:rsid w:val="00B553B8"/>
    <w:rsid w:val="00B5542E"/>
    <w:rsid w:val="00B55EA7"/>
    <w:rsid w:val="00B563D0"/>
    <w:rsid w:val="00B56B14"/>
    <w:rsid w:val="00B61A1B"/>
    <w:rsid w:val="00B64B46"/>
    <w:rsid w:val="00B65317"/>
    <w:rsid w:val="00B668B6"/>
    <w:rsid w:val="00B66A3C"/>
    <w:rsid w:val="00B67C1D"/>
    <w:rsid w:val="00B703DD"/>
    <w:rsid w:val="00B70DE6"/>
    <w:rsid w:val="00B71608"/>
    <w:rsid w:val="00B73069"/>
    <w:rsid w:val="00B731A6"/>
    <w:rsid w:val="00B74213"/>
    <w:rsid w:val="00B744E1"/>
    <w:rsid w:val="00B74AEB"/>
    <w:rsid w:val="00B75822"/>
    <w:rsid w:val="00B76056"/>
    <w:rsid w:val="00B80B77"/>
    <w:rsid w:val="00B81116"/>
    <w:rsid w:val="00B81582"/>
    <w:rsid w:val="00B82A72"/>
    <w:rsid w:val="00B841C7"/>
    <w:rsid w:val="00B8493A"/>
    <w:rsid w:val="00B858DE"/>
    <w:rsid w:val="00B864EF"/>
    <w:rsid w:val="00B9125A"/>
    <w:rsid w:val="00B91544"/>
    <w:rsid w:val="00B944D9"/>
    <w:rsid w:val="00B94C66"/>
    <w:rsid w:val="00B95704"/>
    <w:rsid w:val="00B95CCA"/>
    <w:rsid w:val="00B96341"/>
    <w:rsid w:val="00B96D76"/>
    <w:rsid w:val="00B97653"/>
    <w:rsid w:val="00BA0BB7"/>
    <w:rsid w:val="00BA0CD3"/>
    <w:rsid w:val="00BA15EC"/>
    <w:rsid w:val="00BA1874"/>
    <w:rsid w:val="00BA2CCC"/>
    <w:rsid w:val="00BA2E55"/>
    <w:rsid w:val="00BA3080"/>
    <w:rsid w:val="00BA4C77"/>
    <w:rsid w:val="00BA6AA2"/>
    <w:rsid w:val="00BB072D"/>
    <w:rsid w:val="00BB17B0"/>
    <w:rsid w:val="00BB1BD4"/>
    <w:rsid w:val="00BB45C0"/>
    <w:rsid w:val="00BB675A"/>
    <w:rsid w:val="00BC018F"/>
    <w:rsid w:val="00BC1DB0"/>
    <w:rsid w:val="00BC32C7"/>
    <w:rsid w:val="00BC39B3"/>
    <w:rsid w:val="00BC3A93"/>
    <w:rsid w:val="00BC543A"/>
    <w:rsid w:val="00BD0814"/>
    <w:rsid w:val="00BD10F5"/>
    <w:rsid w:val="00BD31AB"/>
    <w:rsid w:val="00BD5613"/>
    <w:rsid w:val="00BD58DB"/>
    <w:rsid w:val="00BD6E8E"/>
    <w:rsid w:val="00BD6F40"/>
    <w:rsid w:val="00BE0320"/>
    <w:rsid w:val="00BE07CB"/>
    <w:rsid w:val="00BE1E3B"/>
    <w:rsid w:val="00BE3E99"/>
    <w:rsid w:val="00BE4255"/>
    <w:rsid w:val="00BE464B"/>
    <w:rsid w:val="00BE4FD9"/>
    <w:rsid w:val="00BE53F5"/>
    <w:rsid w:val="00BE5948"/>
    <w:rsid w:val="00BF04B8"/>
    <w:rsid w:val="00BF3270"/>
    <w:rsid w:val="00BF45E8"/>
    <w:rsid w:val="00BF61D5"/>
    <w:rsid w:val="00BF660B"/>
    <w:rsid w:val="00C00417"/>
    <w:rsid w:val="00C0197E"/>
    <w:rsid w:val="00C02863"/>
    <w:rsid w:val="00C03A3D"/>
    <w:rsid w:val="00C070C3"/>
    <w:rsid w:val="00C07185"/>
    <w:rsid w:val="00C10183"/>
    <w:rsid w:val="00C10E74"/>
    <w:rsid w:val="00C112D9"/>
    <w:rsid w:val="00C12020"/>
    <w:rsid w:val="00C12891"/>
    <w:rsid w:val="00C13A3C"/>
    <w:rsid w:val="00C141A1"/>
    <w:rsid w:val="00C170C8"/>
    <w:rsid w:val="00C17172"/>
    <w:rsid w:val="00C17272"/>
    <w:rsid w:val="00C176C8"/>
    <w:rsid w:val="00C20554"/>
    <w:rsid w:val="00C219E3"/>
    <w:rsid w:val="00C224B0"/>
    <w:rsid w:val="00C22570"/>
    <w:rsid w:val="00C225F0"/>
    <w:rsid w:val="00C233FF"/>
    <w:rsid w:val="00C240A5"/>
    <w:rsid w:val="00C24C88"/>
    <w:rsid w:val="00C305B3"/>
    <w:rsid w:val="00C30CAE"/>
    <w:rsid w:val="00C3169D"/>
    <w:rsid w:val="00C31D79"/>
    <w:rsid w:val="00C31E99"/>
    <w:rsid w:val="00C33510"/>
    <w:rsid w:val="00C3362E"/>
    <w:rsid w:val="00C348E1"/>
    <w:rsid w:val="00C34DE3"/>
    <w:rsid w:val="00C36C23"/>
    <w:rsid w:val="00C3727F"/>
    <w:rsid w:val="00C40549"/>
    <w:rsid w:val="00C42F10"/>
    <w:rsid w:val="00C43E89"/>
    <w:rsid w:val="00C45280"/>
    <w:rsid w:val="00C454E2"/>
    <w:rsid w:val="00C46096"/>
    <w:rsid w:val="00C460E0"/>
    <w:rsid w:val="00C50F21"/>
    <w:rsid w:val="00C5158F"/>
    <w:rsid w:val="00C529D0"/>
    <w:rsid w:val="00C5406F"/>
    <w:rsid w:val="00C549EB"/>
    <w:rsid w:val="00C56878"/>
    <w:rsid w:val="00C568D3"/>
    <w:rsid w:val="00C600CA"/>
    <w:rsid w:val="00C60B33"/>
    <w:rsid w:val="00C615C1"/>
    <w:rsid w:val="00C6167D"/>
    <w:rsid w:val="00C6254E"/>
    <w:rsid w:val="00C63A7B"/>
    <w:rsid w:val="00C64E9D"/>
    <w:rsid w:val="00C650C8"/>
    <w:rsid w:val="00C65A68"/>
    <w:rsid w:val="00C703AD"/>
    <w:rsid w:val="00C70759"/>
    <w:rsid w:val="00C71D7A"/>
    <w:rsid w:val="00C71EC0"/>
    <w:rsid w:val="00C721CD"/>
    <w:rsid w:val="00C7322C"/>
    <w:rsid w:val="00C74446"/>
    <w:rsid w:val="00C76683"/>
    <w:rsid w:val="00C80A1E"/>
    <w:rsid w:val="00C81978"/>
    <w:rsid w:val="00C82868"/>
    <w:rsid w:val="00C850ED"/>
    <w:rsid w:val="00C85F8C"/>
    <w:rsid w:val="00C86304"/>
    <w:rsid w:val="00C879CB"/>
    <w:rsid w:val="00C90B17"/>
    <w:rsid w:val="00C92A00"/>
    <w:rsid w:val="00C931AC"/>
    <w:rsid w:val="00C9334B"/>
    <w:rsid w:val="00C93656"/>
    <w:rsid w:val="00C9610E"/>
    <w:rsid w:val="00C9688D"/>
    <w:rsid w:val="00CA2CDE"/>
    <w:rsid w:val="00CA31CA"/>
    <w:rsid w:val="00CA3ED6"/>
    <w:rsid w:val="00CA59BE"/>
    <w:rsid w:val="00CB0F84"/>
    <w:rsid w:val="00CB3EA2"/>
    <w:rsid w:val="00CB4FD3"/>
    <w:rsid w:val="00CB77A0"/>
    <w:rsid w:val="00CC0F68"/>
    <w:rsid w:val="00CC1FE7"/>
    <w:rsid w:val="00CC4607"/>
    <w:rsid w:val="00CC5881"/>
    <w:rsid w:val="00CC5945"/>
    <w:rsid w:val="00CC5C71"/>
    <w:rsid w:val="00CC5CF9"/>
    <w:rsid w:val="00CC62EB"/>
    <w:rsid w:val="00CC73AB"/>
    <w:rsid w:val="00CD00FF"/>
    <w:rsid w:val="00CD0A30"/>
    <w:rsid w:val="00CD0EA6"/>
    <w:rsid w:val="00CD3C6A"/>
    <w:rsid w:val="00CD4723"/>
    <w:rsid w:val="00CD5C08"/>
    <w:rsid w:val="00CD6A0D"/>
    <w:rsid w:val="00CE1291"/>
    <w:rsid w:val="00CE170F"/>
    <w:rsid w:val="00CE1745"/>
    <w:rsid w:val="00CE2205"/>
    <w:rsid w:val="00CE2302"/>
    <w:rsid w:val="00CE3E1F"/>
    <w:rsid w:val="00CE5614"/>
    <w:rsid w:val="00CE5FDF"/>
    <w:rsid w:val="00CE60C9"/>
    <w:rsid w:val="00CE6297"/>
    <w:rsid w:val="00CF435B"/>
    <w:rsid w:val="00CF4DD1"/>
    <w:rsid w:val="00CF5C1E"/>
    <w:rsid w:val="00CF7B02"/>
    <w:rsid w:val="00D006F2"/>
    <w:rsid w:val="00D01B36"/>
    <w:rsid w:val="00D02B98"/>
    <w:rsid w:val="00D0323F"/>
    <w:rsid w:val="00D03BA6"/>
    <w:rsid w:val="00D062D3"/>
    <w:rsid w:val="00D06528"/>
    <w:rsid w:val="00D105D7"/>
    <w:rsid w:val="00D10882"/>
    <w:rsid w:val="00D10F33"/>
    <w:rsid w:val="00D10FD7"/>
    <w:rsid w:val="00D11C21"/>
    <w:rsid w:val="00D12970"/>
    <w:rsid w:val="00D14E0C"/>
    <w:rsid w:val="00D153A5"/>
    <w:rsid w:val="00D15432"/>
    <w:rsid w:val="00D15786"/>
    <w:rsid w:val="00D1578F"/>
    <w:rsid w:val="00D15AB5"/>
    <w:rsid w:val="00D16007"/>
    <w:rsid w:val="00D1622D"/>
    <w:rsid w:val="00D162DD"/>
    <w:rsid w:val="00D16E89"/>
    <w:rsid w:val="00D21F88"/>
    <w:rsid w:val="00D222EF"/>
    <w:rsid w:val="00D22618"/>
    <w:rsid w:val="00D2333A"/>
    <w:rsid w:val="00D2454D"/>
    <w:rsid w:val="00D24964"/>
    <w:rsid w:val="00D24B06"/>
    <w:rsid w:val="00D265EA"/>
    <w:rsid w:val="00D26B06"/>
    <w:rsid w:val="00D2707C"/>
    <w:rsid w:val="00D2759A"/>
    <w:rsid w:val="00D325D9"/>
    <w:rsid w:val="00D3283C"/>
    <w:rsid w:val="00D33630"/>
    <w:rsid w:val="00D3679F"/>
    <w:rsid w:val="00D372CA"/>
    <w:rsid w:val="00D3763E"/>
    <w:rsid w:val="00D41D12"/>
    <w:rsid w:val="00D42D2D"/>
    <w:rsid w:val="00D4368C"/>
    <w:rsid w:val="00D45BF5"/>
    <w:rsid w:val="00D46178"/>
    <w:rsid w:val="00D46342"/>
    <w:rsid w:val="00D4677F"/>
    <w:rsid w:val="00D5064A"/>
    <w:rsid w:val="00D50BE7"/>
    <w:rsid w:val="00D50D2D"/>
    <w:rsid w:val="00D51CE6"/>
    <w:rsid w:val="00D5204F"/>
    <w:rsid w:val="00D53C5C"/>
    <w:rsid w:val="00D55038"/>
    <w:rsid w:val="00D56B13"/>
    <w:rsid w:val="00D57F21"/>
    <w:rsid w:val="00D60049"/>
    <w:rsid w:val="00D60DE1"/>
    <w:rsid w:val="00D62106"/>
    <w:rsid w:val="00D62B30"/>
    <w:rsid w:val="00D6418A"/>
    <w:rsid w:val="00D6780D"/>
    <w:rsid w:val="00D67BD8"/>
    <w:rsid w:val="00D70334"/>
    <w:rsid w:val="00D7095B"/>
    <w:rsid w:val="00D71946"/>
    <w:rsid w:val="00D73231"/>
    <w:rsid w:val="00D74307"/>
    <w:rsid w:val="00D75EC8"/>
    <w:rsid w:val="00D7698B"/>
    <w:rsid w:val="00D76A44"/>
    <w:rsid w:val="00D76FC9"/>
    <w:rsid w:val="00D776CE"/>
    <w:rsid w:val="00D80C4A"/>
    <w:rsid w:val="00D8122E"/>
    <w:rsid w:val="00D81455"/>
    <w:rsid w:val="00D84106"/>
    <w:rsid w:val="00D86332"/>
    <w:rsid w:val="00D87332"/>
    <w:rsid w:val="00D909E4"/>
    <w:rsid w:val="00D90DEF"/>
    <w:rsid w:val="00D92C78"/>
    <w:rsid w:val="00D92E65"/>
    <w:rsid w:val="00D933FE"/>
    <w:rsid w:val="00D93865"/>
    <w:rsid w:val="00D93B04"/>
    <w:rsid w:val="00D93B0B"/>
    <w:rsid w:val="00D943D3"/>
    <w:rsid w:val="00D94467"/>
    <w:rsid w:val="00D9474C"/>
    <w:rsid w:val="00D94B08"/>
    <w:rsid w:val="00D95885"/>
    <w:rsid w:val="00D967F4"/>
    <w:rsid w:val="00D9696F"/>
    <w:rsid w:val="00D96AF6"/>
    <w:rsid w:val="00D97419"/>
    <w:rsid w:val="00DA0A06"/>
    <w:rsid w:val="00DA1D84"/>
    <w:rsid w:val="00DA20D5"/>
    <w:rsid w:val="00DA252F"/>
    <w:rsid w:val="00DA39E1"/>
    <w:rsid w:val="00DA3F71"/>
    <w:rsid w:val="00DA4363"/>
    <w:rsid w:val="00DA4C1C"/>
    <w:rsid w:val="00DA56C1"/>
    <w:rsid w:val="00DA57F0"/>
    <w:rsid w:val="00DA5CBA"/>
    <w:rsid w:val="00DA65F9"/>
    <w:rsid w:val="00DA669F"/>
    <w:rsid w:val="00DA66AC"/>
    <w:rsid w:val="00DA69CB"/>
    <w:rsid w:val="00DA6AB9"/>
    <w:rsid w:val="00DA73CD"/>
    <w:rsid w:val="00DB1247"/>
    <w:rsid w:val="00DB4B4E"/>
    <w:rsid w:val="00DB4C06"/>
    <w:rsid w:val="00DB6A0E"/>
    <w:rsid w:val="00DB7371"/>
    <w:rsid w:val="00DB73F7"/>
    <w:rsid w:val="00DB7A57"/>
    <w:rsid w:val="00DC0C83"/>
    <w:rsid w:val="00DC0E2D"/>
    <w:rsid w:val="00DC100B"/>
    <w:rsid w:val="00DC2E80"/>
    <w:rsid w:val="00DC3EDD"/>
    <w:rsid w:val="00DC3F09"/>
    <w:rsid w:val="00DC4566"/>
    <w:rsid w:val="00DC4721"/>
    <w:rsid w:val="00DC534F"/>
    <w:rsid w:val="00DC64F7"/>
    <w:rsid w:val="00DC6CD1"/>
    <w:rsid w:val="00DC775C"/>
    <w:rsid w:val="00DD092D"/>
    <w:rsid w:val="00DD11D4"/>
    <w:rsid w:val="00DD1D57"/>
    <w:rsid w:val="00DD21A8"/>
    <w:rsid w:val="00DD341D"/>
    <w:rsid w:val="00DD5BEA"/>
    <w:rsid w:val="00DD6436"/>
    <w:rsid w:val="00DD645C"/>
    <w:rsid w:val="00DE089E"/>
    <w:rsid w:val="00DE37FF"/>
    <w:rsid w:val="00DE44FF"/>
    <w:rsid w:val="00DE609C"/>
    <w:rsid w:val="00DE7208"/>
    <w:rsid w:val="00DE73A1"/>
    <w:rsid w:val="00DF130F"/>
    <w:rsid w:val="00DF17D8"/>
    <w:rsid w:val="00DF1C2B"/>
    <w:rsid w:val="00DF1D4D"/>
    <w:rsid w:val="00DF4C12"/>
    <w:rsid w:val="00DF4DD5"/>
    <w:rsid w:val="00DF62FA"/>
    <w:rsid w:val="00DF72B6"/>
    <w:rsid w:val="00E00750"/>
    <w:rsid w:val="00E01B83"/>
    <w:rsid w:val="00E01D79"/>
    <w:rsid w:val="00E023B4"/>
    <w:rsid w:val="00E023E2"/>
    <w:rsid w:val="00E024AF"/>
    <w:rsid w:val="00E045C0"/>
    <w:rsid w:val="00E0494C"/>
    <w:rsid w:val="00E0651D"/>
    <w:rsid w:val="00E11428"/>
    <w:rsid w:val="00E12B17"/>
    <w:rsid w:val="00E1338E"/>
    <w:rsid w:val="00E14981"/>
    <w:rsid w:val="00E14F9D"/>
    <w:rsid w:val="00E150C1"/>
    <w:rsid w:val="00E15E64"/>
    <w:rsid w:val="00E17AA5"/>
    <w:rsid w:val="00E20FDD"/>
    <w:rsid w:val="00E22C0C"/>
    <w:rsid w:val="00E2428B"/>
    <w:rsid w:val="00E24806"/>
    <w:rsid w:val="00E269E9"/>
    <w:rsid w:val="00E311E2"/>
    <w:rsid w:val="00E31D82"/>
    <w:rsid w:val="00E33BC6"/>
    <w:rsid w:val="00E34057"/>
    <w:rsid w:val="00E349A3"/>
    <w:rsid w:val="00E349FD"/>
    <w:rsid w:val="00E351AC"/>
    <w:rsid w:val="00E36A1E"/>
    <w:rsid w:val="00E36FF9"/>
    <w:rsid w:val="00E37D79"/>
    <w:rsid w:val="00E401B1"/>
    <w:rsid w:val="00E40441"/>
    <w:rsid w:val="00E43026"/>
    <w:rsid w:val="00E43FFF"/>
    <w:rsid w:val="00E45ADA"/>
    <w:rsid w:val="00E4616A"/>
    <w:rsid w:val="00E461EC"/>
    <w:rsid w:val="00E469E4"/>
    <w:rsid w:val="00E5007E"/>
    <w:rsid w:val="00E50347"/>
    <w:rsid w:val="00E506B9"/>
    <w:rsid w:val="00E514ED"/>
    <w:rsid w:val="00E514FC"/>
    <w:rsid w:val="00E51E04"/>
    <w:rsid w:val="00E53845"/>
    <w:rsid w:val="00E5622D"/>
    <w:rsid w:val="00E56282"/>
    <w:rsid w:val="00E575B8"/>
    <w:rsid w:val="00E577F1"/>
    <w:rsid w:val="00E611EA"/>
    <w:rsid w:val="00E614D0"/>
    <w:rsid w:val="00E642F5"/>
    <w:rsid w:val="00E644A9"/>
    <w:rsid w:val="00E66AF5"/>
    <w:rsid w:val="00E67B86"/>
    <w:rsid w:val="00E67DFD"/>
    <w:rsid w:val="00E67E01"/>
    <w:rsid w:val="00E7005B"/>
    <w:rsid w:val="00E7146C"/>
    <w:rsid w:val="00E71FF6"/>
    <w:rsid w:val="00E74A54"/>
    <w:rsid w:val="00E74A61"/>
    <w:rsid w:val="00E75894"/>
    <w:rsid w:val="00E76AC3"/>
    <w:rsid w:val="00E77A4C"/>
    <w:rsid w:val="00E81A8D"/>
    <w:rsid w:val="00E82151"/>
    <w:rsid w:val="00E827AD"/>
    <w:rsid w:val="00E82A76"/>
    <w:rsid w:val="00E82C82"/>
    <w:rsid w:val="00E84ACF"/>
    <w:rsid w:val="00E85454"/>
    <w:rsid w:val="00E854C7"/>
    <w:rsid w:val="00E85582"/>
    <w:rsid w:val="00E85A92"/>
    <w:rsid w:val="00E85C21"/>
    <w:rsid w:val="00E85C56"/>
    <w:rsid w:val="00E86045"/>
    <w:rsid w:val="00E90DB7"/>
    <w:rsid w:val="00E91172"/>
    <w:rsid w:val="00E92D8C"/>
    <w:rsid w:val="00E94543"/>
    <w:rsid w:val="00E94D3D"/>
    <w:rsid w:val="00E96050"/>
    <w:rsid w:val="00E96C3D"/>
    <w:rsid w:val="00E96DC0"/>
    <w:rsid w:val="00EA0439"/>
    <w:rsid w:val="00EA15F5"/>
    <w:rsid w:val="00EA22D0"/>
    <w:rsid w:val="00EA4C56"/>
    <w:rsid w:val="00EA4DDD"/>
    <w:rsid w:val="00EA5211"/>
    <w:rsid w:val="00EA55BA"/>
    <w:rsid w:val="00EA6150"/>
    <w:rsid w:val="00EB06CA"/>
    <w:rsid w:val="00EB13F0"/>
    <w:rsid w:val="00EB3FD6"/>
    <w:rsid w:val="00EB432F"/>
    <w:rsid w:val="00EB4B6D"/>
    <w:rsid w:val="00EB4B8B"/>
    <w:rsid w:val="00EB521A"/>
    <w:rsid w:val="00EB5B79"/>
    <w:rsid w:val="00EC12EA"/>
    <w:rsid w:val="00EC1F11"/>
    <w:rsid w:val="00EC27B9"/>
    <w:rsid w:val="00EC3668"/>
    <w:rsid w:val="00EC3EF0"/>
    <w:rsid w:val="00EC5716"/>
    <w:rsid w:val="00EC6220"/>
    <w:rsid w:val="00EC7327"/>
    <w:rsid w:val="00ED2629"/>
    <w:rsid w:val="00ED2AA8"/>
    <w:rsid w:val="00ED3607"/>
    <w:rsid w:val="00ED4E17"/>
    <w:rsid w:val="00ED583B"/>
    <w:rsid w:val="00ED7D92"/>
    <w:rsid w:val="00EE293F"/>
    <w:rsid w:val="00EE38EB"/>
    <w:rsid w:val="00EE5036"/>
    <w:rsid w:val="00EE734E"/>
    <w:rsid w:val="00EE7810"/>
    <w:rsid w:val="00EF06AD"/>
    <w:rsid w:val="00EF136E"/>
    <w:rsid w:val="00EF4923"/>
    <w:rsid w:val="00EF6D2F"/>
    <w:rsid w:val="00F0099E"/>
    <w:rsid w:val="00F01848"/>
    <w:rsid w:val="00F01E88"/>
    <w:rsid w:val="00F034D1"/>
    <w:rsid w:val="00F05BF7"/>
    <w:rsid w:val="00F068B5"/>
    <w:rsid w:val="00F06B85"/>
    <w:rsid w:val="00F11A50"/>
    <w:rsid w:val="00F13AD7"/>
    <w:rsid w:val="00F16F8C"/>
    <w:rsid w:val="00F22D80"/>
    <w:rsid w:val="00F2330C"/>
    <w:rsid w:val="00F243D1"/>
    <w:rsid w:val="00F26E86"/>
    <w:rsid w:val="00F30025"/>
    <w:rsid w:val="00F33098"/>
    <w:rsid w:val="00F33607"/>
    <w:rsid w:val="00F33A5F"/>
    <w:rsid w:val="00F33EED"/>
    <w:rsid w:val="00F34E1B"/>
    <w:rsid w:val="00F34FB4"/>
    <w:rsid w:val="00F35544"/>
    <w:rsid w:val="00F3769B"/>
    <w:rsid w:val="00F377EC"/>
    <w:rsid w:val="00F37A84"/>
    <w:rsid w:val="00F424DD"/>
    <w:rsid w:val="00F42A47"/>
    <w:rsid w:val="00F43BE7"/>
    <w:rsid w:val="00F446AA"/>
    <w:rsid w:val="00F452DE"/>
    <w:rsid w:val="00F4565C"/>
    <w:rsid w:val="00F46CC3"/>
    <w:rsid w:val="00F47516"/>
    <w:rsid w:val="00F4757F"/>
    <w:rsid w:val="00F50227"/>
    <w:rsid w:val="00F52E7D"/>
    <w:rsid w:val="00F53A03"/>
    <w:rsid w:val="00F55553"/>
    <w:rsid w:val="00F55641"/>
    <w:rsid w:val="00F55C30"/>
    <w:rsid w:val="00F57136"/>
    <w:rsid w:val="00F6052E"/>
    <w:rsid w:val="00F60BCE"/>
    <w:rsid w:val="00F615BA"/>
    <w:rsid w:val="00F63643"/>
    <w:rsid w:val="00F67F84"/>
    <w:rsid w:val="00F731AD"/>
    <w:rsid w:val="00F7376E"/>
    <w:rsid w:val="00F747EA"/>
    <w:rsid w:val="00F74A31"/>
    <w:rsid w:val="00F74E3B"/>
    <w:rsid w:val="00F75EE5"/>
    <w:rsid w:val="00F764D4"/>
    <w:rsid w:val="00F76C74"/>
    <w:rsid w:val="00F77054"/>
    <w:rsid w:val="00F771C9"/>
    <w:rsid w:val="00F807A7"/>
    <w:rsid w:val="00F82E84"/>
    <w:rsid w:val="00F83C59"/>
    <w:rsid w:val="00F841DC"/>
    <w:rsid w:val="00F86456"/>
    <w:rsid w:val="00F86AA7"/>
    <w:rsid w:val="00F87D3F"/>
    <w:rsid w:val="00F87F7F"/>
    <w:rsid w:val="00F9076E"/>
    <w:rsid w:val="00F9167F"/>
    <w:rsid w:val="00F91882"/>
    <w:rsid w:val="00F91A6F"/>
    <w:rsid w:val="00F91E1B"/>
    <w:rsid w:val="00F9268F"/>
    <w:rsid w:val="00F92E80"/>
    <w:rsid w:val="00F96941"/>
    <w:rsid w:val="00FA1A4D"/>
    <w:rsid w:val="00FA4304"/>
    <w:rsid w:val="00FA573F"/>
    <w:rsid w:val="00FB052F"/>
    <w:rsid w:val="00FB3080"/>
    <w:rsid w:val="00FB338A"/>
    <w:rsid w:val="00FB4347"/>
    <w:rsid w:val="00FB51BB"/>
    <w:rsid w:val="00FB5470"/>
    <w:rsid w:val="00FB6122"/>
    <w:rsid w:val="00FB6190"/>
    <w:rsid w:val="00FB6882"/>
    <w:rsid w:val="00FB74E2"/>
    <w:rsid w:val="00FB76D3"/>
    <w:rsid w:val="00FC12C2"/>
    <w:rsid w:val="00FC1D18"/>
    <w:rsid w:val="00FC369C"/>
    <w:rsid w:val="00FC4340"/>
    <w:rsid w:val="00FC4B72"/>
    <w:rsid w:val="00FC61D3"/>
    <w:rsid w:val="00FC69FC"/>
    <w:rsid w:val="00FC7DDF"/>
    <w:rsid w:val="00FD01FC"/>
    <w:rsid w:val="00FD0669"/>
    <w:rsid w:val="00FD1420"/>
    <w:rsid w:val="00FD1F47"/>
    <w:rsid w:val="00FD34EE"/>
    <w:rsid w:val="00FD5244"/>
    <w:rsid w:val="00FD52FB"/>
    <w:rsid w:val="00FD66AB"/>
    <w:rsid w:val="00FD6D62"/>
    <w:rsid w:val="00FE07A6"/>
    <w:rsid w:val="00FE0997"/>
    <w:rsid w:val="00FE09F6"/>
    <w:rsid w:val="00FE0D25"/>
    <w:rsid w:val="00FE16AD"/>
    <w:rsid w:val="00FE3799"/>
    <w:rsid w:val="00FE454F"/>
    <w:rsid w:val="00FE47DF"/>
    <w:rsid w:val="00FE47EA"/>
    <w:rsid w:val="00FE53C8"/>
    <w:rsid w:val="00FE5ADB"/>
    <w:rsid w:val="00FE71E0"/>
    <w:rsid w:val="00FF0476"/>
    <w:rsid w:val="00FF0B09"/>
    <w:rsid w:val="00FF23EE"/>
    <w:rsid w:val="00FF2F73"/>
    <w:rsid w:val="00FF61B2"/>
    <w:rsid w:val="00FF68B4"/>
    <w:rsid w:val="00FF7004"/>
    <w:rsid w:val="00FF7598"/>
    <w:rsid w:val="01DD3E3C"/>
    <w:rsid w:val="026D1B44"/>
    <w:rsid w:val="04743403"/>
    <w:rsid w:val="07AA4BA0"/>
    <w:rsid w:val="07FD3F71"/>
    <w:rsid w:val="08EA03D6"/>
    <w:rsid w:val="098D396A"/>
    <w:rsid w:val="0A001984"/>
    <w:rsid w:val="0A366EBF"/>
    <w:rsid w:val="0A8D140B"/>
    <w:rsid w:val="0B4C5318"/>
    <w:rsid w:val="0B4E3A9D"/>
    <w:rsid w:val="0C1F7C58"/>
    <w:rsid w:val="0CAE69C6"/>
    <w:rsid w:val="0D8301BA"/>
    <w:rsid w:val="0DC40C23"/>
    <w:rsid w:val="10C0184C"/>
    <w:rsid w:val="11BB5F58"/>
    <w:rsid w:val="13334CF2"/>
    <w:rsid w:val="1337257D"/>
    <w:rsid w:val="1643784D"/>
    <w:rsid w:val="173234C4"/>
    <w:rsid w:val="17D00FA2"/>
    <w:rsid w:val="181D2F5C"/>
    <w:rsid w:val="18D34244"/>
    <w:rsid w:val="1A9E3905"/>
    <w:rsid w:val="1E8C7A06"/>
    <w:rsid w:val="1F774AF1"/>
    <w:rsid w:val="20001887"/>
    <w:rsid w:val="207B0849"/>
    <w:rsid w:val="213B4677"/>
    <w:rsid w:val="21B503CE"/>
    <w:rsid w:val="2217192B"/>
    <w:rsid w:val="24502CD1"/>
    <w:rsid w:val="24D509B8"/>
    <w:rsid w:val="265F0247"/>
    <w:rsid w:val="26BF6027"/>
    <w:rsid w:val="2D6772A2"/>
    <w:rsid w:val="2D785204"/>
    <w:rsid w:val="2FB87EC2"/>
    <w:rsid w:val="2FD768E6"/>
    <w:rsid w:val="2FE81E6C"/>
    <w:rsid w:val="31140F3C"/>
    <w:rsid w:val="31C33D33"/>
    <w:rsid w:val="321F02D6"/>
    <w:rsid w:val="328F0AE5"/>
    <w:rsid w:val="3307711E"/>
    <w:rsid w:val="34866573"/>
    <w:rsid w:val="34A77C1E"/>
    <w:rsid w:val="37C60E94"/>
    <w:rsid w:val="386340B1"/>
    <w:rsid w:val="3BFE7A85"/>
    <w:rsid w:val="3E1702F1"/>
    <w:rsid w:val="3E444A9B"/>
    <w:rsid w:val="3F531185"/>
    <w:rsid w:val="3F6B5F18"/>
    <w:rsid w:val="3F8B0314"/>
    <w:rsid w:val="3FD75811"/>
    <w:rsid w:val="40463374"/>
    <w:rsid w:val="40CF2B2D"/>
    <w:rsid w:val="41741B70"/>
    <w:rsid w:val="42F35E25"/>
    <w:rsid w:val="43BB04DF"/>
    <w:rsid w:val="44116B57"/>
    <w:rsid w:val="44E66E7F"/>
    <w:rsid w:val="456F1FD9"/>
    <w:rsid w:val="458E64AD"/>
    <w:rsid w:val="460C355A"/>
    <w:rsid w:val="461B70B4"/>
    <w:rsid w:val="461C563A"/>
    <w:rsid w:val="46FB7E30"/>
    <w:rsid w:val="49490C91"/>
    <w:rsid w:val="4969553F"/>
    <w:rsid w:val="4A6D7DA5"/>
    <w:rsid w:val="4B4A5CD6"/>
    <w:rsid w:val="4F2D4248"/>
    <w:rsid w:val="502773C6"/>
    <w:rsid w:val="507053C5"/>
    <w:rsid w:val="50726351"/>
    <w:rsid w:val="50C034AE"/>
    <w:rsid w:val="53157F96"/>
    <w:rsid w:val="54860BAD"/>
    <w:rsid w:val="54876845"/>
    <w:rsid w:val="54E05BA4"/>
    <w:rsid w:val="55AC5445"/>
    <w:rsid w:val="564310FA"/>
    <w:rsid w:val="570A17F6"/>
    <w:rsid w:val="5A4178A0"/>
    <w:rsid w:val="5C9018ED"/>
    <w:rsid w:val="5DAB3A90"/>
    <w:rsid w:val="5F9C7344"/>
    <w:rsid w:val="604115BB"/>
    <w:rsid w:val="60B0573E"/>
    <w:rsid w:val="60E02876"/>
    <w:rsid w:val="6229215F"/>
    <w:rsid w:val="62574236"/>
    <w:rsid w:val="62CC700A"/>
    <w:rsid w:val="66006CBF"/>
    <w:rsid w:val="685F69B3"/>
    <w:rsid w:val="69981475"/>
    <w:rsid w:val="69F1193D"/>
    <w:rsid w:val="6A490F1A"/>
    <w:rsid w:val="6ACF4411"/>
    <w:rsid w:val="6B013EFF"/>
    <w:rsid w:val="6BDB302F"/>
    <w:rsid w:val="6C075712"/>
    <w:rsid w:val="6C9C473B"/>
    <w:rsid w:val="6DF34697"/>
    <w:rsid w:val="6DF40B07"/>
    <w:rsid w:val="6E37184D"/>
    <w:rsid w:val="6F1C3B18"/>
    <w:rsid w:val="6FB262C7"/>
    <w:rsid w:val="70834DF6"/>
    <w:rsid w:val="74C9062B"/>
    <w:rsid w:val="782858D6"/>
    <w:rsid w:val="78491BBD"/>
    <w:rsid w:val="7B6C7489"/>
    <w:rsid w:val="7BC11990"/>
    <w:rsid w:val="7BC42F61"/>
    <w:rsid w:val="7C3E1D4E"/>
    <w:rsid w:val="7CF16C7B"/>
    <w:rsid w:val="7CFA011A"/>
    <w:rsid w:val="7D7943A7"/>
    <w:rsid w:val="7DC13D93"/>
    <w:rsid w:val="7F6672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outlineLvl w:val="0"/>
    </w:pPr>
    <w:rPr>
      <w:rFonts w:ascii="宋体"/>
      <w:sz w:val="28"/>
      <w:szCs w:val="20"/>
    </w:rPr>
  </w:style>
  <w:style w:type="paragraph" w:styleId="3">
    <w:name w:val="heading 2"/>
    <w:basedOn w:val="1"/>
    <w:next w:val="4"/>
    <w:link w:val="38"/>
    <w:qFormat/>
    <w:uiPriority w:val="0"/>
    <w:pPr>
      <w:keepNext/>
      <w:keepLines/>
      <w:spacing w:before="260" w:after="260" w:line="416" w:lineRule="auto"/>
      <w:outlineLvl w:val="1"/>
    </w:pPr>
    <w:rPr>
      <w:rFonts w:ascii="Arial" w:hAnsi="Arial" w:eastAsia="黑体"/>
      <w:b/>
      <w:sz w:val="32"/>
      <w:szCs w:val="20"/>
    </w:rPr>
  </w:style>
  <w:style w:type="paragraph" w:styleId="5">
    <w:name w:val="heading 3"/>
    <w:basedOn w:val="1"/>
    <w:next w:val="1"/>
    <w:qFormat/>
    <w:uiPriority w:val="0"/>
    <w:pPr>
      <w:keepNext/>
      <w:keepLines/>
      <w:numPr>
        <w:ilvl w:val="0"/>
        <w:numId w:val="2"/>
      </w:numPr>
      <w:autoSpaceDE w:val="0"/>
      <w:autoSpaceDN w:val="0"/>
      <w:adjustRightInd w:val="0"/>
      <w:snapToGrid w:val="0"/>
      <w:spacing w:before="120" w:line="300" w:lineRule="auto"/>
      <w:textAlignment w:val="bottom"/>
      <w:outlineLvl w:val="2"/>
    </w:pPr>
    <w:rPr>
      <w:rFonts w:ascii="仿宋_GB2312" w:hAnsi="Algerian" w:eastAsia="仿宋_GB2312"/>
      <w:color w:val="000000"/>
      <w:kern w:val="0"/>
      <w:sz w:val="28"/>
      <w:szCs w:val="20"/>
    </w:rPr>
  </w:style>
  <w:style w:type="paragraph" w:styleId="6">
    <w:name w:val="heading 4"/>
    <w:basedOn w:val="1"/>
    <w:next w:val="4"/>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4"/>
    <w:qFormat/>
    <w:uiPriority w:val="0"/>
    <w:pPr>
      <w:keepNext/>
      <w:keepLines/>
      <w:spacing w:before="280" w:after="290" w:line="376" w:lineRule="auto"/>
      <w:outlineLvl w:val="4"/>
    </w:pPr>
    <w:rPr>
      <w:b/>
      <w:sz w:val="28"/>
      <w:szCs w:val="20"/>
    </w:rPr>
  </w:style>
  <w:style w:type="paragraph" w:styleId="8">
    <w:name w:val="heading 6"/>
    <w:basedOn w:val="1"/>
    <w:next w:val="4"/>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4"/>
    <w:qFormat/>
    <w:uiPriority w:val="0"/>
    <w:pPr>
      <w:keepNext/>
      <w:keepLines/>
      <w:spacing w:before="240" w:after="64" w:line="320" w:lineRule="auto"/>
      <w:outlineLvl w:val="6"/>
    </w:pPr>
    <w:rPr>
      <w:b/>
      <w:sz w:val="24"/>
      <w:szCs w:val="20"/>
    </w:rPr>
  </w:style>
  <w:style w:type="paragraph" w:styleId="10">
    <w:name w:val="heading 8"/>
    <w:basedOn w:val="1"/>
    <w:next w:val="4"/>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1"/>
    <w:qFormat/>
    <w:uiPriority w:val="0"/>
    <w:pPr>
      <w:keepNext/>
      <w:keepLines/>
      <w:numPr>
        <w:ilvl w:val="0"/>
        <w:numId w:val="3"/>
      </w:numPr>
      <w:tabs>
        <w:tab w:val="left" w:pos="10440"/>
        <w:tab w:val="clear" w:pos="720"/>
      </w:tabs>
      <w:autoSpaceDE w:val="0"/>
      <w:autoSpaceDN w:val="0"/>
      <w:adjustRightInd w:val="0"/>
      <w:snapToGrid w:val="0"/>
      <w:spacing w:before="60" w:after="60" w:line="240" w:lineRule="atLeast"/>
      <w:jc w:val="center"/>
      <w:textAlignment w:val="bottom"/>
      <w:outlineLvl w:val="8"/>
    </w:pPr>
    <w:rPr>
      <w:rFonts w:ascii="Arial" w:hAnsi="Arial" w:eastAsia="仿宋_GB2312"/>
      <w:color w:val="000000"/>
      <w:kern w:val="0"/>
      <w:sz w:val="28"/>
      <w:szCs w:val="20"/>
    </w:rPr>
  </w:style>
  <w:style w:type="character" w:default="1" w:styleId="34">
    <w:name w:val="Default Paragraph Font"/>
    <w:semiHidden/>
    <w:qFormat/>
    <w:uiPriority w:val="0"/>
  </w:style>
  <w:style w:type="table" w:default="1" w:styleId="32">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420"/>
    </w:pPr>
    <w:rPr>
      <w:szCs w:val="20"/>
    </w:rPr>
  </w:style>
  <w:style w:type="paragraph" w:styleId="12">
    <w:name w:val="Document Map"/>
    <w:basedOn w:val="1"/>
    <w:semiHidden/>
    <w:qFormat/>
    <w:uiPriority w:val="0"/>
    <w:pPr>
      <w:shd w:val="clear" w:color="auto" w:fill="000080"/>
    </w:pPr>
  </w:style>
  <w:style w:type="paragraph" w:styleId="13">
    <w:name w:val="annotation text"/>
    <w:basedOn w:val="1"/>
    <w:link w:val="39"/>
    <w:semiHidden/>
    <w:qFormat/>
    <w:uiPriority w:val="0"/>
    <w:pPr>
      <w:jc w:val="left"/>
    </w:pPr>
  </w:style>
  <w:style w:type="paragraph" w:styleId="14">
    <w:name w:val="Body Text"/>
    <w:basedOn w:val="1"/>
    <w:qFormat/>
    <w:uiPriority w:val="0"/>
    <w:pPr>
      <w:autoSpaceDE w:val="0"/>
      <w:autoSpaceDN w:val="0"/>
      <w:adjustRightInd w:val="0"/>
      <w:spacing w:before="120" w:after="120" w:line="360" w:lineRule="auto"/>
      <w:jc w:val="left"/>
      <w:textAlignment w:val="baseline"/>
    </w:pPr>
    <w:rPr>
      <w:rFonts w:ascii="宋体"/>
      <w:spacing w:val="10"/>
      <w:kern w:val="0"/>
      <w:sz w:val="24"/>
      <w:szCs w:val="20"/>
    </w:rPr>
  </w:style>
  <w:style w:type="paragraph" w:styleId="15">
    <w:name w:val="Body Text Indent"/>
    <w:basedOn w:val="1"/>
    <w:qFormat/>
    <w:uiPriority w:val="0"/>
    <w:pPr>
      <w:ind w:firstLine="420"/>
    </w:pPr>
    <w:rPr>
      <w:sz w:val="28"/>
      <w:szCs w:val="20"/>
    </w:rPr>
  </w:style>
  <w:style w:type="paragraph" w:styleId="16">
    <w:name w:val="List Bullet 2"/>
    <w:basedOn w:val="1"/>
    <w:qFormat/>
    <w:uiPriority w:val="0"/>
    <w:pPr>
      <w:numPr>
        <w:ilvl w:val="0"/>
        <w:numId w:val="4"/>
      </w:numPr>
      <w:ind w:leftChars="0" w:firstLineChars="0"/>
    </w:pPr>
    <w:rPr>
      <w:szCs w:val="20"/>
    </w:rPr>
  </w:style>
  <w:style w:type="paragraph" w:styleId="17">
    <w:name w:val="toc 5"/>
    <w:basedOn w:val="1"/>
    <w:next w:val="1"/>
    <w:semiHidden/>
    <w:qFormat/>
    <w:uiPriority w:val="0"/>
    <w:pPr>
      <w:ind w:left="1680" w:leftChars="800"/>
    </w:pPr>
  </w:style>
  <w:style w:type="paragraph" w:styleId="18">
    <w:name w:val="Plain Text"/>
    <w:basedOn w:val="1"/>
    <w:qFormat/>
    <w:uiPriority w:val="0"/>
    <w:rPr>
      <w:rFonts w:ascii="宋体" w:hAnsi="Courier New"/>
      <w:szCs w:val="20"/>
    </w:rPr>
  </w:style>
  <w:style w:type="paragraph" w:styleId="19">
    <w:name w:val="Date"/>
    <w:basedOn w:val="1"/>
    <w:next w:val="1"/>
    <w:qFormat/>
    <w:uiPriority w:val="0"/>
    <w:rPr>
      <w:sz w:val="28"/>
      <w:szCs w:val="20"/>
    </w:rPr>
  </w:style>
  <w:style w:type="paragraph" w:styleId="20">
    <w:name w:val="Body Text Indent 2"/>
    <w:basedOn w:val="1"/>
    <w:qFormat/>
    <w:uiPriority w:val="0"/>
    <w:pPr>
      <w:ind w:left="1470" w:hanging="1470"/>
    </w:pPr>
    <w:rPr>
      <w:rFonts w:ascii="仿宋_GB2312"/>
      <w:sz w:val="28"/>
      <w:szCs w:val="20"/>
    </w:rPr>
  </w:style>
  <w:style w:type="paragraph" w:styleId="21">
    <w:name w:val="Balloon Text"/>
    <w:basedOn w:val="1"/>
    <w:semiHidden/>
    <w:qFormat/>
    <w:uiPriority w:val="0"/>
    <w:rPr>
      <w:sz w:val="18"/>
      <w:szCs w:val="18"/>
    </w:rPr>
  </w:style>
  <w:style w:type="paragraph" w:styleId="22">
    <w:name w:val="footer"/>
    <w:basedOn w:val="1"/>
    <w:qFormat/>
    <w:uiPriority w:val="0"/>
    <w:pPr>
      <w:tabs>
        <w:tab w:val="center" w:pos="4153"/>
        <w:tab w:val="right" w:pos="8306"/>
      </w:tabs>
      <w:snapToGrid w:val="0"/>
      <w:jc w:val="left"/>
    </w:pPr>
    <w:rPr>
      <w:sz w:val="18"/>
      <w:szCs w:val="20"/>
    </w:rPr>
  </w:style>
  <w:style w:type="paragraph" w:styleId="23">
    <w:name w:val="header"/>
    <w:basedOn w:val="1"/>
    <w:link w:val="40"/>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39"/>
    <w:pPr>
      <w:tabs>
        <w:tab w:val="right" w:leader="dot" w:pos="8640"/>
      </w:tabs>
      <w:spacing w:line="360" w:lineRule="auto"/>
    </w:pPr>
  </w:style>
  <w:style w:type="paragraph" w:styleId="25">
    <w:name w:val="Body Text Indent 3"/>
    <w:basedOn w:val="1"/>
    <w:link w:val="41"/>
    <w:qFormat/>
    <w:uiPriority w:val="0"/>
    <w:pPr>
      <w:spacing w:line="360" w:lineRule="auto"/>
      <w:ind w:firstLine="570"/>
    </w:pPr>
    <w:rPr>
      <w:rFonts w:ascii="仿宋_GB2312" w:eastAsia="仿宋_GB2312"/>
      <w:color w:val="FF0000"/>
      <w:sz w:val="28"/>
    </w:rPr>
  </w:style>
  <w:style w:type="paragraph" w:styleId="26">
    <w:name w:val="toc 2"/>
    <w:basedOn w:val="1"/>
    <w:next w:val="1"/>
    <w:qFormat/>
    <w:uiPriority w:val="39"/>
    <w:pPr>
      <w:tabs>
        <w:tab w:val="left" w:pos="924"/>
        <w:tab w:val="left" w:pos="1080"/>
        <w:tab w:val="right" w:leader="dot" w:pos="8640"/>
      </w:tabs>
      <w:spacing w:line="360" w:lineRule="auto"/>
      <w:ind w:left="420" w:leftChars="200" w:right="-260" w:rightChars="-124"/>
    </w:pPr>
  </w:style>
  <w:style w:type="paragraph" w:styleId="27">
    <w:name w:val="Body Text 2"/>
    <w:basedOn w:val="1"/>
    <w:qFormat/>
    <w:uiPriority w:val="0"/>
    <w:pPr>
      <w:adjustRightInd w:val="0"/>
      <w:spacing w:line="312" w:lineRule="atLeast"/>
      <w:textAlignment w:val="baseline"/>
    </w:pPr>
    <w:rPr>
      <w:rFonts w:ascii="仿宋_GB2312" w:eastAsia="仿宋_GB2312"/>
      <w:kern w:val="0"/>
      <w:sz w:val="28"/>
      <w:szCs w:val="20"/>
    </w:rPr>
  </w:style>
  <w:style w:type="paragraph" w:styleId="28">
    <w:name w:val="HTML Preformatted"/>
    <w:basedOn w:val="1"/>
    <w:link w:val="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29">
    <w:name w:val="Normal (Web)"/>
    <w:basedOn w:val="1"/>
    <w:link w:val="43"/>
    <w:qFormat/>
    <w:uiPriority w:val="0"/>
    <w:pPr>
      <w:widowControl/>
      <w:spacing w:before="100" w:beforeAutospacing="1" w:after="100" w:afterAutospacing="1"/>
      <w:jc w:val="left"/>
    </w:pPr>
    <w:rPr>
      <w:rFonts w:ascii="宋体" w:hAnsi="宋体"/>
      <w:kern w:val="0"/>
      <w:sz w:val="24"/>
    </w:rPr>
  </w:style>
  <w:style w:type="paragraph" w:styleId="30">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31">
    <w:name w:val="annotation subject"/>
    <w:basedOn w:val="13"/>
    <w:next w:val="13"/>
    <w:semiHidden/>
    <w:qFormat/>
    <w:uiPriority w:val="0"/>
    <w:rPr>
      <w:b/>
      <w:bCs/>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page number"/>
    <w:basedOn w:val="34"/>
    <w:qFormat/>
    <w:uiPriority w:val="0"/>
  </w:style>
  <w:style w:type="character" w:styleId="36">
    <w:name w:val="Hyperlink"/>
    <w:qFormat/>
    <w:uiPriority w:val="99"/>
    <w:rPr>
      <w:color w:val="0000FF"/>
      <w:u w:val="single"/>
    </w:rPr>
  </w:style>
  <w:style w:type="character" w:styleId="37">
    <w:name w:val="annotation reference"/>
    <w:semiHidden/>
    <w:qFormat/>
    <w:uiPriority w:val="0"/>
    <w:rPr>
      <w:sz w:val="21"/>
      <w:szCs w:val="21"/>
    </w:rPr>
  </w:style>
  <w:style w:type="character" w:customStyle="1" w:styleId="38">
    <w:name w:val="标题 2 Char"/>
    <w:link w:val="3"/>
    <w:qFormat/>
    <w:uiPriority w:val="0"/>
    <w:rPr>
      <w:rFonts w:ascii="Arial" w:hAnsi="Arial" w:eastAsia="黑体"/>
      <w:b/>
      <w:kern w:val="2"/>
      <w:sz w:val="32"/>
      <w:lang w:val="en-US" w:eastAsia="zh-CN" w:bidi="ar-SA"/>
    </w:rPr>
  </w:style>
  <w:style w:type="character" w:customStyle="1" w:styleId="39">
    <w:name w:val="批注文字 Char"/>
    <w:link w:val="13"/>
    <w:qFormat/>
    <w:uiPriority w:val="0"/>
    <w:rPr>
      <w:rFonts w:eastAsia="宋体"/>
      <w:kern w:val="2"/>
      <w:sz w:val="21"/>
      <w:szCs w:val="24"/>
      <w:lang w:val="en-US" w:eastAsia="zh-CN" w:bidi="ar-SA"/>
    </w:rPr>
  </w:style>
  <w:style w:type="character" w:customStyle="1" w:styleId="40">
    <w:name w:val="页眉 Char1"/>
    <w:link w:val="23"/>
    <w:qFormat/>
    <w:uiPriority w:val="0"/>
    <w:rPr>
      <w:kern w:val="2"/>
      <w:sz w:val="18"/>
      <w:szCs w:val="18"/>
    </w:rPr>
  </w:style>
  <w:style w:type="character" w:customStyle="1" w:styleId="41">
    <w:name w:val="正文文本缩进 3 Char"/>
    <w:link w:val="25"/>
    <w:qFormat/>
    <w:uiPriority w:val="0"/>
    <w:rPr>
      <w:rFonts w:ascii="仿宋_GB2312" w:eastAsia="仿宋_GB2312"/>
      <w:color w:val="FF0000"/>
      <w:kern w:val="2"/>
      <w:sz w:val="28"/>
      <w:szCs w:val="24"/>
    </w:rPr>
  </w:style>
  <w:style w:type="character" w:customStyle="1" w:styleId="42">
    <w:name w:val="HTML 预设格式 Char"/>
    <w:link w:val="28"/>
    <w:qFormat/>
    <w:uiPriority w:val="0"/>
    <w:rPr>
      <w:rFonts w:ascii="黑体" w:hAnsi="Courier New" w:eastAsia="黑体" w:cs="Arial Unicode MS"/>
    </w:rPr>
  </w:style>
  <w:style w:type="character" w:customStyle="1" w:styleId="43">
    <w:name w:val="普通(网站) Char"/>
    <w:link w:val="29"/>
    <w:qFormat/>
    <w:locked/>
    <w:uiPriority w:val="0"/>
    <w:rPr>
      <w:rFonts w:ascii="宋体" w:hAnsi="宋体" w:cs="宋体"/>
      <w:sz w:val="24"/>
      <w:szCs w:val="24"/>
    </w:rPr>
  </w:style>
  <w:style w:type="character" w:customStyle="1" w:styleId="44">
    <w:name w:val="linet1"/>
    <w:qFormat/>
    <w:uiPriority w:val="0"/>
    <w:rPr>
      <w:rFonts w:hint="default" w:ascii="ˎ̥" w:hAnsi="ˎ̥"/>
      <w:sz w:val="20"/>
      <w:szCs w:val="20"/>
    </w:rPr>
  </w:style>
  <w:style w:type="character" w:customStyle="1" w:styleId="45">
    <w:name w:val="font101"/>
    <w:basedOn w:val="34"/>
    <w:qFormat/>
    <w:uiPriority w:val="0"/>
    <w:rPr>
      <w:rFonts w:hint="default" w:ascii="Times New Roman" w:hAnsi="Times New Roman" w:cs="Times New Roman"/>
      <w:color w:val="000000"/>
      <w:sz w:val="24"/>
      <w:szCs w:val="24"/>
      <w:u w:val="none"/>
    </w:rPr>
  </w:style>
  <w:style w:type="character" w:customStyle="1" w:styleId="46">
    <w:name w:val="font41"/>
    <w:basedOn w:val="34"/>
    <w:qFormat/>
    <w:uiPriority w:val="0"/>
    <w:rPr>
      <w:rFonts w:hint="default" w:ascii="Times New Roman" w:hAnsi="Times New Roman" w:cs="Times New Roman"/>
      <w:color w:val="000000"/>
      <w:sz w:val="24"/>
      <w:szCs w:val="24"/>
      <w:u w:val="none"/>
    </w:rPr>
  </w:style>
  <w:style w:type="character" w:customStyle="1" w:styleId="47">
    <w:name w:val="font112"/>
    <w:basedOn w:val="34"/>
    <w:qFormat/>
    <w:uiPriority w:val="0"/>
    <w:rPr>
      <w:rFonts w:hint="default" w:ascii="Times New Roman" w:hAnsi="Times New Roman" w:cs="Times New Roman"/>
      <w:color w:val="000000"/>
      <w:sz w:val="24"/>
      <w:szCs w:val="24"/>
      <w:u w:val="none"/>
    </w:rPr>
  </w:style>
  <w:style w:type="character" w:customStyle="1" w:styleId="48">
    <w:name w:val="HTML 预设格式 字符1"/>
    <w:qFormat/>
    <w:uiPriority w:val="0"/>
    <w:rPr>
      <w:rFonts w:ascii="Courier New" w:hAnsi="Courier New" w:cs="Courier New"/>
      <w:kern w:val="2"/>
    </w:rPr>
  </w:style>
  <w:style w:type="character" w:customStyle="1" w:styleId="49">
    <w:name w:val="font71"/>
    <w:basedOn w:val="34"/>
    <w:qFormat/>
    <w:uiPriority w:val="0"/>
    <w:rPr>
      <w:rFonts w:hint="eastAsia" w:ascii="宋体" w:hAnsi="宋体" w:eastAsia="宋体" w:cs="宋体"/>
      <w:color w:val="000000"/>
      <w:sz w:val="24"/>
      <w:szCs w:val="24"/>
      <w:u w:val="none"/>
    </w:rPr>
  </w:style>
  <w:style w:type="character" w:customStyle="1" w:styleId="50">
    <w:name w:val="页眉 Char"/>
    <w:qFormat/>
    <w:uiPriority w:val="0"/>
    <w:rPr>
      <w:kern w:val="2"/>
      <w:sz w:val="18"/>
      <w:szCs w:val="18"/>
    </w:rPr>
  </w:style>
  <w:style w:type="character" w:customStyle="1" w:styleId="51">
    <w:name w:val="font01"/>
    <w:basedOn w:val="34"/>
    <w:qFormat/>
    <w:uiPriority w:val="0"/>
    <w:rPr>
      <w:rFonts w:hint="eastAsia" w:ascii="宋体" w:hAnsi="宋体" w:eastAsia="宋体" w:cs="宋体"/>
      <w:color w:val="000000"/>
      <w:sz w:val="20"/>
      <w:szCs w:val="20"/>
      <w:u w:val="none"/>
    </w:rPr>
  </w:style>
  <w:style w:type="character" w:customStyle="1" w:styleId="52">
    <w:name w:val="font91"/>
    <w:basedOn w:val="34"/>
    <w:qFormat/>
    <w:uiPriority w:val="0"/>
    <w:rPr>
      <w:rFonts w:hint="default" w:ascii="Times New Roman" w:hAnsi="Times New Roman" w:cs="Times New Roman"/>
      <w:color w:val="000000"/>
      <w:sz w:val="24"/>
      <w:szCs w:val="24"/>
      <w:u w:val="none"/>
    </w:rPr>
  </w:style>
  <w:style w:type="character" w:customStyle="1" w:styleId="53">
    <w:name w:val="font61"/>
    <w:qFormat/>
    <w:uiPriority w:val="0"/>
    <w:rPr>
      <w:rFonts w:hint="eastAsia" w:ascii="宋体" w:hAnsi="宋体" w:eastAsia="宋体" w:cs="宋体"/>
      <w:color w:val="000000"/>
      <w:sz w:val="18"/>
      <w:szCs w:val="18"/>
      <w:u w:val="none"/>
    </w:rPr>
  </w:style>
  <w:style w:type="character" w:customStyle="1" w:styleId="54">
    <w:name w:val="nameboxcolor"/>
    <w:basedOn w:val="34"/>
    <w:qFormat/>
    <w:uiPriority w:val="0"/>
  </w:style>
  <w:style w:type="paragraph" w:customStyle="1" w:styleId="55">
    <w:name w:val=" Char"/>
    <w:basedOn w:val="1"/>
    <w:qFormat/>
    <w:uiPriority w:val="0"/>
    <w:rPr>
      <w:rFonts w:ascii="Tahoma" w:hAnsi="Tahoma"/>
      <w:sz w:val="24"/>
      <w:szCs w:val="20"/>
    </w:rPr>
  </w:style>
  <w:style w:type="paragraph" w:customStyle="1" w:styleId="56">
    <w:name w:val="xl29"/>
    <w:basedOn w:val="1"/>
    <w:qFormat/>
    <w:uiPriority w:val="0"/>
    <w:pPr>
      <w:widowControl/>
      <w:spacing w:before="100" w:beforeAutospacing="1" w:after="100" w:afterAutospacing="1"/>
      <w:jc w:val="center"/>
    </w:pPr>
    <w:rPr>
      <w:rFonts w:ascii="Arial Unicode MS" w:hAnsi="Arial Unicode MS" w:eastAsia="Arial Unicode MS" w:cs="Arial Unicode MS"/>
      <w:kern w:val="0"/>
      <w:sz w:val="24"/>
    </w:rPr>
  </w:style>
  <w:style w:type="paragraph" w:customStyle="1" w:styleId="57">
    <w:name w:val="font6"/>
    <w:basedOn w:val="1"/>
    <w:qFormat/>
    <w:uiPriority w:val="0"/>
    <w:pPr>
      <w:widowControl/>
      <w:spacing w:before="100" w:beforeAutospacing="1" w:after="100" w:afterAutospacing="1"/>
      <w:jc w:val="left"/>
    </w:pPr>
    <w:rPr>
      <w:rFonts w:eastAsia="Arial Unicode MS"/>
      <w:kern w:val="0"/>
      <w:sz w:val="24"/>
    </w:rPr>
  </w:style>
  <w:style w:type="paragraph" w:customStyle="1" w:styleId="58">
    <w:name w:val="Char"/>
    <w:basedOn w:val="1"/>
    <w:qFormat/>
    <w:uiPriority w:val="0"/>
  </w:style>
  <w:style w:type="paragraph" w:customStyle="1" w:styleId="59">
    <w:name w:val=" Char Char Char Char Char Char Char Char Char Char Char Char Char Char Char Char"/>
    <w:basedOn w:val="1"/>
    <w:qFormat/>
    <w:uiPriority w:val="0"/>
    <w:pPr>
      <w:snapToGrid w:val="0"/>
      <w:spacing w:line="360" w:lineRule="auto"/>
      <w:ind w:firstLine="200" w:firstLineChars="200"/>
    </w:pPr>
    <w:rPr>
      <w:rFonts w:eastAsia="仿宋_GB2312"/>
      <w:sz w:val="24"/>
    </w:rPr>
  </w:style>
  <w:style w:type="paragraph" w:customStyle="1" w:styleId="60">
    <w:name w:val="Char Char Char2 Char"/>
    <w:basedOn w:val="1"/>
    <w:qFormat/>
    <w:uiPriority w:val="0"/>
    <w:rPr>
      <w:szCs w:val="21"/>
    </w:rPr>
  </w:style>
  <w:style w:type="paragraph" w:customStyle="1" w:styleId="61">
    <w:name w:val="CM42"/>
    <w:basedOn w:val="1"/>
    <w:next w:val="1"/>
    <w:qFormat/>
    <w:uiPriority w:val="99"/>
    <w:pPr>
      <w:autoSpaceDE w:val="0"/>
      <w:autoSpaceDN w:val="0"/>
      <w:adjustRightInd w:val="0"/>
      <w:spacing w:after="155"/>
      <w:jc w:val="left"/>
    </w:pPr>
    <w:rPr>
      <w:rFonts w:ascii="宋体"/>
      <w:kern w:val="0"/>
      <w:sz w:val="24"/>
    </w:rPr>
  </w:style>
  <w:style w:type="paragraph" w:customStyle="1" w:styleId="62">
    <w:name w:val="CM3"/>
    <w:basedOn w:val="1"/>
    <w:next w:val="1"/>
    <w:qFormat/>
    <w:uiPriority w:val="0"/>
    <w:pPr>
      <w:autoSpaceDE w:val="0"/>
      <w:autoSpaceDN w:val="0"/>
      <w:adjustRightInd w:val="0"/>
      <w:spacing w:line="620" w:lineRule="atLeast"/>
      <w:jc w:val="left"/>
    </w:pPr>
    <w:rPr>
      <w:rFonts w:ascii="黑体" w:eastAsia="黑体" w:cs="黑体"/>
      <w:kern w:val="0"/>
      <w:sz w:val="24"/>
    </w:rPr>
  </w:style>
  <w:style w:type="paragraph" w:customStyle="1" w:styleId="63">
    <w:name w:val="Table Paragraph"/>
    <w:basedOn w:val="1"/>
    <w:qFormat/>
    <w:uiPriority w:val="1"/>
    <w:pPr>
      <w:spacing w:before="13" w:line="239" w:lineRule="exact"/>
      <w:jc w:val="right"/>
    </w:pPr>
    <w:rPr>
      <w:rFonts w:ascii="Arial Narrow" w:hAnsi="Arial Narrow" w:eastAsia="Arial Narrow" w:cs="Arial Narrow"/>
      <w:lang w:val="zh-CN" w:eastAsia="zh-CN" w:bidi="zh-CN"/>
    </w:rPr>
  </w:style>
  <w:style w:type="paragraph" w:customStyle="1" w:styleId="64">
    <w:name w:val="默认段落字体 Para Char Char Char Char Char Char Char"/>
    <w:basedOn w:val="1"/>
    <w:qFormat/>
    <w:uiPriority w:val="0"/>
    <w:rPr>
      <w:rFonts w:ascii="Tahoma" w:hAnsi="Tahoma"/>
      <w:sz w:val="24"/>
      <w:szCs w:val="20"/>
    </w:rPr>
  </w:style>
  <w:style w:type="character" w:customStyle="1" w:styleId="65">
    <w:name w:val="font51"/>
    <w:basedOn w:val="34"/>
    <w:qFormat/>
    <w:uiPriority w:val="0"/>
    <w:rPr>
      <w:rFonts w:hint="default" w:ascii="Times New Roman" w:hAnsi="Times New Roman" w:cs="Times New Roman"/>
      <w:color w:val="000000"/>
      <w:sz w:val="24"/>
      <w:szCs w:val="24"/>
      <w:u w:val="none"/>
    </w:rPr>
  </w:style>
  <w:style w:type="character" w:customStyle="1" w:styleId="66">
    <w:name w:val="font81"/>
    <w:basedOn w:val="34"/>
    <w:qFormat/>
    <w:uiPriority w:val="0"/>
    <w:rPr>
      <w:rFonts w:hint="eastAsia" w:ascii="宋体" w:hAnsi="宋体" w:eastAsia="宋体" w:cs="宋体"/>
      <w:color w:val="000000"/>
      <w:sz w:val="24"/>
      <w:szCs w:val="24"/>
      <w:u w:val="none"/>
    </w:rPr>
  </w:style>
  <w:style w:type="character" w:customStyle="1" w:styleId="67">
    <w:name w:val="font11"/>
    <w:basedOn w:val="34"/>
    <w:qFormat/>
    <w:uiPriority w:val="0"/>
    <w:rPr>
      <w:rFonts w:hint="eastAsia" w:ascii="宋体" w:hAnsi="宋体" w:eastAsia="宋体" w:cs="宋体"/>
      <w:color w:val="000000"/>
      <w:sz w:val="20"/>
      <w:szCs w:val="20"/>
      <w:u w:val="none"/>
    </w:rPr>
  </w:style>
  <w:style w:type="character" w:customStyle="1" w:styleId="68">
    <w:name w:val="font31"/>
    <w:basedOn w:val="34"/>
    <w:qFormat/>
    <w:uiPriority w:val="0"/>
    <w:rPr>
      <w:rFonts w:hint="eastAsia" w:ascii="宋体" w:hAnsi="宋体" w:eastAsia="宋体" w:cs="宋体"/>
      <w:color w:val="000000"/>
      <w:sz w:val="24"/>
      <w:szCs w:val="24"/>
      <w:u w:val="none"/>
    </w:rPr>
  </w:style>
  <w:style w:type="character" w:customStyle="1" w:styleId="69">
    <w:name w:val="font21"/>
    <w:basedOn w:val="34"/>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6164;&#20135;&#35780;&#20272;\&#20208;&#20041;&#20116;&#37329;&#21378;&#35780;&#20272;\&#22269;&#26377;&#20225;&#19994;&#20215;&#20540;&#35780;&#20272;&#25253;&#21578;.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国有企业价值评估报告</Template>
  <Company>WANLONG</Company>
  <Pages>18</Pages>
  <Words>2503</Words>
  <Characters>2661</Characters>
  <Lines>72</Lines>
  <Paragraphs>20</Paragraphs>
  <TotalTime>21</TotalTime>
  <ScaleCrop>false</ScaleCrop>
  <LinksUpToDate>false</LinksUpToDate>
  <CharactersWithSpaces>2683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2009-12-14T05:27:00Z</dcterms:created>
  <dc:creator>Hp</dc:creator>
  <cp:lastModifiedBy>Frizzle</cp:lastModifiedBy>
  <cp:lastPrinted>2025-09-07T10:12:00Z</cp:lastPrinted>
  <dcterms:modified xsi:type="dcterms:W3CDTF">2025-09-07T15:35:02Z</dcterms:modified>
  <dc:title>[蓝色]：根据具体项目内容填写</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DC9522C831B744D6A5A996433070D1F5_13</vt:lpwstr>
  </property>
  <property fmtid="{D5CDD505-2E9C-101B-9397-08002B2CF9AE}" pid="4" name="KSOTemplateDocerSaveRecord">
    <vt:lpwstr>eyJoZGlkIjoiYmI5NWU0NDA2NzgzZjkyMjBlMzQ1NDgxZjA2NzdhYmQiLCJ1c2VySWQiOiIyNzQ0NzUwMTMifQ==</vt:lpwstr>
  </property>
</Properties>
</file>