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D368E">
      <w:pPr>
        <w:autoSpaceDE w:val="0"/>
        <w:autoSpaceDN w:val="0"/>
        <w:spacing w:line="500" w:lineRule="atLeast"/>
        <w:jc w:val="center"/>
        <w:textAlignment w:val="bottom"/>
        <w:rPr>
          <w:rFonts w:hint="default" w:ascii="宋体" w:hAnsi="宋体" w:cs="Courier New" w:eastAsiaTheme="minorEastAsia"/>
          <w:b/>
          <w:bCs/>
          <w:color w:val="auto"/>
          <w:spacing w:val="120"/>
          <w:sz w:val="72"/>
          <w:szCs w:val="72"/>
          <w:highlight w:val="none"/>
          <w:lang w:val="en-US" w:eastAsia="zh-CN"/>
        </w:rPr>
      </w:pPr>
    </w:p>
    <w:p w14:paraId="17F39E02">
      <w:pPr>
        <w:autoSpaceDE w:val="0"/>
        <w:autoSpaceDN w:val="0"/>
        <w:spacing w:line="500" w:lineRule="atLeast"/>
        <w:jc w:val="center"/>
        <w:textAlignment w:val="bottom"/>
        <w:rPr>
          <w:rFonts w:ascii="宋体" w:hAnsi="宋体" w:cs="Courier New"/>
          <w:b/>
          <w:bCs/>
          <w:color w:val="auto"/>
          <w:spacing w:val="120"/>
          <w:sz w:val="72"/>
          <w:szCs w:val="72"/>
          <w:highlight w:val="none"/>
        </w:rPr>
      </w:pPr>
      <w:r>
        <w:rPr>
          <w:rFonts w:hint="eastAsia" w:ascii="宋体" w:hAnsi="宋体" w:cs="Courier New"/>
          <w:b/>
          <w:bCs/>
          <w:color w:val="auto"/>
          <w:spacing w:val="120"/>
          <w:sz w:val="72"/>
          <w:szCs w:val="72"/>
          <w:highlight w:val="none"/>
        </w:rPr>
        <w:t>泰顺县</w:t>
      </w:r>
      <w:r>
        <w:rPr>
          <w:rFonts w:ascii="宋体" w:hAnsi="宋体" w:cs="Courier New"/>
          <w:b/>
          <w:bCs/>
          <w:color w:val="auto"/>
          <w:spacing w:val="120"/>
          <w:sz w:val="72"/>
          <w:szCs w:val="72"/>
          <w:highlight w:val="none"/>
        </w:rPr>
        <w:t>政府采购</w:t>
      </w:r>
    </w:p>
    <w:p w14:paraId="1B6D2608">
      <w:pPr>
        <w:spacing w:line="400" w:lineRule="atLeast"/>
        <w:jc w:val="center"/>
        <w:rPr>
          <w:rFonts w:ascii="宋体" w:hAnsi="宋体" w:cs="Courier New"/>
          <w:b/>
          <w:color w:val="auto"/>
          <w:sz w:val="52"/>
          <w:highlight w:val="none"/>
        </w:rPr>
      </w:pPr>
    </w:p>
    <w:p w14:paraId="5B6D8EDE">
      <w:pPr>
        <w:autoSpaceDE w:val="0"/>
        <w:autoSpaceDN w:val="0"/>
        <w:spacing w:line="500" w:lineRule="atLeast"/>
        <w:jc w:val="both"/>
        <w:textAlignment w:val="bottom"/>
        <w:rPr>
          <w:rFonts w:ascii="宋体" w:hAnsi="宋体" w:cs="Courier New"/>
          <w:b/>
          <w:bCs/>
          <w:color w:val="auto"/>
          <w:sz w:val="72"/>
          <w:szCs w:val="72"/>
          <w:highlight w:val="none"/>
        </w:rPr>
      </w:pPr>
    </w:p>
    <w:p w14:paraId="5ABC1229">
      <w:pPr>
        <w:autoSpaceDE w:val="0"/>
        <w:autoSpaceDN w:val="0"/>
        <w:spacing w:line="500" w:lineRule="atLeast"/>
        <w:jc w:val="center"/>
        <w:textAlignment w:val="bottom"/>
        <w:rPr>
          <w:rFonts w:hint="eastAsia" w:ascii="宋体" w:hAnsi="宋体" w:cs="Courier New" w:eastAsiaTheme="minorEastAsia"/>
          <w:b/>
          <w:color w:val="auto"/>
          <w:sz w:val="72"/>
          <w:szCs w:val="72"/>
          <w:highlight w:val="none"/>
          <w:lang w:eastAsia="zh-CN"/>
        </w:rPr>
      </w:pPr>
      <w:r>
        <w:rPr>
          <w:rFonts w:hint="eastAsia" w:ascii="宋体" w:hAnsi="宋体" w:cs="Courier New"/>
          <w:b/>
          <w:bCs/>
          <w:color w:val="auto"/>
          <w:spacing w:val="120"/>
          <w:kern w:val="0"/>
          <w:sz w:val="72"/>
          <w:szCs w:val="72"/>
          <w:highlight w:val="none"/>
          <w:fitText w:val="3600" w:id="1728722103"/>
        </w:rPr>
        <w:t>招标文</w:t>
      </w:r>
      <w:r>
        <w:rPr>
          <w:rFonts w:hint="eastAsia" w:ascii="宋体" w:hAnsi="宋体" w:cs="Courier New"/>
          <w:b/>
          <w:bCs/>
          <w:color w:val="auto"/>
          <w:spacing w:val="0"/>
          <w:kern w:val="0"/>
          <w:sz w:val="72"/>
          <w:szCs w:val="72"/>
          <w:highlight w:val="none"/>
          <w:fitText w:val="3600" w:id="1728722103"/>
        </w:rPr>
        <w:t>件</w:t>
      </w:r>
    </w:p>
    <w:p w14:paraId="3C69C5BE">
      <w:pPr>
        <w:spacing w:line="400" w:lineRule="atLeast"/>
        <w:jc w:val="both"/>
        <w:rPr>
          <w:rFonts w:ascii="宋体" w:hAnsi="宋体"/>
          <w:color w:val="auto"/>
          <w:sz w:val="32"/>
          <w:highlight w:val="none"/>
        </w:rPr>
      </w:pPr>
    </w:p>
    <w:p w14:paraId="069F5F4C">
      <w:pPr>
        <w:tabs>
          <w:tab w:val="left" w:pos="4860"/>
        </w:tabs>
        <w:spacing w:line="600" w:lineRule="exact"/>
        <w:ind w:right="1143"/>
        <w:jc w:val="left"/>
        <w:rPr>
          <w:rFonts w:ascii="宋体" w:hAnsi="宋体"/>
          <w:color w:val="auto"/>
          <w:spacing w:val="40"/>
          <w:sz w:val="30"/>
          <w:szCs w:val="30"/>
          <w:highlight w:val="none"/>
        </w:rPr>
      </w:pPr>
    </w:p>
    <w:p w14:paraId="7F0A8B21">
      <w:pPr>
        <w:pStyle w:val="2"/>
        <w:rPr>
          <w:color w:val="auto"/>
          <w:highlight w:val="none"/>
        </w:rPr>
      </w:pPr>
    </w:p>
    <w:p w14:paraId="643F6468">
      <w:pPr>
        <w:pStyle w:val="2"/>
        <w:rPr>
          <w:color w:val="auto"/>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4"/>
        <w:gridCol w:w="5844"/>
      </w:tblGrid>
      <w:tr w14:paraId="597E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764" w:type="dxa"/>
            <w:vAlign w:val="center"/>
          </w:tcPr>
          <w:p w14:paraId="12C83031">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0"/>
                <w:kern w:val="0"/>
                <w:sz w:val="30"/>
                <w:szCs w:val="30"/>
                <w:highlight w:val="none"/>
                <w:fitText w:val="1200" w:id="1236233366"/>
              </w:rPr>
              <w:t>项目编号</w:t>
            </w:r>
          </w:p>
        </w:tc>
        <w:tc>
          <w:tcPr>
            <w:tcW w:w="5844" w:type="dxa"/>
            <w:vAlign w:val="center"/>
          </w:tcPr>
          <w:p w14:paraId="29E638F7">
            <w:pPr>
              <w:adjustRightInd w:val="0"/>
              <w:snapToGrid w:val="0"/>
              <w:spacing w:line="440" w:lineRule="exact"/>
              <w:jc w:val="left"/>
              <w:rPr>
                <w:rFonts w:hint="eastAsia" w:ascii="宋体" w:hAnsi="宋体" w:eastAsia="宋体"/>
                <w:b/>
                <w:bCs/>
                <w:color w:val="auto"/>
                <w:spacing w:val="-20"/>
                <w:sz w:val="30"/>
                <w:szCs w:val="30"/>
                <w:highlight w:val="none"/>
                <w:lang w:eastAsia="zh-CN"/>
              </w:rPr>
            </w:pPr>
            <w:r>
              <w:rPr>
                <w:rFonts w:hint="eastAsia" w:ascii="宋体" w:hAnsi="宋体" w:eastAsia="宋体"/>
                <w:b/>
                <w:bCs/>
                <w:color w:val="auto"/>
                <w:sz w:val="30"/>
                <w:szCs w:val="30"/>
                <w:highlight w:val="none"/>
                <w:lang w:eastAsia="zh-CN"/>
              </w:rPr>
              <w:t>TSCG202509001</w:t>
            </w:r>
          </w:p>
        </w:tc>
      </w:tr>
      <w:tr w14:paraId="46E8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4" w:type="dxa"/>
            <w:vAlign w:val="center"/>
          </w:tcPr>
          <w:p w14:paraId="1B9C8318">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0"/>
                <w:kern w:val="0"/>
                <w:sz w:val="30"/>
                <w:szCs w:val="30"/>
                <w:highlight w:val="none"/>
                <w:fitText w:val="1200" w:id="489191276"/>
              </w:rPr>
              <w:t>招标项目</w:t>
            </w:r>
          </w:p>
        </w:tc>
        <w:tc>
          <w:tcPr>
            <w:tcW w:w="5844" w:type="dxa"/>
            <w:vAlign w:val="center"/>
          </w:tcPr>
          <w:p w14:paraId="4488AB47">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eastAsia="宋体"/>
                <w:b/>
                <w:bCs/>
                <w:color w:val="auto"/>
                <w:sz w:val="30"/>
                <w:szCs w:val="30"/>
                <w:highlight w:val="none"/>
                <w:lang w:eastAsia="zh-CN"/>
              </w:rPr>
              <w:t>2025-2026泰顺县大安乡环卫保洁服务</w:t>
            </w:r>
          </w:p>
        </w:tc>
      </w:tr>
      <w:tr w14:paraId="5A96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4" w:type="dxa"/>
            <w:vAlign w:val="center"/>
          </w:tcPr>
          <w:p w14:paraId="076D95E1">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0"/>
                <w:kern w:val="0"/>
                <w:sz w:val="30"/>
                <w:szCs w:val="30"/>
                <w:highlight w:val="none"/>
                <w:fitText w:val="1200" w:id="2112496254"/>
              </w:rPr>
              <w:t>招标方式</w:t>
            </w:r>
          </w:p>
        </w:tc>
        <w:tc>
          <w:tcPr>
            <w:tcW w:w="5844" w:type="dxa"/>
            <w:vAlign w:val="center"/>
          </w:tcPr>
          <w:p w14:paraId="3B707325">
            <w:pPr>
              <w:adjustRightInd w:val="0"/>
              <w:snapToGrid w:val="0"/>
              <w:spacing w:line="440" w:lineRule="exact"/>
              <w:jc w:val="left"/>
              <w:rPr>
                <w:rFonts w:ascii="宋体" w:hAnsi="宋体"/>
                <w:b/>
                <w:bCs/>
                <w:color w:val="auto"/>
                <w:sz w:val="30"/>
                <w:szCs w:val="30"/>
                <w:highlight w:val="none"/>
              </w:rPr>
            </w:pPr>
            <w:r>
              <w:rPr>
                <w:rFonts w:hint="eastAsia" w:ascii="宋体" w:hAnsi="宋体"/>
                <w:b/>
                <w:bCs/>
                <w:color w:val="auto"/>
                <w:sz w:val="30"/>
                <w:szCs w:val="30"/>
                <w:highlight w:val="none"/>
              </w:rPr>
              <w:t>竞争性磋商</w:t>
            </w:r>
          </w:p>
        </w:tc>
      </w:tr>
      <w:tr w14:paraId="0B33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4" w:type="dxa"/>
            <w:vAlign w:val="center"/>
          </w:tcPr>
          <w:p w14:paraId="3D226116">
            <w:pPr>
              <w:adjustRightInd w:val="0"/>
              <w:snapToGrid w:val="0"/>
              <w:spacing w:line="440" w:lineRule="exact"/>
              <w:jc w:val="left"/>
              <w:rPr>
                <w:rFonts w:ascii="宋体" w:hAnsi="宋体" w:eastAsia="宋体"/>
                <w:b/>
                <w:bCs/>
                <w:color w:val="auto"/>
                <w:spacing w:val="40"/>
                <w:sz w:val="30"/>
                <w:szCs w:val="30"/>
                <w:highlight w:val="none"/>
              </w:rPr>
            </w:pPr>
            <w:r>
              <w:rPr>
                <w:rFonts w:ascii="宋体" w:hAnsi="宋体"/>
                <w:b/>
                <w:bCs/>
                <w:color w:val="auto"/>
                <w:spacing w:val="0"/>
                <w:kern w:val="0"/>
                <w:sz w:val="30"/>
                <w:szCs w:val="30"/>
                <w:highlight w:val="none"/>
                <w:fitText w:val="1200" w:id="1205040366"/>
              </w:rPr>
              <w:t>采购单位</w:t>
            </w:r>
          </w:p>
        </w:tc>
        <w:tc>
          <w:tcPr>
            <w:tcW w:w="5844" w:type="dxa"/>
            <w:vAlign w:val="center"/>
          </w:tcPr>
          <w:p w14:paraId="374FD264">
            <w:pPr>
              <w:adjustRightInd w:val="0"/>
              <w:snapToGrid w:val="0"/>
              <w:spacing w:line="440" w:lineRule="exact"/>
              <w:jc w:val="left"/>
              <w:rPr>
                <w:rFonts w:hint="eastAsia" w:ascii="宋体" w:hAnsi="宋体" w:eastAsiaTheme="minorEastAsia"/>
                <w:b/>
                <w:bCs/>
                <w:color w:val="auto"/>
                <w:sz w:val="30"/>
                <w:szCs w:val="30"/>
                <w:highlight w:val="none"/>
                <w:lang w:eastAsia="zh-CN"/>
              </w:rPr>
            </w:pPr>
            <w:r>
              <w:rPr>
                <w:rFonts w:hint="eastAsia" w:ascii="宋体" w:hAnsi="宋体"/>
                <w:b/>
                <w:bCs/>
                <w:color w:val="auto"/>
                <w:sz w:val="30"/>
                <w:szCs w:val="30"/>
                <w:highlight w:val="none"/>
                <w:lang w:eastAsia="zh-CN"/>
              </w:rPr>
              <w:t>泰顺县大安乡人民政府</w:t>
            </w:r>
          </w:p>
        </w:tc>
      </w:tr>
      <w:tr w14:paraId="1E2D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4" w:type="dxa"/>
            <w:vAlign w:val="center"/>
          </w:tcPr>
          <w:p w14:paraId="79894CED">
            <w:pPr>
              <w:adjustRightInd w:val="0"/>
              <w:snapToGrid w:val="0"/>
              <w:spacing w:line="440" w:lineRule="exact"/>
              <w:jc w:val="left"/>
              <w:rPr>
                <w:rFonts w:ascii="宋体" w:hAnsi="宋体"/>
                <w:b/>
                <w:bCs/>
                <w:color w:val="auto"/>
                <w:spacing w:val="40"/>
                <w:sz w:val="30"/>
                <w:szCs w:val="30"/>
                <w:highlight w:val="none"/>
              </w:rPr>
            </w:pPr>
            <w:r>
              <w:rPr>
                <w:rFonts w:ascii="宋体" w:hAnsi="宋体"/>
                <w:b/>
                <w:bCs/>
                <w:color w:val="auto"/>
                <w:sz w:val="30"/>
                <w:szCs w:val="30"/>
                <w:highlight w:val="none"/>
              </w:rPr>
              <w:t>招标代理机构</w:t>
            </w:r>
          </w:p>
        </w:tc>
        <w:tc>
          <w:tcPr>
            <w:tcW w:w="5844" w:type="dxa"/>
            <w:vAlign w:val="center"/>
          </w:tcPr>
          <w:p w14:paraId="0F624C2A">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eastAsia="宋体"/>
                <w:b/>
                <w:bCs/>
                <w:color w:val="auto"/>
                <w:sz w:val="30"/>
                <w:szCs w:val="30"/>
                <w:highlight w:val="none"/>
                <w:lang w:eastAsia="zh-CN"/>
              </w:rPr>
              <w:t>温州荣祥项目管理咨询有限公司</w:t>
            </w:r>
          </w:p>
        </w:tc>
      </w:tr>
      <w:tr w14:paraId="7E1E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4" w:type="dxa"/>
            <w:vAlign w:val="center"/>
          </w:tcPr>
          <w:p w14:paraId="0A54C4F9">
            <w:pPr>
              <w:adjustRightInd w:val="0"/>
              <w:snapToGrid w:val="0"/>
              <w:spacing w:line="440" w:lineRule="exact"/>
              <w:jc w:val="left"/>
              <w:rPr>
                <w:rFonts w:ascii="宋体" w:hAnsi="宋体"/>
                <w:b/>
                <w:bCs/>
                <w:color w:val="auto"/>
                <w:spacing w:val="40"/>
                <w:sz w:val="30"/>
                <w:szCs w:val="30"/>
                <w:highlight w:val="none"/>
              </w:rPr>
            </w:pPr>
            <w:r>
              <w:rPr>
                <w:rFonts w:ascii="宋体" w:hAnsi="宋体"/>
                <w:b/>
                <w:bCs/>
                <w:color w:val="auto"/>
                <w:sz w:val="30"/>
                <w:szCs w:val="30"/>
                <w:highlight w:val="none"/>
              </w:rPr>
              <w:t>监督及备案机构</w:t>
            </w:r>
          </w:p>
        </w:tc>
        <w:tc>
          <w:tcPr>
            <w:tcW w:w="5844" w:type="dxa"/>
            <w:vAlign w:val="center"/>
          </w:tcPr>
          <w:p w14:paraId="385BAB71">
            <w:pPr>
              <w:adjustRightInd w:val="0"/>
              <w:snapToGrid w:val="0"/>
              <w:spacing w:line="440" w:lineRule="exact"/>
              <w:jc w:val="left"/>
              <w:rPr>
                <w:rFonts w:ascii="宋体" w:hAnsi="宋体"/>
                <w:b/>
                <w:bCs/>
                <w:color w:val="auto"/>
                <w:sz w:val="30"/>
                <w:szCs w:val="30"/>
                <w:highlight w:val="none"/>
              </w:rPr>
            </w:pPr>
            <w:r>
              <w:rPr>
                <w:rFonts w:ascii="宋体" w:hAnsi="宋体"/>
                <w:b/>
                <w:bCs/>
                <w:color w:val="auto"/>
                <w:sz w:val="30"/>
                <w:szCs w:val="30"/>
                <w:highlight w:val="none"/>
              </w:rPr>
              <w:t>泰顺县财政局</w:t>
            </w:r>
          </w:p>
        </w:tc>
      </w:tr>
    </w:tbl>
    <w:p w14:paraId="5A5D447C">
      <w:pPr>
        <w:jc w:val="both"/>
        <w:rPr>
          <w:rFonts w:ascii="宋体" w:hAnsi="宋体"/>
          <w:bCs/>
          <w:color w:val="auto"/>
          <w:sz w:val="24"/>
          <w:highlight w:val="none"/>
        </w:rPr>
      </w:pPr>
    </w:p>
    <w:p w14:paraId="20B09DBD">
      <w:pPr>
        <w:jc w:val="both"/>
        <w:rPr>
          <w:rFonts w:ascii="宋体" w:hAnsi="宋体"/>
          <w:bCs/>
          <w:color w:val="auto"/>
          <w:sz w:val="24"/>
          <w:highlight w:val="none"/>
        </w:rPr>
      </w:pPr>
    </w:p>
    <w:p w14:paraId="0187A09D">
      <w:pPr>
        <w:pStyle w:val="3"/>
        <w:ind w:left="0" w:leftChars="0" w:firstLine="0" w:firstLineChars="0"/>
        <w:rPr>
          <w:rFonts w:ascii="宋体" w:hAnsi="宋体"/>
          <w:bCs/>
          <w:color w:val="auto"/>
          <w:sz w:val="24"/>
          <w:highlight w:val="none"/>
        </w:rPr>
      </w:pPr>
    </w:p>
    <w:p w14:paraId="28084796">
      <w:pPr>
        <w:pStyle w:val="4"/>
        <w:ind w:left="0" w:leftChars="0" w:firstLine="0" w:firstLineChars="0"/>
        <w:rPr>
          <w:color w:val="auto"/>
          <w:highlight w:val="none"/>
        </w:rPr>
      </w:pPr>
    </w:p>
    <w:p w14:paraId="02488F00">
      <w:pPr>
        <w:spacing w:line="400" w:lineRule="exact"/>
        <w:jc w:val="both"/>
        <w:rPr>
          <w:rFonts w:ascii="宋体" w:hAnsi="宋体"/>
          <w:b/>
          <w:bCs/>
          <w:color w:val="auto"/>
          <w:spacing w:val="40"/>
          <w:sz w:val="30"/>
          <w:szCs w:val="30"/>
          <w:highlight w:val="none"/>
        </w:rPr>
      </w:pPr>
    </w:p>
    <w:p w14:paraId="3445DDE5">
      <w:pPr>
        <w:jc w:val="center"/>
        <w:rPr>
          <w:b/>
          <w:bCs/>
          <w:color w:val="auto"/>
          <w:sz w:val="28"/>
          <w:szCs w:val="28"/>
          <w:highlight w:val="none"/>
        </w:rPr>
      </w:pPr>
      <w:r>
        <w:rPr>
          <w:b/>
          <w:bCs/>
          <w:color w:val="auto"/>
          <w:sz w:val="28"/>
          <w:szCs w:val="28"/>
          <w:highlight w:val="none"/>
        </w:rPr>
        <w:t>二〇二</w:t>
      </w:r>
      <w:r>
        <w:rPr>
          <w:rFonts w:hint="eastAsia"/>
          <w:b/>
          <w:bCs/>
          <w:color w:val="auto"/>
          <w:sz w:val="28"/>
          <w:szCs w:val="28"/>
          <w:highlight w:val="none"/>
          <w:lang w:val="en-US" w:eastAsia="zh-CN"/>
        </w:rPr>
        <w:t>五</w:t>
      </w:r>
      <w:r>
        <w:rPr>
          <w:b/>
          <w:bCs/>
          <w:color w:val="auto"/>
          <w:sz w:val="28"/>
          <w:szCs w:val="28"/>
          <w:highlight w:val="none"/>
        </w:rPr>
        <w:t>年</w:t>
      </w:r>
      <w:r>
        <w:rPr>
          <w:rFonts w:hint="eastAsia"/>
          <w:b/>
          <w:bCs/>
          <w:color w:val="auto"/>
          <w:sz w:val="28"/>
          <w:szCs w:val="28"/>
          <w:highlight w:val="none"/>
          <w:lang w:val="en-US" w:eastAsia="zh-CN"/>
        </w:rPr>
        <w:t>九</w:t>
      </w:r>
      <w:r>
        <w:rPr>
          <w:rFonts w:hint="eastAsia"/>
          <w:b/>
          <w:bCs/>
          <w:color w:val="auto"/>
          <w:sz w:val="28"/>
          <w:szCs w:val="28"/>
          <w:highlight w:val="none"/>
        </w:rPr>
        <w:t>月</w:t>
      </w:r>
    </w:p>
    <w:p w14:paraId="6047D186">
      <w:pPr>
        <w:spacing w:line="400" w:lineRule="exact"/>
        <w:jc w:val="center"/>
        <w:rPr>
          <w:rFonts w:ascii="楷体" w:hAnsi="楷体" w:eastAsia="楷体" w:cs="楷体"/>
          <w:bCs/>
          <w:color w:val="auto"/>
          <w:sz w:val="44"/>
          <w:szCs w:val="44"/>
          <w:highlight w:val="none"/>
        </w:rPr>
      </w:pPr>
    </w:p>
    <w:p w14:paraId="0D2F8C5E">
      <w:pPr>
        <w:spacing w:line="400" w:lineRule="exact"/>
        <w:jc w:val="center"/>
        <w:rPr>
          <w:rFonts w:ascii="楷体" w:hAnsi="楷体" w:eastAsia="楷体" w:cs="楷体"/>
          <w:bCs/>
          <w:color w:val="auto"/>
          <w:sz w:val="44"/>
          <w:szCs w:val="44"/>
          <w:highlight w:val="none"/>
        </w:rPr>
        <w:sectPr>
          <w:headerReference r:id="rId4" w:type="first"/>
          <w:footerReference r:id="rId6" w:type="first"/>
          <w:headerReference r:id="rId3" w:type="default"/>
          <w:footerReference r:id="rId5" w:type="default"/>
          <w:pgSz w:w="11906" w:h="16838"/>
          <w:pgMar w:top="1247" w:right="1247" w:bottom="1247" w:left="1247"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14:paraId="029071A6">
      <w:pPr>
        <w:spacing w:line="400" w:lineRule="exact"/>
        <w:jc w:val="center"/>
        <w:rPr>
          <w:rFonts w:ascii="楷体" w:hAnsi="楷体" w:eastAsia="楷体" w:cs="楷体"/>
          <w:bCs/>
          <w:color w:val="auto"/>
          <w:sz w:val="44"/>
          <w:szCs w:val="44"/>
          <w:highlight w:val="none"/>
        </w:rPr>
      </w:pPr>
    </w:p>
    <w:p w14:paraId="2565FD86">
      <w:pPr>
        <w:spacing w:line="400" w:lineRule="exact"/>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招标文件目录</w:t>
      </w:r>
    </w:p>
    <w:p w14:paraId="0AB48F70">
      <w:pPr>
        <w:pStyle w:val="22"/>
        <w:tabs>
          <w:tab w:val="right" w:leader="dot" w:pos="9628"/>
        </w:tabs>
        <w:spacing w:line="480" w:lineRule="auto"/>
        <w:rPr>
          <w:rFonts w:hint="eastAsia" w:ascii="宋体" w:hAnsi="宋体" w:eastAsia="宋体" w:cs="宋体"/>
          <w:bCs w:val="0"/>
          <w:color w:val="auto"/>
          <w:sz w:val="28"/>
          <w:szCs w:val="28"/>
          <w:highlight w:val="none"/>
        </w:rPr>
      </w:pPr>
    </w:p>
    <w:p w14:paraId="687C4621">
      <w:pPr>
        <w:pStyle w:val="22"/>
        <w:tabs>
          <w:tab w:val="right" w:leader="dot" w:pos="9628"/>
        </w:tabs>
        <w:spacing w:line="480" w:lineRule="auto"/>
        <w:ind w:left="839" w:firstLine="420"/>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第一部分、投标邀请函（投标须知前附表）</w:t>
      </w:r>
    </w:p>
    <w:p w14:paraId="199B3F3F">
      <w:pPr>
        <w:pStyle w:val="22"/>
        <w:tabs>
          <w:tab w:val="right" w:leader="dot" w:pos="9628"/>
        </w:tabs>
        <w:spacing w:line="480" w:lineRule="auto"/>
        <w:ind w:left="839" w:firstLine="420"/>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第二部分、招标内容</w:t>
      </w:r>
    </w:p>
    <w:p w14:paraId="7980C66F">
      <w:pPr>
        <w:pStyle w:val="22"/>
        <w:tabs>
          <w:tab w:val="right" w:leader="dot" w:pos="9628"/>
        </w:tabs>
        <w:spacing w:line="480" w:lineRule="auto"/>
        <w:ind w:left="839" w:firstLine="420"/>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第三部分、供应商须知</w:t>
      </w:r>
    </w:p>
    <w:p w14:paraId="6E138CB1">
      <w:pPr>
        <w:pStyle w:val="22"/>
        <w:tabs>
          <w:tab w:val="right" w:leader="dot" w:pos="9628"/>
        </w:tabs>
        <w:spacing w:line="480" w:lineRule="auto"/>
        <w:ind w:left="839" w:firstLine="420"/>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第四部分、政府采购政策功能相关说明</w:t>
      </w:r>
    </w:p>
    <w:p w14:paraId="2901CFF1">
      <w:pPr>
        <w:pStyle w:val="22"/>
        <w:tabs>
          <w:tab w:val="right" w:leader="dot" w:pos="9628"/>
        </w:tabs>
        <w:spacing w:line="480" w:lineRule="auto"/>
        <w:ind w:left="839" w:firstLine="420"/>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第五部分、合同格式</w:t>
      </w:r>
    </w:p>
    <w:p w14:paraId="2C5AB1AE">
      <w:pPr>
        <w:pStyle w:val="22"/>
        <w:tabs>
          <w:tab w:val="right" w:leader="dot" w:pos="9628"/>
        </w:tabs>
        <w:spacing w:line="480" w:lineRule="auto"/>
        <w:ind w:left="839" w:firstLine="420"/>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第六部分、附件：投标文件格式</w:t>
      </w:r>
    </w:p>
    <w:p w14:paraId="50065756">
      <w:pPr>
        <w:pStyle w:val="22"/>
        <w:tabs>
          <w:tab w:val="right" w:leader="dot" w:pos="9628"/>
        </w:tabs>
        <w:spacing w:line="480" w:lineRule="auto"/>
        <w:ind w:left="839" w:firstLine="420"/>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w:t>
      </w:r>
      <w:r>
        <w:rPr>
          <w:rFonts w:hint="eastAsia" w:ascii="宋体" w:hAnsi="宋体" w:eastAsia="宋体" w:cs="宋体"/>
          <w:b w:val="0"/>
          <w:color w:val="auto"/>
          <w:sz w:val="28"/>
          <w:szCs w:val="28"/>
          <w:highlight w:val="none"/>
          <w:lang w:eastAsia="zh-CN"/>
        </w:rPr>
        <w:t>七</w:t>
      </w:r>
      <w:r>
        <w:rPr>
          <w:rFonts w:hint="eastAsia" w:ascii="宋体" w:hAnsi="宋体" w:eastAsia="宋体" w:cs="宋体"/>
          <w:b w:val="0"/>
          <w:color w:val="auto"/>
          <w:sz w:val="28"/>
          <w:szCs w:val="28"/>
          <w:highlight w:val="none"/>
        </w:rPr>
        <w:t>部分、评标办法</w:t>
      </w:r>
    </w:p>
    <w:p w14:paraId="7C046A66">
      <w:pPr>
        <w:pStyle w:val="22"/>
        <w:tabs>
          <w:tab w:val="right" w:leader="dot" w:pos="9628"/>
        </w:tabs>
        <w:spacing w:line="360" w:lineRule="auto"/>
        <w:ind w:left="840" w:firstLine="420"/>
        <w:rPr>
          <w:rFonts w:ascii="楷体" w:hAnsi="楷体" w:eastAsia="楷体" w:cs="楷体"/>
          <w:bCs w:val="0"/>
          <w:color w:val="auto"/>
          <w:sz w:val="28"/>
          <w:szCs w:val="28"/>
          <w:highlight w:val="none"/>
        </w:rPr>
      </w:pPr>
    </w:p>
    <w:p w14:paraId="4E3629C4">
      <w:pPr>
        <w:spacing w:line="400" w:lineRule="exact"/>
        <w:jc w:val="center"/>
        <w:rPr>
          <w:rFonts w:ascii="宋体" w:hAnsi="宋体"/>
          <w:b/>
          <w:bCs/>
          <w:color w:val="auto"/>
          <w:sz w:val="32"/>
          <w:szCs w:val="32"/>
          <w:highlight w:val="none"/>
        </w:rPr>
      </w:pPr>
    </w:p>
    <w:p w14:paraId="3B959238">
      <w:pPr>
        <w:spacing w:line="400" w:lineRule="exact"/>
        <w:jc w:val="center"/>
        <w:rPr>
          <w:rFonts w:ascii="宋体" w:hAnsi="宋体"/>
          <w:b/>
          <w:bCs/>
          <w:color w:val="auto"/>
          <w:sz w:val="32"/>
          <w:szCs w:val="32"/>
          <w:highlight w:val="none"/>
        </w:rPr>
      </w:pPr>
    </w:p>
    <w:p w14:paraId="1E836216">
      <w:pPr>
        <w:spacing w:line="400" w:lineRule="exact"/>
        <w:jc w:val="center"/>
        <w:rPr>
          <w:rFonts w:ascii="宋体" w:hAnsi="宋体"/>
          <w:b/>
          <w:bCs/>
          <w:color w:val="auto"/>
          <w:sz w:val="32"/>
          <w:szCs w:val="32"/>
          <w:highlight w:val="none"/>
        </w:rPr>
      </w:pPr>
    </w:p>
    <w:p w14:paraId="28BDF70D">
      <w:pPr>
        <w:spacing w:line="400" w:lineRule="exact"/>
        <w:jc w:val="center"/>
        <w:rPr>
          <w:rFonts w:ascii="宋体" w:hAnsi="宋体"/>
          <w:b/>
          <w:bCs/>
          <w:color w:val="auto"/>
          <w:sz w:val="32"/>
          <w:szCs w:val="32"/>
          <w:highlight w:val="none"/>
        </w:rPr>
      </w:pPr>
    </w:p>
    <w:p w14:paraId="1ABB110C">
      <w:pPr>
        <w:spacing w:line="400" w:lineRule="exact"/>
        <w:jc w:val="center"/>
        <w:rPr>
          <w:rFonts w:ascii="宋体" w:hAnsi="宋体"/>
          <w:b/>
          <w:bCs/>
          <w:color w:val="auto"/>
          <w:sz w:val="32"/>
          <w:szCs w:val="32"/>
          <w:highlight w:val="none"/>
        </w:rPr>
      </w:pPr>
    </w:p>
    <w:p w14:paraId="5CA995E2">
      <w:pPr>
        <w:pStyle w:val="22"/>
        <w:keepNext w:val="0"/>
        <w:keepLines w:val="0"/>
        <w:pageBreakBefore w:val="0"/>
        <w:widowControl w:val="0"/>
        <w:tabs>
          <w:tab w:val="right" w:leader="dot" w:pos="9628"/>
        </w:tabs>
        <w:kinsoku/>
        <w:wordWrap/>
        <w:overflowPunct/>
        <w:topLinePunct w:val="0"/>
        <w:autoSpaceDE/>
        <w:autoSpaceDN/>
        <w:bidi w:val="0"/>
        <w:adjustRightInd/>
        <w:snapToGrid/>
        <w:spacing w:line="480" w:lineRule="auto"/>
        <w:ind w:left="0" w:firstLine="482" w:firstLineChars="200"/>
        <w:textAlignment w:val="auto"/>
        <w:rPr>
          <w:rFonts w:hAnsi="宋体" w:cs="楷体"/>
          <w:color w:val="auto"/>
          <w:sz w:val="24"/>
          <w:szCs w:val="24"/>
          <w:highlight w:val="none"/>
          <w:u w:val="none"/>
        </w:rPr>
      </w:pPr>
      <w:r>
        <w:rPr>
          <w:rFonts w:hint="eastAsia" w:hAnsi="宋体" w:cs="楷体"/>
          <w:color w:val="auto"/>
          <w:sz w:val="24"/>
          <w:szCs w:val="24"/>
          <w:highlight w:val="none"/>
          <w:u w:val="none"/>
        </w:rPr>
        <w:t>注：招标文件中标注“▲”加粗的为招标的实质性要求和条件，不允许偏离，否则作无效标处理。供应商必须认真阅读和理解招标文件文件中的每一个条款及要求，因误读招标文件而造成的后果，采购单位及招标代理机构概不负责。</w:t>
      </w:r>
    </w:p>
    <w:p w14:paraId="6EE8A5FE">
      <w:pPr>
        <w:rPr>
          <w:rFonts w:ascii="宋体"/>
          <w:b/>
          <w:bCs/>
          <w:color w:val="auto"/>
          <w:sz w:val="36"/>
          <w:szCs w:val="36"/>
          <w:highlight w:val="none"/>
          <w:lang w:val="zh-CN"/>
        </w:rPr>
      </w:pPr>
      <w:r>
        <w:rPr>
          <w:rFonts w:hint="eastAsia" w:ascii="宋体"/>
          <w:b/>
          <w:bCs/>
          <w:color w:val="auto"/>
          <w:sz w:val="36"/>
          <w:szCs w:val="36"/>
          <w:highlight w:val="none"/>
          <w:lang w:val="zh-CN"/>
        </w:rPr>
        <w:br w:type="page"/>
      </w:r>
    </w:p>
    <w:p w14:paraId="714B1AAE">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ind w:left="0" w:right="0"/>
        <w:jc w:val="center"/>
        <w:outlineLvl w:val="0"/>
        <w:rPr>
          <w:rFonts w:hint="eastAsia" w:ascii="宋体" w:hAnsi="Times New Roman" w:eastAsia="宋体" w:cs="Times New Roman"/>
          <w:b/>
          <w:bCs/>
          <w:color w:val="auto"/>
          <w:sz w:val="32"/>
          <w:szCs w:val="32"/>
          <w:highlight w:val="none"/>
          <w:lang w:val="zh-CN" w:eastAsia="zh-CN"/>
        </w:rPr>
      </w:pPr>
      <w:r>
        <w:rPr>
          <w:rFonts w:hint="eastAsia" w:ascii="宋体" w:hAnsi="Times New Roman" w:eastAsia="宋体" w:cs="Times New Roman"/>
          <w:b/>
          <w:bCs/>
          <w:color w:val="auto"/>
          <w:sz w:val="32"/>
          <w:szCs w:val="32"/>
          <w:highlight w:val="none"/>
          <w:lang w:val="zh-CN" w:eastAsia="zh-CN"/>
        </w:rPr>
        <w:t>第一部分</w:t>
      </w:r>
      <w:r>
        <w:rPr>
          <w:rFonts w:hint="eastAsia" w:ascii="宋体" w:eastAsia="宋体" w:cs="Times New Roman"/>
          <w:b/>
          <w:bCs/>
          <w:color w:val="auto"/>
          <w:sz w:val="32"/>
          <w:szCs w:val="32"/>
          <w:highlight w:val="none"/>
          <w:lang w:val="zh-CN" w:eastAsia="zh-CN"/>
        </w:rPr>
        <w:t>、</w:t>
      </w:r>
      <w:r>
        <w:rPr>
          <w:rFonts w:hint="eastAsia" w:ascii="宋体" w:hAnsi="Times New Roman" w:eastAsia="宋体" w:cs="Times New Roman"/>
          <w:b/>
          <w:bCs/>
          <w:color w:val="auto"/>
          <w:sz w:val="32"/>
          <w:szCs w:val="32"/>
          <w:highlight w:val="none"/>
          <w:lang w:val="zh-CN" w:eastAsia="zh-CN"/>
        </w:rPr>
        <w:t>投标邀请函（投标须知前附表）</w:t>
      </w:r>
    </w:p>
    <w:tbl>
      <w:tblPr>
        <w:tblStyle w:val="30"/>
        <w:tblW w:w="94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97"/>
        <w:gridCol w:w="1815"/>
        <w:gridCol w:w="6794"/>
      </w:tblGrid>
      <w:tr w14:paraId="664E5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797" w:type="dxa"/>
            <w:tcBorders>
              <w:top w:val="single" w:color="auto" w:sz="12" w:space="0"/>
            </w:tcBorders>
            <w:vAlign w:val="center"/>
          </w:tcPr>
          <w:p w14:paraId="4699F888">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项号</w:t>
            </w:r>
          </w:p>
        </w:tc>
        <w:tc>
          <w:tcPr>
            <w:tcW w:w="1815" w:type="dxa"/>
            <w:tcBorders>
              <w:top w:val="single" w:color="auto" w:sz="12" w:space="0"/>
            </w:tcBorders>
            <w:vAlign w:val="center"/>
          </w:tcPr>
          <w:p w14:paraId="6A641490">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内容</w:t>
            </w:r>
          </w:p>
        </w:tc>
        <w:tc>
          <w:tcPr>
            <w:tcW w:w="6794" w:type="dxa"/>
            <w:tcBorders>
              <w:top w:val="single" w:color="auto" w:sz="12" w:space="0"/>
            </w:tcBorders>
            <w:vAlign w:val="center"/>
          </w:tcPr>
          <w:p w14:paraId="1CB31118">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说明与要求</w:t>
            </w:r>
          </w:p>
        </w:tc>
      </w:tr>
      <w:tr w14:paraId="61A89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97" w:type="dxa"/>
            <w:vAlign w:val="center"/>
          </w:tcPr>
          <w:p w14:paraId="57D7B0B4">
            <w:pPr>
              <w:numPr>
                <w:ilvl w:val="0"/>
                <w:numId w:val="6"/>
              </w:numPr>
              <w:ind w:left="425" w:leftChars="0" w:hanging="425" w:firstLineChars="0"/>
              <w:jc w:val="center"/>
              <w:rPr>
                <w:rFonts w:hint="eastAsia"/>
                <w:color w:val="auto"/>
                <w:highlight w:val="none"/>
              </w:rPr>
            </w:pPr>
          </w:p>
        </w:tc>
        <w:tc>
          <w:tcPr>
            <w:tcW w:w="1815" w:type="dxa"/>
            <w:vAlign w:val="center"/>
          </w:tcPr>
          <w:p w14:paraId="6CDEEA3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6794" w:type="dxa"/>
            <w:vAlign w:val="center"/>
          </w:tcPr>
          <w:p w14:paraId="10031734">
            <w:pPr>
              <w:jc w:val="both"/>
              <w:rPr>
                <w:rFonts w:hint="eastAsia" w:ascii="宋体" w:hAnsi="宋体" w:eastAsia="宋体" w:cs="宋体"/>
                <w:color w:val="auto"/>
                <w:w w:val="100"/>
                <w:sz w:val="22"/>
                <w:szCs w:val="22"/>
                <w:highlight w:val="none"/>
                <w:lang w:eastAsia="zh-CN"/>
              </w:rPr>
            </w:pPr>
            <w:r>
              <w:rPr>
                <w:rFonts w:hint="eastAsia" w:ascii="宋体" w:hAnsi="宋体" w:eastAsia="宋体" w:cs="宋体"/>
                <w:color w:val="auto"/>
                <w:w w:val="100"/>
                <w:sz w:val="22"/>
                <w:szCs w:val="22"/>
                <w:highlight w:val="none"/>
                <w:lang w:eastAsia="zh-CN"/>
              </w:rPr>
              <w:t>2025-2026泰顺县大安乡环卫保洁服务</w:t>
            </w:r>
          </w:p>
        </w:tc>
      </w:tr>
      <w:tr w14:paraId="33185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97" w:type="dxa"/>
            <w:vAlign w:val="center"/>
          </w:tcPr>
          <w:p w14:paraId="69AE9BD0">
            <w:pPr>
              <w:numPr>
                <w:ilvl w:val="0"/>
                <w:numId w:val="6"/>
              </w:numPr>
              <w:ind w:left="425" w:leftChars="0" w:hanging="425" w:firstLineChars="0"/>
              <w:jc w:val="center"/>
              <w:rPr>
                <w:rFonts w:hint="eastAsia"/>
                <w:color w:val="auto"/>
                <w:highlight w:val="none"/>
              </w:rPr>
            </w:pPr>
          </w:p>
        </w:tc>
        <w:tc>
          <w:tcPr>
            <w:tcW w:w="1815" w:type="dxa"/>
            <w:vAlign w:val="center"/>
          </w:tcPr>
          <w:p w14:paraId="3F63A51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6794" w:type="dxa"/>
            <w:vAlign w:val="center"/>
          </w:tcPr>
          <w:p w14:paraId="70C55DE7">
            <w:pPr>
              <w:jc w:val="both"/>
              <w:rPr>
                <w:rFonts w:hint="eastAsia" w:ascii="宋体" w:hAnsi="宋体" w:eastAsia="宋体" w:cs="宋体"/>
                <w:color w:val="auto"/>
                <w:w w:val="100"/>
                <w:sz w:val="22"/>
                <w:szCs w:val="22"/>
                <w:highlight w:val="none"/>
                <w:lang w:eastAsia="zh-CN"/>
              </w:rPr>
            </w:pPr>
            <w:r>
              <w:rPr>
                <w:rFonts w:hint="eastAsia" w:ascii="宋体" w:hAnsi="宋体" w:eastAsia="宋体" w:cs="宋体"/>
                <w:color w:val="auto"/>
                <w:w w:val="100"/>
                <w:sz w:val="22"/>
                <w:szCs w:val="22"/>
                <w:highlight w:val="none"/>
                <w:lang w:eastAsia="zh-CN"/>
              </w:rPr>
              <w:t xml:space="preserve">TSCG202509001 </w:t>
            </w:r>
          </w:p>
        </w:tc>
      </w:tr>
      <w:tr w14:paraId="34A73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97" w:type="dxa"/>
            <w:vAlign w:val="center"/>
          </w:tcPr>
          <w:p w14:paraId="4DDA020F">
            <w:pPr>
              <w:numPr>
                <w:ilvl w:val="0"/>
                <w:numId w:val="6"/>
              </w:numPr>
              <w:ind w:left="425" w:leftChars="0" w:hanging="425" w:firstLineChars="0"/>
              <w:jc w:val="center"/>
              <w:rPr>
                <w:rFonts w:hint="eastAsia"/>
                <w:color w:val="auto"/>
                <w:highlight w:val="none"/>
              </w:rPr>
            </w:pPr>
          </w:p>
        </w:tc>
        <w:tc>
          <w:tcPr>
            <w:tcW w:w="1815" w:type="dxa"/>
            <w:vAlign w:val="center"/>
          </w:tcPr>
          <w:p w14:paraId="78A7513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6794" w:type="dxa"/>
            <w:vAlign w:val="center"/>
          </w:tcPr>
          <w:p w14:paraId="6369FEA7">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财政性资金</w:t>
            </w:r>
          </w:p>
        </w:tc>
      </w:tr>
      <w:tr w14:paraId="1AAFB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97" w:type="dxa"/>
            <w:vAlign w:val="center"/>
          </w:tcPr>
          <w:p w14:paraId="3EC595A2">
            <w:pPr>
              <w:numPr>
                <w:ilvl w:val="0"/>
                <w:numId w:val="6"/>
              </w:numPr>
              <w:ind w:left="425" w:leftChars="0" w:hanging="425" w:firstLineChars="0"/>
              <w:jc w:val="center"/>
              <w:rPr>
                <w:rFonts w:hint="eastAsia"/>
                <w:color w:val="auto"/>
                <w:highlight w:val="none"/>
              </w:rPr>
            </w:pPr>
          </w:p>
        </w:tc>
        <w:tc>
          <w:tcPr>
            <w:tcW w:w="1815" w:type="dxa"/>
            <w:vAlign w:val="center"/>
          </w:tcPr>
          <w:p w14:paraId="6976B9A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6794" w:type="dxa"/>
            <w:vAlign w:val="center"/>
          </w:tcPr>
          <w:p w14:paraId="6D0ADAFA">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竞争性磋商</w:t>
            </w:r>
          </w:p>
        </w:tc>
      </w:tr>
      <w:tr w14:paraId="2EE26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97" w:type="dxa"/>
            <w:vAlign w:val="center"/>
          </w:tcPr>
          <w:p w14:paraId="12276504">
            <w:pPr>
              <w:numPr>
                <w:ilvl w:val="0"/>
                <w:numId w:val="6"/>
              </w:numPr>
              <w:ind w:left="425" w:leftChars="0" w:hanging="425" w:firstLineChars="0"/>
              <w:jc w:val="center"/>
              <w:rPr>
                <w:rFonts w:hint="eastAsia"/>
                <w:color w:val="auto"/>
                <w:highlight w:val="none"/>
              </w:rPr>
            </w:pPr>
          </w:p>
        </w:tc>
        <w:tc>
          <w:tcPr>
            <w:tcW w:w="1815" w:type="dxa"/>
            <w:vAlign w:val="center"/>
          </w:tcPr>
          <w:p w14:paraId="06C6E05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638C742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6794" w:type="dxa"/>
            <w:vAlign w:val="center"/>
          </w:tcPr>
          <w:p w14:paraId="1F17E750">
            <w:pPr>
              <w:jc w:val="both"/>
              <w:rPr>
                <w:rFonts w:hint="eastAsia" w:ascii="宋体" w:hAnsi="宋体" w:eastAsia="宋体" w:cs="宋体"/>
                <w:color w:val="auto"/>
                <w:w w:val="100"/>
                <w:sz w:val="22"/>
                <w:szCs w:val="22"/>
                <w:highlight w:val="none"/>
              </w:rPr>
            </w:pPr>
            <w:r>
              <w:rPr>
                <w:rFonts w:hint="eastAsia" w:ascii="宋体" w:hAnsi="宋体" w:eastAsia="宋体" w:cs="宋体"/>
                <w:bCs/>
                <w:color w:val="auto"/>
                <w:w w:val="100"/>
                <w:kern w:val="0"/>
                <w:sz w:val="22"/>
                <w:szCs w:val="22"/>
                <w:highlight w:val="none"/>
                <w:lang w:val="en-US" w:eastAsia="zh-CN"/>
              </w:rPr>
              <w:t>950000元</w:t>
            </w:r>
          </w:p>
        </w:tc>
      </w:tr>
      <w:tr w14:paraId="1FA56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97" w:type="dxa"/>
            <w:vAlign w:val="center"/>
          </w:tcPr>
          <w:p w14:paraId="0A08548C">
            <w:pPr>
              <w:numPr>
                <w:ilvl w:val="0"/>
                <w:numId w:val="6"/>
              </w:numPr>
              <w:ind w:left="425" w:leftChars="0" w:hanging="425" w:firstLineChars="0"/>
              <w:jc w:val="center"/>
              <w:rPr>
                <w:rFonts w:hint="eastAsia"/>
                <w:color w:val="auto"/>
                <w:highlight w:val="none"/>
              </w:rPr>
            </w:pPr>
          </w:p>
        </w:tc>
        <w:tc>
          <w:tcPr>
            <w:tcW w:w="1815" w:type="dxa"/>
            <w:vAlign w:val="center"/>
          </w:tcPr>
          <w:p w14:paraId="5333191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采购单位</w:t>
            </w:r>
          </w:p>
        </w:tc>
        <w:tc>
          <w:tcPr>
            <w:tcW w:w="6794" w:type="dxa"/>
            <w:vAlign w:val="center"/>
          </w:tcPr>
          <w:p w14:paraId="1CF5D533">
            <w:pPr>
              <w:pStyle w:val="53"/>
              <w:jc w:val="both"/>
              <w:rPr>
                <w:rFonts w:hint="eastAsia" w:ascii="宋体" w:hAnsi="宋体" w:eastAsia="宋体" w:cs="宋体"/>
                <w:bCs/>
                <w:color w:val="auto"/>
                <w:w w:val="100"/>
                <w:sz w:val="22"/>
                <w:szCs w:val="22"/>
                <w:highlight w:val="none"/>
                <w:lang w:eastAsia="zh-CN"/>
              </w:rPr>
            </w:pPr>
            <w:r>
              <w:rPr>
                <w:rFonts w:hint="eastAsia" w:ascii="宋体" w:hAnsi="宋体" w:eastAsia="宋体" w:cs="宋体"/>
                <w:bCs/>
                <w:color w:val="auto"/>
                <w:w w:val="100"/>
                <w:sz w:val="22"/>
                <w:szCs w:val="22"/>
                <w:highlight w:val="none"/>
              </w:rPr>
              <w:t>名称：</w:t>
            </w:r>
            <w:r>
              <w:rPr>
                <w:rFonts w:hint="eastAsia" w:ascii="宋体" w:hAnsi="宋体" w:eastAsia="宋体" w:cs="宋体"/>
                <w:bCs/>
                <w:color w:val="auto"/>
                <w:w w:val="100"/>
                <w:sz w:val="22"/>
                <w:szCs w:val="22"/>
                <w:highlight w:val="none"/>
                <w:lang w:eastAsia="zh-CN"/>
              </w:rPr>
              <w:t>泰顺县大安乡人民政府</w:t>
            </w:r>
          </w:p>
          <w:p w14:paraId="293774F8">
            <w:pPr>
              <w:pStyle w:val="53"/>
              <w:jc w:val="both"/>
              <w:rPr>
                <w:rFonts w:hint="eastAsia" w:ascii="宋体" w:hAnsi="宋体" w:eastAsia="宋体" w:cs="宋体"/>
                <w:bCs/>
                <w:color w:val="auto"/>
                <w:w w:val="100"/>
                <w:sz w:val="22"/>
                <w:szCs w:val="22"/>
                <w:highlight w:val="none"/>
                <w:lang w:eastAsia="zh-CN"/>
              </w:rPr>
            </w:pPr>
            <w:r>
              <w:rPr>
                <w:rFonts w:hint="eastAsia" w:ascii="宋体" w:hAnsi="宋体" w:eastAsia="宋体" w:cs="宋体"/>
                <w:bCs/>
                <w:color w:val="auto"/>
                <w:w w:val="100"/>
                <w:sz w:val="22"/>
                <w:szCs w:val="22"/>
                <w:highlight w:val="none"/>
              </w:rPr>
              <w:t>地址：</w:t>
            </w:r>
            <w:r>
              <w:rPr>
                <w:rFonts w:hint="eastAsia" w:ascii="宋体" w:hAnsi="宋体" w:eastAsia="宋体" w:cs="宋体"/>
                <w:bCs/>
                <w:color w:val="auto"/>
                <w:w w:val="100"/>
                <w:sz w:val="22"/>
                <w:szCs w:val="22"/>
                <w:highlight w:val="none"/>
                <w:lang w:eastAsia="zh-CN"/>
              </w:rPr>
              <w:t>温州市泰顺县大安乡安中路100号</w:t>
            </w:r>
          </w:p>
          <w:p w14:paraId="2668D08A">
            <w:pPr>
              <w:pStyle w:val="53"/>
              <w:jc w:val="both"/>
              <w:rPr>
                <w:rFonts w:hint="eastAsia" w:ascii="宋体" w:hAnsi="宋体" w:eastAsia="宋体" w:cs="宋体"/>
                <w:bCs/>
                <w:color w:val="auto"/>
                <w:w w:val="100"/>
                <w:sz w:val="22"/>
                <w:szCs w:val="22"/>
                <w:highlight w:val="none"/>
              </w:rPr>
            </w:pPr>
            <w:r>
              <w:rPr>
                <w:rFonts w:hint="eastAsia" w:ascii="宋体" w:hAnsi="宋体" w:eastAsia="宋体" w:cs="宋体"/>
                <w:bCs/>
                <w:color w:val="auto"/>
                <w:w w:val="100"/>
                <w:sz w:val="22"/>
                <w:szCs w:val="22"/>
                <w:highlight w:val="none"/>
              </w:rPr>
              <w:t>项目联系人（询问）：杨明星</w:t>
            </w:r>
          </w:p>
          <w:p w14:paraId="356BC396">
            <w:pPr>
              <w:pStyle w:val="53"/>
              <w:jc w:val="both"/>
              <w:rPr>
                <w:rFonts w:hint="eastAsia" w:ascii="宋体" w:hAnsi="宋体" w:eastAsia="宋体" w:cs="宋体"/>
                <w:bCs/>
                <w:color w:val="auto"/>
                <w:w w:val="100"/>
                <w:sz w:val="22"/>
                <w:szCs w:val="22"/>
                <w:highlight w:val="none"/>
              </w:rPr>
            </w:pPr>
            <w:r>
              <w:rPr>
                <w:rFonts w:hint="eastAsia" w:ascii="宋体" w:hAnsi="宋体" w:eastAsia="宋体" w:cs="宋体"/>
                <w:bCs/>
                <w:color w:val="auto"/>
                <w:w w:val="100"/>
                <w:sz w:val="22"/>
                <w:szCs w:val="22"/>
                <w:highlight w:val="none"/>
              </w:rPr>
              <w:t>项目联系方式（询问）：0577-59292100</w:t>
            </w:r>
          </w:p>
          <w:p w14:paraId="21DE941D">
            <w:pPr>
              <w:pStyle w:val="53"/>
              <w:jc w:val="both"/>
              <w:rPr>
                <w:rFonts w:hint="eastAsia" w:ascii="宋体" w:hAnsi="宋体" w:eastAsia="宋体" w:cs="宋体"/>
                <w:bCs/>
                <w:color w:val="auto"/>
                <w:w w:val="100"/>
                <w:sz w:val="22"/>
                <w:szCs w:val="22"/>
                <w:highlight w:val="none"/>
              </w:rPr>
            </w:pPr>
            <w:r>
              <w:rPr>
                <w:rFonts w:hint="eastAsia" w:ascii="宋体" w:hAnsi="宋体" w:eastAsia="宋体" w:cs="宋体"/>
                <w:bCs/>
                <w:color w:val="auto"/>
                <w:w w:val="100"/>
                <w:sz w:val="22"/>
                <w:szCs w:val="22"/>
                <w:highlight w:val="none"/>
              </w:rPr>
              <w:t>质疑联系人:刘德诚</w:t>
            </w:r>
          </w:p>
          <w:p w14:paraId="7844EABB">
            <w:pPr>
              <w:pStyle w:val="53"/>
              <w:jc w:val="both"/>
              <w:rPr>
                <w:rFonts w:hint="eastAsia" w:ascii="宋体" w:hAnsi="宋体" w:eastAsia="宋体" w:cs="宋体"/>
                <w:bCs/>
                <w:color w:val="auto"/>
                <w:w w:val="100"/>
                <w:sz w:val="22"/>
                <w:szCs w:val="22"/>
                <w:highlight w:val="none"/>
                <w:lang w:eastAsia="zh-CN"/>
              </w:rPr>
            </w:pPr>
            <w:r>
              <w:rPr>
                <w:rFonts w:hint="eastAsia" w:ascii="宋体" w:hAnsi="宋体" w:eastAsia="宋体" w:cs="宋体"/>
                <w:bCs/>
                <w:color w:val="auto"/>
                <w:w w:val="100"/>
                <w:sz w:val="22"/>
                <w:szCs w:val="22"/>
                <w:highlight w:val="none"/>
              </w:rPr>
              <w:t>质疑联系方式:0577-59293126</w:t>
            </w:r>
          </w:p>
        </w:tc>
      </w:tr>
      <w:tr w14:paraId="6A87E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97" w:type="dxa"/>
            <w:vAlign w:val="center"/>
          </w:tcPr>
          <w:p w14:paraId="0308DB8B">
            <w:pPr>
              <w:numPr>
                <w:ilvl w:val="0"/>
                <w:numId w:val="6"/>
              </w:numPr>
              <w:ind w:left="425" w:leftChars="0" w:hanging="425" w:firstLineChars="0"/>
              <w:jc w:val="center"/>
              <w:rPr>
                <w:rFonts w:hint="eastAsia"/>
                <w:color w:val="auto"/>
                <w:highlight w:val="none"/>
              </w:rPr>
            </w:pPr>
          </w:p>
        </w:tc>
        <w:tc>
          <w:tcPr>
            <w:tcW w:w="1815" w:type="dxa"/>
            <w:vAlign w:val="center"/>
          </w:tcPr>
          <w:p w14:paraId="5D03CAC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招标代理机构</w:t>
            </w:r>
          </w:p>
        </w:tc>
        <w:tc>
          <w:tcPr>
            <w:tcW w:w="6794" w:type="dxa"/>
            <w:vAlign w:val="center"/>
          </w:tcPr>
          <w:p w14:paraId="0D1011BB">
            <w:pPr>
              <w:jc w:val="both"/>
              <w:rPr>
                <w:rFonts w:hint="eastAsia" w:ascii="宋体" w:hAnsi="宋体" w:eastAsia="宋体" w:cs="宋体"/>
                <w:bCs/>
                <w:color w:val="auto"/>
                <w:w w:val="100"/>
                <w:sz w:val="22"/>
                <w:szCs w:val="22"/>
                <w:highlight w:val="none"/>
              </w:rPr>
            </w:pPr>
            <w:r>
              <w:rPr>
                <w:rFonts w:hint="eastAsia" w:ascii="宋体" w:hAnsi="宋体" w:eastAsia="宋体" w:cs="宋体"/>
                <w:bCs/>
                <w:color w:val="auto"/>
                <w:w w:val="100"/>
                <w:sz w:val="22"/>
                <w:szCs w:val="22"/>
                <w:highlight w:val="none"/>
              </w:rPr>
              <w:t>名称：</w:t>
            </w:r>
            <w:r>
              <w:rPr>
                <w:rFonts w:hint="eastAsia" w:ascii="宋体" w:hAnsi="宋体" w:eastAsia="宋体" w:cs="宋体"/>
                <w:bCs/>
                <w:color w:val="auto"/>
                <w:w w:val="100"/>
                <w:sz w:val="22"/>
                <w:szCs w:val="22"/>
                <w:highlight w:val="none"/>
                <w:lang w:eastAsia="zh-CN"/>
              </w:rPr>
              <w:t>温州荣祥项目管理咨询有限公司</w:t>
            </w:r>
          </w:p>
          <w:p w14:paraId="2353C94A">
            <w:pPr>
              <w:jc w:val="both"/>
              <w:rPr>
                <w:rFonts w:hint="eastAsia" w:ascii="宋体" w:hAnsi="宋体" w:eastAsia="宋体" w:cs="宋体"/>
                <w:bCs/>
                <w:color w:val="auto"/>
                <w:w w:val="100"/>
                <w:sz w:val="22"/>
                <w:szCs w:val="22"/>
                <w:highlight w:val="none"/>
                <w:lang w:eastAsia="zh-CN"/>
              </w:rPr>
            </w:pPr>
            <w:r>
              <w:rPr>
                <w:rFonts w:hint="eastAsia" w:ascii="宋体" w:hAnsi="宋体" w:eastAsia="宋体" w:cs="宋体"/>
                <w:bCs/>
                <w:color w:val="auto"/>
                <w:w w:val="100"/>
                <w:sz w:val="22"/>
                <w:szCs w:val="22"/>
                <w:highlight w:val="none"/>
              </w:rPr>
              <w:t>项目联系人（询问）：</w:t>
            </w:r>
            <w:r>
              <w:rPr>
                <w:rFonts w:hint="eastAsia" w:ascii="宋体" w:hAnsi="宋体" w:eastAsia="宋体" w:cs="宋体"/>
                <w:bCs/>
                <w:color w:val="auto"/>
                <w:w w:val="100"/>
                <w:sz w:val="22"/>
                <w:szCs w:val="22"/>
                <w:highlight w:val="none"/>
                <w:lang w:eastAsia="zh-CN"/>
              </w:rPr>
              <w:t>林丽芬</w:t>
            </w:r>
          </w:p>
          <w:p w14:paraId="0145A0F2">
            <w:pPr>
              <w:jc w:val="both"/>
              <w:rPr>
                <w:rFonts w:hint="eastAsia" w:ascii="宋体" w:hAnsi="宋体" w:eastAsia="宋体" w:cs="宋体"/>
                <w:bCs/>
                <w:color w:val="auto"/>
                <w:w w:val="100"/>
                <w:sz w:val="22"/>
                <w:szCs w:val="22"/>
                <w:highlight w:val="none"/>
                <w:lang w:eastAsia="zh-CN"/>
              </w:rPr>
            </w:pPr>
            <w:r>
              <w:rPr>
                <w:rFonts w:hint="eastAsia" w:ascii="宋体" w:hAnsi="宋体" w:eastAsia="宋体" w:cs="宋体"/>
                <w:bCs/>
                <w:color w:val="auto"/>
                <w:w w:val="100"/>
                <w:sz w:val="22"/>
                <w:szCs w:val="22"/>
                <w:highlight w:val="none"/>
              </w:rPr>
              <w:t>项目联系方式（询问）：</w:t>
            </w:r>
            <w:r>
              <w:rPr>
                <w:rFonts w:hint="eastAsia" w:ascii="宋体" w:hAnsi="宋体" w:eastAsia="宋体" w:cs="宋体"/>
                <w:bCs/>
                <w:color w:val="auto"/>
                <w:w w:val="100"/>
                <w:sz w:val="22"/>
                <w:szCs w:val="22"/>
                <w:highlight w:val="none"/>
                <w:lang w:eastAsia="zh-CN"/>
              </w:rPr>
              <w:t>15888757905</w:t>
            </w:r>
          </w:p>
          <w:p w14:paraId="006B6E7D">
            <w:pPr>
              <w:jc w:val="both"/>
              <w:rPr>
                <w:rFonts w:hint="eastAsia" w:ascii="宋体" w:hAnsi="宋体" w:eastAsia="宋体" w:cs="宋体"/>
                <w:bCs/>
                <w:color w:val="auto"/>
                <w:w w:val="100"/>
                <w:sz w:val="22"/>
                <w:szCs w:val="22"/>
                <w:highlight w:val="none"/>
                <w:lang w:eastAsia="zh-CN"/>
              </w:rPr>
            </w:pPr>
            <w:r>
              <w:rPr>
                <w:rFonts w:hint="eastAsia" w:ascii="宋体" w:hAnsi="宋体" w:eastAsia="宋体" w:cs="宋体"/>
                <w:bCs/>
                <w:color w:val="auto"/>
                <w:w w:val="100"/>
                <w:sz w:val="22"/>
                <w:szCs w:val="22"/>
                <w:highlight w:val="none"/>
              </w:rPr>
              <w:t>质疑联系人：</w:t>
            </w:r>
            <w:r>
              <w:rPr>
                <w:rFonts w:hint="eastAsia" w:ascii="宋体" w:hAnsi="宋体" w:eastAsia="宋体" w:cs="宋体"/>
                <w:bCs/>
                <w:color w:val="auto"/>
                <w:w w:val="100"/>
                <w:sz w:val="22"/>
                <w:szCs w:val="22"/>
                <w:highlight w:val="none"/>
                <w:lang w:eastAsia="zh-CN"/>
              </w:rPr>
              <w:t>吴瑶瑶</w:t>
            </w:r>
          </w:p>
          <w:p w14:paraId="635A7275">
            <w:pPr>
              <w:jc w:val="both"/>
              <w:rPr>
                <w:rFonts w:hint="eastAsia" w:ascii="宋体" w:hAnsi="宋体" w:eastAsia="宋体" w:cs="宋体"/>
                <w:bCs/>
                <w:color w:val="auto"/>
                <w:w w:val="100"/>
                <w:sz w:val="22"/>
                <w:szCs w:val="22"/>
                <w:highlight w:val="none"/>
                <w:lang w:val="en-US" w:eastAsia="zh-CN"/>
              </w:rPr>
            </w:pPr>
            <w:r>
              <w:rPr>
                <w:rFonts w:hint="eastAsia" w:ascii="宋体" w:hAnsi="宋体" w:eastAsia="宋体" w:cs="宋体"/>
                <w:bCs/>
                <w:color w:val="auto"/>
                <w:w w:val="100"/>
                <w:sz w:val="22"/>
                <w:szCs w:val="22"/>
                <w:highlight w:val="none"/>
              </w:rPr>
              <w:t>质疑联系方式：</w:t>
            </w:r>
            <w:r>
              <w:rPr>
                <w:rFonts w:hint="eastAsia" w:ascii="宋体" w:hAnsi="宋体" w:eastAsia="宋体" w:cs="宋体"/>
                <w:bCs/>
                <w:color w:val="auto"/>
                <w:w w:val="100"/>
                <w:sz w:val="22"/>
                <w:szCs w:val="22"/>
                <w:highlight w:val="none"/>
                <w:lang w:val="en-US" w:eastAsia="zh-CN"/>
              </w:rPr>
              <w:t>13858811953</w:t>
            </w:r>
          </w:p>
        </w:tc>
      </w:tr>
      <w:tr w14:paraId="073B4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97" w:type="dxa"/>
            <w:vAlign w:val="center"/>
          </w:tcPr>
          <w:p w14:paraId="5C38A3D3">
            <w:pPr>
              <w:numPr>
                <w:ilvl w:val="0"/>
                <w:numId w:val="6"/>
              </w:numPr>
              <w:ind w:left="425" w:leftChars="0" w:hanging="425" w:firstLineChars="0"/>
              <w:jc w:val="center"/>
              <w:rPr>
                <w:rFonts w:hint="eastAsia"/>
                <w:color w:val="auto"/>
                <w:highlight w:val="none"/>
              </w:rPr>
            </w:pPr>
          </w:p>
        </w:tc>
        <w:tc>
          <w:tcPr>
            <w:tcW w:w="1815" w:type="dxa"/>
            <w:vAlign w:val="center"/>
          </w:tcPr>
          <w:p w14:paraId="67327FF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同级政府采购监督管理部门</w:t>
            </w:r>
          </w:p>
        </w:tc>
        <w:tc>
          <w:tcPr>
            <w:tcW w:w="6794" w:type="dxa"/>
            <w:vAlign w:val="center"/>
          </w:tcPr>
          <w:p w14:paraId="2AE4F2BA">
            <w:pPr>
              <w:jc w:val="both"/>
              <w:rPr>
                <w:rFonts w:hint="eastAsia" w:ascii="宋体" w:hAnsi="宋体" w:eastAsia="宋体" w:cs="宋体"/>
                <w:bCs/>
                <w:color w:val="auto"/>
                <w:w w:val="100"/>
                <w:sz w:val="22"/>
                <w:szCs w:val="22"/>
                <w:highlight w:val="none"/>
              </w:rPr>
            </w:pPr>
            <w:r>
              <w:rPr>
                <w:rFonts w:hint="eastAsia" w:ascii="宋体" w:hAnsi="宋体" w:eastAsia="宋体" w:cs="宋体"/>
                <w:bCs/>
                <w:color w:val="auto"/>
                <w:w w:val="100"/>
                <w:sz w:val="22"/>
                <w:szCs w:val="22"/>
                <w:highlight w:val="none"/>
              </w:rPr>
              <w:t>名称：浙江省泰顺县财政局（浙江省政府采购行政裁决服务中心（温州））</w:t>
            </w:r>
          </w:p>
          <w:p w14:paraId="4BB9DE94">
            <w:pPr>
              <w:jc w:val="both"/>
              <w:rPr>
                <w:rFonts w:hint="eastAsia" w:ascii="宋体" w:hAnsi="宋体" w:eastAsia="宋体" w:cs="宋体"/>
                <w:bCs/>
                <w:color w:val="auto"/>
                <w:w w:val="100"/>
                <w:sz w:val="22"/>
                <w:szCs w:val="22"/>
                <w:highlight w:val="none"/>
              </w:rPr>
            </w:pPr>
            <w:r>
              <w:rPr>
                <w:rFonts w:hint="eastAsia" w:ascii="宋体" w:hAnsi="宋体" w:eastAsia="宋体" w:cs="宋体"/>
                <w:bCs/>
                <w:color w:val="auto"/>
                <w:w w:val="100"/>
                <w:sz w:val="22"/>
                <w:szCs w:val="22"/>
                <w:highlight w:val="none"/>
              </w:rPr>
              <w:t>联系人：李老师、王老师</w:t>
            </w:r>
          </w:p>
          <w:p w14:paraId="526C2610">
            <w:pPr>
              <w:jc w:val="both"/>
              <w:rPr>
                <w:rFonts w:hint="eastAsia" w:ascii="宋体" w:hAnsi="宋体" w:eastAsia="宋体" w:cs="宋体"/>
                <w:bCs/>
                <w:color w:val="auto"/>
                <w:w w:val="100"/>
                <w:sz w:val="22"/>
                <w:szCs w:val="22"/>
                <w:highlight w:val="none"/>
              </w:rPr>
            </w:pPr>
            <w:r>
              <w:rPr>
                <w:rFonts w:hint="eastAsia" w:ascii="宋体" w:hAnsi="宋体" w:eastAsia="宋体" w:cs="宋体"/>
                <w:bCs/>
                <w:color w:val="auto"/>
                <w:w w:val="100"/>
                <w:sz w:val="22"/>
                <w:szCs w:val="22"/>
                <w:highlight w:val="none"/>
              </w:rPr>
              <w:t>联系电话：0577-85501561，0577-85501562</w:t>
            </w:r>
          </w:p>
          <w:p w14:paraId="29BCA186">
            <w:pPr>
              <w:jc w:val="both"/>
              <w:rPr>
                <w:rFonts w:hint="eastAsia" w:ascii="宋体" w:hAnsi="宋体" w:eastAsia="宋体" w:cs="宋体"/>
                <w:bCs/>
                <w:color w:val="auto"/>
                <w:w w:val="100"/>
                <w:sz w:val="22"/>
                <w:szCs w:val="22"/>
                <w:highlight w:val="none"/>
              </w:rPr>
            </w:pPr>
            <w:r>
              <w:rPr>
                <w:rFonts w:hint="eastAsia" w:ascii="宋体" w:hAnsi="宋体" w:eastAsia="宋体" w:cs="宋体"/>
                <w:bCs/>
                <w:color w:val="auto"/>
                <w:w w:val="100"/>
                <w:sz w:val="22"/>
                <w:szCs w:val="22"/>
                <w:highlight w:val="none"/>
              </w:rPr>
              <w:t>联系地址：温州市鹿城区滨江街道瓯江路展银大厦1606室</w:t>
            </w:r>
          </w:p>
        </w:tc>
      </w:tr>
      <w:tr w14:paraId="1CCFA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97" w:type="dxa"/>
            <w:vAlign w:val="center"/>
          </w:tcPr>
          <w:p w14:paraId="30CEA0AC">
            <w:pPr>
              <w:numPr>
                <w:ilvl w:val="0"/>
                <w:numId w:val="6"/>
              </w:numPr>
              <w:ind w:left="425" w:leftChars="0" w:hanging="425" w:firstLineChars="0"/>
              <w:jc w:val="center"/>
              <w:rPr>
                <w:rFonts w:hint="eastAsia"/>
                <w:color w:val="auto"/>
                <w:highlight w:val="none"/>
              </w:rPr>
            </w:pPr>
          </w:p>
        </w:tc>
        <w:tc>
          <w:tcPr>
            <w:tcW w:w="1815" w:type="dxa"/>
            <w:vAlign w:val="center"/>
          </w:tcPr>
          <w:p w14:paraId="6F6027F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6794" w:type="dxa"/>
            <w:vAlign w:val="center"/>
          </w:tcPr>
          <w:p w14:paraId="31A1D031">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综合评分法</w:t>
            </w:r>
          </w:p>
        </w:tc>
      </w:tr>
      <w:tr w14:paraId="7720D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97" w:type="dxa"/>
            <w:vAlign w:val="center"/>
          </w:tcPr>
          <w:p w14:paraId="63E237E7">
            <w:pPr>
              <w:numPr>
                <w:ilvl w:val="0"/>
                <w:numId w:val="6"/>
              </w:numPr>
              <w:ind w:left="425" w:leftChars="0" w:hanging="425" w:firstLineChars="0"/>
              <w:jc w:val="center"/>
              <w:rPr>
                <w:rFonts w:hint="eastAsia"/>
                <w:color w:val="auto"/>
                <w:highlight w:val="none"/>
              </w:rPr>
            </w:pPr>
          </w:p>
        </w:tc>
        <w:tc>
          <w:tcPr>
            <w:tcW w:w="1815" w:type="dxa"/>
            <w:vAlign w:val="center"/>
          </w:tcPr>
          <w:p w14:paraId="0BAA928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6794" w:type="dxa"/>
            <w:vAlign w:val="center"/>
          </w:tcPr>
          <w:p w14:paraId="2F3C999C">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具体内容见竞争性磋商文件。</w:t>
            </w:r>
          </w:p>
        </w:tc>
      </w:tr>
      <w:tr w14:paraId="67003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70" w:hRule="atLeast"/>
          <w:jc w:val="center"/>
        </w:trPr>
        <w:tc>
          <w:tcPr>
            <w:tcW w:w="797" w:type="dxa"/>
            <w:vAlign w:val="center"/>
          </w:tcPr>
          <w:p w14:paraId="6134064B">
            <w:pPr>
              <w:numPr>
                <w:ilvl w:val="0"/>
                <w:numId w:val="6"/>
              </w:numPr>
              <w:ind w:left="425" w:leftChars="0" w:hanging="425" w:firstLineChars="0"/>
              <w:jc w:val="center"/>
              <w:rPr>
                <w:rFonts w:hint="eastAsia"/>
                <w:color w:val="auto"/>
                <w:highlight w:val="none"/>
              </w:rPr>
            </w:pPr>
          </w:p>
        </w:tc>
        <w:tc>
          <w:tcPr>
            <w:tcW w:w="1815" w:type="dxa"/>
            <w:vAlign w:val="center"/>
          </w:tcPr>
          <w:p w14:paraId="170A8FD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67264EB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6794" w:type="dxa"/>
            <w:vAlign w:val="center"/>
          </w:tcPr>
          <w:p w14:paraId="6D7F5DF9">
            <w:pPr>
              <w:widowControl/>
              <w:spacing w:line="300" w:lineRule="auto"/>
              <w:jc w:val="both"/>
              <w:rPr>
                <w:rFonts w:hint="eastAsia" w:ascii="宋体" w:hAnsi="宋体" w:eastAsia="宋体" w:cs="宋体"/>
                <w:color w:val="auto"/>
                <w:w w:val="100"/>
                <w:kern w:val="28"/>
                <w:sz w:val="22"/>
                <w:szCs w:val="22"/>
                <w:highlight w:val="none"/>
              </w:rPr>
            </w:pPr>
            <w:r>
              <w:rPr>
                <w:rFonts w:hint="eastAsia" w:ascii="宋体" w:hAnsi="宋体" w:eastAsia="宋体" w:cs="宋体"/>
                <w:color w:val="auto"/>
                <w:w w:val="100"/>
                <w:kern w:val="28"/>
                <w:sz w:val="22"/>
                <w:szCs w:val="22"/>
                <w:highlight w:val="none"/>
              </w:rPr>
              <w:t>1、满足《中华人民共和国政府采购法》第二十二条规定；</w:t>
            </w:r>
          </w:p>
          <w:p w14:paraId="31F3EB2B">
            <w:pPr>
              <w:widowControl/>
              <w:spacing w:line="300" w:lineRule="auto"/>
              <w:jc w:val="both"/>
              <w:rPr>
                <w:rFonts w:hint="eastAsia" w:ascii="宋体" w:hAnsi="宋体" w:eastAsia="宋体" w:cs="宋体"/>
                <w:color w:val="auto"/>
                <w:w w:val="100"/>
                <w:kern w:val="28"/>
                <w:sz w:val="22"/>
                <w:szCs w:val="22"/>
                <w:highlight w:val="none"/>
              </w:rPr>
            </w:pPr>
            <w:r>
              <w:rPr>
                <w:rFonts w:hint="eastAsia" w:ascii="宋体" w:hAnsi="宋体" w:eastAsia="宋体" w:cs="宋体"/>
                <w:color w:val="auto"/>
                <w:w w:val="100"/>
                <w:kern w:val="28"/>
                <w:sz w:val="22"/>
                <w:szCs w:val="22"/>
                <w:highlight w:val="none"/>
              </w:rPr>
              <w:t>1.1具有独立承担民事责任的能力；</w:t>
            </w:r>
          </w:p>
          <w:p w14:paraId="7F276455">
            <w:pPr>
              <w:widowControl/>
              <w:spacing w:line="300" w:lineRule="auto"/>
              <w:jc w:val="both"/>
              <w:rPr>
                <w:rFonts w:hint="eastAsia" w:ascii="宋体" w:hAnsi="宋体" w:eastAsia="宋体" w:cs="宋体"/>
                <w:color w:val="auto"/>
                <w:w w:val="100"/>
                <w:kern w:val="28"/>
                <w:sz w:val="22"/>
                <w:szCs w:val="22"/>
                <w:highlight w:val="none"/>
              </w:rPr>
            </w:pPr>
            <w:r>
              <w:rPr>
                <w:rFonts w:hint="eastAsia" w:ascii="宋体" w:hAnsi="宋体" w:eastAsia="宋体" w:cs="宋体"/>
                <w:color w:val="auto"/>
                <w:w w:val="100"/>
                <w:kern w:val="28"/>
                <w:sz w:val="22"/>
                <w:szCs w:val="22"/>
                <w:highlight w:val="none"/>
              </w:rPr>
              <w:t>1.2具有良好的商业信誉和健全的财务会计制度；</w:t>
            </w:r>
          </w:p>
          <w:p w14:paraId="6C949694">
            <w:pPr>
              <w:widowControl/>
              <w:spacing w:line="300" w:lineRule="auto"/>
              <w:jc w:val="both"/>
              <w:rPr>
                <w:rFonts w:hint="eastAsia" w:ascii="宋体" w:hAnsi="宋体" w:eastAsia="宋体" w:cs="宋体"/>
                <w:color w:val="auto"/>
                <w:w w:val="100"/>
                <w:kern w:val="28"/>
                <w:sz w:val="22"/>
                <w:szCs w:val="22"/>
                <w:highlight w:val="none"/>
              </w:rPr>
            </w:pPr>
            <w:r>
              <w:rPr>
                <w:rFonts w:hint="eastAsia" w:ascii="宋体" w:hAnsi="宋体" w:eastAsia="宋体" w:cs="宋体"/>
                <w:color w:val="auto"/>
                <w:w w:val="100"/>
                <w:kern w:val="28"/>
                <w:sz w:val="22"/>
                <w:szCs w:val="22"/>
                <w:highlight w:val="none"/>
              </w:rPr>
              <w:t>1.3具有履行合同所必需的设备和专业技术能力；</w:t>
            </w:r>
          </w:p>
          <w:p w14:paraId="310F4304">
            <w:pPr>
              <w:widowControl/>
              <w:spacing w:line="300" w:lineRule="auto"/>
              <w:jc w:val="both"/>
              <w:rPr>
                <w:rFonts w:hint="eastAsia" w:ascii="宋体" w:hAnsi="宋体" w:eastAsia="宋体" w:cs="宋体"/>
                <w:color w:val="auto"/>
                <w:w w:val="100"/>
                <w:kern w:val="28"/>
                <w:sz w:val="22"/>
                <w:szCs w:val="22"/>
                <w:highlight w:val="none"/>
              </w:rPr>
            </w:pPr>
            <w:r>
              <w:rPr>
                <w:rFonts w:hint="eastAsia" w:ascii="宋体" w:hAnsi="宋体" w:eastAsia="宋体" w:cs="宋体"/>
                <w:color w:val="auto"/>
                <w:w w:val="100"/>
                <w:kern w:val="28"/>
                <w:sz w:val="22"/>
                <w:szCs w:val="22"/>
                <w:highlight w:val="none"/>
              </w:rPr>
              <w:t>1.4有依法缴纳税收和社会保障资金的良好记录；</w:t>
            </w:r>
          </w:p>
          <w:p w14:paraId="465AC5E3">
            <w:pPr>
              <w:widowControl/>
              <w:spacing w:line="300" w:lineRule="auto"/>
              <w:jc w:val="both"/>
              <w:rPr>
                <w:rFonts w:hint="eastAsia" w:ascii="宋体" w:hAnsi="宋体" w:eastAsia="宋体" w:cs="宋体"/>
                <w:color w:val="auto"/>
                <w:w w:val="100"/>
                <w:kern w:val="28"/>
                <w:sz w:val="22"/>
                <w:szCs w:val="22"/>
                <w:highlight w:val="none"/>
              </w:rPr>
            </w:pPr>
            <w:r>
              <w:rPr>
                <w:rFonts w:hint="eastAsia" w:ascii="宋体" w:hAnsi="宋体" w:eastAsia="宋体" w:cs="宋体"/>
                <w:color w:val="auto"/>
                <w:w w:val="100"/>
                <w:kern w:val="28"/>
                <w:sz w:val="22"/>
                <w:szCs w:val="22"/>
                <w:highlight w:val="none"/>
              </w:rPr>
              <w:t>1.5参加政府采购活动前三年内，在经营活动中没有重大违法记录；</w:t>
            </w:r>
          </w:p>
          <w:p w14:paraId="3C589031">
            <w:pPr>
              <w:widowControl/>
              <w:spacing w:line="300" w:lineRule="auto"/>
              <w:jc w:val="both"/>
              <w:rPr>
                <w:rFonts w:hint="eastAsia" w:ascii="宋体" w:hAnsi="宋体" w:eastAsia="宋体" w:cs="宋体"/>
                <w:color w:val="auto"/>
                <w:w w:val="100"/>
                <w:kern w:val="28"/>
                <w:sz w:val="22"/>
                <w:szCs w:val="22"/>
                <w:highlight w:val="none"/>
              </w:rPr>
            </w:pPr>
            <w:r>
              <w:rPr>
                <w:rFonts w:hint="eastAsia" w:ascii="宋体" w:hAnsi="宋体" w:eastAsia="宋体" w:cs="宋体"/>
                <w:color w:val="auto"/>
                <w:w w:val="100"/>
                <w:kern w:val="28"/>
                <w:sz w:val="22"/>
                <w:szCs w:val="22"/>
                <w:highlight w:val="none"/>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4D9255C7">
            <w:pPr>
              <w:widowControl/>
              <w:spacing w:line="300" w:lineRule="auto"/>
              <w:jc w:val="both"/>
              <w:rPr>
                <w:rFonts w:hint="eastAsia" w:ascii="宋体" w:hAnsi="宋体" w:eastAsia="宋体" w:cs="宋体"/>
                <w:color w:val="auto"/>
                <w:w w:val="100"/>
                <w:kern w:val="28"/>
                <w:sz w:val="22"/>
                <w:szCs w:val="22"/>
                <w:highlight w:val="none"/>
              </w:rPr>
            </w:pPr>
            <w:r>
              <w:rPr>
                <w:rFonts w:hint="eastAsia" w:ascii="宋体" w:hAnsi="宋体" w:eastAsia="宋体" w:cs="宋体"/>
                <w:color w:val="auto"/>
                <w:w w:val="100"/>
                <w:kern w:val="28"/>
                <w:sz w:val="22"/>
                <w:szCs w:val="22"/>
                <w:highlight w:val="none"/>
              </w:rPr>
              <w:t>3、本项目谢绝联合体投标，不允许转包和分包；</w:t>
            </w:r>
          </w:p>
          <w:p w14:paraId="5D0569C6">
            <w:pPr>
              <w:widowControl/>
              <w:spacing w:line="300" w:lineRule="auto"/>
              <w:jc w:val="both"/>
              <w:rPr>
                <w:rFonts w:hint="eastAsia" w:ascii="宋体" w:hAnsi="宋体" w:eastAsia="宋体" w:cs="宋体"/>
                <w:color w:val="auto"/>
                <w:w w:val="100"/>
                <w:kern w:val="28"/>
                <w:sz w:val="22"/>
                <w:szCs w:val="22"/>
                <w:highlight w:val="none"/>
              </w:rPr>
            </w:pPr>
            <w:r>
              <w:rPr>
                <w:rFonts w:hint="eastAsia" w:ascii="宋体" w:hAnsi="宋体" w:eastAsia="宋体" w:cs="宋体"/>
                <w:color w:val="auto"/>
                <w:w w:val="100"/>
                <w:kern w:val="28"/>
                <w:sz w:val="22"/>
                <w:szCs w:val="22"/>
                <w:highlight w:val="none"/>
              </w:rPr>
              <w:t>4、法律、行政法规规定的其他条件</w:t>
            </w:r>
          </w:p>
        </w:tc>
      </w:tr>
      <w:tr w14:paraId="3AA38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797" w:type="dxa"/>
            <w:vAlign w:val="center"/>
          </w:tcPr>
          <w:p w14:paraId="5D9CA409">
            <w:pPr>
              <w:numPr>
                <w:ilvl w:val="0"/>
                <w:numId w:val="6"/>
              </w:numPr>
              <w:ind w:left="425" w:leftChars="0" w:hanging="425" w:firstLineChars="0"/>
              <w:jc w:val="center"/>
              <w:rPr>
                <w:rFonts w:hint="eastAsia"/>
                <w:color w:val="auto"/>
                <w:highlight w:val="none"/>
              </w:rPr>
            </w:pPr>
          </w:p>
        </w:tc>
        <w:tc>
          <w:tcPr>
            <w:tcW w:w="1815" w:type="dxa"/>
            <w:vAlign w:val="center"/>
          </w:tcPr>
          <w:p w14:paraId="70C99C03">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落实政府采购政策需满足的资格要求</w:t>
            </w:r>
          </w:p>
        </w:tc>
        <w:tc>
          <w:tcPr>
            <w:tcW w:w="6794" w:type="dxa"/>
            <w:vAlign w:val="center"/>
          </w:tcPr>
          <w:p w14:paraId="6017A971">
            <w:pPr>
              <w:widowControl/>
              <w:jc w:val="both"/>
              <w:rPr>
                <w:rFonts w:hint="eastAsia" w:ascii="宋体" w:hAnsi="宋体" w:eastAsia="宋体" w:cs="宋体"/>
                <w:color w:val="auto"/>
                <w:w w:val="100"/>
                <w:sz w:val="22"/>
                <w:szCs w:val="22"/>
                <w:highlight w:val="none"/>
                <w:lang w:eastAsia="zh-CN"/>
              </w:rPr>
            </w:pPr>
            <w:r>
              <w:rPr>
                <w:rFonts w:hint="eastAsia" w:ascii="宋体" w:hAnsi="宋体" w:eastAsia="宋体" w:cs="宋体"/>
                <w:color w:val="auto"/>
                <w:w w:val="100"/>
                <w:kern w:val="28"/>
                <w:sz w:val="22"/>
                <w:szCs w:val="22"/>
                <w:highlight w:val="none"/>
              </w:rPr>
              <w:t>本项目专门面向中小企业/小微企业采购，供应商应为</w:t>
            </w:r>
            <w:r>
              <w:rPr>
                <w:rFonts w:hint="eastAsia" w:ascii="宋体" w:hAnsi="宋体" w:eastAsia="宋体" w:cs="宋体"/>
                <w:color w:val="auto"/>
                <w:w w:val="100"/>
                <w:kern w:val="28"/>
                <w:sz w:val="22"/>
                <w:szCs w:val="22"/>
                <w:highlight w:val="none"/>
                <w:lang w:val="en-US" w:eastAsia="zh-CN"/>
              </w:rPr>
              <w:t>中</w:t>
            </w:r>
            <w:r>
              <w:rPr>
                <w:rFonts w:hint="eastAsia" w:ascii="宋体" w:hAnsi="宋体" w:eastAsia="宋体" w:cs="宋体"/>
                <w:color w:val="auto"/>
                <w:w w:val="100"/>
                <w:kern w:val="28"/>
                <w:sz w:val="22"/>
                <w:szCs w:val="22"/>
                <w:highlight w:val="none"/>
              </w:rPr>
              <w:t>小、微型企业或者监狱企业或者残疾人福利性单位。</w:t>
            </w:r>
          </w:p>
        </w:tc>
      </w:tr>
      <w:tr w14:paraId="5604B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797" w:type="dxa"/>
            <w:vAlign w:val="center"/>
          </w:tcPr>
          <w:p w14:paraId="6FA764EF">
            <w:pPr>
              <w:numPr>
                <w:ilvl w:val="0"/>
                <w:numId w:val="6"/>
              </w:numPr>
              <w:ind w:left="425" w:leftChars="0" w:hanging="425" w:firstLineChars="0"/>
              <w:jc w:val="center"/>
              <w:rPr>
                <w:rFonts w:hint="eastAsia"/>
                <w:color w:val="auto"/>
                <w:highlight w:val="none"/>
              </w:rPr>
            </w:pPr>
          </w:p>
        </w:tc>
        <w:tc>
          <w:tcPr>
            <w:tcW w:w="1815" w:type="dxa"/>
            <w:vAlign w:val="center"/>
          </w:tcPr>
          <w:p w14:paraId="3D4CFA4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6794" w:type="dxa"/>
            <w:vAlign w:val="center"/>
          </w:tcPr>
          <w:p w14:paraId="4E20C524">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fldChar w:fldCharType="begin"/>
            </w:r>
            <w:r>
              <w:rPr>
                <w:rFonts w:hint="eastAsia" w:ascii="宋体" w:hAnsi="宋体" w:eastAsia="宋体" w:cs="宋体"/>
                <w:color w:val="auto"/>
                <w:w w:val="100"/>
                <w:sz w:val="22"/>
                <w:szCs w:val="22"/>
                <w:highlight w:val="none"/>
              </w:rPr>
              <w:instrText xml:space="preserve"> eq \o\ac(</w:instrText>
            </w:r>
            <w:r>
              <w:rPr>
                <w:rFonts w:hint="eastAsia" w:ascii="宋体" w:hAnsi="宋体" w:eastAsia="宋体" w:cs="宋体"/>
                <w:color w:val="auto"/>
                <w:w w:val="100"/>
                <w:position w:val="-4"/>
                <w:sz w:val="22"/>
                <w:szCs w:val="22"/>
                <w:highlight w:val="none"/>
              </w:rPr>
              <w:instrText xml:space="preserve">□</w:instrText>
            </w:r>
            <w:r>
              <w:rPr>
                <w:rFonts w:hint="eastAsia" w:ascii="宋体" w:hAnsi="宋体" w:eastAsia="宋体" w:cs="宋体"/>
                <w:color w:val="auto"/>
                <w:w w:val="100"/>
                <w:position w:val="0"/>
                <w:sz w:val="22"/>
                <w:szCs w:val="22"/>
                <w:highlight w:val="none"/>
              </w:rPr>
              <w:instrText xml:space="preserve">,√)</w:instrText>
            </w:r>
            <w:r>
              <w:rPr>
                <w:rFonts w:hint="eastAsia" w:ascii="宋体" w:hAnsi="宋体" w:eastAsia="宋体" w:cs="宋体"/>
                <w:color w:val="auto"/>
                <w:w w:val="100"/>
                <w:sz w:val="22"/>
                <w:szCs w:val="22"/>
                <w:highlight w:val="none"/>
              </w:rPr>
              <w:fldChar w:fldCharType="end"/>
            </w:r>
            <w:r>
              <w:rPr>
                <w:rFonts w:hint="eastAsia" w:ascii="宋体" w:hAnsi="宋体" w:eastAsia="宋体" w:cs="宋体"/>
                <w:color w:val="auto"/>
                <w:w w:val="100"/>
                <w:sz w:val="22"/>
                <w:szCs w:val="22"/>
                <w:highlight w:val="none"/>
              </w:rPr>
              <w:t>不接受</w:t>
            </w:r>
          </w:p>
          <w:p w14:paraId="25C914F9">
            <w:pPr>
              <w:adjustRightInd w:val="0"/>
              <w:jc w:val="both"/>
              <w:rPr>
                <w:rFonts w:hint="eastAsia" w:ascii="宋体" w:hAnsi="宋体" w:eastAsia="宋体" w:cs="宋体"/>
                <w:color w:val="auto"/>
                <w:w w:val="100"/>
                <w:sz w:val="22"/>
                <w:szCs w:val="22"/>
                <w:highlight w:val="none"/>
                <w:lang w:eastAsia="zh-CN"/>
              </w:rPr>
            </w:pPr>
            <w:r>
              <w:rPr>
                <w:rFonts w:hint="eastAsia" w:ascii="宋体" w:hAnsi="宋体" w:eastAsia="宋体" w:cs="宋体"/>
                <w:color w:val="auto"/>
                <w:w w:val="100"/>
                <w:sz w:val="22"/>
                <w:szCs w:val="22"/>
                <w:highlight w:val="none"/>
              </w:rPr>
              <w:fldChar w:fldCharType="begin"/>
            </w:r>
            <w:r>
              <w:rPr>
                <w:rFonts w:hint="eastAsia" w:ascii="宋体" w:hAnsi="宋体" w:eastAsia="宋体" w:cs="宋体"/>
                <w:color w:val="auto"/>
                <w:w w:val="100"/>
                <w:sz w:val="22"/>
                <w:szCs w:val="22"/>
                <w:highlight w:val="none"/>
              </w:rPr>
              <w:instrText xml:space="preserve"> eq \o\ac(</w:instrText>
            </w:r>
            <w:r>
              <w:rPr>
                <w:rFonts w:hint="eastAsia" w:ascii="宋体" w:hAnsi="宋体" w:eastAsia="宋体" w:cs="宋体"/>
                <w:color w:val="auto"/>
                <w:w w:val="100"/>
                <w:position w:val="-4"/>
                <w:sz w:val="22"/>
                <w:szCs w:val="22"/>
                <w:highlight w:val="none"/>
              </w:rPr>
              <w:instrText xml:space="preserve">□</w:instrText>
            </w:r>
            <w:r>
              <w:rPr>
                <w:rFonts w:hint="eastAsia" w:ascii="宋体" w:hAnsi="宋体" w:eastAsia="宋体" w:cs="宋体"/>
                <w:color w:val="auto"/>
                <w:w w:val="100"/>
                <w:position w:val="0"/>
                <w:sz w:val="22"/>
                <w:szCs w:val="22"/>
                <w:highlight w:val="none"/>
              </w:rPr>
              <w:instrText xml:space="preserve">)</w:instrText>
            </w:r>
            <w:r>
              <w:rPr>
                <w:rFonts w:hint="eastAsia" w:ascii="宋体" w:hAnsi="宋体" w:eastAsia="宋体" w:cs="宋体"/>
                <w:color w:val="auto"/>
                <w:w w:val="100"/>
                <w:sz w:val="22"/>
                <w:szCs w:val="22"/>
                <w:highlight w:val="none"/>
              </w:rPr>
              <w:fldChar w:fldCharType="end"/>
            </w:r>
            <w:r>
              <w:rPr>
                <w:rFonts w:hint="eastAsia" w:ascii="宋体" w:hAnsi="宋体" w:eastAsia="宋体" w:cs="宋体"/>
                <w:color w:val="auto"/>
                <w:w w:val="100"/>
                <w:sz w:val="22"/>
                <w:szCs w:val="22"/>
                <w:highlight w:val="none"/>
              </w:rPr>
              <w:t>接受</w:t>
            </w:r>
          </w:p>
        </w:tc>
      </w:tr>
      <w:tr w14:paraId="306B7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797" w:type="dxa"/>
            <w:vAlign w:val="center"/>
          </w:tcPr>
          <w:p w14:paraId="32CD1F6D">
            <w:pPr>
              <w:numPr>
                <w:ilvl w:val="0"/>
                <w:numId w:val="6"/>
              </w:numPr>
              <w:ind w:left="425" w:leftChars="0" w:hanging="425" w:firstLineChars="0"/>
              <w:jc w:val="center"/>
              <w:rPr>
                <w:rFonts w:hint="eastAsia"/>
                <w:color w:val="auto"/>
                <w:highlight w:val="none"/>
              </w:rPr>
            </w:pPr>
          </w:p>
        </w:tc>
        <w:tc>
          <w:tcPr>
            <w:tcW w:w="1815" w:type="dxa"/>
            <w:vAlign w:val="center"/>
          </w:tcPr>
          <w:p w14:paraId="0F9A693B">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6794" w:type="dxa"/>
            <w:vAlign w:val="center"/>
          </w:tcPr>
          <w:p w14:paraId="2D7CCFDB">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fldChar w:fldCharType="begin"/>
            </w:r>
            <w:r>
              <w:rPr>
                <w:rFonts w:hint="eastAsia" w:ascii="宋体" w:hAnsi="宋体" w:eastAsia="宋体" w:cs="宋体"/>
                <w:color w:val="auto"/>
                <w:w w:val="100"/>
                <w:sz w:val="22"/>
                <w:szCs w:val="22"/>
                <w:highlight w:val="none"/>
              </w:rPr>
              <w:instrText xml:space="preserve"> eq \o\ac(</w:instrText>
            </w:r>
            <w:r>
              <w:rPr>
                <w:rFonts w:hint="eastAsia" w:ascii="宋体" w:hAnsi="宋体" w:eastAsia="宋体" w:cs="宋体"/>
                <w:color w:val="auto"/>
                <w:w w:val="100"/>
                <w:position w:val="-4"/>
                <w:sz w:val="22"/>
                <w:szCs w:val="22"/>
                <w:highlight w:val="none"/>
              </w:rPr>
              <w:instrText xml:space="preserve">□</w:instrText>
            </w:r>
            <w:r>
              <w:rPr>
                <w:rFonts w:hint="eastAsia" w:ascii="宋体" w:hAnsi="宋体" w:eastAsia="宋体" w:cs="宋体"/>
                <w:color w:val="auto"/>
                <w:w w:val="100"/>
                <w:position w:val="0"/>
                <w:sz w:val="22"/>
                <w:szCs w:val="22"/>
                <w:highlight w:val="none"/>
              </w:rPr>
              <w:instrText xml:space="preserve">,√)</w:instrText>
            </w:r>
            <w:r>
              <w:rPr>
                <w:rFonts w:hint="eastAsia" w:ascii="宋体" w:hAnsi="宋体" w:eastAsia="宋体" w:cs="宋体"/>
                <w:color w:val="auto"/>
                <w:w w:val="100"/>
                <w:sz w:val="22"/>
                <w:szCs w:val="22"/>
                <w:highlight w:val="none"/>
              </w:rPr>
              <w:fldChar w:fldCharType="end"/>
            </w:r>
            <w:r>
              <w:rPr>
                <w:rFonts w:hint="eastAsia" w:ascii="宋体" w:hAnsi="宋体" w:eastAsia="宋体" w:cs="宋体"/>
                <w:color w:val="auto"/>
                <w:w w:val="100"/>
                <w:sz w:val="22"/>
                <w:szCs w:val="22"/>
                <w:highlight w:val="none"/>
              </w:rPr>
              <w:t>不组织</w:t>
            </w:r>
          </w:p>
          <w:p w14:paraId="13E485BA">
            <w:pPr>
              <w:adjustRightInd w:val="0"/>
              <w:jc w:val="both"/>
              <w:rPr>
                <w:rFonts w:hint="eastAsia" w:ascii="宋体" w:hAnsi="宋体" w:eastAsia="宋体" w:cs="宋体"/>
                <w:color w:val="auto"/>
                <w:w w:val="100"/>
                <w:sz w:val="22"/>
                <w:szCs w:val="22"/>
                <w:highlight w:val="none"/>
                <w:lang w:eastAsia="zh-CN"/>
              </w:rPr>
            </w:pPr>
            <w:r>
              <w:rPr>
                <w:rFonts w:hint="eastAsia" w:ascii="宋体" w:hAnsi="宋体" w:eastAsia="宋体" w:cs="宋体"/>
                <w:color w:val="auto"/>
                <w:w w:val="100"/>
                <w:sz w:val="22"/>
                <w:szCs w:val="22"/>
                <w:highlight w:val="none"/>
              </w:rPr>
              <w:t>□组织</w:t>
            </w:r>
          </w:p>
        </w:tc>
      </w:tr>
      <w:tr w14:paraId="230EB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797" w:type="dxa"/>
            <w:vAlign w:val="center"/>
          </w:tcPr>
          <w:p w14:paraId="4C84F372">
            <w:pPr>
              <w:numPr>
                <w:ilvl w:val="0"/>
                <w:numId w:val="6"/>
              </w:numPr>
              <w:ind w:left="425" w:leftChars="0" w:hanging="425" w:firstLineChars="0"/>
              <w:jc w:val="center"/>
              <w:rPr>
                <w:rFonts w:hint="eastAsia"/>
                <w:color w:val="auto"/>
                <w:highlight w:val="none"/>
              </w:rPr>
            </w:pPr>
          </w:p>
        </w:tc>
        <w:tc>
          <w:tcPr>
            <w:tcW w:w="1815" w:type="dxa"/>
            <w:vAlign w:val="center"/>
          </w:tcPr>
          <w:p w14:paraId="506C6BB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6794" w:type="dxa"/>
            <w:vAlign w:val="center"/>
          </w:tcPr>
          <w:p w14:paraId="4DE478AD">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fldChar w:fldCharType="begin"/>
            </w:r>
            <w:r>
              <w:rPr>
                <w:rFonts w:hint="eastAsia" w:ascii="宋体" w:hAnsi="宋体" w:eastAsia="宋体" w:cs="宋体"/>
                <w:color w:val="auto"/>
                <w:w w:val="100"/>
                <w:sz w:val="22"/>
                <w:szCs w:val="22"/>
                <w:highlight w:val="none"/>
              </w:rPr>
              <w:instrText xml:space="preserve"> eq \o\ac(</w:instrText>
            </w:r>
            <w:r>
              <w:rPr>
                <w:rFonts w:hint="eastAsia" w:ascii="宋体" w:hAnsi="宋体" w:eastAsia="宋体" w:cs="宋体"/>
                <w:color w:val="auto"/>
                <w:w w:val="100"/>
                <w:position w:val="-4"/>
                <w:sz w:val="22"/>
                <w:szCs w:val="22"/>
                <w:highlight w:val="none"/>
              </w:rPr>
              <w:instrText xml:space="preserve">□</w:instrText>
            </w:r>
            <w:r>
              <w:rPr>
                <w:rFonts w:hint="eastAsia" w:ascii="宋体" w:hAnsi="宋体" w:eastAsia="宋体" w:cs="宋体"/>
                <w:color w:val="auto"/>
                <w:w w:val="100"/>
                <w:position w:val="0"/>
                <w:sz w:val="22"/>
                <w:szCs w:val="22"/>
                <w:highlight w:val="none"/>
              </w:rPr>
              <w:instrText xml:space="preserve">,√)</w:instrText>
            </w:r>
            <w:r>
              <w:rPr>
                <w:rFonts w:hint="eastAsia" w:ascii="宋体" w:hAnsi="宋体" w:eastAsia="宋体" w:cs="宋体"/>
                <w:color w:val="auto"/>
                <w:w w:val="100"/>
                <w:sz w:val="22"/>
                <w:szCs w:val="22"/>
                <w:highlight w:val="none"/>
              </w:rPr>
              <w:fldChar w:fldCharType="end"/>
            </w:r>
            <w:r>
              <w:rPr>
                <w:rFonts w:hint="eastAsia" w:ascii="宋体" w:hAnsi="宋体" w:eastAsia="宋体" w:cs="宋体"/>
                <w:color w:val="auto"/>
                <w:w w:val="100"/>
                <w:sz w:val="22"/>
                <w:szCs w:val="22"/>
                <w:highlight w:val="none"/>
              </w:rPr>
              <w:t>不允许</w:t>
            </w:r>
          </w:p>
          <w:p w14:paraId="7F8CCBD5">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□允许</w:t>
            </w:r>
          </w:p>
        </w:tc>
      </w:tr>
      <w:tr w14:paraId="6121E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797" w:type="dxa"/>
            <w:vAlign w:val="center"/>
          </w:tcPr>
          <w:p w14:paraId="2E3C3E5D">
            <w:pPr>
              <w:numPr>
                <w:ilvl w:val="0"/>
                <w:numId w:val="6"/>
              </w:numPr>
              <w:ind w:left="425" w:leftChars="0" w:hanging="425" w:firstLineChars="0"/>
              <w:jc w:val="center"/>
              <w:rPr>
                <w:rFonts w:hint="eastAsia"/>
                <w:color w:val="auto"/>
                <w:highlight w:val="none"/>
              </w:rPr>
            </w:pPr>
          </w:p>
        </w:tc>
        <w:tc>
          <w:tcPr>
            <w:tcW w:w="1815" w:type="dxa"/>
            <w:vAlign w:val="center"/>
          </w:tcPr>
          <w:p w14:paraId="0C2CCA3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6794" w:type="dxa"/>
            <w:vAlign w:val="center"/>
          </w:tcPr>
          <w:p w14:paraId="278A1B56">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人民币</w:t>
            </w:r>
          </w:p>
        </w:tc>
      </w:tr>
      <w:tr w14:paraId="05F8E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797" w:type="dxa"/>
            <w:vAlign w:val="center"/>
          </w:tcPr>
          <w:p w14:paraId="73521E8E">
            <w:pPr>
              <w:numPr>
                <w:ilvl w:val="0"/>
                <w:numId w:val="6"/>
              </w:numPr>
              <w:ind w:left="425" w:leftChars="0" w:hanging="425" w:firstLineChars="0"/>
              <w:jc w:val="center"/>
              <w:rPr>
                <w:rFonts w:hint="eastAsia"/>
                <w:color w:val="auto"/>
                <w:highlight w:val="none"/>
              </w:rPr>
            </w:pPr>
          </w:p>
        </w:tc>
        <w:tc>
          <w:tcPr>
            <w:tcW w:w="1815" w:type="dxa"/>
            <w:vAlign w:val="center"/>
          </w:tcPr>
          <w:p w14:paraId="5D02C2E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6794" w:type="dxa"/>
            <w:vAlign w:val="center"/>
          </w:tcPr>
          <w:p w14:paraId="5DEC4C79">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中文</w:t>
            </w:r>
          </w:p>
        </w:tc>
      </w:tr>
      <w:tr w14:paraId="097ED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797" w:type="dxa"/>
            <w:vAlign w:val="center"/>
          </w:tcPr>
          <w:p w14:paraId="4E09FDD3">
            <w:pPr>
              <w:numPr>
                <w:ilvl w:val="0"/>
                <w:numId w:val="6"/>
              </w:numPr>
              <w:ind w:left="425" w:leftChars="0" w:hanging="425" w:firstLineChars="0"/>
              <w:jc w:val="center"/>
              <w:rPr>
                <w:rFonts w:hint="eastAsia"/>
                <w:color w:val="auto"/>
                <w:highlight w:val="none"/>
              </w:rPr>
            </w:pPr>
          </w:p>
        </w:tc>
        <w:tc>
          <w:tcPr>
            <w:tcW w:w="1815" w:type="dxa"/>
            <w:vAlign w:val="center"/>
          </w:tcPr>
          <w:p w14:paraId="23E8852A">
            <w:pPr>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zh-CN"/>
              </w:rPr>
              <w:t>投标文件</w:t>
            </w:r>
            <w:r>
              <w:rPr>
                <w:rFonts w:hint="eastAsia" w:ascii="宋体" w:hAnsi="宋体" w:eastAsia="宋体" w:cs="宋体"/>
                <w:b/>
                <w:bCs/>
                <w:color w:val="auto"/>
                <w:sz w:val="22"/>
                <w:szCs w:val="22"/>
                <w:highlight w:val="none"/>
              </w:rPr>
              <w:t>说明</w:t>
            </w:r>
          </w:p>
        </w:tc>
        <w:tc>
          <w:tcPr>
            <w:tcW w:w="6794" w:type="dxa"/>
            <w:vAlign w:val="center"/>
          </w:tcPr>
          <w:p w14:paraId="57825ED6">
            <w:pPr>
              <w:autoSpaceDE w:val="0"/>
              <w:autoSpaceDN w:val="0"/>
              <w:adjustRightInd w:val="0"/>
              <w:jc w:val="both"/>
              <w:rPr>
                <w:rFonts w:hint="eastAsia" w:ascii="宋体" w:hAnsi="宋体" w:eastAsia="宋体" w:cs="宋体"/>
                <w:color w:val="auto"/>
                <w:w w:val="100"/>
                <w:sz w:val="22"/>
                <w:szCs w:val="22"/>
                <w:highlight w:val="none"/>
                <w:lang w:val="zh-CN"/>
              </w:rPr>
            </w:pPr>
            <w:r>
              <w:rPr>
                <w:rFonts w:hint="eastAsia" w:ascii="宋体" w:hAnsi="宋体" w:eastAsia="宋体" w:cs="宋体"/>
                <w:color w:val="auto"/>
                <w:w w:val="100"/>
                <w:sz w:val="22"/>
                <w:szCs w:val="22"/>
                <w:highlight w:val="none"/>
                <w:lang w:val="zh-CN"/>
              </w:rPr>
              <w:t>1、</w:t>
            </w:r>
            <w:r>
              <w:rPr>
                <w:rFonts w:hint="eastAsia" w:ascii="宋体" w:hAnsi="宋体" w:eastAsia="宋体" w:cs="宋体"/>
                <w:b/>
                <w:bCs/>
                <w:color w:val="auto"/>
                <w:w w:val="100"/>
                <w:sz w:val="22"/>
                <w:szCs w:val="22"/>
                <w:highlight w:val="none"/>
                <w:lang w:val="zh-CN"/>
              </w:rPr>
              <w:t>投标文件组成：</w:t>
            </w:r>
            <w:r>
              <w:rPr>
                <w:rFonts w:hint="eastAsia" w:ascii="宋体" w:hAnsi="宋体" w:eastAsia="宋体" w:cs="宋体"/>
                <w:color w:val="auto"/>
                <w:w w:val="100"/>
                <w:sz w:val="22"/>
                <w:szCs w:val="22"/>
                <w:highlight w:val="none"/>
                <w:lang w:val="zh-CN"/>
              </w:rPr>
              <w:t>《资格文件》及《商务技术文件》和《报价文件》。</w:t>
            </w:r>
          </w:p>
          <w:p w14:paraId="7ADECE6C">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w:t>
            </w:r>
            <w:r>
              <w:rPr>
                <w:rFonts w:hint="eastAsia" w:ascii="宋体" w:hAnsi="宋体" w:eastAsia="宋体" w:cs="宋体"/>
                <w:b/>
                <w:bCs/>
                <w:color w:val="auto"/>
                <w:w w:val="100"/>
                <w:sz w:val="22"/>
                <w:szCs w:val="22"/>
                <w:highlight w:val="none"/>
              </w:rPr>
              <w:t>投标文件编制：</w:t>
            </w:r>
            <w:r>
              <w:rPr>
                <w:rFonts w:hint="eastAsia" w:ascii="宋体" w:hAnsi="宋体" w:eastAsia="宋体" w:cs="宋体"/>
                <w:color w:val="auto"/>
                <w:w w:val="100"/>
                <w:sz w:val="22"/>
                <w:szCs w:val="22"/>
                <w:highlight w:val="none"/>
              </w:rPr>
              <w:t>供应商应先安装“政采云电子交易客户端”，并按照本采购文件和“政府采购云平台”的要求，通过“政采云电子交易客户端”编制并加密投标文件。</w:t>
            </w:r>
          </w:p>
          <w:p w14:paraId="4750D325">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3、</w:t>
            </w:r>
            <w:r>
              <w:rPr>
                <w:rFonts w:hint="eastAsia" w:ascii="宋体" w:hAnsi="宋体" w:eastAsia="宋体" w:cs="宋体"/>
                <w:b/>
                <w:bCs/>
                <w:color w:val="auto"/>
                <w:w w:val="100"/>
                <w:sz w:val="22"/>
                <w:szCs w:val="22"/>
                <w:highlight w:val="none"/>
              </w:rPr>
              <w:t>投标文件的签章：</w:t>
            </w:r>
            <w:r>
              <w:rPr>
                <w:rFonts w:hint="eastAsia" w:ascii="宋体" w:hAnsi="宋体" w:eastAsia="宋体" w:cs="宋体"/>
                <w:color w:val="auto"/>
                <w:w w:val="100"/>
                <w:sz w:val="22"/>
                <w:szCs w:val="22"/>
                <w:highlight w:val="none"/>
              </w:rPr>
              <w:t>电子签章。</w:t>
            </w:r>
          </w:p>
          <w:p w14:paraId="60D88DE9">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4、</w:t>
            </w:r>
            <w:r>
              <w:rPr>
                <w:rFonts w:hint="eastAsia" w:ascii="宋体" w:hAnsi="宋体" w:eastAsia="宋体" w:cs="宋体"/>
                <w:b/>
                <w:bCs/>
                <w:color w:val="auto"/>
                <w:w w:val="100"/>
                <w:sz w:val="22"/>
                <w:szCs w:val="22"/>
                <w:highlight w:val="none"/>
              </w:rPr>
              <w:t>投标文件的形式：</w:t>
            </w:r>
            <w:r>
              <w:rPr>
                <w:rFonts w:hint="eastAsia" w:ascii="宋体" w:hAnsi="宋体" w:eastAsia="宋体" w:cs="宋体"/>
                <w:color w:val="auto"/>
                <w:w w:val="100"/>
                <w:sz w:val="22"/>
                <w:szCs w:val="22"/>
                <w:highlight w:val="none"/>
              </w:rPr>
              <w:t>☑电子投标文件（包括“电子加密投标文件”）；</w:t>
            </w:r>
          </w:p>
          <w:p w14:paraId="7AA100E1">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“电子加密投标文件”是指通过“政采云电子交易客户端”完成投标文件编制后生成并加密的数据电文形式的投标文件。</w:t>
            </w:r>
          </w:p>
          <w:p w14:paraId="2EEB0C90">
            <w:pPr>
              <w:autoSpaceDE w:val="0"/>
              <w:autoSpaceDN w:val="0"/>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5、</w:t>
            </w:r>
            <w:r>
              <w:rPr>
                <w:rFonts w:hint="eastAsia" w:ascii="宋体" w:hAnsi="宋体" w:eastAsia="宋体" w:cs="宋体"/>
                <w:b/>
                <w:bCs/>
                <w:color w:val="auto"/>
                <w:w w:val="100"/>
                <w:sz w:val="22"/>
                <w:szCs w:val="22"/>
                <w:highlight w:val="none"/>
              </w:rPr>
              <w:t>投标文件份数：</w:t>
            </w:r>
            <w:r>
              <w:rPr>
                <w:rFonts w:hint="eastAsia" w:ascii="宋体" w:hAnsi="宋体" w:eastAsia="宋体" w:cs="宋体"/>
                <w:color w:val="auto"/>
                <w:w w:val="100"/>
                <w:sz w:val="22"/>
                <w:szCs w:val="22"/>
                <w:highlight w:val="none"/>
              </w:rPr>
              <w:t>“电子加密投标文件”：在线上传递交。</w:t>
            </w:r>
          </w:p>
          <w:p w14:paraId="415E459F">
            <w:pPr>
              <w:jc w:val="both"/>
              <w:rPr>
                <w:rFonts w:hint="eastAsia" w:ascii="宋体" w:hAnsi="宋体" w:eastAsia="宋体" w:cs="宋体"/>
                <w:b/>
                <w:bCs/>
                <w:color w:val="auto"/>
                <w:w w:val="100"/>
                <w:sz w:val="22"/>
                <w:szCs w:val="22"/>
                <w:highlight w:val="none"/>
              </w:rPr>
            </w:pPr>
            <w:r>
              <w:rPr>
                <w:rFonts w:hint="eastAsia" w:ascii="宋体" w:hAnsi="宋体" w:eastAsia="宋体" w:cs="宋体"/>
                <w:color w:val="auto"/>
                <w:w w:val="100"/>
                <w:sz w:val="22"/>
                <w:szCs w:val="22"/>
                <w:highlight w:val="none"/>
              </w:rPr>
              <w:t>6、</w:t>
            </w:r>
            <w:r>
              <w:rPr>
                <w:rFonts w:hint="eastAsia" w:ascii="宋体" w:hAnsi="宋体" w:eastAsia="宋体" w:cs="宋体"/>
                <w:b/>
                <w:bCs/>
                <w:color w:val="auto"/>
                <w:w w:val="100"/>
                <w:sz w:val="22"/>
                <w:szCs w:val="22"/>
                <w:highlight w:val="none"/>
              </w:rPr>
              <w:t>投标文件的上传和递交：</w:t>
            </w:r>
          </w:p>
          <w:p w14:paraId="64FEA376">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“电子加密投标文件”的上传、递交：</w:t>
            </w:r>
          </w:p>
          <w:p w14:paraId="0EB06DC6">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a.供应商应在投标截止时间前将“电子加密投标文件”成功上传递交至“政府采购云平台”，否则投标无效。</w:t>
            </w:r>
          </w:p>
          <w:p w14:paraId="783664FD">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b.“电子加密投标文件”成功上传递交后，供应商可自行打印投标文件接收回执。</w:t>
            </w:r>
          </w:p>
          <w:p w14:paraId="5C22CB60">
            <w:pPr>
              <w:jc w:val="both"/>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7、电子加密投标文件的解密和异常情况处理：</w:t>
            </w:r>
          </w:p>
          <w:p w14:paraId="22DAD2CC">
            <w:pPr>
              <w:autoSpaceDE w:val="0"/>
              <w:autoSpaceDN w:val="0"/>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（1）开标后，采购组织机构将向各供应商发出“电子加密投标文件”的解密通知，各供应商代表应当在接到解密通知后30分钟内自行完成“电子加密投标文件”的在线解密。</w:t>
            </w:r>
          </w:p>
          <w:p w14:paraId="0688FEF1">
            <w:pPr>
              <w:autoSpaceDE w:val="0"/>
              <w:autoSpaceDN w:val="0"/>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（2）通过“政府采购云平台”成功上传递交的“电子加密投标文件”无法按时解密，否则视为投标文件撤回。</w:t>
            </w:r>
          </w:p>
          <w:p w14:paraId="7DDD283B">
            <w:pPr>
              <w:snapToGri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（3）投标截止后，在投标有效期内，供应商不能撤销投标文件。</w:t>
            </w:r>
          </w:p>
          <w:p w14:paraId="22FE5974">
            <w:pPr>
              <w:snapToGri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8、投标截止后，在投标有效期</w:t>
            </w:r>
            <w:r>
              <w:rPr>
                <w:rFonts w:hint="eastAsia" w:ascii="宋体" w:hAnsi="宋体" w:eastAsia="宋体" w:cs="宋体"/>
                <w:color w:val="auto"/>
                <w:w w:val="100"/>
                <w:sz w:val="22"/>
                <w:szCs w:val="22"/>
                <w:highlight w:val="none"/>
                <w:lang w:eastAsia="zh-CN"/>
              </w:rPr>
              <w:t>（提交投标文件截止时间起90日历天内）</w:t>
            </w:r>
            <w:r>
              <w:rPr>
                <w:rFonts w:hint="eastAsia" w:ascii="宋体" w:hAnsi="宋体" w:eastAsia="宋体" w:cs="宋体"/>
                <w:color w:val="auto"/>
                <w:w w:val="100"/>
                <w:sz w:val="22"/>
                <w:szCs w:val="22"/>
                <w:highlight w:val="none"/>
              </w:rPr>
              <w:t>内，供应商不能撤销投标文件</w:t>
            </w:r>
          </w:p>
          <w:p w14:paraId="67BE3C61">
            <w:pPr>
              <w:snapToGri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9、供应商放弃成交或拒绝与采购单位签订合同的,按相关法律进行处理，原则上重新开展政府采购活动。</w:t>
            </w:r>
          </w:p>
          <w:p w14:paraId="42E05C1D">
            <w:pPr>
              <w:snapToGri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10、存在下列行为的，招标代理机构将其失信行为上报政府采购主管部门，由主管部门按有关规定对其违法失信行为记录进行公开：</w:t>
            </w:r>
          </w:p>
          <w:p w14:paraId="51743285">
            <w:pPr>
              <w:snapToGri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（1）中标或者成交后，拒绝签订政府采购合同的；</w:t>
            </w:r>
          </w:p>
          <w:p w14:paraId="6C4C72A4">
            <w:pPr>
              <w:snapToGri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（2）投标有效期内撤销投标文件的。</w:t>
            </w:r>
          </w:p>
        </w:tc>
      </w:tr>
      <w:tr w14:paraId="11799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797" w:type="dxa"/>
            <w:vAlign w:val="center"/>
          </w:tcPr>
          <w:p w14:paraId="7ACFD40B">
            <w:pPr>
              <w:numPr>
                <w:ilvl w:val="0"/>
                <w:numId w:val="6"/>
              </w:numPr>
              <w:ind w:left="425" w:leftChars="0" w:hanging="425" w:firstLineChars="0"/>
              <w:jc w:val="center"/>
              <w:rPr>
                <w:rFonts w:hint="eastAsia"/>
                <w:color w:val="auto"/>
                <w:highlight w:val="none"/>
              </w:rPr>
            </w:pPr>
          </w:p>
        </w:tc>
        <w:tc>
          <w:tcPr>
            <w:tcW w:w="1815" w:type="dxa"/>
            <w:vAlign w:val="center"/>
          </w:tcPr>
          <w:p w14:paraId="64CE606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投标样品</w:t>
            </w:r>
          </w:p>
        </w:tc>
        <w:tc>
          <w:tcPr>
            <w:tcW w:w="6794" w:type="dxa"/>
            <w:vAlign w:val="center"/>
          </w:tcPr>
          <w:p w14:paraId="40D816A0">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fldChar w:fldCharType="begin"/>
            </w:r>
            <w:r>
              <w:rPr>
                <w:rFonts w:hint="eastAsia" w:ascii="宋体" w:hAnsi="宋体" w:eastAsia="宋体" w:cs="宋体"/>
                <w:color w:val="auto"/>
                <w:w w:val="100"/>
                <w:sz w:val="22"/>
                <w:szCs w:val="22"/>
                <w:highlight w:val="none"/>
              </w:rPr>
              <w:instrText xml:space="preserve"> eq \o\ac(</w:instrText>
            </w:r>
            <w:r>
              <w:rPr>
                <w:rFonts w:hint="eastAsia" w:ascii="宋体" w:hAnsi="宋体" w:eastAsia="宋体" w:cs="宋体"/>
                <w:color w:val="auto"/>
                <w:w w:val="100"/>
                <w:position w:val="-4"/>
                <w:sz w:val="22"/>
                <w:szCs w:val="22"/>
                <w:highlight w:val="none"/>
              </w:rPr>
              <w:instrText xml:space="preserve">□</w:instrText>
            </w:r>
            <w:r>
              <w:rPr>
                <w:rFonts w:hint="eastAsia" w:ascii="宋体" w:hAnsi="宋体" w:eastAsia="宋体" w:cs="宋体"/>
                <w:color w:val="auto"/>
                <w:w w:val="100"/>
                <w:position w:val="0"/>
                <w:sz w:val="22"/>
                <w:szCs w:val="22"/>
                <w:highlight w:val="none"/>
              </w:rPr>
              <w:instrText xml:space="preserve">,√)</w:instrText>
            </w:r>
            <w:r>
              <w:rPr>
                <w:rFonts w:hint="eastAsia" w:ascii="宋体" w:hAnsi="宋体" w:eastAsia="宋体" w:cs="宋体"/>
                <w:color w:val="auto"/>
                <w:w w:val="100"/>
                <w:sz w:val="22"/>
                <w:szCs w:val="22"/>
                <w:highlight w:val="none"/>
              </w:rPr>
              <w:fldChar w:fldCharType="end"/>
            </w:r>
            <w:r>
              <w:rPr>
                <w:rFonts w:hint="eastAsia" w:ascii="宋体" w:hAnsi="宋体" w:eastAsia="宋体" w:cs="宋体"/>
                <w:color w:val="auto"/>
                <w:w w:val="100"/>
                <w:sz w:val="22"/>
                <w:szCs w:val="22"/>
                <w:highlight w:val="none"/>
              </w:rPr>
              <w:t>不需要</w:t>
            </w:r>
          </w:p>
          <w:p w14:paraId="12122376">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□需要</w:t>
            </w:r>
          </w:p>
        </w:tc>
      </w:tr>
      <w:tr w14:paraId="24B55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797" w:type="dxa"/>
            <w:vAlign w:val="center"/>
          </w:tcPr>
          <w:p w14:paraId="334AB7F2">
            <w:pPr>
              <w:numPr>
                <w:ilvl w:val="0"/>
                <w:numId w:val="6"/>
              </w:numPr>
              <w:ind w:left="425" w:leftChars="0" w:hanging="425" w:firstLineChars="0"/>
              <w:jc w:val="center"/>
              <w:rPr>
                <w:rFonts w:hint="eastAsia"/>
                <w:color w:val="auto"/>
                <w:highlight w:val="none"/>
              </w:rPr>
            </w:pPr>
          </w:p>
        </w:tc>
        <w:tc>
          <w:tcPr>
            <w:tcW w:w="1815" w:type="dxa"/>
            <w:vAlign w:val="center"/>
          </w:tcPr>
          <w:p w14:paraId="32C3961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履约担保</w:t>
            </w:r>
          </w:p>
        </w:tc>
        <w:tc>
          <w:tcPr>
            <w:tcW w:w="6794" w:type="dxa"/>
            <w:vAlign w:val="center"/>
          </w:tcPr>
          <w:p w14:paraId="6EE4761B">
            <w:pPr>
              <w:adjustRightInd w:val="0"/>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□不需要</w:t>
            </w:r>
          </w:p>
          <w:p w14:paraId="32F0F094">
            <w:pPr>
              <w:jc w:val="both"/>
              <w:rPr>
                <w:rFonts w:hint="eastAsia" w:ascii="宋体" w:hAnsi="宋体" w:eastAsia="宋体" w:cs="宋体"/>
                <w:color w:val="auto"/>
                <w:w w:val="100"/>
                <w:sz w:val="22"/>
                <w:szCs w:val="22"/>
                <w:highlight w:val="none"/>
                <w:lang w:eastAsia="zh-CN"/>
              </w:rPr>
            </w:pPr>
            <w:r>
              <w:rPr>
                <w:rFonts w:hint="eastAsia" w:ascii="宋体" w:hAnsi="宋体" w:eastAsia="宋体" w:cs="宋体"/>
                <w:color w:val="auto"/>
                <w:w w:val="100"/>
                <w:sz w:val="22"/>
                <w:szCs w:val="22"/>
                <w:highlight w:val="none"/>
              </w:rPr>
              <w:fldChar w:fldCharType="begin"/>
            </w:r>
            <w:r>
              <w:rPr>
                <w:rFonts w:hint="eastAsia" w:ascii="宋体" w:hAnsi="宋体" w:eastAsia="宋体" w:cs="宋体"/>
                <w:color w:val="auto"/>
                <w:w w:val="100"/>
                <w:sz w:val="22"/>
                <w:szCs w:val="22"/>
                <w:highlight w:val="none"/>
              </w:rPr>
              <w:instrText xml:space="preserve"> eq \o\ac(□,√)</w:instrText>
            </w:r>
            <w:r>
              <w:rPr>
                <w:rFonts w:hint="eastAsia" w:ascii="宋体" w:hAnsi="宋体" w:eastAsia="宋体" w:cs="宋体"/>
                <w:color w:val="auto"/>
                <w:w w:val="100"/>
                <w:sz w:val="22"/>
                <w:szCs w:val="22"/>
                <w:highlight w:val="none"/>
              </w:rPr>
              <w:fldChar w:fldCharType="end"/>
            </w:r>
            <w:r>
              <w:rPr>
                <w:rFonts w:hint="eastAsia" w:ascii="宋体" w:hAnsi="宋体" w:eastAsia="宋体" w:cs="宋体"/>
                <w:color w:val="auto"/>
                <w:w w:val="100"/>
                <w:sz w:val="22"/>
                <w:szCs w:val="22"/>
                <w:highlight w:val="none"/>
              </w:rPr>
              <w:t>需要。</w:t>
            </w:r>
            <w:r>
              <w:rPr>
                <w:rFonts w:hint="eastAsia" w:ascii="宋体" w:hAnsi="宋体" w:eastAsia="宋体" w:cs="宋体"/>
                <w:color w:val="auto"/>
                <w:w w:val="100"/>
                <w:sz w:val="22"/>
                <w:szCs w:val="22"/>
                <w:highlight w:val="none"/>
                <w:lang w:eastAsia="zh-CN"/>
              </w:rPr>
              <w:t>合同签订后5个工作日内成交供应商应提供合同总金额1%的履约保证金至采购单位指定账户，供应商以银行、保险公司出具保函形式提交履约保证金的，采购人不得拒收。</w:t>
            </w:r>
          </w:p>
        </w:tc>
      </w:tr>
      <w:tr w14:paraId="11B63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797" w:type="dxa"/>
            <w:vAlign w:val="center"/>
          </w:tcPr>
          <w:p w14:paraId="22EAF0E1">
            <w:pPr>
              <w:numPr>
                <w:ilvl w:val="0"/>
                <w:numId w:val="6"/>
              </w:numPr>
              <w:ind w:left="425" w:leftChars="0" w:hanging="425" w:firstLineChars="0"/>
              <w:jc w:val="center"/>
              <w:rPr>
                <w:rFonts w:hint="eastAsia"/>
                <w:color w:val="auto"/>
                <w:highlight w:val="none"/>
              </w:rPr>
            </w:pPr>
          </w:p>
        </w:tc>
        <w:tc>
          <w:tcPr>
            <w:tcW w:w="1815" w:type="dxa"/>
            <w:vAlign w:val="center"/>
          </w:tcPr>
          <w:p w14:paraId="6E983B8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竞争性磋商文件获取方式</w:t>
            </w:r>
          </w:p>
        </w:tc>
        <w:tc>
          <w:tcPr>
            <w:tcW w:w="6794" w:type="dxa"/>
            <w:vAlign w:val="center"/>
          </w:tcPr>
          <w:p w14:paraId="690BE061">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自本公告公布日起至投标文件递交截止时间前，均可获取招标文件，公告附件中的招标文件仅供阅读，招标文件合法获取方式如下：</w:t>
            </w:r>
          </w:p>
          <w:p w14:paraId="23266311">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①供应商登陆政采云账户（网址：http://www.zjzfcg.gov.cn/）找到本项目后点击获取采购文件；</w:t>
            </w:r>
          </w:p>
          <w:p w14:paraId="31D8EBB6">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②另本项目采购文件同时发布在泰顺县人民政府网-县公共资源交易平台（网址：http://www.ts.gov.cn/col/col1383420/index.html）。</w:t>
            </w:r>
          </w:p>
        </w:tc>
      </w:tr>
      <w:tr w14:paraId="61A21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797" w:type="dxa"/>
            <w:vAlign w:val="center"/>
          </w:tcPr>
          <w:p w14:paraId="7F2321E5">
            <w:pPr>
              <w:numPr>
                <w:ilvl w:val="0"/>
                <w:numId w:val="6"/>
              </w:numPr>
              <w:ind w:left="425" w:leftChars="0" w:hanging="425" w:firstLineChars="0"/>
              <w:jc w:val="center"/>
              <w:rPr>
                <w:rFonts w:hint="eastAsia"/>
                <w:color w:val="auto"/>
                <w:highlight w:val="none"/>
              </w:rPr>
            </w:pPr>
          </w:p>
        </w:tc>
        <w:tc>
          <w:tcPr>
            <w:tcW w:w="1815" w:type="dxa"/>
            <w:vAlign w:val="center"/>
          </w:tcPr>
          <w:p w14:paraId="23BE958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6794" w:type="dxa"/>
            <w:vAlign w:val="center"/>
          </w:tcPr>
          <w:p w14:paraId="54502B05">
            <w:pPr>
              <w:jc w:val="both"/>
              <w:rPr>
                <w:rFonts w:hint="eastAsia" w:ascii="宋体" w:hAnsi="宋体" w:eastAsia="宋体" w:cs="宋体"/>
                <w:color w:val="auto"/>
                <w:w w:val="100"/>
                <w:sz w:val="22"/>
                <w:szCs w:val="22"/>
                <w:highlight w:val="none"/>
              </w:rPr>
            </w:pPr>
            <w:r>
              <w:rPr>
                <w:rFonts w:hint="eastAsia" w:ascii="宋体" w:hAnsi="宋体" w:eastAsia="宋体" w:cs="宋体"/>
                <w:b/>
                <w:color w:val="auto"/>
                <w:w w:val="100"/>
                <w:sz w:val="22"/>
                <w:szCs w:val="22"/>
                <w:highlight w:val="none"/>
                <w:lang w:eastAsia="zh-CN"/>
              </w:rPr>
              <w:t>202</w:t>
            </w:r>
            <w:r>
              <w:rPr>
                <w:rFonts w:hint="eastAsia" w:ascii="宋体" w:hAnsi="宋体" w:eastAsia="宋体" w:cs="宋体"/>
                <w:b/>
                <w:color w:val="auto"/>
                <w:w w:val="100"/>
                <w:sz w:val="22"/>
                <w:szCs w:val="22"/>
                <w:highlight w:val="none"/>
                <w:lang w:val="en-US" w:eastAsia="zh-CN"/>
              </w:rPr>
              <w:t>5</w:t>
            </w:r>
            <w:r>
              <w:rPr>
                <w:rFonts w:hint="eastAsia" w:ascii="宋体" w:hAnsi="宋体" w:eastAsia="宋体" w:cs="宋体"/>
                <w:b/>
                <w:color w:val="auto"/>
                <w:w w:val="100"/>
                <w:sz w:val="22"/>
                <w:szCs w:val="22"/>
                <w:highlight w:val="none"/>
                <w:lang w:eastAsia="zh-CN"/>
              </w:rPr>
              <w:t>年</w:t>
            </w:r>
            <w:r>
              <w:rPr>
                <w:rFonts w:hint="eastAsia" w:ascii="宋体" w:hAnsi="宋体" w:eastAsia="宋体" w:cs="宋体"/>
                <w:b/>
                <w:color w:val="auto"/>
                <w:w w:val="100"/>
                <w:sz w:val="22"/>
                <w:szCs w:val="22"/>
                <w:highlight w:val="none"/>
                <w:lang w:val="en-US" w:eastAsia="zh-CN"/>
              </w:rPr>
              <w:t>9</w:t>
            </w:r>
            <w:r>
              <w:rPr>
                <w:rFonts w:hint="eastAsia" w:ascii="宋体" w:hAnsi="宋体" w:eastAsia="宋体" w:cs="宋体"/>
                <w:b/>
                <w:color w:val="auto"/>
                <w:w w:val="100"/>
                <w:sz w:val="22"/>
                <w:szCs w:val="22"/>
                <w:highlight w:val="none"/>
                <w:lang w:eastAsia="zh-CN"/>
              </w:rPr>
              <w:t>月</w:t>
            </w:r>
            <w:r>
              <w:rPr>
                <w:rFonts w:hint="eastAsia" w:ascii="宋体" w:hAnsi="宋体" w:eastAsia="宋体" w:cs="宋体"/>
                <w:b/>
                <w:color w:val="auto"/>
                <w:w w:val="100"/>
                <w:sz w:val="22"/>
                <w:szCs w:val="22"/>
                <w:highlight w:val="none"/>
                <w:lang w:val="en-US" w:eastAsia="zh-CN"/>
              </w:rPr>
              <w:t>23</w:t>
            </w:r>
            <w:r>
              <w:rPr>
                <w:rFonts w:hint="eastAsia" w:ascii="宋体" w:hAnsi="宋体" w:eastAsia="宋体" w:cs="宋体"/>
                <w:b/>
                <w:color w:val="auto"/>
                <w:w w:val="100"/>
                <w:sz w:val="22"/>
                <w:szCs w:val="22"/>
                <w:highlight w:val="none"/>
                <w:lang w:eastAsia="zh-CN"/>
              </w:rPr>
              <w:t>日</w:t>
            </w:r>
            <w:r>
              <w:rPr>
                <w:rFonts w:hint="eastAsia" w:ascii="宋体" w:hAnsi="宋体" w:eastAsia="宋体" w:cs="宋体"/>
                <w:b/>
                <w:color w:val="auto"/>
                <w:w w:val="100"/>
                <w:sz w:val="22"/>
                <w:szCs w:val="22"/>
                <w:highlight w:val="none"/>
                <w:lang w:val="en-US" w:eastAsia="zh-CN"/>
              </w:rPr>
              <w:t>9</w:t>
            </w:r>
            <w:r>
              <w:rPr>
                <w:rFonts w:hint="eastAsia" w:ascii="宋体" w:hAnsi="宋体" w:eastAsia="宋体" w:cs="宋体"/>
                <w:b/>
                <w:color w:val="auto"/>
                <w:w w:val="100"/>
                <w:sz w:val="22"/>
                <w:szCs w:val="22"/>
                <w:highlight w:val="none"/>
                <w:lang w:eastAsia="zh-CN"/>
              </w:rPr>
              <w:t>点00分</w:t>
            </w:r>
            <w:r>
              <w:rPr>
                <w:rFonts w:hint="eastAsia" w:ascii="宋体" w:hAnsi="宋体" w:eastAsia="宋体" w:cs="宋体"/>
                <w:color w:val="auto"/>
                <w:w w:val="100"/>
                <w:sz w:val="22"/>
                <w:szCs w:val="22"/>
                <w:highlight w:val="none"/>
              </w:rPr>
              <w:t>截止(北京时间)。</w:t>
            </w:r>
          </w:p>
        </w:tc>
      </w:tr>
      <w:tr w14:paraId="38353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8" w:hRule="atLeast"/>
          <w:jc w:val="center"/>
        </w:trPr>
        <w:tc>
          <w:tcPr>
            <w:tcW w:w="797" w:type="dxa"/>
            <w:vAlign w:val="center"/>
          </w:tcPr>
          <w:p w14:paraId="2980ED8E">
            <w:pPr>
              <w:numPr>
                <w:ilvl w:val="0"/>
                <w:numId w:val="6"/>
              </w:numPr>
              <w:ind w:left="425" w:leftChars="0" w:hanging="425" w:firstLineChars="0"/>
              <w:jc w:val="center"/>
              <w:rPr>
                <w:rFonts w:hint="eastAsia"/>
                <w:color w:val="auto"/>
                <w:highlight w:val="none"/>
              </w:rPr>
            </w:pPr>
          </w:p>
        </w:tc>
        <w:tc>
          <w:tcPr>
            <w:tcW w:w="1815" w:type="dxa"/>
            <w:vAlign w:val="center"/>
          </w:tcPr>
          <w:p w14:paraId="558FEAA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投标文件递交地点</w:t>
            </w:r>
          </w:p>
        </w:tc>
        <w:tc>
          <w:tcPr>
            <w:tcW w:w="6794" w:type="dxa"/>
            <w:vAlign w:val="center"/>
          </w:tcPr>
          <w:p w14:paraId="6C63D3E1">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通过“政府采购云平台（www.zcygov.cn）”实行在线投标响应</w:t>
            </w:r>
          </w:p>
        </w:tc>
      </w:tr>
      <w:tr w14:paraId="0CEF9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40" w:hRule="atLeast"/>
          <w:jc w:val="center"/>
        </w:trPr>
        <w:tc>
          <w:tcPr>
            <w:tcW w:w="797" w:type="dxa"/>
            <w:vAlign w:val="center"/>
          </w:tcPr>
          <w:p w14:paraId="1C3D62EB">
            <w:pPr>
              <w:numPr>
                <w:ilvl w:val="0"/>
                <w:numId w:val="6"/>
              </w:numPr>
              <w:ind w:left="425" w:leftChars="0" w:hanging="425" w:firstLineChars="0"/>
              <w:jc w:val="center"/>
              <w:rPr>
                <w:rFonts w:hint="eastAsia"/>
                <w:color w:val="auto"/>
                <w:highlight w:val="none"/>
              </w:rPr>
            </w:pPr>
          </w:p>
        </w:tc>
        <w:tc>
          <w:tcPr>
            <w:tcW w:w="1815" w:type="dxa"/>
            <w:vAlign w:val="center"/>
          </w:tcPr>
          <w:p w14:paraId="561357F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105A81E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p>
        </w:tc>
        <w:tc>
          <w:tcPr>
            <w:tcW w:w="6794" w:type="dxa"/>
            <w:vAlign w:val="center"/>
          </w:tcPr>
          <w:p w14:paraId="7AE742B1">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开标时间：</w:t>
            </w:r>
            <w:r>
              <w:rPr>
                <w:rFonts w:hint="eastAsia" w:ascii="宋体" w:hAnsi="宋体" w:eastAsia="宋体" w:cs="宋体"/>
                <w:b/>
                <w:color w:val="auto"/>
                <w:w w:val="100"/>
                <w:sz w:val="22"/>
                <w:szCs w:val="22"/>
                <w:highlight w:val="none"/>
                <w:lang w:eastAsia="zh-CN"/>
              </w:rPr>
              <w:t>202</w:t>
            </w:r>
            <w:r>
              <w:rPr>
                <w:rFonts w:hint="eastAsia" w:ascii="宋体" w:hAnsi="宋体" w:eastAsia="宋体" w:cs="宋体"/>
                <w:b/>
                <w:color w:val="auto"/>
                <w:w w:val="100"/>
                <w:sz w:val="22"/>
                <w:szCs w:val="22"/>
                <w:highlight w:val="none"/>
                <w:lang w:val="en-US" w:eastAsia="zh-CN"/>
              </w:rPr>
              <w:t>5</w:t>
            </w:r>
            <w:r>
              <w:rPr>
                <w:rFonts w:hint="eastAsia" w:ascii="宋体" w:hAnsi="宋体" w:eastAsia="宋体" w:cs="宋体"/>
                <w:b/>
                <w:color w:val="auto"/>
                <w:w w:val="100"/>
                <w:sz w:val="22"/>
                <w:szCs w:val="22"/>
                <w:highlight w:val="none"/>
                <w:lang w:eastAsia="zh-CN"/>
              </w:rPr>
              <w:t>年</w:t>
            </w:r>
            <w:r>
              <w:rPr>
                <w:rFonts w:hint="eastAsia" w:ascii="宋体" w:hAnsi="宋体" w:eastAsia="宋体" w:cs="宋体"/>
                <w:b/>
                <w:color w:val="auto"/>
                <w:w w:val="100"/>
                <w:sz w:val="22"/>
                <w:szCs w:val="22"/>
                <w:highlight w:val="none"/>
                <w:lang w:val="en-US" w:eastAsia="zh-CN"/>
              </w:rPr>
              <w:t>9</w:t>
            </w:r>
            <w:r>
              <w:rPr>
                <w:rFonts w:hint="eastAsia" w:ascii="宋体" w:hAnsi="宋体" w:eastAsia="宋体" w:cs="宋体"/>
                <w:b/>
                <w:color w:val="auto"/>
                <w:w w:val="100"/>
                <w:sz w:val="22"/>
                <w:szCs w:val="22"/>
                <w:highlight w:val="none"/>
                <w:lang w:eastAsia="zh-CN"/>
              </w:rPr>
              <w:t>月</w:t>
            </w:r>
            <w:r>
              <w:rPr>
                <w:rFonts w:hint="eastAsia" w:ascii="宋体" w:hAnsi="宋体" w:eastAsia="宋体" w:cs="宋体"/>
                <w:b/>
                <w:color w:val="auto"/>
                <w:w w:val="100"/>
                <w:sz w:val="22"/>
                <w:szCs w:val="22"/>
                <w:highlight w:val="none"/>
                <w:lang w:val="en-US" w:eastAsia="zh-CN"/>
              </w:rPr>
              <w:t xml:space="preserve"> 23</w:t>
            </w:r>
            <w:r>
              <w:rPr>
                <w:rFonts w:hint="eastAsia" w:ascii="宋体" w:hAnsi="宋体" w:eastAsia="宋体" w:cs="宋体"/>
                <w:b/>
                <w:color w:val="auto"/>
                <w:w w:val="100"/>
                <w:sz w:val="22"/>
                <w:szCs w:val="22"/>
                <w:highlight w:val="none"/>
                <w:lang w:eastAsia="zh-CN"/>
              </w:rPr>
              <w:t>日</w:t>
            </w:r>
            <w:r>
              <w:rPr>
                <w:rFonts w:hint="eastAsia" w:ascii="宋体" w:hAnsi="宋体" w:eastAsia="宋体" w:cs="宋体"/>
                <w:b/>
                <w:color w:val="auto"/>
                <w:w w:val="100"/>
                <w:sz w:val="22"/>
                <w:szCs w:val="22"/>
                <w:highlight w:val="none"/>
                <w:lang w:val="en-US" w:eastAsia="zh-CN"/>
              </w:rPr>
              <w:t>9</w:t>
            </w:r>
            <w:r>
              <w:rPr>
                <w:rFonts w:hint="eastAsia" w:ascii="宋体" w:hAnsi="宋体" w:eastAsia="宋体" w:cs="宋体"/>
                <w:b/>
                <w:color w:val="auto"/>
                <w:w w:val="100"/>
                <w:sz w:val="22"/>
                <w:szCs w:val="22"/>
                <w:highlight w:val="none"/>
                <w:lang w:eastAsia="zh-CN"/>
              </w:rPr>
              <w:t>点00分</w:t>
            </w:r>
            <w:r>
              <w:rPr>
                <w:rFonts w:hint="eastAsia" w:ascii="宋体" w:hAnsi="宋体" w:eastAsia="宋体" w:cs="宋体"/>
                <w:color w:val="auto"/>
                <w:w w:val="100"/>
                <w:sz w:val="22"/>
                <w:szCs w:val="22"/>
                <w:highlight w:val="none"/>
              </w:rPr>
              <w:t>时(北京时间)</w:t>
            </w:r>
          </w:p>
          <w:p w14:paraId="6EC02863">
            <w:pPr>
              <w:jc w:val="both"/>
              <w:rPr>
                <w:rFonts w:hint="eastAsia" w:ascii="宋体" w:hAnsi="宋体" w:eastAsia="宋体" w:cs="宋体"/>
                <w:color w:val="auto"/>
                <w:w w:val="100"/>
                <w:sz w:val="22"/>
                <w:szCs w:val="22"/>
                <w:highlight w:val="none"/>
                <w:lang w:eastAsia="zh-CN"/>
              </w:rPr>
            </w:pPr>
            <w:r>
              <w:rPr>
                <w:rFonts w:hint="eastAsia" w:ascii="宋体" w:hAnsi="宋体" w:eastAsia="宋体" w:cs="宋体"/>
                <w:color w:val="auto"/>
                <w:w w:val="100"/>
                <w:sz w:val="22"/>
                <w:szCs w:val="22"/>
                <w:highlight w:val="none"/>
              </w:rPr>
              <w:t>开标地点：泰顺县公共资源交易中心5楼开评标室（温州市泰顺县罗阳镇新城大道123号）</w:t>
            </w:r>
          </w:p>
        </w:tc>
      </w:tr>
      <w:tr w14:paraId="285C1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797" w:type="dxa"/>
            <w:vAlign w:val="center"/>
          </w:tcPr>
          <w:p w14:paraId="0B45160B">
            <w:pPr>
              <w:numPr>
                <w:ilvl w:val="0"/>
                <w:numId w:val="6"/>
              </w:numPr>
              <w:ind w:left="425" w:leftChars="0" w:hanging="425" w:firstLineChars="0"/>
              <w:jc w:val="center"/>
              <w:rPr>
                <w:rFonts w:hint="eastAsia"/>
                <w:color w:val="auto"/>
                <w:highlight w:val="none"/>
              </w:rPr>
            </w:pPr>
          </w:p>
        </w:tc>
        <w:tc>
          <w:tcPr>
            <w:tcW w:w="1815" w:type="dxa"/>
            <w:vAlign w:val="center"/>
          </w:tcPr>
          <w:p w14:paraId="6EF8D2D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开标程序</w:t>
            </w:r>
          </w:p>
        </w:tc>
        <w:tc>
          <w:tcPr>
            <w:tcW w:w="6794" w:type="dxa"/>
            <w:vAlign w:val="center"/>
          </w:tcPr>
          <w:p w14:paraId="2E198FD2">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（一）开标准备</w:t>
            </w:r>
          </w:p>
          <w:p w14:paraId="16A0DD48">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48B99DAA">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2、若磋商供应商在规定时间内无法解密或解密失败，投标无效。</w:t>
            </w:r>
          </w:p>
          <w:p w14:paraId="693FEE90">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4CDBE115">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（二）电子招投标开标及评审程序</w:t>
            </w:r>
          </w:p>
          <w:p w14:paraId="5C60A881">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01219187">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2、投标文件解密结束，开启响应文件，磋商小组对资格和商务技术响应文件进行评审；</w:t>
            </w:r>
          </w:p>
          <w:p w14:paraId="4C5640A2">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3、供应商按签到的前后顺序决定磋商的顺序，就价格、服务等认为需要磋商的内容进行磋商，供应商逐家回答磋商小组的提问，响应人作出最终承诺和最终报价。</w:t>
            </w:r>
          </w:p>
          <w:p w14:paraId="21B06E98">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4、在系统上公开资格和商务技术评审结果；</w:t>
            </w:r>
          </w:p>
          <w:p w14:paraId="2600D61A">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5.在系统上录入最终报价情况；</w:t>
            </w:r>
          </w:p>
          <w:p w14:paraId="786FFC7E">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6.磋商小组对报价情况进行评审；</w:t>
            </w:r>
          </w:p>
          <w:p w14:paraId="02FFEABC">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7.在系统上公布评审结果。</w:t>
            </w:r>
          </w:p>
          <w:p w14:paraId="0F656A3D">
            <w:pPr>
              <w:jc w:val="both"/>
              <w:rPr>
                <w:rFonts w:hint="eastAsia" w:ascii="宋体" w:hAnsi="宋体" w:eastAsia="宋体" w:cs="宋体"/>
                <w:color w:val="auto"/>
                <w:w w:val="100"/>
                <w:sz w:val="22"/>
                <w:szCs w:val="22"/>
                <w:highlight w:val="none"/>
              </w:rPr>
            </w:pPr>
            <w:r>
              <w:rPr>
                <w:rFonts w:hint="eastAsia" w:ascii="宋体" w:hAnsi="宋体" w:eastAsia="宋体" w:cs="宋体"/>
                <w:b/>
                <w:bCs/>
                <w:color w:val="auto"/>
                <w:w w:val="100"/>
                <w:sz w:val="22"/>
                <w:szCs w:val="22"/>
                <w:highlight w:val="none"/>
              </w:rPr>
              <w:t>特别说明：政采云公司如对电子化开标及评审程序有调整的，按调整后的程序操作。</w:t>
            </w:r>
          </w:p>
        </w:tc>
      </w:tr>
      <w:tr w14:paraId="6E7B2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797" w:type="dxa"/>
            <w:vAlign w:val="center"/>
          </w:tcPr>
          <w:p w14:paraId="68DA841A">
            <w:pPr>
              <w:numPr>
                <w:ilvl w:val="0"/>
                <w:numId w:val="6"/>
              </w:numPr>
              <w:ind w:left="425" w:leftChars="0" w:hanging="425" w:firstLineChars="0"/>
              <w:jc w:val="center"/>
              <w:rPr>
                <w:rFonts w:hint="eastAsia"/>
                <w:color w:val="auto"/>
                <w:highlight w:val="none"/>
              </w:rPr>
            </w:pPr>
          </w:p>
        </w:tc>
        <w:tc>
          <w:tcPr>
            <w:tcW w:w="1815" w:type="dxa"/>
            <w:vAlign w:val="center"/>
          </w:tcPr>
          <w:p w14:paraId="73D8565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评审小组的</w:t>
            </w:r>
          </w:p>
          <w:p w14:paraId="3C3C010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6794" w:type="dxa"/>
            <w:vAlign w:val="center"/>
          </w:tcPr>
          <w:p w14:paraId="7F7076BF">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评审小组构成：由采购单位代表以及有关技术、经济等方面的专家组成，成员为3人及以上单数，其中技术、经济类专家不得少于总人数的2/3；评标专家确定方式：按相关规定从专家库中抽取。</w:t>
            </w:r>
          </w:p>
        </w:tc>
      </w:tr>
      <w:tr w14:paraId="6764D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37" w:hRule="atLeast"/>
          <w:jc w:val="center"/>
        </w:trPr>
        <w:tc>
          <w:tcPr>
            <w:tcW w:w="797" w:type="dxa"/>
            <w:vAlign w:val="center"/>
          </w:tcPr>
          <w:p w14:paraId="3A2E535E">
            <w:pPr>
              <w:numPr>
                <w:ilvl w:val="0"/>
                <w:numId w:val="6"/>
              </w:numPr>
              <w:ind w:left="425" w:leftChars="0" w:hanging="425" w:firstLineChars="0"/>
              <w:jc w:val="center"/>
              <w:rPr>
                <w:rFonts w:hint="eastAsia"/>
                <w:color w:val="auto"/>
                <w:highlight w:val="none"/>
              </w:rPr>
            </w:pPr>
          </w:p>
        </w:tc>
        <w:tc>
          <w:tcPr>
            <w:tcW w:w="1815" w:type="dxa"/>
            <w:vAlign w:val="center"/>
          </w:tcPr>
          <w:p w14:paraId="1BC697A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w:t>
            </w:r>
          </w:p>
          <w:p w14:paraId="604E310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扶持政策</w:t>
            </w:r>
          </w:p>
        </w:tc>
        <w:tc>
          <w:tcPr>
            <w:tcW w:w="6794" w:type="dxa"/>
            <w:vAlign w:val="center"/>
          </w:tcPr>
          <w:p w14:paraId="7F3D3F39">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对节能、环保产品优先采购。</w:t>
            </w:r>
          </w:p>
        </w:tc>
      </w:tr>
      <w:tr w14:paraId="01237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797" w:type="dxa"/>
            <w:vAlign w:val="center"/>
          </w:tcPr>
          <w:p w14:paraId="727E7733">
            <w:pPr>
              <w:numPr>
                <w:ilvl w:val="0"/>
                <w:numId w:val="6"/>
              </w:numPr>
              <w:ind w:left="425" w:leftChars="0" w:hanging="425" w:firstLineChars="0"/>
              <w:jc w:val="center"/>
              <w:rPr>
                <w:rFonts w:hint="eastAsia"/>
                <w:color w:val="auto"/>
                <w:highlight w:val="none"/>
              </w:rPr>
            </w:pPr>
          </w:p>
        </w:tc>
        <w:tc>
          <w:tcPr>
            <w:tcW w:w="1815" w:type="dxa"/>
            <w:vAlign w:val="center"/>
          </w:tcPr>
          <w:p w14:paraId="4799028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6794" w:type="dxa"/>
            <w:vAlign w:val="center"/>
          </w:tcPr>
          <w:p w14:paraId="4CB5DF19">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1、投标供应商信用信息查询的查询渠道：“信用中国”(</w:t>
            </w:r>
            <w:r>
              <w:rPr>
                <w:rFonts w:hint="eastAsia" w:ascii="宋体" w:hAnsi="宋体" w:eastAsia="宋体" w:cs="宋体"/>
                <w:color w:val="auto"/>
                <w:w w:val="100"/>
                <w:sz w:val="22"/>
                <w:szCs w:val="22"/>
                <w:highlight w:val="none"/>
              </w:rPr>
              <w:fldChar w:fldCharType="begin"/>
            </w:r>
            <w:r>
              <w:rPr>
                <w:rFonts w:hint="eastAsia" w:ascii="宋体" w:hAnsi="宋体" w:eastAsia="宋体" w:cs="宋体"/>
                <w:color w:val="auto"/>
                <w:w w:val="100"/>
                <w:sz w:val="22"/>
                <w:szCs w:val="22"/>
                <w:highlight w:val="none"/>
              </w:rPr>
              <w:instrText xml:space="preserve"> HYPERLINK "http://www.creditchina.gov.cn" </w:instrText>
            </w:r>
            <w:r>
              <w:rPr>
                <w:rFonts w:hint="eastAsia" w:ascii="宋体" w:hAnsi="宋体" w:eastAsia="宋体" w:cs="宋体"/>
                <w:color w:val="auto"/>
                <w:w w:val="100"/>
                <w:sz w:val="22"/>
                <w:szCs w:val="22"/>
                <w:highlight w:val="none"/>
              </w:rPr>
              <w:fldChar w:fldCharType="separate"/>
            </w:r>
            <w:r>
              <w:rPr>
                <w:rFonts w:hint="eastAsia" w:ascii="宋体" w:hAnsi="宋体" w:eastAsia="宋体" w:cs="宋体"/>
                <w:color w:val="auto"/>
                <w:w w:val="100"/>
                <w:sz w:val="22"/>
                <w:szCs w:val="22"/>
                <w:highlight w:val="none"/>
              </w:rPr>
              <w:t>www.creditchina.gov.cn</w:t>
            </w:r>
            <w:r>
              <w:rPr>
                <w:rFonts w:hint="eastAsia" w:ascii="宋体" w:hAnsi="宋体" w:eastAsia="宋体" w:cs="宋体"/>
                <w:color w:val="auto"/>
                <w:w w:val="100"/>
                <w:sz w:val="22"/>
                <w:szCs w:val="22"/>
                <w:highlight w:val="none"/>
              </w:rPr>
              <w:fldChar w:fldCharType="end"/>
            </w:r>
            <w:r>
              <w:rPr>
                <w:rFonts w:hint="eastAsia" w:ascii="宋体" w:hAnsi="宋体" w:eastAsia="宋体" w:cs="宋体"/>
                <w:color w:val="auto"/>
                <w:w w:val="100"/>
                <w:sz w:val="22"/>
                <w:szCs w:val="22"/>
                <w:highlight w:val="none"/>
              </w:rPr>
              <w:t>)；“中国政府采购网”（http://www.ccgp.gov.cn/）；</w:t>
            </w:r>
          </w:p>
          <w:p w14:paraId="670820C9">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2、投标供应商信用信息查询截止时点：本项目投标截止时间。</w:t>
            </w:r>
          </w:p>
          <w:p w14:paraId="477BA711">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3、投标供应商信用信息查询记录和证据留存的具体方式：网页截图打印；</w:t>
            </w:r>
          </w:p>
          <w:p w14:paraId="67052904">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4、信用信息的使用规则：“信用中国”具有负面记录或受惩黑名单的供应商，或“中国政府采购网”具有严重违法失信行为信息记录的供应商，其投标做无效投标处理；</w:t>
            </w:r>
          </w:p>
        </w:tc>
      </w:tr>
      <w:tr w14:paraId="22BA0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797" w:type="dxa"/>
            <w:vAlign w:val="center"/>
          </w:tcPr>
          <w:p w14:paraId="5D6FC9E2">
            <w:pPr>
              <w:numPr>
                <w:ilvl w:val="0"/>
                <w:numId w:val="6"/>
              </w:numPr>
              <w:ind w:left="425" w:leftChars="0" w:hanging="425" w:firstLineChars="0"/>
              <w:jc w:val="center"/>
              <w:rPr>
                <w:rFonts w:hint="eastAsia"/>
                <w:color w:val="auto"/>
                <w:highlight w:val="none"/>
              </w:rPr>
            </w:pPr>
          </w:p>
        </w:tc>
        <w:tc>
          <w:tcPr>
            <w:tcW w:w="1815" w:type="dxa"/>
            <w:vAlign w:val="center"/>
          </w:tcPr>
          <w:p w14:paraId="4A24FE7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6794" w:type="dxa"/>
            <w:vAlign w:val="center"/>
          </w:tcPr>
          <w:p w14:paraId="416430C8">
            <w:pPr>
              <w:spacing w:line="240" w:lineRule="auto"/>
              <w:jc w:val="both"/>
              <w:rPr>
                <w:rFonts w:hint="eastAsia" w:ascii="宋体" w:hAnsi="宋体" w:eastAsia="宋体" w:cs="宋体"/>
                <w:color w:val="auto"/>
                <w:w w:val="100"/>
                <w:sz w:val="22"/>
                <w:szCs w:val="22"/>
                <w:highlight w:val="none"/>
                <w:lang w:val="en-US" w:eastAsia="zh-CN"/>
              </w:rPr>
            </w:pPr>
            <w:r>
              <w:rPr>
                <w:rFonts w:hint="eastAsia" w:ascii="宋体" w:hAnsi="宋体" w:eastAsia="宋体" w:cs="宋体"/>
                <w:color w:val="auto"/>
                <w:w w:val="100"/>
                <w:sz w:val="22"/>
                <w:szCs w:val="22"/>
                <w:highlight w:val="none"/>
                <w:lang w:val="en-US" w:eastAsia="zh-CN"/>
              </w:rPr>
              <w:t>1、中标（成交）供应商须在发出中标（成交）通知书之日起30日历天内与采购人签订合同。</w:t>
            </w:r>
          </w:p>
          <w:p w14:paraId="4135042B">
            <w:pPr>
              <w:spacing w:line="240" w:lineRule="auto"/>
              <w:jc w:val="both"/>
              <w:rPr>
                <w:rFonts w:hint="eastAsia" w:ascii="宋体" w:hAnsi="宋体" w:eastAsia="宋体" w:cs="宋体"/>
                <w:color w:val="auto"/>
                <w:w w:val="100"/>
                <w:sz w:val="22"/>
                <w:szCs w:val="22"/>
                <w:highlight w:val="none"/>
                <w:lang w:val="en-US" w:eastAsia="zh-CN"/>
              </w:rPr>
            </w:pPr>
            <w:r>
              <w:rPr>
                <w:rFonts w:hint="eastAsia" w:ascii="宋体" w:hAnsi="宋体" w:eastAsia="宋体" w:cs="宋体"/>
                <w:color w:val="auto"/>
                <w:w w:val="100"/>
                <w:sz w:val="22"/>
                <w:szCs w:val="22"/>
                <w:highlight w:val="none"/>
                <w:lang w:val="en-US" w:eastAsia="zh-CN"/>
              </w:rPr>
              <w:t>2、中标（成交）供应商与采购人签订合同后，2日历天内将合同原件交采购代理机构备案。</w:t>
            </w:r>
          </w:p>
          <w:p w14:paraId="694BDDED">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lang w:val="en-US" w:eastAsia="zh-CN"/>
              </w:rPr>
              <w:t>3、本项目政府采购合同按规定在浙江政府采购网予以公告。</w:t>
            </w:r>
          </w:p>
        </w:tc>
      </w:tr>
      <w:tr w14:paraId="7301B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797" w:type="dxa"/>
            <w:vAlign w:val="center"/>
          </w:tcPr>
          <w:p w14:paraId="18F32DF7">
            <w:pPr>
              <w:numPr>
                <w:ilvl w:val="0"/>
                <w:numId w:val="6"/>
              </w:numPr>
              <w:ind w:left="425" w:leftChars="0" w:hanging="425" w:firstLineChars="0"/>
              <w:jc w:val="center"/>
              <w:rPr>
                <w:rFonts w:hint="eastAsia"/>
                <w:color w:val="auto"/>
                <w:highlight w:val="none"/>
              </w:rPr>
            </w:pPr>
          </w:p>
        </w:tc>
        <w:tc>
          <w:tcPr>
            <w:tcW w:w="1815" w:type="dxa"/>
            <w:vAlign w:val="center"/>
          </w:tcPr>
          <w:p w14:paraId="12DB53C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6794" w:type="dxa"/>
            <w:vAlign w:val="center"/>
          </w:tcPr>
          <w:p w14:paraId="4679AF4D">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合同签订后，采购单位依法加强对合同履约进行管理，并在成交单位供货、项目验收等重要关节，如实填写《合同验收报告》（表附合同条款中），并及时向同级财政部门报告验收过程中遇到的问题。</w:t>
            </w:r>
          </w:p>
        </w:tc>
      </w:tr>
      <w:tr w14:paraId="5AD6F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97" w:type="dxa"/>
            <w:vAlign w:val="center"/>
          </w:tcPr>
          <w:p w14:paraId="75668D87">
            <w:pPr>
              <w:numPr>
                <w:ilvl w:val="0"/>
                <w:numId w:val="6"/>
              </w:numPr>
              <w:ind w:left="425" w:leftChars="0" w:hanging="425" w:firstLineChars="0"/>
              <w:jc w:val="center"/>
              <w:rPr>
                <w:rFonts w:hint="eastAsia"/>
                <w:color w:val="auto"/>
                <w:highlight w:val="none"/>
              </w:rPr>
            </w:pPr>
          </w:p>
        </w:tc>
        <w:tc>
          <w:tcPr>
            <w:tcW w:w="1815" w:type="dxa"/>
            <w:vAlign w:val="center"/>
          </w:tcPr>
          <w:p w14:paraId="1237521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免责声明</w:t>
            </w:r>
          </w:p>
        </w:tc>
        <w:tc>
          <w:tcPr>
            <w:tcW w:w="6794" w:type="dxa"/>
            <w:vAlign w:val="center"/>
          </w:tcPr>
          <w:p w14:paraId="2822D234">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1、投标供应商自行承担投标过程中产生的费用。无论何种因素导致采购项目延期开标、废标（流标）、投标供应商未成交、项目终止采购的，采购单位与代理机构均不承担供应商投标费用。</w:t>
            </w:r>
          </w:p>
          <w:p w14:paraId="34194B1D">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2、投标供应商在投标、合同履行过程中必须做好安全保障工作，不因项目实施而危及自身及第三方人员、财产安全。若发生任何安全事故，由成交供应商自行承担一切责任并赔偿损失。</w:t>
            </w:r>
          </w:p>
        </w:tc>
      </w:tr>
      <w:tr w14:paraId="19630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97" w:type="dxa"/>
            <w:tcBorders>
              <w:bottom w:val="single" w:color="auto" w:sz="12" w:space="0"/>
            </w:tcBorders>
            <w:vAlign w:val="center"/>
          </w:tcPr>
          <w:p w14:paraId="7936014B">
            <w:pPr>
              <w:numPr>
                <w:ilvl w:val="0"/>
                <w:numId w:val="6"/>
              </w:numPr>
              <w:ind w:left="425" w:leftChars="0" w:hanging="425" w:firstLineChars="0"/>
              <w:jc w:val="center"/>
              <w:rPr>
                <w:rFonts w:hint="eastAsia"/>
                <w:color w:val="auto"/>
                <w:highlight w:val="none"/>
              </w:rPr>
            </w:pPr>
          </w:p>
        </w:tc>
        <w:tc>
          <w:tcPr>
            <w:tcW w:w="1815" w:type="dxa"/>
            <w:tcBorders>
              <w:bottom w:val="single" w:color="auto" w:sz="12" w:space="0"/>
            </w:tcBorders>
            <w:vAlign w:val="center"/>
          </w:tcPr>
          <w:p w14:paraId="55FB7A8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注意事项</w:t>
            </w:r>
          </w:p>
        </w:tc>
        <w:tc>
          <w:tcPr>
            <w:tcW w:w="6794" w:type="dxa"/>
            <w:tcBorders>
              <w:bottom w:val="single" w:color="auto" w:sz="12" w:space="0"/>
            </w:tcBorders>
            <w:vAlign w:val="center"/>
          </w:tcPr>
          <w:p w14:paraId="44D99DAE">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1、请务必确保投标文件制作客户端为最新版本，旧版本可能导致投标文件解密失败。</w:t>
            </w:r>
          </w:p>
          <w:p w14:paraId="0CF5D517">
            <w:pPr>
              <w:jc w:val="both"/>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2、请务必确保投标文件制作时所用的CA锁与投标文件解密时的CA锁为同一把，否则可能导致投标文件解密失败。</w:t>
            </w:r>
          </w:p>
        </w:tc>
      </w:tr>
    </w:tbl>
    <w:p w14:paraId="6813902F">
      <w:pPr>
        <w:rPr>
          <w:rFonts w:ascii="宋体" w:hAnsi="Calibri"/>
          <w:b/>
          <w:bCs/>
          <w:color w:val="auto"/>
          <w:sz w:val="36"/>
          <w:szCs w:val="36"/>
          <w:highlight w:val="none"/>
          <w:lang w:val="zh-CN"/>
        </w:rPr>
      </w:pPr>
      <w:r>
        <w:rPr>
          <w:rFonts w:hint="eastAsia" w:ascii="宋体" w:hAnsi="Calibri"/>
          <w:b/>
          <w:bCs/>
          <w:color w:val="auto"/>
          <w:sz w:val="36"/>
          <w:szCs w:val="36"/>
          <w:highlight w:val="none"/>
          <w:lang w:val="zh-CN"/>
        </w:rPr>
        <w:br w:type="page"/>
      </w:r>
    </w:p>
    <w:p w14:paraId="77EDD075">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ind w:left="0" w:right="0"/>
        <w:jc w:val="center"/>
        <w:outlineLvl w:val="0"/>
        <w:rPr>
          <w:rFonts w:hint="eastAsia" w:ascii="宋体" w:hAnsi="Times New Roman" w:eastAsia="宋体" w:cs="Times New Roman"/>
          <w:b/>
          <w:bCs/>
          <w:color w:val="auto"/>
          <w:sz w:val="32"/>
          <w:szCs w:val="32"/>
          <w:highlight w:val="none"/>
          <w:lang w:val="zh-CN" w:eastAsia="zh-CN"/>
        </w:rPr>
      </w:pPr>
      <w:r>
        <w:rPr>
          <w:rFonts w:hint="eastAsia" w:ascii="宋体" w:hAnsi="Times New Roman" w:eastAsia="宋体" w:cs="Times New Roman"/>
          <w:b/>
          <w:bCs/>
          <w:color w:val="auto"/>
          <w:sz w:val="32"/>
          <w:szCs w:val="32"/>
          <w:highlight w:val="none"/>
          <w:lang w:val="zh-CN" w:eastAsia="zh-CN"/>
        </w:rPr>
        <w:t>第二部分</w:t>
      </w:r>
      <w:r>
        <w:rPr>
          <w:rFonts w:hint="eastAsia" w:ascii="宋体" w:eastAsia="宋体" w:cs="Times New Roman"/>
          <w:b/>
          <w:bCs/>
          <w:color w:val="auto"/>
          <w:sz w:val="32"/>
          <w:szCs w:val="32"/>
          <w:highlight w:val="none"/>
          <w:lang w:val="zh-CN" w:eastAsia="zh-CN"/>
        </w:rPr>
        <w:t>、</w:t>
      </w:r>
      <w:r>
        <w:rPr>
          <w:rFonts w:hint="eastAsia" w:ascii="宋体" w:hAnsi="Times New Roman" w:eastAsia="宋体" w:cs="Times New Roman"/>
          <w:b/>
          <w:bCs/>
          <w:color w:val="auto"/>
          <w:sz w:val="32"/>
          <w:szCs w:val="32"/>
          <w:highlight w:val="none"/>
          <w:lang w:val="zh-CN" w:eastAsia="zh-CN"/>
        </w:rPr>
        <w:t>招标内容</w:t>
      </w:r>
    </w:p>
    <w:p w14:paraId="2A3005DC">
      <w:pPr>
        <w:numPr>
          <w:ilvl w:val="0"/>
          <w:numId w:val="7"/>
        </w:num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4F91F3BA">
      <w:pPr>
        <w:snapToGrid w:val="0"/>
        <w:spacing w:line="360" w:lineRule="auto"/>
        <w:ind w:right="-82"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1.本技术规范要求提出的是最低限度的基本技术要求，并未对所有技术细节作出规定，供应商应提供符合本技术要求和国家标准、行业标准的优质产品。</w:t>
      </w:r>
    </w:p>
    <w:p w14:paraId="1CF5E372">
      <w:pPr>
        <w:snapToGrid w:val="0"/>
        <w:spacing w:line="360" w:lineRule="auto"/>
        <w:ind w:right="-82"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2.供应商产品与本技术要求不一致时，供应商应在</w:t>
      </w:r>
      <w:r>
        <w:rPr>
          <w:rFonts w:hint="eastAsia" w:ascii="宋体" w:hAnsi="宋体" w:eastAsia="宋体" w:cs="宋体"/>
          <w:color w:val="auto"/>
          <w:sz w:val="22"/>
          <w:highlight w:val="none"/>
          <w:lang w:eastAsia="zh-CN"/>
        </w:rPr>
        <w:t>投标文件</w:t>
      </w:r>
      <w:r>
        <w:rPr>
          <w:rFonts w:hint="eastAsia" w:ascii="宋体" w:hAnsi="宋体" w:eastAsia="宋体" w:cs="宋体"/>
          <w:color w:val="auto"/>
          <w:sz w:val="22"/>
          <w:highlight w:val="none"/>
        </w:rPr>
        <w:t>中予以说明，并由评审小组鉴定供应商产品能否达到要求。如供应商没有在</w:t>
      </w:r>
      <w:r>
        <w:rPr>
          <w:rFonts w:hint="eastAsia" w:ascii="宋体" w:hAnsi="宋体" w:eastAsia="宋体" w:cs="宋体"/>
          <w:color w:val="auto"/>
          <w:sz w:val="22"/>
          <w:highlight w:val="none"/>
          <w:lang w:eastAsia="zh-CN"/>
        </w:rPr>
        <w:t>投标文件</w:t>
      </w:r>
      <w:r>
        <w:rPr>
          <w:rFonts w:hint="eastAsia" w:ascii="宋体" w:hAnsi="宋体" w:eastAsia="宋体" w:cs="宋体"/>
          <w:color w:val="auto"/>
          <w:sz w:val="22"/>
          <w:highlight w:val="none"/>
        </w:rPr>
        <w:t>中提出异议，则视为供应商提供的产品完全按照本</w:t>
      </w:r>
      <w:r>
        <w:rPr>
          <w:rFonts w:hint="eastAsia" w:ascii="宋体" w:hAnsi="宋体" w:eastAsia="宋体" w:cs="宋体"/>
          <w:color w:val="auto"/>
          <w:sz w:val="22"/>
          <w:highlight w:val="none"/>
          <w:lang w:eastAsia="zh-CN"/>
        </w:rPr>
        <w:t>竞争性磋商文件</w:t>
      </w:r>
      <w:r>
        <w:rPr>
          <w:rFonts w:hint="eastAsia" w:ascii="宋体" w:hAnsi="宋体" w:eastAsia="宋体" w:cs="宋体"/>
          <w:color w:val="auto"/>
          <w:sz w:val="22"/>
          <w:highlight w:val="none"/>
        </w:rPr>
        <w:t>要求，并在合同验收时按</w:t>
      </w:r>
      <w:r>
        <w:rPr>
          <w:rFonts w:hint="eastAsia" w:ascii="宋体" w:hAnsi="宋体" w:eastAsia="宋体" w:cs="宋体"/>
          <w:color w:val="auto"/>
          <w:sz w:val="22"/>
          <w:highlight w:val="none"/>
          <w:lang w:eastAsia="zh-CN"/>
        </w:rPr>
        <w:t>竞争性磋商文件</w:t>
      </w:r>
      <w:r>
        <w:rPr>
          <w:rFonts w:hint="eastAsia" w:ascii="宋体" w:hAnsi="宋体" w:eastAsia="宋体" w:cs="宋体"/>
          <w:color w:val="auto"/>
          <w:sz w:val="22"/>
          <w:highlight w:val="none"/>
        </w:rPr>
        <w:t>要求验收。</w:t>
      </w:r>
    </w:p>
    <w:p w14:paraId="4F83F41D">
      <w:pPr>
        <w:numPr>
          <w:ilvl w:val="0"/>
          <w:numId w:val="7"/>
        </w:numPr>
        <w:spacing w:line="360" w:lineRule="auto"/>
        <w:rPr>
          <w:rFonts w:hint="eastAsia" w:ascii="宋体" w:hAnsi="宋体" w:eastAsia="宋体" w:cs="宋体"/>
          <w:b/>
          <w:bCs/>
          <w:color w:val="auto"/>
          <w:sz w:val="22"/>
          <w:szCs w:val="22"/>
          <w:highlight w:val="none"/>
        </w:rPr>
      </w:pPr>
      <w:r>
        <w:rPr>
          <w:rFonts w:hint="eastAsia" w:ascii="宋体" w:hAnsi="宋体" w:eastAsia="宋体" w:cs="宋体"/>
          <w:b/>
          <w:color w:val="auto"/>
          <w:sz w:val="22"/>
          <w:highlight w:val="none"/>
        </w:rPr>
        <w:t>采购内容及技术要求</w:t>
      </w:r>
    </w:p>
    <w:p w14:paraId="4DB20AA3">
      <w:pPr>
        <w:snapToGrid w:val="0"/>
        <w:spacing w:line="360" w:lineRule="auto"/>
        <w:ind w:right="-82"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负责大安乡柳埠村、下塔村、罗汉村、大垟村、大丘坪村、花坪头村及大安经开区等(除洪岭头自然村外)范围内所有街道路面（包括广场、公园、背街小巷等）、马路市场（如赶集）、绿化带及道路周边卫生死角（如沟渠等）的日常保洁和清洗。</w:t>
      </w:r>
    </w:p>
    <w:p w14:paraId="12E6ABF2">
      <w:pPr>
        <w:snapToGrid w:val="0"/>
        <w:spacing w:line="360" w:lineRule="auto"/>
        <w:ind w:right="-82"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2、负责大安乡(除洪岭头自然村外)范围内河道（包括河道和清水平台）</w:t>
      </w:r>
      <w:r>
        <w:rPr>
          <w:rFonts w:hint="eastAsia" w:ascii="宋体" w:hAnsi="宋体" w:eastAsia="宋体" w:cs="宋体"/>
          <w:color w:val="auto"/>
          <w:sz w:val="22"/>
          <w:szCs w:val="22"/>
          <w:highlight w:val="none"/>
          <w:lang w:bidi="ar"/>
        </w:rPr>
        <w:t>日常保洁。河道</w:t>
      </w:r>
      <w:r>
        <w:rPr>
          <w:rFonts w:hint="eastAsia" w:ascii="宋体" w:hAnsi="宋体" w:eastAsia="宋体" w:cs="宋体"/>
          <w:color w:val="auto"/>
          <w:sz w:val="22"/>
          <w:szCs w:val="22"/>
          <w:highlight w:val="none"/>
          <w:lang w:eastAsia="zh-CN" w:bidi="ar"/>
        </w:rPr>
        <w:t>包括大安溪、罗汉溪及其支流</w:t>
      </w:r>
      <w:r>
        <w:rPr>
          <w:rFonts w:hint="eastAsia" w:ascii="宋体" w:hAnsi="宋体" w:eastAsia="宋体" w:cs="宋体"/>
          <w:color w:val="auto"/>
          <w:sz w:val="22"/>
          <w:szCs w:val="22"/>
          <w:highlight w:val="none"/>
          <w:lang w:bidi="ar"/>
        </w:rPr>
        <w:t>，分布在</w:t>
      </w:r>
      <w:r>
        <w:rPr>
          <w:rFonts w:hint="eastAsia" w:ascii="宋体" w:hAnsi="宋体" w:eastAsia="宋体" w:cs="宋体"/>
          <w:color w:val="auto"/>
          <w:sz w:val="22"/>
          <w:szCs w:val="22"/>
          <w:highlight w:val="none"/>
          <w:lang w:eastAsia="zh-CN" w:bidi="ar"/>
        </w:rPr>
        <w:t>柳埠村、下塔村、大垟村、罗汉村、大丘坪村、</w:t>
      </w:r>
      <w:r>
        <w:rPr>
          <w:rFonts w:hint="eastAsia" w:ascii="宋体" w:hAnsi="宋体" w:eastAsia="宋体" w:cs="宋体"/>
          <w:color w:val="auto"/>
          <w:sz w:val="22"/>
          <w:highlight w:val="none"/>
          <w:lang w:val="en-US" w:eastAsia="zh-CN"/>
        </w:rPr>
        <w:t>花坪头村及大安经开区</w:t>
      </w:r>
      <w:r>
        <w:rPr>
          <w:rFonts w:hint="eastAsia" w:ascii="宋体" w:hAnsi="宋体" w:eastAsia="宋体" w:cs="宋体"/>
          <w:color w:val="auto"/>
          <w:sz w:val="22"/>
          <w:szCs w:val="22"/>
          <w:highlight w:val="none"/>
          <w:lang w:bidi="ar"/>
        </w:rPr>
        <w:t>等。</w:t>
      </w:r>
    </w:p>
    <w:p w14:paraId="6B3491DF">
      <w:pPr>
        <w:snapToGrid w:val="0"/>
        <w:spacing w:line="360" w:lineRule="auto"/>
        <w:ind w:right="-82" w:firstLine="440" w:firstLineChars="200"/>
        <w:rPr>
          <w:rFonts w:hint="eastAsia" w:ascii="宋体" w:hAnsi="宋体" w:eastAsia="宋体" w:cs="宋体"/>
          <w:b/>
          <w:bCs/>
          <w:color w:val="auto"/>
          <w:sz w:val="22"/>
          <w:szCs w:val="22"/>
          <w:highlight w:val="none"/>
          <w:lang w:val="en-US" w:eastAsia="zh-CN" w:bidi="ar"/>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szCs w:val="22"/>
          <w:highlight w:val="none"/>
          <w:lang w:bidi="ar"/>
        </w:rPr>
        <w:t>负责</w:t>
      </w:r>
      <w:r>
        <w:rPr>
          <w:rFonts w:hint="eastAsia" w:ascii="宋体" w:hAnsi="宋体" w:eastAsia="宋体" w:cs="宋体"/>
          <w:color w:val="auto"/>
          <w:sz w:val="22"/>
          <w:szCs w:val="22"/>
          <w:highlight w:val="none"/>
          <w:lang w:eastAsia="zh-CN" w:bidi="ar"/>
        </w:rPr>
        <w:t>大安乡区</w:t>
      </w:r>
      <w:r>
        <w:rPr>
          <w:rFonts w:hint="eastAsia" w:ascii="宋体" w:hAnsi="宋体" w:eastAsia="宋体" w:cs="宋体"/>
          <w:color w:val="auto"/>
          <w:sz w:val="22"/>
          <w:szCs w:val="22"/>
          <w:highlight w:val="none"/>
          <w:lang w:bidi="ar"/>
        </w:rPr>
        <w:t>域范围内所有</w:t>
      </w:r>
      <w:r>
        <w:rPr>
          <w:rFonts w:hint="eastAsia" w:ascii="宋体" w:hAnsi="宋体" w:eastAsia="宋体" w:cs="宋体"/>
          <w:b w:val="0"/>
          <w:bCs/>
          <w:color w:val="auto"/>
          <w:sz w:val="22"/>
          <w:szCs w:val="22"/>
          <w:highlight w:val="none"/>
          <w:lang w:bidi="ar"/>
        </w:rPr>
        <w:t>公厕的保洁</w:t>
      </w:r>
      <w:r>
        <w:rPr>
          <w:rFonts w:hint="eastAsia" w:ascii="宋体" w:hAnsi="宋体" w:eastAsia="宋体" w:cs="宋体"/>
          <w:color w:val="auto"/>
          <w:sz w:val="22"/>
          <w:szCs w:val="22"/>
          <w:highlight w:val="none"/>
          <w:lang w:bidi="ar"/>
        </w:rPr>
        <w:t>、管理及维修。当前公厕数量：</w:t>
      </w:r>
      <w:r>
        <w:rPr>
          <w:rFonts w:hint="eastAsia" w:ascii="宋体" w:hAnsi="宋体" w:eastAsia="宋体" w:cs="宋体"/>
          <w:color w:val="auto"/>
          <w:sz w:val="22"/>
          <w:szCs w:val="22"/>
          <w:highlight w:val="none"/>
          <w:u w:val="single"/>
          <w:lang w:bidi="ar"/>
        </w:rPr>
        <w:t xml:space="preserve"> </w:t>
      </w:r>
      <w:r>
        <w:rPr>
          <w:rFonts w:hint="eastAsia" w:ascii="宋体" w:hAnsi="宋体" w:eastAsia="宋体" w:cs="宋体"/>
          <w:color w:val="auto"/>
          <w:sz w:val="22"/>
          <w:szCs w:val="22"/>
          <w:highlight w:val="none"/>
          <w:u w:val="single"/>
          <w:lang w:val="en-US" w:eastAsia="zh-CN" w:bidi="ar"/>
        </w:rPr>
        <w:t>28</w:t>
      </w:r>
      <w:r>
        <w:rPr>
          <w:rFonts w:hint="eastAsia" w:ascii="宋体" w:hAnsi="宋体" w:eastAsia="宋体" w:cs="宋体"/>
          <w:color w:val="auto"/>
          <w:sz w:val="22"/>
          <w:szCs w:val="22"/>
          <w:highlight w:val="none"/>
          <w:u w:val="single"/>
          <w:lang w:bidi="ar"/>
        </w:rPr>
        <w:t xml:space="preserve"> </w:t>
      </w:r>
      <w:r>
        <w:rPr>
          <w:rFonts w:hint="eastAsia" w:ascii="宋体" w:hAnsi="宋体" w:eastAsia="宋体" w:cs="宋体"/>
          <w:color w:val="auto"/>
          <w:sz w:val="22"/>
          <w:szCs w:val="22"/>
          <w:highlight w:val="none"/>
          <w:lang w:bidi="ar"/>
        </w:rPr>
        <w:t>个，分布在</w:t>
      </w:r>
      <w:r>
        <w:rPr>
          <w:rFonts w:hint="eastAsia" w:ascii="宋体" w:hAnsi="宋体" w:eastAsia="宋体" w:cs="宋体"/>
          <w:color w:val="auto"/>
          <w:sz w:val="22"/>
          <w:szCs w:val="22"/>
          <w:highlight w:val="none"/>
          <w:lang w:val="en-US" w:eastAsia="zh-CN" w:bidi="ar"/>
        </w:rPr>
        <w:t>6</w:t>
      </w:r>
      <w:r>
        <w:rPr>
          <w:rFonts w:hint="eastAsia" w:ascii="宋体" w:hAnsi="宋体" w:eastAsia="宋体" w:cs="宋体"/>
          <w:color w:val="auto"/>
          <w:sz w:val="22"/>
          <w:szCs w:val="22"/>
          <w:highlight w:val="none"/>
          <w:lang w:bidi="ar"/>
        </w:rPr>
        <w:t>个行政</w:t>
      </w:r>
      <w:r>
        <w:rPr>
          <w:rFonts w:hint="eastAsia" w:ascii="宋体" w:hAnsi="宋体" w:eastAsia="宋体" w:cs="宋体"/>
          <w:color w:val="auto"/>
          <w:sz w:val="22"/>
          <w:szCs w:val="22"/>
          <w:highlight w:val="none"/>
          <w:lang w:eastAsia="zh-CN" w:bidi="ar"/>
        </w:rPr>
        <w:t>村</w:t>
      </w:r>
      <w:r>
        <w:rPr>
          <w:rFonts w:hint="eastAsia" w:ascii="宋体" w:hAnsi="宋体" w:eastAsia="宋体" w:cs="宋体"/>
          <w:color w:val="auto"/>
          <w:sz w:val="22"/>
          <w:szCs w:val="22"/>
          <w:highlight w:val="none"/>
          <w:lang w:val="en-US" w:eastAsia="zh-CN" w:bidi="ar"/>
        </w:rPr>
        <w:t>及大安经开区</w:t>
      </w:r>
      <w:r>
        <w:rPr>
          <w:rFonts w:hint="eastAsia" w:ascii="宋体" w:hAnsi="宋体" w:eastAsia="宋体" w:cs="宋体"/>
          <w:color w:val="auto"/>
          <w:sz w:val="22"/>
          <w:szCs w:val="22"/>
          <w:highlight w:val="none"/>
          <w:lang w:eastAsia="zh-CN" w:bidi="ar"/>
        </w:rPr>
        <w:t>内，</w:t>
      </w:r>
      <w:r>
        <w:rPr>
          <w:rFonts w:hint="eastAsia" w:ascii="宋体" w:hAnsi="宋体" w:eastAsia="宋体" w:cs="宋体"/>
          <w:b/>
          <w:bCs/>
          <w:color w:val="auto"/>
          <w:sz w:val="22"/>
          <w:szCs w:val="22"/>
          <w:highlight w:val="none"/>
          <w:lang w:eastAsia="zh-CN" w:bidi="ar"/>
        </w:rPr>
        <w:t>▲合同执行期间，如有新增公厕需要纳入保洁范围，中标单位需无条件纳入保洁范围。</w:t>
      </w:r>
    </w:p>
    <w:p w14:paraId="0D370945">
      <w:pPr>
        <w:snapToGrid w:val="0"/>
        <w:spacing w:line="360" w:lineRule="auto"/>
        <w:ind w:right="-82"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4、负责大安乡区域内农村人居环境整治提升工作，中标单位应对照</w:t>
      </w:r>
      <w:r>
        <w:rPr>
          <w:rFonts w:hint="eastAsia" w:ascii="宋体" w:hAnsi="宋体" w:eastAsia="宋体" w:cs="宋体"/>
          <w:color w:val="auto"/>
          <w:sz w:val="22"/>
          <w:highlight w:val="none"/>
          <w:lang w:val="en-US" w:eastAsia="zh-CN"/>
        </w:rPr>
        <w:t>泰顺县“最干净（最脏）乡镇、村”考评办法</w:t>
      </w:r>
      <w:r>
        <w:rPr>
          <w:rFonts w:hint="eastAsia" w:ascii="宋体" w:hAnsi="宋体" w:eastAsia="宋体" w:cs="宋体"/>
          <w:color w:val="auto"/>
          <w:sz w:val="22"/>
          <w:szCs w:val="22"/>
          <w:highlight w:val="none"/>
          <w:lang w:eastAsia="zh-CN" w:bidi="ar"/>
        </w:rPr>
        <w:t>，每月需免费提供不多于</w:t>
      </w:r>
      <w:r>
        <w:rPr>
          <w:rFonts w:hint="eastAsia" w:ascii="宋体" w:hAnsi="宋体" w:eastAsia="宋体" w:cs="宋体"/>
          <w:color w:val="auto"/>
          <w:sz w:val="22"/>
          <w:szCs w:val="22"/>
          <w:highlight w:val="none"/>
          <w:lang w:val="en-US" w:eastAsia="zh-CN" w:bidi="ar"/>
        </w:rPr>
        <w:t>200人次（</w:t>
      </w:r>
      <w:r>
        <w:rPr>
          <w:rFonts w:hint="eastAsia" w:ascii="宋体" w:hAnsi="宋体" w:eastAsia="宋体" w:cs="宋体"/>
          <w:b/>
          <w:bCs/>
          <w:color w:val="auto"/>
          <w:sz w:val="22"/>
          <w:szCs w:val="22"/>
          <w:highlight w:val="none"/>
          <w:lang w:val="en-US" w:eastAsia="zh-CN" w:bidi="ar"/>
        </w:rPr>
        <w:t>▲一人一天算一人次，多于200人次的另行支付费用</w:t>
      </w:r>
      <w:r>
        <w:rPr>
          <w:rFonts w:hint="eastAsia" w:ascii="宋体" w:hAnsi="宋体" w:cs="宋体"/>
          <w:b/>
          <w:bCs/>
          <w:color w:val="auto"/>
          <w:sz w:val="22"/>
          <w:szCs w:val="22"/>
          <w:highlight w:val="none"/>
          <w:lang w:val="en-US" w:eastAsia="zh-CN" w:bidi="ar"/>
        </w:rPr>
        <w:t>，投标单位需在投标文件中明确该项费用，最终以单价进行结算</w:t>
      </w:r>
      <w:r>
        <w:rPr>
          <w:rFonts w:hint="eastAsia" w:ascii="宋体" w:hAnsi="宋体" w:eastAsia="宋体" w:cs="宋体"/>
          <w:color w:val="auto"/>
          <w:sz w:val="22"/>
          <w:szCs w:val="22"/>
          <w:highlight w:val="none"/>
          <w:lang w:val="en-US" w:eastAsia="zh-CN" w:bidi="ar"/>
        </w:rPr>
        <w:t>）的</w:t>
      </w:r>
      <w:r>
        <w:rPr>
          <w:rFonts w:hint="eastAsia" w:ascii="宋体" w:hAnsi="宋体" w:eastAsia="宋体" w:cs="宋体"/>
          <w:color w:val="auto"/>
          <w:sz w:val="22"/>
          <w:szCs w:val="22"/>
          <w:highlight w:val="none"/>
          <w:lang w:eastAsia="zh-CN" w:bidi="ar"/>
        </w:rPr>
        <w:t>临时工作人员对大安乡区域范围内的</w:t>
      </w:r>
      <w:r>
        <w:rPr>
          <w:rFonts w:hint="eastAsia" w:ascii="宋体" w:hAnsi="宋体" w:eastAsia="宋体" w:cs="宋体"/>
          <w:color w:val="auto"/>
          <w:sz w:val="22"/>
          <w:szCs w:val="22"/>
          <w:highlight w:val="none"/>
          <w:lang w:val="en-US" w:eastAsia="zh-CN" w:bidi="ar"/>
        </w:rPr>
        <w:t>农村人居环境</w:t>
      </w:r>
      <w:r>
        <w:rPr>
          <w:rFonts w:hint="eastAsia" w:ascii="宋体" w:hAnsi="宋体" w:eastAsia="宋体" w:cs="宋体"/>
          <w:color w:val="auto"/>
          <w:sz w:val="22"/>
          <w:highlight w:val="none"/>
          <w:lang w:val="en-US" w:eastAsia="zh-CN"/>
        </w:rPr>
        <w:t>进行保洁任务，</w:t>
      </w:r>
      <w:r>
        <w:rPr>
          <w:rFonts w:hint="eastAsia" w:ascii="宋体" w:hAnsi="宋体" w:eastAsia="宋体" w:cs="宋体"/>
          <w:color w:val="auto"/>
          <w:sz w:val="22"/>
          <w:szCs w:val="22"/>
          <w:highlight w:val="none"/>
          <w:lang w:val="en-US" w:eastAsia="zh-CN" w:bidi="ar"/>
        </w:rPr>
        <w:t>并及时整治被市县部门发现的环境脏乱差点位</w:t>
      </w:r>
      <w:r>
        <w:rPr>
          <w:rFonts w:hint="eastAsia" w:ascii="宋体" w:hAnsi="宋体" w:eastAsia="宋体" w:cs="宋体"/>
          <w:color w:val="auto"/>
          <w:sz w:val="22"/>
          <w:szCs w:val="22"/>
          <w:highlight w:val="none"/>
          <w:lang w:eastAsia="zh-CN" w:bidi="ar"/>
        </w:rPr>
        <w:t>，乡政府对照县“两最”考评结果予以适当的资金奖励或惩处。</w:t>
      </w:r>
    </w:p>
    <w:p w14:paraId="7AE31A97">
      <w:pPr>
        <w:snapToGrid w:val="0"/>
        <w:spacing w:line="360" w:lineRule="auto"/>
        <w:ind w:right="-82" w:firstLine="440" w:firstLineChars="200"/>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val="en-US" w:eastAsia="zh-CN" w:bidi="ar"/>
        </w:rPr>
        <w:t>5、</w:t>
      </w:r>
      <w:r>
        <w:rPr>
          <w:rFonts w:hint="eastAsia" w:ascii="宋体" w:hAnsi="宋体" w:eastAsia="宋体" w:cs="宋体"/>
          <w:color w:val="auto"/>
          <w:sz w:val="22"/>
          <w:szCs w:val="22"/>
          <w:highlight w:val="none"/>
          <w:lang w:eastAsia="zh-CN" w:bidi="ar"/>
        </w:rPr>
        <w:t>负责大安乡垃圾分类宣传、培训指导、监督运行等工作；严格落实大安乡区域范围内垃圾分类收集、清运、处置以及垃圾桶清洗等，</w:t>
      </w:r>
      <w:r>
        <w:rPr>
          <w:rFonts w:hint="eastAsia" w:ascii="宋体" w:hAnsi="宋体" w:eastAsia="宋体" w:cs="宋体"/>
          <w:color w:val="auto"/>
          <w:sz w:val="22"/>
          <w:highlight w:val="none"/>
          <w:lang w:val="en-US" w:eastAsia="zh-CN"/>
        </w:rPr>
        <w:t>其中易腐垃圾需运送到太阳能堆肥房，其他垃圾原则上须运送至大安乡垃圾中转站，负责做好建筑垃圾的无害化处理</w:t>
      </w:r>
      <w:r>
        <w:rPr>
          <w:rFonts w:hint="eastAsia" w:ascii="宋体" w:hAnsi="宋体" w:eastAsia="宋体" w:cs="宋体"/>
          <w:color w:val="auto"/>
          <w:sz w:val="22"/>
          <w:szCs w:val="22"/>
          <w:highlight w:val="none"/>
          <w:lang w:eastAsia="zh-CN" w:bidi="ar"/>
        </w:rPr>
        <w:t>。</w:t>
      </w:r>
    </w:p>
    <w:p w14:paraId="1FEBFEC7">
      <w:pPr>
        <w:snapToGrid w:val="0"/>
        <w:spacing w:line="360" w:lineRule="auto"/>
        <w:ind w:right="-82"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6、公共场所垃圾分类规范性建设，负责垃圾分类宣传，每年宣传不少于4次，每个月必须要“八进”宣传，知晓率和投放准确率达到相关考核要求。</w:t>
      </w:r>
    </w:p>
    <w:p w14:paraId="4A1E943E">
      <w:pPr>
        <w:snapToGrid w:val="0"/>
        <w:spacing w:line="360" w:lineRule="auto"/>
        <w:ind w:right="-82"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7、负责应对上级垃圾分类检查、考核等；负责智能垃圾分类分拣、做好台账、垃圾分类礼品积分兑换等。</w:t>
      </w:r>
    </w:p>
    <w:p w14:paraId="2B0ECBB1">
      <w:pPr>
        <w:snapToGrid w:val="0"/>
        <w:spacing w:line="360" w:lineRule="auto"/>
        <w:ind w:right="-82"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8、负责智能垃圾分类工作所需的设施运营、管理及维护，如定点回收四分类岗亭、智能垃圾桶回收站组合柜、智能数据采集设备及芯片卡等设施运营、管理及维护及保洁。</w:t>
      </w:r>
    </w:p>
    <w:p w14:paraId="1090726E">
      <w:pPr>
        <w:numPr>
          <w:ilvl w:val="0"/>
          <w:numId w:val="7"/>
        </w:num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投入人员及设备最低配置要求</w:t>
      </w:r>
    </w:p>
    <w:p w14:paraId="79AAF19D">
      <w:pPr>
        <w:snapToGrid w:val="0"/>
        <w:spacing w:line="360" w:lineRule="auto"/>
        <w:ind w:firstLine="440" w:firstLineChars="200"/>
        <w:rPr>
          <w:rFonts w:hint="eastAsia" w:ascii="宋体" w:hAnsi="宋体" w:eastAsia="宋体" w:cs="宋体"/>
          <w:b/>
          <w:bCs w:val="0"/>
          <w:color w:val="auto"/>
          <w:sz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b/>
          <w:bCs/>
          <w:color w:val="auto"/>
          <w:sz w:val="22"/>
          <w:highlight w:val="none"/>
        </w:rPr>
        <w:t>1</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rPr>
        <w:t>投入人员不得低于</w:t>
      </w:r>
      <w:r>
        <w:rPr>
          <w:rFonts w:hint="eastAsia" w:ascii="宋体" w:hAnsi="宋体" w:eastAsia="宋体" w:cs="宋体"/>
          <w:b/>
          <w:bCs/>
          <w:color w:val="auto"/>
          <w:sz w:val="22"/>
          <w:highlight w:val="none"/>
          <w:lang w:val="en-US" w:eastAsia="zh-CN"/>
        </w:rPr>
        <w:t>45</w:t>
      </w:r>
      <w:r>
        <w:rPr>
          <w:rFonts w:hint="eastAsia" w:ascii="宋体" w:hAnsi="宋体" w:eastAsia="宋体" w:cs="宋体"/>
          <w:b/>
          <w:bCs/>
          <w:color w:val="auto"/>
          <w:sz w:val="22"/>
          <w:highlight w:val="none"/>
        </w:rPr>
        <w:t>人（含），同时包含1名项目负责人、1名台账资料员，人员年龄原则不超过60周岁（含），身体健康。</w:t>
      </w:r>
    </w:p>
    <w:p w14:paraId="19BC4535">
      <w:pPr>
        <w:snapToGrid w:val="0"/>
        <w:spacing w:line="360" w:lineRule="auto"/>
        <w:ind w:firstLine="440" w:firstLineChars="200"/>
        <w:rPr>
          <w:rFonts w:hint="eastAsia" w:ascii="宋体" w:hAnsi="宋体" w:eastAsia="宋体" w:cs="宋体"/>
          <w:b w:val="0"/>
          <w:bCs w:val="0"/>
          <w:color w:val="auto"/>
          <w:sz w:val="22"/>
          <w:highlight w:val="none"/>
          <w:lang w:val="en-US" w:eastAsia="zh-CN"/>
        </w:rPr>
      </w:pPr>
      <w:r>
        <w:rPr>
          <w:rFonts w:hint="eastAsia" w:ascii="宋体" w:hAnsi="宋体" w:eastAsia="宋体" w:cs="宋体"/>
          <w:b w:val="0"/>
          <w:bCs w:val="0"/>
          <w:color w:val="auto"/>
          <w:sz w:val="22"/>
          <w:highlight w:val="none"/>
          <w:lang w:val="en-US" w:eastAsia="zh-CN"/>
        </w:rPr>
        <w:t>2、</w:t>
      </w:r>
      <w:r>
        <w:rPr>
          <w:rFonts w:hint="eastAsia" w:ascii="宋体" w:hAnsi="宋体" w:eastAsia="宋体" w:cs="宋体"/>
          <w:b w:val="0"/>
          <w:bCs w:val="0"/>
          <w:color w:val="auto"/>
          <w:sz w:val="22"/>
          <w:highlight w:val="none"/>
        </w:rPr>
        <w:t>人员年龄原则不超过60周岁（含），身体健康。</w:t>
      </w:r>
    </w:p>
    <w:p w14:paraId="44EC5981">
      <w:pPr>
        <w:snapToGrid w:val="0"/>
        <w:spacing w:line="360" w:lineRule="auto"/>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en-US" w:eastAsia="zh-CN"/>
        </w:rPr>
        <w:t>3</w:t>
      </w:r>
      <w:r>
        <w:rPr>
          <w:rFonts w:hint="eastAsia" w:ascii="宋体" w:hAnsi="宋体" w:eastAsia="宋体" w:cs="宋体"/>
          <w:b/>
          <w:bCs/>
          <w:color w:val="auto"/>
          <w:sz w:val="22"/>
          <w:highlight w:val="none"/>
        </w:rPr>
        <w:t>、投标人投入车辆及设备最低配置要求表：本项目要求车辆投入的最低要求</w:t>
      </w:r>
    </w:p>
    <w:tbl>
      <w:tblPr>
        <w:tblStyle w:val="30"/>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040"/>
        <w:gridCol w:w="4400"/>
        <w:gridCol w:w="2150"/>
      </w:tblGrid>
      <w:tr w14:paraId="1EA6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29" w:type="dxa"/>
            <w:tcBorders>
              <w:tl2br w:val="nil"/>
              <w:tr2bl w:val="nil"/>
            </w:tcBorders>
            <w:noWrap w:val="0"/>
            <w:vAlign w:val="center"/>
          </w:tcPr>
          <w:p w14:paraId="6F38CFD0">
            <w:pPr>
              <w:pStyle w:val="2"/>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配置设备名称</w:t>
            </w:r>
          </w:p>
        </w:tc>
        <w:tc>
          <w:tcPr>
            <w:tcW w:w="1040" w:type="dxa"/>
            <w:tcBorders>
              <w:tl2br w:val="nil"/>
              <w:tr2bl w:val="nil"/>
            </w:tcBorders>
            <w:noWrap w:val="0"/>
            <w:vAlign w:val="center"/>
          </w:tcPr>
          <w:p w14:paraId="3DEA32FE">
            <w:pPr>
              <w:pStyle w:val="2"/>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4400" w:type="dxa"/>
            <w:tcBorders>
              <w:tl2br w:val="nil"/>
              <w:tr2bl w:val="nil"/>
            </w:tcBorders>
            <w:noWrap w:val="0"/>
            <w:vAlign w:val="center"/>
          </w:tcPr>
          <w:p w14:paraId="565129EB">
            <w:pPr>
              <w:pStyle w:val="2"/>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最低配置要求</w:t>
            </w:r>
          </w:p>
        </w:tc>
        <w:tc>
          <w:tcPr>
            <w:tcW w:w="2150" w:type="dxa"/>
            <w:tcBorders>
              <w:tl2br w:val="nil"/>
              <w:tr2bl w:val="nil"/>
            </w:tcBorders>
            <w:noWrap w:val="0"/>
            <w:vAlign w:val="center"/>
          </w:tcPr>
          <w:p w14:paraId="64EF3C2D">
            <w:pPr>
              <w:pStyle w:val="2"/>
              <w:spacing w:line="360" w:lineRule="auto"/>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备注</w:t>
            </w:r>
          </w:p>
        </w:tc>
      </w:tr>
      <w:tr w14:paraId="1D31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9" w:type="dxa"/>
            <w:tcBorders>
              <w:tl2br w:val="nil"/>
              <w:tr2bl w:val="nil"/>
            </w:tcBorders>
            <w:noWrap w:val="0"/>
            <w:vAlign w:val="center"/>
          </w:tcPr>
          <w:p w14:paraId="78E78106">
            <w:pPr>
              <w:pStyle w:val="2"/>
              <w:spacing w:line="36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后装式压缩垃圾车</w:t>
            </w:r>
          </w:p>
        </w:tc>
        <w:tc>
          <w:tcPr>
            <w:tcW w:w="1040" w:type="dxa"/>
            <w:tcBorders>
              <w:tl2br w:val="nil"/>
              <w:tr2bl w:val="nil"/>
            </w:tcBorders>
            <w:noWrap w:val="0"/>
            <w:vAlign w:val="center"/>
          </w:tcPr>
          <w:p w14:paraId="73617849">
            <w:pPr>
              <w:pStyle w:val="2"/>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辆</w:t>
            </w:r>
          </w:p>
        </w:tc>
        <w:tc>
          <w:tcPr>
            <w:tcW w:w="4400" w:type="dxa"/>
            <w:tcBorders>
              <w:tl2br w:val="nil"/>
              <w:tr2bl w:val="nil"/>
            </w:tcBorders>
            <w:noWrap w:val="0"/>
            <w:vAlign w:val="center"/>
          </w:tcPr>
          <w:p w14:paraId="6951EE9E">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排放标准：国Ⅵ</w:t>
            </w:r>
          </w:p>
          <w:p w14:paraId="7BCC2CCC">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总质量：≥12490kg</w:t>
            </w:r>
          </w:p>
          <w:p w14:paraId="5B9082CC">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垃圾箱有效容积:≥10m³</w:t>
            </w:r>
          </w:p>
          <w:p w14:paraId="15052CF0">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额定质量：≥3295kg</w:t>
            </w:r>
          </w:p>
        </w:tc>
        <w:tc>
          <w:tcPr>
            <w:tcW w:w="2150" w:type="dxa"/>
            <w:tcBorders>
              <w:tl2br w:val="nil"/>
              <w:tr2bl w:val="nil"/>
            </w:tcBorders>
            <w:noWrap w:val="0"/>
            <w:vAlign w:val="center"/>
          </w:tcPr>
          <w:p w14:paraId="1A42027A">
            <w:pPr>
              <w:spacing w:line="360" w:lineRule="auto"/>
              <w:jc w:val="both"/>
              <w:rPr>
                <w:rFonts w:hint="eastAsia" w:ascii="宋体" w:hAnsi="宋体" w:eastAsia="宋体" w:cs="宋体"/>
                <w:color w:val="auto"/>
                <w:sz w:val="22"/>
                <w:szCs w:val="22"/>
                <w:highlight w:val="none"/>
                <w:lang w:val="en-US" w:eastAsia="zh-CN"/>
              </w:rPr>
            </w:pPr>
          </w:p>
        </w:tc>
      </w:tr>
      <w:tr w14:paraId="78BF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9" w:type="dxa"/>
            <w:tcBorders>
              <w:tl2br w:val="nil"/>
              <w:tr2bl w:val="nil"/>
            </w:tcBorders>
            <w:noWrap w:val="0"/>
            <w:vAlign w:val="center"/>
          </w:tcPr>
          <w:p w14:paraId="38BD9221">
            <w:pPr>
              <w:pStyle w:val="2"/>
              <w:spacing w:line="36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8方洗扫车</w:t>
            </w:r>
          </w:p>
        </w:tc>
        <w:tc>
          <w:tcPr>
            <w:tcW w:w="1040" w:type="dxa"/>
            <w:tcBorders>
              <w:tl2br w:val="nil"/>
              <w:tr2bl w:val="nil"/>
            </w:tcBorders>
            <w:noWrap w:val="0"/>
            <w:vAlign w:val="center"/>
          </w:tcPr>
          <w:p w14:paraId="194819B9">
            <w:pPr>
              <w:pStyle w:val="2"/>
              <w:spacing w:line="36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1辆</w:t>
            </w:r>
          </w:p>
        </w:tc>
        <w:tc>
          <w:tcPr>
            <w:tcW w:w="4400" w:type="dxa"/>
            <w:tcBorders>
              <w:tl2br w:val="nil"/>
              <w:tr2bl w:val="nil"/>
            </w:tcBorders>
            <w:noWrap w:val="0"/>
            <w:vAlign w:val="center"/>
          </w:tcPr>
          <w:p w14:paraId="7712ED1F">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高压水泵压力(MPa)：≥10</w:t>
            </w:r>
          </w:p>
          <w:p w14:paraId="521F08A1">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高压水泵流量(L/min)：≥142</w:t>
            </w:r>
          </w:p>
          <w:p w14:paraId="7750B548">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洗扫宽度(m)：≥3.8</w:t>
            </w:r>
          </w:p>
          <w:p w14:paraId="3DA56003">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清扫效率(%)：&gt;96</w:t>
            </w:r>
          </w:p>
          <w:p w14:paraId="5AF71B18">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清水箱容积(m³)：≥9</w:t>
            </w:r>
          </w:p>
          <w:p w14:paraId="2371A82A">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垃圾箱容积(m³):≥9</w:t>
            </w:r>
          </w:p>
          <w:p w14:paraId="3EDE4A7D">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扫盘数量：≥4个扫盘</w:t>
            </w:r>
          </w:p>
        </w:tc>
        <w:tc>
          <w:tcPr>
            <w:tcW w:w="2150" w:type="dxa"/>
            <w:tcBorders>
              <w:tl2br w:val="nil"/>
              <w:tr2bl w:val="nil"/>
            </w:tcBorders>
            <w:noWrap w:val="0"/>
            <w:vAlign w:val="center"/>
          </w:tcPr>
          <w:p w14:paraId="6F0AFD4E">
            <w:pPr>
              <w:spacing w:line="360" w:lineRule="auto"/>
              <w:jc w:val="both"/>
              <w:rPr>
                <w:rFonts w:hint="eastAsia" w:ascii="宋体" w:hAnsi="宋体" w:eastAsia="宋体" w:cs="宋体"/>
                <w:color w:val="auto"/>
                <w:sz w:val="22"/>
                <w:szCs w:val="22"/>
                <w:highlight w:val="none"/>
                <w:lang w:val="en-US" w:eastAsia="zh-CN"/>
              </w:rPr>
            </w:pPr>
          </w:p>
        </w:tc>
      </w:tr>
      <w:tr w14:paraId="6EB4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9" w:type="dxa"/>
            <w:tcBorders>
              <w:tl2br w:val="nil"/>
              <w:tr2bl w:val="nil"/>
            </w:tcBorders>
            <w:noWrap w:val="0"/>
            <w:vAlign w:val="center"/>
          </w:tcPr>
          <w:p w14:paraId="253EA807">
            <w:pPr>
              <w:tabs>
                <w:tab w:val="left" w:pos="930"/>
              </w:tabs>
              <w:spacing w:line="36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z w:val="22"/>
                <w:szCs w:val="22"/>
                <w:highlight w:val="none"/>
              </w:rPr>
              <w:t>锂电扫地机</w:t>
            </w:r>
          </w:p>
        </w:tc>
        <w:tc>
          <w:tcPr>
            <w:tcW w:w="1040" w:type="dxa"/>
            <w:tcBorders>
              <w:tl2br w:val="nil"/>
              <w:tr2bl w:val="nil"/>
            </w:tcBorders>
            <w:noWrap w:val="0"/>
            <w:vAlign w:val="center"/>
          </w:tcPr>
          <w:p w14:paraId="4C550DA4">
            <w:pPr>
              <w:spacing w:line="36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z w:val="22"/>
                <w:szCs w:val="22"/>
                <w:highlight w:val="none"/>
              </w:rPr>
              <w:t>1</w:t>
            </w:r>
          </w:p>
        </w:tc>
        <w:tc>
          <w:tcPr>
            <w:tcW w:w="4400" w:type="dxa"/>
            <w:tcBorders>
              <w:tl2br w:val="nil"/>
              <w:tr2bl w:val="nil"/>
            </w:tcBorders>
            <w:noWrap w:val="0"/>
            <w:vAlign w:val="center"/>
          </w:tcPr>
          <w:p w14:paraId="77B6164B">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清扫宽度：≥1800mm</w:t>
            </w:r>
          </w:p>
          <w:p w14:paraId="0C21BD33">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工作效率：≥16000m2/h</w:t>
            </w:r>
          </w:p>
          <w:p w14:paraId="0087A191">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爬坡能力：≥15%</w:t>
            </w:r>
          </w:p>
          <w:p w14:paraId="1205D910">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水箱容量：≥200L</w:t>
            </w:r>
          </w:p>
          <w:p w14:paraId="164CF053">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垃圾箱容量：≥240L</w:t>
            </w:r>
          </w:p>
          <w:p w14:paraId="673341F1">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动力源≥72V/540AH磷酸铁锂</w:t>
            </w:r>
          </w:p>
        </w:tc>
        <w:tc>
          <w:tcPr>
            <w:tcW w:w="2150" w:type="dxa"/>
            <w:tcBorders>
              <w:tl2br w:val="nil"/>
              <w:tr2bl w:val="nil"/>
            </w:tcBorders>
            <w:noWrap w:val="0"/>
            <w:vAlign w:val="center"/>
          </w:tcPr>
          <w:p w14:paraId="0EF8002E">
            <w:pPr>
              <w:spacing w:line="360" w:lineRule="auto"/>
              <w:jc w:val="both"/>
              <w:rPr>
                <w:rFonts w:hint="eastAsia" w:ascii="宋体" w:hAnsi="宋体" w:eastAsia="宋体" w:cs="宋体"/>
                <w:color w:val="auto"/>
                <w:sz w:val="22"/>
                <w:szCs w:val="22"/>
                <w:highlight w:val="none"/>
                <w:lang w:val="en-US" w:eastAsia="zh-CN"/>
              </w:rPr>
            </w:pPr>
          </w:p>
        </w:tc>
      </w:tr>
      <w:tr w14:paraId="4CCF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9" w:type="dxa"/>
            <w:tcBorders>
              <w:tl2br w:val="nil"/>
              <w:tr2bl w:val="nil"/>
            </w:tcBorders>
            <w:noWrap w:val="0"/>
            <w:vAlign w:val="center"/>
          </w:tcPr>
          <w:p w14:paraId="3BD0DD16">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锂电后挂清运车</w:t>
            </w:r>
          </w:p>
        </w:tc>
        <w:tc>
          <w:tcPr>
            <w:tcW w:w="1040" w:type="dxa"/>
            <w:tcBorders>
              <w:tl2br w:val="nil"/>
              <w:tr2bl w:val="nil"/>
            </w:tcBorders>
            <w:noWrap w:val="0"/>
            <w:vAlign w:val="center"/>
          </w:tcPr>
          <w:p w14:paraId="5A723067">
            <w:pPr>
              <w:spacing w:line="360" w:lineRule="auto"/>
              <w:ind w:left="66" w:leftChars="0" w:hanging="66" w:hangingChars="30"/>
              <w:jc w:val="center"/>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3</w:t>
            </w:r>
          </w:p>
        </w:tc>
        <w:tc>
          <w:tcPr>
            <w:tcW w:w="4400" w:type="dxa"/>
            <w:tcBorders>
              <w:tl2br w:val="nil"/>
              <w:tr2bl w:val="nil"/>
            </w:tcBorders>
            <w:noWrap w:val="0"/>
            <w:vAlign w:val="center"/>
          </w:tcPr>
          <w:p w14:paraId="0625E81A">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续航里程：≥150km</w:t>
            </w:r>
          </w:p>
          <w:p w14:paraId="2343223E">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制动能力：≤4m（空载</w:t>
            </w:r>
          </w:p>
          <w:p w14:paraId="577ABE73">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行走电机功率：≥11.5kw</w:t>
            </w:r>
          </w:p>
          <w:p w14:paraId="392075AE">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垃圾箱容量：≥4.3m³</w:t>
            </w:r>
          </w:p>
          <w:p w14:paraId="053CE64F">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动力源≥72V/540AH磷酸铁锂</w:t>
            </w:r>
          </w:p>
        </w:tc>
        <w:tc>
          <w:tcPr>
            <w:tcW w:w="2150" w:type="dxa"/>
            <w:tcBorders>
              <w:tl2br w:val="nil"/>
              <w:tr2bl w:val="nil"/>
            </w:tcBorders>
            <w:noWrap w:val="0"/>
            <w:vAlign w:val="center"/>
          </w:tcPr>
          <w:p w14:paraId="35B58E0E">
            <w:pPr>
              <w:spacing w:line="360" w:lineRule="auto"/>
              <w:jc w:val="both"/>
              <w:rPr>
                <w:rFonts w:hint="eastAsia" w:ascii="宋体" w:hAnsi="宋体" w:eastAsia="宋体" w:cs="宋体"/>
                <w:color w:val="auto"/>
                <w:sz w:val="22"/>
                <w:szCs w:val="22"/>
                <w:highlight w:val="none"/>
                <w:lang w:val="en-US" w:eastAsia="zh-CN"/>
              </w:rPr>
            </w:pPr>
          </w:p>
        </w:tc>
      </w:tr>
      <w:tr w14:paraId="1F2C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9" w:type="dxa"/>
            <w:tcBorders>
              <w:tl2br w:val="nil"/>
              <w:tr2bl w:val="nil"/>
            </w:tcBorders>
            <w:noWrap w:val="0"/>
            <w:vAlign w:val="center"/>
          </w:tcPr>
          <w:p w14:paraId="581CBAF6">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锂电路面高压冲洗车</w:t>
            </w:r>
          </w:p>
        </w:tc>
        <w:tc>
          <w:tcPr>
            <w:tcW w:w="1040" w:type="dxa"/>
            <w:tcBorders>
              <w:tl2br w:val="nil"/>
              <w:tr2bl w:val="nil"/>
            </w:tcBorders>
            <w:noWrap w:val="0"/>
            <w:vAlign w:val="center"/>
          </w:tcPr>
          <w:p w14:paraId="13A94699">
            <w:pPr>
              <w:tabs>
                <w:tab w:val="left" w:pos="930"/>
              </w:tabs>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2</w:t>
            </w:r>
          </w:p>
        </w:tc>
        <w:tc>
          <w:tcPr>
            <w:tcW w:w="4400" w:type="dxa"/>
            <w:tcBorders>
              <w:tl2br w:val="nil"/>
              <w:tr2bl w:val="nil"/>
            </w:tcBorders>
            <w:noWrap w:val="0"/>
            <w:vAlign w:val="center"/>
          </w:tcPr>
          <w:p w14:paraId="3FBEB203">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清洗宽度：≥1450mm；</w:t>
            </w:r>
          </w:p>
          <w:p w14:paraId="6E3316BF">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水箱容积≥2000L；</w:t>
            </w:r>
          </w:p>
          <w:p w14:paraId="3F48403A">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续航里程：≥120km；</w:t>
            </w:r>
          </w:p>
          <w:p w14:paraId="0098EC31">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爬坡能力：≥20%；</w:t>
            </w:r>
          </w:p>
          <w:p w14:paraId="621715E1">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动力源≥72V/400AH磷酸铁锂</w:t>
            </w:r>
          </w:p>
        </w:tc>
        <w:tc>
          <w:tcPr>
            <w:tcW w:w="2150" w:type="dxa"/>
            <w:tcBorders>
              <w:tl2br w:val="nil"/>
              <w:tr2bl w:val="nil"/>
            </w:tcBorders>
            <w:noWrap w:val="0"/>
            <w:vAlign w:val="center"/>
          </w:tcPr>
          <w:p w14:paraId="5F93AE40">
            <w:pPr>
              <w:spacing w:line="360" w:lineRule="auto"/>
              <w:jc w:val="both"/>
              <w:rPr>
                <w:rFonts w:hint="eastAsia" w:ascii="宋体" w:hAnsi="宋体" w:eastAsia="宋体" w:cs="宋体"/>
                <w:color w:val="auto"/>
                <w:sz w:val="22"/>
                <w:szCs w:val="22"/>
                <w:highlight w:val="none"/>
                <w:lang w:val="en-US" w:eastAsia="zh-CN"/>
              </w:rPr>
            </w:pPr>
          </w:p>
        </w:tc>
      </w:tr>
      <w:tr w14:paraId="7214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9" w:type="dxa"/>
            <w:tcBorders>
              <w:tl2br w:val="nil"/>
              <w:tr2bl w:val="nil"/>
            </w:tcBorders>
            <w:noWrap w:val="0"/>
            <w:vAlign w:val="center"/>
          </w:tcPr>
          <w:p w14:paraId="210E6B7F">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保洁员巡回保洁车</w:t>
            </w:r>
          </w:p>
        </w:tc>
        <w:tc>
          <w:tcPr>
            <w:tcW w:w="1040" w:type="dxa"/>
            <w:tcBorders>
              <w:tl2br w:val="nil"/>
              <w:tr2bl w:val="nil"/>
            </w:tcBorders>
            <w:noWrap w:val="0"/>
            <w:vAlign w:val="center"/>
          </w:tcPr>
          <w:p w14:paraId="79CAE380">
            <w:pPr>
              <w:tabs>
                <w:tab w:val="left" w:pos="930"/>
              </w:tabs>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20</w:t>
            </w:r>
          </w:p>
        </w:tc>
        <w:tc>
          <w:tcPr>
            <w:tcW w:w="4400" w:type="dxa"/>
            <w:tcBorders>
              <w:tl2br w:val="nil"/>
              <w:tr2bl w:val="nil"/>
            </w:tcBorders>
            <w:noWrap w:val="0"/>
            <w:vAlign w:val="center"/>
          </w:tcPr>
          <w:p w14:paraId="0F520B98">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续驶里程：≥70km</w:t>
            </w:r>
          </w:p>
          <w:p w14:paraId="44F0CD46">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箱体容积：≥500L</w:t>
            </w:r>
          </w:p>
        </w:tc>
        <w:tc>
          <w:tcPr>
            <w:tcW w:w="2150" w:type="dxa"/>
            <w:tcBorders>
              <w:tl2br w:val="nil"/>
              <w:tr2bl w:val="nil"/>
            </w:tcBorders>
            <w:noWrap w:val="0"/>
            <w:vAlign w:val="center"/>
          </w:tcPr>
          <w:p w14:paraId="018EC5DC">
            <w:pPr>
              <w:spacing w:line="360" w:lineRule="auto"/>
              <w:jc w:val="both"/>
              <w:rPr>
                <w:rFonts w:hint="eastAsia" w:ascii="宋体" w:hAnsi="宋体" w:eastAsia="宋体" w:cs="宋体"/>
                <w:color w:val="auto"/>
                <w:sz w:val="22"/>
                <w:szCs w:val="22"/>
                <w:highlight w:val="none"/>
              </w:rPr>
            </w:pPr>
          </w:p>
        </w:tc>
      </w:tr>
      <w:tr w14:paraId="311B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729" w:type="dxa"/>
            <w:tcBorders>
              <w:tl2br w:val="nil"/>
              <w:tr2bl w:val="nil"/>
            </w:tcBorders>
            <w:noWrap w:val="0"/>
            <w:vAlign w:val="center"/>
          </w:tcPr>
          <w:p w14:paraId="4DC7E42F">
            <w:pPr>
              <w:pStyle w:val="2"/>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自动挡实心胎小铲车</w:t>
            </w:r>
          </w:p>
        </w:tc>
        <w:tc>
          <w:tcPr>
            <w:tcW w:w="1040" w:type="dxa"/>
            <w:tcBorders>
              <w:tl2br w:val="nil"/>
              <w:tr2bl w:val="nil"/>
            </w:tcBorders>
            <w:noWrap w:val="0"/>
            <w:vAlign w:val="center"/>
          </w:tcPr>
          <w:p w14:paraId="4133955C">
            <w:pPr>
              <w:pStyle w:val="2"/>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1</w:t>
            </w:r>
          </w:p>
        </w:tc>
        <w:tc>
          <w:tcPr>
            <w:tcW w:w="4400" w:type="dxa"/>
            <w:tcBorders>
              <w:tl2br w:val="nil"/>
              <w:tr2bl w:val="nil"/>
            </w:tcBorders>
            <w:noWrap w:val="0"/>
            <w:vAlign w:val="center"/>
          </w:tcPr>
          <w:p w14:paraId="4D04489B">
            <w:pPr>
              <w:spacing w:line="360" w:lineRule="auto"/>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发动机功率：≥40KW；</w:t>
            </w:r>
          </w:p>
          <w:p w14:paraId="6FA7D4C1">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rPr>
              <w:t>额定载重量：≥800kg；</w:t>
            </w:r>
          </w:p>
        </w:tc>
        <w:tc>
          <w:tcPr>
            <w:tcW w:w="2150" w:type="dxa"/>
            <w:tcBorders>
              <w:tl2br w:val="nil"/>
              <w:tr2bl w:val="nil"/>
            </w:tcBorders>
            <w:noWrap w:val="0"/>
            <w:vAlign w:val="center"/>
          </w:tcPr>
          <w:p w14:paraId="6DE8C648">
            <w:pPr>
              <w:spacing w:line="360" w:lineRule="auto"/>
              <w:jc w:val="both"/>
              <w:rPr>
                <w:rFonts w:hint="eastAsia" w:ascii="宋体" w:hAnsi="宋体" w:eastAsia="宋体" w:cs="宋体"/>
                <w:bCs/>
                <w:color w:val="auto"/>
                <w:sz w:val="22"/>
                <w:szCs w:val="22"/>
                <w:highlight w:val="none"/>
              </w:rPr>
            </w:pPr>
          </w:p>
        </w:tc>
      </w:tr>
      <w:tr w14:paraId="5BFD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729" w:type="dxa"/>
            <w:tcBorders>
              <w:tl2br w:val="nil"/>
              <w:tr2bl w:val="nil"/>
            </w:tcBorders>
            <w:noWrap w:val="0"/>
            <w:vAlign w:val="center"/>
          </w:tcPr>
          <w:p w14:paraId="148DBCF9">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环卫巡查车</w:t>
            </w:r>
          </w:p>
        </w:tc>
        <w:tc>
          <w:tcPr>
            <w:tcW w:w="1040" w:type="dxa"/>
            <w:tcBorders>
              <w:tl2br w:val="nil"/>
              <w:tr2bl w:val="nil"/>
            </w:tcBorders>
            <w:noWrap w:val="0"/>
            <w:vAlign w:val="center"/>
          </w:tcPr>
          <w:p w14:paraId="56AB0480">
            <w:pPr>
              <w:tabs>
                <w:tab w:val="left" w:pos="930"/>
              </w:tabs>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1</w:t>
            </w:r>
          </w:p>
        </w:tc>
        <w:tc>
          <w:tcPr>
            <w:tcW w:w="4400" w:type="dxa"/>
            <w:tcBorders>
              <w:tl2br w:val="nil"/>
              <w:tr2bl w:val="nil"/>
            </w:tcBorders>
            <w:noWrap w:val="0"/>
            <w:vAlign w:val="center"/>
          </w:tcPr>
          <w:p w14:paraId="334B2245">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乘员数：≥4人；</w:t>
            </w:r>
          </w:p>
          <w:p w14:paraId="2AF98BEE">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续航里程：≥80公里</w:t>
            </w:r>
          </w:p>
          <w:p w14:paraId="6C197AF2">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总质量≥850kg</w:t>
            </w:r>
          </w:p>
          <w:p w14:paraId="0EA7C0D0">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长/宽/高（mm）：≥3850*1450*2410</w:t>
            </w:r>
          </w:p>
          <w:p w14:paraId="06BA4300">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动力源≥72V/240AH磷酸铁锂</w:t>
            </w:r>
          </w:p>
        </w:tc>
        <w:tc>
          <w:tcPr>
            <w:tcW w:w="2150" w:type="dxa"/>
            <w:tcBorders>
              <w:tl2br w:val="nil"/>
              <w:tr2bl w:val="nil"/>
            </w:tcBorders>
            <w:noWrap w:val="0"/>
            <w:vAlign w:val="center"/>
          </w:tcPr>
          <w:p w14:paraId="3EB6EB4D">
            <w:pPr>
              <w:spacing w:line="360" w:lineRule="auto"/>
              <w:jc w:val="both"/>
              <w:rPr>
                <w:rFonts w:hint="eastAsia" w:ascii="宋体" w:hAnsi="宋体" w:eastAsia="宋体" w:cs="宋体"/>
                <w:color w:val="auto"/>
                <w:sz w:val="22"/>
                <w:szCs w:val="22"/>
                <w:highlight w:val="none"/>
                <w:lang w:val="en-US" w:eastAsia="zh-CN"/>
              </w:rPr>
            </w:pPr>
          </w:p>
        </w:tc>
      </w:tr>
      <w:tr w14:paraId="0859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729" w:type="dxa"/>
            <w:tcBorders>
              <w:tl2br w:val="nil"/>
              <w:tr2bl w:val="nil"/>
            </w:tcBorders>
            <w:noWrap w:val="0"/>
            <w:vAlign w:val="center"/>
          </w:tcPr>
          <w:p w14:paraId="7F6ECEBA">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锂电4桶分类三轮车</w:t>
            </w:r>
          </w:p>
        </w:tc>
        <w:tc>
          <w:tcPr>
            <w:tcW w:w="1040" w:type="dxa"/>
            <w:tcBorders>
              <w:tl2br w:val="nil"/>
              <w:tr2bl w:val="nil"/>
            </w:tcBorders>
            <w:noWrap w:val="0"/>
            <w:vAlign w:val="center"/>
          </w:tcPr>
          <w:p w14:paraId="7894D114">
            <w:pPr>
              <w:tabs>
                <w:tab w:val="left" w:pos="930"/>
              </w:tabs>
              <w:spacing w:line="36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4400" w:type="dxa"/>
            <w:tcBorders>
              <w:tl2br w:val="nil"/>
              <w:tr2bl w:val="nil"/>
            </w:tcBorders>
            <w:noWrap w:val="0"/>
            <w:vAlign w:val="center"/>
          </w:tcPr>
          <w:p w14:paraId="0D5B25E7">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额定载荷：≥500Kg；</w:t>
            </w:r>
          </w:p>
          <w:p w14:paraId="65142139">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续航里程：≥70 Km；</w:t>
            </w:r>
          </w:p>
          <w:p w14:paraId="7A8FEF51">
            <w:pPr>
              <w:spacing w:line="360" w:lineRule="auto"/>
              <w:jc w:val="both"/>
              <w:rPr>
                <w:rFonts w:hint="eastAsia" w:ascii="宋体" w:hAnsi="宋体" w:eastAsia="宋体" w:cs="宋体"/>
                <w:b w:val="0"/>
                <w:bCs/>
                <w:color w:val="auto"/>
                <w:sz w:val="22"/>
                <w:szCs w:val="22"/>
                <w:highlight w:val="none"/>
              </w:rPr>
            </w:pPr>
            <w:r>
              <w:rPr>
                <w:rFonts w:hint="eastAsia" w:ascii="宋体" w:hAnsi="宋体" w:eastAsia="宋体" w:cs="宋体"/>
                <w:color w:val="auto"/>
                <w:sz w:val="22"/>
                <w:szCs w:val="22"/>
                <w:highlight w:val="none"/>
              </w:rPr>
              <w:t>采用通用的240L标准垃圾桶装载垃圾</w:t>
            </w:r>
          </w:p>
        </w:tc>
        <w:tc>
          <w:tcPr>
            <w:tcW w:w="2150" w:type="dxa"/>
            <w:tcBorders>
              <w:tl2br w:val="nil"/>
              <w:tr2bl w:val="nil"/>
            </w:tcBorders>
            <w:noWrap w:val="0"/>
            <w:vAlign w:val="center"/>
          </w:tcPr>
          <w:p w14:paraId="40F60D9D">
            <w:pPr>
              <w:spacing w:line="360" w:lineRule="auto"/>
              <w:jc w:val="both"/>
              <w:rPr>
                <w:rFonts w:hint="eastAsia" w:ascii="宋体" w:hAnsi="宋体" w:eastAsia="宋体" w:cs="宋体"/>
                <w:color w:val="auto"/>
                <w:sz w:val="22"/>
                <w:szCs w:val="22"/>
                <w:highlight w:val="none"/>
              </w:rPr>
            </w:pPr>
          </w:p>
        </w:tc>
      </w:tr>
      <w:tr w14:paraId="6792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729" w:type="dxa"/>
            <w:tcBorders>
              <w:tl2br w:val="nil"/>
              <w:tr2bl w:val="nil"/>
            </w:tcBorders>
            <w:noWrap w:val="0"/>
            <w:vAlign w:val="center"/>
          </w:tcPr>
          <w:p w14:paraId="1DB9D0E9">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吸污车</w:t>
            </w:r>
          </w:p>
        </w:tc>
        <w:tc>
          <w:tcPr>
            <w:tcW w:w="1040" w:type="dxa"/>
            <w:tcBorders>
              <w:tl2br w:val="nil"/>
              <w:tr2bl w:val="nil"/>
            </w:tcBorders>
            <w:noWrap w:val="0"/>
            <w:vAlign w:val="center"/>
          </w:tcPr>
          <w:p w14:paraId="4A808372">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4400" w:type="dxa"/>
            <w:tcBorders>
              <w:tl2br w:val="nil"/>
              <w:tr2bl w:val="nil"/>
            </w:tcBorders>
            <w:noWrap w:val="0"/>
            <w:vAlign w:val="center"/>
          </w:tcPr>
          <w:p w14:paraId="68689FAB">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污水罐有效容积(m3)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9</w:t>
            </w:r>
          </w:p>
          <w:p w14:paraId="667D4330">
            <w:pPr>
              <w:spacing w:line="360" w:lineRule="auto"/>
              <w:jc w:val="both"/>
              <w:rPr>
                <w:rFonts w:hint="eastAsia" w:ascii="宋体" w:hAnsi="宋体" w:eastAsia="宋体" w:cs="宋体"/>
                <w:b w:val="0"/>
                <w:bCs/>
                <w:color w:val="auto"/>
                <w:sz w:val="22"/>
                <w:szCs w:val="22"/>
                <w:highlight w:val="none"/>
              </w:rPr>
            </w:pPr>
            <w:r>
              <w:rPr>
                <w:rFonts w:hint="eastAsia" w:ascii="宋体" w:hAnsi="宋体" w:eastAsia="宋体" w:cs="宋体"/>
                <w:color w:val="auto"/>
                <w:sz w:val="22"/>
                <w:szCs w:val="22"/>
                <w:highlight w:val="none"/>
              </w:rPr>
              <w:t>排放标准：</w:t>
            </w:r>
            <w:r>
              <w:rPr>
                <w:rFonts w:hint="eastAsia" w:ascii="宋体" w:hAnsi="宋体" w:eastAsia="宋体" w:cs="宋体"/>
                <w:color w:val="auto"/>
                <w:sz w:val="22"/>
                <w:szCs w:val="22"/>
                <w:highlight w:val="none"/>
              </w:rPr>
              <w:t>国Ⅵ</w:t>
            </w:r>
          </w:p>
        </w:tc>
        <w:tc>
          <w:tcPr>
            <w:tcW w:w="2150" w:type="dxa"/>
            <w:tcBorders>
              <w:tl2br w:val="nil"/>
              <w:tr2bl w:val="nil"/>
            </w:tcBorders>
            <w:noWrap w:val="0"/>
            <w:vAlign w:val="center"/>
          </w:tcPr>
          <w:p w14:paraId="6E463D0F">
            <w:pPr>
              <w:spacing w:line="360" w:lineRule="auto"/>
              <w:jc w:val="both"/>
              <w:rPr>
                <w:rFonts w:hint="eastAsia" w:ascii="宋体" w:hAnsi="宋体" w:eastAsia="宋体" w:cs="宋体"/>
                <w:color w:val="auto"/>
                <w:sz w:val="22"/>
                <w:szCs w:val="22"/>
                <w:highlight w:val="none"/>
              </w:rPr>
            </w:pPr>
          </w:p>
        </w:tc>
      </w:tr>
      <w:tr w14:paraId="4765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729" w:type="dxa"/>
            <w:tcBorders>
              <w:tl2br w:val="nil"/>
              <w:tr2bl w:val="nil"/>
            </w:tcBorders>
            <w:noWrap w:val="0"/>
            <w:vAlign w:val="center"/>
          </w:tcPr>
          <w:p w14:paraId="6719B737">
            <w:pPr>
              <w:tabs>
                <w:tab w:val="left" w:pos="930"/>
              </w:tabs>
              <w:spacing w:line="36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eastAsia="zh-CN"/>
              </w:rPr>
              <w:t>河道保洁船</w:t>
            </w:r>
          </w:p>
        </w:tc>
        <w:tc>
          <w:tcPr>
            <w:tcW w:w="1040" w:type="dxa"/>
            <w:tcBorders>
              <w:tl2br w:val="nil"/>
              <w:tr2bl w:val="nil"/>
            </w:tcBorders>
            <w:noWrap w:val="0"/>
            <w:vAlign w:val="center"/>
          </w:tcPr>
          <w:p w14:paraId="73D8BFF2">
            <w:pPr>
              <w:tabs>
                <w:tab w:val="left" w:pos="930"/>
              </w:tabs>
              <w:spacing w:line="36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400" w:type="dxa"/>
            <w:tcBorders>
              <w:tl2br w:val="nil"/>
              <w:tr2bl w:val="nil"/>
            </w:tcBorders>
            <w:noWrap w:val="0"/>
            <w:vAlign w:val="center"/>
          </w:tcPr>
          <w:p w14:paraId="00F41971">
            <w:pPr>
              <w:spacing w:line="360" w:lineRule="auto"/>
              <w:jc w:val="both"/>
              <w:rPr>
                <w:rFonts w:hint="eastAsia" w:ascii="宋体" w:hAnsi="宋体" w:eastAsia="宋体" w:cs="宋体"/>
                <w:b w:val="0"/>
                <w:bCs/>
                <w:color w:val="auto"/>
                <w:sz w:val="22"/>
                <w:szCs w:val="22"/>
                <w:highlight w:val="none"/>
                <w:lang w:val="en-US" w:eastAsia="zh-CN"/>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eastAsia="zh-CN"/>
              </w:rPr>
              <w:t>投标人需自行勘察现场以获取准确的现场情况，并根据现场实际情况投入保洁船只。</w:t>
            </w:r>
          </w:p>
        </w:tc>
        <w:tc>
          <w:tcPr>
            <w:tcW w:w="2150" w:type="dxa"/>
            <w:tcBorders>
              <w:tl2br w:val="nil"/>
              <w:tr2bl w:val="nil"/>
            </w:tcBorders>
            <w:noWrap w:val="0"/>
            <w:vAlign w:val="center"/>
          </w:tcPr>
          <w:p w14:paraId="711CB40D">
            <w:pPr>
              <w:spacing w:line="360" w:lineRule="auto"/>
              <w:jc w:val="both"/>
              <w:rPr>
                <w:rFonts w:hint="eastAsia" w:ascii="宋体" w:hAnsi="宋体" w:eastAsia="宋体" w:cs="宋体"/>
                <w:b/>
                <w:bCs/>
                <w:color w:val="auto"/>
                <w:sz w:val="22"/>
                <w:szCs w:val="22"/>
                <w:highlight w:val="none"/>
              </w:rPr>
            </w:pPr>
          </w:p>
        </w:tc>
      </w:tr>
      <w:tr w14:paraId="5B5D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1729" w:type="dxa"/>
            <w:tcBorders>
              <w:tl2br w:val="nil"/>
              <w:tr2bl w:val="nil"/>
            </w:tcBorders>
            <w:noWrap w:val="0"/>
            <w:vAlign w:val="center"/>
          </w:tcPr>
          <w:p w14:paraId="36B705E5">
            <w:pPr>
              <w:tabs>
                <w:tab w:val="left" w:pos="930"/>
              </w:tabs>
              <w:spacing w:line="360" w:lineRule="auto"/>
              <w:jc w:val="center"/>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垃圾分类岗亭</w:t>
            </w:r>
          </w:p>
        </w:tc>
        <w:tc>
          <w:tcPr>
            <w:tcW w:w="1040" w:type="dxa"/>
            <w:tcBorders>
              <w:tl2br w:val="nil"/>
              <w:tr2bl w:val="nil"/>
            </w:tcBorders>
            <w:noWrap w:val="0"/>
            <w:vAlign w:val="center"/>
          </w:tcPr>
          <w:p w14:paraId="4E6223FD">
            <w:pPr>
              <w:tabs>
                <w:tab w:val="left" w:pos="930"/>
              </w:tabs>
              <w:spacing w:line="36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4400" w:type="dxa"/>
            <w:tcBorders>
              <w:tl2br w:val="nil"/>
              <w:tr2bl w:val="nil"/>
            </w:tcBorders>
            <w:noWrap w:val="0"/>
            <w:vAlign w:val="center"/>
          </w:tcPr>
          <w:p w14:paraId="44DD6BAD">
            <w:pPr>
              <w:spacing w:line="360" w:lineRule="auto"/>
              <w:jc w:val="both"/>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投放点尺寸不小于7m2，具有“分类、洗手、照明、遮雨”等功能，垃圾收集容器数量不少于六个（240L容器），设备应由有害垃圾、可回收物、易腐垃圾、其他垃圾投放收集箱组成，分类标志标识准确清晰，尺寸大小符合要求</w:t>
            </w:r>
          </w:p>
        </w:tc>
        <w:tc>
          <w:tcPr>
            <w:tcW w:w="2150" w:type="dxa"/>
            <w:tcBorders>
              <w:tl2br w:val="nil"/>
              <w:tr2bl w:val="nil"/>
            </w:tcBorders>
            <w:noWrap w:val="0"/>
            <w:vAlign w:val="center"/>
          </w:tcPr>
          <w:p w14:paraId="519FB04B">
            <w:pPr>
              <w:spacing w:line="360" w:lineRule="auto"/>
              <w:jc w:val="both"/>
              <w:rPr>
                <w:rFonts w:hint="eastAsia" w:ascii="宋体" w:hAnsi="宋体" w:eastAsia="宋体" w:cs="宋体"/>
                <w:b/>
                <w:bCs/>
                <w:color w:val="auto"/>
                <w:sz w:val="22"/>
                <w:szCs w:val="22"/>
                <w:highlight w:val="none"/>
              </w:rPr>
            </w:pPr>
          </w:p>
        </w:tc>
      </w:tr>
      <w:tr w14:paraId="3A33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729" w:type="dxa"/>
            <w:tcBorders>
              <w:tl2br w:val="nil"/>
              <w:tr2bl w:val="nil"/>
            </w:tcBorders>
            <w:noWrap w:val="0"/>
            <w:vAlign w:val="center"/>
          </w:tcPr>
          <w:p w14:paraId="54215A7C">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吹地风机</w:t>
            </w:r>
          </w:p>
        </w:tc>
        <w:tc>
          <w:tcPr>
            <w:tcW w:w="1040" w:type="dxa"/>
            <w:tcBorders>
              <w:tl2br w:val="nil"/>
              <w:tr2bl w:val="nil"/>
            </w:tcBorders>
            <w:noWrap w:val="0"/>
            <w:vAlign w:val="center"/>
          </w:tcPr>
          <w:p w14:paraId="3D1B25A4">
            <w:pPr>
              <w:tabs>
                <w:tab w:val="left" w:pos="930"/>
              </w:tabs>
              <w:spacing w:line="36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36</w:t>
            </w:r>
          </w:p>
        </w:tc>
        <w:tc>
          <w:tcPr>
            <w:tcW w:w="4400" w:type="dxa"/>
            <w:tcBorders>
              <w:tl2br w:val="nil"/>
              <w:tr2bl w:val="nil"/>
            </w:tcBorders>
            <w:noWrap w:val="0"/>
            <w:vAlign w:val="center"/>
          </w:tcPr>
          <w:p w14:paraId="3A4FE894">
            <w:pPr>
              <w:spacing w:line="360" w:lineRule="auto"/>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功率：≥3200W</w:t>
            </w:r>
          </w:p>
        </w:tc>
        <w:tc>
          <w:tcPr>
            <w:tcW w:w="2150" w:type="dxa"/>
            <w:tcBorders>
              <w:tl2br w:val="nil"/>
              <w:tr2bl w:val="nil"/>
            </w:tcBorders>
            <w:noWrap w:val="0"/>
            <w:vAlign w:val="center"/>
          </w:tcPr>
          <w:p w14:paraId="6C28BF67">
            <w:pPr>
              <w:spacing w:line="360" w:lineRule="auto"/>
              <w:jc w:val="both"/>
              <w:rPr>
                <w:rFonts w:hint="eastAsia" w:ascii="宋体" w:hAnsi="宋体" w:eastAsia="宋体" w:cs="宋体"/>
                <w:b w:val="0"/>
                <w:bCs/>
                <w:color w:val="auto"/>
                <w:sz w:val="22"/>
                <w:szCs w:val="22"/>
                <w:highlight w:val="none"/>
              </w:rPr>
            </w:pPr>
          </w:p>
        </w:tc>
      </w:tr>
      <w:tr w14:paraId="2DFA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29" w:type="dxa"/>
            <w:tcBorders>
              <w:tl2br w:val="nil"/>
              <w:tr2bl w:val="nil"/>
            </w:tcBorders>
            <w:noWrap w:val="0"/>
            <w:vAlign w:val="center"/>
          </w:tcPr>
          <w:p w14:paraId="1A0AB1A5">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除臭仪器</w:t>
            </w:r>
          </w:p>
        </w:tc>
        <w:tc>
          <w:tcPr>
            <w:tcW w:w="1040" w:type="dxa"/>
            <w:tcBorders>
              <w:tl2br w:val="nil"/>
              <w:tr2bl w:val="nil"/>
            </w:tcBorders>
            <w:noWrap w:val="0"/>
            <w:vAlign w:val="center"/>
          </w:tcPr>
          <w:p w14:paraId="43F98FB5">
            <w:pPr>
              <w:tabs>
                <w:tab w:val="left" w:pos="930"/>
              </w:tabs>
              <w:spacing w:line="36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36</w:t>
            </w:r>
          </w:p>
        </w:tc>
        <w:tc>
          <w:tcPr>
            <w:tcW w:w="4400" w:type="dxa"/>
            <w:tcBorders>
              <w:tl2br w:val="nil"/>
              <w:tr2bl w:val="nil"/>
            </w:tcBorders>
            <w:noWrap w:val="0"/>
            <w:vAlign w:val="center"/>
          </w:tcPr>
          <w:p w14:paraId="5FAACE99">
            <w:pPr>
              <w:tabs>
                <w:tab w:val="left" w:pos="930"/>
              </w:tabs>
              <w:spacing w:line="360" w:lineRule="auto"/>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p>
        </w:tc>
        <w:tc>
          <w:tcPr>
            <w:tcW w:w="2150" w:type="dxa"/>
            <w:tcBorders>
              <w:tl2br w:val="nil"/>
              <w:tr2bl w:val="nil"/>
            </w:tcBorders>
            <w:noWrap w:val="0"/>
            <w:vAlign w:val="center"/>
          </w:tcPr>
          <w:p w14:paraId="6C449E0B">
            <w:pPr>
              <w:tabs>
                <w:tab w:val="left" w:pos="930"/>
              </w:tabs>
              <w:spacing w:line="360" w:lineRule="auto"/>
              <w:jc w:val="both"/>
              <w:rPr>
                <w:rFonts w:hint="eastAsia" w:ascii="宋体" w:hAnsi="宋体" w:eastAsia="宋体" w:cs="宋体"/>
                <w:b w:val="0"/>
                <w:bCs/>
                <w:color w:val="auto"/>
                <w:sz w:val="22"/>
                <w:szCs w:val="22"/>
                <w:highlight w:val="none"/>
              </w:rPr>
            </w:pPr>
          </w:p>
        </w:tc>
      </w:tr>
      <w:tr w14:paraId="2C3D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729" w:type="dxa"/>
            <w:tcBorders>
              <w:tl2br w:val="nil"/>
              <w:tr2bl w:val="nil"/>
            </w:tcBorders>
            <w:noWrap w:val="0"/>
            <w:vAlign w:val="center"/>
          </w:tcPr>
          <w:p w14:paraId="06F3BA06">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通厕机</w:t>
            </w:r>
          </w:p>
        </w:tc>
        <w:tc>
          <w:tcPr>
            <w:tcW w:w="1040" w:type="dxa"/>
            <w:tcBorders>
              <w:tl2br w:val="nil"/>
              <w:tr2bl w:val="nil"/>
            </w:tcBorders>
            <w:noWrap w:val="0"/>
            <w:vAlign w:val="center"/>
          </w:tcPr>
          <w:p w14:paraId="38334E8B">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p>
        </w:tc>
        <w:tc>
          <w:tcPr>
            <w:tcW w:w="4400" w:type="dxa"/>
            <w:tcBorders>
              <w:tl2br w:val="nil"/>
              <w:tr2bl w:val="nil"/>
            </w:tcBorders>
            <w:noWrap w:val="0"/>
            <w:vAlign w:val="center"/>
          </w:tcPr>
          <w:p w14:paraId="362B4EDD">
            <w:pPr>
              <w:tabs>
                <w:tab w:val="left" w:pos="930"/>
              </w:tabs>
              <w:spacing w:line="360" w:lineRule="auto"/>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功率：≥2200W</w:t>
            </w:r>
          </w:p>
        </w:tc>
        <w:tc>
          <w:tcPr>
            <w:tcW w:w="2150" w:type="dxa"/>
            <w:tcBorders>
              <w:tl2br w:val="nil"/>
              <w:tr2bl w:val="nil"/>
            </w:tcBorders>
            <w:noWrap w:val="0"/>
            <w:vAlign w:val="center"/>
          </w:tcPr>
          <w:p w14:paraId="71012757">
            <w:pPr>
              <w:tabs>
                <w:tab w:val="left" w:pos="930"/>
              </w:tabs>
              <w:spacing w:line="360" w:lineRule="auto"/>
              <w:jc w:val="both"/>
              <w:rPr>
                <w:rFonts w:hint="eastAsia" w:ascii="宋体" w:hAnsi="宋体" w:eastAsia="宋体" w:cs="宋体"/>
                <w:b w:val="0"/>
                <w:bCs/>
                <w:color w:val="auto"/>
                <w:sz w:val="22"/>
                <w:szCs w:val="22"/>
                <w:highlight w:val="none"/>
              </w:rPr>
            </w:pPr>
          </w:p>
        </w:tc>
      </w:tr>
      <w:tr w14:paraId="0D10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29" w:type="dxa"/>
            <w:tcBorders>
              <w:tl2br w:val="nil"/>
              <w:tr2bl w:val="nil"/>
            </w:tcBorders>
            <w:noWrap w:val="0"/>
            <w:vAlign w:val="center"/>
          </w:tcPr>
          <w:p w14:paraId="2982F054">
            <w:pPr>
              <w:tabs>
                <w:tab w:val="left" w:pos="930"/>
              </w:tabs>
              <w:spacing w:line="36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灭蝇灭蚊灯</w:t>
            </w:r>
          </w:p>
        </w:tc>
        <w:tc>
          <w:tcPr>
            <w:tcW w:w="1040" w:type="dxa"/>
            <w:tcBorders>
              <w:tl2br w:val="nil"/>
              <w:tr2bl w:val="nil"/>
            </w:tcBorders>
            <w:noWrap w:val="0"/>
            <w:vAlign w:val="center"/>
          </w:tcPr>
          <w:p w14:paraId="347BF936">
            <w:pPr>
              <w:tabs>
                <w:tab w:val="left" w:pos="930"/>
              </w:tabs>
              <w:spacing w:line="36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34</w:t>
            </w:r>
          </w:p>
        </w:tc>
        <w:tc>
          <w:tcPr>
            <w:tcW w:w="4400" w:type="dxa"/>
            <w:tcBorders>
              <w:tl2br w:val="nil"/>
              <w:tr2bl w:val="nil"/>
            </w:tcBorders>
            <w:noWrap w:val="0"/>
            <w:vAlign w:val="center"/>
          </w:tcPr>
          <w:p w14:paraId="3575E518">
            <w:pPr>
              <w:tabs>
                <w:tab w:val="left" w:pos="930"/>
              </w:tabs>
              <w:spacing w:line="360" w:lineRule="auto"/>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p>
        </w:tc>
        <w:tc>
          <w:tcPr>
            <w:tcW w:w="2150" w:type="dxa"/>
            <w:tcBorders>
              <w:tl2br w:val="nil"/>
              <w:tr2bl w:val="nil"/>
            </w:tcBorders>
            <w:noWrap w:val="0"/>
            <w:vAlign w:val="center"/>
          </w:tcPr>
          <w:p w14:paraId="01F4CE86">
            <w:pPr>
              <w:tabs>
                <w:tab w:val="left" w:pos="930"/>
              </w:tabs>
              <w:spacing w:line="360" w:lineRule="auto"/>
              <w:jc w:val="both"/>
              <w:rPr>
                <w:rFonts w:hint="eastAsia" w:ascii="宋体" w:hAnsi="宋体" w:eastAsia="宋体" w:cs="宋体"/>
                <w:b w:val="0"/>
                <w:bCs/>
                <w:color w:val="auto"/>
                <w:sz w:val="22"/>
                <w:szCs w:val="22"/>
                <w:highlight w:val="none"/>
              </w:rPr>
            </w:pPr>
          </w:p>
        </w:tc>
      </w:tr>
      <w:tr w14:paraId="0540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9319" w:type="dxa"/>
            <w:gridSpan w:val="4"/>
            <w:tcBorders>
              <w:tl2br w:val="nil"/>
              <w:tr2bl w:val="nil"/>
            </w:tcBorders>
            <w:noWrap w:val="0"/>
            <w:vAlign w:val="center"/>
          </w:tcPr>
          <w:p w14:paraId="56A466CA">
            <w:pPr>
              <w:snapToGrid w:val="0"/>
              <w:spacing w:line="360" w:lineRule="auto"/>
              <w:jc w:val="both"/>
              <w:rPr>
                <w:rFonts w:hint="eastAsia" w:ascii="宋体" w:hAnsi="宋体" w:eastAsia="宋体" w:cs="宋体"/>
                <w:b/>
                <w:bCs/>
                <w:color w:val="auto"/>
                <w:kern w:val="2"/>
                <w:sz w:val="22"/>
                <w:szCs w:val="22"/>
                <w:highlight w:val="none"/>
                <w:u w:val="none"/>
              </w:rPr>
            </w:pPr>
            <w:r>
              <w:rPr>
                <w:rFonts w:hint="eastAsia" w:ascii="宋体" w:hAnsi="宋体" w:eastAsia="宋体" w:cs="宋体"/>
                <w:b/>
                <w:bCs/>
                <w:color w:val="auto"/>
                <w:kern w:val="2"/>
                <w:sz w:val="22"/>
                <w:szCs w:val="22"/>
                <w:highlight w:val="none"/>
                <w:u w:val="none"/>
              </w:rPr>
              <w:t>▲1.上述各类车辆最低配置数量是根据现行实际投入数量结合本次项目未来发展的实际需要确定，为确保中标单位的服务质量，投标供应商投标方案中承诺投入的各种环卫车辆配置数量均不得低于上表要求，否则，投标无效。</w:t>
            </w:r>
          </w:p>
          <w:p w14:paraId="4DC03016">
            <w:pPr>
              <w:snapToGrid w:val="0"/>
              <w:spacing w:line="360" w:lineRule="auto"/>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2.投标供应商如认为有必要，可以在上表基础上自行添加其他作业车辆，所需的费用全部计入投标总价。</w:t>
            </w:r>
          </w:p>
          <w:p w14:paraId="0B3322A4">
            <w:pPr>
              <w:snapToGrid w:val="0"/>
              <w:spacing w:line="360" w:lineRule="auto"/>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3.拟投入本项目运行的机动车辆应符合国家相关排放标准及安全行驶要求。</w:t>
            </w:r>
          </w:p>
          <w:p w14:paraId="46059F44">
            <w:pPr>
              <w:snapToGrid w:val="0"/>
              <w:spacing w:line="360" w:lineRule="auto"/>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4.车辆驾驶员应具备相应资格，严禁违规、无证驾驶。</w:t>
            </w:r>
          </w:p>
          <w:p w14:paraId="02772352">
            <w:pPr>
              <w:snapToGrid w:val="0"/>
              <w:spacing w:line="360" w:lineRule="auto"/>
              <w:jc w:val="both"/>
              <w:rPr>
                <w:rFonts w:hint="eastAsia" w:ascii="宋体" w:hAnsi="宋体" w:eastAsia="宋体" w:cs="宋体"/>
                <w:b/>
                <w:bCs/>
                <w:color w:val="auto"/>
                <w:kern w:val="2"/>
                <w:sz w:val="22"/>
                <w:szCs w:val="22"/>
                <w:highlight w:val="none"/>
                <w:u w:val="none"/>
              </w:rPr>
            </w:pPr>
            <w:r>
              <w:rPr>
                <w:rFonts w:hint="eastAsia" w:ascii="宋体" w:hAnsi="宋体" w:eastAsia="宋体" w:cs="宋体"/>
                <w:b/>
                <w:bCs/>
                <w:color w:val="auto"/>
                <w:kern w:val="2"/>
                <w:sz w:val="22"/>
                <w:szCs w:val="22"/>
                <w:highlight w:val="none"/>
                <w:u w:val="none"/>
              </w:rPr>
              <w:t>▲5.所有车辆作业前必须统一刷涂采购人认可的环卫标识。</w:t>
            </w:r>
          </w:p>
          <w:p w14:paraId="0D4B63CC">
            <w:pPr>
              <w:pStyle w:val="2"/>
              <w:spacing w:line="360" w:lineRule="auto"/>
              <w:jc w:val="both"/>
              <w:rPr>
                <w:rFonts w:hint="eastAsia" w:ascii="宋体" w:hAnsi="宋体" w:eastAsia="宋体" w:cs="宋体"/>
                <w:color w:val="auto"/>
                <w:sz w:val="22"/>
                <w:szCs w:val="22"/>
                <w:highlight w:val="none"/>
              </w:rPr>
            </w:pPr>
            <w:r>
              <w:rPr>
                <w:rFonts w:hint="eastAsia" w:ascii="宋体" w:hAnsi="宋体" w:eastAsia="宋体" w:cs="宋体"/>
                <w:b/>
                <w:bCs/>
                <w:color w:val="auto"/>
                <w:kern w:val="2"/>
                <w:sz w:val="22"/>
                <w:szCs w:val="22"/>
                <w:highlight w:val="none"/>
                <w:u w:val="none"/>
              </w:rPr>
              <w:t>▲</w:t>
            </w:r>
            <w:r>
              <w:rPr>
                <w:rFonts w:hint="eastAsia" w:ascii="宋体" w:hAnsi="宋体" w:eastAsia="宋体" w:cs="宋体"/>
                <w:b/>
                <w:bCs/>
                <w:color w:val="auto"/>
                <w:kern w:val="2"/>
                <w:sz w:val="22"/>
                <w:szCs w:val="22"/>
                <w:highlight w:val="none"/>
                <w:u w:val="none"/>
                <w:lang w:val="en-US" w:eastAsia="zh-CN"/>
              </w:rPr>
              <w:t>6</w:t>
            </w:r>
            <w:r>
              <w:rPr>
                <w:rFonts w:hint="eastAsia" w:ascii="宋体" w:hAnsi="宋体" w:eastAsia="宋体" w:cs="宋体"/>
                <w:b/>
                <w:bCs/>
                <w:color w:val="auto"/>
                <w:kern w:val="2"/>
                <w:sz w:val="22"/>
                <w:szCs w:val="22"/>
                <w:highlight w:val="none"/>
                <w:u w:val="none"/>
              </w:rPr>
              <w:t>.上述各类车辆及设备（含采购人提供的）、维修保养费、车辆年审年检费、保险费、燃料费（油、电费）、材料费（水费、电费等）、保管费由投标人自行承担。</w:t>
            </w:r>
          </w:p>
        </w:tc>
      </w:tr>
    </w:tbl>
    <w:p w14:paraId="681DCB7E">
      <w:pPr>
        <w:autoSpaceDE w:val="0"/>
        <w:autoSpaceDN w:val="0"/>
        <w:adjustRightInd w:val="0"/>
        <w:spacing w:line="360" w:lineRule="auto"/>
        <w:ind w:firstLine="442" w:firstLineChars="200"/>
        <w:jc w:val="left"/>
        <w:rPr>
          <w:rFonts w:hint="eastAsia" w:ascii="宋体" w:hAnsi="宋体" w:eastAsia="宋体" w:cs="宋体"/>
          <w:color w:val="auto"/>
          <w:sz w:val="22"/>
          <w:highlight w:val="none"/>
        </w:rPr>
      </w:pPr>
      <w:r>
        <w:rPr>
          <w:rFonts w:hint="eastAsia" w:ascii="宋体" w:hAnsi="宋体" w:eastAsia="宋体" w:cs="宋体"/>
          <w:b/>
          <w:color w:val="auto"/>
          <w:sz w:val="22"/>
          <w:highlight w:val="none"/>
        </w:rPr>
        <w:t>四、保障环卫作业人员合法权益相关要求</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rPr>
        <w:t>▲本部分要求均为实质性要求，不允许任何负偏离，否则作无效标处理</w:t>
      </w:r>
      <w:r>
        <w:rPr>
          <w:rFonts w:hint="eastAsia" w:ascii="宋体" w:hAnsi="宋体" w:eastAsia="宋体" w:cs="宋体"/>
          <w:color w:val="auto"/>
          <w:sz w:val="22"/>
          <w:highlight w:val="none"/>
        </w:rPr>
        <w:t xml:space="preserve">） </w:t>
      </w:r>
    </w:p>
    <w:p w14:paraId="3A0AE371">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依据《中华人民共和国劳动法》、《浙江省人民政府办公厅关于进一步改善环卫工人工作生活条件促进环卫事业持续健康发展的若干意见》（浙政办发〔2009〕190号）、《浙江省劳动和社会保障厅、浙江省国家税务局、浙江省地方税务局关于调整企业职工夏季防暑降温清凉饮料费标准的通知》（浙人社发〔2014〕94号）、《浙江省人民政府关于调整全省最低工资标准的通知》（浙政发〔2021〕22号、《全国年节及纪念日放假办法》等相关规定，为落实环卫作业人员的权益，提高环卫保洁服务质量，各投标供应商在聘请人员，编制和落实作业人员待遇及投入生产机具时必须遵照以下要求，否则投标无效； </w:t>
      </w:r>
    </w:p>
    <w:p w14:paraId="0E4B3C9F">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签订劳动合同。拟投入本项目的所有人员均由中标（成交）供应商自行招聘，所有人员必须依法签订劳动合同，严禁招聘超龄人员、未成年人员以及无自主劳动能力的人员。中标方进场后前三个月须继续使用原有作业人员，三个月后由中标方根据原有人员胜任情况再行决定是否续用。</w:t>
      </w:r>
    </w:p>
    <w:p w14:paraId="19972E8B">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依法为所有人员投保人身意外伤害险，保额不得低于100万/人； </w:t>
      </w:r>
    </w:p>
    <w:p w14:paraId="11F7B0ED">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严格落实所有人员每月最低收入标准，人员每月最低基本工资标准不得低于法定标准。垃圾分类员工工资不列入最低基本工资标准要求，工作时间4-5小时；</w:t>
      </w:r>
    </w:p>
    <w:p w14:paraId="32EE5DC7">
      <w:pPr>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4、为所有工作人员办理缴纳公</w:t>
      </w:r>
      <w:r>
        <w:rPr>
          <w:rFonts w:hint="eastAsia" w:ascii="宋体" w:hAnsi="宋体" w:eastAsia="宋体" w:cs="宋体"/>
          <w:b w:val="0"/>
          <w:bCs w:val="0"/>
          <w:color w:val="auto"/>
          <w:sz w:val="22"/>
          <w:szCs w:val="22"/>
          <w:highlight w:val="none"/>
          <w:lang w:val="en-US" w:eastAsia="zh-CN"/>
        </w:rPr>
        <w:t>积金，标准为200元及以上（当事人不符合条件的可以由其家属享受），缴纳人员名单及时报至采购人</w:t>
      </w:r>
      <w:r>
        <w:rPr>
          <w:rFonts w:hint="eastAsia" w:ascii="宋体" w:hAnsi="宋体" w:eastAsia="宋体" w:cs="宋体"/>
          <w:color w:val="auto"/>
          <w:sz w:val="22"/>
          <w:szCs w:val="22"/>
          <w:highlight w:val="none"/>
          <w:lang w:val="en-US" w:eastAsia="zh-CN"/>
        </w:rPr>
        <w:t>处；</w:t>
      </w:r>
    </w:p>
    <w:p w14:paraId="74739AE7">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严格执行户外作业人员高温补贴标准。高温补贴标准不得低于法定标准，发放时间为六、七、八、九共四个月，逐月发放，不得克扣。</w:t>
      </w:r>
    </w:p>
    <w:p w14:paraId="2E5E031F">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严格落实加班补贴制度。国家法定节假日全年11天计，法定节假日加班补贴标准为日工资的三倍计算。</w:t>
      </w:r>
    </w:p>
    <w:p w14:paraId="15BB2BA9">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 xml:space="preserve">统一发放生产工具及劳保用品。 </w:t>
      </w:r>
    </w:p>
    <w:p w14:paraId="29C9187B">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统一购置并发放符合安全标准的反光工作服（夏装两套、冬装一套、雨天工作服一套）、雨鞋（一双）、反光背心一件； </w:t>
      </w:r>
    </w:p>
    <w:p w14:paraId="13B573DE">
      <w:pPr>
        <w:pStyle w:val="14"/>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严禁拖欠及克扣人员工资、待遇福利的行为，一经查实，由采购人双倍追罚，追罚款在承包款中直接扣除；中标（成交）供应商应设立专人负责作业人员的收入落实，加强管理。</w:t>
      </w:r>
    </w:p>
    <w:p w14:paraId="21C0842B">
      <w:pPr>
        <w:snapToGrid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其他未尽事宜，各投标供应商应参照各项规定进行</w:t>
      </w:r>
      <w:r>
        <w:rPr>
          <w:rFonts w:hint="eastAsia" w:ascii="宋体" w:hAnsi="宋体" w:eastAsia="宋体" w:cs="宋体"/>
          <w:color w:val="auto"/>
          <w:sz w:val="22"/>
          <w:highlight w:val="none"/>
        </w:rPr>
        <w:t xml:space="preserve">。 </w:t>
      </w:r>
    </w:p>
    <w:p w14:paraId="17C0426E">
      <w:pPr>
        <w:adjustRightInd w:val="0"/>
        <w:snapToGrid w:val="0"/>
        <w:spacing w:line="360" w:lineRule="auto"/>
        <w:ind w:firstLine="442" w:firstLineChars="200"/>
        <w:jc w:val="left"/>
        <w:rPr>
          <w:rFonts w:hint="eastAsia" w:ascii="宋体" w:hAnsi="宋体" w:eastAsia="宋体" w:cs="宋体"/>
          <w:b w:val="0"/>
          <w:bCs/>
          <w:color w:val="auto"/>
          <w:sz w:val="22"/>
          <w:highlight w:val="none"/>
        </w:rPr>
      </w:pPr>
      <w:r>
        <w:rPr>
          <w:rFonts w:hint="eastAsia" w:ascii="宋体" w:hAnsi="宋体" w:eastAsia="宋体" w:cs="宋体"/>
          <w:b/>
          <w:color w:val="auto"/>
          <w:sz w:val="22"/>
          <w:highlight w:val="none"/>
        </w:rPr>
        <w:t>五、</w:t>
      </w:r>
      <w:r>
        <w:rPr>
          <w:rFonts w:hint="eastAsia" w:ascii="宋体" w:hAnsi="宋体" w:eastAsia="宋体" w:cs="宋体"/>
          <w:b/>
          <w:bCs w:val="0"/>
          <w:color w:val="auto"/>
          <w:sz w:val="22"/>
          <w:highlight w:val="none"/>
        </w:rPr>
        <w:t>▲</w:t>
      </w:r>
      <w:r>
        <w:rPr>
          <w:rFonts w:hint="eastAsia" w:ascii="宋体" w:hAnsi="宋体" w:eastAsia="宋体" w:cs="宋体"/>
          <w:b/>
          <w:color w:val="auto"/>
          <w:sz w:val="22"/>
          <w:highlight w:val="none"/>
        </w:rPr>
        <w:t>服务要求与质量标准</w:t>
      </w:r>
      <w:r>
        <w:rPr>
          <w:rFonts w:hint="eastAsia" w:ascii="宋体" w:hAnsi="宋体" w:eastAsia="宋体" w:cs="宋体"/>
          <w:b/>
          <w:bCs w:val="0"/>
          <w:color w:val="auto"/>
          <w:sz w:val="22"/>
          <w:highlight w:val="none"/>
        </w:rPr>
        <w:t>（</w:t>
      </w:r>
      <w:r>
        <w:rPr>
          <w:rFonts w:hint="eastAsia" w:ascii="宋体" w:hAnsi="宋体" w:cs="宋体"/>
          <w:b/>
          <w:bCs/>
          <w:color w:val="auto"/>
          <w:kern w:val="0"/>
          <w:sz w:val="22"/>
          <w:highlight w:val="none"/>
          <w:lang w:bidi="ar"/>
        </w:rPr>
        <w:t>招标文件仅列举部分要求，</w:t>
      </w:r>
      <w:r>
        <w:rPr>
          <w:rFonts w:hint="eastAsia" w:ascii="宋体" w:hAnsi="宋体" w:eastAsia="宋体" w:cs="宋体"/>
          <w:b/>
          <w:bCs/>
          <w:color w:val="auto"/>
          <w:kern w:val="0"/>
          <w:sz w:val="22"/>
          <w:highlight w:val="none"/>
          <w:lang w:val="en-US" w:eastAsia="zh-CN"/>
        </w:rPr>
        <w:t>具体保洁标准参照</w:t>
      </w:r>
      <w:r>
        <w:rPr>
          <w:rFonts w:hint="eastAsia" w:ascii="宋体" w:hAnsi="宋体" w:cs="宋体"/>
          <w:b/>
          <w:bCs/>
          <w:color w:val="auto"/>
          <w:kern w:val="0"/>
          <w:sz w:val="22"/>
          <w:highlight w:val="none"/>
          <w:lang w:bidi="ar"/>
        </w:rPr>
        <w:t>相关政策法规</w:t>
      </w:r>
      <w:r>
        <w:rPr>
          <w:rFonts w:hint="eastAsia" w:ascii="宋体" w:hAnsi="宋体" w:eastAsia="宋体" w:cs="宋体"/>
          <w:b/>
          <w:bCs/>
          <w:color w:val="auto"/>
          <w:kern w:val="0"/>
          <w:sz w:val="22"/>
          <w:highlight w:val="none"/>
          <w:lang w:val="en-US" w:eastAsia="zh-CN"/>
        </w:rPr>
        <w:t>：</w:t>
      </w:r>
      <w:r>
        <w:rPr>
          <w:rFonts w:hint="eastAsia" w:ascii="宋体" w:hAnsi="宋体" w:eastAsia="宋体" w:cs="宋体"/>
          <w:b/>
          <w:bCs w:val="0"/>
          <w:color w:val="auto"/>
          <w:sz w:val="22"/>
          <w:highlight w:val="none"/>
        </w:rPr>
        <w:t>）</w:t>
      </w:r>
    </w:p>
    <w:p w14:paraId="05EA0507">
      <w:pPr>
        <w:spacing w:line="360" w:lineRule="auto"/>
        <w:ind w:firstLine="442" w:firstLineChars="200"/>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（一）“道路洁净"服务标准和质量要求</w:t>
      </w:r>
    </w:p>
    <w:p w14:paraId="0F03E71E">
      <w:pPr>
        <w:widowControl/>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1.路面垃圾必须日产日清，不留卫生死角，做到“七无、五净、二保持、二不准”。</w:t>
      </w:r>
    </w:p>
    <w:p w14:paraId="4D38D59D">
      <w:pPr>
        <w:widowControl/>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“七无”包括：无杂物；无果皮壳；无纸屑、烟蒂、塑料袋；无淤泥积土；无污水；无堵塞窨井沟眼；无卫生死角。</w:t>
      </w:r>
    </w:p>
    <w:p w14:paraId="27A09E0C">
      <w:pPr>
        <w:widowControl/>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“五净”包括：路面、路牙净，窨井沟眼净，树穴净，边角净，花坛周围净。</w:t>
      </w:r>
    </w:p>
    <w:p w14:paraId="521C3B0C">
      <w:pPr>
        <w:widowControl/>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“二保持”包括：作业人员保持着装整齐（按省定标准），作业机具、道路两旁的果壳箱保持经常性整洁；</w:t>
      </w:r>
    </w:p>
    <w:p w14:paraId="78AD0966">
      <w:pPr>
        <w:widowControl/>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“二不准”包括：不准在路旁或河旁乱倒垃圾、不准有垃圾在垃圾箱中过夜存放,箱内的垃圾应日产日清。</w:t>
      </w:r>
    </w:p>
    <w:p w14:paraId="2134CAEA">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2.所有区域每日实行普扫和保洁。</w:t>
      </w:r>
    </w:p>
    <w:p w14:paraId="1035319D">
      <w:pPr>
        <w:tabs>
          <w:tab w:val="left" w:pos="360"/>
          <w:tab w:val="left" w:pos="3232"/>
          <w:tab w:val="center" w:pos="4153"/>
        </w:tabs>
        <w:adjustRightInd w:val="0"/>
        <w:snapToGrid w:val="0"/>
        <w:spacing w:line="360" w:lineRule="auto"/>
        <w:ind w:left="25" w:leftChars="12"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片区可视范围内所有道路（包含辖区内公路）、民房周围（屋前屋后）公共区域、其他建筑物周围公共区域、开放式小区、菜市场、公共厕所、河道边上、村民居委会办公楼周围、学校周围等日常普扫每日两次，第一次普扫原则上在夏季7时、冬季7时30分以前完成，第二次普扫原则上在16:30时前完成；其中菜市场、村民居委会办公楼周围、学校周围等人员密集地要做好8个小时清洁。特殊的时期（比如临时检查、节假日等）中标人要配合采购人按采购人要求进行清扫工作。</w:t>
      </w:r>
    </w:p>
    <w:p w14:paraId="334FE934">
      <w:pPr>
        <w:tabs>
          <w:tab w:val="left" w:pos="360"/>
          <w:tab w:val="left" w:pos="3232"/>
          <w:tab w:val="center" w:pos="4153"/>
        </w:tabs>
        <w:adjustRightInd w:val="0"/>
        <w:snapToGrid w:val="0"/>
        <w:spacing w:line="360" w:lineRule="auto"/>
        <w:ind w:left="25" w:leftChars="12"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普扫的卫生标准达到“五无”、“五净”的标准。即无果皮纸屑、无土石杂草、无积水积泥、无痰迹烟蒂、无堆积物，路面干净、道路绿地树圈干净、边角侧石干净、窨井盖沟槽畅通干净、果壳箱等环卫设施整齐干净。</w:t>
      </w:r>
    </w:p>
    <w:p w14:paraId="30365C94">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3.垃圾桶、清扫机具等环卫设施的清掏、清洗、防损、防盗和维护。</w:t>
      </w:r>
    </w:p>
    <w:p w14:paraId="5123B35B">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垃圾桶、果壳箱、垃圾收集车等环卫设施应每周至少清洗一次，</w:t>
      </w:r>
      <w:r>
        <w:rPr>
          <w:rFonts w:hint="eastAsia" w:ascii="宋体" w:hAnsi="宋体" w:eastAsia="宋体" w:cs="宋体"/>
          <w:color w:val="auto"/>
          <w:sz w:val="22"/>
          <w:highlight w:val="none"/>
          <w:lang w:eastAsia="zh-CN"/>
        </w:rPr>
        <w:t>每日保持外观整洁，无破损或磨损；字体标识不清应及时修补、更换</w:t>
      </w:r>
      <w:r>
        <w:rPr>
          <w:rFonts w:hint="eastAsia" w:ascii="宋体" w:hAnsi="宋体" w:eastAsia="宋体" w:cs="宋体"/>
          <w:color w:val="auto"/>
          <w:sz w:val="22"/>
          <w:highlight w:val="none"/>
        </w:rPr>
        <w:t>；所有垃圾容器应做到无敞门、无污垢，桶内垃圾日产日清，不过夜、不溢满，禁止环卫工人在桶内翻捡废品；</w:t>
      </w:r>
    </w:p>
    <w:p w14:paraId="4B966DBC">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主次道路（含车行道、人行道）高压冲洗每星期不少于1次，作业时间为晚上或清晨。冲洗后由采购人进行验收（路面见本色），并无条件服从采购人整改要求；采购人要求冲洗市场等其他区域时中标方应无条件服从。</w:t>
      </w:r>
    </w:p>
    <w:p w14:paraId="4FA27035">
      <w:pPr>
        <w:spacing w:line="360" w:lineRule="auto"/>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5.洒水要求</w:t>
      </w:r>
    </w:p>
    <w:p w14:paraId="1B2FC3D8">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气温3-30℃，路面冲洗每周不少于2次，路面洒水每天不少于2次；气温30℃以上时，路面洒水每天不少于3次；气温低于3℃停止冲洗和洒水；作业时间为晚上或清晨，冲洗后由采购人进行验收（路面见本色），并无条件服从采购人整改要求；采购人要求冲洗市场等其他区域时中标方应无条件服从。</w:t>
      </w:r>
    </w:p>
    <w:p w14:paraId="77F60FA1">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（2）交通早晚高峰期间禁止路面冲洗，洒水作业。</w:t>
      </w:r>
    </w:p>
    <w:p w14:paraId="19F8ACA4">
      <w:pPr>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sz w:val="22"/>
          <w:highlight w:val="none"/>
        </w:rPr>
        <w:t>（3）出车前要进行检查后方可上路，禁止带故障运行。作业时应适当控制水压，行车速度最高不得超过20公里/小时，避免把水溅到路边的行人；上路作业时，必须打开警示灯；要遵守道路交通安全法规，礼让行车，注意行人的安全；严格按照范围、路线、时间、次数、车速进行作业，不得随意变更。作业车辆作业完毕后及时清洗干净入库，并做好行车、维修保养记录。</w:t>
      </w:r>
    </w:p>
    <w:p w14:paraId="04645FCB">
      <w:pPr>
        <w:spacing w:line="360" w:lineRule="auto"/>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（二）"垃圾清运"服务标准和质量要求</w:t>
      </w:r>
    </w:p>
    <w:p w14:paraId="6CD2902E">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1.垃圾清运应符合下列质量要求： </w:t>
      </w:r>
    </w:p>
    <w:p w14:paraId="5C773E9D">
      <w:pPr>
        <w:spacing w:line="360" w:lineRule="auto"/>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建成区</w:t>
      </w:r>
      <w:r>
        <w:rPr>
          <w:rFonts w:hint="eastAsia" w:ascii="宋体" w:hAnsi="宋体" w:eastAsia="宋体" w:cs="宋体"/>
          <w:color w:val="auto"/>
          <w:sz w:val="22"/>
          <w:highlight w:val="none"/>
        </w:rPr>
        <w:t>所有垃圾堆放点的垃圾每日早晚各清运一次，运至采购人指定垃圾中转站。上午须在6时00分前完成，下午须在18时前完成。</w:t>
      </w:r>
      <w:r>
        <w:rPr>
          <w:rFonts w:hint="eastAsia" w:ascii="宋体" w:hAnsi="宋体" w:eastAsia="宋体" w:cs="宋体"/>
          <w:color w:val="auto"/>
          <w:sz w:val="22"/>
          <w:highlight w:val="none"/>
          <w:lang w:eastAsia="zh-CN"/>
        </w:rPr>
        <w:t>外围村垃圾清运</w:t>
      </w:r>
      <w:r>
        <w:rPr>
          <w:rFonts w:hint="eastAsia" w:ascii="宋体" w:hAnsi="宋体" w:eastAsia="宋体" w:cs="宋体"/>
          <w:color w:val="auto"/>
          <w:sz w:val="22"/>
          <w:highlight w:val="none"/>
        </w:rPr>
        <w:t>须在18时前完成</w:t>
      </w:r>
      <w:r>
        <w:rPr>
          <w:rFonts w:hint="eastAsia" w:ascii="宋体" w:hAnsi="宋体" w:eastAsia="宋体" w:cs="宋体"/>
          <w:color w:val="auto"/>
          <w:sz w:val="22"/>
          <w:highlight w:val="none"/>
          <w:lang w:eastAsia="zh-CN"/>
        </w:rPr>
        <w:t>。</w:t>
      </w:r>
    </w:p>
    <w:p w14:paraId="564EE808">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（2）垃圾堆放点内外场地应整洁，无撒落垃圾和堆积杂物，无积留污水。 </w:t>
      </w:r>
    </w:p>
    <w:p w14:paraId="0E5A3516">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（3）垃圾堆放点内无恶臭，墙壁、窗户应无积尘、蛛网。</w:t>
      </w:r>
    </w:p>
    <w:p w14:paraId="4705C915">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（4）垃圾堆放点内垃圾装运容器应整洁，无积垢，无吊挂垃圾。</w:t>
      </w:r>
    </w:p>
    <w:p w14:paraId="14253095">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（5）蚊蝇孳生季节，应每天喷药灭蚊蝇，无恶臭。</w:t>
      </w:r>
    </w:p>
    <w:p w14:paraId="66FDC1A8">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（6）垃圾日产日清，垃圾桶和垃圾房内垃圾不得过夜搁置。</w:t>
      </w:r>
    </w:p>
    <w:p w14:paraId="259DFC20">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2.垃圾收集清运车辆运输垃圾应符合下列质量要求：</w:t>
      </w:r>
    </w:p>
    <w:p w14:paraId="1B688CE8">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（1）车容应整洁，车体外部无污物、灰垢，标志应清晰。</w:t>
      </w:r>
    </w:p>
    <w:p w14:paraId="38172338">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（2）运输垃圾应密闭，在运输过程中无垃圾扬、撒、拖挂和污水滴漏。</w:t>
      </w:r>
    </w:p>
    <w:p w14:paraId="2CF2C5FB">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（3）垃圾装运量应以车辆的额定荷载和有效容积为限，不得超重、超高运输。</w:t>
      </w:r>
    </w:p>
    <w:p w14:paraId="2451FDE2">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（4）装卸垃圾应符合作业要求，不得乱倒、乱卸、乱抛垃圾。</w:t>
      </w:r>
    </w:p>
    <w:p w14:paraId="32BBD151">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（5）运输作业结束，应将车辆清洗干净。</w:t>
      </w:r>
    </w:p>
    <w:p w14:paraId="3792570D">
      <w:pPr>
        <w:spacing w:line="360" w:lineRule="auto"/>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（三）规范作业</w:t>
      </w:r>
    </w:p>
    <w:p w14:paraId="16D7A768">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1.环境卫生作业人员工作期间不得无故缺岗、离岗，不得迟到早退，不得消极怠工，不得酒后作业。不得捡拾、买卖废品；不得集聚闲聊，不做与作业无关的事。</w:t>
      </w:r>
    </w:p>
    <w:p w14:paraId="2FC53DD5">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2.保洁人员应文明作业，不得将垃圾、污水扫到、溅到行人或乘客身上，不得将垃圾堆放或停留在路面上，不得将垃圾扫入或倒入窨井、绿地、河道等处，不得焚烧垃圾，必须运送至指定地点；清扫作业中不得漏扫、甩扫。 </w:t>
      </w:r>
    </w:p>
    <w:p w14:paraId="48F6FF4F">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垃圾收集车标志应清晰，保持外观清洁，每日清洗后方可上路；垃圾装运量应以车辆的额定荷载和有效容积为限，不得超重、超高超速运输，不得悬挂杂物，装卸垃圾应符合作业要求，不得乱倒、乱卸、乱抛、焚烧垃圾。</w:t>
      </w:r>
    </w:p>
    <w:p w14:paraId="13034F9D">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4.垃圾清运完毕，应打扫周边环境，做到人走地净。</w:t>
      </w:r>
    </w:p>
    <w:p w14:paraId="0B77F6D1">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5.垃圾收集车辆应经常检查，及时发现排除故障，不得带故障运行；所有车辆停放必须遵守交通法规。</w:t>
      </w:r>
    </w:p>
    <w:p w14:paraId="256A487B">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6.清扫保洁应根据业主的要求和自身实际作业标准建立相关台账，做好车辆使用记录。</w:t>
      </w:r>
    </w:p>
    <w:p w14:paraId="38B15DB0">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37468622">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村居垃圾日产日清。</w:t>
      </w:r>
    </w:p>
    <w:p w14:paraId="54505242">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9.其他要求：遇有重大活动或突发事件，及时组织力量做好清扫保洁等保障工作，及时听从业主的指挥和调度；遇有不可抗力因素，中标单位应无条件配合业主做好村居环境卫生保洁和垃圾清运工作。</w:t>
      </w:r>
    </w:p>
    <w:p w14:paraId="7418A3AD">
      <w:pPr>
        <w:spacing w:line="360" w:lineRule="auto"/>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（四）垃圾收集及分类管理要求:</w:t>
      </w:r>
    </w:p>
    <w:p w14:paraId="46AD87BC">
      <w:pPr>
        <w:pStyle w:val="99"/>
        <w:spacing w:line="360" w:lineRule="auto"/>
        <w:ind w:firstLine="440"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垃圾收集车标志应清晰，保持外观清洁；遵守交通法规，不违章停放车辆，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560A28C7">
      <w:pPr>
        <w:pStyle w:val="99"/>
        <w:spacing w:line="360" w:lineRule="auto"/>
        <w:ind w:firstLine="440"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1、做好入户宣传培训和户外宣传工作，投入智能积分系统，形成后台可视化可追踪溯源的数据系统；</w:t>
      </w:r>
    </w:p>
    <w:p w14:paraId="73171053">
      <w:pPr>
        <w:pStyle w:val="99"/>
        <w:spacing w:line="360" w:lineRule="auto"/>
        <w:ind w:firstLine="440"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2、垃圾分类知晓率和投放准确率达到各年度考核要求；</w:t>
      </w:r>
    </w:p>
    <w:p w14:paraId="4555DF15">
      <w:pPr>
        <w:pStyle w:val="99"/>
        <w:spacing w:line="360" w:lineRule="auto"/>
        <w:ind w:firstLine="440"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3、肩负起项目点老百姓垃圾分类工作的跟踪与反馈的义务；</w:t>
      </w:r>
    </w:p>
    <w:p w14:paraId="47E565CE">
      <w:pPr>
        <w:pStyle w:val="99"/>
        <w:spacing w:line="360" w:lineRule="auto"/>
        <w:ind w:firstLine="440"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4、对分类区域的垃圾进行分类运输，不得将垃圾进行混合收运；</w:t>
      </w:r>
    </w:p>
    <w:p w14:paraId="49086AE1">
      <w:pPr>
        <w:pStyle w:val="99"/>
        <w:spacing w:line="360" w:lineRule="auto"/>
        <w:ind w:firstLine="440"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5、后端处理终端需要配备专业的处置员进行分类处置；</w:t>
      </w:r>
    </w:p>
    <w:p w14:paraId="4EB767AF">
      <w:pPr>
        <w:pStyle w:val="99"/>
        <w:spacing w:line="360" w:lineRule="auto"/>
        <w:ind w:firstLine="440"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6、投标人采取的垃圾分类收集方式对应的投入相关设备设施及车辆需要达到辐射面的基本要求；</w:t>
      </w:r>
    </w:p>
    <w:p w14:paraId="25E713BC">
      <w:pPr>
        <w:pStyle w:val="99"/>
        <w:spacing w:line="360" w:lineRule="auto"/>
        <w:ind w:firstLine="440"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7、可回收垃圾需按市价回收，不得擅自低价收集，并自行安排仓储。易腐垃圾与有害垃圾需按照积分兑换原则积极收取，及时汇报终端处置结果与方式；</w:t>
      </w:r>
    </w:p>
    <w:p w14:paraId="391E7F21">
      <w:pPr>
        <w:pStyle w:val="99"/>
        <w:spacing w:line="360" w:lineRule="auto"/>
        <w:ind w:firstLine="440" w:firstLineChars="200"/>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8、垃圾分类积分兑换礼品需正规渠道采购，采购资金中标企业自行负责解决，兑换礼品价值与积分的比例需合理，积分累计方式采取线上线下相结合,后台可控可视可管理。</w:t>
      </w:r>
    </w:p>
    <w:p w14:paraId="7AC7BD7E">
      <w:pPr>
        <w:spacing w:line="360" w:lineRule="auto"/>
        <w:ind w:firstLine="440" w:firstLineChars="200"/>
        <w:rPr>
          <w:rFonts w:hint="eastAsia" w:ascii="宋体" w:hAnsi="宋体" w:eastAsia="宋体" w:cs="宋体"/>
          <w:b w:val="0"/>
          <w:bCs w:val="0"/>
          <w:color w:val="auto"/>
          <w:sz w:val="22"/>
          <w:highlight w:val="none"/>
          <w:lang w:val="en-US" w:eastAsia="zh-CN"/>
        </w:rPr>
      </w:pPr>
      <w:r>
        <w:rPr>
          <w:rFonts w:hint="eastAsia" w:ascii="宋体" w:hAnsi="宋体" w:eastAsia="宋体" w:cs="宋体"/>
          <w:b w:val="0"/>
          <w:bCs w:val="0"/>
          <w:color w:val="auto"/>
          <w:sz w:val="22"/>
          <w:highlight w:val="none"/>
          <w:lang w:val="en-US" w:eastAsia="zh-CN"/>
        </w:rPr>
        <w:t>9、垃圾分类公共场所及及行业规范性建设</w:t>
      </w:r>
    </w:p>
    <w:p w14:paraId="48434D3F">
      <w:pPr>
        <w:spacing w:line="360" w:lineRule="auto"/>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（五）环境卫生规范管理要求</w:t>
      </w:r>
    </w:p>
    <w:p w14:paraId="64C0A123">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1.规范作业人员岗位职责管理，与作业人员签订岗位职责承诺书，制作作业人员花名册，标明人员姓名（照片）、岗位、负责区域、工作时段等信息，花名册彩色刊印提交采购人考核时核对。</w:t>
      </w:r>
    </w:p>
    <w:p w14:paraId="1A1E0BDA">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462D9908">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3.加强内部作业管理，合同期内中标单位应加强作业管理，加强安全作业控制，项目管理人员应跟班作业，加强各村居内保洁巡视，做好巡视记录，每天检查员工清扫保洁及垃圾清运的时间、任务量等日常工作。</w:t>
      </w:r>
    </w:p>
    <w:p w14:paraId="484F3104">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4.建立并规范作业台账，按规定建立规范、详细的养护作业台帐，做好养护工作量日报、月报及年报，按时上报各类报表并协助调查、解决来电来信来访等问题。</w:t>
      </w:r>
    </w:p>
    <w:p w14:paraId="7EB023B5">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5.严格落实一线作业人员年龄结构，提升服务质量，本次项目所需的作业人员均由中标单位招聘，所招聘的人员必须在合理年龄以内，优化作业人员年龄结构。</w:t>
      </w:r>
    </w:p>
    <w:p w14:paraId="78EB5BCF">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加强作业人员安全作业、文明作业教育。中标单位应定期组织所有一线作业人员进行安全文明作业教育，不断提升一线作业人员的业务能力。新入作业人员应安排合理的培训，以确保每个投入一线工作的作业人员具备合格的作业能力。</w:t>
      </w:r>
    </w:p>
    <w:p w14:paraId="0951E4D0">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7.加强作业车辆管理，中标单位应加强作业车辆的日常管理，确保专车专用，遵守交通规则，文明行驶，安全行驶。</w:t>
      </w:r>
    </w:p>
    <w:p w14:paraId="42110E95">
      <w:pPr>
        <w:spacing w:line="360" w:lineRule="auto"/>
        <w:ind w:firstLine="44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sz w:val="22"/>
          <w:highlight w:val="none"/>
          <w:lang w:eastAsia="zh-CN"/>
        </w:rPr>
        <w:t>（六）公厕保洁</w:t>
      </w:r>
      <w:r>
        <w:rPr>
          <w:rFonts w:hint="eastAsia" w:ascii="宋体" w:hAnsi="宋体" w:eastAsia="宋体" w:cs="宋体"/>
          <w:b/>
          <w:bCs/>
          <w:color w:val="auto"/>
          <w:sz w:val="22"/>
          <w:highlight w:val="none"/>
        </w:rPr>
        <w:t>服务标准和质量要求</w:t>
      </w:r>
      <w:r>
        <w:rPr>
          <w:rFonts w:hint="eastAsia" w:ascii="宋体" w:hAnsi="宋体" w:eastAsia="宋体" w:cs="宋体"/>
          <w:b/>
          <w:bCs/>
          <w:color w:val="auto"/>
          <w:kern w:val="0"/>
          <w:sz w:val="22"/>
          <w:highlight w:val="none"/>
          <w:lang w:val="en-US" w:eastAsia="zh-CN"/>
        </w:rPr>
        <w:t>具体保洁标准根据温州市综合行政执法局印发的</w:t>
      </w:r>
      <w:r>
        <w:rPr>
          <w:rFonts w:hint="eastAsia" w:ascii="宋体" w:hAnsi="宋体" w:cs="宋体"/>
          <w:b/>
          <w:bCs/>
          <w:color w:val="auto"/>
          <w:kern w:val="0"/>
          <w:sz w:val="22"/>
          <w:highlight w:val="none"/>
          <w:lang w:val="en-US" w:eastAsia="zh-CN"/>
        </w:rPr>
        <w:t>《温州市城镇公共厕所保洁与服务管理标准（试行）》温综法发〔2018〕146号</w:t>
      </w:r>
      <w:r>
        <w:rPr>
          <w:rFonts w:hint="eastAsia" w:ascii="宋体" w:hAnsi="宋体" w:eastAsia="宋体" w:cs="宋体"/>
          <w:b/>
          <w:bCs/>
          <w:color w:val="auto"/>
          <w:kern w:val="0"/>
          <w:sz w:val="22"/>
          <w:highlight w:val="none"/>
          <w:lang w:val="en-US" w:eastAsia="zh-CN"/>
        </w:rPr>
        <w:t>其中部分保洁要求如下：</w:t>
      </w:r>
    </w:p>
    <w:p w14:paraId="5C782CD1">
      <w:pPr>
        <w:spacing w:line="360" w:lineRule="auto"/>
        <w:rPr>
          <w:rFonts w:hint="eastAsia" w:ascii="宋体" w:hAnsi="宋体" w:eastAsia="宋体" w:cs="宋体"/>
          <w:b w:val="0"/>
          <w:bCs w:val="0"/>
          <w:color w:val="auto"/>
          <w:kern w:val="0"/>
          <w:sz w:val="22"/>
          <w:highlight w:val="none"/>
        </w:rPr>
      </w:pPr>
      <w:r>
        <w:rPr>
          <w:rFonts w:hint="eastAsia" w:ascii="宋体" w:hAnsi="宋体" w:eastAsia="宋体" w:cs="宋体"/>
          <w:b w:val="0"/>
          <w:bCs w:val="0"/>
          <w:color w:val="auto"/>
          <w:kern w:val="0"/>
          <w:sz w:val="22"/>
          <w:highlight w:val="none"/>
          <w:lang w:val="en-US" w:eastAsia="zh-CN"/>
        </w:rPr>
        <w:t>1</w:t>
      </w:r>
      <w:r>
        <w:rPr>
          <w:rFonts w:hint="eastAsia" w:ascii="宋体" w:hAnsi="宋体" w:eastAsia="宋体" w:cs="宋体"/>
          <w:b w:val="0"/>
          <w:bCs w:val="0"/>
          <w:color w:val="auto"/>
          <w:kern w:val="0"/>
          <w:sz w:val="22"/>
          <w:highlight w:val="none"/>
        </w:rPr>
        <w:t>、通用要求</w:t>
      </w:r>
    </w:p>
    <w:p w14:paraId="725E3B2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kern w:val="0"/>
          <w:sz w:val="22"/>
          <w:highlight w:val="none"/>
        </w:rPr>
      </w:pPr>
      <w:r>
        <w:rPr>
          <w:rFonts w:hint="eastAsia" w:ascii="宋体" w:hAnsi="宋体" w:eastAsia="宋体" w:cs="宋体"/>
          <w:b w:val="0"/>
          <w:bCs w:val="0"/>
          <w:color w:val="auto"/>
          <w:kern w:val="0"/>
          <w:sz w:val="22"/>
          <w:highlight w:val="none"/>
          <w:lang w:val="en-US" w:eastAsia="zh-CN"/>
        </w:rPr>
        <w:t>1.</w:t>
      </w:r>
      <w:r>
        <w:rPr>
          <w:rFonts w:hint="eastAsia" w:ascii="宋体" w:hAnsi="宋体" w:eastAsia="宋体" w:cs="宋体"/>
          <w:b w:val="0"/>
          <w:bCs w:val="0"/>
          <w:color w:val="auto"/>
          <w:kern w:val="0"/>
          <w:sz w:val="22"/>
          <w:highlight w:val="none"/>
        </w:rPr>
        <w:t>1公共厕所应做到干净、方便、文明、卫生。</w:t>
      </w:r>
    </w:p>
    <w:p w14:paraId="4D729F0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kern w:val="0"/>
          <w:sz w:val="22"/>
          <w:highlight w:val="none"/>
        </w:rPr>
      </w:pPr>
      <w:r>
        <w:rPr>
          <w:rFonts w:hint="eastAsia" w:ascii="宋体" w:hAnsi="宋体" w:eastAsia="宋体" w:cs="宋体"/>
          <w:b w:val="0"/>
          <w:bCs w:val="0"/>
          <w:color w:val="auto"/>
          <w:kern w:val="0"/>
          <w:sz w:val="22"/>
          <w:highlight w:val="none"/>
          <w:lang w:val="en-US" w:eastAsia="zh-CN"/>
        </w:rPr>
        <w:t>1</w:t>
      </w:r>
      <w:r>
        <w:rPr>
          <w:rFonts w:hint="eastAsia" w:ascii="宋体" w:hAnsi="宋体" w:eastAsia="宋体" w:cs="宋体"/>
          <w:b w:val="0"/>
          <w:bCs w:val="0"/>
          <w:color w:val="auto"/>
          <w:kern w:val="0"/>
          <w:sz w:val="22"/>
          <w:highlight w:val="none"/>
        </w:rPr>
        <w:t>.2公共厕所的保洁质量满足本环境卫生控制指标的规定。</w:t>
      </w:r>
    </w:p>
    <w:p w14:paraId="33646F5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kern w:val="0"/>
          <w:sz w:val="22"/>
          <w:highlight w:val="none"/>
        </w:rPr>
      </w:pPr>
      <w:r>
        <w:rPr>
          <w:rFonts w:hint="eastAsia" w:ascii="宋体" w:hAnsi="宋体" w:eastAsia="宋体" w:cs="宋体"/>
          <w:b w:val="0"/>
          <w:bCs w:val="0"/>
          <w:color w:val="auto"/>
          <w:kern w:val="0"/>
          <w:sz w:val="22"/>
          <w:highlight w:val="none"/>
          <w:lang w:val="en-US" w:eastAsia="zh-CN"/>
        </w:rPr>
        <w:t>1</w:t>
      </w:r>
      <w:r>
        <w:rPr>
          <w:rFonts w:hint="eastAsia" w:ascii="宋体" w:hAnsi="宋体" w:eastAsia="宋体" w:cs="宋体"/>
          <w:b w:val="0"/>
          <w:bCs w:val="0"/>
          <w:color w:val="auto"/>
          <w:kern w:val="0"/>
          <w:sz w:val="22"/>
          <w:highlight w:val="none"/>
        </w:rPr>
        <w:t>.3公共厕所主体建筑、内部设施、给排水、化粪池、无障碍设施、各类标识及导向牌等各类硬件设施应保持完好，无破损和缺失问题，各项功能应满足使用要求。</w:t>
      </w:r>
    </w:p>
    <w:p w14:paraId="2729519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管理要求</w:t>
      </w:r>
    </w:p>
    <w:p w14:paraId="5EF5AF28">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.1开放时间</w:t>
      </w:r>
    </w:p>
    <w:p w14:paraId="2AFCCFAA">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除特殊情形(改造提升、拆除重建等其他)外，必须施行24小时免费对外开放。</w:t>
      </w:r>
    </w:p>
    <w:p w14:paraId="2CAAE7EB">
      <w:pPr>
        <w:spacing w:line="360" w:lineRule="auto"/>
        <w:ind w:firstLine="440" w:firstLineChars="200"/>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2.2人员要求</w:t>
      </w:r>
    </w:p>
    <w:p w14:paraId="3E9434AD">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①</w:t>
      </w:r>
      <w:r>
        <w:rPr>
          <w:rFonts w:hint="eastAsia" w:ascii="宋体" w:hAnsi="宋体" w:eastAsia="宋体" w:cs="宋体"/>
          <w:color w:val="auto"/>
          <w:kern w:val="0"/>
          <w:sz w:val="22"/>
          <w:highlight w:val="none"/>
        </w:rPr>
        <w:t>保洁实施单位统一配发保洁员着装、上岗证件。保洁员需文明用语、礼貌待人。在需要时，应对老弱病残幼等特殊人群提供如厕帮助。</w:t>
      </w:r>
    </w:p>
    <w:p w14:paraId="442816B2">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②</w:t>
      </w:r>
      <w:r>
        <w:rPr>
          <w:rFonts w:hint="eastAsia" w:ascii="宋体" w:hAnsi="宋体" w:eastAsia="宋体" w:cs="宋体"/>
          <w:color w:val="auto"/>
          <w:kern w:val="0"/>
          <w:sz w:val="22"/>
          <w:highlight w:val="none"/>
        </w:rPr>
        <w:t>保洁员应熟悉公共厕所设施设备的使用，做好日常维护和保养，发现设施破损的，应及时报修。如厕市民有需要时，应向其介绍公共厕所设备的正确使用方法。</w:t>
      </w:r>
    </w:p>
    <w:p w14:paraId="4A462014">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③</w:t>
      </w:r>
      <w:r>
        <w:rPr>
          <w:rFonts w:hint="eastAsia" w:ascii="宋体" w:hAnsi="宋体" w:eastAsia="宋体" w:cs="宋体"/>
          <w:color w:val="auto"/>
          <w:kern w:val="0"/>
          <w:sz w:val="22"/>
          <w:highlight w:val="none"/>
        </w:rPr>
        <w:t>保洁员不得擅自离岗，如有特殊原因需安排人员代岗。</w:t>
      </w:r>
    </w:p>
    <w:p w14:paraId="7C6CC675">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w:t>
      </w:r>
      <w:r>
        <w:rPr>
          <w:rFonts w:hint="eastAsia" w:ascii="宋体" w:hAnsi="宋体" w:eastAsia="宋体" w:cs="宋体"/>
          <w:color w:val="auto"/>
          <w:kern w:val="0"/>
          <w:sz w:val="22"/>
          <w:highlight w:val="none"/>
          <w:lang w:val="en-US" w:eastAsia="zh-CN"/>
        </w:rPr>
        <w:t>3</w:t>
      </w:r>
      <w:r>
        <w:rPr>
          <w:rFonts w:hint="eastAsia" w:ascii="宋体" w:hAnsi="宋体" w:eastAsia="宋体" w:cs="宋体"/>
          <w:color w:val="auto"/>
          <w:kern w:val="0"/>
          <w:sz w:val="22"/>
          <w:highlight w:val="none"/>
        </w:rPr>
        <w:t>水电设施</w:t>
      </w:r>
    </w:p>
    <w:p w14:paraId="0A680E8B">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①</w:t>
      </w:r>
      <w:r>
        <w:rPr>
          <w:rFonts w:hint="eastAsia" w:ascii="宋体" w:hAnsi="宋体" w:eastAsia="宋体" w:cs="宋体"/>
          <w:color w:val="auto"/>
          <w:kern w:val="0"/>
          <w:sz w:val="22"/>
          <w:highlight w:val="none"/>
        </w:rPr>
        <w:t>确保公共厕所供水和供电设施的正常使用，不得无故关闭公共厕所内外照明和供水。</w:t>
      </w:r>
    </w:p>
    <w:p w14:paraId="164F7181">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②</w:t>
      </w:r>
      <w:r>
        <w:rPr>
          <w:rFonts w:hint="eastAsia" w:ascii="宋体" w:hAnsi="宋体" w:eastAsia="宋体" w:cs="宋体"/>
          <w:color w:val="auto"/>
          <w:kern w:val="0"/>
          <w:sz w:val="22"/>
          <w:highlight w:val="none"/>
        </w:rPr>
        <w:t>无障碍间(厕位)的紧急呼叫装置应确保正常使用。</w:t>
      </w:r>
    </w:p>
    <w:p w14:paraId="5E67A94F">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24</w:t>
      </w:r>
      <w:r>
        <w:rPr>
          <w:rFonts w:hint="eastAsia" w:ascii="宋体" w:hAnsi="宋体" w:eastAsia="宋体" w:cs="宋体"/>
          <w:color w:val="auto"/>
          <w:kern w:val="0"/>
          <w:sz w:val="22"/>
          <w:highlight w:val="none"/>
        </w:rPr>
        <w:t>应急处置</w:t>
      </w:r>
    </w:p>
    <w:p w14:paraId="15CE2FB6">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当遇到恶劣天气、停水停电、管道堵塞、人流量剧增等突发事件时，应采取应急服务保障措施，确保公共厕所服务功能的持续、正常。</w:t>
      </w:r>
    </w:p>
    <w:p w14:paraId="127E057D">
      <w:pPr>
        <w:numPr>
          <w:ilvl w:val="0"/>
          <w:numId w:val="0"/>
        </w:numPr>
        <w:spacing w:line="360" w:lineRule="auto"/>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szCs w:val="24"/>
          <w:highlight w:val="none"/>
          <w:lang w:val="en-US" w:eastAsia="zh-CN" w:bidi="ar-SA"/>
        </w:rPr>
        <w:t>3、</w:t>
      </w:r>
      <w:r>
        <w:rPr>
          <w:rFonts w:hint="eastAsia" w:ascii="宋体" w:hAnsi="宋体" w:eastAsia="宋体" w:cs="宋体"/>
          <w:color w:val="auto"/>
          <w:kern w:val="0"/>
          <w:sz w:val="22"/>
          <w:highlight w:val="none"/>
          <w:lang w:val="en-US" w:eastAsia="zh-CN"/>
        </w:rPr>
        <w:t>标识标牌使用维护</w:t>
      </w:r>
    </w:p>
    <w:p w14:paraId="378948CE">
      <w:pPr>
        <w:spacing w:line="360" w:lineRule="auto"/>
        <w:ind w:firstLine="440" w:firstLineChars="200"/>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3.1厕所内部不得出现任何带有小广告类型的张贴标语和影响环境整洁的涂鸦广告。</w:t>
      </w:r>
    </w:p>
    <w:p w14:paraId="235321C4">
      <w:pPr>
        <w:spacing w:line="360" w:lineRule="auto"/>
        <w:ind w:firstLine="440" w:firstLineChars="200"/>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3.2公共厕所标识标牌应保持清洁，无残缺、锈迹、歪斜或脱落。</w:t>
      </w:r>
    </w:p>
    <w:p w14:paraId="05445B3E">
      <w:pPr>
        <w:spacing w:line="360"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保洁要求</w:t>
      </w:r>
    </w:p>
    <w:p w14:paraId="3A638F44">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.1全面保洁和巡回保洁</w:t>
      </w:r>
    </w:p>
    <w:p w14:paraId="6FBE05E2">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①</w:t>
      </w:r>
      <w:r>
        <w:rPr>
          <w:rFonts w:hint="eastAsia" w:ascii="宋体" w:hAnsi="宋体" w:eastAsia="宋体" w:cs="宋体"/>
          <w:color w:val="auto"/>
          <w:kern w:val="0"/>
          <w:sz w:val="22"/>
          <w:highlight w:val="none"/>
        </w:rPr>
        <w:t>在保洁时间段内，施行一天两次全面清洁，并做好保洁记录。</w:t>
      </w:r>
    </w:p>
    <w:p w14:paraId="08565B00">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②</w:t>
      </w:r>
      <w:r>
        <w:rPr>
          <w:rFonts w:hint="eastAsia" w:ascii="宋体" w:hAnsi="宋体" w:eastAsia="宋体" w:cs="宋体"/>
          <w:color w:val="auto"/>
          <w:kern w:val="0"/>
          <w:sz w:val="22"/>
          <w:highlight w:val="none"/>
        </w:rPr>
        <w:t>在保洁时间段内，除去全面清洁的时间，其他时间段应不间断进行巡回保洁，并做好巡回保洁记录。</w:t>
      </w:r>
    </w:p>
    <w:p w14:paraId="09A720CC">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.2周边环境</w:t>
      </w:r>
    </w:p>
    <w:p w14:paraId="5FF68742">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①根据采购单位要求，</w:t>
      </w:r>
      <w:r>
        <w:rPr>
          <w:rFonts w:hint="eastAsia" w:ascii="宋体" w:hAnsi="宋体" w:eastAsia="宋体" w:cs="宋体"/>
          <w:color w:val="auto"/>
          <w:kern w:val="0"/>
          <w:sz w:val="22"/>
          <w:highlight w:val="none"/>
        </w:rPr>
        <w:t>公厕周边 3 米内根据环境需求应适当设置绿化带或</w:t>
      </w:r>
      <w:r>
        <w:rPr>
          <w:rFonts w:hint="eastAsia" w:ascii="宋体" w:hAnsi="宋体" w:eastAsia="宋体" w:cs="宋体"/>
          <w:color w:val="auto"/>
          <w:kern w:val="0"/>
          <w:sz w:val="22"/>
          <w:highlight w:val="none"/>
          <w:lang w:eastAsia="zh-CN"/>
        </w:rPr>
        <w:t>摆放绿植</w:t>
      </w:r>
      <w:r>
        <w:rPr>
          <w:rFonts w:hint="eastAsia" w:ascii="宋体" w:hAnsi="宋体" w:eastAsia="宋体" w:cs="宋体"/>
          <w:color w:val="auto"/>
          <w:kern w:val="0"/>
          <w:sz w:val="22"/>
          <w:highlight w:val="none"/>
        </w:rPr>
        <w:t>。</w:t>
      </w:r>
    </w:p>
    <w:p w14:paraId="5FBCA83D">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②</w:t>
      </w:r>
      <w:r>
        <w:rPr>
          <w:rFonts w:hint="eastAsia" w:ascii="宋体" w:hAnsi="宋体" w:eastAsia="宋体" w:cs="宋体"/>
          <w:color w:val="auto"/>
          <w:kern w:val="0"/>
          <w:sz w:val="22"/>
          <w:highlight w:val="none"/>
        </w:rPr>
        <w:t>公共厕所周边环境应整洁有序，无垃圾、粪便、污水、杂草、废土、乱堆乱挂杂物，无黄土裸露，无卫生死角。</w:t>
      </w:r>
    </w:p>
    <w:p w14:paraId="22117437">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③</w:t>
      </w:r>
      <w:r>
        <w:rPr>
          <w:rFonts w:hint="eastAsia" w:ascii="宋体" w:hAnsi="宋体" w:eastAsia="宋体" w:cs="宋体"/>
          <w:color w:val="auto"/>
          <w:kern w:val="0"/>
          <w:sz w:val="22"/>
          <w:highlight w:val="none"/>
        </w:rPr>
        <w:t>无障碍通道、台阶、扶手应保持干净整洁，无垃圾、杂物、吊挂，不得有障碍物。</w:t>
      </w:r>
    </w:p>
    <w:p w14:paraId="0121E4B6">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④</w:t>
      </w:r>
      <w:r>
        <w:rPr>
          <w:rFonts w:hint="eastAsia" w:ascii="宋体" w:hAnsi="宋体" w:eastAsia="宋体" w:cs="宋体"/>
          <w:color w:val="auto"/>
          <w:kern w:val="0"/>
          <w:sz w:val="22"/>
          <w:highlight w:val="none"/>
        </w:rPr>
        <w:t>化粪池、贮粪池周围场地应保持整洁、畅通，无垃圾、粪迹、污水，不得有恶臭、蝇蛆。化粪池、贮粪池不得满溢。</w:t>
      </w:r>
    </w:p>
    <w:p w14:paraId="36BF74DA">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.3内部环境</w:t>
      </w:r>
    </w:p>
    <w:p w14:paraId="418A8F93">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①</w:t>
      </w:r>
      <w:r>
        <w:rPr>
          <w:rFonts w:hint="eastAsia" w:ascii="宋体" w:hAnsi="宋体" w:eastAsia="宋体" w:cs="宋体"/>
          <w:color w:val="auto"/>
          <w:kern w:val="0"/>
          <w:sz w:val="22"/>
          <w:highlight w:val="none"/>
        </w:rPr>
        <w:t>门窗</w:t>
      </w:r>
    </w:p>
    <w:p w14:paraId="79516BF8">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门正、反面和门把手应洁净，无污迹和吊挂杂物；门缝及闭门器应无积灰、锈蚀。</w:t>
      </w:r>
    </w:p>
    <w:p w14:paraId="5ED532C7">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2</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窗户玻璃应干净明亮，窗台、窗框、窗纱、排风</w:t>
      </w:r>
    </w:p>
    <w:p w14:paraId="5D307960">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扇等处应无垃圾、杂物、蛛网、积灰。</w:t>
      </w:r>
    </w:p>
    <w:p w14:paraId="2003AAAE">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②</w:t>
      </w:r>
      <w:r>
        <w:rPr>
          <w:rFonts w:hint="eastAsia" w:ascii="宋体" w:hAnsi="宋体" w:eastAsia="宋体" w:cs="宋体"/>
          <w:color w:val="auto"/>
          <w:kern w:val="0"/>
          <w:sz w:val="22"/>
          <w:highlight w:val="none"/>
        </w:rPr>
        <w:t>地面</w:t>
      </w:r>
    </w:p>
    <w:p w14:paraId="783A64FE">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地面应洁净，无垃圾、污迹、积水、杂物、烟蒂。</w:t>
      </w:r>
    </w:p>
    <w:p w14:paraId="533BC4E5">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③</w:t>
      </w:r>
      <w:r>
        <w:rPr>
          <w:rFonts w:hint="eastAsia" w:ascii="宋体" w:hAnsi="宋体" w:eastAsia="宋体" w:cs="宋体"/>
          <w:color w:val="auto"/>
          <w:kern w:val="0"/>
          <w:sz w:val="22"/>
          <w:highlight w:val="none"/>
        </w:rPr>
        <w:t>厕位</w:t>
      </w:r>
    </w:p>
    <w:p w14:paraId="7C79311F">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蹲便器、座便器外侧应无水锈、粪便、污物；蹲便器、座便器内应洁净，无积粪、堵塞。</w:t>
      </w:r>
    </w:p>
    <w:p w14:paraId="14838156">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小便器（槽）洁净，无垃圾、尿垢、水锈、烟蒂，管道沟眼应保持畅通。</w:t>
      </w:r>
    </w:p>
    <w:p w14:paraId="64E332F1">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3</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厕位隔断板应洁净，无积灰、污迹、蛛网、乱涂乱画、广告。</w:t>
      </w:r>
    </w:p>
    <w:p w14:paraId="598AC7E3">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.4其他设施</w:t>
      </w:r>
    </w:p>
    <w:p w14:paraId="4DDEC2E7">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①</w:t>
      </w:r>
      <w:r>
        <w:rPr>
          <w:rFonts w:hint="eastAsia" w:ascii="宋体" w:hAnsi="宋体" w:eastAsia="宋体" w:cs="宋体"/>
          <w:color w:val="auto"/>
          <w:kern w:val="0"/>
          <w:sz w:val="22"/>
          <w:highlight w:val="none"/>
        </w:rPr>
        <w:t>洗手池及台面、拖把池、搁物台、镜子完好，无积灰、污迹、蛛网、水垢、毛发、杂物、积水。</w:t>
      </w:r>
    </w:p>
    <w:p w14:paraId="7F27F520">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②</w:t>
      </w:r>
      <w:r>
        <w:rPr>
          <w:rFonts w:hint="eastAsia" w:ascii="宋体" w:hAnsi="宋体" w:eastAsia="宋体" w:cs="宋体"/>
          <w:color w:val="auto"/>
          <w:kern w:val="0"/>
          <w:sz w:val="22"/>
          <w:highlight w:val="none"/>
        </w:rPr>
        <w:t>洗手液、烘手器、除臭设备、空调、灯具及开关、拖把架、手纸盒等设备应洁净、无积灰、污迹，使用标识应清晰、无污迹。</w:t>
      </w:r>
    </w:p>
    <w:p w14:paraId="57615924">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③</w:t>
      </w:r>
      <w:r>
        <w:rPr>
          <w:rFonts w:hint="eastAsia" w:ascii="宋体" w:hAnsi="宋体" w:eastAsia="宋体" w:cs="宋体"/>
          <w:color w:val="auto"/>
          <w:kern w:val="0"/>
          <w:sz w:val="22"/>
          <w:highlight w:val="none"/>
        </w:rPr>
        <w:t>废物篓内废弃物不得超过废物篓的平口。</w:t>
      </w:r>
    </w:p>
    <w:p w14:paraId="4998F156">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.5管理房、工具房</w:t>
      </w:r>
    </w:p>
    <w:p w14:paraId="1C4A1C56">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①</w:t>
      </w:r>
      <w:r>
        <w:rPr>
          <w:rFonts w:hint="eastAsia" w:ascii="宋体" w:hAnsi="宋体" w:eastAsia="宋体" w:cs="宋体"/>
          <w:color w:val="auto"/>
          <w:kern w:val="0"/>
          <w:sz w:val="22"/>
          <w:highlight w:val="none"/>
        </w:rPr>
        <w:t>公共厕所管理房、工具房由公厕的保洁员日常维护和管理，不应挪作他用，不得饲养宠物、不得有其他物品堆积占用和居住无关人员。</w:t>
      </w:r>
    </w:p>
    <w:p w14:paraId="37A20EDA">
      <w:pPr>
        <w:spacing w:line="360" w:lineRule="auto"/>
        <w:ind w:firstLine="440" w:firstLineChars="200"/>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②公共厕所管理间应保持整洁、卫生、有序；禁止住宿；不得有洗衣、做饭、用餐等与保洁工作无关的行为。</w:t>
      </w:r>
    </w:p>
    <w:p w14:paraId="1ACED9A2">
      <w:pPr>
        <w:spacing w:line="360" w:lineRule="auto"/>
        <w:ind w:firstLine="440" w:firstLineChars="200"/>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③在条件允许的情况下允许保洁人员在管理房、工具房进行短暂休息。</w:t>
      </w:r>
    </w:p>
    <w:p w14:paraId="5B2D11C9">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.6内外墙面及屋顶</w:t>
      </w:r>
    </w:p>
    <w:p w14:paraId="4FD04861">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①</w:t>
      </w:r>
      <w:r>
        <w:rPr>
          <w:rFonts w:hint="eastAsia" w:ascii="宋体" w:hAnsi="宋体" w:eastAsia="宋体" w:cs="宋体"/>
          <w:color w:val="auto"/>
          <w:kern w:val="0"/>
          <w:sz w:val="22"/>
          <w:highlight w:val="none"/>
        </w:rPr>
        <w:t>内外墙面和天花板应保持洁净，无积灰、污迹、渗漏、蛛网，无乱涂乱画、无张贴，不得安装或吊挂与公厕管理无关的杂物及任何附带商业性质物品。</w:t>
      </w:r>
    </w:p>
    <w:p w14:paraId="550DF693">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②</w:t>
      </w:r>
      <w:r>
        <w:rPr>
          <w:rFonts w:hint="eastAsia" w:ascii="宋体" w:hAnsi="宋体" w:eastAsia="宋体" w:cs="宋体"/>
          <w:color w:val="auto"/>
          <w:kern w:val="0"/>
          <w:sz w:val="22"/>
          <w:highlight w:val="none"/>
        </w:rPr>
        <w:t>屋顶应无垃圾、无杂物并保持雨水管道的畅通，不得设置与公厕管理无关的物品和商业广告牌。</w:t>
      </w:r>
    </w:p>
    <w:p w14:paraId="1BDB57C9">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.7作业和工具放置</w:t>
      </w:r>
    </w:p>
    <w:p w14:paraId="4EA304BB">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①</w:t>
      </w:r>
      <w:r>
        <w:rPr>
          <w:rFonts w:hint="eastAsia" w:ascii="宋体" w:hAnsi="宋体" w:eastAsia="宋体" w:cs="宋体"/>
          <w:color w:val="auto"/>
          <w:kern w:val="0"/>
          <w:sz w:val="22"/>
          <w:highlight w:val="none"/>
        </w:rPr>
        <w:t>保洁作业时宜在入口处设置提示牌。雨天和地面拖洗时，应设置防滑标志和铺设防滑垫。</w:t>
      </w:r>
    </w:p>
    <w:p w14:paraId="10345364">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②</w:t>
      </w:r>
      <w:r>
        <w:rPr>
          <w:rFonts w:hint="eastAsia" w:ascii="宋体" w:hAnsi="宋体" w:eastAsia="宋体" w:cs="宋体"/>
          <w:color w:val="auto"/>
          <w:kern w:val="0"/>
          <w:sz w:val="22"/>
          <w:highlight w:val="none"/>
        </w:rPr>
        <w:t>清洁大、小便洁具的拖把、抹布应与清洁其他设施的拖把、抹布区分使用。</w:t>
      </w:r>
    </w:p>
    <w:p w14:paraId="158CEEA5">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③</w:t>
      </w:r>
      <w:r>
        <w:rPr>
          <w:rFonts w:hint="eastAsia" w:ascii="宋体" w:hAnsi="宋体" w:eastAsia="宋体" w:cs="宋体"/>
          <w:color w:val="auto"/>
          <w:kern w:val="0"/>
          <w:sz w:val="22"/>
          <w:highlight w:val="none"/>
        </w:rPr>
        <w:t>保洁作业完毕后，应将作业工具统一放置在工具间内，摆放整齐，拖把、扫把、抹布晾晒时应置于拖把架上。</w:t>
      </w:r>
    </w:p>
    <w:p w14:paraId="6651A6B5">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④</w:t>
      </w:r>
      <w:r>
        <w:rPr>
          <w:rFonts w:hint="eastAsia" w:ascii="宋体" w:hAnsi="宋体" w:eastAsia="宋体" w:cs="宋体"/>
          <w:color w:val="auto"/>
          <w:kern w:val="0"/>
          <w:sz w:val="22"/>
          <w:highlight w:val="none"/>
        </w:rPr>
        <w:t>公共厕所内部通道、门口、洗手台不应放置拖把、水桶、抹布、扫把等作业工具和其他影响视觉观瞻及通行的物品。</w:t>
      </w:r>
    </w:p>
    <w:p w14:paraId="05600763">
      <w:pPr>
        <w:spacing w:line="360" w:lineRule="auto"/>
        <w:ind w:firstLine="442" w:firstLineChars="200"/>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lang w:eastAsia="zh-CN"/>
        </w:rPr>
        <w:t>（七）河道及河道旁人行道保洁要求</w:t>
      </w:r>
    </w:p>
    <w:p w14:paraId="1D182923">
      <w:pPr>
        <w:spacing w:line="360" w:lineRule="auto"/>
        <w:ind w:firstLine="440" w:firstLineChars="200"/>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打捞清理河道漂浮物、枯枝落叶、漂浮垃圾、浮萍浮藻，定期清理水域面上水草，清理岸边废弃物、暴露垃圾、病死动物，保持斜坡堤岸及河道旁人行道干净整洁、无杂物堆积，无青苔、无积水积泥。台风、暴雨及洪水过后，及时清理清除河面漂浮物，冲洗堤岸。收集垃圾日产日清，集中分类、清运至垃圾中转站，不得随意倾倒。</w:t>
      </w:r>
    </w:p>
    <w:p w14:paraId="492B2659">
      <w:pPr>
        <w:tabs>
          <w:tab w:val="left" w:pos="360"/>
          <w:tab w:val="left" w:pos="410"/>
        </w:tabs>
        <w:spacing w:line="360" w:lineRule="auto"/>
        <w:ind w:firstLine="440" w:firstLineChars="200"/>
        <w:rPr>
          <w:rFonts w:hint="eastAsia" w:ascii="宋体" w:hAnsi="宋体" w:eastAsia="宋体" w:cs="宋体"/>
          <w:b w:val="0"/>
          <w:color w:val="auto"/>
          <w:sz w:val="22"/>
          <w:highlight w:val="none"/>
        </w:rPr>
      </w:pPr>
      <w:r>
        <w:rPr>
          <w:rFonts w:hint="eastAsia" w:ascii="宋体" w:hAnsi="宋体" w:eastAsia="宋体" w:cs="宋体"/>
          <w:b w:val="0"/>
          <w:color w:val="auto"/>
          <w:sz w:val="22"/>
          <w:highlight w:val="none"/>
        </w:rPr>
        <w:t>打捞物及动物尸体应采取无害化处理。</w:t>
      </w:r>
    </w:p>
    <w:p w14:paraId="4C5C48B8">
      <w:pPr>
        <w:tabs>
          <w:tab w:val="left" w:pos="360"/>
        </w:tabs>
        <w:spacing w:line="360" w:lineRule="auto"/>
        <w:ind w:firstLine="440" w:firstLineChars="200"/>
        <w:rPr>
          <w:rFonts w:hint="eastAsia" w:ascii="宋体" w:hAnsi="宋体" w:eastAsia="宋体" w:cs="宋体"/>
          <w:b w:val="0"/>
          <w:color w:val="auto"/>
          <w:sz w:val="22"/>
          <w:highlight w:val="none"/>
        </w:rPr>
      </w:pPr>
      <w:r>
        <w:rPr>
          <w:rFonts w:hint="eastAsia" w:ascii="宋体" w:hAnsi="宋体" w:eastAsia="宋体" w:cs="宋体"/>
          <w:b w:val="0"/>
          <w:color w:val="auto"/>
          <w:sz w:val="22"/>
          <w:highlight w:val="none"/>
        </w:rPr>
        <w:t>对保洁区域范围内打捞上船的垃圾进行消毒。</w:t>
      </w:r>
    </w:p>
    <w:p w14:paraId="30D0E4A1">
      <w:pPr>
        <w:spacing w:line="360" w:lineRule="auto"/>
        <w:ind w:firstLine="442" w:firstLineChars="200"/>
        <w:rPr>
          <w:rFonts w:hint="eastAsia" w:ascii="宋体" w:hAnsi="宋体" w:eastAsia="宋体" w:cs="宋体"/>
          <w:b/>
          <w:bCs/>
          <w:color w:val="auto"/>
          <w:kern w:val="0"/>
          <w:sz w:val="22"/>
          <w:highlight w:val="none"/>
          <w:lang w:eastAsia="zh-CN"/>
        </w:rPr>
      </w:pPr>
      <w:r>
        <w:rPr>
          <w:rFonts w:hint="eastAsia" w:ascii="宋体" w:hAnsi="宋体" w:eastAsia="宋体" w:cs="宋体"/>
          <w:b/>
          <w:bCs/>
          <w:color w:val="auto"/>
          <w:kern w:val="0"/>
          <w:sz w:val="22"/>
          <w:highlight w:val="none"/>
          <w:lang w:eastAsia="zh-CN"/>
        </w:rPr>
        <w:t>（八）绿化带保洁要求</w:t>
      </w:r>
    </w:p>
    <w:p w14:paraId="6D82E9FC">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保证绿化带(包括公共绿地、路面及道路两侧绿化带的保洁)干净、无胶袋、烟头、纸屑等垃圾。</w:t>
      </w:r>
    </w:p>
    <w:p w14:paraId="3D7DFEDC">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人行道至围墙根杂草进行清理。</w:t>
      </w:r>
    </w:p>
    <w:p w14:paraId="7C513600">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人行道树穴、绿化带无烟蒂、果皮、塑料袋、纸屑、杂草。</w:t>
      </w:r>
    </w:p>
    <w:p w14:paraId="08DD8143">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不能把道路清扫出来的泥沙、落叶等垃圾随意扫入绿化带。</w:t>
      </w:r>
    </w:p>
    <w:p w14:paraId="6AE4975E">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保证各类树木及园林绿化设施上无吊挂、拴挂、晾晒物品，无乱贴、乱画、乱刻、乱涂画。</w:t>
      </w:r>
    </w:p>
    <w:p w14:paraId="033599FD">
      <w:pPr>
        <w:spacing w:line="360" w:lineRule="auto"/>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养护管理范围清洁干净，绿坯每天要先清理垃圾再进行其它养护工作，保洁期间无垃圾、无枝叶草屑弃物堆积、无余泥、砖块杂物堆放，绿地内垃圾每日要专人清理。</w:t>
      </w:r>
    </w:p>
    <w:p w14:paraId="4532D23F">
      <w:pPr>
        <w:spacing w:line="360" w:lineRule="auto"/>
        <w:ind w:firstLine="442" w:firstLineChars="200"/>
        <w:rPr>
          <w:rFonts w:hint="eastAsia" w:ascii="宋体" w:hAnsi="宋体" w:eastAsia="宋体" w:cs="宋体"/>
          <w:bCs/>
          <w:color w:val="auto"/>
          <w:sz w:val="22"/>
          <w:highlight w:val="none"/>
        </w:rPr>
      </w:pPr>
      <w:r>
        <w:rPr>
          <w:rFonts w:hint="eastAsia" w:ascii="宋体" w:hAnsi="宋体" w:eastAsia="宋体" w:cs="宋体"/>
          <w:b/>
          <w:color w:val="auto"/>
          <w:sz w:val="22"/>
          <w:highlight w:val="none"/>
          <w:lang w:eastAsia="zh-CN"/>
        </w:rPr>
        <w:t>六</w:t>
      </w:r>
      <w:r>
        <w:rPr>
          <w:rFonts w:hint="eastAsia" w:ascii="宋体" w:hAnsi="宋体" w:eastAsia="宋体" w:cs="宋体"/>
          <w:b/>
          <w:color w:val="auto"/>
          <w:sz w:val="22"/>
          <w:highlight w:val="none"/>
        </w:rPr>
        <w:t>、考核管理办法</w:t>
      </w:r>
      <w:r>
        <w:rPr>
          <w:rFonts w:hint="eastAsia" w:ascii="宋体" w:hAnsi="宋体" w:eastAsia="宋体" w:cs="宋体"/>
          <w:bCs/>
          <w:color w:val="auto"/>
          <w:sz w:val="22"/>
          <w:highlight w:val="none"/>
        </w:rPr>
        <w:t>：见附件。</w:t>
      </w:r>
    </w:p>
    <w:p w14:paraId="66A1EDEE">
      <w:pPr>
        <w:spacing w:line="360" w:lineRule="auto"/>
        <w:ind w:firstLine="442" w:firstLineChars="200"/>
        <w:rPr>
          <w:rFonts w:hint="eastAsia" w:ascii="宋体" w:hAnsi="宋体" w:eastAsia="宋体" w:cs="宋体"/>
          <w:b/>
          <w:bCs w:val="0"/>
          <w:color w:val="auto"/>
          <w:sz w:val="22"/>
          <w:highlight w:val="none"/>
        </w:rPr>
      </w:pPr>
      <w:r>
        <w:rPr>
          <w:rFonts w:hint="eastAsia" w:ascii="宋体" w:hAnsi="宋体" w:eastAsia="宋体" w:cs="宋体"/>
          <w:b/>
          <w:color w:val="auto"/>
          <w:sz w:val="22"/>
          <w:highlight w:val="none"/>
          <w:lang w:eastAsia="zh-CN"/>
        </w:rPr>
        <w:t>七</w:t>
      </w:r>
      <w:r>
        <w:rPr>
          <w:rFonts w:hint="eastAsia" w:ascii="宋体" w:hAnsi="宋体" w:eastAsia="宋体" w:cs="宋体"/>
          <w:b/>
          <w:color w:val="auto"/>
          <w:sz w:val="22"/>
          <w:highlight w:val="none"/>
        </w:rPr>
        <w:t>、</w:t>
      </w:r>
      <w:r>
        <w:rPr>
          <w:rFonts w:hint="eastAsia" w:ascii="宋体" w:hAnsi="宋体" w:eastAsia="宋体" w:cs="宋体"/>
          <w:b/>
          <w:bCs w:val="0"/>
          <w:color w:val="auto"/>
          <w:sz w:val="22"/>
          <w:highlight w:val="none"/>
        </w:rPr>
        <w:t>▲</w:t>
      </w:r>
      <w:r>
        <w:rPr>
          <w:rFonts w:hint="eastAsia" w:ascii="宋体" w:hAnsi="宋体" w:eastAsia="宋体" w:cs="宋体"/>
          <w:b/>
          <w:color w:val="auto"/>
          <w:sz w:val="22"/>
          <w:highlight w:val="none"/>
        </w:rPr>
        <w:t>商务条款</w:t>
      </w:r>
    </w:p>
    <w:p w14:paraId="5C8CDE33">
      <w:pPr>
        <w:spacing w:line="360" w:lineRule="auto"/>
        <w:ind w:right="20"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1.服务期限：合同生效后1年。</w:t>
      </w:r>
    </w:p>
    <w:p w14:paraId="0937CA02">
      <w:pPr>
        <w:numPr>
          <w:ilvl w:val="0"/>
          <w:numId w:val="0"/>
        </w:numPr>
        <w:spacing w:line="360" w:lineRule="auto"/>
        <w:ind w:right="20" w:rightChars="0"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履约保证金：</w:t>
      </w:r>
      <w:r>
        <w:rPr>
          <w:rFonts w:hint="eastAsia" w:ascii="宋体" w:hAnsi="宋体" w:eastAsia="宋体" w:cs="宋体"/>
          <w:color w:val="auto"/>
          <w:sz w:val="22"/>
          <w:highlight w:val="none"/>
          <w:lang w:eastAsia="zh-CN"/>
        </w:rPr>
        <w:t>合同签订后5个工作日内成交供应商应提供合同总金额1%的履约保证金至采购单位指定账户，供应商以银行、保险公司出具保函形式提交履约保证金的，采购人不得拒收。</w:t>
      </w:r>
    </w:p>
    <w:p w14:paraId="1FFF9A9F">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 xml:space="preserve">.投标报价 </w:t>
      </w:r>
    </w:p>
    <w:p w14:paraId="5B07ECAE">
      <w:pPr>
        <w:spacing w:line="360" w:lineRule="auto"/>
        <w:ind w:firstLine="440" w:firstLineChars="200"/>
        <w:jc w:val="left"/>
        <w:rPr>
          <w:rFonts w:hint="eastAsia" w:ascii="宋体" w:hAnsi="宋体" w:eastAsia="宋体" w:cs="宋体"/>
          <w:color w:val="auto"/>
          <w:sz w:val="22"/>
          <w:highlight w:val="none"/>
          <w:u w:val="none"/>
        </w:rPr>
      </w:pPr>
      <w:r>
        <w:rPr>
          <w:rFonts w:hint="eastAsia" w:ascii="宋体" w:hAnsi="宋体" w:eastAsia="宋体" w:cs="宋体"/>
          <w:color w:val="auto"/>
          <w:sz w:val="22"/>
          <w:highlight w:val="none"/>
        </w:rPr>
        <w:t>本项目采用总价包干合同，中标（成交）供应商的投标报价是履行合同的最终价格。投标报</w:t>
      </w:r>
      <w:r>
        <w:rPr>
          <w:rFonts w:hint="eastAsia" w:ascii="宋体" w:hAnsi="宋体" w:eastAsia="宋体" w:cs="宋体"/>
          <w:color w:val="auto"/>
          <w:sz w:val="22"/>
          <w:highlight w:val="none"/>
          <w:u w:val="none"/>
        </w:rPr>
        <w:t>价涵盖：①人员费用（成本）【包括人员的基本工资、社会保障（单位）、人身意外伤害险、保洁工具用品等所有费用】；②车辆、设备费用（成本）【包括各种车辆的折旧费、维护保养费、燃料费（水、电、油费）、年检年审费、保险费、清洁保养费、水费、停放费等所有费用】等作业成本；③管理费用及其他费用【含办公费用、企业利润、风险、保险、处理一切伤亡事故等费用】；④税金费用（成本）。</w:t>
      </w:r>
    </w:p>
    <w:p w14:paraId="337642FE">
      <w:pPr>
        <w:spacing w:line="360" w:lineRule="auto"/>
        <w:ind w:firstLine="440" w:firstLineChars="200"/>
        <w:jc w:val="left"/>
        <w:rPr>
          <w:rFonts w:hint="eastAsia" w:ascii="宋体" w:hAnsi="宋体" w:eastAsia="宋体" w:cs="宋体"/>
          <w:color w:val="auto"/>
          <w:sz w:val="22"/>
          <w:highlight w:val="none"/>
          <w:u w:val="none"/>
        </w:rPr>
      </w:pPr>
      <w:r>
        <w:rPr>
          <w:rFonts w:hint="eastAsia" w:ascii="宋体" w:hAnsi="宋体" w:eastAsia="宋体" w:cs="宋体"/>
          <w:color w:val="auto"/>
          <w:sz w:val="22"/>
          <w:highlight w:val="none"/>
        </w:rPr>
        <w:t>说明：上述报价中</w:t>
      </w:r>
      <w:r>
        <w:rPr>
          <w:rFonts w:hint="eastAsia" w:ascii="宋体" w:hAnsi="宋体" w:eastAsia="宋体" w:cs="宋体"/>
          <w:color w:val="auto"/>
          <w:sz w:val="22"/>
          <w:highlight w:val="none"/>
          <w:u w:val="none"/>
        </w:rPr>
        <w:t>人员费用、车辆费用和税金部分报价为成本部分，投标供应商在报价时不得低于招标文件所列要求；管理费用由供应商根据自身实力报价，但不得为0。需提供分项报价明细，要求报价合理，不合理报价项做无效标处理。</w:t>
      </w:r>
    </w:p>
    <w:p w14:paraId="4799EB66">
      <w:pPr>
        <w:spacing w:line="360" w:lineRule="auto"/>
        <w:ind w:firstLine="440" w:firstLineChars="200"/>
        <w:jc w:val="left"/>
        <w:rPr>
          <w:rFonts w:hint="eastAsia" w:ascii="宋体" w:hAnsi="宋体" w:eastAsia="宋体" w:cs="宋体"/>
          <w:color w:val="auto"/>
          <w:sz w:val="22"/>
          <w:highlight w:val="none"/>
          <w:u w:val="none"/>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u w:val="none"/>
        </w:rPr>
        <w:t>.质量要求：符合招标文件要求的相关规定。</w:t>
      </w:r>
    </w:p>
    <w:p w14:paraId="25ED28AA">
      <w:pPr>
        <w:snapToGrid w:val="0"/>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eastAsia="zh-CN"/>
        </w:rPr>
        <w:t>八、其他要求</w:t>
      </w:r>
    </w:p>
    <w:p w14:paraId="2124B281">
      <w:pPr>
        <w:snapToGrid w:val="0"/>
        <w:spacing w:line="360" w:lineRule="auto"/>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中标供应商</w:t>
      </w:r>
      <w:r>
        <w:rPr>
          <w:rFonts w:hint="eastAsia" w:ascii="宋体" w:hAnsi="宋体" w:eastAsia="宋体" w:cs="宋体"/>
          <w:color w:val="auto"/>
          <w:sz w:val="22"/>
          <w:highlight w:val="none"/>
        </w:rPr>
        <w:t>须在中标后积极配合</w:t>
      </w:r>
      <w:r>
        <w:rPr>
          <w:rFonts w:hint="eastAsia" w:ascii="宋体" w:hAnsi="宋体" w:eastAsia="宋体" w:cs="宋体"/>
          <w:color w:val="auto"/>
          <w:sz w:val="22"/>
          <w:highlight w:val="none"/>
          <w:lang w:eastAsia="zh-CN"/>
        </w:rPr>
        <w:t>采购单位</w:t>
      </w:r>
      <w:r>
        <w:rPr>
          <w:rFonts w:hint="eastAsia" w:ascii="宋体" w:hAnsi="宋体" w:eastAsia="宋体" w:cs="宋体"/>
          <w:color w:val="auto"/>
          <w:sz w:val="22"/>
          <w:highlight w:val="none"/>
        </w:rPr>
        <w:t>，进场完成运营的交接工作</w:t>
      </w:r>
      <w:r>
        <w:rPr>
          <w:rFonts w:hint="eastAsia" w:ascii="宋体" w:hAnsi="宋体" w:eastAsia="宋体" w:cs="宋体"/>
          <w:color w:val="auto"/>
          <w:sz w:val="22"/>
          <w:highlight w:val="none"/>
          <w:lang w:eastAsia="zh-CN"/>
        </w:rPr>
        <w:t>。参照移交资料对设备（含车辆）进行实物交接，并对设备使用情况、外观、运营现状等进行确认。发现设备出现损坏、无法运营的情况需当场报备。如中标供应商未当场对移交设备进行确认，则默认设备为完好状态。</w:t>
      </w:r>
      <w:r>
        <w:rPr>
          <w:rFonts w:hint="eastAsia" w:ascii="宋体" w:hAnsi="宋体" w:eastAsia="宋体" w:cs="宋体"/>
          <w:color w:val="auto"/>
          <w:sz w:val="22"/>
          <w:highlight w:val="none"/>
        </w:rPr>
        <w:t>在之后的运营中如发现</w:t>
      </w:r>
      <w:r>
        <w:rPr>
          <w:rFonts w:hint="eastAsia" w:ascii="宋体" w:hAnsi="宋体" w:eastAsia="宋体" w:cs="宋体"/>
          <w:color w:val="auto"/>
          <w:sz w:val="22"/>
          <w:highlight w:val="none"/>
          <w:lang w:eastAsia="zh-CN"/>
        </w:rPr>
        <w:t>设备</w:t>
      </w:r>
      <w:r>
        <w:rPr>
          <w:rFonts w:hint="eastAsia" w:ascii="宋体" w:hAnsi="宋体" w:eastAsia="宋体" w:cs="宋体"/>
          <w:color w:val="auto"/>
          <w:sz w:val="22"/>
          <w:highlight w:val="none"/>
        </w:rPr>
        <w:t>存在的问题而影响日后的运维工作，未排查出的质量问题由中标供应商自行维修</w:t>
      </w:r>
      <w:r>
        <w:rPr>
          <w:rFonts w:hint="eastAsia" w:ascii="宋体" w:hAnsi="宋体" w:eastAsia="宋体" w:cs="宋体"/>
          <w:color w:val="auto"/>
          <w:sz w:val="22"/>
          <w:highlight w:val="none"/>
          <w:lang w:eastAsia="zh-CN"/>
        </w:rPr>
        <w:t>及更换（以上费用包含在投标报价中，投标单位不得以任何理由增加该部分价格。）</w:t>
      </w:r>
      <w:r>
        <w:rPr>
          <w:rFonts w:hint="eastAsia" w:ascii="宋体" w:hAnsi="宋体" w:eastAsia="宋体" w:cs="宋体"/>
          <w:color w:val="auto"/>
          <w:sz w:val="22"/>
          <w:highlight w:val="none"/>
        </w:rPr>
        <w:t>，若中标供应商拒不组织维修，采购单位可自行组织力量进行维修，维修费用在运维服务费和履约保证金中扣除。如造成经济损失则损失由中标供应商承担，损失经费直接在运维服务费和履约保证金中扣除。</w:t>
      </w:r>
    </w:p>
    <w:p w14:paraId="62499ECB">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2、服务期满，</w:t>
      </w:r>
      <w:r>
        <w:rPr>
          <w:rFonts w:hint="eastAsia" w:ascii="宋体" w:hAnsi="宋体" w:eastAsia="宋体" w:cs="宋体"/>
          <w:color w:val="auto"/>
          <w:sz w:val="22"/>
          <w:highlight w:val="none"/>
          <w:lang w:eastAsia="zh-CN"/>
        </w:rPr>
        <w:t>中标供应商</w:t>
      </w:r>
      <w:r>
        <w:rPr>
          <w:rFonts w:hint="eastAsia" w:ascii="宋体" w:hAnsi="宋体" w:eastAsia="宋体" w:cs="宋体"/>
          <w:color w:val="auto"/>
          <w:sz w:val="22"/>
          <w:highlight w:val="none"/>
        </w:rPr>
        <w:t>未能继续获取运维资格时，</w:t>
      </w:r>
      <w:r>
        <w:rPr>
          <w:rFonts w:hint="eastAsia" w:ascii="宋体" w:hAnsi="宋体" w:eastAsia="宋体" w:cs="宋体"/>
          <w:color w:val="auto"/>
          <w:sz w:val="22"/>
          <w:highlight w:val="none"/>
          <w:lang w:eastAsia="zh-CN"/>
        </w:rPr>
        <w:t>中标供应商</w:t>
      </w:r>
      <w:r>
        <w:rPr>
          <w:rFonts w:hint="eastAsia" w:ascii="宋体" w:hAnsi="宋体" w:eastAsia="宋体" w:cs="宋体"/>
          <w:color w:val="auto"/>
          <w:sz w:val="22"/>
          <w:highlight w:val="none"/>
        </w:rPr>
        <w:t>要积极配合与下一运维单位交接</w:t>
      </w:r>
      <w:r>
        <w:rPr>
          <w:rFonts w:hint="eastAsia" w:ascii="宋体" w:hAnsi="宋体" w:eastAsia="宋体" w:cs="宋体"/>
          <w:color w:val="auto"/>
          <w:sz w:val="22"/>
          <w:highlight w:val="none"/>
          <w:lang w:eastAsia="zh-CN"/>
        </w:rPr>
        <w:t>及整改</w:t>
      </w:r>
      <w:r>
        <w:rPr>
          <w:rFonts w:hint="eastAsia" w:ascii="宋体" w:hAnsi="宋体" w:eastAsia="宋体" w:cs="宋体"/>
          <w:color w:val="auto"/>
          <w:sz w:val="22"/>
          <w:highlight w:val="none"/>
        </w:rPr>
        <w:t>。不得以任何方式阻碍交接，影响</w:t>
      </w:r>
      <w:r>
        <w:rPr>
          <w:rFonts w:hint="eastAsia" w:ascii="宋体" w:hAnsi="宋体" w:eastAsia="宋体" w:cs="宋体"/>
          <w:color w:val="auto"/>
          <w:sz w:val="22"/>
          <w:highlight w:val="none"/>
          <w:lang w:eastAsia="zh-CN"/>
        </w:rPr>
        <w:t>采购单位</w:t>
      </w:r>
      <w:r>
        <w:rPr>
          <w:rFonts w:hint="eastAsia" w:ascii="宋体" w:hAnsi="宋体" w:eastAsia="宋体" w:cs="宋体"/>
          <w:color w:val="auto"/>
          <w:sz w:val="22"/>
          <w:highlight w:val="none"/>
        </w:rPr>
        <w:t>正常工作。</w:t>
      </w:r>
    </w:p>
    <w:p w14:paraId="21371599">
      <w:pPr>
        <w:snapToGrid w:val="0"/>
        <w:spacing w:line="360" w:lineRule="auto"/>
        <w:ind w:firstLine="442" w:firstLineChars="200"/>
        <w:jc w:val="left"/>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eastAsia="zh-CN"/>
        </w:rPr>
        <w:t>▲九、考核与费用支付</w:t>
      </w:r>
    </w:p>
    <w:p w14:paraId="56CB28F1">
      <w:pPr>
        <w:snapToGrid w:val="0"/>
        <w:spacing w:line="360" w:lineRule="auto"/>
        <w:ind w:firstLine="440" w:firstLineChars="200"/>
        <w:jc w:val="left"/>
        <w:rPr>
          <w:rFonts w:hint="eastAsia" w:ascii="宋体" w:hAnsi="宋体" w:eastAsia="宋体" w:cs="宋体"/>
          <w:color w:val="auto"/>
          <w:sz w:val="22"/>
          <w:highlight w:val="none"/>
          <w:u w:val="none"/>
        </w:rPr>
      </w:pPr>
      <w:r>
        <w:rPr>
          <w:rFonts w:hint="eastAsia" w:ascii="宋体" w:hAnsi="宋体" w:eastAsia="宋体" w:cs="宋体"/>
          <w:color w:val="auto"/>
          <w:sz w:val="22"/>
          <w:highlight w:val="none"/>
          <w:lang w:val="en-US" w:eastAsia="zh-CN"/>
        </w:rPr>
        <w:t>1、实行运营维护情况季度绩效评价制度。对中标运行维护单位以集中考核与日常考核相结合。</w:t>
      </w:r>
      <w:r>
        <w:rPr>
          <w:rFonts w:hint="eastAsia" w:ascii="宋体" w:hAnsi="宋体" w:eastAsia="宋体" w:cs="宋体"/>
          <w:color w:val="auto"/>
          <w:sz w:val="22"/>
          <w:highlight w:val="none"/>
          <w:u w:val="none"/>
          <w:lang w:val="zh-CN"/>
        </w:rPr>
        <w:t>运维管理费用每季度支付一次。本项目先做后付，第二个季度支付前一个季度的运维管理费，并以此类推（由中标供应商提供税务机关正式票据和台账资料）</w:t>
      </w:r>
      <w:r>
        <w:rPr>
          <w:rFonts w:hint="eastAsia" w:ascii="宋体" w:hAnsi="宋体" w:eastAsia="宋体" w:cs="宋体"/>
          <w:color w:val="auto"/>
          <w:sz w:val="22"/>
          <w:highlight w:val="none"/>
          <w:u w:val="none"/>
        </w:rPr>
        <w:t>。</w:t>
      </w:r>
    </w:p>
    <w:p w14:paraId="49420710">
      <w:pPr>
        <w:snapToGrid w:val="0"/>
        <w:spacing w:line="360" w:lineRule="auto"/>
        <w:ind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日常考核：采购单位（或委托第三方）自行组织不定期进行日常巡查考核，对发现的问题以书面形式通知运维单位进行整改，若在规定期限内未完成整改或整改不合格的进行加倍扣分，并计入考核分值。期间，运维单位确因正当理由无法完成整改的，可以书面申请问题整改延期、缓办或取消，由采购单位核查并回复，运维单位须按回复进行办理。</w:t>
      </w:r>
    </w:p>
    <w:p w14:paraId="028B991C">
      <w:pPr>
        <w:snapToGrid w:val="0"/>
        <w:spacing w:line="360" w:lineRule="auto"/>
        <w:ind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每季度集中随机考核：采购单位（或委托第三方）组织督查考核。对发现的问题以书面形式通知运维单位进行整改并予以单倍扣分。若在规定期限内未完成整改或整改不合格的的进行加倍扣分，并计入考核分值。期间，运维单位确因正当理由无法完成整改的，可以书面申请问题整改延期、缓办或取消，由采购单位核查并回复，运维单位须按回复进行办理。</w:t>
      </w:r>
    </w:p>
    <w:p w14:paraId="567BE3AC">
      <w:pPr>
        <w:snapToGrid w:val="0"/>
        <w:spacing w:line="360" w:lineRule="auto"/>
        <w:ind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4、设备及人员进场及到位率</w:t>
      </w:r>
    </w:p>
    <w:p w14:paraId="11CF6713">
      <w:pPr>
        <w:snapToGrid w:val="0"/>
        <w:spacing w:line="360" w:lineRule="auto"/>
        <w:ind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4.1中标供应商须在领取中标通知书后5个工作日内配齐招标文件要求及投标承诺的人员及设备（含车辆），否则采购单位有权扣押30%的运维费用，待运营期结束后核发。</w:t>
      </w:r>
    </w:p>
    <w:p w14:paraId="2100F96C">
      <w:pPr>
        <w:snapToGrid w:val="0"/>
        <w:spacing w:line="360" w:lineRule="auto"/>
        <w:ind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4.2在运维过程中，如第一次发现人员及设备未按照招标文件及投标承诺时投入的，扣押月度30%的运维费用，待运营期结束后核发。</w:t>
      </w:r>
    </w:p>
    <w:p w14:paraId="6408C96F">
      <w:pPr>
        <w:snapToGrid w:val="0"/>
        <w:spacing w:line="360" w:lineRule="auto"/>
        <w:ind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如第二次发现人员及设备未按照招标文件及投标承诺时投入的，直接扣除该月度10%的运维费用。</w:t>
      </w:r>
    </w:p>
    <w:p w14:paraId="2A26ECED">
      <w:pPr>
        <w:snapToGrid w:val="0"/>
        <w:spacing w:line="360" w:lineRule="auto"/>
        <w:ind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如第三次发现人员及设备未按照招标文件及投标承诺时投入的，直接扣除该月度30%的运维费用。</w:t>
      </w:r>
    </w:p>
    <w:p w14:paraId="11AAFF05">
      <w:pPr>
        <w:snapToGrid w:val="0"/>
        <w:spacing w:line="360" w:lineRule="auto"/>
        <w:ind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中标供应商须在5日内整改完成，并邀请采购单位进行确认，如未邀请采购单位进行确认，则视为未整改到位。如中标供应商无正当理由拒不整改的或第四次发现人员及设备未按照招标文件及投标承诺时投入的，采购单位有权终止合同并拒绝支付所有运营费用，中标供应商须承担由此对采购单位造成的损失。</w:t>
      </w:r>
    </w:p>
    <w:p w14:paraId="7D0F8E67">
      <w:pPr>
        <w:numPr>
          <w:ilvl w:val="0"/>
          <w:numId w:val="0"/>
        </w:numPr>
        <w:snapToGrid w:val="0"/>
        <w:spacing w:line="360" w:lineRule="auto"/>
        <w:ind w:left="0" w:leftChars="0" w:firstLine="440" w:firstLineChars="20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2"/>
          <w:highlight w:val="none"/>
          <w:lang w:val="en-US" w:eastAsia="zh-CN"/>
        </w:rPr>
        <w:t>5、奖惩制度：根据泰顺县“最干净（最脏）乡镇、村”考评办法，每轮评选运维范围内每出现1个红码村的罚1万元，每出现1个绿码村的奖励1万元，半年度评选乡镇两最排名倒数第一名的罚6万元，倒数第二名的罚4万元，倒数第三名的罚2万元（连续两次全县“两最”半年考评同组排名倒一的，在此基础上扣除中标价*10%并终止合同，不再续签。），排名第一名奖励6万元，第二名奖励4万元，第三名奖励2万元，第四名和第五名的分别奖励金额1万元。（如县两最考评办法变更，招标人有权根据实际情况修改奖惩措施，招标人拥有最终解释权。）</w:t>
      </w:r>
    </w:p>
    <w:p w14:paraId="4FFAC43A">
      <w:pPr>
        <w:snapToGrid w:val="0"/>
        <w:spacing w:line="360" w:lineRule="auto"/>
        <w:ind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6、运维费用按实际考核结果支付，具体如下：</w:t>
      </w:r>
    </w:p>
    <w:p w14:paraId="040EC6CB">
      <w:pPr>
        <w:snapToGrid w:val="0"/>
        <w:spacing w:line="360" w:lineRule="auto"/>
        <w:ind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（1）运维费用每季度支付一次，根据日常、季度考核及上级部门督查结果（根据大安乡环境卫生作业考核标准的</w:t>
      </w:r>
      <w:r>
        <w:rPr>
          <w:rFonts w:hint="eastAsia" w:ascii="宋体" w:hAnsi="宋体" w:eastAsia="宋体" w:cs="宋体"/>
          <w:b w:val="0"/>
          <w:bCs w:val="0"/>
          <w:color w:val="auto"/>
          <w:sz w:val="22"/>
          <w:highlight w:val="none"/>
          <w:lang w:val="en-US" w:eastAsia="zh-CN"/>
        </w:rPr>
        <w:t>考评结果</w:t>
      </w:r>
      <w:r>
        <w:rPr>
          <w:rFonts w:hint="eastAsia" w:ascii="宋体" w:hAnsi="宋体" w:eastAsia="宋体" w:cs="宋体"/>
          <w:color w:val="auto"/>
          <w:sz w:val="22"/>
          <w:highlight w:val="none"/>
          <w:lang w:val="en-US" w:eastAsia="zh-CN"/>
        </w:rPr>
        <w:t>。每扣1分，扣100元人民币）、泰顺县</w:t>
      </w:r>
      <w:r>
        <w:rPr>
          <w:rFonts w:hint="eastAsia" w:ascii="宋体" w:hAnsi="宋体" w:eastAsia="宋体" w:cs="宋体"/>
          <w:b w:val="0"/>
          <w:bCs w:val="0"/>
          <w:color w:val="auto"/>
          <w:sz w:val="22"/>
          <w:highlight w:val="none"/>
          <w:lang w:val="en-US" w:eastAsia="zh-CN"/>
        </w:rPr>
        <w:t>“最干净（最脏）乡镇、村”考评结果</w:t>
      </w:r>
      <w:r>
        <w:rPr>
          <w:rFonts w:hint="eastAsia" w:ascii="宋体" w:hAnsi="宋体" w:eastAsia="宋体" w:cs="宋体"/>
          <w:color w:val="auto"/>
          <w:sz w:val="22"/>
          <w:highlight w:val="none"/>
          <w:lang w:val="en-US" w:eastAsia="zh-CN"/>
        </w:rPr>
        <w:t>及中标单位开具的发票进行支付。</w:t>
      </w:r>
    </w:p>
    <w:p w14:paraId="03024A77">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（2）支付时间：中标单位开具的发票后7个工作日内。</w:t>
      </w:r>
    </w:p>
    <w:p w14:paraId="2EBB7BF7">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outlineLvl w:val="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zh-CN" w:eastAsia="zh-CN"/>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val="zh-CN" w:eastAsia="zh-CN"/>
        </w:rPr>
        <w:t>）半年累计扣分超过</w:t>
      </w:r>
      <w:r>
        <w:rPr>
          <w:rFonts w:hint="eastAsia" w:ascii="宋体" w:hAnsi="宋体" w:eastAsia="宋体" w:cs="宋体"/>
          <w:color w:val="auto"/>
          <w:sz w:val="22"/>
          <w:highlight w:val="none"/>
          <w:lang w:val="en-US" w:eastAsia="zh-CN"/>
        </w:rPr>
        <w:t>1000分，采购单位有权终止合同并拒绝支付未支付运营费用，中标供应商须承担由此对采购单位造成的损失。一年累计</w:t>
      </w:r>
      <w:r>
        <w:rPr>
          <w:rFonts w:hint="eastAsia" w:ascii="宋体" w:hAnsi="宋体" w:eastAsia="宋体" w:cs="宋体"/>
          <w:color w:val="auto"/>
          <w:sz w:val="22"/>
          <w:highlight w:val="none"/>
          <w:lang w:val="zh-CN" w:eastAsia="zh-CN"/>
        </w:rPr>
        <w:t>扣分超过</w:t>
      </w:r>
      <w:r>
        <w:rPr>
          <w:rFonts w:hint="eastAsia" w:ascii="宋体" w:hAnsi="宋体" w:eastAsia="宋体" w:cs="宋体"/>
          <w:color w:val="auto"/>
          <w:sz w:val="22"/>
          <w:highlight w:val="none"/>
          <w:lang w:val="en-US" w:eastAsia="zh-CN"/>
        </w:rPr>
        <w:t>2000分，终止合同，不再续签，并上报主管部门。</w:t>
      </w:r>
    </w:p>
    <w:p w14:paraId="2740EBBC">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br w:type="page"/>
      </w:r>
    </w:p>
    <w:p w14:paraId="567D3F64">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ind w:left="0" w:right="0"/>
        <w:jc w:val="center"/>
        <w:outlineLvl w:val="0"/>
        <w:rPr>
          <w:rFonts w:hint="eastAsia" w:ascii="宋体" w:hAnsi="Times New Roman" w:eastAsia="宋体" w:cs="Times New Roman"/>
          <w:b/>
          <w:bCs/>
          <w:color w:val="auto"/>
          <w:sz w:val="32"/>
          <w:szCs w:val="32"/>
          <w:highlight w:val="none"/>
          <w:lang w:val="zh-CN" w:eastAsia="zh-CN"/>
        </w:rPr>
      </w:pPr>
      <w:r>
        <w:rPr>
          <w:rFonts w:hint="eastAsia" w:ascii="宋体" w:hAnsi="Times New Roman" w:eastAsia="宋体" w:cs="Times New Roman"/>
          <w:b/>
          <w:bCs/>
          <w:color w:val="auto"/>
          <w:sz w:val="32"/>
          <w:szCs w:val="32"/>
          <w:highlight w:val="none"/>
          <w:lang w:val="zh-CN" w:eastAsia="zh-CN"/>
        </w:rPr>
        <w:t>第三部分</w:t>
      </w:r>
      <w:r>
        <w:rPr>
          <w:rFonts w:hint="eastAsia" w:ascii="宋体" w:eastAsia="宋体" w:cs="Times New Roman"/>
          <w:b/>
          <w:bCs/>
          <w:color w:val="auto"/>
          <w:sz w:val="32"/>
          <w:szCs w:val="32"/>
          <w:highlight w:val="none"/>
          <w:lang w:val="zh-CN" w:eastAsia="zh-CN"/>
        </w:rPr>
        <w:t>、</w:t>
      </w:r>
      <w:r>
        <w:rPr>
          <w:rFonts w:hint="eastAsia" w:ascii="宋体" w:hAnsi="Times New Roman" w:eastAsia="宋体" w:cs="Times New Roman"/>
          <w:b/>
          <w:bCs/>
          <w:color w:val="auto"/>
          <w:sz w:val="32"/>
          <w:szCs w:val="32"/>
          <w:highlight w:val="none"/>
          <w:lang w:val="zh-CN" w:eastAsia="zh-CN"/>
        </w:rPr>
        <w:t>供应商须知</w:t>
      </w:r>
    </w:p>
    <w:p w14:paraId="05F49E15">
      <w:pPr>
        <w:keepNext w:val="0"/>
        <w:keepLines w:val="0"/>
        <w:pageBreakBefore w:val="0"/>
        <w:kinsoku/>
        <w:wordWrap/>
        <w:overflowPunct/>
        <w:topLinePunct w:val="0"/>
        <w:autoSpaceDE w:val="0"/>
        <w:autoSpaceDN w:val="0"/>
        <w:bidi w:val="0"/>
        <w:adjustRightInd w:val="0"/>
        <w:spacing w:before="157" w:beforeLines="50" w:line="400" w:lineRule="exact"/>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一、说明</w:t>
      </w:r>
    </w:p>
    <w:p w14:paraId="61708474">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2CDF4B6">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2、供应商必须对全部内容进行投标报价，只对部分内容进行报价的供应商将按无效投标处理。</w:t>
      </w:r>
    </w:p>
    <w:p w14:paraId="2AD9AA22">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3、无论投标过程中的作法和结果如何，供应商自行承担投标活动中所发生的全部费用；采购单位有权选择供应商的供货和服务范围。</w:t>
      </w:r>
    </w:p>
    <w:p w14:paraId="6DFA7E9E">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0F76A87">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5、知识产权</w:t>
      </w:r>
    </w:p>
    <w:p w14:paraId="63C1B5BF">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5.1供应商应保证，采购单位在中华人民共和国使用货物和服务的任何一部分时，免受第三方提出侵犯其专利权、商标权或其它知识产权的起诉。</w:t>
      </w:r>
    </w:p>
    <w:p w14:paraId="2A0F7664">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5.2投标供应商应对采购单位在使用该产品时所涉及到的专利权负责，不损害采购单位的利益。</w:t>
      </w:r>
    </w:p>
    <w:p w14:paraId="5F51BA78">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5.3报价应包括所有应支付的对专利权和版权、设计或其他知识产权而需要向其他方支付的版税。</w:t>
      </w:r>
    </w:p>
    <w:p w14:paraId="01D4B70B">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5.4投标供应商提供得货物中如使用其他公司的相关专利，应在标书中出示相关授权，如未出示但使用了其他公司的专利，导致供应商中标而引起相关诉讼，由投标供应商承担。</w:t>
      </w:r>
    </w:p>
    <w:p w14:paraId="47E9014D">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zh-CN"/>
        </w:rPr>
        <w:t>单位负责人为同一人或者存在直接控股、管理关系的不同供应商，不得参加同一合同项下的政府采购活动。如在评标过程中发现供应商间存在上述关系，评委可以对存在上述关系的供应商做无效投标处理。</w:t>
      </w:r>
    </w:p>
    <w:p w14:paraId="3C6998D0">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zh-CN"/>
        </w:rPr>
        <w:t>本项目投标文件签章须采用供应商正式公章，不得以投标专用章或业务章、合同章等代替。</w:t>
      </w:r>
    </w:p>
    <w:p w14:paraId="3983CC58">
      <w:pPr>
        <w:keepNext w:val="0"/>
        <w:keepLines w:val="0"/>
        <w:pageBreakBefore w:val="0"/>
        <w:kinsoku/>
        <w:wordWrap/>
        <w:overflowPunct/>
        <w:topLinePunct w:val="0"/>
        <w:bidi w:val="0"/>
        <w:adjustRightInd w:val="0"/>
        <w:spacing w:before="157" w:beforeLines="50" w:line="400" w:lineRule="exact"/>
        <w:ind w:firstLine="431" w:firstLineChars="19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lang w:val="zh-CN"/>
        </w:rPr>
        <w:t>、为采购项目提供整体设计、规范编制或者项目管理、监理、检测等服务的供应商，不得再参加该采购项目的其他采购活动。</w:t>
      </w:r>
    </w:p>
    <w:p w14:paraId="071C7878">
      <w:pPr>
        <w:keepNext w:val="0"/>
        <w:keepLines w:val="0"/>
        <w:pageBreakBefore w:val="0"/>
        <w:kinsoku/>
        <w:wordWrap/>
        <w:overflowPunct/>
        <w:topLinePunct w:val="0"/>
        <w:autoSpaceDE w:val="0"/>
        <w:autoSpaceDN w:val="0"/>
        <w:bidi w:val="0"/>
        <w:adjustRightInd w:val="0"/>
        <w:spacing w:before="157" w:beforeLines="50" w:line="40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▲9、供应商须具有良好的商业信誉：</w:t>
      </w:r>
    </w:p>
    <w:p w14:paraId="2DE4378E">
      <w:pPr>
        <w:keepNext w:val="0"/>
        <w:keepLines w:val="0"/>
        <w:pageBreakBefore w:val="0"/>
        <w:kinsoku/>
        <w:wordWrap/>
        <w:overflowPunct/>
        <w:topLinePunct w:val="0"/>
        <w:autoSpaceDE w:val="0"/>
        <w:autoSpaceDN w:val="0"/>
        <w:bidi w:val="0"/>
        <w:adjustRightInd w:val="0"/>
        <w:spacing w:before="157" w:beforeLines="50" w:line="40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9.1供应商在全国企业信用信息公示系统网：（http://gsxt.saic.gov.cn/）无严重违法企业记录。</w:t>
      </w:r>
    </w:p>
    <w:p w14:paraId="435E53EE">
      <w:pPr>
        <w:keepNext w:val="0"/>
        <w:keepLines w:val="0"/>
        <w:pageBreakBefore w:val="0"/>
        <w:kinsoku/>
        <w:wordWrap/>
        <w:overflowPunct/>
        <w:topLinePunct w:val="0"/>
        <w:autoSpaceDE w:val="0"/>
        <w:autoSpaceDN w:val="0"/>
        <w:bidi w:val="0"/>
        <w:adjustRightInd w:val="0"/>
        <w:spacing w:before="157" w:beforeLines="50" w:line="40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9.2供应商在中国执行信息公开网（http://shixin.court.gov.cn/）无失信信息记录。</w:t>
      </w:r>
    </w:p>
    <w:p w14:paraId="5ADF8474">
      <w:pPr>
        <w:keepNext w:val="0"/>
        <w:keepLines w:val="0"/>
        <w:pageBreakBefore w:val="0"/>
        <w:kinsoku/>
        <w:wordWrap/>
        <w:overflowPunct/>
        <w:topLinePunct w:val="0"/>
        <w:autoSpaceDE w:val="0"/>
        <w:autoSpaceDN w:val="0"/>
        <w:bidi w:val="0"/>
        <w:adjustRightInd w:val="0"/>
        <w:spacing w:before="157" w:beforeLines="50" w:line="40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9.3供应商在中国政府采购网（http://www.ccgp.gov.cn/cr/list）无严重违法行为记录。</w:t>
      </w:r>
    </w:p>
    <w:p w14:paraId="26823B98">
      <w:pPr>
        <w:keepNext w:val="0"/>
        <w:keepLines w:val="0"/>
        <w:pageBreakBefore w:val="0"/>
        <w:widowControl/>
        <w:kinsoku/>
        <w:wordWrap/>
        <w:overflowPunct/>
        <w:topLinePunct w:val="0"/>
        <w:bidi w:val="0"/>
        <w:snapToGrid w:val="0"/>
        <w:spacing w:before="157" w:beforeLines="50" w:line="400" w:lineRule="exact"/>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9.4未被各级财政部门列入政府采购黑名单或被各级财政部门禁止参加政府采购项目投标。如供应商有上述情形并参与本项目投标的，一经查实，其投标做无效投标处理。</w:t>
      </w:r>
    </w:p>
    <w:p w14:paraId="25775339">
      <w:pPr>
        <w:keepNext w:val="0"/>
        <w:keepLines w:val="0"/>
        <w:pageBreakBefore w:val="0"/>
        <w:widowControl/>
        <w:kinsoku/>
        <w:wordWrap/>
        <w:overflowPunct/>
        <w:topLinePunct w:val="0"/>
        <w:bidi w:val="0"/>
        <w:snapToGrid w:val="0"/>
        <w:spacing w:before="157" w:beforeLines="50" w:line="400" w:lineRule="exact"/>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▲10、中标/成交供应商必须通过浙江政府采购网（</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"http://www.zjzfcg.gov.cn"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b/>
          <w:color w:val="auto"/>
          <w:sz w:val="22"/>
          <w:szCs w:val="22"/>
          <w:highlight w:val="none"/>
        </w:rPr>
        <w:t>www.zjzfcg.gov.cn</w:t>
      </w:r>
      <w:r>
        <w:rPr>
          <w:rFonts w:hint="eastAsia" w:ascii="宋体" w:hAnsi="宋体" w:eastAsia="宋体" w:cs="宋体"/>
          <w:b/>
          <w:color w:val="auto"/>
          <w:sz w:val="22"/>
          <w:szCs w:val="22"/>
          <w:highlight w:val="none"/>
        </w:rPr>
        <w:fldChar w:fldCharType="end"/>
      </w:r>
      <w:r>
        <w:rPr>
          <w:rFonts w:hint="eastAsia" w:ascii="宋体" w:hAnsi="宋体" w:eastAsia="宋体" w:cs="宋体"/>
          <w:b/>
          <w:color w:val="auto"/>
          <w:sz w:val="22"/>
          <w:szCs w:val="22"/>
          <w:highlight w:val="none"/>
        </w:rPr>
        <w:t>）或各地分网站，向注册所在地或组织采购活动的采购代理机构（包括集中采购机构和社会中介采购代理机构）、采购单位等进行注册申请，按规定审核后，登记加入“浙江省政府采购供应商库”。</w:t>
      </w:r>
    </w:p>
    <w:p w14:paraId="6B9E0BF9">
      <w:pPr>
        <w:keepNext w:val="0"/>
        <w:keepLines w:val="0"/>
        <w:pageBreakBefore w:val="0"/>
        <w:widowControl/>
        <w:kinsoku/>
        <w:wordWrap/>
        <w:overflowPunct/>
        <w:topLinePunct w:val="0"/>
        <w:bidi w:val="0"/>
        <w:snapToGrid w:val="0"/>
        <w:spacing w:before="157" w:beforeLines="50" w:line="40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bCs/>
          <w:color w:val="auto"/>
          <w:sz w:val="22"/>
          <w:szCs w:val="22"/>
          <w:highlight w:val="none"/>
        </w:rPr>
        <w:t>11、本项目采用资格后审，符合资格要求的供应商均可在本公告附件下载竞争性磋商文件，并按竞争性磋商文件规定的时间、地点递交响应文件（竞争性磋商文件下载网址：浙江政府采购网（http://www.zcygov.cn/）或泰顺县人民政府网县公共资源交易中心（http://www.ts.gov.cn/col/col1383420/index.html）,竞争性磋商文件如有补充更正均见浙江政府采购网（http://www.zcygov.cn/）或</w:t>
      </w:r>
      <w:bookmarkStart w:id="0" w:name="_Hlk518910530"/>
      <w:r>
        <w:rPr>
          <w:rFonts w:hint="eastAsia" w:ascii="宋体" w:hAnsi="宋体" w:eastAsia="宋体" w:cs="宋体"/>
          <w:b/>
          <w:bCs/>
          <w:color w:val="auto"/>
          <w:sz w:val="22"/>
          <w:szCs w:val="22"/>
          <w:highlight w:val="none"/>
        </w:rPr>
        <w:t>泰顺县人民政府网县公共资源交易中心（http://www.ts.gov.cn/col/col1383420/index.html）。</w:t>
      </w:r>
      <w:bookmarkEnd w:id="0"/>
      <w:r>
        <w:rPr>
          <w:rFonts w:hint="eastAsia" w:ascii="宋体" w:hAnsi="宋体" w:eastAsia="宋体" w:cs="宋体"/>
          <w:b/>
          <w:bCs/>
          <w:color w:val="auto"/>
          <w:sz w:val="22"/>
          <w:szCs w:val="22"/>
          <w:highlight w:val="none"/>
        </w:rPr>
        <w:t>供应商须在投标截止前自行查看是否有补充、更正文件，并按补充、更正文件要求投标，否则责任自负。</w:t>
      </w:r>
    </w:p>
    <w:p w14:paraId="5E9E22CD">
      <w:pPr>
        <w:keepNext w:val="0"/>
        <w:keepLines w:val="0"/>
        <w:pageBreakBefore w:val="0"/>
        <w:kinsoku/>
        <w:wordWrap/>
        <w:overflowPunct/>
        <w:topLinePunct w:val="0"/>
        <w:autoSpaceDE w:val="0"/>
        <w:autoSpaceDN w:val="0"/>
        <w:bidi w:val="0"/>
        <w:adjustRightInd w:val="0"/>
        <w:spacing w:before="157" w:beforeLines="50"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7F8DADE1">
      <w:pPr>
        <w:keepNext w:val="0"/>
        <w:keepLines w:val="0"/>
        <w:pageBreakBefore w:val="0"/>
        <w:kinsoku/>
        <w:wordWrap/>
        <w:overflowPunct/>
        <w:topLinePunct w:val="0"/>
        <w:autoSpaceDE w:val="0"/>
        <w:autoSpaceDN w:val="0"/>
        <w:bidi w:val="0"/>
        <w:adjustRightInd w:val="0"/>
        <w:spacing w:before="157" w:beforeLines="50" w:line="400" w:lineRule="exact"/>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二、竞争性磋商文件</w:t>
      </w:r>
    </w:p>
    <w:p w14:paraId="3528B7A5">
      <w:pPr>
        <w:keepNext w:val="0"/>
        <w:keepLines w:val="0"/>
        <w:pageBreakBefore w:val="0"/>
        <w:kinsoku/>
        <w:wordWrap/>
        <w:overflowPunct/>
        <w:topLinePunct w:val="0"/>
        <w:bidi w:val="0"/>
        <w:spacing w:before="157" w:beforeLines="50" w:line="40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1、竞争性磋商文件</w:t>
      </w:r>
    </w:p>
    <w:p w14:paraId="306DF7B5">
      <w:pPr>
        <w:keepNext w:val="0"/>
        <w:keepLines w:val="0"/>
        <w:pageBreakBefore w:val="0"/>
        <w:kinsoku/>
        <w:wordWrap/>
        <w:overflowPunct/>
        <w:topLinePunct w:val="0"/>
        <w:autoSpaceDE w:val="0"/>
        <w:autoSpaceDN w:val="0"/>
        <w:bidi w:val="0"/>
        <w:adjustRightInd w:val="0"/>
        <w:spacing w:before="157" w:beforeLines="50" w:line="400" w:lineRule="exact"/>
        <w:ind w:firstLine="42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1.1竞争性磋商文件的发放</w:t>
      </w:r>
    </w:p>
    <w:p w14:paraId="4D204CAC">
      <w:pPr>
        <w:keepNext w:val="0"/>
        <w:keepLines w:val="0"/>
        <w:pageBreakBefore w:val="0"/>
        <w:kinsoku/>
        <w:wordWrap/>
        <w:overflowPunct/>
        <w:topLinePunct w:val="0"/>
        <w:autoSpaceDE w:val="0"/>
        <w:autoSpaceDN w:val="0"/>
        <w:bidi w:val="0"/>
        <w:adjustRightInd w:val="0"/>
        <w:spacing w:before="157" w:beforeLines="50" w:line="400" w:lineRule="exact"/>
        <w:ind w:firstLine="770" w:firstLineChars="35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本项目直接在上</w:t>
      </w:r>
      <w:r>
        <w:rPr>
          <w:rFonts w:hint="eastAsia" w:ascii="宋体" w:hAnsi="宋体" w:eastAsia="宋体" w:cs="宋体"/>
          <w:color w:val="auto"/>
          <w:sz w:val="22"/>
          <w:szCs w:val="22"/>
          <w:highlight w:val="none"/>
        </w:rPr>
        <w:t>下载</w:t>
      </w:r>
      <w:r>
        <w:rPr>
          <w:rFonts w:hint="eastAsia" w:ascii="宋体" w:hAnsi="宋体" w:eastAsia="宋体" w:cs="宋体"/>
          <w:color w:val="auto"/>
          <w:sz w:val="22"/>
          <w:szCs w:val="22"/>
          <w:highlight w:val="none"/>
          <w:lang w:val="zh-CN"/>
        </w:rPr>
        <w:t>竞争性磋商文件。</w:t>
      </w:r>
    </w:p>
    <w:p w14:paraId="23415535">
      <w:pPr>
        <w:keepNext w:val="0"/>
        <w:keepLines w:val="0"/>
        <w:pageBreakBefore w:val="0"/>
        <w:kinsoku/>
        <w:wordWrap/>
        <w:overflowPunct/>
        <w:topLinePunct w:val="0"/>
        <w:autoSpaceDE w:val="0"/>
        <w:autoSpaceDN w:val="0"/>
        <w:bidi w:val="0"/>
        <w:adjustRightInd w:val="0"/>
        <w:spacing w:before="157" w:beforeLines="50" w:line="400" w:lineRule="exact"/>
        <w:ind w:firstLine="42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1.2竞争性磋商文件约束力</w:t>
      </w:r>
    </w:p>
    <w:p w14:paraId="738E9EA8">
      <w:pPr>
        <w:keepNext w:val="0"/>
        <w:keepLines w:val="0"/>
        <w:pageBreakBefore w:val="0"/>
        <w:kinsoku/>
        <w:wordWrap/>
        <w:overflowPunct/>
        <w:topLinePunct w:val="0"/>
        <w:autoSpaceDE w:val="0"/>
        <w:autoSpaceDN w:val="0"/>
        <w:bidi w:val="0"/>
        <w:adjustRightInd w:val="0"/>
        <w:spacing w:before="157" w:beforeLines="50" w:line="400" w:lineRule="exact"/>
        <w:ind w:firstLine="442" w:firstLineChars="20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w:t>
      </w:r>
      <w:r>
        <w:rPr>
          <w:rFonts w:hint="eastAsia" w:ascii="宋体" w:hAnsi="宋体" w:eastAsia="宋体" w:cs="宋体"/>
          <w:b/>
          <w:color w:val="auto"/>
          <w:sz w:val="22"/>
          <w:szCs w:val="22"/>
          <w:highlight w:val="none"/>
        </w:rPr>
        <w:t>一旦网上成功报名和下载了本项目竞争性磋商文件，在质疑期内未提出质疑，并参加投标，即被认为接受了本竞争性磋商文件中所有条款和规定。</w:t>
      </w:r>
    </w:p>
    <w:p w14:paraId="1FCEA9D0">
      <w:pPr>
        <w:keepNext w:val="0"/>
        <w:keepLines w:val="0"/>
        <w:pageBreakBefore w:val="0"/>
        <w:kinsoku/>
        <w:wordWrap/>
        <w:overflowPunct/>
        <w:topLinePunct w:val="0"/>
        <w:autoSpaceDE w:val="0"/>
        <w:autoSpaceDN w:val="0"/>
        <w:bidi w:val="0"/>
        <w:adjustRightInd w:val="0"/>
        <w:spacing w:before="157" w:beforeLines="50"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2、竞争性磋商文件的澄清</w:t>
      </w:r>
    </w:p>
    <w:p w14:paraId="676C8A1C">
      <w:pPr>
        <w:keepNext w:val="0"/>
        <w:keepLines w:val="0"/>
        <w:pageBreakBefore w:val="0"/>
        <w:kinsoku/>
        <w:wordWrap/>
        <w:overflowPunct/>
        <w:topLinePunct w:val="0"/>
        <w:autoSpaceDE w:val="0"/>
        <w:autoSpaceDN w:val="0"/>
        <w:bidi w:val="0"/>
        <w:adjustRightInd w:val="0"/>
        <w:spacing w:before="157" w:beforeLines="50"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2D34716B">
      <w:pPr>
        <w:keepNext w:val="0"/>
        <w:keepLines w:val="0"/>
        <w:pageBreakBefore w:val="0"/>
        <w:kinsoku/>
        <w:wordWrap/>
        <w:overflowPunct/>
        <w:topLinePunct w:val="0"/>
        <w:autoSpaceDE w:val="0"/>
        <w:autoSpaceDN w:val="0"/>
        <w:bidi w:val="0"/>
        <w:adjustRightInd w:val="0"/>
        <w:spacing w:before="157" w:beforeLines="50"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3、竞争性磋商文件的修改</w:t>
      </w:r>
    </w:p>
    <w:p w14:paraId="64A5980F">
      <w:pPr>
        <w:keepNext w:val="0"/>
        <w:keepLines w:val="0"/>
        <w:pageBreakBefore w:val="0"/>
        <w:kinsoku/>
        <w:wordWrap/>
        <w:overflowPunct/>
        <w:topLinePunct w:val="0"/>
        <w:autoSpaceDE w:val="0"/>
        <w:autoSpaceDN w:val="0"/>
        <w:bidi w:val="0"/>
        <w:adjustRightInd w:val="0"/>
        <w:spacing w:before="157" w:beforeLines="50"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3.1在投标截止时间前，采购单位或采购机构有权修改竞争性磋商文件，并以书面形式通知供应商。补充文件作为竞争性磋商文件的补充和组成部分，对所有供应商均有约束力。</w:t>
      </w:r>
    </w:p>
    <w:p w14:paraId="068A93B7">
      <w:pPr>
        <w:keepNext w:val="0"/>
        <w:keepLines w:val="0"/>
        <w:pageBreakBefore w:val="0"/>
        <w:kinsoku/>
        <w:wordWrap/>
        <w:overflowPunct/>
        <w:topLinePunct w:val="0"/>
        <w:autoSpaceDE w:val="0"/>
        <w:autoSpaceDN w:val="0"/>
        <w:bidi w:val="0"/>
        <w:adjustRightInd w:val="0"/>
        <w:spacing w:before="157" w:beforeLines="50" w:line="400" w:lineRule="exact"/>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3.2为使供应商有足够的时间按竞争性磋商文件要求修正响应文件，采购单位按相关规定推迟投标截止时间和开标时间，并将此变更通知放至相关网站公示。</w:t>
      </w:r>
    </w:p>
    <w:p w14:paraId="07503168">
      <w:pPr>
        <w:keepNext w:val="0"/>
        <w:keepLines w:val="0"/>
        <w:pageBreakBefore w:val="0"/>
        <w:kinsoku/>
        <w:wordWrap/>
        <w:overflowPunct/>
        <w:topLinePunct w:val="0"/>
        <w:autoSpaceDE w:val="0"/>
        <w:autoSpaceDN w:val="0"/>
        <w:bidi w:val="0"/>
        <w:adjustRightInd w:val="0"/>
        <w:spacing w:before="157" w:beforeLines="50" w:line="400" w:lineRule="exact"/>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三</w:t>
      </w:r>
      <w:r>
        <w:rPr>
          <w:rFonts w:hint="eastAsia" w:ascii="宋体" w:hAnsi="宋体" w:eastAsia="宋体" w:cs="宋体"/>
          <w:b/>
          <w:color w:val="auto"/>
          <w:sz w:val="22"/>
          <w:szCs w:val="22"/>
          <w:highlight w:val="none"/>
          <w:lang w:val="zh-CN"/>
        </w:rPr>
        <w:t>、响应文件</w:t>
      </w:r>
    </w:p>
    <w:p w14:paraId="32381841">
      <w:pPr>
        <w:keepNext w:val="0"/>
        <w:keepLines w:val="0"/>
        <w:pageBreakBefore w:val="0"/>
        <w:kinsoku/>
        <w:wordWrap/>
        <w:overflowPunct/>
        <w:topLinePunct w:val="0"/>
        <w:autoSpaceDE w:val="0"/>
        <w:autoSpaceDN w:val="0"/>
        <w:bidi w:val="0"/>
        <w:adjustRightInd w:val="0"/>
        <w:spacing w:before="157" w:beforeLines="50"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1、响应文件</w:t>
      </w:r>
    </w:p>
    <w:p w14:paraId="4381FD53">
      <w:pPr>
        <w:keepNext w:val="0"/>
        <w:keepLines w:val="0"/>
        <w:pageBreakBefore w:val="0"/>
        <w:kinsoku/>
        <w:wordWrap/>
        <w:overflowPunct/>
        <w:topLinePunct w:val="0"/>
        <w:autoSpaceDE w:val="0"/>
        <w:autoSpaceDN w:val="0"/>
        <w:bidi w:val="0"/>
        <w:adjustRightInd w:val="0"/>
        <w:snapToGrid w:val="0"/>
        <w:spacing w:before="157" w:beforeLines="50" w:line="40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1.1供应商提交的投标文件以及供应商与采购单位就有关投标的所有来往函电均应使用中文。供应商可以提交用其它语言印制的资料，但必须译成中文，在有差异和矛盾时以中文为准。</w:t>
      </w:r>
    </w:p>
    <w:p w14:paraId="45708C3E">
      <w:pPr>
        <w:keepNext w:val="0"/>
        <w:keepLines w:val="0"/>
        <w:pageBreakBefore w:val="0"/>
        <w:kinsoku/>
        <w:wordWrap/>
        <w:overflowPunct/>
        <w:topLinePunct w:val="0"/>
        <w:autoSpaceDE w:val="0"/>
        <w:autoSpaceDN w:val="0"/>
        <w:bidi w:val="0"/>
        <w:adjustRightInd w:val="0"/>
        <w:snapToGrid w:val="0"/>
        <w:spacing w:before="157" w:beforeLines="50" w:line="40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w:t>
      </w:r>
      <w:r>
        <w:rPr>
          <w:rFonts w:hint="eastAsia" w:ascii="宋体" w:hAnsi="宋体" w:eastAsia="宋体" w:cs="宋体"/>
          <w:color w:val="auto"/>
          <w:sz w:val="22"/>
          <w:szCs w:val="22"/>
          <w:highlight w:val="none"/>
        </w:rPr>
        <w:t>2供应商提交的投标文件报价均采用人民币报价。</w:t>
      </w:r>
    </w:p>
    <w:p w14:paraId="7DDE378C">
      <w:pPr>
        <w:keepNext w:val="0"/>
        <w:keepLines w:val="0"/>
        <w:pageBreakBefore w:val="0"/>
        <w:kinsoku/>
        <w:wordWrap/>
        <w:overflowPunct/>
        <w:topLinePunct w:val="0"/>
        <w:autoSpaceDE w:val="0"/>
        <w:autoSpaceDN w:val="0"/>
        <w:bidi w:val="0"/>
        <w:adjustRightInd w:val="0"/>
        <w:snapToGrid w:val="0"/>
        <w:spacing w:before="157" w:beforeLines="50" w:line="40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w:t>
      </w:r>
      <w:r>
        <w:rPr>
          <w:rFonts w:hint="eastAsia" w:ascii="宋体" w:hAnsi="宋体" w:eastAsia="宋体" w:cs="宋体"/>
          <w:color w:val="auto"/>
          <w:sz w:val="22"/>
          <w:szCs w:val="22"/>
          <w:highlight w:val="none"/>
        </w:rPr>
        <w:t>3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783AA31E">
      <w:pPr>
        <w:keepNext w:val="0"/>
        <w:keepLines w:val="0"/>
        <w:pageBreakBefore w:val="0"/>
        <w:kinsoku/>
        <w:wordWrap/>
        <w:overflowPunct/>
        <w:topLinePunct w:val="0"/>
        <w:autoSpaceDE w:val="0"/>
        <w:autoSpaceDN w:val="0"/>
        <w:bidi w:val="0"/>
        <w:adjustRightInd w:val="0"/>
        <w:snapToGrid w:val="0"/>
        <w:spacing w:before="157" w:beforeLines="50" w:line="40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w:t>
      </w:r>
      <w:r>
        <w:rPr>
          <w:rFonts w:hint="eastAsia" w:ascii="宋体" w:hAnsi="宋体" w:eastAsia="宋体" w:cs="宋体"/>
          <w:color w:val="auto"/>
          <w:sz w:val="22"/>
          <w:szCs w:val="22"/>
          <w:highlight w:val="none"/>
        </w:rPr>
        <w:t>4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88B24A8">
      <w:pPr>
        <w:keepNext w:val="0"/>
        <w:keepLines w:val="0"/>
        <w:pageBreakBefore w:val="0"/>
        <w:kinsoku/>
        <w:wordWrap/>
        <w:overflowPunct/>
        <w:topLinePunct w:val="0"/>
        <w:autoSpaceDE w:val="0"/>
        <w:autoSpaceDN w:val="0"/>
        <w:bidi w:val="0"/>
        <w:adjustRightInd w:val="0"/>
        <w:snapToGrid w:val="0"/>
        <w:spacing w:before="157" w:beforeLines="50" w:line="40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55BDDEE">
      <w:pPr>
        <w:keepNext w:val="0"/>
        <w:keepLines w:val="0"/>
        <w:pageBreakBefore w:val="0"/>
        <w:kinsoku/>
        <w:wordWrap/>
        <w:overflowPunct/>
        <w:topLinePunct w:val="0"/>
        <w:autoSpaceDE w:val="0"/>
        <w:autoSpaceDN w:val="0"/>
        <w:bidi w:val="0"/>
        <w:adjustRightInd w:val="0"/>
        <w:spacing w:before="157" w:beforeLines="50" w:line="400" w:lineRule="exact"/>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2、响应文件的组成</w:t>
      </w:r>
    </w:p>
    <w:p w14:paraId="2D9C9BFB">
      <w:pPr>
        <w:keepNext w:val="0"/>
        <w:keepLines w:val="0"/>
        <w:pageBreakBefore w:val="0"/>
        <w:kinsoku/>
        <w:wordWrap/>
        <w:overflowPunct/>
        <w:topLinePunct w:val="0"/>
        <w:autoSpaceDE w:val="0"/>
        <w:autoSpaceDN w:val="0"/>
        <w:bidi w:val="0"/>
        <w:adjustRightInd w:val="0"/>
        <w:snapToGrid w:val="0"/>
        <w:spacing w:before="157" w:beforeLines="50" w:line="400" w:lineRule="exact"/>
        <w:ind w:firstLine="442" w:firstLineChars="200"/>
        <w:rPr>
          <w:rFonts w:hint="eastAsia" w:ascii="宋体" w:hAnsi="宋体" w:eastAsia="宋体" w:cs="宋体"/>
          <w:b/>
          <w:bCs/>
          <w:color w:val="auto"/>
          <w:sz w:val="22"/>
          <w:szCs w:val="22"/>
          <w:highlight w:val="none"/>
          <w:lang w:val="zh-CN"/>
        </w:rPr>
      </w:pPr>
      <w:bookmarkStart w:id="1" w:name="_Toc132122121"/>
      <w:bookmarkStart w:id="2" w:name="_Toc132126156"/>
      <w:bookmarkStart w:id="3" w:name="_Toc132125097"/>
      <w:bookmarkStart w:id="4" w:name="_Toc132655778"/>
      <w:bookmarkStart w:id="5" w:name="_Toc132123883"/>
      <w:bookmarkStart w:id="6" w:name="_Toc132125576"/>
      <w:bookmarkStart w:id="7" w:name="_Toc132123636"/>
      <w:bookmarkStart w:id="8" w:name="_Toc132123549"/>
      <w:bookmarkStart w:id="9" w:name="_Toc132125153"/>
      <w:bookmarkStart w:id="10" w:name="_Toc132123840"/>
      <w:bookmarkStart w:id="11" w:name="_Toc132124596"/>
      <w:bookmarkStart w:id="12" w:name="_Toc132125985"/>
      <w:bookmarkStart w:id="13" w:name="_Toc132125039"/>
      <w:bookmarkStart w:id="14" w:name="_Toc132122418"/>
      <w:bookmarkStart w:id="15" w:name="_Toc132123441"/>
      <w:bookmarkStart w:id="16" w:name="_Toc493530208"/>
      <w:r>
        <w:rPr>
          <w:rFonts w:hint="eastAsia" w:ascii="宋体" w:hAnsi="宋体" w:eastAsia="宋体" w:cs="宋体"/>
          <w:b/>
          <w:color w:val="auto"/>
          <w:sz w:val="22"/>
          <w:szCs w:val="22"/>
          <w:highlight w:val="none"/>
        </w:rPr>
        <w:t>▲</w:t>
      </w:r>
      <w:r>
        <w:rPr>
          <w:rFonts w:hint="eastAsia" w:ascii="宋体" w:hAnsi="宋体" w:eastAsia="宋体" w:cs="宋体"/>
          <w:b/>
          <w:bCs/>
          <w:color w:val="auto"/>
          <w:sz w:val="22"/>
          <w:szCs w:val="22"/>
          <w:highlight w:val="none"/>
        </w:rPr>
        <w:t>投标文件由《资格文件》、《商务技术文件》、《报价文件》三部分组成。《资格文件》和《商务技术文件》不得含报价，否则投标将被拒绝。</w:t>
      </w:r>
    </w:p>
    <w:p w14:paraId="0389F3AF">
      <w:pPr>
        <w:keepNext w:val="0"/>
        <w:keepLines w:val="0"/>
        <w:pageBreakBefore w:val="0"/>
        <w:kinsoku/>
        <w:wordWrap/>
        <w:overflowPunct/>
        <w:topLinePunct w:val="0"/>
        <w:autoSpaceDE w:val="0"/>
        <w:autoSpaceDN w:val="0"/>
        <w:bidi w:val="0"/>
        <w:adjustRightInd w:val="0"/>
        <w:snapToGrid w:val="0"/>
        <w:spacing w:before="157" w:beforeLines="50" w:line="400" w:lineRule="exact"/>
        <w:ind w:firstLine="440" w:firstLineChars="200"/>
        <w:rPr>
          <w:rFonts w:hint="eastAsia" w:ascii="宋体" w:hAnsi="宋体" w:eastAsia="宋体" w:cs="宋体"/>
          <w:b/>
          <w:bCs/>
          <w:color w:val="auto"/>
          <w:sz w:val="22"/>
          <w:szCs w:val="22"/>
          <w:highlight w:val="none"/>
          <w:lang w:val="zh-CN"/>
        </w:rPr>
      </w:pPr>
      <w:bookmarkStart w:id="17" w:name="_Hlk519085152"/>
      <w:r>
        <w:rPr>
          <w:rFonts w:hint="eastAsia" w:ascii="宋体" w:hAnsi="宋体" w:eastAsia="宋体" w:cs="宋体"/>
          <w:color w:val="auto"/>
          <w:sz w:val="22"/>
          <w:szCs w:val="22"/>
          <w:highlight w:val="none"/>
          <w:lang w:val="zh-CN"/>
        </w:rPr>
        <w:t>2.1</w:t>
      </w:r>
      <w:r>
        <w:rPr>
          <w:rFonts w:hint="eastAsia" w:ascii="宋体" w:hAnsi="宋体" w:eastAsia="宋体" w:cs="宋体"/>
          <w:b/>
          <w:bCs/>
          <w:color w:val="auto"/>
          <w:sz w:val="22"/>
          <w:szCs w:val="22"/>
          <w:highlight w:val="none"/>
        </w:rPr>
        <w:t>《报价文件》</w:t>
      </w:r>
      <w:r>
        <w:rPr>
          <w:rFonts w:hint="eastAsia" w:ascii="宋体" w:hAnsi="宋体" w:eastAsia="宋体" w:cs="宋体"/>
          <w:b/>
          <w:bCs/>
          <w:color w:val="auto"/>
          <w:sz w:val="22"/>
          <w:szCs w:val="22"/>
          <w:highlight w:val="none"/>
          <w:lang w:val="zh-CN"/>
        </w:rPr>
        <w:t>组成</w:t>
      </w:r>
    </w:p>
    <w:tbl>
      <w:tblPr>
        <w:tblStyle w:val="30"/>
        <w:tblW w:w="94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12"/>
      </w:tblGrid>
      <w:tr w14:paraId="071A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34" w:type="dxa"/>
          </w:tcPr>
          <w:p w14:paraId="66915B69">
            <w:pPr>
              <w:autoSpaceDE w:val="0"/>
              <w:autoSpaceDN w:val="0"/>
              <w:adjustRightInd w:val="0"/>
              <w:snapToGrid w:val="0"/>
              <w:spacing w:line="40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序号</w:t>
            </w:r>
          </w:p>
        </w:tc>
        <w:tc>
          <w:tcPr>
            <w:tcW w:w="8312" w:type="dxa"/>
          </w:tcPr>
          <w:p w14:paraId="27383775">
            <w:pPr>
              <w:autoSpaceDE w:val="0"/>
              <w:autoSpaceDN w:val="0"/>
              <w:adjustRightInd w:val="0"/>
              <w:snapToGrid w:val="0"/>
              <w:spacing w:line="40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内容（</w:t>
            </w:r>
            <w:r>
              <w:rPr>
                <w:rFonts w:hint="eastAsia" w:ascii="宋体" w:hAnsi="宋体" w:eastAsia="宋体" w:cs="宋体"/>
                <w:b/>
                <w:bCs/>
                <w:color w:val="auto"/>
                <w:sz w:val="22"/>
                <w:szCs w:val="22"/>
                <w:highlight w:val="none"/>
              </w:rPr>
              <w:t>▲序号项供应商必须提供，否则不能通过符合性审查的，责任自负</w:t>
            </w:r>
            <w:r>
              <w:rPr>
                <w:rFonts w:hint="eastAsia" w:ascii="宋体" w:hAnsi="宋体" w:eastAsia="宋体" w:cs="宋体"/>
                <w:color w:val="auto"/>
                <w:sz w:val="22"/>
                <w:szCs w:val="22"/>
                <w:highlight w:val="none"/>
              </w:rPr>
              <w:t>）</w:t>
            </w:r>
          </w:p>
        </w:tc>
      </w:tr>
      <w:tr w14:paraId="3676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20C62B75">
            <w:pPr>
              <w:autoSpaceDE w:val="0"/>
              <w:autoSpaceDN w:val="0"/>
              <w:adjustRightInd w:val="0"/>
              <w:snapToGrid w:val="0"/>
              <w:spacing w:line="400" w:lineRule="atLeas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312" w:type="dxa"/>
          </w:tcPr>
          <w:p w14:paraId="20533324">
            <w:pPr>
              <w:autoSpaceDE w:val="0"/>
              <w:autoSpaceDN w:val="0"/>
              <w:adjustRightInd w:val="0"/>
              <w:spacing w:line="40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投标报价一览表（见附件一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w:t>
            </w:r>
          </w:p>
        </w:tc>
      </w:tr>
      <w:tr w14:paraId="3F6E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68D2D3E">
            <w:pPr>
              <w:autoSpaceDE w:val="0"/>
              <w:autoSpaceDN w:val="0"/>
              <w:adjustRightInd w:val="0"/>
              <w:snapToGrid w:val="0"/>
              <w:spacing w:line="400" w:lineRule="atLeas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8312" w:type="dxa"/>
          </w:tcPr>
          <w:p w14:paraId="1A195A92">
            <w:pPr>
              <w:autoSpaceDE w:val="0"/>
              <w:autoSpaceDN w:val="0"/>
              <w:adjustRightInd w:val="0"/>
              <w:spacing w:line="400" w:lineRule="atLeast"/>
              <w:textAlignment w:val="bottom"/>
              <w:rPr>
                <w:rFonts w:hint="eastAsia" w:ascii="宋体" w:hAnsi="宋体" w:cs="宋体" w:eastAsiaTheme="minorEastAsia"/>
                <w:color w:val="auto"/>
                <w:sz w:val="22"/>
                <w:szCs w:val="22"/>
                <w:highlight w:val="none"/>
                <w:lang w:val="en-US" w:eastAsia="zh-CN"/>
              </w:rPr>
            </w:pPr>
            <w:r>
              <w:rPr>
                <w:rFonts w:hint="eastAsia" w:ascii="宋体" w:cs="宋体"/>
                <w:color w:val="auto"/>
                <w:sz w:val="22"/>
                <w:highlight w:val="none"/>
              </w:rPr>
              <w:t>投标分项报价表（</w:t>
            </w:r>
            <w:r>
              <w:rPr>
                <w:rFonts w:hint="eastAsia" w:ascii="宋体" w:hAnsi="宋体" w:eastAsia="宋体" w:cs="宋体"/>
                <w:color w:val="auto"/>
                <w:sz w:val="22"/>
                <w:szCs w:val="22"/>
                <w:highlight w:val="none"/>
              </w:rPr>
              <w:t>见附件一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二</w:t>
            </w:r>
            <w:r>
              <w:rPr>
                <w:rFonts w:hint="eastAsia" w:ascii="宋体" w:cs="宋体"/>
                <w:color w:val="auto"/>
                <w:sz w:val="22"/>
                <w:highlight w:val="none"/>
              </w:rPr>
              <w:t>）</w:t>
            </w:r>
            <w:r>
              <w:rPr>
                <w:rFonts w:hint="eastAsia" w:ascii="宋体" w:cs="宋体"/>
                <w:color w:val="auto"/>
                <w:sz w:val="22"/>
                <w:highlight w:val="none"/>
                <w:lang w:val="en-US" w:eastAsia="zh-CN"/>
              </w:rPr>
              <w:t>)</w:t>
            </w:r>
          </w:p>
        </w:tc>
      </w:tr>
    </w:tbl>
    <w:p w14:paraId="48F90FEB">
      <w:pPr>
        <w:autoSpaceDE w:val="0"/>
        <w:autoSpaceDN w:val="0"/>
        <w:adjustRightInd w:val="0"/>
        <w:snapToGrid w:val="0"/>
        <w:spacing w:line="400" w:lineRule="atLeas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b/>
          <w:bCs/>
          <w:color w:val="auto"/>
          <w:sz w:val="22"/>
          <w:szCs w:val="22"/>
          <w:highlight w:val="none"/>
        </w:rPr>
        <w:t>《资格文件》组成</w:t>
      </w:r>
    </w:p>
    <w:tbl>
      <w:tblPr>
        <w:tblStyle w:val="30"/>
        <w:tblW w:w="940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523"/>
      </w:tblGrid>
      <w:tr w14:paraId="4A2D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38223AF5">
            <w:pPr>
              <w:spacing w:line="360" w:lineRule="auto"/>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序号</w:t>
            </w:r>
          </w:p>
        </w:tc>
        <w:tc>
          <w:tcPr>
            <w:tcW w:w="8523" w:type="dxa"/>
            <w:noWrap w:val="0"/>
            <w:vAlign w:val="center"/>
          </w:tcPr>
          <w:p w14:paraId="047A0D87">
            <w:pPr>
              <w:spacing w:line="360" w:lineRule="auto"/>
              <w:jc w:val="both"/>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内容（▲下表所列项供应商必须提供，否则不能通过资格审查的，责任自负）</w:t>
            </w:r>
          </w:p>
        </w:tc>
      </w:tr>
      <w:tr w14:paraId="0FEA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2427B6BE">
            <w:pPr>
              <w:widowControl w:val="0"/>
              <w:numPr>
                <w:ilvl w:val="0"/>
                <w:numId w:val="8"/>
              </w:numPr>
              <w:spacing w:line="360" w:lineRule="auto"/>
              <w:ind w:left="425" w:leftChars="0" w:hanging="425" w:firstLineChars="0"/>
              <w:jc w:val="center"/>
              <w:rPr>
                <w:rFonts w:hint="default" w:ascii="宋体" w:hAnsi="宋体" w:eastAsia="宋体" w:cs="宋体"/>
                <w:b w:val="0"/>
                <w:bCs w:val="0"/>
                <w:color w:val="auto"/>
                <w:sz w:val="22"/>
                <w:szCs w:val="22"/>
                <w:highlight w:val="none"/>
                <w:lang w:val="en-US" w:eastAsia="zh-CN"/>
              </w:rPr>
            </w:pPr>
          </w:p>
        </w:tc>
        <w:tc>
          <w:tcPr>
            <w:tcW w:w="8523" w:type="dxa"/>
            <w:noWrap w:val="0"/>
            <w:vAlign w:val="center"/>
          </w:tcPr>
          <w:p w14:paraId="7FE6E62C">
            <w:pPr>
              <w:spacing w:line="360" w:lineRule="auto"/>
              <w:jc w:val="both"/>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供应商的营业执照、税务登记证（如为多证合一仅需提供营业执照）</w:t>
            </w:r>
          </w:p>
        </w:tc>
      </w:tr>
      <w:tr w14:paraId="1FF2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3BA6D059">
            <w:pPr>
              <w:numPr>
                <w:ilvl w:val="0"/>
                <w:numId w:val="8"/>
              </w:numPr>
              <w:spacing w:line="360" w:lineRule="auto"/>
              <w:ind w:left="425" w:leftChars="0" w:hanging="425" w:firstLineChars="0"/>
              <w:jc w:val="center"/>
              <w:rPr>
                <w:rFonts w:hint="default" w:ascii="宋体" w:hAnsi="宋体" w:eastAsia="宋体" w:cs="宋体"/>
                <w:b w:val="0"/>
                <w:bCs w:val="0"/>
                <w:color w:val="auto"/>
                <w:sz w:val="22"/>
                <w:szCs w:val="22"/>
                <w:highlight w:val="none"/>
                <w:lang w:val="en-US" w:eastAsia="zh-CN"/>
              </w:rPr>
            </w:pPr>
          </w:p>
        </w:tc>
        <w:tc>
          <w:tcPr>
            <w:tcW w:w="8523" w:type="dxa"/>
            <w:noWrap w:val="0"/>
            <w:vAlign w:val="center"/>
          </w:tcPr>
          <w:p w14:paraId="1D9F3D8E">
            <w:pPr>
              <w:spacing w:line="360" w:lineRule="auto"/>
              <w:jc w:val="both"/>
              <w:rPr>
                <w:rFonts w:hint="eastAsia" w:ascii="宋体" w:hAnsi="宋体" w:eastAsia="宋体" w:cs="宋体"/>
                <w:b w:val="0"/>
                <w:bCs w:val="0"/>
                <w:color w:val="auto"/>
                <w:sz w:val="22"/>
                <w:szCs w:val="22"/>
                <w:highlight w:val="none"/>
                <w:lang w:val="zh-CN" w:eastAsia="zh-CN"/>
              </w:rPr>
            </w:pPr>
            <w:r>
              <w:rPr>
                <w:rFonts w:ascii="宋体" w:hAnsi="宋体" w:eastAsia="宋体" w:cs="宋体"/>
                <w:color w:val="auto"/>
                <w:spacing w:val="3"/>
                <w:sz w:val="22"/>
                <w:szCs w:val="22"/>
                <w:highlight w:val="none"/>
              </w:rPr>
              <w:t>具有良好的商业信誉和健全的财务会计制度的承诺函（附件二）</w:t>
            </w:r>
          </w:p>
        </w:tc>
      </w:tr>
      <w:tr w14:paraId="609B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4E0D2183">
            <w:pPr>
              <w:numPr>
                <w:ilvl w:val="0"/>
                <w:numId w:val="8"/>
              </w:numPr>
              <w:spacing w:line="360" w:lineRule="auto"/>
              <w:ind w:left="425" w:leftChars="0" w:hanging="425" w:firstLineChars="0"/>
              <w:jc w:val="center"/>
              <w:rPr>
                <w:rFonts w:hint="default" w:ascii="宋体" w:hAnsi="宋体" w:eastAsia="宋体" w:cs="宋体"/>
                <w:b w:val="0"/>
                <w:bCs w:val="0"/>
                <w:color w:val="auto"/>
                <w:sz w:val="22"/>
                <w:szCs w:val="22"/>
                <w:highlight w:val="none"/>
                <w:lang w:val="en-US" w:eastAsia="zh-CN"/>
              </w:rPr>
            </w:pPr>
          </w:p>
        </w:tc>
        <w:tc>
          <w:tcPr>
            <w:tcW w:w="8523" w:type="dxa"/>
            <w:noWrap w:val="0"/>
            <w:vAlign w:val="center"/>
          </w:tcPr>
          <w:p w14:paraId="30D760F6">
            <w:pPr>
              <w:spacing w:line="360" w:lineRule="auto"/>
              <w:jc w:val="both"/>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符合参加政府采购活动应当具备的一般条件的承诺函（附件三）</w:t>
            </w:r>
          </w:p>
        </w:tc>
      </w:tr>
      <w:tr w14:paraId="0952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35704127">
            <w:pPr>
              <w:numPr>
                <w:ilvl w:val="0"/>
                <w:numId w:val="8"/>
              </w:numPr>
              <w:spacing w:line="360" w:lineRule="auto"/>
              <w:ind w:left="425" w:leftChars="0" w:hanging="425" w:firstLineChars="0"/>
              <w:jc w:val="center"/>
              <w:rPr>
                <w:rFonts w:hint="default" w:ascii="宋体" w:hAnsi="宋体" w:eastAsia="宋体" w:cs="宋体"/>
                <w:b w:val="0"/>
                <w:bCs w:val="0"/>
                <w:color w:val="auto"/>
                <w:sz w:val="22"/>
                <w:szCs w:val="22"/>
                <w:highlight w:val="none"/>
                <w:lang w:val="en-US" w:eastAsia="zh-CN"/>
              </w:rPr>
            </w:pPr>
          </w:p>
        </w:tc>
        <w:tc>
          <w:tcPr>
            <w:tcW w:w="8523" w:type="dxa"/>
            <w:noWrap w:val="0"/>
            <w:vAlign w:val="center"/>
          </w:tcPr>
          <w:p w14:paraId="30C77E61">
            <w:pPr>
              <w:spacing w:line="360" w:lineRule="auto"/>
              <w:jc w:val="both"/>
              <w:rPr>
                <w:rFonts w:hint="eastAsia" w:ascii="宋体" w:hAnsi="宋体" w:eastAsia="宋体" w:cs="宋体"/>
                <w:b w:val="0"/>
                <w:bCs w:val="0"/>
                <w:color w:val="auto"/>
                <w:sz w:val="22"/>
                <w:szCs w:val="22"/>
                <w:highlight w:val="none"/>
                <w:lang w:val="zh-CN" w:eastAsia="zh-CN"/>
              </w:rPr>
            </w:pPr>
            <w:r>
              <w:rPr>
                <w:rFonts w:hint="eastAsia" w:ascii="宋体" w:hAnsi="宋体" w:eastAsia="宋体" w:cs="Courier New"/>
                <w:b w:val="0"/>
                <w:bCs w:val="0"/>
                <w:color w:val="auto"/>
                <w:sz w:val="22"/>
                <w:szCs w:val="22"/>
                <w:highlight w:val="none"/>
              </w:rPr>
              <w:t>具有履行合同所必需的设备和专业技术能力的承诺函</w:t>
            </w:r>
            <w:r>
              <w:rPr>
                <w:rFonts w:hint="eastAsia" w:ascii="宋体" w:hAnsi="宋体" w:eastAsia="宋体" w:cs="宋体"/>
                <w:b w:val="0"/>
                <w:bCs w:val="0"/>
                <w:color w:val="auto"/>
                <w:sz w:val="22"/>
                <w:szCs w:val="22"/>
                <w:highlight w:val="none"/>
                <w:lang w:val="zh-CN" w:eastAsia="zh-CN"/>
              </w:rPr>
              <w:t>（附件</w:t>
            </w:r>
            <w:r>
              <w:rPr>
                <w:rFonts w:hint="eastAsia" w:ascii="宋体" w:hAnsi="宋体" w:eastAsia="宋体" w:cs="宋体"/>
                <w:b w:val="0"/>
                <w:bCs w:val="0"/>
                <w:color w:val="auto"/>
                <w:sz w:val="22"/>
                <w:szCs w:val="22"/>
                <w:highlight w:val="none"/>
                <w:lang w:val="en-US" w:eastAsia="zh-CN"/>
              </w:rPr>
              <w:t>四</w:t>
            </w:r>
            <w:r>
              <w:rPr>
                <w:rFonts w:hint="eastAsia" w:ascii="宋体" w:hAnsi="宋体" w:eastAsia="宋体" w:cs="宋体"/>
                <w:b w:val="0"/>
                <w:bCs w:val="0"/>
                <w:color w:val="auto"/>
                <w:sz w:val="22"/>
                <w:szCs w:val="22"/>
                <w:highlight w:val="none"/>
                <w:lang w:val="zh-CN" w:eastAsia="zh-CN"/>
              </w:rPr>
              <w:t>）</w:t>
            </w:r>
          </w:p>
        </w:tc>
      </w:tr>
      <w:tr w14:paraId="2A99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35A0FCFC">
            <w:pPr>
              <w:numPr>
                <w:ilvl w:val="0"/>
                <w:numId w:val="8"/>
              </w:numPr>
              <w:spacing w:line="360" w:lineRule="auto"/>
              <w:ind w:left="425" w:leftChars="0" w:hanging="425" w:firstLineChars="0"/>
              <w:jc w:val="center"/>
              <w:rPr>
                <w:rFonts w:hint="default" w:ascii="宋体" w:hAnsi="宋体" w:eastAsia="宋体" w:cs="宋体"/>
                <w:b w:val="0"/>
                <w:bCs w:val="0"/>
                <w:color w:val="auto"/>
                <w:sz w:val="22"/>
                <w:szCs w:val="22"/>
                <w:highlight w:val="none"/>
                <w:lang w:val="en-US" w:eastAsia="zh-CN"/>
              </w:rPr>
            </w:pPr>
          </w:p>
        </w:tc>
        <w:tc>
          <w:tcPr>
            <w:tcW w:w="8523" w:type="dxa"/>
            <w:noWrap w:val="0"/>
            <w:vAlign w:val="center"/>
          </w:tcPr>
          <w:p w14:paraId="4B115DB6">
            <w:pPr>
              <w:spacing w:line="360" w:lineRule="auto"/>
              <w:jc w:val="both"/>
              <w:rPr>
                <w:rFonts w:hint="eastAsia" w:ascii="宋体" w:hAnsi="宋体" w:eastAsia="宋体" w:cs="Courier New"/>
                <w:b w:val="0"/>
                <w:bCs w:val="0"/>
                <w:color w:val="auto"/>
                <w:sz w:val="22"/>
                <w:szCs w:val="22"/>
                <w:highlight w:val="none"/>
              </w:rPr>
            </w:pPr>
            <w:r>
              <w:rPr>
                <w:rFonts w:ascii="宋体" w:hAnsi="宋体" w:eastAsia="宋体" w:cs="宋体"/>
                <w:color w:val="auto"/>
                <w:spacing w:val="3"/>
                <w:sz w:val="22"/>
                <w:szCs w:val="22"/>
                <w:highlight w:val="none"/>
              </w:rPr>
              <w:t>有依法缴纳税收和社会保障资金的良好记录的承诺函</w:t>
            </w:r>
            <w:r>
              <w:rPr>
                <w:rFonts w:hint="eastAsia" w:ascii="宋体" w:hAnsi="宋体" w:eastAsia="宋体" w:cs="宋体"/>
                <w:b w:val="0"/>
                <w:bCs w:val="0"/>
                <w:color w:val="auto"/>
                <w:sz w:val="22"/>
                <w:szCs w:val="22"/>
                <w:highlight w:val="none"/>
                <w:lang w:val="zh-CN" w:eastAsia="zh-CN"/>
              </w:rPr>
              <w:t>（附件</w:t>
            </w:r>
            <w:r>
              <w:rPr>
                <w:rFonts w:hint="eastAsia" w:ascii="宋体" w:hAnsi="宋体" w:cs="宋体"/>
                <w:b w:val="0"/>
                <w:bCs w:val="0"/>
                <w:color w:val="auto"/>
                <w:sz w:val="22"/>
                <w:szCs w:val="22"/>
                <w:highlight w:val="none"/>
                <w:lang w:val="en-US" w:eastAsia="zh-CN"/>
              </w:rPr>
              <w:t>五</w:t>
            </w:r>
            <w:r>
              <w:rPr>
                <w:rFonts w:hint="eastAsia" w:ascii="宋体" w:hAnsi="宋体" w:eastAsia="宋体" w:cs="宋体"/>
                <w:b w:val="0"/>
                <w:bCs w:val="0"/>
                <w:color w:val="auto"/>
                <w:sz w:val="22"/>
                <w:szCs w:val="22"/>
                <w:highlight w:val="none"/>
                <w:lang w:val="zh-CN" w:eastAsia="zh-CN"/>
              </w:rPr>
              <w:t>）</w:t>
            </w:r>
          </w:p>
        </w:tc>
      </w:tr>
      <w:tr w14:paraId="1314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70D4FF98">
            <w:pPr>
              <w:numPr>
                <w:ilvl w:val="0"/>
                <w:numId w:val="8"/>
              </w:numPr>
              <w:spacing w:line="360" w:lineRule="auto"/>
              <w:ind w:left="425" w:leftChars="0" w:hanging="425" w:firstLineChars="0"/>
              <w:jc w:val="center"/>
              <w:rPr>
                <w:rFonts w:hint="default" w:ascii="宋体" w:hAnsi="宋体" w:eastAsia="宋体" w:cs="宋体"/>
                <w:b w:val="0"/>
                <w:bCs w:val="0"/>
                <w:color w:val="auto"/>
                <w:sz w:val="22"/>
                <w:szCs w:val="22"/>
                <w:highlight w:val="none"/>
                <w:lang w:val="en-US" w:eastAsia="zh-CN"/>
              </w:rPr>
            </w:pPr>
          </w:p>
        </w:tc>
        <w:tc>
          <w:tcPr>
            <w:tcW w:w="8523" w:type="dxa"/>
            <w:noWrap w:val="0"/>
            <w:vAlign w:val="center"/>
          </w:tcPr>
          <w:p w14:paraId="19499BB5">
            <w:pPr>
              <w:spacing w:line="360" w:lineRule="auto"/>
              <w:jc w:val="both"/>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zh-CN"/>
              </w:rPr>
              <w:t>参加政府采购活动前3年内在经营活动中没有重大违法记录的声明函（</w:t>
            </w:r>
            <w:r>
              <w:rPr>
                <w:rFonts w:hint="eastAsia" w:ascii="宋体" w:hAnsi="宋体" w:eastAsia="宋体" w:cs="宋体"/>
                <w:b w:val="0"/>
                <w:bCs w:val="0"/>
                <w:color w:val="auto"/>
                <w:sz w:val="22"/>
                <w:szCs w:val="22"/>
                <w:highlight w:val="none"/>
                <w:lang w:val="en-US" w:eastAsia="zh-CN"/>
              </w:rPr>
              <w:t>附件</w:t>
            </w:r>
            <w:r>
              <w:rPr>
                <w:rFonts w:hint="eastAsia" w:ascii="宋体" w:hAnsi="宋体" w:cs="宋体"/>
                <w:b w:val="0"/>
                <w:bCs w:val="0"/>
                <w:color w:val="auto"/>
                <w:sz w:val="22"/>
                <w:szCs w:val="22"/>
                <w:highlight w:val="none"/>
                <w:lang w:val="en-US" w:eastAsia="zh-CN"/>
              </w:rPr>
              <w:t>六</w:t>
            </w:r>
            <w:r>
              <w:rPr>
                <w:rFonts w:hint="eastAsia" w:ascii="宋体" w:hAnsi="宋体" w:eastAsia="宋体" w:cs="宋体"/>
                <w:b w:val="0"/>
                <w:bCs w:val="0"/>
                <w:color w:val="auto"/>
                <w:sz w:val="22"/>
                <w:szCs w:val="22"/>
                <w:highlight w:val="none"/>
                <w:lang w:val="en-US" w:eastAsia="zh-CN"/>
              </w:rPr>
              <w:t>）</w:t>
            </w:r>
          </w:p>
        </w:tc>
      </w:tr>
      <w:tr w14:paraId="185E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4A113DBA">
            <w:pPr>
              <w:numPr>
                <w:ilvl w:val="0"/>
                <w:numId w:val="8"/>
              </w:numPr>
              <w:spacing w:line="360" w:lineRule="auto"/>
              <w:ind w:left="425" w:leftChars="0" w:hanging="425" w:firstLineChars="0"/>
              <w:jc w:val="center"/>
              <w:rPr>
                <w:rFonts w:hint="default" w:ascii="宋体" w:hAnsi="宋体" w:eastAsia="宋体" w:cs="宋体"/>
                <w:b w:val="0"/>
                <w:bCs w:val="0"/>
                <w:color w:val="auto"/>
                <w:sz w:val="22"/>
                <w:szCs w:val="22"/>
                <w:highlight w:val="none"/>
                <w:lang w:val="en-US" w:eastAsia="zh-CN"/>
              </w:rPr>
            </w:pPr>
          </w:p>
        </w:tc>
        <w:tc>
          <w:tcPr>
            <w:tcW w:w="8523" w:type="dxa"/>
            <w:noWrap w:val="0"/>
            <w:vAlign w:val="center"/>
          </w:tcPr>
          <w:p w14:paraId="4DD6D942">
            <w:pPr>
              <w:spacing w:line="360" w:lineRule="auto"/>
              <w:jc w:val="both"/>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法定代表人授权书（附件</w:t>
            </w:r>
            <w:r>
              <w:rPr>
                <w:rFonts w:hint="eastAsia" w:ascii="宋体" w:hAnsi="宋体" w:cs="宋体"/>
                <w:b w:val="0"/>
                <w:bCs w:val="0"/>
                <w:color w:val="auto"/>
                <w:sz w:val="22"/>
                <w:szCs w:val="22"/>
                <w:highlight w:val="none"/>
                <w:lang w:val="en-US" w:eastAsia="zh-CN"/>
              </w:rPr>
              <w:t>七</w:t>
            </w:r>
            <w:r>
              <w:rPr>
                <w:rFonts w:hint="eastAsia" w:ascii="宋体" w:hAnsi="宋体" w:eastAsia="宋体" w:cs="宋体"/>
                <w:b w:val="0"/>
                <w:bCs w:val="0"/>
                <w:color w:val="auto"/>
                <w:sz w:val="22"/>
                <w:szCs w:val="22"/>
                <w:highlight w:val="none"/>
                <w:lang w:val="zh-CN" w:eastAsia="zh-CN"/>
              </w:rPr>
              <w:t>），如法定代表人直接作为授权代表无需此项。</w:t>
            </w:r>
          </w:p>
        </w:tc>
      </w:tr>
      <w:tr w14:paraId="021D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82" w:type="dxa"/>
            <w:noWrap w:val="0"/>
            <w:vAlign w:val="center"/>
          </w:tcPr>
          <w:p w14:paraId="2024A59D">
            <w:pPr>
              <w:numPr>
                <w:ilvl w:val="0"/>
                <w:numId w:val="8"/>
              </w:numPr>
              <w:spacing w:line="360" w:lineRule="auto"/>
              <w:ind w:left="425" w:leftChars="0" w:hanging="425" w:firstLineChars="0"/>
              <w:jc w:val="center"/>
              <w:rPr>
                <w:rFonts w:hint="default" w:ascii="宋体" w:hAnsi="宋体" w:eastAsia="宋体" w:cs="宋体"/>
                <w:b w:val="0"/>
                <w:bCs w:val="0"/>
                <w:color w:val="auto"/>
                <w:sz w:val="22"/>
                <w:szCs w:val="22"/>
                <w:highlight w:val="none"/>
                <w:lang w:val="en-US" w:eastAsia="zh-CN"/>
              </w:rPr>
            </w:pPr>
          </w:p>
        </w:tc>
        <w:tc>
          <w:tcPr>
            <w:tcW w:w="8523" w:type="dxa"/>
            <w:noWrap w:val="0"/>
            <w:vAlign w:val="center"/>
          </w:tcPr>
          <w:p w14:paraId="5AFC0690">
            <w:pPr>
              <w:spacing w:line="240" w:lineRule="auto"/>
              <w:jc w:val="both"/>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供应商“信用中国”(www.creditchina.gov.cn)；“中国政府采购网”（http://www.ccgp.gov.cn/）信用记录网页截图（招标公告发布之日至投标截止时间前均可）</w:t>
            </w:r>
          </w:p>
        </w:tc>
      </w:tr>
      <w:tr w14:paraId="4BC4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882" w:type="dxa"/>
            <w:noWrap w:val="0"/>
            <w:vAlign w:val="center"/>
          </w:tcPr>
          <w:p w14:paraId="07AE4BBD">
            <w:pPr>
              <w:numPr>
                <w:ilvl w:val="0"/>
                <w:numId w:val="8"/>
              </w:numPr>
              <w:spacing w:line="360" w:lineRule="auto"/>
              <w:ind w:left="425" w:leftChars="0" w:hanging="425" w:firstLineChars="0"/>
              <w:jc w:val="center"/>
              <w:rPr>
                <w:rFonts w:hint="default" w:ascii="宋体" w:hAnsi="宋体" w:eastAsia="宋体" w:cs="宋体"/>
                <w:b w:val="0"/>
                <w:bCs w:val="0"/>
                <w:color w:val="auto"/>
                <w:sz w:val="22"/>
                <w:szCs w:val="22"/>
                <w:highlight w:val="none"/>
                <w:lang w:val="en-US" w:eastAsia="zh-CN"/>
              </w:rPr>
            </w:pPr>
          </w:p>
        </w:tc>
        <w:tc>
          <w:tcPr>
            <w:tcW w:w="8523" w:type="dxa"/>
            <w:noWrap w:val="0"/>
            <w:vAlign w:val="center"/>
          </w:tcPr>
          <w:p w14:paraId="6F0EB586">
            <w:pPr>
              <w:spacing w:line="240" w:lineRule="auto"/>
              <w:jc w:val="both"/>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中小企业</w:t>
            </w:r>
            <w:r>
              <w:rPr>
                <w:rFonts w:hint="eastAsia" w:ascii="宋体" w:hAnsi="宋体" w:eastAsia="宋体" w:cs="宋体"/>
                <w:b w:val="0"/>
                <w:bCs w:val="0"/>
                <w:color w:val="auto"/>
                <w:sz w:val="22"/>
                <w:szCs w:val="22"/>
                <w:highlight w:val="none"/>
                <w:lang w:val="en-US" w:eastAsia="zh-CN"/>
              </w:rPr>
              <w:t>相关的</w:t>
            </w:r>
            <w:r>
              <w:rPr>
                <w:rFonts w:hint="eastAsia" w:ascii="宋体" w:hAnsi="宋体" w:eastAsia="宋体" w:cs="宋体"/>
                <w:b w:val="0"/>
                <w:bCs w:val="0"/>
                <w:color w:val="auto"/>
                <w:sz w:val="22"/>
                <w:szCs w:val="22"/>
                <w:highlight w:val="none"/>
                <w:lang w:val="zh-CN" w:eastAsia="zh-CN"/>
              </w:rPr>
              <w:t>证明材料，</w:t>
            </w:r>
            <w:r>
              <w:rPr>
                <w:rFonts w:hint="eastAsia" w:ascii="宋体" w:hAnsi="宋体" w:eastAsia="宋体" w:cs="宋体"/>
                <w:b w:val="0"/>
                <w:bCs w:val="0"/>
                <w:color w:val="auto"/>
                <w:sz w:val="22"/>
                <w:szCs w:val="22"/>
                <w:highlight w:val="none"/>
                <w:lang w:val="en-US" w:eastAsia="zh-CN"/>
              </w:rPr>
              <w:t>证明材料满足下列之一即可</w:t>
            </w:r>
            <w:r>
              <w:rPr>
                <w:rFonts w:hint="eastAsia" w:ascii="宋体" w:hAnsi="宋体" w:eastAsia="宋体" w:cs="宋体"/>
                <w:b w:val="0"/>
                <w:bCs w:val="0"/>
                <w:color w:val="auto"/>
                <w:sz w:val="22"/>
                <w:szCs w:val="22"/>
                <w:highlight w:val="none"/>
                <w:lang w:val="zh-CN" w:eastAsia="zh-CN"/>
              </w:rPr>
              <w:t>：</w:t>
            </w:r>
          </w:p>
          <w:p w14:paraId="685303BD">
            <w:pPr>
              <w:spacing w:line="240" w:lineRule="auto"/>
              <w:jc w:val="both"/>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（1）中小企业：中小企业声明函（原件，加盖供应商公章，格式见招标文件第四部分附件1）</w:t>
            </w:r>
          </w:p>
          <w:p w14:paraId="65203427">
            <w:pPr>
              <w:spacing w:line="240" w:lineRule="auto"/>
              <w:jc w:val="both"/>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（2）残疾人福利性单位：残疾人福利性单位声明函（原件，加盖供应商公章，格式见招标文件第四部分附件2）</w:t>
            </w:r>
          </w:p>
          <w:p w14:paraId="0E9DF73D">
            <w:pPr>
              <w:spacing w:line="240" w:lineRule="auto"/>
              <w:jc w:val="both"/>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（3）监狱企业：提供由省级以上监狱管理局、戒毒管理局（含新疆生产建设兵团）出具的属于监狱企业的证明文件（原件）</w:t>
            </w:r>
          </w:p>
          <w:p w14:paraId="2A00894E">
            <w:pPr>
              <w:spacing w:line="240" w:lineRule="auto"/>
              <w:jc w:val="both"/>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zh-CN" w:eastAsia="zh-CN"/>
              </w:rPr>
              <w:t>扶持政策说明：残疾人福利性单位、监狱企业参加投标视同小微企业。</w:t>
            </w:r>
          </w:p>
        </w:tc>
      </w:tr>
    </w:tbl>
    <w:p w14:paraId="7624AD67">
      <w:pPr>
        <w:autoSpaceDE w:val="0"/>
        <w:autoSpaceDN w:val="0"/>
        <w:adjustRightInd w:val="0"/>
        <w:snapToGrid w:val="0"/>
        <w:spacing w:line="400" w:lineRule="atLeas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r>
        <w:rPr>
          <w:rFonts w:hint="eastAsia" w:ascii="宋体" w:hAnsi="宋体" w:eastAsia="宋体" w:cs="宋体"/>
          <w:b/>
          <w:bCs/>
          <w:color w:val="auto"/>
          <w:sz w:val="22"/>
          <w:szCs w:val="22"/>
          <w:highlight w:val="none"/>
        </w:rPr>
        <w:t>《商务技术文件》组成</w:t>
      </w:r>
    </w:p>
    <w:bookmarkEnd w:id="17"/>
    <w:tbl>
      <w:tblPr>
        <w:tblStyle w:val="30"/>
        <w:tblW w:w="4899" w:type="pc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8596"/>
      </w:tblGrid>
      <w:tr w14:paraId="04C4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tcBorders>
              <w:top w:val="single" w:color="auto" w:sz="4" w:space="0"/>
              <w:left w:val="single" w:color="auto" w:sz="4" w:space="0"/>
              <w:bottom w:val="single" w:color="auto" w:sz="4" w:space="0"/>
              <w:right w:val="single" w:color="auto" w:sz="4" w:space="0"/>
            </w:tcBorders>
          </w:tcPr>
          <w:p w14:paraId="66D48344">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技术部分</w:t>
            </w:r>
            <w:r>
              <w:rPr>
                <w:rFonts w:hint="eastAsia" w:ascii="宋体" w:hAnsi="宋体" w:eastAsia="宋体" w:cs="宋体"/>
                <w:b/>
                <w:bCs/>
                <w:color w:val="auto"/>
                <w:sz w:val="22"/>
                <w:szCs w:val="22"/>
                <w:highlight w:val="none"/>
              </w:rPr>
              <w:t>（▲序号1-5项供应商必须提供，否则不能通过符合性审查的，责任自负）</w:t>
            </w:r>
          </w:p>
        </w:tc>
      </w:tr>
      <w:tr w14:paraId="185B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tcBorders>
              <w:top w:val="single" w:color="auto" w:sz="4" w:space="0"/>
              <w:left w:val="single" w:color="auto" w:sz="4" w:space="0"/>
              <w:bottom w:val="single" w:color="auto" w:sz="4" w:space="0"/>
              <w:right w:val="single" w:color="auto" w:sz="4" w:space="0"/>
            </w:tcBorders>
          </w:tcPr>
          <w:p w14:paraId="2B5B8CE4">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4555" w:type="pct"/>
            <w:tcBorders>
              <w:top w:val="single" w:color="auto" w:sz="4" w:space="0"/>
              <w:left w:val="nil"/>
              <w:bottom w:val="single" w:color="auto" w:sz="4" w:space="0"/>
              <w:right w:val="single" w:color="auto" w:sz="4" w:space="0"/>
            </w:tcBorders>
            <w:vAlign w:val="center"/>
          </w:tcPr>
          <w:p w14:paraId="6C687AAB">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w:t>
            </w:r>
            <w:r>
              <w:rPr>
                <w:rFonts w:hint="eastAsia" w:ascii="宋体" w:hAnsi="宋体" w:eastAsia="宋体" w:cs="宋体"/>
                <w:color w:val="auto"/>
                <w:sz w:val="22"/>
                <w:szCs w:val="22"/>
                <w:highlight w:val="none"/>
                <w:lang w:val="en-US" w:eastAsia="zh-CN"/>
              </w:rPr>
              <w:t>八</w:t>
            </w:r>
            <w:r>
              <w:rPr>
                <w:rFonts w:hint="eastAsia" w:ascii="宋体" w:hAnsi="宋体" w:eastAsia="宋体" w:cs="宋体"/>
                <w:color w:val="auto"/>
                <w:sz w:val="22"/>
                <w:szCs w:val="22"/>
                <w:highlight w:val="none"/>
              </w:rPr>
              <w:t>）</w:t>
            </w:r>
          </w:p>
        </w:tc>
      </w:tr>
      <w:tr w14:paraId="5C9A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tcBorders>
              <w:top w:val="single" w:color="auto" w:sz="4" w:space="0"/>
              <w:left w:val="single" w:color="auto" w:sz="4" w:space="0"/>
              <w:bottom w:val="single" w:color="auto" w:sz="4" w:space="0"/>
              <w:right w:val="single" w:color="auto" w:sz="4" w:space="0"/>
            </w:tcBorders>
          </w:tcPr>
          <w:p w14:paraId="638818BE">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4555" w:type="pct"/>
            <w:tcBorders>
              <w:top w:val="single" w:color="auto" w:sz="4" w:space="0"/>
              <w:left w:val="nil"/>
              <w:bottom w:val="single" w:color="auto" w:sz="4" w:space="0"/>
              <w:right w:val="single" w:color="auto" w:sz="4" w:space="0"/>
            </w:tcBorders>
          </w:tcPr>
          <w:p w14:paraId="076EBFC1">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供应商参与政府采购活动投标资格声明（见附件</w:t>
            </w:r>
            <w:r>
              <w:rPr>
                <w:rFonts w:hint="eastAsia" w:ascii="宋体" w:hAnsi="宋体" w:eastAsia="宋体" w:cs="宋体"/>
                <w:color w:val="auto"/>
                <w:sz w:val="22"/>
                <w:szCs w:val="22"/>
                <w:highlight w:val="none"/>
                <w:lang w:val="en-US" w:eastAsia="zh-CN"/>
              </w:rPr>
              <w:t>九</w:t>
            </w:r>
            <w:r>
              <w:rPr>
                <w:rFonts w:hint="eastAsia" w:ascii="宋体" w:hAnsi="宋体" w:eastAsia="宋体" w:cs="宋体"/>
                <w:color w:val="auto"/>
                <w:sz w:val="22"/>
                <w:szCs w:val="22"/>
                <w:highlight w:val="none"/>
              </w:rPr>
              <w:t>）</w:t>
            </w:r>
          </w:p>
        </w:tc>
      </w:tr>
      <w:tr w14:paraId="1CA0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tcBorders>
              <w:top w:val="single" w:color="auto" w:sz="4" w:space="0"/>
              <w:left w:val="single" w:color="auto" w:sz="4" w:space="0"/>
              <w:bottom w:val="single" w:color="auto" w:sz="4" w:space="0"/>
              <w:right w:val="single" w:color="auto" w:sz="4" w:space="0"/>
            </w:tcBorders>
          </w:tcPr>
          <w:p w14:paraId="4D93C394">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4555" w:type="pct"/>
            <w:tcBorders>
              <w:top w:val="single" w:color="auto" w:sz="4" w:space="0"/>
              <w:left w:val="nil"/>
              <w:bottom w:val="single" w:color="auto" w:sz="4" w:space="0"/>
              <w:right w:val="single" w:color="auto" w:sz="4" w:space="0"/>
            </w:tcBorders>
          </w:tcPr>
          <w:p w14:paraId="0E34E816">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w:t>
            </w:r>
            <w:r>
              <w:rPr>
                <w:rFonts w:hint="eastAsia" w:ascii="宋体" w:hAnsi="宋体" w:eastAsia="宋体" w:cs="宋体"/>
                <w:color w:val="auto"/>
                <w:sz w:val="22"/>
                <w:szCs w:val="22"/>
                <w:highlight w:val="none"/>
                <w:lang w:val="en-US" w:eastAsia="zh-CN"/>
              </w:rPr>
              <w:t>十</w:t>
            </w:r>
            <w:r>
              <w:rPr>
                <w:rFonts w:hint="eastAsia" w:ascii="宋体" w:hAnsi="宋体" w:eastAsia="宋体" w:cs="宋体"/>
                <w:color w:val="auto"/>
                <w:sz w:val="22"/>
                <w:szCs w:val="22"/>
                <w:highlight w:val="none"/>
              </w:rPr>
              <w:t>）</w:t>
            </w:r>
          </w:p>
        </w:tc>
      </w:tr>
      <w:tr w14:paraId="79EF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tcBorders>
              <w:top w:val="single" w:color="auto" w:sz="4" w:space="0"/>
              <w:left w:val="single" w:color="auto" w:sz="4" w:space="0"/>
              <w:bottom w:val="single" w:color="auto" w:sz="4" w:space="0"/>
              <w:right w:val="single" w:color="auto" w:sz="4" w:space="0"/>
            </w:tcBorders>
          </w:tcPr>
          <w:p w14:paraId="53BF4D41">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4555" w:type="pct"/>
            <w:tcBorders>
              <w:top w:val="single" w:color="auto" w:sz="4" w:space="0"/>
              <w:left w:val="nil"/>
              <w:bottom w:val="single" w:color="auto" w:sz="4" w:space="0"/>
              <w:right w:val="single" w:color="auto" w:sz="4" w:space="0"/>
            </w:tcBorders>
            <w:vAlign w:val="center"/>
          </w:tcPr>
          <w:p w14:paraId="24534CF2">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（一））、技术偏离表（见附件十</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（二））（如有偏离须明确列出，如不存在偏离则填写无）</w:t>
            </w:r>
          </w:p>
        </w:tc>
      </w:tr>
      <w:tr w14:paraId="7422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tcBorders>
              <w:top w:val="single" w:color="auto" w:sz="4" w:space="0"/>
              <w:left w:val="single" w:color="auto" w:sz="4" w:space="0"/>
              <w:bottom w:val="single" w:color="auto" w:sz="4" w:space="0"/>
              <w:right w:val="single" w:color="auto" w:sz="4" w:space="0"/>
            </w:tcBorders>
          </w:tcPr>
          <w:p w14:paraId="7E27A5B8">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4555" w:type="pct"/>
            <w:tcBorders>
              <w:top w:val="single" w:color="auto" w:sz="4" w:space="0"/>
              <w:left w:val="nil"/>
              <w:bottom w:val="single" w:color="auto" w:sz="4" w:space="0"/>
              <w:right w:val="single" w:color="auto" w:sz="4" w:space="0"/>
            </w:tcBorders>
            <w:vAlign w:val="center"/>
          </w:tcPr>
          <w:p w14:paraId="3CA4DA68">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服务期所需工具</w:t>
            </w:r>
            <w:r>
              <w:rPr>
                <w:rFonts w:hint="eastAsia" w:ascii="宋体" w:hAnsi="宋体" w:eastAsia="宋体" w:cs="宋体"/>
                <w:color w:val="auto"/>
                <w:sz w:val="22"/>
                <w:szCs w:val="22"/>
                <w:highlight w:val="none"/>
              </w:rPr>
              <w:t>配置清单</w:t>
            </w:r>
            <w:r>
              <w:rPr>
                <w:rFonts w:hint="eastAsia" w:ascii="宋体" w:hAnsi="宋体" w:eastAsia="宋体" w:cs="宋体"/>
                <w:color w:val="auto"/>
                <w:sz w:val="22"/>
                <w:szCs w:val="22"/>
                <w:highlight w:val="none"/>
                <w:lang w:eastAsia="zh-CN"/>
              </w:rPr>
              <w:t>（含车辆）</w:t>
            </w:r>
          </w:p>
        </w:tc>
      </w:tr>
      <w:tr w14:paraId="6B2C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tcBorders>
              <w:top w:val="single" w:color="auto" w:sz="4" w:space="0"/>
              <w:left w:val="single" w:color="auto" w:sz="4" w:space="0"/>
              <w:bottom w:val="single" w:color="auto" w:sz="4" w:space="0"/>
              <w:right w:val="single" w:color="auto" w:sz="4" w:space="0"/>
            </w:tcBorders>
          </w:tcPr>
          <w:p w14:paraId="2268F4BB">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4555" w:type="pct"/>
            <w:tcBorders>
              <w:top w:val="single" w:color="auto" w:sz="4" w:space="0"/>
              <w:left w:val="nil"/>
              <w:bottom w:val="single" w:color="auto" w:sz="4" w:space="0"/>
              <w:right w:val="single" w:color="auto" w:sz="4" w:space="0"/>
            </w:tcBorders>
            <w:vAlign w:val="center"/>
          </w:tcPr>
          <w:p w14:paraId="3263CEDD">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zh-CN" w:eastAsia="zh-CN"/>
              </w:rPr>
              <w:t>技术服务方案（针对本次项目提供的详细技术服务方案）</w:t>
            </w:r>
          </w:p>
        </w:tc>
      </w:tr>
      <w:tr w14:paraId="7520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tcBorders>
              <w:top w:val="single" w:color="auto" w:sz="4" w:space="0"/>
              <w:left w:val="single" w:color="auto" w:sz="4" w:space="0"/>
              <w:bottom w:val="single" w:color="auto" w:sz="4" w:space="0"/>
              <w:right w:val="single" w:color="auto" w:sz="4" w:space="0"/>
            </w:tcBorders>
          </w:tcPr>
          <w:p w14:paraId="0C97D3AF">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4555" w:type="pct"/>
            <w:tcBorders>
              <w:top w:val="single" w:color="auto" w:sz="4" w:space="0"/>
              <w:left w:val="nil"/>
              <w:bottom w:val="single" w:color="auto" w:sz="4" w:space="0"/>
              <w:right w:val="single" w:color="auto" w:sz="4" w:space="0"/>
            </w:tcBorders>
            <w:vAlign w:val="center"/>
          </w:tcPr>
          <w:p w14:paraId="7F4951C2">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zh-CN" w:eastAsia="zh-CN"/>
              </w:rPr>
              <w:t>供应商项目服务人员汇总表（附件</w:t>
            </w:r>
            <w:r>
              <w:rPr>
                <w:rFonts w:hint="eastAsia" w:ascii="宋体" w:hAnsi="宋体" w:eastAsia="宋体" w:cs="宋体"/>
                <w:b w:val="0"/>
                <w:bCs w:val="0"/>
                <w:color w:val="auto"/>
                <w:sz w:val="22"/>
                <w:szCs w:val="22"/>
                <w:highlight w:val="none"/>
                <w:lang w:val="en-US" w:eastAsia="zh-CN"/>
              </w:rPr>
              <w:t>十二</w:t>
            </w:r>
            <w:r>
              <w:rPr>
                <w:rFonts w:hint="eastAsia" w:ascii="宋体" w:hAnsi="宋体" w:eastAsia="宋体" w:cs="宋体"/>
                <w:b w:val="0"/>
                <w:bCs w:val="0"/>
                <w:color w:val="auto"/>
                <w:sz w:val="22"/>
                <w:szCs w:val="22"/>
                <w:highlight w:val="none"/>
                <w:lang w:val="zh-CN" w:eastAsia="zh-CN"/>
              </w:rPr>
              <w:t>）</w:t>
            </w:r>
          </w:p>
        </w:tc>
      </w:tr>
      <w:tr w14:paraId="0AB8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tcBorders>
              <w:top w:val="single" w:color="auto" w:sz="4" w:space="0"/>
              <w:left w:val="single" w:color="auto" w:sz="4" w:space="0"/>
              <w:bottom w:val="single" w:color="auto" w:sz="4" w:space="0"/>
              <w:right w:val="single" w:color="auto" w:sz="4" w:space="0"/>
            </w:tcBorders>
          </w:tcPr>
          <w:p w14:paraId="743E0524">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4555" w:type="pct"/>
            <w:tcBorders>
              <w:top w:val="single" w:color="auto" w:sz="4" w:space="0"/>
              <w:left w:val="nil"/>
              <w:bottom w:val="single" w:color="auto" w:sz="4" w:space="0"/>
              <w:right w:val="single" w:color="auto" w:sz="4" w:space="0"/>
            </w:tcBorders>
            <w:vAlign w:val="center"/>
          </w:tcPr>
          <w:p w14:paraId="3D3FC21E">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zh-CN" w:eastAsia="zh-CN"/>
              </w:rPr>
              <w:t>供应商项目业绩清单（如有则提供）（附件十</w:t>
            </w:r>
            <w:r>
              <w:rPr>
                <w:rFonts w:hint="eastAsia" w:ascii="宋体" w:hAnsi="宋体" w:eastAsia="宋体" w:cs="宋体"/>
                <w:b w:val="0"/>
                <w:bCs w:val="0"/>
                <w:color w:val="auto"/>
                <w:sz w:val="22"/>
                <w:szCs w:val="22"/>
                <w:highlight w:val="none"/>
                <w:lang w:val="en-US" w:eastAsia="zh-CN"/>
              </w:rPr>
              <w:t>三</w:t>
            </w:r>
            <w:r>
              <w:rPr>
                <w:rFonts w:hint="eastAsia" w:ascii="宋体" w:hAnsi="宋体" w:eastAsia="宋体" w:cs="宋体"/>
                <w:b w:val="0"/>
                <w:bCs w:val="0"/>
                <w:color w:val="auto"/>
                <w:sz w:val="22"/>
                <w:szCs w:val="22"/>
                <w:highlight w:val="none"/>
                <w:lang w:val="zh-CN" w:eastAsia="zh-CN"/>
              </w:rPr>
              <w:t>）</w:t>
            </w:r>
          </w:p>
        </w:tc>
      </w:tr>
      <w:tr w14:paraId="3A8D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tcBorders>
              <w:top w:val="single" w:color="auto" w:sz="4" w:space="0"/>
              <w:left w:val="single" w:color="auto" w:sz="4" w:space="0"/>
              <w:bottom w:val="single" w:color="auto" w:sz="4" w:space="0"/>
              <w:right w:val="single" w:color="auto" w:sz="4" w:space="0"/>
            </w:tcBorders>
          </w:tcPr>
          <w:p w14:paraId="06FAA72E">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4555" w:type="pct"/>
            <w:tcBorders>
              <w:top w:val="single" w:color="auto" w:sz="4" w:space="0"/>
              <w:left w:val="nil"/>
              <w:bottom w:val="single" w:color="auto" w:sz="4" w:space="0"/>
              <w:right w:val="single" w:color="auto" w:sz="4" w:space="0"/>
            </w:tcBorders>
            <w:vAlign w:val="center"/>
          </w:tcPr>
          <w:p w14:paraId="473F0E1F">
            <w:pPr>
              <w:autoSpaceDE w:val="0"/>
              <w:autoSpaceDN w:val="0"/>
              <w:adjustRightInd w:val="0"/>
              <w:snapToGrid w:val="0"/>
              <w:spacing w:line="400" w:lineRule="atLeast"/>
              <w:rPr>
                <w:rFonts w:ascii="宋体" w:hAnsi="宋体" w:eastAsia="宋体" w:cs="宋体"/>
                <w:b/>
                <w:bCs/>
                <w:color w:val="auto"/>
                <w:spacing w:val="1"/>
                <w:sz w:val="22"/>
                <w:szCs w:val="22"/>
                <w:highlight w:val="none"/>
              </w:rPr>
            </w:pPr>
            <w:r>
              <w:rPr>
                <w:rFonts w:hint="eastAsia" w:ascii="宋体" w:hAnsi="宋体" w:eastAsia="宋体" w:cs="宋体"/>
                <w:color w:val="auto"/>
                <w:sz w:val="22"/>
                <w:szCs w:val="22"/>
                <w:highlight w:val="none"/>
              </w:rPr>
              <w:t>其它供应商须说明的资料（如有则提供）</w:t>
            </w:r>
          </w:p>
        </w:tc>
      </w:tr>
      <w:tr w14:paraId="2FD9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tcBorders>
              <w:top w:val="single" w:color="auto" w:sz="4" w:space="0"/>
              <w:left w:val="single" w:color="auto" w:sz="4" w:space="0"/>
              <w:bottom w:val="single" w:color="auto" w:sz="4" w:space="0"/>
              <w:right w:val="single" w:color="auto" w:sz="4" w:space="0"/>
            </w:tcBorders>
          </w:tcPr>
          <w:p w14:paraId="245C927B">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4555" w:type="pct"/>
            <w:tcBorders>
              <w:top w:val="single" w:color="auto" w:sz="4" w:space="0"/>
              <w:left w:val="nil"/>
              <w:bottom w:val="single" w:color="auto" w:sz="4" w:space="0"/>
              <w:right w:val="single" w:color="auto" w:sz="4" w:space="0"/>
            </w:tcBorders>
            <w:vAlign w:val="center"/>
          </w:tcPr>
          <w:p w14:paraId="0E804655">
            <w:pPr>
              <w:autoSpaceDE w:val="0"/>
              <w:autoSpaceDN w:val="0"/>
              <w:adjustRightInd w:val="0"/>
              <w:snapToGrid w:val="0"/>
              <w:spacing w:line="400" w:lineRule="atLeast"/>
              <w:rPr>
                <w:rFonts w:hint="eastAsia" w:ascii="宋体" w:hAnsi="宋体" w:eastAsia="宋体" w:cs="宋体"/>
                <w:color w:val="auto"/>
                <w:sz w:val="22"/>
                <w:szCs w:val="22"/>
                <w:highlight w:val="none"/>
                <w:lang w:eastAsia="zh-CN"/>
              </w:rPr>
            </w:pPr>
            <w:r>
              <w:rPr>
                <w:rFonts w:ascii="宋体" w:hAnsi="宋体" w:eastAsia="宋体" w:cs="宋体"/>
                <w:b/>
                <w:bCs/>
                <w:color w:val="auto"/>
                <w:spacing w:val="1"/>
                <w:sz w:val="22"/>
                <w:szCs w:val="22"/>
                <w:highlight w:val="none"/>
              </w:rPr>
              <w:t>政府采购活动现场确认声明书（附件十</w:t>
            </w:r>
            <w:r>
              <w:rPr>
                <w:rFonts w:hint="eastAsia" w:ascii="宋体" w:hAnsi="宋体" w:eastAsia="宋体" w:cs="宋体"/>
                <w:b/>
                <w:bCs/>
                <w:color w:val="auto"/>
                <w:spacing w:val="1"/>
                <w:sz w:val="22"/>
                <w:szCs w:val="22"/>
                <w:highlight w:val="none"/>
                <w:lang w:val="en-US" w:eastAsia="zh-CN"/>
              </w:rPr>
              <w:t>四</w:t>
            </w:r>
            <w:r>
              <w:rPr>
                <w:rFonts w:ascii="宋体" w:hAnsi="宋体" w:eastAsia="宋体" w:cs="宋体"/>
                <w:b/>
                <w:bCs/>
                <w:color w:val="auto"/>
                <w:spacing w:val="1"/>
                <w:sz w:val="22"/>
                <w:szCs w:val="22"/>
                <w:highlight w:val="none"/>
              </w:rPr>
              <w:t>）</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54A80251">
      <w:pPr>
        <w:pStyle w:val="16"/>
        <w:adjustRightInd w:val="0"/>
        <w:snapToGrid w:val="0"/>
        <w:spacing w:line="400" w:lineRule="exact"/>
        <w:ind w:firstLine="433" w:firstLineChars="197"/>
        <w:rPr>
          <w:rFonts w:hAnsi="宋体"/>
          <w:bCs/>
          <w:color w:val="auto"/>
          <w:sz w:val="22"/>
          <w:highlight w:val="none"/>
        </w:rPr>
      </w:pPr>
      <w:r>
        <w:rPr>
          <w:rFonts w:hint="eastAsia" w:hAnsi="宋体"/>
          <w:bCs/>
          <w:color w:val="auto"/>
          <w:sz w:val="22"/>
          <w:highlight w:val="none"/>
        </w:rPr>
        <w:t>评标结束后，竞争性磋商评审小组按照竞争性磋商文件确定的评标办法推荐成交供应商。</w:t>
      </w:r>
    </w:p>
    <w:p w14:paraId="790E6A2E">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2</w:t>
      </w:r>
      <w:r>
        <w:rPr>
          <w:rFonts w:hint="eastAsia" w:hAnsi="宋体"/>
          <w:bCs/>
          <w:color w:val="auto"/>
          <w:sz w:val="22"/>
          <w:highlight w:val="none"/>
        </w:rPr>
        <w:t>、成交通知书</w:t>
      </w:r>
    </w:p>
    <w:p w14:paraId="361647D5">
      <w:pPr>
        <w:pStyle w:val="16"/>
        <w:adjustRightInd w:val="0"/>
        <w:snapToGrid w:val="0"/>
        <w:spacing w:line="400" w:lineRule="exact"/>
        <w:ind w:firstLine="433" w:firstLineChars="197"/>
        <w:rPr>
          <w:rFonts w:hAnsi="宋体"/>
          <w:b/>
          <w:bCs/>
          <w:color w:val="auto"/>
          <w:sz w:val="22"/>
          <w:highlight w:val="none"/>
        </w:rPr>
      </w:pPr>
      <w:bookmarkStart w:id="18" w:name="_Toc764_WPSOffice_Level3"/>
      <w:r>
        <w:rPr>
          <w:rFonts w:hAnsi="宋体"/>
          <w:color w:val="auto"/>
          <w:sz w:val="22"/>
          <w:highlight w:val="none"/>
        </w:rPr>
        <w:t>2</w:t>
      </w:r>
      <w:r>
        <w:rPr>
          <w:rFonts w:hint="eastAsia" w:hAnsi="宋体"/>
          <w:color w:val="auto"/>
          <w:sz w:val="22"/>
          <w:highlight w:val="none"/>
        </w:rPr>
        <w:t>.</w:t>
      </w:r>
      <w:bookmarkEnd w:id="18"/>
      <w:r>
        <w:rPr>
          <w:rFonts w:hint="eastAsia" w:hAnsi="宋体"/>
          <w:color w:val="auto"/>
          <w:sz w:val="22"/>
          <w:highlight w:val="none"/>
        </w:rPr>
        <w:t>中标（成交）通知书</w:t>
      </w:r>
    </w:p>
    <w:p w14:paraId="4741256C">
      <w:pPr>
        <w:spacing w:line="400" w:lineRule="exact"/>
        <w:ind w:firstLine="433" w:firstLineChars="197"/>
        <w:rPr>
          <w:rFonts w:ascii="宋体"/>
          <w:color w:val="auto"/>
          <w:sz w:val="22"/>
          <w:highlight w:val="none"/>
        </w:rPr>
      </w:pPr>
      <w:r>
        <w:rPr>
          <w:rFonts w:ascii="宋体" w:hAnsi="宋体"/>
          <w:color w:val="auto"/>
          <w:sz w:val="22"/>
          <w:highlight w:val="none"/>
        </w:rPr>
        <w:t>2.1</w:t>
      </w:r>
      <w:r>
        <w:rPr>
          <w:rFonts w:hint="eastAsia" w:ascii="宋体" w:hAnsi="宋体"/>
          <w:color w:val="auto"/>
          <w:sz w:val="22"/>
          <w:highlight w:val="none"/>
        </w:rPr>
        <w:t>采购单位依法确认中标（成交）供应商后，代理机构在浙江省政府采购网上公示中标（成交）供应商名单，公示期限为</w:t>
      </w:r>
      <w:r>
        <w:rPr>
          <w:rFonts w:ascii="宋体" w:hAnsi="宋体"/>
          <w:color w:val="auto"/>
          <w:sz w:val="22"/>
          <w:highlight w:val="none"/>
        </w:rPr>
        <w:t>1</w:t>
      </w:r>
      <w:r>
        <w:rPr>
          <w:rFonts w:hint="eastAsia" w:ascii="宋体" w:hAnsi="宋体"/>
          <w:color w:val="auto"/>
          <w:sz w:val="22"/>
          <w:highlight w:val="none"/>
        </w:rPr>
        <w:t>个工作日。同时向中标（成交）供应商发出中标（成交）通知书。</w:t>
      </w:r>
    </w:p>
    <w:p w14:paraId="686FA94B">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2.2</w:t>
      </w:r>
      <w:r>
        <w:rPr>
          <w:rFonts w:hint="eastAsia" w:ascii="宋体" w:hAnsi="宋体"/>
          <w:color w:val="auto"/>
          <w:sz w:val="22"/>
          <w:highlight w:val="none"/>
        </w:rPr>
        <w:t>中标（成交）通知书对采购单位和中标（成交）供应商具有法律约束力。中标（成交）通知书发出后，采购单位改变中标结果或者中标（成交）供应商放弃中标的，应当承担法律责任。</w:t>
      </w:r>
    </w:p>
    <w:p w14:paraId="20494706">
      <w:pPr>
        <w:adjustRightInd w:val="0"/>
        <w:snapToGrid w:val="0"/>
        <w:spacing w:line="400" w:lineRule="exact"/>
        <w:ind w:firstLine="433" w:firstLineChars="197"/>
        <w:rPr>
          <w:rFonts w:ascii="宋体"/>
          <w:color w:val="auto"/>
          <w:sz w:val="22"/>
          <w:highlight w:val="none"/>
        </w:rPr>
      </w:pPr>
      <w:r>
        <w:rPr>
          <w:rFonts w:hint="eastAsia" w:ascii="宋体" w:hAnsi="宋体"/>
          <w:color w:val="auto"/>
          <w:sz w:val="22"/>
          <w:highlight w:val="none"/>
        </w:rPr>
        <w:t>3、成交无效</w:t>
      </w:r>
    </w:p>
    <w:p w14:paraId="7C9AA3AC">
      <w:pPr>
        <w:adjustRightInd w:val="0"/>
        <w:snapToGrid w:val="0"/>
        <w:spacing w:line="400" w:lineRule="exact"/>
        <w:ind w:firstLine="433" w:firstLineChars="197"/>
        <w:rPr>
          <w:rFonts w:ascii="宋体" w:hAnsi="宋体"/>
          <w:color w:val="auto"/>
          <w:sz w:val="22"/>
          <w:highlight w:val="none"/>
        </w:rPr>
      </w:pPr>
      <w:r>
        <w:rPr>
          <w:rFonts w:hint="eastAsia" w:ascii="宋体" w:hAnsi="宋体"/>
          <w:color w:val="auto"/>
          <w:sz w:val="22"/>
          <w:highlight w:val="none"/>
        </w:rPr>
        <w:t>3.1发现中标（成交）供应商资格无效或中标（成交）供应商放弃成交或拒绝与采购单位签订合同的,按相关法律进行处理，原则上重新开展政府采购活动。</w:t>
      </w:r>
    </w:p>
    <w:p w14:paraId="5D4D2B56">
      <w:pPr>
        <w:adjustRightInd w:val="0"/>
        <w:snapToGrid w:val="0"/>
        <w:spacing w:line="400" w:lineRule="exact"/>
        <w:ind w:firstLine="433" w:firstLineChars="197"/>
        <w:rPr>
          <w:rFonts w:ascii="宋体"/>
          <w:color w:val="auto"/>
          <w:sz w:val="22"/>
          <w:highlight w:val="none"/>
        </w:rPr>
      </w:pPr>
      <w:r>
        <w:rPr>
          <w:rFonts w:hint="eastAsia" w:ascii="宋体" w:hAnsi="宋体"/>
          <w:color w:val="auto"/>
          <w:sz w:val="22"/>
          <w:highlight w:val="none"/>
        </w:rPr>
        <w:t>3.2有《中华人民共和国政府采购法实施条例》第七十一条、第七十二条、第七十三条、第七十四条规定的违法行为之一，由政府采购监管部门依法处理。</w:t>
      </w:r>
    </w:p>
    <w:p w14:paraId="4A447F89">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4</w:t>
      </w:r>
      <w:r>
        <w:rPr>
          <w:rFonts w:hint="eastAsia" w:hAnsi="宋体"/>
          <w:bCs/>
          <w:color w:val="auto"/>
          <w:sz w:val="22"/>
          <w:highlight w:val="none"/>
        </w:rPr>
        <w:t>、签订合同</w:t>
      </w:r>
    </w:p>
    <w:p w14:paraId="7F6F512C">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4.1</w:t>
      </w:r>
      <w:r>
        <w:rPr>
          <w:rFonts w:hint="eastAsia" w:ascii="宋体" w:hAnsi="宋体"/>
          <w:color w:val="auto"/>
          <w:sz w:val="22"/>
          <w:highlight w:val="none"/>
        </w:rPr>
        <w:t>成交供应商须主动联系采购单位或采购机构领取成交通知书。成交供应商应当在成交通知书发出之日起</w:t>
      </w:r>
      <w:r>
        <w:rPr>
          <w:rFonts w:ascii="宋体" w:hAnsi="宋体"/>
          <w:color w:val="auto"/>
          <w:sz w:val="22"/>
          <w:highlight w:val="none"/>
        </w:rPr>
        <w:t>30</w:t>
      </w:r>
      <w:r>
        <w:rPr>
          <w:rFonts w:hint="eastAsia" w:ascii="宋体" w:hAnsi="宋体"/>
          <w:color w:val="auto"/>
          <w:sz w:val="22"/>
          <w:highlight w:val="none"/>
        </w:rPr>
        <w:t>日内与采购单位签订合同。成交供应商未经采购单位许可，在规定时间内未到采购单位处与采购单位签订合同，则视为拒签合同。</w:t>
      </w:r>
    </w:p>
    <w:p w14:paraId="4C30FAF3">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4.2</w:t>
      </w:r>
      <w:r>
        <w:rPr>
          <w:rFonts w:hint="eastAsia" w:ascii="宋体" w:hAnsi="宋体"/>
          <w:color w:val="auto"/>
          <w:sz w:val="22"/>
          <w:highlight w:val="none"/>
        </w:rPr>
        <w:t>竞争性磋商文件、成交供应商的响应文件及投标修改文件、评标过程中有关澄清文件及经双方签字的询标纪要（承诺）和成交通知书均作为合同附件。</w:t>
      </w:r>
    </w:p>
    <w:p w14:paraId="0D392F9D">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4.3</w:t>
      </w:r>
      <w:r>
        <w:rPr>
          <w:rFonts w:hint="eastAsia" w:ascii="宋体" w:hAnsi="宋体"/>
          <w:color w:val="auto"/>
          <w:sz w:val="22"/>
          <w:highlight w:val="none"/>
        </w:rPr>
        <w:t>拒签合同的责任</w:t>
      </w:r>
    </w:p>
    <w:p w14:paraId="44A32255">
      <w:pPr>
        <w:pStyle w:val="16"/>
        <w:adjustRightInd w:val="0"/>
        <w:snapToGrid w:val="0"/>
        <w:spacing w:line="400" w:lineRule="exact"/>
        <w:ind w:firstLine="433" w:firstLineChars="197"/>
        <w:rPr>
          <w:rFonts w:hAnsi="宋体"/>
          <w:bCs/>
          <w:color w:val="auto"/>
          <w:sz w:val="22"/>
          <w:highlight w:val="none"/>
        </w:rPr>
      </w:pPr>
      <w:r>
        <w:rPr>
          <w:rFonts w:hint="eastAsia" w:hAnsi="宋体"/>
          <w:bCs/>
          <w:color w:val="auto"/>
          <w:sz w:val="22"/>
          <w:highlight w:val="none"/>
        </w:rPr>
        <w:t>成交供应商在规定时间内（</w:t>
      </w:r>
      <w:r>
        <w:rPr>
          <w:rFonts w:hAnsi="宋体"/>
          <w:bCs/>
          <w:color w:val="auto"/>
          <w:sz w:val="22"/>
          <w:highlight w:val="none"/>
        </w:rPr>
        <w:t>30</w:t>
      </w:r>
      <w:r>
        <w:rPr>
          <w:rFonts w:hint="eastAsia" w:hAnsi="宋体"/>
          <w:bCs/>
          <w:color w:val="auto"/>
          <w:sz w:val="22"/>
          <w:highlight w:val="none"/>
        </w:rPr>
        <w:t>日历天）借故否认已经承诺的条件、拒签合同，以违约处理，并赔偿采购单位由此造成的直接经济损失；采购单位重新组织采购的，所需费用由原成交供应商承担。</w:t>
      </w:r>
    </w:p>
    <w:p w14:paraId="1DA3F68B">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5</w:t>
      </w:r>
      <w:r>
        <w:rPr>
          <w:rFonts w:hint="eastAsia" w:hAnsi="宋体"/>
          <w:bCs/>
          <w:color w:val="auto"/>
          <w:sz w:val="22"/>
          <w:highlight w:val="none"/>
        </w:rPr>
        <w:t>、履约保证金</w:t>
      </w:r>
    </w:p>
    <w:p w14:paraId="1875DBE7">
      <w:pPr>
        <w:pStyle w:val="16"/>
        <w:adjustRightInd w:val="0"/>
        <w:spacing w:line="400" w:lineRule="exact"/>
        <w:ind w:firstLine="450"/>
        <w:rPr>
          <w:rFonts w:hint="eastAsia" w:ascii="宋体" w:eastAsiaTheme="minorEastAsia"/>
          <w:color w:val="auto"/>
          <w:sz w:val="22"/>
          <w:highlight w:val="none"/>
          <w:lang w:eastAsia="zh-CN"/>
        </w:rPr>
      </w:pPr>
      <w:r>
        <w:rPr>
          <w:rFonts w:hint="eastAsia"/>
          <w:color w:val="auto"/>
          <w:sz w:val="22"/>
          <w:highlight w:val="none"/>
          <w:lang w:eastAsia="zh-CN"/>
        </w:rPr>
        <w:t>合同签订后5个工作日内成交供应商应提供合同总金额1%的履约保证金至采购单位指定账户，供应商以银行、保险公司出具保函形式提交履约保证金的，采购人不得拒收。</w:t>
      </w:r>
    </w:p>
    <w:p w14:paraId="2B55490C">
      <w:pPr>
        <w:pStyle w:val="16"/>
        <w:adjustRightInd w:val="0"/>
        <w:spacing w:line="400" w:lineRule="exact"/>
        <w:ind w:firstLine="450"/>
        <w:rPr>
          <w:rFonts w:hAnsi="宋体" w:cs="Arial"/>
          <w:bCs/>
          <w:color w:val="auto"/>
          <w:sz w:val="22"/>
          <w:highlight w:val="none"/>
        </w:rPr>
      </w:pPr>
      <w:r>
        <w:rPr>
          <w:rFonts w:hAnsi="宋体" w:cs="Arial"/>
          <w:bCs/>
          <w:color w:val="auto"/>
          <w:sz w:val="22"/>
          <w:highlight w:val="none"/>
        </w:rPr>
        <w:t>6</w:t>
      </w:r>
      <w:r>
        <w:rPr>
          <w:rFonts w:hint="eastAsia" w:hAnsi="宋体" w:cs="Arial"/>
          <w:bCs/>
          <w:color w:val="auto"/>
          <w:sz w:val="22"/>
          <w:highlight w:val="none"/>
        </w:rPr>
        <w:t>、招标代理服务咨询费</w:t>
      </w:r>
    </w:p>
    <w:p w14:paraId="0AFF8FE5">
      <w:pPr>
        <w:spacing w:line="400" w:lineRule="exact"/>
        <w:ind w:firstLine="444" w:firstLineChars="200"/>
        <w:rPr>
          <w:rFonts w:ascii="宋体" w:hAnsi="宋体" w:cs="宋体"/>
          <w:color w:val="auto"/>
          <w:sz w:val="22"/>
          <w:highlight w:val="none"/>
        </w:rPr>
      </w:pPr>
      <w:r>
        <w:rPr>
          <w:color w:val="auto"/>
          <w:spacing w:val="1"/>
          <w:sz w:val="22"/>
          <w:szCs w:val="22"/>
          <w:highlight w:val="none"/>
        </w:rPr>
        <w:t>本项目向中标供应商收取招标代理服务费，参照《国家计委关于印发&lt;招标代理服务收</w:t>
      </w:r>
      <w:r>
        <w:rPr>
          <w:color w:val="auto"/>
          <w:spacing w:val="4"/>
          <w:sz w:val="22"/>
          <w:szCs w:val="22"/>
          <w:highlight w:val="none"/>
        </w:rPr>
        <w:t>费管理暂行办法&gt;的通知》（计价格[2002]1980号）</w:t>
      </w:r>
      <w:r>
        <w:rPr>
          <w:rFonts w:hint="eastAsia"/>
          <w:color w:val="auto"/>
          <w:spacing w:val="4"/>
          <w:sz w:val="22"/>
          <w:szCs w:val="22"/>
          <w:highlight w:val="none"/>
          <w:lang w:val="en-US" w:eastAsia="zh-CN"/>
        </w:rPr>
        <w:t>服务类</w:t>
      </w:r>
      <w:r>
        <w:rPr>
          <w:color w:val="auto"/>
          <w:spacing w:val="4"/>
          <w:sz w:val="22"/>
          <w:szCs w:val="22"/>
          <w:highlight w:val="none"/>
        </w:rPr>
        <w:t>收取。招标代理费汇入账号以招标代理机构</w:t>
      </w:r>
      <w:r>
        <w:rPr>
          <w:color w:val="auto"/>
          <w:spacing w:val="1"/>
          <w:sz w:val="22"/>
          <w:szCs w:val="22"/>
          <w:highlight w:val="none"/>
        </w:rPr>
        <w:t>提供的为准</w:t>
      </w:r>
    </w:p>
    <w:p w14:paraId="0EDB343A">
      <w:pPr>
        <w:adjustRightInd w:val="0"/>
        <w:snapToGrid w:val="0"/>
        <w:spacing w:line="400" w:lineRule="exact"/>
        <w:jc w:val="left"/>
        <w:rPr>
          <w:rFonts w:ascii="宋体" w:hAnsi="宋体" w:cs="宋体"/>
          <w:b/>
          <w:bCs/>
          <w:color w:val="auto"/>
          <w:sz w:val="22"/>
          <w:highlight w:val="none"/>
        </w:rPr>
      </w:pPr>
      <w:r>
        <w:rPr>
          <w:rFonts w:hint="eastAsia" w:ascii="宋体" w:hAnsi="宋体" w:cs="宋体"/>
          <w:b/>
          <w:bCs/>
          <w:color w:val="auto"/>
          <w:sz w:val="22"/>
          <w:highlight w:val="none"/>
        </w:rPr>
        <w:t>七、投诉质疑</w:t>
      </w:r>
    </w:p>
    <w:p w14:paraId="6FAF3D2E">
      <w:pPr>
        <w:pStyle w:val="72"/>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1B803664">
      <w:pPr>
        <w:pStyle w:val="72"/>
        <w:spacing w:before="0" w:line="400" w:lineRule="exact"/>
        <w:ind w:firstLine="442"/>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49A6B90D">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680E5BED">
      <w:pPr>
        <w:pStyle w:val="72"/>
        <w:spacing w:before="0" w:line="400" w:lineRule="exact"/>
        <w:ind w:firstLine="442"/>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57CDD3EE">
      <w:pPr>
        <w:pStyle w:val="16"/>
        <w:spacing w:line="400" w:lineRule="exact"/>
        <w:ind w:firstLine="420"/>
        <w:rPr>
          <w:rFonts w:hAnsi="宋体" w:cs="宋体"/>
          <w:color w:val="auto"/>
          <w:sz w:val="22"/>
          <w:szCs w:val="22"/>
          <w:highlight w:val="none"/>
          <w:lang w:val="zh-CN"/>
        </w:rPr>
      </w:pPr>
      <w:r>
        <w:rPr>
          <w:rFonts w:hint="eastAsia" w:hAnsi="宋体"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color w:val="auto"/>
          <w:sz w:val="22"/>
          <w:szCs w:val="22"/>
          <w:highlight w:val="none"/>
          <w:lang w:val="zh-CN"/>
        </w:rPr>
        <w:t>否则，不予受理：</w:t>
      </w:r>
    </w:p>
    <w:p w14:paraId="665E1AD0">
      <w:pPr>
        <w:pStyle w:val="16"/>
        <w:spacing w:line="400" w:lineRule="exact"/>
        <w:ind w:firstLine="420"/>
        <w:rPr>
          <w:rFonts w:hAnsi="宋体" w:cs="宋体"/>
          <w:color w:val="auto"/>
          <w:sz w:val="22"/>
          <w:szCs w:val="22"/>
          <w:highlight w:val="none"/>
        </w:rPr>
      </w:pPr>
      <w:r>
        <w:rPr>
          <w:rFonts w:hint="eastAsia" w:hAnsi="宋体" w:cs="宋体"/>
          <w:color w:val="auto"/>
          <w:sz w:val="22"/>
          <w:szCs w:val="22"/>
          <w:highlight w:val="none"/>
        </w:rPr>
        <w:t>（1）供应商如认为招标公告信息使自身的合法权益受到损害的，应于自招标公告发布之日起七个工作内以书面形式向招标代理机构提出质疑；</w:t>
      </w:r>
    </w:p>
    <w:p w14:paraId="280BA18E">
      <w:pPr>
        <w:pStyle w:val="16"/>
        <w:spacing w:line="400" w:lineRule="exact"/>
        <w:rPr>
          <w:rFonts w:hAnsi="宋体" w:cs="宋体"/>
          <w:color w:val="auto"/>
          <w:sz w:val="22"/>
          <w:szCs w:val="22"/>
          <w:highlight w:val="none"/>
        </w:rPr>
      </w:pPr>
      <w:r>
        <w:rPr>
          <w:rFonts w:hint="eastAsia" w:hAnsi="宋体" w:cs="宋体"/>
          <w:color w:val="auto"/>
          <w:sz w:val="22"/>
          <w:szCs w:val="22"/>
          <w:highlight w:val="none"/>
        </w:rPr>
        <w:t>（2）</w:t>
      </w:r>
      <w:r>
        <w:rPr>
          <w:rFonts w:hint="eastAsia" w:hAnsi="宋体" w:cs="宋体"/>
          <w:color w:val="auto"/>
          <w:sz w:val="22"/>
          <w:szCs w:val="22"/>
          <w:highlight w:val="none"/>
          <w:lang w:val="zh-CN"/>
        </w:rPr>
        <w:t>对竞争性磋商文件提出质疑的，质疑期限为供应商获得竞争性磋商文件之日或者竞争性磋商文件公告期限届满之日起计算。</w:t>
      </w:r>
    </w:p>
    <w:p w14:paraId="614A2894">
      <w:pPr>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（3）</w:t>
      </w:r>
      <w:r>
        <w:rPr>
          <w:rFonts w:hint="eastAsia" w:ascii="宋体" w:hAnsi="宋体" w:cs="宋体"/>
          <w:color w:val="auto"/>
          <w:kern w:val="0"/>
          <w:sz w:val="22"/>
          <w:highlight w:val="none"/>
          <w:lang w:val="zh-CN"/>
        </w:rPr>
        <w:t>对采购过程提出质疑的，质疑期限为各采购程序环节结束之日起计算。</w:t>
      </w:r>
    </w:p>
    <w:p w14:paraId="04CFF013">
      <w:pPr>
        <w:pStyle w:val="16"/>
        <w:spacing w:line="400" w:lineRule="exact"/>
        <w:rPr>
          <w:rFonts w:hAnsi="宋体" w:cs="宋体"/>
          <w:color w:val="auto"/>
          <w:sz w:val="22"/>
          <w:szCs w:val="22"/>
          <w:highlight w:val="none"/>
        </w:rPr>
      </w:pPr>
      <w:r>
        <w:rPr>
          <w:rFonts w:hint="eastAsia" w:hAnsi="宋体" w:cs="宋体"/>
          <w:color w:val="auto"/>
          <w:sz w:val="22"/>
          <w:szCs w:val="22"/>
          <w:highlight w:val="none"/>
          <w:lang w:val="zh-CN"/>
        </w:rPr>
        <w:t>（4）对采购结果提出质疑的，质疑期限自采购结果公告（包括公示、预公告、结果变更公告等）期限届满之日起计算。</w:t>
      </w:r>
    </w:p>
    <w:p w14:paraId="1F2674C0">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225D8DB0">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2005D6FF">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3E66EE98">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17659B05">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5DF273F5">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626A01E9">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34B08EF6">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71BA3FE7">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2.3采购单位、采购代理机构应当在收到供应商的书面质疑后七个工作日内作出答复，并以书面形式通知质疑供应商和其他有关供应商，但答复的内容不得涉及商业秘密。</w:t>
      </w:r>
    </w:p>
    <w:p w14:paraId="191D48DB">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路径为：浙江政府服务网-政府采购投诉处理-在线办理。注意：需在线质疑后才可在线投诉，并电话告知相关采购人、代理机构、财政部门。</w:t>
      </w:r>
    </w:p>
    <w:p w14:paraId="6C26E19B">
      <w:pPr>
        <w:pStyle w:val="72"/>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5FB7FBA3">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63169161">
      <w:pPr>
        <w:pStyle w:val="16"/>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3.2质疑供应商对采购单位、采购代理机构的答复不满意或者采购单位、采购代理机构未在规定的时间内作出答复的，可以在答复期满后十五个工作日内向同级财政部门提出投诉。</w:t>
      </w:r>
    </w:p>
    <w:p w14:paraId="2213A4AC">
      <w:pPr>
        <w:pStyle w:val="29"/>
        <w:ind w:firstLine="400"/>
        <w:rPr>
          <w:color w:val="auto"/>
          <w:highlight w:val="none"/>
        </w:rPr>
      </w:pPr>
      <w:r>
        <w:rPr>
          <w:rFonts w:hint="eastAsia"/>
          <w:color w:val="auto"/>
          <w:highlight w:val="none"/>
        </w:rPr>
        <w:t>质疑函范本：</w:t>
      </w:r>
      <w:r>
        <w:rPr>
          <w:rFonts w:hint="eastAsia"/>
          <w:color w:val="auto"/>
          <w:highlight w:val="none"/>
          <w:lang w:val="en-US" w:eastAsia="zh-CN"/>
        </w:rPr>
        <w:t xml:space="preserve">    </w:t>
      </w:r>
      <w:r>
        <w:rPr>
          <w:rFonts w:hint="eastAsia"/>
          <w:color w:val="auto"/>
          <w:highlight w:val="none"/>
        </w:rPr>
        <w:t>投诉书范本：</w:t>
      </w:r>
    </w:p>
    <w:p w14:paraId="5BB2020C">
      <w:pPr>
        <w:pStyle w:val="29"/>
        <w:ind w:firstLine="400"/>
        <w:rPr>
          <w:color w:val="auto"/>
          <w:highlight w:val="none"/>
        </w:rPr>
      </w:pPr>
      <w:r>
        <w:rPr>
          <w:color w:val="auto"/>
          <w:highlight w:val="none"/>
        </w:rPr>
        <w:drawing>
          <wp:inline distT="0" distB="0" distL="114300" distR="114300">
            <wp:extent cx="922020" cy="82677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cstate="print"/>
                    <a:stretch>
                      <a:fillRect/>
                    </a:stretch>
                  </pic:blipFill>
                  <pic:spPr>
                    <a:xfrm>
                      <a:off x="0" y="0"/>
                      <a:ext cx="922020" cy="826770"/>
                    </a:xfrm>
                    <a:prstGeom prst="rect">
                      <a:avLst/>
                    </a:prstGeom>
                    <a:noFill/>
                    <a:ln>
                      <a:noFill/>
                    </a:ln>
                  </pic:spPr>
                </pic:pic>
              </a:graphicData>
            </a:graphic>
          </wp:inline>
        </w:drawing>
      </w:r>
      <w:r>
        <w:rPr>
          <w:rFonts w:hint="eastAsia"/>
          <w:color w:val="auto"/>
          <w:highlight w:val="none"/>
        </w:rPr>
        <w:object>
          <v:shape id="_x0000_i1025" o:spt="75" type="#_x0000_t75" style="height:65.4pt;width:72.6pt;" o:ole="t" filled="f" o:preferrelative="t" stroked="f" coordsize="21600,21600">
            <v:path/>
            <v:fill on="f" focussize="0,0"/>
            <v:stroke on="f" joinstyle="miter"/>
            <v:imagedata r:id="rId15" o:title=""/>
            <o:lock v:ext="edit" aspectratio="t"/>
            <w10:wrap type="none"/>
            <w10:anchorlock/>
          </v:shape>
          <o:OLEObject Type="Embed" ProgID="Word.Document.8" ShapeID="_x0000_i1025" DrawAspect="Icon" ObjectID="_1468075725" r:id="rId14">
            <o:LockedField>false</o:LockedField>
          </o:OLEObject>
        </w:object>
      </w:r>
    </w:p>
    <w:p w14:paraId="6B7BCAE3">
      <w:pPr>
        <w:rPr>
          <w:rFonts w:ascii="宋体"/>
          <w:color w:val="auto"/>
          <w:sz w:val="36"/>
          <w:szCs w:val="36"/>
          <w:highlight w:val="none"/>
          <w:lang w:val="zh-CN"/>
        </w:rPr>
      </w:pPr>
      <w:bookmarkStart w:id="19" w:name="_Toc221423622"/>
      <w:bookmarkStart w:id="20" w:name="_Toc245191317"/>
      <w:bookmarkStart w:id="21" w:name="_Toc246261268"/>
      <w:bookmarkStart w:id="22" w:name="_Toc241404205"/>
      <w:bookmarkStart w:id="23" w:name="_Toc221356954"/>
      <w:bookmarkStart w:id="24" w:name="_Toc239145357"/>
      <w:bookmarkStart w:id="25" w:name="_Toc262105506"/>
      <w:bookmarkStart w:id="26" w:name="_Toc222114882"/>
      <w:bookmarkStart w:id="27" w:name="_Toc262049421"/>
      <w:bookmarkStart w:id="28" w:name="_Toc221356890"/>
      <w:bookmarkStart w:id="29" w:name="_Toc434501364"/>
      <w:bookmarkStart w:id="30" w:name="_Toc249758715"/>
      <w:bookmarkStart w:id="31" w:name="_Toc223716001"/>
      <w:bookmarkStart w:id="32" w:name="_Toc245722284"/>
      <w:bookmarkStart w:id="33" w:name="_Toc221374629"/>
      <w:bookmarkStart w:id="34" w:name="_Toc249758867"/>
      <w:r>
        <w:rPr>
          <w:rFonts w:hint="eastAsia" w:cs="宋体"/>
          <w:color w:val="auto"/>
          <w:sz w:val="22"/>
          <w:highlight w:val="none"/>
        </w:rPr>
        <w:br w:type="page"/>
      </w:r>
    </w:p>
    <w:p w14:paraId="5E8C0023">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ind w:left="0" w:right="0"/>
        <w:jc w:val="center"/>
        <w:outlineLvl w:val="0"/>
        <w:rPr>
          <w:rFonts w:hint="eastAsia" w:ascii="宋体" w:hAnsi="Times New Roman" w:eastAsia="宋体" w:cs="Times New Roman"/>
          <w:b/>
          <w:bCs/>
          <w:color w:val="auto"/>
          <w:sz w:val="32"/>
          <w:szCs w:val="32"/>
          <w:highlight w:val="none"/>
          <w:lang w:val="zh-CN" w:eastAsia="zh-CN"/>
        </w:rPr>
      </w:pPr>
      <w:r>
        <w:rPr>
          <w:rFonts w:hint="eastAsia" w:ascii="宋体" w:hAnsi="Times New Roman" w:eastAsia="宋体" w:cs="Times New Roman"/>
          <w:b/>
          <w:bCs/>
          <w:color w:val="auto"/>
          <w:sz w:val="32"/>
          <w:szCs w:val="32"/>
          <w:highlight w:val="none"/>
          <w:lang w:val="zh-CN" w:eastAsia="zh-CN"/>
        </w:rPr>
        <w:t>第四部分</w:t>
      </w:r>
      <w:r>
        <w:rPr>
          <w:rFonts w:hint="eastAsia" w:ascii="宋体" w:eastAsia="宋体" w:cs="Times New Roman"/>
          <w:b/>
          <w:bCs/>
          <w:color w:val="auto"/>
          <w:sz w:val="32"/>
          <w:szCs w:val="32"/>
          <w:highlight w:val="none"/>
          <w:lang w:val="zh-CN" w:eastAsia="zh-CN"/>
        </w:rPr>
        <w:t>、</w:t>
      </w:r>
      <w:r>
        <w:rPr>
          <w:rFonts w:hint="eastAsia" w:ascii="宋体" w:hAnsi="Times New Roman" w:eastAsia="宋体" w:cs="Times New Roman"/>
          <w:b/>
          <w:bCs/>
          <w:color w:val="auto"/>
          <w:sz w:val="32"/>
          <w:szCs w:val="32"/>
          <w:highlight w:val="none"/>
          <w:lang w:val="zh-CN" w:eastAsia="zh-CN"/>
        </w:rPr>
        <w:t>政府采购政策功能相关说明</w:t>
      </w:r>
    </w:p>
    <w:p w14:paraId="506A3A4B">
      <w:pPr>
        <w:spacing w:line="360" w:lineRule="auto"/>
        <w:ind w:firstLine="422" w:firstLineChars="200"/>
        <w:jc w:val="both"/>
        <w:rPr>
          <w:rFonts w:hint="eastAsia" w:ascii="宋体" w:hAnsi="宋体" w:eastAsia="宋体" w:cs="宋体"/>
          <w:b/>
          <w:bCs/>
          <w:color w:val="auto"/>
          <w:sz w:val="21"/>
          <w:szCs w:val="21"/>
          <w:highlight w:val="none"/>
          <w:lang w:val="zh-CN" w:eastAsia="zh-CN"/>
        </w:rPr>
      </w:pPr>
      <w:bookmarkStart w:id="35" w:name="_Toc25899_WPSOffice_Level2"/>
      <w:r>
        <w:rPr>
          <w:rFonts w:hint="eastAsia" w:ascii="宋体" w:hAnsi="宋体" w:eastAsia="宋体" w:cs="宋体"/>
          <w:b/>
          <w:bCs/>
          <w:color w:val="auto"/>
          <w:sz w:val="21"/>
          <w:szCs w:val="21"/>
          <w:highlight w:val="none"/>
          <w:lang w:val="zh-CN" w:eastAsia="zh-CN"/>
        </w:rPr>
        <w:t>一、中小微企业（含监狱企业、残疾人福利性单位）扶持政策说明</w:t>
      </w:r>
      <w:bookmarkEnd w:id="35"/>
    </w:p>
    <w:p w14:paraId="65C62953">
      <w:pPr>
        <w:spacing w:line="360" w:lineRule="auto"/>
        <w:ind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1、文件依据</w:t>
      </w:r>
    </w:p>
    <w:p w14:paraId="54CDFC07">
      <w:pPr>
        <w:spacing w:line="360" w:lineRule="auto"/>
        <w:ind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（1）《政府采购促进中小企业发展管理办法》（财库﹝2020﹞46 号）</w:t>
      </w:r>
    </w:p>
    <w:p w14:paraId="350E04DC">
      <w:pPr>
        <w:spacing w:line="360" w:lineRule="auto"/>
        <w:ind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（2）浙江省省财政厅《关于开展政府采购供应商网上注册登记和诚信管理工作的通知》（浙财采监〔2010〕8号)</w:t>
      </w:r>
    </w:p>
    <w:p w14:paraId="6EAFDF7D">
      <w:pPr>
        <w:spacing w:line="360" w:lineRule="auto"/>
        <w:ind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（3）《工业和信息化部、国家统计局、国家发展和改革委员会、财政部关于印发中小企业划型标准规定的通知》（工信部联企业﹝2011﹞300号）</w:t>
      </w:r>
    </w:p>
    <w:p w14:paraId="34D719C5">
      <w:pPr>
        <w:spacing w:line="360" w:lineRule="auto"/>
        <w:ind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（4）财政部、司法部《关于政府采购支持监狱企业发展有关问题的通知》（财库〔2014〕68号）</w:t>
      </w:r>
    </w:p>
    <w:p w14:paraId="0B7EFECF">
      <w:pPr>
        <w:spacing w:line="360" w:lineRule="auto"/>
        <w:ind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（5）《财政部民政部中国残疾人联合会关于促进残疾人就业政府采购政策的通知》（财库〔2017〕 141号）</w:t>
      </w:r>
    </w:p>
    <w:p w14:paraId="2806204B">
      <w:pPr>
        <w:spacing w:line="360" w:lineRule="auto"/>
        <w:ind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（6）《浙江省财政厅关于进一步发挥政府采购政策功能全力推动经济稳进提质的通知》（浙财采监〔2022〕3号）</w:t>
      </w:r>
    </w:p>
    <w:p w14:paraId="434BC9F6">
      <w:pPr>
        <w:spacing w:line="360" w:lineRule="auto"/>
        <w:ind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（7）《关于进一步加大政府采购支持中小企业力度助力扎实稳住经济的通知》（浙财采监〔2022〕8号）</w:t>
      </w:r>
    </w:p>
    <w:p w14:paraId="2E462ABF">
      <w:pPr>
        <w:spacing w:line="360" w:lineRule="auto"/>
        <w:ind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（8）《关于进一步加大政府采购支持中小企业力度的通知》(财库〔2022〕19号)</w:t>
      </w:r>
    </w:p>
    <w:p w14:paraId="578D2CE5">
      <w:pPr>
        <w:spacing w:line="360" w:lineRule="auto"/>
        <w:ind w:firstLine="422" w:firstLineChars="200"/>
        <w:jc w:val="both"/>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2、本项目专门面向中小企业采购，投标供应商应提供以下证明材料（附在《资格文件》中）：</w:t>
      </w:r>
    </w:p>
    <w:p w14:paraId="08764694">
      <w:pPr>
        <w:spacing w:line="360" w:lineRule="auto"/>
        <w:ind w:firstLine="420" w:firstLineChars="200"/>
        <w:jc w:val="both"/>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（1）中小企业：中小企业声明函（原件，加盖供应商公章，格式见附件1）</w:t>
      </w:r>
    </w:p>
    <w:p w14:paraId="59E18815">
      <w:pPr>
        <w:spacing w:line="360" w:lineRule="auto"/>
        <w:ind w:firstLine="420" w:firstLineChars="200"/>
        <w:jc w:val="both"/>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（2）残疾人福利性单位：残疾人福利性单位声明函（原件，加盖供应商公章，格式见附件2）</w:t>
      </w:r>
    </w:p>
    <w:p w14:paraId="73E17A66">
      <w:pPr>
        <w:spacing w:line="360" w:lineRule="auto"/>
        <w:ind w:firstLine="420" w:firstLineChars="200"/>
        <w:jc w:val="both"/>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（3）监狱企业：提供由省级以上监狱管理局、戒毒管理局（含新疆生产建设兵团）出具的属于监狱企业的证明文件（原件）</w:t>
      </w:r>
    </w:p>
    <w:p w14:paraId="1F397A27">
      <w:pPr>
        <w:spacing w:line="360" w:lineRule="auto"/>
        <w:ind w:firstLine="420" w:firstLineChars="200"/>
        <w:jc w:val="both"/>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3、扶持政策说明：残疾人福利性单位、监狱企业参加投标视同小微企业。</w:t>
      </w:r>
    </w:p>
    <w:p w14:paraId="37A822B6">
      <w:pPr>
        <w:spacing w:line="360" w:lineRule="auto"/>
        <w:ind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4、根据《浙江省财政厅关于进一步加大政府采购 支持中小企业力度 助力扎实稳住经济的通知》（浙采监【</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lang w:val="zh-CN" w:eastAsia="zh-CN"/>
        </w:rPr>
        <w:t>】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181A5D0">
      <w:pPr>
        <w:spacing w:line="360" w:lineRule="auto"/>
        <w:ind w:firstLine="420" w:firstLineChars="200"/>
        <w:jc w:val="both"/>
        <w:rPr>
          <w:rFonts w:hint="eastAsia" w:ascii="宋体" w:hAnsi="宋体" w:eastAsia="宋体" w:cs="宋体"/>
          <w:b/>
          <w:bCs/>
          <w:color w:val="auto"/>
          <w:sz w:val="21"/>
          <w:szCs w:val="21"/>
          <w:highlight w:val="none"/>
          <w:lang w:val="zh-CN" w:eastAsia="zh-CN"/>
        </w:rPr>
      </w:pPr>
      <w:r>
        <w:rPr>
          <w:rFonts w:hint="eastAsia" w:ascii="宋体" w:hAnsi="宋体" w:eastAsia="宋体" w:cs="宋体"/>
          <w:color w:val="auto"/>
          <w:sz w:val="21"/>
          <w:szCs w:val="21"/>
          <w:highlight w:val="none"/>
          <w:lang w:val="zh-CN" w:eastAsia="zh-CN"/>
        </w:rPr>
        <w:t>5、本项目采购标的所属行业为</w:t>
      </w:r>
      <w:r>
        <w:rPr>
          <w:rFonts w:hint="eastAsia" w:ascii="宋体" w:hAnsi="宋体" w:eastAsia="宋体" w:cs="宋体"/>
          <w:b/>
          <w:bCs/>
          <w:color w:val="auto"/>
          <w:sz w:val="21"/>
          <w:szCs w:val="21"/>
          <w:highlight w:val="none"/>
          <w:u w:val="single"/>
          <w:lang w:val="zh-CN" w:eastAsia="zh-CN"/>
        </w:rPr>
        <w:t xml:space="preserve"> 其他未列明行业 </w:t>
      </w:r>
      <w:r>
        <w:rPr>
          <w:rFonts w:hint="eastAsia" w:ascii="宋体" w:hAnsi="宋体" w:eastAsia="宋体" w:cs="宋体"/>
          <w:color w:val="auto"/>
          <w:sz w:val="21"/>
          <w:szCs w:val="21"/>
          <w:highlight w:val="none"/>
          <w:lang w:val="zh-CN" w:eastAsia="zh-CN"/>
        </w:rPr>
        <w:t>。</w:t>
      </w:r>
      <w:r>
        <w:rPr>
          <w:rFonts w:hint="eastAsia" w:ascii="宋体" w:hAnsi="Times New Roman"/>
          <w:color w:val="auto"/>
          <w:kern w:val="2"/>
          <w:sz w:val="36"/>
          <w:szCs w:val="36"/>
          <w:highlight w:val="none"/>
          <w:lang w:val="zh-CN"/>
        </w:rPr>
        <w:br w:type="page"/>
      </w:r>
      <w:r>
        <w:rPr>
          <w:rFonts w:hint="eastAsia" w:ascii="宋体" w:hAnsi="宋体" w:eastAsia="宋体" w:cs="宋体"/>
          <w:b/>
          <w:bCs/>
          <w:color w:val="auto"/>
          <w:sz w:val="21"/>
          <w:szCs w:val="21"/>
          <w:highlight w:val="none"/>
          <w:lang w:val="zh-CN" w:eastAsia="zh-CN"/>
        </w:rPr>
        <w:t>附件1</w:t>
      </w:r>
    </w:p>
    <w:p w14:paraId="4D653039">
      <w:pPr>
        <w:snapToGrid w:val="0"/>
        <w:spacing w:line="400" w:lineRule="atLeas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中小企业声明函（服务）</w:t>
      </w:r>
    </w:p>
    <w:p w14:paraId="78890D85">
      <w:pPr>
        <w:snapToGrid w:val="0"/>
        <w:spacing w:line="400" w:lineRule="atLeast"/>
        <w:jc w:val="center"/>
        <w:rPr>
          <w:rFonts w:hint="eastAsia" w:ascii="宋体" w:hAnsi="宋体" w:eastAsia="宋体" w:cs="宋体"/>
          <w:b/>
          <w:color w:val="auto"/>
          <w:sz w:val="24"/>
          <w:szCs w:val="24"/>
          <w:highlight w:val="none"/>
        </w:rPr>
      </w:pPr>
    </w:p>
    <w:p w14:paraId="231AB3C0">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泰顺县大安乡人民政府</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2025-2026泰顺县大安乡环卫保洁服务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1B19F995">
      <w:pPr>
        <w:spacing w:line="360" w:lineRule="auto"/>
        <w:ind w:firstLine="42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u w:val="single"/>
        </w:rPr>
        <w:t xml:space="preserve"> （标的名称） </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其他未列明行业（采购文件中明确的所属行业）</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u w:val="none"/>
        </w:rPr>
        <w:t>承建（承接）</w:t>
      </w:r>
      <w:r>
        <w:rPr>
          <w:rFonts w:hint="eastAsia" w:ascii="宋体" w:hAnsi="宋体" w:eastAsia="宋体" w:cs="宋体"/>
          <w:b w:val="0"/>
          <w:bCs w:val="0"/>
          <w:color w:val="auto"/>
          <w:sz w:val="21"/>
          <w:szCs w:val="21"/>
          <w:highlight w:val="none"/>
        </w:rPr>
        <w:t>企业为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 xml:space="preserve">； </w:t>
      </w:r>
    </w:p>
    <w:p w14:paraId="75CA6380">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其他未列明行业（采购文件中明确的所属行业）；</w:t>
      </w:r>
      <w:r>
        <w:rPr>
          <w:rFonts w:hint="eastAsia" w:ascii="宋体" w:hAnsi="宋体" w:eastAsia="宋体" w:cs="宋体"/>
          <w:color w:val="auto"/>
          <w:sz w:val="21"/>
          <w:szCs w:val="21"/>
          <w:highlight w:val="none"/>
          <w:u w:val="none"/>
        </w:rPr>
        <w:t>承建（承接）</w:t>
      </w:r>
      <w:r>
        <w:rPr>
          <w:rFonts w:hint="eastAsia" w:ascii="宋体" w:hAnsi="宋体" w:eastAsia="宋体" w:cs="宋体"/>
          <w:color w:val="auto"/>
          <w:sz w:val="21"/>
          <w:szCs w:val="21"/>
          <w:highlight w:val="none"/>
        </w:rPr>
        <w:t>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52633495">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75F79A8">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0F333CCD">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744D3CA5">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企业名称（盖章）： </w:t>
      </w:r>
    </w:p>
    <w:p w14:paraId="59413456">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w:t>
      </w:r>
    </w:p>
    <w:p w14:paraId="2FD87620">
      <w:pPr>
        <w:spacing w:line="360" w:lineRule="auto"/>
        <w:ind w:firstLine="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填写说明：</w:t>
      </w:r>
    </w:p>
    <w:p w14:paraId="1B344979">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088999C9">
      <w:pPr>
        <w:spacing w:line="360" w:lineRule="auto"/>
        <w:ind w:firstLine="42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▲采购人或采购代理机构有可能在中标（成交）结果公开中标（成交）供应商的《中小企业声明函》。供应商提供的声明函与实际情况不符的，视为供应商提供虚假材料投标的，投标无效。</w:t>
      </w:r>
    </w:p>
    <w:p w14:paraId="761BFEF7">
      <w:pPr>
        <w:spacing w:line="440" w:lineRule="atLeast"/>
        <w:ind w:firstLine="420"/>
        <w:jc w:val="left"/>
        <w:rPr>
          <w:rFonts w:hint="eastAsia" w:ascii="宋体" w:hAnsi="宋体" w:eastAsia="宋体" w:cs="宋体"/>
          <w:b/>
          <w:bCs/>
          <w:color w:val="auto"/>
          <w:sz w:val="21"/>
          <w:szCs w:val="21"/>
          <w:highlight w:val="none"/>
        </w:rPr>
      </w:pPr>
    </w:p>
    <w:p w14:paraId="142DE432">
      <w:pPr>
        <w:spacing w:line="440" w:lineRule="atLeast"/>
        <w:ind w:firstLine="420"/>
        <w:jc w:val="left"/>
        <w:rPr>
          <w:rFonts w:hint="eastAsia" w:ascii="宋体" w:hAnsi="宋体" w:eastAsia="宋体" w:cs="宋体"/>
          <w:b/>
          <w:bCs/>
          <w:color w:val="auto"/>
          <w:sz w:val="21"/>
          <w:szCs w:val="21"/>
          <w:highlight w:val="none"/>
        </w:rPr>
        <w:sectPr>
          <w:footerReference r:id="rId7" w:type="default"/>
          <w:pgSz w:w="11906" w:h="16838"/>
          <w:pgMar w:top="1247" w:right="1247" w:bottom="1247" w:left="1247" w:header="720" w:footer="720" w:gutter="0"/>
          <w:pgNumType w:fmt="decimal" w:start="1"/>
          <w:cols w:space="720" w:num="1"/>
          <w:docGrid w:type="lines" w:linePitch="312" w:charSpace="0"/>
        </w:sectPr>
      </w:pPr>
    </w:p>
    <w:p w14:paraId="5425A8FC">
      <w:pPr>
        <w:spacing w:line="360" w:lineRule="auto"/>
        <w:ind w:firstLine="422" w:firstLineChars="200"/>
        <w:jc w:val="both"/>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附件2</w:t>
      </w:r>
    </w:p>
    <w:p w14:paraId="6CCA8B59">
      <w:pPr>
        <w:snapToGrid w:val="0"/>
        <w:spacing w:line="400" w:lineRule="atLeas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w:t>
      </w:r>
    </w:p>
    <w:p w14:paraId="666E7FE3">
      <w:pPr>
        <w:widowControl w:val="0"/>
        <w:spacing w:line="220" w:lineRule="exact"/>
        <w:jc w:val="center"/>
        <w:rPr>
          <w:rFonts w:hint="eastAsia" w:ascii="宋体" w:hAnsi="宋体" w:eastAsia="宋体" w:cs="宋体"/>
          <w:color w:val="auto"/>
          <w:kern w:val="2"/>
          <w:sz w:val="21"/>
          <w:szCs w:val="21"/>
          <w:highlight w:val="none"/>
          <w:lang w:val="en-US" w:eastAsia="zh-CN" w:bidi="ar-SA"/>
        </w:rPr>
      </w:pPr>
    </w:p>
    <w:p w14:paraId="4B5C23BE">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BA3FED">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2CB5320E">
      <w:pPr>
        <w:spacing w:line="360" w:lineRule="auto"/>
        <w:ind w:firstLine="420"/>
        <w:jc w:val="left"/>
        <w:rPr>
          <w:rFonts w:hint="eastAsia" w:ascii="宋体" w:hAnsi="宋体" w:eastAsia="宋体" w:cs="宋体"/>
          <w:color w:val="auto"/>
          <w:sz w:val="21"/>
          <w:szCs w:val="21"/>
          <w:highlight w:val="none"/>
        </w:rPr>
      </w:pPr>
    </w:p>
    <w:p w14:paraId="5236D3DC">
      <w:pPr>
        <w:spacing w:line="360" w:lineRule="auto"/>
        <w:ind w:firstLine="420"/>
        <w:jc w:val="left"/>
        <w:rPr>
          <w:rFonts w:hint="eastAsia" w:ascii="宋体" w:hAnsi="宋体" w:eastAsia="宋体" w:cs="宋体"/>
          <w:color w:val="auto"/>
          <w:sz w:val="21"/>
          <w:szCs w:val="21"/>
          <w:highlight w:val="none"/>
        </w:rPr>
      </w:pPr>
    </w:p>
    <w:p w14:paraId="2F8DBAAA">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单位名称（盖章）：</w:t>
      </w:r>
    </w:p>
    <w:p w14:paraId="656E0694">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1D9776CA">
      <w:pPr>
        <w:spacing w:line="360" w:lineRule="auto"/>
        <w:ind w:firstLine="422" w:firstLineChars="200"/>
        <w:jc w:val="both"/>
        <w:rPr>
          <w:rFonts w:hint="eastAsia" w:ascii="宋体" w:hAnsi="宋体" w:eastAsia="宋体" w:cs="宋体"/>
          <w:b/>
          <w:bCs/>
          <w:color w:val="auto"/>
          <w:sz w:val="21"/>
          <w:szCs w:val="21"/>
          <w:highlight w:val="none"/>
          <w:lang w:val="zh-CN" w:eastAsia="zh-CN"/>
        </w:rPr>
      </w:pPr>
    </w:p>
    <w:p w14:paraId="1531CDE4">
      <w:pPr>
        <w:spacing w:line="360" w:lineRule="auto"/>
        <w:ind w:firstLine="422" w:firstLineChars="200"/>
        <w:jc w:val="both"/>
        <w:rPr>
          <w:rFonts w:hint="eastAsia" w:ascii="宋体" w:hAnsi="宋体" w:eastAsia="宋体" w:cs="宋体"/>
          <w:b/>
          <w:bCs/>
          <w:color w:val="auto"/>
          <w:sz w:val="21"/>
          <w:szCs w:val="21"/>
          <w:highlight w:val="none"/>
          <w:lang w:val="zh-CN" w:eastAsia="zh-CN"/>
        </w:rPr>
      </w:pPr>
    </w:p>
    <w:p w14:paraId="514A061F">
      <w:pPr>
        <w:spacing w:line="360" w:lineRule="auto"/>
        <w:ind w:firstLine="422" w:firstLineChars="200"/>
        <w:jc w:val="both"/>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二、节能、环保产品优先（强制）采购政策说明</w:t>
      </w:r>
    </w:p>
    <w:p w14:paraId="16E53FA2">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1、政策依据</w:t>
      </w:r>
    </w:p>
    <w:p w14:paraId="66A33CFE">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（一）《国务院办公厅关于建立政府强制采购节能产品制度的通知》(国办发[2007]51号)</w:t>
      </w:r>
    </w:p>
    <w:p w14:paraId="4E6D2008">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（二）财政部、发展改革委发布的《节能产品政府采购实施意见》(财库[2004]185号)</w:t>
      </w:r>
    </w:p>
    <w:p w14:paraId="44F823F0">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（三）财政部、原环保总局印发的《环境标志产品政府采购实施的意见》（财库[2006]90号）</w:t>
      </w:r>
    </w:p>
    <w:p w14:paraId="2657B783">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（四）《关于调整优化节能产品、环境标志产品政府采购执行机制的通知》（财库〔2019〕9号）</w:t>
      </w:r>
    </w:p>
    <w:p w14:paraId="58773AED">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（五）《关于印发节能产品政府采购品目清单的通知》（财库〔2019〕19号）</w:t>
      </w:r>
    </w:p>
    <w:p w14:paraId="7A1D9FB0">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（六）《关于印发环境标志产品政府采购品目清单的通知》（财库〔2019〕18号）</w:t>
      </w:r>
    </w:p>
    <w:p w14:paraId="43FEE5FE">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（七）《市场监管总局关于发布参与实施政府采购节能产品、环境标志产品认证机构名录的公告》（2019年第16号）</w:t>
      </w:r>
    </w:p>
    <w:p w14:paraId="0E266429">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2、供应商投标货物属于节能、环保优先（强制）采购范围的，须提供相关证明材料。</w:t>
      </w:r>
    </w:p>
    <w:p w14:paraId="62387377">
      <w:pPr>
        <w:rPr>
          <w:rFonts w:hint="eastAsia" w:ascii="宋体" w:hAnsi="Times New Roman"/>
          <w:color w:val="auto"/>
          <w:kern w:val="2"/>
          <w:sz w:val="36"/>
          <w:szCs w:val="36"/>
          <w:highlight w:val="none"/>
          <w:lang w:val="zh-CN"/>
        </w:rPr>
      </w:pPr>
    </w:p>
    <w:p w14:paraId="71B83791">
      <w:pPr>
        <w:spacing w:line="360" w:lineRule="auto"/>
        <w:ind w:firstLine="643" w:firstLineChars="200"/>
        <w:jc w:val="both"/>
        <w:rPr>
          <w:rFonts w:cs="宋体"/>
          <w:color w:val="auto"/>
          <w:sz w:val="22"/>
          <w:highlight w:val="none"/>
        </w:rPr>
      </w:pPr>
      <w:r>
        <w:rPr>
          <w:rFonts w:hint="eastAsia" w:ascii="宋体" w:hAnsi="Times New Roman" w:eastAsia="宋体" w:cs="Times New Roman"/>
          <w:b/>
          <w:bCs/>
          <w:color w:val="auto"/>
          <w:sz w:val="32"/>
          <w:szCs w:val="32"/>
          <w:highlight w:val="none"/>
          <w:lang w:val="zh-CN" w:eastAsia="zh-CN"/>
        </w:rPr>
        <w:br w:type="page"/>
      </w:r>
      <w:r>
        <w:rPr>
          <w:rFonts w:hint="eastAsia" w:ascii="宋体" w:hAnsi="宋体" w:eastAsia="宋体" w:cs="宋体"/>
          <w:b/>
          <w:bCs/>
          <w:color w:val="auto"/>
          <w:sz w:val="21"/>
          <w:szCs w:val="21"/>
          <w:highlight w:val="none"/>
          <w:lang w:val="zh-CN" w:eastAsia="zh-CN"/>
        </w:rPr>
        <w:t>三、信贷政策</w:t>
      </w:r>
    </w:p>
    <w:p w14:paraId="78B95372">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1、温州市财政局关于温州市政府采购支持中小企业信用融资的通知（温财采〔2020〕3号）</w:t>
      </w:r>
    </w:p>
    <w:p w14:paraId="112FFE63">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2、融资合作银行名单及意向银行选择表：</w:t>
      </w:r>
    </w:p>
    <w:tbl>
      <w:tblPr>
        <w:tblStyle w:val="30"/>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4537"/>
        <w:gridCol w:w="1037"/>
        <w:gridCol w:w="1581"/>
      </w:tblGrid>
      <w:tr w14:paraId="0079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203" w:type="dxa"/>
            <w:gridSpan w:val="4"/>
            <w:vAlign w:val="center"/>
          </w:tcPr>
          <w:p w14:paraId="29614ADE">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温州市政府采购支持中小企业信用融资合作银行</w:t>
            </w:r>
          </w:p>
        </w:tc>
      </w:tr>
      <w:tr w14:paraId="7ED9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048" w:type="dxa"/>
            <w:vAlign w:val="center"/>
          </w:tcPr>
          <w:p w14:paraId="5B1B811C">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银行名称</w:t>
            </w:r>
          </w:p>
        </w:tc>
        <w:tc>
          <w:tcPr>
            <w:tcW w:w="4537" w:type="dxa"/>
            <w:vAlign w:val="center"/>
          </w:tcPr>
          <w:p w14:paraId="1ECAD60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产品特点（不超过120字）</w:t>
            </w:r>
          </w:p>
        </w:tc>
        <w:tc>
          <w:tcPr>
            <w:tcW w:w="1037" w:type="dxa"/>
            <w:vAlign w:val="center"/>
          </w:tcPr>
          <w:p w14:paraId="0A77FB97">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经办人</w:t>
            </w:r>
          </w:p>
        </w:tc>
        <w:tc>
          <w:tcPr>
            <w:tcW w:w="1581" w:type="dxa"/>
            <w:vAlign w:val="center"/>
          </w:tcPr>
          <w:p w14:paraId="0F41B6CE">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联系方式</w:t>
            </w:r>
          </w:p>
        </w:tc>
      </w:tr>
      <w:tr w14:paraId="1F27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048" w:type="dxa"/>
            <w:vAlign w:val="center"/>
          </w:tcPr>
          <w:p w14:paraId="495E5AEF">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中国工商银行股份有限公司温州分行</w:t>
            </w:r>
          </w:p>
        </w:tc>
        <w:tc>
          <w:tcPr>
            <w:tcW w:w="4537" w:type="dxa"/>
          </w:tcPr>
          <w:p w14:paraId="42B42875">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37" w:type="dxa"/>
            <w:vAlign w:val="center"/>
          </w:tcPr>
          <w:p w14:paraId="54D64C6A">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王经理</w:t>
            </w:r>
          </w:p>
        </w:tc>
        <w:tc>
          <w:tcPr>
            <w:tcW w:w="1581" w:type="dxa"/>
            <w:vAlign w:val="center"/>
          </w:tcPr>
          <w:p w14:paraId="1F4718F6">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0577-88186626</w:t>
            </w:r>
          </w:p>
        </w:tc>
      </w:tr>
      <w:tr w14:paraId="0CB5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048" w:type="dxa"/>
            <w:vAlign w:val="center"/>
          </w:tcPr>
          <w:p w14:paraId="2FF2A4A0">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中国建设银行股份有限公司温州分行</w:t>
            </w:r>
          </w:p>
        </w:tc>
        <w:tc>
          <w:tcPr>
            <w:tcW w:w="4537" w:type="dxa"/>
          </w:tcPr>
          <w:p w14:paraId="35B8916D">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37" w:type="dxa"/>
            <w:vAlign w:val="center"/>
          </w:tcPr>
          <w:p w14:paraId="4D3D671A">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张经理</w:t>
            </w:r>
          </w:p>
        </w:tc>
        <w:tc>
          <w:tcPr>
            <w:tcW w:w="1581" w:type="dxa"/>
            <w:vAlign w:val="center"/>
          </w:tcPr>
          <w:p w14:paraId="20CE4A6F">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0577-88093286</w:t>
            </w:r>
          </w:p>
        </w:tc>
      </w:tr>
      <w:tr w14:paraId="7AE8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048" w:type="dxa"/>
            <w:vAlign w:val="center"/>
          </w:tcPr>
          <w:p w14:paraId="63278C6D">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中国邮政储蓄银行股份有限公司温州市分行</w:t>
            </w:r>
          </w:p>
        </w:tc>
        <w:tc>
          <w:tcPr>
            <w:tcW w:w="4537" w:type="dxa"/>
            <w:vAlign w:val="center"/>
          </w:tcPr>
          <w:p w14:paraId="4AE6FBBC">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37" w:type="dxa"/>
            <w:vAlign w:val="center"/>
          </w:tcPr>
          <w:p w14:paraId="21A7DFB0">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郑经理</w:t>
            </w:r>
          </w:p>
        </w:tc>
        <w:tc>
          <w:tcPr>
            <w:tcW w:w="1581" w:type="dxa"/>
            <w:vAlign w:val="center"/>
          </w:tcPr>
          <w:p w14:paraId="4EA09A1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0577-88193910</w:t>
            </w:r>
          </w:p>
        </w:tc>
      </w:tr>
      <w:tr w14:paraId="1D11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048" w:type="dxa"/>
            <w:vAlign w:val="center"/>
          </w:tcPr>
          <w:p w14:paraId="6340ECD9">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中国民生银行股份有限公司温州分行</w:t>
            </w:r>
          </w:p>
        </w:tc>
        <w:tc>
          <w:tcPr>
            <w:tcW w:w="4537" w:type="dxa"/>
          </w:tcPr>
          <w:p w14:paraId="3B072925">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37" w:type="dxa"/>
            <w:vAlign w:val="center"/>
          </w:tcPr>
          <w:p w14:paraId="0FB11169">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项经理</w:t>
            </w:r>
          </w:p>
        </w:tc>
        <w:tc>
          <w:tcPr>
            <w:tcW w:w="1581" w:type="dxa"/>
            <w:vAlign w:val="center"/>
          </w:tcPr>
          <w:p w14:paraId="095ADA8E">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18057779630</w:t>
            </w:r>
          </w:p>
        </w:tc>
      </w:tr>
      <w:tr w14:paraId="1D7F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048" w:type="dxa"/>
            <w:vAlign w:val="center"/>
          </w:tcPr>
          <w:p w14:paraId="6A8F749A">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宁波银行股份有限公司温州分行</w:t>
            </w:r>
          </w:p>
        </w:tc>
        <w:tc>
          <w:tcPr>
            <w:tcW w:w="4537" w:type="dxa"/>
          </w:tcPr>
          <w:p w14:paraId="03104D82">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37" w:type="dxa"/>
            <w:vAlign w:val="center"/>
          </w:tcPr>
          <w:p w14:paraId="02FD0A92">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陈经理</w:t>
            </w:r>
          </w:p>
        </w:tc>
        <w:tc>
          <w:tcPr>
            <w:tcW w:w="1581" w:type="dxa"/>
            <w:vAlign w:val="center"/>
          </w:tcPr>
          <w:p w14:paraId="08BC6682">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0577－88007377</w:t>
            </w:r>
          </w:p>
        </w:tc>
      </w:tr>
      <w:tr w14:paraId="6247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048" w:type="dxa"/>
            <w:vAlign w:val="center"/>
          </w:tcPr>
          <w:p w14:paraId="65CB75CA">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杭州银行股份有限公司温州分行</w:t>
            </w:r>
          </w:p>
        </w:tc>
        <w:tc>
          <w:tcPr>
            <w:tcW w:w="4537" w:type="dxa"/>
          </w:tcPr>
          <w:p w14:paraId="3EECFDDD">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门槛低：纯信用，平台注册入库并取得采购合同即可申请</w:t>
            </w:r>
          </w:p>
          <w:p w14:paraId="5B8A0504">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手续简：线上申请+线上签约，足不出户</w:t>
            </w:r>
          </w:p>
          <w:p w14:paraId="5AFC0499">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利率优：按优于一般中小企业贷款利率执行</w:t>
            </w:r>
          </w:p>
          <w:p w14:paraId="7FD414BF">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额度高：最高为合同金额的80%</w:t>
            </w:r>
          </w:p>
        </w:tc>
        <w:tc>
          <w:tcPr>
            <w:tcW w:w="1037" w:type="dxa"/>
            <w:vAlign w:val="center"/>
          </w:tcPr>
          <w:p w14:paraId="3A6F9FD0">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叶经理</w:t>
            </w:r>
          </w:p>
        </w:tc>
        <w:tc>
          <w:tcPr>
            <w:tcW w:w="1581" w:type="dxa"/>
            <w:vAlign w:val="center"/>
          </w:tcPr>
          <w:p w14:paraId="59A68917">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0577-88008933</w:t>
            </w:r>
          </w:p>
        </w:tc>
      </w:tr>
      <w:tr w14:paraId="654B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2048" w:type="dxa"/>
            <w:vAlign w:val="center"/>
          </w:tcPr>
          <w:p w14:paraId="3FA7DCCE">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招商银行股份有限公司温州分行</w:t>
            </w:r>
          </w:p>
        </w:tc>
        <w:tc>
          <w:tcPr>
            <w:tcW w:w="4537" w:type="dxa"/>
          </w:tcPr>
          <w:p w14:paraId="00AED71A">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37" w:type="dxa"/>
            <w:vAlign w:val="center"/>
          </w:tcPr>
          <w:p w14:paraId="03AD78D9">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陈经理</w:t>
            </w:r>
          </w:p>
        </w:tc>
        <w:tc>
          <w:tcPr>
            <w:tcW w:w="1581" w:type="dxa"/>
            <w:vAlign w:val="center"/>
          </w:tcPr>
          <w:p w14:paraId="6F06601E">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0577-88056876</w:t>
            </w:r>
          </w:p>
        </w:tc>
      </w:tr>
      <w:tr w14:paraId="0364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048" w:type="dxa"/>
            <w:vAlign w:val="center"/>
          </w:tcPr>
          <w:p w14:paraId="2F7EF6BB">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兴业银行股份有限公司温州分行</w:t>
            </w:r>
          </w:p>
        </w:tc>
        <w:tc>
          <w:tcPr>
            <w:tcW w:w="4537" w:type="dxa"/>
            <w:vAlign w:val="center"/>
          </w:tcPr>
          <w:p w14:paraId="1BDF2C10">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37" w:type="dxa"/>
            <w:vAlign w:val="center"/>
          </w:tcPr>
          <w:p w14:paraId="352CCD29">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张经理</w:t>
            </w:r>
          </w:p>
          <w:p w14:paraId="2A2E3D24">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陈经理</w:t>
            </w:r>
          </w:p>
        </w:tc>
        <w:tc>
          <w:tcPr>
            <w:tcW w:w="1581" w:type="dxa"/>
            <w:vAlign w:val="center"/>
          </w:tcPr>
          <w:p w14:paraId="0DAE555F">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0577-88369368/13857713118</w:t>
            </w:r>
          </w:p>
          <w:p w14:paraId="319519E4">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0577-56969696-1146506</w:t>
            </w:r>
          </w:p>
        </w:tc>
      </w:tr>
      <w:tr w14:paraId="7607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048" w:type="dxa"/>
            <w:vAlign w:val="center"/>
          </w:tcPr>
          <w:p w14:paraId="743D5BE3">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温州银行股份有限公司温州分行</w:t>
            </w:r>
          </w:p>
        </w:tc>
        <w:tc>
          <w:tcPr>
            <w:tcW w:w="4537" w:type="dxa"/>
          </w:tcPr>
          <w:p w14:paraId="1C3FBBFC">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37" w:type="dxa"/>
            <w:vAlign w:val="center"/>
          </w:tcPr>
          <w:p w14:paraId="31AF78AE">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陈经理</w:t>
            </w:r>
          </w:p>
        </w:tc>
        <w:tc>
          <w:tcPr>
            <w:tcW w:w="1581" w:type="dxa"/>
            <w:vAlign w:val="center"/>
          </w:tcPr>
          <w:p w14:paraId="04F11564">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13736355866</w:t>
            </w:r>
          </w:p>
        </w:tc>
      </w:tr>
      <w:tr w14:paraId="2E63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048" w:type="dxa"/>
            <w:vAlign w:val="center"/>
          </w:tcPr>
          <w:p w14:paraId="41F7CEBB">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温州银行股份有限公司鹿城分行</w:t>
            </w:r>
          </w:p>
        </w:tc>
        <w:tc>
          <w:tcPr>
            <w:tcW w:w="4537" w:type="dxa"/>
          </w:tcPr>
          <w:p w14:paraId="76D776ED">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政采订单贷：1、面向政府采购项目供应商，满足供应商资金周转需求，凭中标通知书即可申请，2、秒知额高，最高可贷500万元，单笔业务金额可贷中标金额的80%，</w:t>
            </w:r>
          </w:p>
          <w:p w14:paraId="32656B28">
            <w:pPr>
              <w:keepNext w:val="0"/>
              <w:keepLines w:val="0"/>
              <w:pageBreakBefore w:val="0"/>
              <w:widowControl w:val="0"/>
              <w:kinsoku/>
              <w:wordWrap/>
              <w:overflowPunct/>
              <w:topLinePunct w:val="0"/>
              <w:bidi w:val="0"/>
              <w:snapToGrid/>
              <w:spacing w:line="400" w:lineRule="exact"/>
              <w:ind w:left="5"/>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最长期限可贷1年。信保贷：1、额度最高可达500万元</w:t>
            </w:r>
          </w:p>
          <w:p w14:paraId="460BF98C">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2、担保灵活，信用贷款3、贷款年利率至少可享受本单位一般性中小企业信用贷款利率基础上下浮10%</w:t>
            </w:r>
          </w:p>
        </w:tc>
        <w:tc>
          <w:tcPr>
            <w:tcW w:w="1037" w:type="dxa"/>
            <w:vAlign w:val="center"/>
          </w:tcPr>
          <w:p w14:paraId="59778B8F">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戴经理</w:t>
            </w:r>
          </w:p>
        </w:tc>
        <w:tc>
          <w:tcPr>
            <w:tcW w:w="1581" w:type="dxa"/>
            <w:vAlign w:val="center"/>
          </w:tcPr>
          <w:p w14:paraId="70F4ED4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13605772302</w:t>
            </w:r>
          </w:p>
        </w:tc>
      </w:tr>
      <w:tr w14:paraId="4206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048" w:type="dxa"/>
            <w:vAlign w:val="center"/>
          </w:tcPr>
          <w:p w14:paraId="48EB55B8">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交通银行股份有限公司温州分行</w:t>
            </w:r>
          </w:p>
        </w:tc>
        <w:tc>
          <w:tcPr>
            <w:tcW w:w="4537" w:type="dxa"/>
          </w:tcPr>
          <w:p w14:paraId="050E219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37" w:type="dxa"/>
            <w:vAlign w:val="center"/>
          </w:tcPr>
          <w:p w14:paraId="209150B8">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缪经理</w:t>
            </w:r>
          </w:p>
        </w:tc>
        <w:tc>
          <w:tcPr>
            <w:tcW w:w="1581" w:type="dxa"/>
            <w:vAlign w:val="center"/>
          </w:tcPr>
          <w:p w14:paraId="52A680E7">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0577-88248454</w:t>
            </w:r>
          </w:p>
        </w:tc>
      </w:tr>
      <w:tr w14:paraId="32E6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048" w:type="dxa"/>
            <w:vAlign w:val="center"/>
          </w:tcPr>
          <w:p w14:paraId="5E1E1EB3">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上海浦东发展银行股份有限公司温州分行</w:t>
            </w:r>
          </w:p>
        </w:tc>
        <w:tc>
          <w:tcPr>
            <w:tcW w:w="4537" w:type="dxa"/>
          </w:tcPr>
          <w:p w14:paraId="7A0B90CF">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政采e贷：是浦发银行面向温州地区经营状况良好的小微企业政府采购项目供应商所提供的专属政府采购订单融资产品。产品特点：纯信用、免担保、门槛低、授信快、在线贷、秒放款</w:t>
            </w:r>
          </w:p>
          <w:p w14:paraId="13BFB364">
            <w:pPr>
              <w:keepNext w:val="0"/>
              <w:keepLines w:val="0"/>
              <w:pageBreakBefore w:val="0"/>
              <w:widowControl w:val="0"/>
              <w:shd w:val="clear" w:color="auto" w:fill="FFFFFF"/>
              <w:kinsoku/>
              <w:wordWrap/>
              <w:overflowPunct/>
              <w:topLinePunct w:val="0"/>
              <w:bidi w:val="0"/>
              <w:snapToGrid/>
              <w:spacing w:line="400" w:lineRule="exact"/>
              <w:jc w:val="lef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所需材料：企业基础证件、相关中标文件（中标通知书、采购合同等）、其他必要文件</w:t>
            </w:r>
          </w:p>
        </w:tc>
        <w:tc>
          <w:tcPr>
            <w:tcW w:w="1037" w:type="dxa"/>
            <w:vAlign w:val="center"/>
          </w:tcPr>
          <w:p w14:paraId="1A0FE760">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叶经理</w:t>
            </w:r>
          </w:p>
        </w:tc>
        <w:tc>
          <w:tcPr>
            <w:tcW w:w="1581" w:type="dxa"/>
            <w:vAlign w:val="center"/>
          </w:tcPr>
          <w:p w14:paraId="2337ECDB">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0577-55570829</w:t>
            </w:r>
          </w:p>
        </w:tc>
      </w:tr>
    </w:tbl>
    <w:p w14:paraId="3ADD51B0">
      <w:pPr>
        <w:jc w:val="center"/>
        <w:rPr>
          <w:rFonts w:eastAsia="宋体"/>
          <w:color w:val="auto"/>
          <w:sz w:val="36"/>
          <w:szCs w:val="36"/>
          <w:highlight w:val="none"/>
        </w:rPr>
      </w:pPr>
    </w:p>
    <w:p w14:paraId="2CE6D5A0">
      <w:pPr>
        <w:rPr>
          <w:rFonts w:hint="eastAsia" w:eastAsia="宋体"/>
          <w:color w:val="auto"/>
          <w:sz w:val="28"/>
          <w:szCs w:val="36"/>
          <w:highlight w:val="none"/>
        </w:rPr>
      </w:pPr>
      <w:r>
        <w:rPr>
          <w:rFonts w:hint="eastAsia" w:eastAsia="宋体"/>
          <w:color w:val="auto"/>
          <w:sz w:val="28"/>
          <w:szCs w:val="36"/>
          <w:highlight w:val="none"/>
        </w:rPr>
        <w:br w:type="page"/>
      </w:r>
    </w:p>
    <w:p w14:paraId="65B4AD25">
      <w:pPr>
        <w:jc w:val="center"/>
        <w:rPr>
          <w:rFonts w:eastAsia="宋体"/>
          <w:color w:val="auto"/>
          <w:sz w:val="28"/>
          <w:szCs w:val="36"/>
          <w:highlight w:val="none"/>
        </w:rPr>
      </w:pPr>
      <w:r>
        <w:rPr>
          <w:rFonts w:hint="eastAsia" w:eastAsia="宋体"/>
          <w:color w:val="auto"/>
          <w:sz w:val="28"/>
          <w:szCs w:val="36"/>
          <w:highlight w:val="none"/>
        </w:rPr>
        <w:t>温州市政府采购信用融资意向银行选择表</w:t>
      </w:r>
    </w:p>
    <w:p w14:paraId="1167AF6E">
      <w:pPr>
        <w:jc w:val="center"/>
        <w:rPr>
          <w:rFonts w:eastAsia="宋体"/>
          <w:color w:val="auto"/>
          <w:sz w:val="28"/>
          <w:szCs w:val="36"/>
          <w:highlight w:val="none"/>
        </w:rPr>
      </w:pPr>
      <w:r>
        <w:rPr>
          <w:rFonts w:hint="eastAsia" w:eastAsia="宋体"/>
          <w:color w:val="auto"/>
          <w:sz w:val="24"/>
          <w:szCs w:val="32"/>
          <w:highlight w:val="none"/>
        </w:rPr>
        <w:t>（温州市供应商填写）</w:t>
      </w:r>
    </w:p>
    <w:tbl>
      <w:tblPr>
        <w:tblStyle w:val="3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78"/>
        <w:gridCol w:w="1281"/>
        <w:gridCol w:w="489"/>
        <w:gridCol w:w="1881"/>
        <w:gridCol w:w="874"/>
      </w:tblGrid>
      <w:tr w14:paraId="7CC6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076" w:type="dxa"/>
            <w:vAlign w:val="center"/>
          </w:tcPr>
          <w:p w14:paraId="28C6FF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企业名称</w:t>
            </w:r>
          </w:p>
        </w:tc>
        <w:tc>
          <w:tcPr>
            <w:tcW w:w="7103" w:type="dxa"/>
            <w:gridSpan w:val="5"/>
            <w:vAlign w:val="center"/>
          </w:tcPr>
          <w:p w14:paraId="62C89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p>
        </w:tc>
      </w:tr>
      <w:tr w14:paraId="1271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076" w:type="dxa"/>
            <w:vAlign w:val="center"/>
          </w:tcPr>
          <w:p w14:paraId="2C75D7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企业注册地</w:t>
            </w:r>
          </w:p>
        </w:tc>
        <w:tc>
          <w:tcPr>
            <w:tcW w:w="3859" w:type="dxa"/>
            <w:gridSpan w:val="2"/>
            <w:vAlign w:val="center"/>
          </w:tcPr>
          <w:p w14:paraId="37021C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p>
        </w:tc>
        <w:tc>
          <w:tcPr>
            <w:tcW w:w="2370" w:type="dxa"/>
            <w:gridSpan w:val="2"/>
            <w:vAlign w:val="center"/>
          </w:tcPr>
          <w:p w14:paraId="530C26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是否有融资意向</w:t>
            </w:r>
          </w:p>
        </w:tc>
        <w:tc>
          <w:tcPr>
            <w:tcW w:w="874" w:type="dxa"/>
            <w:vAlign w:val="center"/>
          </w:tcPr>
          <w:p w14:paraId="22317B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p>
        </w:tc>
      </w:tr>
      <w:tr w14:paraId="1645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076" w:type="dxa"/>
            <w:vAlign w:val="center"/>
          </w:tcPr>
          <w:p w14:paraId="12CFDE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融资联系人</w:t>
            </w:r>
          </w:p>
        </w:tc>
        <w:tc>
          <w:tcPr>
            <w:tcW w:w="2578" w:type="dxa"/>
            <w:vAlign w:val="center"/>
          </w:tcPr>
          <w:p w14:paraId="718299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p>
        </w:tc>
        <w:tc>
          <w:tcPr>
            <w:tcW w:w="1770" w:type="dxa"/>
            <w:gridSpan w:val="2"/>
            <w:vAlign w:val="center"/>
          </w:tcPr>
          <w:p w14:paraId="53B72D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联系方式</w:t>
            </w:r>
          </w:p>
        </w:tc>
        <w:tc>
          <w:tcPr>
            <w:tcW w:w="2755" w:type="dxa"/>
            <w:gridSpan w:val="2"/>
            <w:vAlign w:val="center"/>
          </w:tcPr>
          <w:p w14:paraId="3BA9BC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p>
        </w:tc>
      </w:tr>
      <w:tr w14:paraId="6BFF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424" w:type="dxa"/>
            <w:gridSpan w:val="4"/>
            <w:vAlign w:val="center"/>
          </w:tcPr>
          <w:p w14:paraId="0CA750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温州市政府采购信用融资合作银行</w:t>
            </w:r>
          </w:p>
        </w:tc>
        <w:tc>
          <w:tcPr>
            <w:tcW w:w="2755" w:type="dxa"/>
            <w:gridSpan w:val="2"/>
          </w:tcPr>
          <w:p w14:paraId="2D2426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选择作为意向融资银行（可多选）</w:t>
            </w:r>
          </w:p>
        </w:tc>
      </w:tr>
      <w:tr w14:paraId="6D4D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51C88D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温州银行股份有限公司温州分行</w:t>
            </w:r>
          </w:p>
        </w:tc>
        <w:tc>
          <w:tcPr>
            <w:tcW w:w="2755" w:type="dxa"/>
            <w:gridSpan w:val="2"/>
          </w:tcPr>
          <w:p w14:paraId="292F02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r w14:paraId="7C7A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4FE04A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温州银行股份有限公司鹿城分行</w:t>
            </w:r>
          </w:p>
        </w:tc>
        <w:tc>
          <w:tcPr>
            <w:tcW w:w="2755" w:type="dxa"/>
            <w:gridSpan w:val="2"/>
          </w:tcPr>
          <w:p w14:paraId="4847FA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r w14:paraId="6C35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1526FA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中国工商银行股份有限公司温州分行</w:t>
            </w:r>
          </w:p>
        </w:tc>
        <w:tc>
          <w:tcPr>
            <w:tcW w:w="2755" w:type="dxa"/>
            <w:gridSpan w:val="2"/>
          </w:tcPr>
          <w:p w14:paraId="33481E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r w14:paraId="7746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2ED2C9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中国建设银行股份有限公司温州分行</w:t>
            </w:r>
          </w:p>
        </w:tc>
        <w:tc>
          <w:tcPr>
            <w:tcW w:w="2755" w:type="dxa"/>
            <w:gridSpan w:val="2"/>
          </w:tcPr>
          <w:p w14:paraId="5AF694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p>
        </w:tc>
      </w:tr>
      <w:tr w14:paraId="7150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419C97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中国邮政储蓄银行股份有限公司温州市分行</w:t>
            </w:r>
          </w:p>
        </w:tc>
        <w:tc>
          <w:tcPr>
            <w:tcW w:w="2755" w:type="dxa"/>
            <w:gridSpan w:val="2"/>
          </w:tcPr>
          <w:p w14:paraId="53210F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r w14:paraId="02EA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053889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中国民生银行股份有限公司温州分行</w:t>
            </w:r>
          </w:p>
        </w:tc>
        <w:tc>
          <w:tcPr>
            <w:tcW w:w="2755" w:type="dxa"/>
            <w:gridSpan w:val="2"/>
          </w:tcPr>
          <w:p w14:paraId="138F54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r w14:paraId="754E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6941B7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宁波银行股份有限公司温州分行</w:t>
            </w:r>
          </w:p>
        </w:tc>
        <w:tc>
          <w:tcPr>
            <w:tcW w:w="2755" w:type="dxa"/>
            <w:gridSpan w:val="2"/>
          </w:tcPr>
          <w:p w14:paraId="79237B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r w14:paraId="35E2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00F46C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杭州银行股份有限公司温州分行</w:t>
            </w:r>
          </w:p>
        </w:tc>
        <w:tc>
          <w:tcPr>
            <w:tcW w:w="2755" w:type="dxa"/>
            <w:gridSpan w:val="2"/>
          </w:tcPr>
          <w:p w14:paraId="3CF5D4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r w14:paraId="6EBD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1AEAD0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招商银行股份有限公司温州分行</w:t>
            </w:r>
          </w:p>
        </w:tc>
        <w:tc>
          <w:tcPr>
            <w:tcW w:w="2755" w:type="dxa"/>
            <w:gridSpan w:val="2"/>
          </w:tcPr>
          <w:p w14:paraId="738FBE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r w14:paraId="2375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68EEEC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兴业银行股份有限公司温州分行</w:t>
            </w:r>
          </w:p>
        </w:tc>
        <w:tc>
          <w:tcPr>
            <w:tcW w:w="2755" w:type="dxa"/>
            <w:gridSpan w:val="2"/>
          </w:tcPr>
          <w:p w14:paraId="4DB75E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r w14:paraId="238D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24" w:type="dxa"/>
            <w:gridSpan w:val="4"/>
            <w:vAlign w:val="center"/>
          </w:tcPr>
          <w:p w14:paraId="760992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交通银行股份有限公司温州分行</w:t>
            </w:r>
          </w:p>
        </w:tc>
        <w:tc>
          <w:tcPr>
            <w:tcW w:w="2755" w:type="dxa"/>
            <w:gridSpan w:val="2"/>
          </w:tcPr>
          <w:p w14:paraId="061EFAD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r w14:paraId="3715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24" w:type="dxa"/>
            <w:gridSpan w:val="4"/>
            <w:vAlign w:val="center"/>
          </w:tcPr>
          <w:p w14:paraId="01C581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上海浦东发展银行股份有限公司温州分行</w:t>
            </w:r>
          </w:p>
        </w:tc>
        <w:tc>
          <w:tcPr>
            <w:tcW w:w="2755" w:type="dxa"/>
            <w:gridSpan w:val="2"/>
          </w:tcPr>
          <w:p w14:paraId="7EC486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0"/>
                <w:szCs w:val="20"/>
                <w:highlight w:val="none"/>
              </w:rPr>
            </w:pPr>
          </w:p>
        </w:tc>
      </w:tr>
    </w:tbl>
    <w:p w14:paraId="13955F27">
      <w:pPr>
        <w:spacing w:line="276" w:lineRule="auto"/>
        <w:rPr>
          <w:rFonts w:ascii="宋体" w:eastAsia="宋体"/>
          <w:color w:val="auto"/>
          <w:highlight w:val="none"/>
        </w:rPr>
      </w:pPr>
      <w:r>
        <w:rPr>
          <w:rFonts w:hint="eastAsia" w:ascii="宋体" w:eastAsia="宋体"/>
          <w:color w:val="auto"/>
          <w:highlight w:val="none"/>
        </w:rPr>
        <w:t>注：1、本表填写对象为注册地在温州市域内的供应商。</w:t>
      </w:r>
    </w:p>
    <w:p w14:paraId="15BE1B88">
      <w:pPr>
        <w:pStyle w:val="2"/>
        <w:rPr>
          <w:rFonts w:ascii="宋体"/>
          <w:b/>
          <w:color w:val="auto"/>
          <w:sz w:val="22"/>
          <w:highlight w:val="none"/>
        </w:rPr>
      </w:pPr>
      <w:r>
        <w:rPr>
          <w:rFonts w:hint="eastAsia" w:ascii="宋体"/>
          <w:color w:val="auto"/>
          <w:highlight w:val="none"/>
        </w:rPr>
        <w:t>2、财政部门根据企业自行选择，将本表及企业相关信息推送至相对应的融资意向银行经办人。</w:t>
      </w:r>
    </w:p>
    <w:p w14:paraId="1A4F5FE0">
      <w:pPr>
        <w:rPr>
          <w:rFonts w:hint="eastAsia" w:ascii="宋体" w:hAnsi="Times New Roman" w:eastAsia="宋体" w:cs="Times New Roman"/>
          <w:b/>
          <w:bCs/>
          <w:color w:val="auto"/>
          <w:sz w:val="32"/>
          <w:szCs w:val="32"/>
          <w:highlight w:val="none"/>
          <w:lang w:val="zh-CN" w:eastAsia="zh-CN"/>
        </w:rPr>
      </w:pPr>
      <w:r>
        <w:rPr>
          <w:rFonts w:hint="eastAsia" w:ascii="宋体"/>
          <w:color w:val="auto"/>
          <w:sz w:val="36"/>
          <w:szCs w:val="36"/>
          <w:highlight w:val="none"/>
          <w:lang w:val="zh-CN"/>
        </w:rPr>
        <w:br w:type="page"/>
      </w:r>
    </w:p>
    <w:p w14:paraId="5B5D30EC">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ind w:left="0" w:right="0"/>
        <w:jc w:val="center"/>
        <w:outlineLvl w:val="0"/>
        <w:rPr>
          <w:rFonts w:hint="eastAsia" w:ascii="宋体" w:hAnsi="Times New Roman" w:eastAsia="宋体" w:cs="Times New Roman"/>
          <w:b/>
          <w:bCs/>
          <w:color w:val="auto"/>
          <w:sz w:val="32"/>
          <w:szCs w:val="32"/>
          <w:highlight w:val="none"/>
          <w:lang w:val="zh-CN" w:eastAsia="zh-CN"/>
        </w:rPr>
      </w:pPr>
      <w:r>
        <w:rPr>
          <w:rFonts w:hint="eastAsia" w:ascii="宋体" w:hAnsi="Times New Roman" w:eastAsia="宋体" w:cs="Times New Roman"/>
          <w:b/>
          <w:bCs/>
          <w:color w:val="auto"/>
          <w:sz w:val="32"/>
          <w:szCs w:val="32"/>
          <w:highlight w:val="none"/>
          <w:lang w:val="zh-CN" w:eastAsia="zh-CN"/>
        </w:rPr>
        <w:t>第五部分</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eastAsia="宋体" w:cs="Times New Roman"/>
          <w:b/>
          <w:bCs/>
          <w:color w:val="auto"/>
          <w:sz w:val="32"/>
          <w:szCs w:val="32"/>
          <w:highlight w:val="none"/>
          <w:lang w:val="zh-CN" w:eastAsia="zh-CN"/>
        </w:rPr>
        <w:t>、</w:t>
      </w:r>
      <w:r>
        <w:rPr>
          <w:rFonts w:hint="eastAsia" w:ascii="宋体" w:hAnsi="Times New Roman" w:eastAsia="宋体" w:cs="Times New Roman"/>
          <w:b/>
          <w:bCs/>
          <w:color w:val="auto"/>
          <w:sz w:val="32"/>
          <w:szCs w:val="32"/>
          <w:highlight w:val="none"/>
          <w:lang w:val="zh-CN" w:eastAsia="zh-CN"/>
        </w:rPr>
        <w:t>合同格式（参考格式）</w:t>
      </w:r>
    </w:p>
    <w:p w14:paraId="2E8D9A86">
      <w:pPr>
        <w:tabs>
          <w:tab w:val="left" w:pos="1230"/>
        </w:tabs>
        <w:spacing w:line="360" w:lineRule="auto"/>
        <w:rPr>
          <w:rFonts w:hint="eastAsia" w:ascii="宋体" w:hAnsi="宋体" w:eastAsia="宋体" w:cs="宋体"/>
          <w:b/>
          <w:color w:val="auto"/>
          <w:sz w:val="22"/>
          <w:highlight w:val="none"/>
          <w:lang w:eastAsia="zh-CN"/>
        </w:rPr>
      </w:pPr>
      <w:bookmarkStart w:id="36" w:name="_Hlk519085278"/>
      <w:r>
        <w:rPr>
          <w:rFonts w:hint="eastAsia" w:ascii="宋体" w:hAnsi="宋体" w:eastAsia="宋体" w:cs="宋体"/>
          <w:b/>
          <w:color w:val="auto"/>
          <w:sz w:val="22"/>
          <w:highlight w:val="none"/>
        </w:rPr>
        <w:t>甲方：</w:t>
      </w:r>
      <w:r>
        <w:rPr>
          <w:rFonts w:hint="eastAsia" w:ascii="宋体" w:hAnsi="宋体" w:cs="宋体"/>
          <w:b/>
          <w:color w:val="auto"/>
          <w:sz w:val="22"/>
          <w:highlight w:val="none"/>
          <w:u w:val="single"/>
          <w:lang w:eastAsia="zh-CN"/>
        </w:rPr>
        <w:t>采购单位</w:t>
      </w:r>
    </w:p>
    <w:p w14:paraId="2C2E9CF7">
      <w:pPr>
        <w:tabs>
          <w:tab w:val="left" w:pos="1230"/>
        </w:tabs>
        <w:spacing w:line="360" w:lineRule="auto"/>
        <w:rPr>
          <w:rFonts w:hint="eastAsia" w:ascii="宋体" w:hAnsi="宋体" w:eastAsia="宋体" w:cs="宋体"/>
          <w:bCs/>
          <w:color w:val="auto"/>
          <w:sz w:val="22"/>
          <w:highlight w:val="none"/>
        </w:rPr>
      </w:pPr>
      <w:r>
        <w:rPr>
          <w:rFonts w:hint="eastAsia" w:ascii="宋体" w:hAnsi="宋体" w:eastAsia="宋体" w:cs="宋体"/>
          <w:b/>
          <w:color w:val="auto"/>
          <w:sz w:val="22"/>
          <w:highlight w:val="none"/>
        </w:rPr>
        <w:t>乙方：</w:t>
      </w:r>
      <w:r>
        <w:rPr>
          <w:rFonts w:hint="eastAsia" w:ascii="宋体" w:hAnsi="宋体" w:eastAsia="宋体" w:cs="宋体"/>
          <w:b/>
          <w:color w:val="auto"/>
          <w:sz w:val="22"/>
          <w:highlight w:val="none"/>
          <w:u w:val="single"/>
        </w:rPr>
        <w:t>中标供应商</w:t>
      </w:r>
    </w:p>
    <w:p w14:paraId="2051D164">
      <w:pPr>
        <w:pStyle w:val="16"/>
        <w:snapToGrid w:val="0"/>
        <w:spacing w:line="360" w:lineRule="auto"/>
        <w:ind w:firstLine="330" w:firstLineChars="150"/>
        <w:rPr>
          <w:rFonts w:hint="eastAsia" w:hAnsi="宋体"/>
          <w:color w:val="auto"/>
          <w:sz w:val="22"/>
          <w:szCs w:val="22"/>
          <w:highlight w:val="none"/>
        </w:rPr>
      </w:pPr>
      <w:r>
        <w:rPr>
          <w:rFonts w:hint="eastAsia" w:hAnsi="宋体"/>
          <w:color w:val="auto"/>
          <w:sz w:val="22"/>
          <w:szCs w:val="22"/>
          <w:highlight w:val="none"/>
        </w:rPr>
        <w:t>甲乙双方根据</w:t>
      </w:r>
      <w:r>
        <w:rPr>
          <w:rFonts w:hint="eastAsia" w:hAnsi="宋体"/>
          <w:color w:val="auto"/>
          <w:sz w:val="22"/>
          <w:szCs w:val="22"/>
          <w:highlight w:val="none"/>
          <w:u w:val="single"/>
        </w:rPr>
        <w:t xml:space="preserve"> </w:t>
      </w:r>
      <w:r>
        <w:rPr>
          <w:rFonts w:hint="eastAsia" w:hAnsi="宋体"/>
          <w:color w:val="auto"/>
          <w:sz w:val="22"/>
          <w:szCs w:val="22"/>
          <w:highlight w:val="none"/>
          <w:u w:val="single"/>
          <w:lang w:val="en-US" w:eastAsia="zh-CN"/>
        </w:rPr>
        <w:t xml:space="preserve"> </w:t>
      </w:r>
      <w:r>
        <w:rPr>
          <w:rFonts w:hint="eastAsia" w:hAnsi="宋体"/>
          <w:color w:val="auto"/>
          <w:sz w:val="22"/>
          <w:szCs w:val="22"/>
          <w:highlight w:val="none"/>
          <w:u w:val="single"/>
        </w:rPr>
        <w:t xml:space="preserve">年 </w:t>
      </w:r>
      <w:r>
        <w:rPr>
          <w:rFonts w:hint="eastAsia" w:hAnsi="宋体"/>
          <w:color w:val="auto"/>
          <w:sz w:val="22"/>
          <w:szCs w:val="22"/>
          <w:highlight w:val="none"/>
          <w:u w:val="single"/>
          <w:lang w:val="en-US" w:eastAsia="zh-CN"/>
        </w:rPr>
        <w:t xml:space="preserve"> </w:t>
      </w:r>
      <w:r>
        <w:rPr>
          <w:rFonts w:hint="eastAsia" w:hAnsi="宋体"/>
          <w:color w:val="auto"/>
          <w:sz w:val="22"/>
          <w:szCs w:val="22"/>
          <w:highlight w:val="none"/>
          <w:u w:val="single"/>
        </w:rPr>
        <w:t>月</w:t>
      </w:r>
      <w:r>
        <w:rPr>
          <w:rFonts w:hint="eastAsia" w:hAnsi="宋体"/>
          <w:color w:val="auto"/>
          <w:sz w:val="22"/>
          <w:szCs w:val="22"/>
          <w:highlight w:val="none"/>
          <w:u w:val="single"/>
          <w:lang w:val="en-US" w:eastAsia="zh-CN"/>
        </w:rPr>
        <w:t xml:space="preserve"> </w:t>
      </w:r>
      <w:r>
        <w:rPr>
          <w:rFonts w:hint="eastAsia" w:hAnsi="宋体"/>
          <w:color w:val="auto"/>
          <w:sz w:val="22"/>
          <w:szCs w:val="22"/>
          <w:highlight w:val="none"/>
          <w:u w:val="single"/>
        </w:rPr>
        <w:t xml:space="preserve"> 日 （项目名称） (项目编号： </w:t>
      </w:r>
      <w:r>
        <w:rPr>
          <w:rFonts w:hint="eastAsia" w:hAnsi="宋体"/>
          <w:color w:val="auto"/>
          <w:sz w:val="22"/>
          <w:szCs w:val="22"/>
          <w:highlight w:val="none"/>
          <w:u w:val="single"/>
          <w:lang w:val="en-US" w:eastAsia="zh-CN"/>
        </w:rPr>
        <w:t xml:space="preserve">      </w:t>
      </w:r>
      <w:r>
        <w:rPr>
          <w:rFonts w:hint="eastAsia" w:hAnsi="宋体"/>
          <w:color w:val="auto"/>
          <w:sz w:val="22"/>
          <w:szCs w:val="22"/>
          <w:highlight w:val="none"/>
          <w:u w:val="single"/>
        </w:rPr>
        <w:t>）</w:t>
      </w:r>
      <w:r>
        <w:rPr>
          <w:rFonts w:hint="eastAsia" w:hAnsi="宋体"/>
          <w:color w:val="auto"/>
          <w:sz w:val="22"/>
          <w:szCs w:val="22"/>
          <w:highlight w:val="none"/>
        </w:rPr>
        <w:t>的招标结果和有关招投标文件的要求，经双方友好协商，订立本合同。</w:t>
      </w:r>
    </w:p>
    <w:p w14:paraId="2DB5B6A5">
      <w:pPr>
        <w:pStyle w:val="16"/>
        <w:snapToGrid w:val="0"/>
        <w:spacing w:line="360" w:lineRule="auto"/>
        <w:ind w:firstLine="330" w:firstLineChars="150"/>
        <w:rPr>
          <w:rFonts w:hint="eastAsia" w:hAnsi="宋体" w:eastAsia="宋体"/>
          <w:color w:val="auto"/>
          <w:sz w:val="22"/>
          <w:szCs w:val="22"/>
          <w:highlight w:val="none"/>
          <w:lang w:eastAsia="zh-CN"/>
        </w:rPr>
      </w:pPr>
      <w:r>
        <w:rPr>
          <w:rFonts w:hint="eastAsia" w:hAnsi="宋体"/>
          <w:color w:val="auto"/>
          <w:sz w:val="22"/>
          <w:szCs w:val="22"/>
          <w:highlight w:val="none"/>
        </w:rPr>
        <w:t>第一条  项目名称</w:t>
      </w:r>
      <w:r>
        <w:rPr>
          <w:rFonts w:hint="eastAsia" w:hAnsi="宋体"/>
          <w:color w:val="auto"/>
          <w:sz w:val="22"/>
          <w:szCs w:val="22"/>
          <w:highlight w:val="none"/>
          <w:lang w:eastAsia="zh-CN"/>
        </w:rPr>
        <w:t>：2025-2026泰顺县大安乡环卫保洁服务</w:t>
      </w:r>
    </w:p>
    <w:p w14:paraId="2777292E">
      <w:pPr>
        <w:pStyle w:val="16"/>
        <w:snapToGrid w:val="0"/>
        <w:spacing w:line="360" w:lineRule="auto"/>
        <w:ind w:firstLine="330" w:firstLineChars="150"/>
        <w:rPr>
          <w:rFonts w:hint="eastAsia" w:hAnsi="宋体"/>
          <w:color w:val="auto"/>
          <w:sz w:val="22"/>
          <w:szCs w:val="22"/>
          <w:highlight w:val="none"/>
        </w:rPr>
      </w:pPr>
      <w:r>
        <w:rPr>
          <w:rFonts w:hint="eastAsia" w:hAnsi="宋体"/>
          <w:color w:val="auto"/>
          <w:sz w:val="22"/>
          <w:szCs w:val="22"/>
          <w:highlight w:val="none"/>
        </w:rPr>
        <w:t>第二条  内容</w:t>
      </w:r>
    </w:p>
    <w:p w14:paraId="69F71B2B">
      <w:pPr>
        <w:snapToGrid w:val="0"/>
        <w:spacing w:line="360" w:lineRule="auto"/>
        <w:ind w:right="-82"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1、负责大安乡柳埠村、下塔村、罗汉村、大垟村、大丘坪村、花坪头村及大安经开区</w:t>
      </w:r>
      <w:r>
        <w:rPr>
          <w:rFonts w:hint="eastAsia" w:ascii="宋体" w:hAnsi="宋体" w:eastAsia="宋体" w:cs="宋体"/>
          <w:color w:val="auto"/>
          <w:sz w:val="22"/>
          <w:highlight w:val="none"/>
          <w:lang w:val="en-US" w:eastAsia="zh-CN"/>
        </w:rPr>
        <w:t>等(除洪岭头自然村外)范围内所有街道路面（包括广场、公园、背街小巷等）、马路市场（如赶集）、绿化带及道路周边卫生死角（如沟渠等）的日常保洁和清洗。</w:t>
      </w:r>
    </w:p>
    <w:p w14:paraId="2126FD5D">
      <w:pPr>
        <w:snapToGrid w:val="0"/>
        <w:spacing w:line="360" w:lineRule="auto"/>
        <w:ind w:right="-82"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2、负责大安乡(除洪岭头自然村外)范围内河道（包括河道和清水平台）</w:t>
      </w:r>
      <w:r>
        <w:rPr>
          <w:rFonts w:hint="eastAsia" w:ascii="宋体" w:hAnsi="宋体" w:eastAsia="宋体" w:cs="宋体"/>
          <w:color w:val="auto"/>
          <w:sz w:val="22"/>
          <w:szCs w:val="22"/>
          <w:highlight w:val="none"/>
          <w:lang w:bidi="ar"/>
        </w:rPr>
        <w:t>日常保洁。河道</w:t>
      </w:r>
      <w:r>
        <w:rPr>
          <w:rFonts w:hint="eastAsia" w:ascii="宋体" w:hAnsi="宋体" w:eastAsia="宋体" w:cs="宋体"/>
          <w:color w:val="auto"/>
          <w:sz w:val="22"/>
          <w:szCs w:val="22"/>
          <w:highlight w:val="none"/>
          <w:lang w:eastAsia="zh-CN" w:bidi="ar"/>
        </w:rPr>
        <w:t>包括大安溪、罗汉溪及其支流</w:t>
      </w:r>
      <w:r>
        <w:rPr>
          <w:rFonts w:hint="eastAsia" w:ascii="宋体" w:hAnsi="宋体" w:eastAsia="宋体" w:cs="宋体"/>
          <w:color w:val="auto"/>
          <w:sz w:val="22"/>
          <w:szCs w:val="22"/>
          <w:highlight w:val="none"/>
          <w:lang w:bidi="ar"/>
        </w:rPr>
        <w:t>，分布在</w:t>
      </w:r>
      <w:r>
        <w:rPr>
          <w:rFonts w:hint="eastAsia" w:ascii="宋体" w:hAnsi="宋体" w:eastAsia="宋体" w:cs="宋体"/>
          <w:color w:val="auto"/>
          <w:sz w:val="22"/>
          <w:szCs w:val="22"/>
          <w:highlight w:val="none"/>
          <w:lang w:eastAsia="zh-CN" w:bidi="ar"/>
        </w:rPr>
        <w:t>柳埠村、下塔村、大垟村、罗汉村、大丘坪村、</w:t>
      </w:r>
      <w:r>
        <w:rPr>
          <w:rFonts w:hint="eastAsia" w:ascii="宋体" w:hAnsi="宋体" w:eastAsia="宋体" w:cs="宋体"/>
          <w:color w:val="auto"/>
          <w:sz w:val="22"/>
          <w:highlight w:val="none"/>
          <w:lang w:val="en-US" w:eastAsia="zh-CN"/>
        </w:rPr>
        <w:t>花坪头村及大安经开区</w:t>
      </w:r>
      <w:r>
        <w:rPr>
          <w:rFonts w:hint="eastAsia" w:ascii="宋体" w:hAnsi="宋体" w:eastAsia="宋体" w:cs="宋体"/>
          <w:color w:val="auto"/>
          <w:sz w:val="22"/>
          <w:szCs w:val="22"/>
          <w:highlight w:val="none"/>
          <w:lang w:bidi="ar"/>
        </w:rPr>
        <w:t>等。</w:t>
      </w:r>
    </w:p>
    <w:p w14:paraId="5BC31789">
      <w:pPr>
        <w:snapToGrid w:val="0"/>
        <w:spacing w:line="360" w:lineRule="auto"/>
        <w:ind w:right="-82" w:firstLine="440" w:firstLineChars="200"/>
        <w:rPr>
          <w:rFonts w:hint="eastAsia" w:ascii="宋体" w:hAnsi="宋体" w:eastAsia="宋体" w:cs="宋体"/>
          <w:b/>
          <w:bCs/>
          <w:color w:val="auto"/>
          <w:sz w:val="22"/>
          <w:szCs w:val="22"/>
          <w:highlight w:val="none"/>
          <w:lang w:val="en-US" w:eastAsia="zh-CN" w:bidi="ar"/>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szCs w:val="22"/>
          <w:highlight w:val="none"/>
          <w:lang w:bidi="ar"/>
        </w:rPr>
        <w:t>负责</w:t>
      </w:r>
      <w:r>
        <w:rPr>
          <w:rFonts w:hint="eastAsia" w:ascii="宋体" w:hAnsi="宋体" w:eastAsia="宋体" w:cs="宋体"/>
          <w:color w:val="auto"/>
          <w:sz w:val="22"/>
          <w:szCs w:val="22"/>
          <w:highlight w:val="none"/>
          <w:lang w:eastAsia="zh-CN" w:bidi="ar"/>
        </w:rPr>
        <w:t>大安乡区</w:t>
      </w:r>
      <w:r>
        <w:rPr>
          <w:rFonts w:hint="eastAsia" w:ascii="宋体" w:hAnsi="宋体" w:eastAsia="宋体" w:cs="宋体"/>
          <w:color w:val="auto"/>
          <w:sz w:val="22"/>
          <w:szCs w:val="22"/>
          <w:highlight w:val="none"/>
          <w:lang w:bidi="ar"/>
        </w:rPr>
        <w:t>域范围内所有</w:t>
      </w:r>
      <w:r>
        <w:rPr>
          <w:rFonts w:hint="eastAsia" w:ascii="宋体" w:hAnsi="宋体" w:eastAsia="宋体" w:cs="宋体"/>
          <w:b w:val="0"/>
          <w:bCs/>
          <w:color w:val="auto"/>
          <w:sz w:val="22"/>
          <w:szCs w:val="22"/>
          <w:highlight w:val="none"/>
          <w:lang w:bidi="ar"/>
        </w:rPr>
        <w:t>公厕的保洁</w:t>
      </w:r>
      <w:r>
        <w:rPr>
          <w:rFonts w:hint="eastAsia" w:ascii="宋体" w:hAnsi="宋体" w:eastAsia="宋体" w:cs="宋体"/>
          <w:color w:val="auto"/>
          <w:sz w:val="22"/>
          <w:szCs w:val="22"/>
          <w:highlight w:val="none"/>
          <w:lang w:bidi="ar"/>
        </w:rPr>
        <w:t>、管理及维修。当前公厕数量：</w:t>
      </w:r>
      <w:r>
        <w:rPr>
          <w:rFonts w:hint="eastAsia" w:ascii="宋体" w:hAnsi="宋体" w:eastAsia="宋体" w:cs="宋体"/>
          <w:color w:val="auto"/>
          <w:sz w:val="22"/>
          <w:szCs w:val="22"/>
          <w:highlight w:val="none"/>
          <w:u w:val="single"/>
          <w:lang w:bidi="ar"/>
        </w:rPr>
        <w:t xml:space="preserve"> </w:t>
      </w:r>
      <w:r>
        <w:rPr>
          <w:rFonts w:hint="eastAsia" w:ascii="宋体" w:hAnsi="宋体" w:eastAsia="宋体" w:cs="宋体"/>
          <w:color w:val="auto"/>
          <w:sz w:val="22"/>
          <w:szCs w:val="22"/>
          <w:highlight w:val="none"/>
          <w:u w:val="single"/>
          <w:lang w:val="en-US" w:eastAsia="zh-CN" w:bidi="ar"/>
        </w:rPr>
        <w:t>28</w:t>
      </w:r>
      <w:r>
        <w:rPr>
          <w:rFonts w:hint="eastAsia" w:ascii="宋体" w:hAnsi="宋体" w:eastAsia="宋体" w:cs="宋体"/>
          <w:color w:val="auto"/>
          <w:sz w:val="22"/>
          <w:szCs w:val="22"/>
          <w:highlight w:val="none"/>
          <w:u w:val="single"/>
          <w:lang w:bidi="ar"/>
        </w:rPr>
        <w:t xml:space="preserve"> </w:t>
      </w:r>
      <w:r>
        <w:rPr>
          <w:rFonts w:hint="eastAsia" w:ascii="宋体" w:hAnsi="宋体" w:eastAsia="宋体" w:cs="宋体"/>
          <w:color w:val="auto"/>
          <w:sz w:val="22"/>
          <w:szCs w:val="22"/>
          <w:highlight w:val="none"/>
          <w:lang w:bidi="ar"/>
        </w:rPr>
        <w:t>个，分布在</w:t>
      </w:r>
      <w:r>
        <w:rPr>
          <w:rFonts w:hint="eastAsia" w:ascii="宋体" w:hAnsi="宋体" w:eastAsia="宋体" w:cs="宋体"/>
          <w:color w:val="auto"/>
          <w:sz w:val="22"/>
          <w:szCs w:val="22"/>
          <w:highlight w:val="none"/>
          <w:lang w:val="en-US" w:eastAsia="zh-CN" w:bidi="ar"/>
        </w:rPr>
        <w:t>6</w:t>
      </w:r>
      <w:r>
        <w:rPr>
          <w:rFonts w:hint="eastAsia" w:ascii="宋体" w:hAnsi="宋体" w:eastAsia="宋体" w:cs="宋体"/>
          <w:color w:val="auto"/>
          <w:sz w:val="22"/>
          <w:szCs w:val="22"/>
          <w:highlight w:val="none"/>
          <w:lang w:bidi="ar"/>
        </w:rPr>
        <w:t>个行政</w:t>
      </w:r>
      <w:r>
        <w:rPr>
          <w:rFonts w:hint="eastAsia" w:ascii="宋体" w:hAnsi="宋体" w:eastAsia="宋体" w:cs="宋体"/>
          <w:color w:val="auto"/>
          <w:sz w:val="22"/>
          <w:szCs w:val="22"/>
          <w:highlight w:val="none"/>
          <w:lang w:eastAsia="zh-CN" w:bidi="ar"/>
        </w:rPr>
        <w:t>村</w:t>
      </w:r>
      <w:r>
        <w:rPr>
          <w:rFonts w:hint="eastAsia" w:ascii="宋体" w:hAnsi="宋体" w:eastAsia="宋体" w:cs="宋体"/>
          <w:color w:val="auto"/>
          <w:sz w:val="22"/>
          <w:szCs w:val="22"/>
          <w:highlight w:val="none"/>
          <w:lang w:val="en-US" w:eastAsia="zh-CN" w:bidi="ar"/>
        </w:rPr>
        <w:t>及大安经开区</w:t>
      </w:r>
      <w:r>
        <w:rPr>
          <w:rFonts w:hint="eastAsia" w:ascii="宋体" w:hAnsi="宋体" w:eastAsia="宋体" w:cs="宋体"/>
          <w:color w:val="auto"/>
          <w:sz w:val="22"/>
          <w:szCs w:val="22"/>
          <w:highlight w:val="none"/>
          <w:lang w:eastAsia="zh-CN" w:bidi="ar"/>
        </w:rPr>
        <w:t>内</w:t>
      </w:r>
      <w:r>
        <w:rPr>
          <w:rFonts w:hint="eastAsia" w:ascii="宋体" w:hAnsi="宋体" w:eastAsia="宋体" w:cs="宋体"/>
          <w:color w:val="auto"/>
          <w:sz w:val="22"/>
          <w:szCs w:val="22"/>
          <w:highlight w:val="none"/>
          <w:lang w:eastAsia="zh-CN" w:bidi="ar"/>
        </w:rPr>
        <w:t>，</w:t>
      </w:r>
      <w:r>
        <w:rPr>
          <w:rFonts w:hint="eastAsia" w:ascii="宋体" w:hAnsi="宋体" w:eastAsia="宋体" w:cs="宋体"/>
          <w:b/>
          <w:bCs/>
          <w:color w:val="auto"/>
          <w:sz w:val="22"/>
          <w:szCs w:val="22"/>
          <w:highlight w:val="none"/>
          <w:lang w:eastAsia="zh-CN" w:bidi="ar"/>
        </w:rPr>
        <w:t>▲合同执行期间，如有新增公厕需要纳入保洁范围，中标单位需无条件纳入保洁范围。</w:t>
      </w:r>
    </w:p>
    <w:p w14:paraId="32B1C127">
      <w:pPr>
        <w:snapToGrid w:val="0"/>
        <w:spacing w:line="360" w:lineRule="auto"/>
        <w:ind w:right="-82"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4、负责大安乡区域内农村人居环境整治提升工作，中标单位应对照</w:t>
      </w:r>
      <w:r>
        <w:rPr>
          <w:rFonts w:hint="eastAsia" w:ascii="宋体" w:hAnsi="宋体" w:eastAsia="宋体" w:cs="宋体"/>
          <w:color w:val="auto"/>
          <w:sz w:val="22"/>
          <w:highlight w:val="none"/>
          <w:lang w:val="en-US" w:eastAsia="zh-CN"/>
        </w:rPr>
        <w:t>泰顺县“最干净（最脏）乡镇、村”考评办法</w:t>
      </w:r>
      <w:r>
        <w:rPr>
          <w:rFonts w:hint="eastAsia" w:ascii="宋体" w:hAnsi="宋体" w:eastAsia="宋体" w:cs="宋体"/>
          <w:color w:val="auto"/>
          <w:sz w:val="22"/>
          <w:szCs w:val="22"/>
          <w:highlight w:val="none"/>
          <w:lang w:eastAsia="zh-CN" w:bidi="ar"/>
        </w:rPr>
        <w:t>，每月需免费提供不多于</w:t>
      </w:r>
      <w:r>
        <w:rPr>
          <w:rFonts w:hint="eastAsia" w:ascii="宋体" w:hAnsi="宋体" w:eastAsia="宋体" w:cs="宋体"/>
          <w:color w:val="auto"/>
          <w:sz w:val="22"/>
          <w:szCs w:val="22"/>
          <w:highlight w:val="none"/>
          <w:lang w:val="en-US" w:eastAsia="zh-CN" w:bidi="ar"/>
        </w:rPr>
        <w:t>200人次（</w:t>
      </w:r>
      <w:r>
        <w:rPr>
          <w:rFonts w:hint="eastAsia" w:ascii="宋体" w:hAnsi="宋体" w:eastAsia="宋体" w:cs="宋体"/>
          <w:b/>
          <w:bCs/>
          <w:color w:val="auto"/>
          <w:sz w:val="22"/>
          <w:szCs w:val="22"/>
          <w:highlight w:val="none"/>
          <w:lang w:val="en-US" w:eastAsia="zh-CN" w:bidi="ar"/>
        </w:rPr>
        <w:t>▲一人一天算一人次，多于200人次的另行支付费用</w:t>
      </w:r>
      <w:r>
        <w:rPr>
          <w:rFonts w:hint="eastAsia" w:ascii="宋体" w:hAnsi="宋体" w:cs="宋体"/>
          <w:b/>
          <w:bCs/>
          <w:color w:val="auto"/>
          <w:sz w:val="22"/>
          <w:szCs w:val="22"/>
          <w:highlight w:val="none"/>
          <w:lang w:val="en-US" w:eastAsia="zh-CN" w:bidi="ar"/>
        </w:rPr>
        <w:t>，投标单位需在投标文件中明确该项费用，最终以单价进行结算</w:t>
      </w:r>
      <w:r>
        <w:rPr>
          <w:rFonts w:hint="eastAsia" w:ascii="宋体" w:hAnsi="宋体" w:eastAsia="宋体" w:cs="宋体"/>
          <w:color w:val="auto"/>
          <w:sz w:val="22"/>
          <w:szCs w:val="22"/>
          <w:highlight w:val="none"/>
          <w:lang w:val="en-US" w:eastAsia="zh-CN" w:bidi="ar"/>
        </w:rPr>
        <w:t>）的</w:t>
      </w:r>
      <w:r>
        <w:rPr>
          <w:rFonts w:hint="eastAsia" w:ascii="宋体" w:hAnsi="宋体" w:eastAsia="宋体" w:cs="宋体"/>
          <w:color w:val="auto"/>
          <w:sz w:val="22"/>
          <w:szCs w:val="22"/>
          <w:highlight w:val="none"/>
          <w:lang w:eastAsia="zh-CN" w:bidi="ar"/>
        </w:rPr>
        <w:t>临时工作人员对大安乡区域范围内的</w:t>
      </w:r>
      <w:r>
        <w:rPr>
          <w:rFonts w:hint="eastAsia" w:ascii="宋体" w:hAnsi="宋体" w:eastAsia="宋体" w:cs="宋体"/>
          <w:color w:val="auto"/>
          <w:sz w:val="22"/>
          <w:szCs w:val="22"/>
          <w:highlight w:val="none"/>
          <w:lang w:val="en-US" w:eastAsia="zh-CN" w:bidi="ar"/>
        </w:rPr>
        <w:t>农村人居环境</w:t>
      </w:r>
      <w:r>
        <w:rPr>
          <w:rFonts w:hint="eastAsia" w:ascii="宋体" w:hAnsi="宋体" w:eastAsia="宋体" w:cs="宋体"/>
          <w:color w:val="auto"/>
          <w:sz w:val="22"/>
          <w:highlight w:val="none"/>
          <w:lang w:val="en-US" w:eastAsia="zh-CN"/>
        </w:rPr>
        <w:t>进行保洁任务，</w:t>
      </w:r>
      <w:r>
        <w:rPr>
          <w:rFonts w:hint="eastAsia" w:ascii="宋体" w:hAnsi="宋体" w:eastAsia="宋体" w:cs="宋体"/>
          <w:color w:val="auto"/>
          <w:sz w:val="22"/>
          <w:szCs w:val="22"/>
          <w:highlight w:val="none"/>
          <w:lang w:val="en-US" w:eastAsia="zh-CN" w:bidi="ar"/>
        </w:rPr>
        <w:t>并及时整治被市县部门发现的环境脏乱差点位</w:t>
      </w:r>
      <w:r>
        <w:rPr>
          <w:rFonts w:hint="eastAsia" w:ascii="宋体" w:hAnsi="宋体" w:eastAsia="宋体" w:cs="宋体"/>
          <w:color w:val="auto"/>
          <w:sz w:val="22"/>
          <w:szCs w:val="22"/>
          <w:highlight w:val="none"/>
          <w:lang w:eastAsia="zh-CN" w:bidi="ar"/>
        </w:rPr>
        <w:t>，乡政府对照县“两最”考评结果予以适当的资金奖励或惩处。</w:t>
      </w:r>
    </w:p>
    <w:p w14:paraId="745A8EA3">
      <w:pPr>
        <w:snapToGrid w:val="0"/>
        <w:spacing w:line="360" w:lineRule="auto"/>
        <w:ind w:right="-82" w:firstLine="440" w:firstLineChars="200"/>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val="en-US" w:eastAsia="zh-CN" w:bidi="ar"/>
        </w:rPr>
        <w:t>5、</w:t>
      </w:r>
      <w:r>
        <w:rPr>
          <w:rFonts w:hint="eastAsia" w:ascii="宋体" w:hAnsi="宋体" w:eastAsia="宋体" w:cs="宋体"/>
          <w:color w:val="auto"/>
          <w:sz w:val="22"/>
          <w:szCs w:val="22"/>
          <w:highlight w:val="none"/>
          <w:lang w:eastAsia="zh-CN" w:bidi="ar"/>
        </w:rPr>
        <w:t>负责大安乡垃圾分类宣传、培训指导、监督运行等工作；严格落实大安乡区域范围内垃圾分类收集、清运、处置以及垃圾桶清洗等，</w:t>
      </w:r>
      <w:r>
        <w:rPr>
          <w:rFonts w:hint="eastAsia" w:ascii="宋体" w:hAnsi="宋体" w:eastAsia="宋体" w:cs="宋体"/>
          <w:color w:val="auto"/>
          <w:sz w:val="22"/>
          <w:highlight w:val="none"/>
          <w:lang w:val="en-US" w:eastAsia="zh-CN"/>
        </w:rPr>
        <w:t>其中易腐垃圾需运送到太阳能堆肥房，其他垃圾原则上须运送至大安乡垃圾中转站，负责做好建筑垃圾的无害化处理</w:t>
      </w:r>
      <w:r>
        <w:rPr>
          <w:rFonts w:hint="eastAsia" w:ascii="宋体" w:hAnsi="宋体" w:eastAsia="宋体" w:cs="宋体"/>
          <w:color w:val="auto"/>
          <w:sz w:val="22"/>
          <w:szCs w:val="22"/>
          <w:highlight w:val="none"/>
          <w:lang w:eastAsia="zh-CN" w:bidi="ar"/>
        </w:rPr>
        <w:t>。</w:t>
      </w:r>
    </w:p>
    <w:p w14:paraId="3B3D8DC3">
      <w:pPr>
        <w:snapToGrid w:val="0"/>
        <w:spacing w:line="360" w:lineRule="auto"/>
        <w:ind w:right="-82"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6、公共场所垃圾分类规范性建设，负责垃圾分类宣传，每年宣传不少于4次，每个月必须要“八进”宣传，知晓率和投放准确率达到相关考核要求。</w:t>
      </w:r>
    </w:p>
    <w:p w14:paraId="200DF224">
      <w:pPr>
        <w:snapToGrid w:val="0"/>
        <w:spacing w:line="360" w:lineRule="auto"/>
        <w:ind w:right="-82"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7、负责应对上级垃圾分类检查、考核等；负责智能垃圾分类分拣、做好台账、垃圾分类礼品积分兑换等。</w:t>
      </w:r>
    </w:p>
    <w:p w14:paraId="3908D8EC">
      <w:pPr>
        <w:snapToGrid w:val="0"/>
        <w:spacing w:line="360" w:lineRule="auto"/>
        <w:ind w:right="-82"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8、负责智能垃圾分类工作所需的设施运营、管理及维护，如定点回收四分类岗亭、智能垃圾桶回收站组合柜、智能数据采集设备及芯片卡等设施运营、管理及维护及保洁。</w:t>
      </w:r>
    </w:p>
    <w:p w14:paraId="73BD74C4">
      <w:pPr>
        <w:pStyle w:val="16"/>
        <w:snapToGrid w:val="0"/>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hAnsi="宋体" w:cs="宋体"/>
          <w:color w:val="auto"/>
          <w:kern w:val="2"/>
          <w:sz w:val="22"/>
          <w:szCs w:val="22"/>
          <w:highlight w:val="none"/>
          <w:lang w:val="en-US" w:eastAsia="zh-CN" w:bidi="ar-SA"/>
        </w:rPr>
        <w:t>9</w:t>
      </w:r>
      <w:r>
        <w:rPr>
          <w:rFonts w:hint="eastAsia" w:ascii="宋体" w:hAnsi="宋体" w:eastAsia="宋体" w:cs="宋体"/>
          <w:color w:val="auto"/>
          <w:kern w:val="2"/>
          <w:sz w:val="22"/>
          <w:szCs w:val="22"/>
          <w:highlight w:val="none"/>
          <w:lang w:val="en-US" w:eastAsia="zh-CN" w:bidi="ar-SA"/>
        </w:rPr>
        <w:t>、在合同期内因职能交接需要调整乙方保洁范围时，乙方须无条件服从；</w:t>
      </w:r>
    </w:p>
    <w:p w14:paraId="1F9570F9">
      <w:pPr>
        <w:pStyle w:val="16"/>
        <w:snapToGrid w:val="0"/>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第三条  期限</w:t>
      </w:r>
    </w:p>
    <w:p w14:paraId="5F3B7753">
      <w:pPr>
        <w:pStyle w:val="16"/>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本次采购的服务期为1年，自</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日至</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p>
    <w:p w14:paraId="3C13413F">
      <w:pPr>
        <w:pStyle w:val="16"/>
        <w:snapToGrid w:val="0"/>
        <w:spacing w:line="360" w:lineRule="auto"/>
        <w:ind w:firstLine="440" w:firstLineChars="200"/>
        <w:rPr>
          <w:rFonts w:hint="eastAsia" w:ascii="宋体" w:hAnsi="宋体" w:eastAsia="宋体" w:cs="宋体"/>
          <w:b w:val="0"/>
          <w:bCs w:val="0"/>
          <w:color w:val="auto"/>
          <w:sz w:val="22"/>
          <w:highlight w:val="none"/>
          <w:lang w:eastAsia="zh-CN"/>
        </w:rPr>
      </w:pPr>
      <w:r>
        <w:rPr>
          <w:rFonts w:hint="eastAsia" w:hAnsi="宋体"/>
          <w:color w:val="auto"/>
          <w:sz w:val="22"/>
          <w:szCs w:val="22"/>
          <w:highlight w:val="none"/>
        </w:rPr>
        <w:t xml:space="preserve">第四条 </w:t>
      </w:r>
      <w:r>
        <w:rPr>
          <w:rFonts w:hint="eastAsia" w:hAnsi="宋体"/>
          <w:b/>
          <w:bCs/>
          <w:color w:val="auto"/>
          <w:sz w:val="22"/>
          <w:szCs w:val="22"/>
          <w:highlight w:val="none"/>
        </w:rPr>
        <w:t xml:space="preserve"> </w:t>
      </w:r>
      <w:r>
        <w:rPr>
          <w:rFonts w:hint="eastAsia" w:ascii="宋体" w:hAnsi="宋体" w:eastAsia="宋体" w:cs="宋体"/>
          <w:b w:val="0"/>
          <w:bCs w:val="0"/>
          <w:color w:val="auto"/>
          <w:sz w:val="22"/>
          <w:highlight w:val="none"/>
          <w:lang w:eastAsia="zh-CN"/>
        </w:rPr>
        <w:t>考核与费用支付</w:t>
      </w:r>
    </w:p>
    <w:p w14:paraId="2E68F309">
      <w:pPr>
        <w:pStyle w:val="16"/>
        <w:snapToGrid w:val="0"/>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（一）</w:t>
      </w:r>
      <w:r>
        <w:rPr>
          <w:rFonts w:hint="eastAsia" w:hAnsi="宋体"/>
          <w:color w:val="auto"/>
          <w:sz w:val="22"/>
          <w:szCs w:val="22"/>
          <w:highlight w:val="none"/>
          <w:lang w:eastAsia="zh-CN"/>
        </w:rPr>
        <w:t>合同价</w:t>
      </w:r>
      <w:r>
        <w:rPr>
          <w:rFonts w:hint="eastAsia" w:hAnsi="宋体"/>
          <w:color w:val="auto"/>
          <w:sz w:val="22"/>
          <w:szCs w:val="22"/>
          <w:highlight w:val="none"/>
        </w:rPr>
        <w:t>：</w:t>
      </w:r>
      <w:r>
        <w:rPr>
          <w:rFonts w:hint="eastAsia" w:hAnsi="宋体"/>
          <w:color w:val="auto"/>
          <w:sz w:val="22"/>
          <w:szCs w:val="22"/>
          <w:highlight w:val="none"/>
          <w:u w:val="single"/>
        </w:rPr>
        <w:t xml:space="preserve">      </w:t>
      </w:r>
      <w:r>
        <w:rPr>
          <w:rFonts w:hint="eastAsia" w:hAnsi="宋体"/>
          <w:color w:val="auto"/>
          <w:sz w:val="22"/>
          <w:szCs w:val="22"/>
          <w:highlight w:val="none"/>
        </w:rPr>
        <w:t>元（人民币大写：</w:t>
      </w:r>
      <w:r>
        <w:rPr>
          <w:rFonts w:hint="eastAsia" w:hAnsi="宋体"/>
          <w:color w:val="auto"/>
          <w:sz w:val="22"/>
          <w:szCs w:val="22"/>
          <w:highlight w:val="none"/>
          <w:u w:val="single"/>
        </w:rPr>
        <w:t xml:space="preserve">                  </w:t>
      </w:r>
      <w:r>
        <w:rPr>
          <w:rFonts w:hint="eastAsia" w:hAnsi="宋体"/>
          <w:color w:val="auto"/>
          <w:sz w:val="22"/>
          <w:szCs w:val="22"/>
          <w:highlight w:val="none"/>
        </w:rPr>
        <w:t>元整）。</w:t>
      </w:r>
    </w:p>
    <w:p w14:paraId="6646A5CF">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kern w:val="2"/>
          <w:sz w:val="22"/>
          <w:szCs w:val="22"/>
          <w:highlight w:val="none"/>
          <w:lang w:val="en-US" w:eastAsia="zh-CN" w:bidi="ar-SA"/>
        </w:rPr>
        <w:t>（二）</w:t>
      </w:r>
      <w:r>
        <w:rPr>
          <w:rFonts w:hint="eastAsia" w:ascii="宋体" w:hAnsi="宋体" w:cs="宋体"/>
          <w:color w:val="auto"/>
          <w:sz w:val="22"/>
          <w:highlight w:val="none"/>
          <w:lang w:val="en-US" w:eastAsia="zh-CN"/>
        </w:rPr>
        <w:t>费用支付</w:t>
      </w:r>
    </w:p>
    <w:p w14:paraId="04EE6256">
      <w:pPr>
        <w:snapToGrid w:val="0"/>
        <w:spacing w:line="360" w:lineRule="auto"/>
        <w:ind w:firstLine="440" w:firstLineChars="200"/>
        <w:rPr>
          <w:rFonts w:hint="eastAsia" w:ascii="宋体" w:hAnsi="宋体" w:eastAsia="宋体" w:cs="宋体"/>
          <w:color w:val="auto"/>
          <w:sz w:val="22"/>
          <w:highlight w:val="none"/>
          <w:u w:val="none"/>
        </w:rPr>
      </w:pPr>
      <w:r>
        <w:rPr>
          <w:rFonts w:hint="eastAsia" w:ascii="宋体" w:hAnsi="宋体" w:eastAsia="宋体" w:cs="宋体"/>
          <w:color w:val="auto"/>
          <w:sz w:val="22"/>
          <w:highlight w:val="none"/>
          <w:lang w:val="en-US" w:eastAsia="zh-CN"/>
        </w:rPr>
        <w:t>1、实行运营维护情况季度绩效评价制度。对中标运行维护单位以集中考核与日常考核相结合。</w:t>
      </w:r>
      <w:r>
        <w:rPr>
          <w:rFonts w:hint="eastAsia" w:ascii="宋体" w:hAnsi="宋体" w:eastAsia="宋体" w:cs="宋体"/>
          <w:color w:val="auto"/>
          <w:sz w:val="22"/>
          <w:highlight w:val="none"/>
          <w:u w:val="none"/>
          <w:lang w:val="zh-CN"/>
        </w:rPr>
        <w:t>运维管理费用每季度支付一次。本项目先做后付，第二个季度支付前一个季度的运维管理费，并以此类推（由中标供应商提供税务机关正式票据和台账资料）</w:t>
      </w:r>
      <w:r>
        <w:rPr>
          <w:rFonts w:hint="eastAsia" w:ascii="宋体" w:hAnsi="宋体" w:eastAsia="宋体" w:cs="宋体"/>
          <w:color w:val="auto"/>
          <w:sz w:val="22"/>
          <w:highlight w:val="none"/>
          <w:u w:val="none"/>
        </w:rPr>
        <w:t>。</w:t>
      </w:r>
    </w:p>
    <w:p w14:paraId="041BD238">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日常考核：采购单位（或委托第三方）自行组织不定期进行日常巡查考核，对发现的问题以书面形式通知运维单位进行整改，若在规定期限内未完成整改或整改不合格的进行加倍扣分，并计入考核分值。期间，运维单位确因正当理由无法完成整改的，可以书面申请问题整改延期、缓办或取消，由采购单位核查并回复，运维单位须按回复进行办理。</w:t>
      </w:r>
    </w:p>
    <w:p w14:paraId="57997AB5">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每季度集中随机考核：采购单位（或委托第三方）组织督查考核。对发现的问题以书面形式通知运维单位进行整改并予以单倍扣分。若在规定期限内未完成整改或整改不合格的的进行加倍扣分，并计入考核分值。期间，运维单位确因正当理由无法完成整改的，可以书面申请问题整改延期、缓办或取消，由采购单位核查并回复，运维单位须按回复进行办理。</w:t>
      </w:r>
    </w:p>
    <w:p w14:paraId="30F8EADE">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4、设备及人员进场及到位率</w:t>
      </w:r>
    </w:p>
    <w:p w14:paraId="73F36050">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4.1中标供应商须在领取中标通知书后5个工作日内配齐招标文件要求及投标承诺的人员及设备（含车辆），否则采购单位有权扣押30%的运维费用，待运营期结束后核发。</w:t>
      </w:r>
    </w:p>
    <w:p w14:paraId="77A136C2">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4.2在运维过程中，如第一次发现人员及设备未按照招标文件及投标承诺时投入的，扣押月度30%的运维费用，待运营期结束后核发。</w:t>
      </w:r>
    </w:p>
    <w:p w14:paraId="27C528E3">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如第二次发现人员及设备未按照招标文件及投标承诺时投入的，直接扣除该月度10%的运维费用。</w:t>
      </w:r>
    </w:p>
    <w:p w14:paraId="30EA1B60">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如第三次发现人员及设备未按照招标文件及投标承诺时投入的，直接扣除该月度30%的运维费用。</w:t>
      </w:r>
    </w:p>
    <w:p w14:paraId="273BA4B4">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中标供应商须在5日内整改完成，并邀请采购单位进行确认，如未邀请采购单位进行确认，则视为未整改到位。如中标供应商无正当理由拒不整改的或第四次发现人员及设备未按照招标文件及投标承诺时投入的，采购单位有权终止合同并拒绝支付所有运营费用，中标供应商须承担由此对采购单位造成的损失。</w:t>
      </w:r>
    </w:p>
    <w:p w14:paraId="51BA38AA">
      <w:pPr>
        <w:numPr>
          <w:ilvl w:val="0"/>
          <w:numId w:val="0"/>
        </w:numPr>
        <w:snapToGrid w:val="0"/>
        <w:spacing w:line="360" w:lineRule="auto"/>
        <w:ind w:left="0" w:leftChars="0" w:firstLine="44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2"/>
          <w:highlight w:val="none"/>
          <w:lang w:val="en-US" w:eastAsia="zh-CN"/>
        </w:rPr>
        <w:t>5、奖惩制度：根据泰顺县“最干净（最脏）乡镇、村”考评办法，每轮评选运维范围内每出现1个红码村的罚1万元，每出现1个绿码村的奖励1万元，半年度评选乡镇两最排名倒数第一名的罚6万元，倒数第二名的罚4万元，倒数第三名的罚2万元（连续两次全县“两最”半年考评同组排名倒一的，在此基础上扣除中标价*10%并终止合同，不再续签。），排名第一名奖励6万元，第二名奖励4万元，第三名奖励2万元，第四名和第五名的分别奖励金额1万元。（如县两最考评办法变更，招标人有权根据实际情况修改奖惩措施，招标人拥有最终解释权。）</w:t>
      </w:r>
    </w:p>
    <w:p w14:paraId="0A88DB2F">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6、运维费用按实际考核结果支付，具体如下：</w:t>
      </w:r>
    </w:p>
    <w:p w14:paraId="11F050B4">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（1）运维费用每季度支付一次，根据日常、季度考核及上级部门督查结果（根据大安乡环境卫生作业考核标准的</w:t>
      </w:r>
      <w:r>
        <w:rPr>
          <w:rFonts w:hint="eastAsia" w:ascii="宋体" w:hAnsi="宋体" w:eastAsia="宋体" w:cs="宋体"/>
          <w:b w:val="0"/>
          <w:bCs w:val="0"/>
          <w:color w:val="auto"/>
          <w:sz w:val="22"/>
          <w:highlight w:val="none"/>
          <w:lang w:val="en-US" w:eastAsia="zh-CN"/>
        </w:rPr>
        <w:t>考评结果</w:t>
      </w:r>
      <w:r>
        <w:rPr>
          <w:rFonts w:hint="eastAsia" w:ascii="宋体" w:hAnsi="宋体" w:eastAsia="宋体" w:cs="宋体"/>
          <w:color w:val="auto"/>
          <w:sz w:val="22"/>
          <w:highlight w:val="none"/>
          <w:lang w:val="en-US" w:eastAsia="zh-CN"/>
        </w:rPr>
        <w:t>。每扣1分，扣100元人民币）、泰顺县</w:t>
      </w:r>
      <w:r>
        <w:rPr>
          <w:rFonts w:hint="eastAsia" w:ascii="宋体" w:hAnsi="宋体" w:eastAsia="宋体" w:cs="宋体"/>
          <w:b w:val="0"/>
          <w:bCs w:val="0"/>
          <w:color w:val="auto"/>
          <w:sz w:val="22"/>
          <w:highlight w:val="none"/>
          <w:lang w:val="en-US" w:eastAsia="zh-CN"/>
        </w:rPr>
        <w:t>“最干净（最脏）乡镇、村”考评结果</w:t>
      </w:r>
      <w:r>
        <w:rPr>
          <w:rFonts w:hint="eastAsia" w:ascii="宋体" w:hAnsi="宋体" w:eastAsia="宋体" w:cs="宋体"/>
          <w:color w:val="auto"/>
          <w:sz w:val="22"/>
          <w:highlight w:val="none"/>
          <w:lang w:val="en-US" w:eastAsia="zh-CN"/>
        </w:rPr>
        <w:t>及中标单位开具的发票进行支付。</w:t>
      </w:r>
    </w:p>
    <w:p w14:paraId="283E99C7">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（2）支付时间：中标单位开具的发票后7个工作日内。</w:t>
      </w:r>
    </w:p>
    <w:p w14:paraId="6A032FD5">
      <w:pPr>
        <w:snapToGrid w:val="0"/>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zh-CN" w:eastAsia="zh-CN"/>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val="zh-CN" w:eastAsia="zh-CN"/>
        </w:rPr>
        <w:t>）半年累计扣分超过</w:t>
      </w:r>
      <w:r>
        <w:rPr>
          <w:rFonts w:hint="eastAsia" w:ascii="宋体" w:hAnsi="宋体" w:eastAsia="宋体" w:cs="宋体"/>
          <w:color w:val="auto"/>
          <w:sz w:val="22"/>
          <w:highlight w:val="none"/>
          <w:lang w:val="en-US" w:eastAsia="zh-CN"/>
        </w:rPr>
        <w:t>1000分，采购单位有权终止合同并拒绝支付未支付运营费用，中标供应商须承担由此对采购单位造成的损失。一年累计</w:t>
      </w:r>
      <w:r>
        <w:rPr>
          <w:rFonts w:hint="eastAsia" w:ascii="宋体" w:hAnsi="宋体" w:eastAsia="宋体" w:cs="宋体"/>
          <w:color w:val="auto"/>
          <w:sz w:val="22"/>
          <w:highlight w:val="none"/>
          <w:lang w:val="zh-CN" w:eastAsia="zh-CN"/>
        </w:rPr>
        <w:t>扣分超过</w:t>
      </w:r>
      <w:r>
        <w:rPr>
          <w:rFonts w:hint="eastAsia" w:ascii="宋体" w:hAnsi="宋体" w:eastAsia="宋体" w:cs="宋体"/>
          <w:color w:val="auto"/>
          <w:sz w:val="22"/>
          <w:highlight w:val="none"/>
          <w:lang w:val="en-US" w:eastAsia="zh-CN"/>
        </w:rPr>
        <w:t>2000分，终止合同，不再续签，并上报主管部门。</w:t>
      </w:r>
    </w:p>
    <w:p w14:paraId="501BAF95">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第五条  方式</w:t>
      </w:r>
    </w:p>
    <w:p w14:paraId="5DA7B737">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采用全包干形式，即业务包干、经费包干方式。甲方将</w:t>
      </w:r>
      <w:r>
        <w:rPr>
          <w:rFonts w:hint="eastAsia" w:hAnsi="宋体" w:cs="仿宋_GB2312"/>
          <w:color w:val="auto"/>
          <w:sz w:val="22"/>
          <w:szCs w:val="22"/>
          <w:highlight w:val="none"/>
          <w:lang w:eastAsia="zh-CN"/>
        </w:rPr>
        <w:t>2025-2026泰顺县大安乡环卫保洁服务</w:t>
      </w:r>
      <w:r>
        <w:rPr>
          <w:rFonts w:hint="eastAsia" w:hAnsi="宋体" w:cs="仿宋_GB2312"/>
          <w:color w:val="auto"/>
          <w:sz w:val="22"/>
          <w:szCs w:val="22"/>
          <w:highlight w:val="none"/>
        </w:rPr>
        <w:t>及相应的经费交给乙方，乙方按甲方的管理要求和标准组织</w:t>
      </w:r>
      <w:r>
        <w:rPr>
          <w:rFonts w:hint="eastAsia" w:hAnsi="宋体" w:cs="仿宋_GB2312"/>
          <w:color w:val="auto"/>
          <w:sz w:val="22"/>
          <w:szCs w:val="22"/>
          <w:highlight w:val="none"/>
          <w:lang w:eastAsia="zh-CN"/>
        </w:rPr>
        <w:t>2025-2026泰顺县大安乡环卫保洁服务</w:t>
      </w:r>
      <w:r>
        <w:rPr>
          <w:rFonts w:hint="eastAsia" w:hAnsi="宋体" w:cs="仿宋_GB2312"/>
          <w:color w:val="auto"/>
          <w:sz w:val="22"/>
          <w:szCs w:val="22"/>
          <w:highlight w:val="none"/>
        </w:rPr>
        <w:t>工作，并接受甲方的指导、监督和检查验收。</w:t>
      </w:r>
    </w:p>
    <w:p w14:paraId="190D6759">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第六条  工作要求和质量标准</w:t>
      </w:r>
    </w:p>
    <w:p w14:paraId="67ECF458">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各项具体工作的质量标准和作业规范按甲方具体要求《招标文件》中所规定的执行。</w:t>
      </w:r>
    </w:p>
    <w:p w14:paraId="1A3D88CE">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第七条  检查考评办法</w:t>
      </w:r>
    </w:p>
    <w:p w14:paraId="2D1361D6">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具体的检查验收方法、内容、程序等按甲方具体要求及《招标文件》执行。</w:t>
      </w:r>
    </w:p>
    <w:p w14:paraId="7309F170">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第八条  履约保证金</w:t>
      </w:r>
    </w:p>
    <w:p w14:paraId="162CB8FD">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（一）合同签订后5个工作日内</w:t>
      </w:r>
      <w:r>
        <w:rPr>
          <w:rFonts w:hint="eastAsia" w:hAnsi="宋体" w:cs="仿宋_GB2312"/>
          <w:color w:val="auto"/>
          <w:sz w:val="22"/>
          <w:szCs w:val="22"/>
          <w:highlight w:val="none"/>
          <w:lang w:eastAsia="zh-CN"/>
        </w:rPr>
        <w:t>乙方</w:t>
      </w:r>
      <w:r>
        <w:rPr>
          <w:rFonts w:hint="eastAsia" w:hAnsi="宋体" w:cs="仿宋_GB2312"/>
          <w:color w:val="auto"/>
          <w:sz w:val="22"/>
          <w:szCs w:val="22"/>
          <w:highlight w:val="none"/>
        </w:rPr>
        <w:t>应提供合同总金额1%的履约保证金至</w:t>
      </w:r>
      <w:r>
        <w:rPr>
          <w:rFonts w:hint="eastAsia" w:hAnsi="宋体" w:cs="仿宋_GB2312"/>
          <w:color w:val="auto"/>
          <w:sz w:val="22"/>
          <w:szCs w:val="22"/>
          <w:highlight w:val="none"/>
          <w:lang w:eastAsia="zh-CN"/>
        </w:rPr>
        <w:t>甲方</w:t>
      </w:r>
      <w:r>
        <w:rPr>
          <w:rFonts w:hint="eastAsia" w:hAnsi="宋体" w:cs="仿宋_GB2312"/>
          <w:color w:val="auto"/>
          <w:sz w:val="22"/>
          <w:szCs w:val="22"/>
          <w:highlight w:val="none"/>
        </w:rPr>
        <w:t>指定账户</w:t>
      </w:r>
      <w:r>
        <w:rPr>
          <w:rFonts w:hint="eastAsia" w:hAnsi="宋体" w:cs="仿宋_GB2312"/>
          <w:color w:val="auto"/>
          <w:sz w:val="22"/>
          <w:szCs w:val="22"/>
          <w:highlight w:val="none"/>
          <w:lang w:eastAsia="zh-CN"/>
        </w:rPr>
        <w:t>，供应商以银行、保险公司出具保函形式提交履约保证金的，甲方不得拒收</w:t>
      </w:r>
      <w:r>
        <w:rPr>
          <w:rFonts w:hint="eastAsia" w:hAnsi="宋体" w:cs="仿宋_GB2312"/>
          <w:color w:val="auto"/>
          <w:sz w:val="22"/>
          <w:szCs w:val="22"/>
          <w:highlight w:val="none"/>
        </w:rPr>
        <w:t>。</w:t>
      </w:r>
    </w:p>
    <w:p w14:paraId="0907F1B6">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（二）任务完成并验收移交采购人后十五个工作日内无息退还履约保证金；</w:t>
      </w:r>
    </w:p>
    <w:p w14:paraId="724BD49C">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（三）乙方不能按期保质保量完成</w:t>
      </w:r>
      <w:r>
        <w:rPr>
          <w:rFonts w:hint="eastAsia" w:hAnsi="宋体" w:cs="仿宋_GB2312"/>
          <w:color w:val="auto"/>
          <w:sz w:val="22"/>
          <w:szCs w:val="22"/>
          <w:highlight w:val="none"/>
          <w:lang w:eastAsia="zh-CN"/>
        </w:rPr>
        <w:t>保洁及维护</w:t>
      </w:r>
      <w:r>
        <w:rPr>
          <w:rFonts w:hint="eastAsia" w:hAnsi="宋体" w:cs="仿宋_GB2312"/>
          <w:color w:val="auto"/>
          <w:sz w:val="22"/>
          <w:szCs w:val="22"/>
          <w:highlight w:val="none"/>
        </w:rPr>
        <w:t>业务，除承担相关责任外，甲方可相应没收合同履约保证金。</w:t>
      </w:r>
    </w:p>
    <w:p w14:paraId="3A14FE03">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第九条  考评办法</w:t>
      </w:r>
    </w:p>
    <w:p w14:paraId="6BD39950">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乙方应严格按照甲方具体要求及《招标文件》的规定，对</w:t>
      </w:r>
      <w:r>
        <w:rPr>
          <w:rFonts w:hint="eastAsia" w:hAnsi="宋体" w:cs="仿宋_GB2312"/>
          <w:color w:val="auto"/>
          <w:sz w:val="22"/>
          <w:szCs w:val="22"/>
          <w:highlight w:val="none"/>
          <w:lang w:eastAsia="zh-CN"/>
        </w:rPr>
        <w:t>所负责的泰顺县大安乡保洁范围进行环卫保洁</w:t>
      </w:r>
      <w:r>
        <w:rPr>
          <w:rFonts w:hint="eastAsia" w:hAnsi="宋体" w:cs="仿宋_GB2312"/>
          <w:color w:val="auto"/>
          <w:sz w:val="22"/>
          <w:szCs w:val="22"/>
          <w:highlight w:val="none"/>
        </w:rPr>
        <w:t>。同时，还要接受甲方按</w:t>
      </w:r>
      <w:r>
        <w:rPr>
          <w:rFonts w:hint="eastAsia" w:hAnsi="宋体" w:cs="仿宋_GB2312"/>
          <w:color w:val="auto"/>
          <w:sz w:val="22"/>
          <w:szCs w:val="22"/>
          <w:highlight w:val="none"/>
          <w:lang w:eastAsia="zh-CN"/>
        </w:rPr>
        <w:t>《大安乡环境卫生作业考核标准》</w:t>
      </w:r>
      <w:r>
        <w:rPr>
          <w:rFonts w:hint="eastAsia" w:hAnsi="宋体" w:cs="仿宋_GB2312"/>
          <w:color w:val="auto"/>
          <w:sz w:val="22"/>
          <w:szCs w:val="22"/>
          <w:highlight w:val="none"/>
        </w:rPr>
        <w:t>等规定进行质量检查考评。</w:t>
      </w:r>
    </w:p>
    <w:p w14:paraId="76616974">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第十条  权利和义务</w:t>
      </w:r>
    </w:p>
    <w:p w14:paraId="7AE816C9">
      <w:pPr>
        <w:pStyle w:val="16"/>
        <w:snapToGrid w:val="0"/>
        <w:spacing w:line="360" w:lineRule="auto"/>
        <w:ind w:firstLine="220" w:firstLineChars="100"/>
        <w:rPr>
          <w:rFonts w:hint="eastAsia" w:hAnsi="宋体" w:cs="仿宋_GB2312"/>
          <w:color w:val="auto"/>
          <w:sz w:val="22"/>
          <w:szCs w:val="22"/>
          <w:highlight w:val="none"/>
        </w:rPr>
      </w:pPr>
      <w:r>
        <w:rPr>
          <w:rFonts w:hint="eastAsia" w:hAnsi="宋体" w:cs="仿宋_GB2312"/>
          <w:color w:val="auto"/>
          <w:sz w:val="22"/>
          <w:szCs w:val="22"/>
          <w:highlight w:val="none"/>
        </w:rPr>
        <w:t>（一）甲方权利与义务</w:t>
      </w:r>
    </w:p>
    <w:p w14:paraId="3C71B399">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1、甲方对乙方的</w:t>
      </w:r>
      <w:r>
        <w:rPr>
          <w:rFonts w:hint="eastAsia" w:hAnsi="宋体" w:cs="仿宋_GB2312"/>
          <w:color w:val="auto"/>
          <w:sz w:val="22"/>
          <w:szCs w:val="22"/>
          <w:highlight w:val="none"/>
          <w:lang w:eastAsia="zh-CN"/>
        </w:rPr>
        <w:t>2025-2026泰顺县大安乡环卫保洁服务</w:t>
      </w:r>
      <w:r>
        <w:rPr>
          <w:rFonts w:hint="eastAsia" w:hAnsi="宋体" w:cs="仿宋_GB2312"/>
          <w:color w:val="auto"/>
          <w:sz w:val="22"/>
          <w:szCs w:val="22"/>
          <w:highlight w:val="none"/>
        </w:rPr>
        <w:t>进行全面的技术指导、检查、管理和监督，对检查中发现的环境卫生质量问题及时向乙方提出书面或口头改进意见。</w:t>
      </w:r>
    </w:p>
    <w:p w14:paraId="5C86D823">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2、甲方对乙方违反</w:t>
      </w:r>
      <w:r>
        <w:rPr>
          <w:rFonts w:hint="eastAsia" w:hAnsi="宋体" w:cs="仿宋_GB2312"/>
          <w:color w:val="auto"/>
          <w:sz w:val="22"/>
          <w:szCs w:val="22"/>
          <w:highlight w:val="none"/>
          <w:lang w:eastAsia="zh-CN"/>
        </w:rPr>
        <w:t>招标文件</w:t>
      </w:r>
      <w:r>
        <w:rPr>
          <w:rFonts w:hint="eastAsia" w:hAnsi="宋体" w:cs="仿宋_GB2312"/>
          <w:color w:val="auto"/>
          <w:sz w:val="22"/>
          <w:szCs w:val="22"/>
          <w:highlight w:val="none"/>
        </w:rPr>
        <w:t>第二部分</w:t>
      </w:r>
      <w:r>
        <w:rPr>
          <w:rFonts w:hint="eastAsia" w:hAnsi="宋体" w:cs="仿宋_GB2312"/>
          <w:color w:val="auto"/>
          <w:sz w:val="22"/>
          <w:szCs w:val="22"/>
          <w:highlight w:val="none"/>
          <w:lang w:val="en-US" w:eastAsia="zh-CN"/>
        </w:rPr>
        <w:t xml:space="preserve"> </w:t>
      </w:r>
      <w:r>
        <w:rPr>
          <w:rFonts w:hint="eastAsia" w:hAnsi="宋体" w:cs="仿宋_GB2312"/>
          <w:color w:val="auto"/>
          <w:sz w:val="22"/>
          <w:szCs w:val="22"/>
          <w:highlight w:val="none"/>
        </w:rPr>
        <w:t>采购内容及技术要求中</w:t>
      </w:r>
      <w:r>
        <w:rPr>
          <w:rFonts w:hint="eastAsia" w:hAnsi="宋体" w:cs="仿宋_GB2312"/>
          <w:color w:val="auto"/>
          <w:sz w:val="22"/>
          <w:szCs w:val="22"/>
          <w:highlight w:val="none"/>
          <w:lang w:eastAsia="zh-CN"/>
        </w:rPr>
        <w:t>包括但不限于考核与费用支付</w:t>
      </w:r>
      <w:r>
        <w:rPr>
          <w:rFonts w:hint="eastAsia" w:hAnsi="宋体" w:cs="仿宋_GB2312"/>
          <w:color w:val="auto"/>
          <w:sz w:val="22"/>
          <w:szCs w:val="22"/>
          <w:highlight w:val="none"/>
        </w:rPr>
        <w:t>规定的行为可以要求乙方支付相应的违约金。</w:t>
      </w:r>
    </w:p>
    <w:p w14:paraId="5FC85123">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3、甲方监督检查乙方落实安全生产措施（包括防台、防火）。</w:t>
      </w:r>
      <w:bookmarkStart w:id="40" w:name="_GoBack"/>
      <w:bookmarkEnd w:id="40"/>
    </w:p>
    <w:p w14:paraId="540319EE">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4、甲方监督检查乙方对员工进行培训的情况，以提高</w:t>
      </w:r>
      <w:r>
        <w:rPr>
          <w:rFonts w:hint="eastAsia" w:hAnsi="宋体" w:cs="仿宋_GB2312"/>
          <w:color w:val="auto"/>
          <w:sz w:val="22"/>
          <w:szCs w:val="22"/>
          <w:highlight w:val="none"/>
          <w:lang w:eastAsia="zh-CN"/>
        </w:rPr>
        <w:t>2025-2026泰顺县大安乡环卫保洁服务</w:t>
      </w:r>
      <w:r>
        <w:rPr>
          <w:rFonts w:hint="eastAsia" w:hAnsi="宋体" w:cs="仿宋_GB2312"/>
          <w:color w:val="auto"/>
          <w:sz w:val="22"/>
          <w:szCs w:val="22"/>
          <w:highlight w:val="none"/>
        </w:rPr>
        <w:t>的技术水平。</w:t>
      </w:r>
    </w:p>
    <w:p w14:paraId="38A9C765">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5、甲方应按</w:t>
      </w:r>
      <w:r>
        <w:rPr>
          <w:rFonts w:hint="eastAsia" w:hAnsi="宋体" w:cs="仿宋_GB2312"/>
          <w:color w:val="auto"/>
          <w:sz w:val="22"/>
          <w:szCs w:val="22"/>
          <w:highlight w:val="none"/>
          <w:lang w:eastAsia="zh-CN"/>
        </w:rPr>
        <w:t>2025-2026泰顺县大安乡环卫保洁服务业务</w:t>
      </w:r>
      <w:r>
        <w:rPr>
          <w:rFonts w:hint="eastAsia" w:hAnsi="宋体" w:cs="仿宋_GB2312"/>
          <w:color w:val="auto"/>
          <w:sz w:val="22"/>
          <w:szCs w:val="22"/>
          <w:highlight w:val="none"/>
        </w:rPr>
        <w:t>质量和检查验收结果计算经费，扣除乙方因检查不合格应扣款后，将经费按期支付给乙方。</w:t>
      </w:r>
    </w:p>
    <w:p w14:paraId="71A57DB7">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6、甲方可要求乙方调整不合格员工。</w:t>
      </w:r>
    </w:p>
    <w:p w14:paraId="246FE1C5">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7、甲方可根据政策的变动并结合实际情况对本项目合同“</w:t>
      </w:r>
      <w:r>
        <w:rPr>
          <w:rFonts w:hint="eastAsia" w:hAnsi="宋体" w:cs="仿宋_GB2312"/>
          <w:color w:val="auto"/>
          <w:sz w:val="22"/>
          <w:szCs w:val="22"/>
          <w:highlight w:val="none"/>
          <w:lang w:eastAsia="zh-CN"/>
        </w:rPr>
        <w:t>大安乡环境卫生作业考核标准</w:t>
      </w:r>
      <w:r>
        <w:rPr>
          <w:rFonts w:hint="eastAsia" w:hAnsi="宋体" w:cs="仿宋_GB2312"/>
          <w:color w:val="auto"/>
          <w:sz w:val="22"/>
          <w:szCs w:val="22"/>
          <w:highlight w:val="none"/>
        </w:rPr>
        <w:t>”进行修改和补充。</w:t>
      </w:r>
    </w:p>
    <w:p w14:paraId="69FF8DB3">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（二）乙方权利和义务</w:t>
      </w:r>
    </w:p>
    <w:p w14:paraId="2092E943">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1、乙方有权根据合同按期领取结算经费。</w:t>
      </w:r>
    </w:p>
    <w:p w14:paraId="35B43589">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2、乙方有权对管理工作提出建议。</w:t>
      </w:r>
    </w:p>
    <w:p w14:paraId="7F823FEB">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3、乙方履行承诺的义务，并参加由甲方组织的检查和综合考评。</w:t>
      </w:r>
    </w:p>
    <w:p w14:paraId="2F37EE31">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4、乙方应接受甲方的检查监督及指导。</w:t>
      </w:r>
    </w:p>
    <w:p w14:paraId="53F23B1F">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5、按甲方的要求开展工作，如有改变，乙方应提出书面申请，并征得甲方的书面同意。</w:t>
      </w:r>
    </w:p>
    <w:p w14:paraId="6A120DC9">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lang w:val="en-US" w:eastAsia="zh-CN"/>
        </w:rPr>
        <w:t>6</w:t>
      </w:r>
      <w:r>
        <w:rPr>
          <w:rFonts w:hint="eastAsia" w:hAnsi="宋体" w:cs="仿宋_GB2312"/>
          <w:color w:val="auto"/>
          <w:sz w:val="22"/>
          <w:szCs w:val="22"/>
          <w:highlight w:val="none"/>
        </w:rPr>
        <w:t>、乙方根据本合同所承担的服务内容，按实际上岗人数自行到有关部门申办相关手续。员工最低工资不得低于泰顺县本年度最低工资标准。安排好属下人员的住宿和教育管理工作，如发生违纪事件，由乙方承担一切经济责任和法律责任。</w:t>
      </w:r>
    </w:p>
    <w:p w14:paraId="2738DCE7">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lang w:val="en-US" w:eastAsia="zh-CN"/>
        </w:rPr>
        <w:t>7</w:t>
      </w:r>
      <w:r>
        <w:rPr>
          <w:rFonts w:hint="eastAsia" w:hAnsi="宋体" w:cs="仿宋_GB2312"/>
          <w:color w:val="auto"/>
          <w:sz w:val="22"/>
          <w:szCs w:val="22"/>
          <w:highlight w:val="none"/>
        </w:rPr>
        <w:t>、乙方应按甲方要求，为上岗工人购买统一的工作服。</w:t>
      </w:r>
    </w:p>
    <w:p w14:paraId="6ED200B9">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lang w:val="en-US" w:eastAsia="zh-CN"/>
        </w:rPr>
        <w:t>8</w:t>
      </w:r>
      <w:r>
        <w:rPr>
          <w:rFonts w:hint="eastAsia" w:hAnsi="宋体" w:cs="仿宋_GB2312"/>
          <w:color w:val="auto"/>
          <w:sz w:val="22"/>
          <w:szCs w:val="22"/>
          <w:highlight w:val="none"/>
        </w:rPr>
        <w:t>、负责提供本项目所需的全部工具、设备和材料。</w:t>
      </w:r>
    </w:p>
    <w:p w14:paraId="0A7B37EA">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lang w:val="en-US" w:eastAsia="zh-CN"/>
        </w:rPr>
        <w:t>9</w:t>
      </w:r>
      <w:r>
        <w:rPr>
          <w:rFonts w:hint="eastAsia" w:hAnsi="宋体" w:cs="仿宋_GB2312"/>
          <w:color w:val="auto"/>
          <w:sz w:val="22"/>
          <w:szCs w:val="22"/>
          <w:highlight w:val="none"/>
        </w:rPr>
        <w:t>、乙方负责作业过程中的事故处理和一切费用，并承担事故的所有责任。</w:t>
      </w:r>
    </w:p>
    <w:p w14:paraId="60FBC5A2">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1</w:t>
      </w:r>
      <w:r>
        <w:rPr>
          <w:rFonts w:hint="eastAsia" w:hAnsi="宋体" w:cs="仿宋_GB2312"/>
          <w:color w:val="auto"/>
          <w:sz w:val="22"/>
          <w:szCs w:val="22"/>
          <w:highlight w:val="none"/>
          <w:lang w:val="en-US" w:eastAsia="zh-CN"/>
        </w:rPr>
        <w:t>0</w:t>
      </w:r>
      <w:r>
        <w:rPr>
          <w:rFonts w:hint="eastAsia" w:hAnsi="宋体" w:cs="仿宋_GB2312"/>
          <w:color w:val="auto"/>
          <w:sz w:val="22"/>
          <w:szCs w:val="22"/>
          <w:highlight w:val="none"/>
        </w:rPr>
        <w:t>、在合同期内，因国家建设需要调整乙方管理任务和管理级别时，乙方要服从大局，相应增减面积及经费。由此造成的经济损失，甲方不负赔偿责任。</w:t>
      </w:r>
    </w:p>
    <w:p w14:paraId="3AF35D15">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1</w:t>
      </w:r>
      <w:r>
        <w:rPr>
          <w:rFonts w:hint="eastAsia" w:hAnsi="宋体" w:cs="仿宋_GB2312"/>
          <w:color w:val="auto"/>
          <w:sz w:val="22"/>
          <w:szCs w:val="22"/>
          <w:highlight w:val="none"/>
          <w:lang w:val="en-US" w:eastAsia="zh-CN"/>
        </w:rPr>
        <w:t>1</w:t>
      </w:r>
      <w:r>
        <w:rPr>
          <w:rFonts w:hint="eastAsia" w:hAnsi="宋体" w:cs="仿宋_GB2312"/>
          <w:color w:val="auto"/>
          <w:sz w:val="22"/>
          <w:szCs w:val="22"/>
          <w:highlight w:val="none"/>
        </w:rPr>
        <w:t>、乙方应遵守法律、法规和政策的规定，因以上原因使合同性质发生改变，甲方不负赔偿责任。</w:t>
      </w:r>
    </w:p>
    <w:p w14:paraId="5CA17D4E">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第十一条  合同组成</w:t>
      </w:r>
    </w:p>
    <w:p w14:paraId="7F9C43F0">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合同组成：《招标文件》、《投标文件》、《中标通知书》及询标纪要和承诺书为本合同的有效组成部分。</w:t>
      </w:r>
    </w:p>
    <w:p w14:paraId="12052563">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第十二条  违约责任</w:t>
      </w:r>
    </w:p>
    <w:p w14:paraId="18833499">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一）乙方违反甲方具体要求及《招标文件》规定的行为均属违约行为。甲方根据上述规定条款，视乙方违反规定的情节轻重，做出发书面通知要求乙方改正、支付违约金，情节严重者，甲方有权单方终止本合同，由乙方承担一切经济损失和法律责任。因乙方违约造成甲方损失的，甲方有权从乙方缴纳的履约保证金中扣除，不足扣除的乙方应须承担责任。</w:t>
      </w:r>
    </w:p>
    <w:p w14:paraId="77ACE18B">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（二）乙方因机械、工具或技术、劳动等跟不上管理需要影响工作，未达到质量标</w:t>
      </w:r>
      <w:r>
        <w:rPr>
          <w:rFonts w:hint="eastAsia" w:hAnsi="宋体"/>
          <w:color w:val="auto"/>
          <w:sz w:val="22"/>
          <w:szCs w:val="22"/>
          <w:highlight w:val="none"/>
        </w:rPr>
        <w:t>准，按照《招标文件》第</w:t>
      </w:r>
      <w:r>
        <w:rPr>
          <w:rFonts w:hint="eastAsia" w:hAnsi="宋体" w:cs="仿宋_GB2312"/>
          <w:color w:val="auto"/>
          <w:sz w:val="22"/>
          <w:szCs w:val="22"/>
          <w:highlight w:val="none"/>
        </w:rPr>
        <w:t>二部分内的“考核与费用支付”的规定，甲方有权单方终止本合同。</w:t>
      </w:r>
    </w:p>
    <w:p w14:paraId="52C94132">
      <w:pPr>
        <w:pStyle w:val="16"/>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第十三条  验收移交</w:t>
      </w:r>
    </w:p>
    <w:p w14:paraId="56E4197F">
      <w:pPr>
        <w:pStyle w:val="16"/>
        <w:snapToGrid w:val="0"/>
        <w:spacing w:line="360" w:lineRule="auto"/>
        <w:ind w:firstLine="482"/>
        <w:rPr>
          <w:rFonts w:hint="eastAsia" w:hAnsi="宋体" w:cs="宋体"/>
          <w:color w:val="auto"/>
          <w:sz w:val="22"/>
          <w:szCs w:val="22"/>
          <w:highlight w:val="none"/>
        </w:rPr>
      </w:pPr>
      <w:r>
        <w:rPr>
          <w:rFonts w:hint="eastAsia" w:hAnsi="宋体"/>
          <w:color w:val="auto"/>
          <w:sz w:val="22"/>
          <w:szCs w:val="22"/>
          <w:highlight w:val="none"/>
        </w:rPr>
        <w:t>（一）在合同终止前十个工作日内，由乙方书面向甲方提出移交验收申请。</w:t>
      </w:r>
    </w:p>
    <w:p w14:paraId="11922672">
      <w:pPr>
        <w:pStyle w:val="16"/>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（二）合同期满，乙方必须将全部</w:t>
      </w:r>
      <w:r>
        <w:rPr>
          <w:rFonts w:hint="eastAsia" w:hAnsi="宋体"/>
          <w:color w:val="auto"/>
          <w:sz w:val="22"/>
          <w:szCs w:val="22"/>
          <w:highlight w:val="none"/>
          <w:lang w:eastAsia="zh-CN"/>
        </w:rPr>
        <w:t>大安乡保洁工作</w:t>
      </w:r>
      <w:r>
        <w:rPr>
          <w:rFonts w:hint="eastAsia" w:hAnsi="宋体"/>
          <w:color w:val="auto"/>
          <w:sz w:val="22"/>
          <w:szCs w:val="22"/>
          <w:highlight w:val="none"/>
        </w:rPr>
        <w:t>及时移交甲方。未经甲方许可，合同期满，乙方不</w:t>
      </w:r>
      <w:r>
        <w:rPr>
          <w:rFonts w:hint="eastAsia" w:hAnsi="宋体"/>
          <w:color w:val="auto"/>
          <w:sz w:val="22"/>
          <w:szCs w:val="22"/>
          <w:highlight w:val="none"/>
          <w:lang w:eastAsia="zh-CN"/>
        </w:rPr>
        <w:t>得擅自</w:t>
      </w:r>
      <w:r>
        <w:rPr>
          <w:rFonts w:hint="eastAsia" w:hAnsi="宋体"/>
          <w:color w:val="auto"/>
          <w:sz w:val="22"/>
          <w:szCs w:val="22"/>
          <w:highlight w:val="none"/>
        </w:rPr>
        <w:t>移交管理</w:t>
      </w:r>
      <w:r>
        <w:rPr>
          <w:rFonts w:hint="eastAsia" w:hAnsi="宋体"/>
          <w:color w:val="auto"/>
          <w:sz w:val="22"/>
          <w:szCs w:val="22"/>
          <w:highlight w:val="none"/>
          <w:lang w:eastAsia="zh-CN"/>
        </w:rPr>
        <w:t>工作</w:t>
      </w:r>
      <w:r>
        <w:rPr>
          <w:rFonts w:hint="eastAsia" w:hAnsi="宋体"/>
          <w:color w:val="auto"/>
          <w:sz w:val="22"/>
          <w:szCs w:val="22"/>
          <w:highlight w:val="none"/>
        </w:rPr>
        <w:t>给甲方。</w:t>
      </w:r>
    </w:p>
    <w:p w14:paraId="0BA2B4CE">
      <w:pPr>
        <w:pStyle w:val="16"/>
        <w:snapToGrid w:val="0"/>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第十四条  争议的解决</w:t>
      </w:r>
    </w:p>
    <w:p w14:paraId="0BA18871">
      <w:pPr>
        <w:pStyle w:val="16"/>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合同未尽事宜，应双方友好协调解决。协商不一致，任何一方均可向</w:t>
      </w:r>
      <w:r>
        <w:rPr>
          <w:rFonts w:hint="eastAsia" w:hAnsi="宋体"/>
          <w:color w:val="auto"/>
          <w:sz w:val="22"/>
          <w:szCs w:val="22"/>
          <w:highlight w:val="none"/>
          <w:lang w:eastAsia="zh-CN"/>
        </w:rPr>
        <w:t>泰顺县</w:t>
      </w:r>
      <w:r>
        <w:rPr>
          <w:rFonts w:hint="eastAsia" w:hAnsi="宋体"/>
          <w:color w:val="auto"/>
          <w:sz w:val="22"/>
          <w:szCs w:val="22"/>
          <w:highlight w:val="none"/>
        </w:rPr>
        <w:t>人民法院提起诉讼。</w:t>
      </w:r>
    </w:p>
    <w:p w14:paraId="379AE6F5">
      <w:pPr>
        <w:pStyle w:val="16"/>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第十五条  合同生效及终止</w:t>
      </w:r>
    </w:p>
    <w:p w14:paraId="01217D69">
      <w:pPr>
        <w:pStyle w:val="16"/>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（一）本合同在甲方收到乙方提交的履约保证金后，且经双方法定代表人或授权代表签署，甲方与乙方加盖印章后生效。</w:t>
      </w:r>
    </w:p>
    <w:p w14:paraId="640A4090">
      <w:pPr>
        <w:pStyle w:val="16"/>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（二）合同终止：本合同出现以下情况时终止。</w:t>
      </w:r>
    </w:p>
    <w:p w14:paraId="56D983DC">
      <w:pPr>
        <w:pStyle w:val="16"/>
        <w:snapToGrid w:val="0"/>
        <w:spacing w:line="360" w:lineRule="auto"/>
        <w:ind w:firstLine="701" w:firstLineChars="319"/>
        <w:rPr>
          <w:rFonts w:hint="eastAsia" w:hAnsi="宋体"/>
          <w:color w:val="auto"/>
          <w:sz w:val="22"/>
          <w:szCs w:val="22"/>
          <w:highlight w:val="none"/>
        </w:rPr>
      </w:pPr>
      <w:r>
        <w:rPr>
          <w:rFonts w:hint="eastAsia" w:hAnsi="宋体"/>
          <w:color w:val="auto"/>
          <w:sz w:val="22"/>
          <w:szCs w:val="22"/>
          <w:highlight w:val="none"/>
        </w:rPr>
        <w:t>1、期限届满时自行终止。</w:t>
      </w:r>
    </w:p>
    <w:p w14:paraId="42CD7CC9">
      <w:pPr>
        <w:pStyle w:val="16"/>
        <w:snapToGrid w:val="0"/>
        <w:spacing w:line="360" w:lineRule="auto"/>
        <w:ind w:firstLine="701" w:firstLineChars="319"/>
        <w:rPr>
          <w:rFonts w:hint="eastAsia" w:hAnsi="宋体"/>
          <w:color w:val="auto"/>
          <w:sz w:val="22"/>
          <w:szCs w:val="22"/>
          <w:highlight w:val="none"/>
        </w:rPr>
      </w:pPr>
      <w:r>
        <w:rPr>
          <w:rFonts w:hint="eastAsia" w:hAnsi="宋体"/>
          <w:color w:val="auto"/>
          <w:sz w:val="22"/>
          <w:szCs w:val="22"/>
          <w:highlight w:val="none"/>
        </w:rPr>
        <w:t>2、根据</w:t>
      </w:r>
      <w:r>
        <w:rPr>
          <w:rFonts w:hint="eastAsia" w:hAnsi="宋体"/>
          <w:color w:val="auto"/>
          <w:sz w:val="22"/>
          <w:szCs w:val="22"/>
          <w:highlight w:val="none"/>
          <w:lang w:eastAsia="zh-CN"/>
        </w:rPr>
        <w:t>招标文件</w:t>
      </w:r>
      <w:r>
        <w:rPr>
          <w:rFonts w:hint="eastAsia" w:hAnsi="宋体"/>
          <w:color w:val="auto"/>
          <w:sz w:val="22"/>
          <w:szCs w:val="22"/>
          <w:highlight w:val="none"/>
        </w:rPr>
        <w:t>《招标文件》第</w:t>
      </w:r>
      <w:r>
        <w:rPr>
          <w:rFonts w:hint="eastAsia" w:hAnsi="宋体" w:cs="仿宋_GB2312"/>
          <w:color w:val="auto"/>
          <w:sz w:val="22"/>
          <w:szCs w:val="22"/>
          <w:highlight w:val="none"/>
        </w:rPr>
        <w:t>二部分内的“考核与费用支付”</w:t>
      </w:r>
      <w:r>
        <w:rPr>
          <w:rFonts w:hint="eastAsia" w:hAnsi="宋体" w:cs="仿宋_GB2312"/>
          <w:color w:val="auto"/>
          <w:sz w:val="22"/>
          <w:szCs w:val="22"/>
          <w:highlight w:val="none"/>
          <w:lang w:val="en-US" w:eastAsia="zh-CN"/>
        </w:rPr>
        <w:t xml:space="preserve"> </w:t>
      </w:r>
      <w:r>
        <w:rPr>
          <w:rFonts w:hint="eastAsia" w:hAnsi="宋体"/>
          <w:color w:val="auto"/>
          <w:sz w:val="22"/>
          <w:szCs w:val="22"/>
          <w:highlight w:val="none"/>
        </w:rPr>
        <w:t>进行检查考评，不符合相关规定需终止合同的。</w:t>
      </w:r>
    </w:p>
    <w:p w14:paraId="087497B1">
      <w:pPr>
        <w:pStyle w:val="16"/>
        <w:snapToGrid w:val="0"/>
        <w:spacing w:line="360" w:lineRule="auto"/>
        <w:ind w:firstLine="701" w:firstLineChars="319"/>
        <w:rPr>
          <w:rFonts w:hint="eastAsia" w:hAnsi="宋体"/>
          <w:color w:val="auto"/>
          <w:sz w:val="22"/>
          <w:szCs w:val="22"/>
          <w:highlight w:val="none"/>
        </w:rPr>
      </w:pPr>
      <w:r>
        <w:rPr>
          <w:rFonts w:hint="eastAsia" w:hAnsi="宋体"/>
          <w:color w:val="auto"/>
          <w:sz w:val="22"/>
          <w:szCs w:val="22"/>
          <w:highlight w:val="none"/>
        </w:rPr>
        <w:t>3、有以下行为之一的：</w:t>
      </w:r>
    </w:p>
    <w:p w14:paraId="403F4F7D">
      <w:pPr>
        <w:pStyle w:val="16"/>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（1）违反管理规定，造成重大伤亡或重大损失。</w:t>
      </w:r>
    </w:p>
    <w:p w14:paraId="474C1D7C">
      <w:pPr>
        <w:pStyle w:val="16"/>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（2）因管理不善造成恶劣影响。</w:t>
      </w:r>
    </w:p>
    <w:p w14:paraId="16342270">
      <w:pPr>
        <w:pStyle w:val="16"/>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（3）擅自将合同转包给第三者。</w:t>
      </w:r>
    </w:p>
    <w:p w14:paraId="2038F00A">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（4）违反劳动法或其他相关法律法规，造成恶劣影响。</w:t>
      </w:r>
    </w:p>
    <w:p w14:paraId="5427380E">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（5）弄虚作假及其他不正当行为。</w:t>
      </w:r>
    </w:p>
    <w:p w14:paraId="1D7A7FE7">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4、法律规定的终止事由。</w:t>
      </w:r>
    </w:p>
    <w:p w14:paraId="69B19944">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（三）本合同一式</w:t>
      </w:r>
      <w:r>
        <w:rPr>
          <w:rFonts w:hint="eastAsia" w:hAnsi="宋体" w:cs="仿宋_GB2312"/>
          <w:color w:val="auto"/>
          <w:sz w:val="22"/>
          <w:szCs w:val="22"/>
          <w:highlight w:val="none"/>
          <w:lang w:val="en-US" w:eastAsia="zh-CN"/>
        </w:rPr>
        <w:t>陆</w:t>
      </w:r>
      <w:r>
        <w:rPr>
          <w:rFonts w:hint="eastAsia" w:hAnsi="宋体" w:cs="仿宋_GB2312"/>
          <w:color w:val="auto"/>
          <w:sz w:val="22"/>
          <w:szCs w:val="22"/>
          <w:highlight w:val="none"/>
        </w:rPr>
        <w:t>份，双方各执</w:t>
      </w:r>
      <w:r>
        <w:rPr>
          <w:rFonts w:hint="eastAsia" w:hAnsi="宋体" w:cs="仿宋_GB2312"/>
          <w:color w:val="auto"/>
          <w:sz w:val="22"/>
          <w:szCs w:val="22"/>
          <w:highlight w:val="none"/>
          <w:lang w:val="en-US" w:eastAsia="zh-CN"/>
        </w:rPr>
        <w:t>贰</w:t>
      </w:r>
      <w:r>
        <w:rPr>
          <w:rFonts w:hint="eastAsia" w:hAnsi="宋体" w:cs="仿宋_GB2312"/>
          <w:color w:val="auto"/>
          <w:sz w:val="22"/>
          <w:szCs w:val="22"/>
          <w:highlight w:val="none"/>
        </w:rPr>
        <w:t>份，</w:t>
      </w:r>
      <w:r>
        <w:rPr>
          <w:rFonts w:hint="eastAsia" w:hAnsi="宋体" w:cs="仿宋_GB2312"/>
          <w:color w:val="auto"/>
          <w:sz w:val="22"/>
          <w:szCs w:val="22"/>
          <w:highlight w:val="none"/>
          <w:lang w:eastAsia="zh-CN"/>
        </w:rPr>
        <w:t>泰顺县公共资源交易中心执壹份，</w:t>
      </w:r>
      <w:r>
        <w:rPr>
          <w:rFonts w:hint="eastAsia" w:hAnsi="宋体" w:cs="仿宋_GB2312"/>
          <w:color w:val="auto"/>
          <w:sz w:val="22"/>
          <w:szCs w:val="22"/>
          <w:highlight w:val="none"/>
          <w:lang w:val="en-US" w:eastAsia="zh-CN"/>
        </w:rPr>
        <w:t>代理公司</w:t>
      </w:r>
      <w:r>
        <w:rPr>
          <w:rFonts w:hint="eastAsia" w:hAnsi="宋体" w:cs="仿宋_GB2312"/>
          <w:color w:val="auto"/>
          <w:sz w:val="22"/>
          <w:szCs w:val="22"/>
          <w:highlight w:val="none"/>
        </w:rPr>
        <w:t>执壹份。</w:t>
      </w:r>
    </w:p>
    <w:p w14:paraId="7ADABB1E">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第十六条  合同的解释</w:t>
      </w:r>
    </w:p>
    <w:p w14:paraId="33753452">
      <w:pPr>
        <w:pStyle w:val="16"/>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本合同的解释权在</w:t>
      </w:r>
      <w:r>
        <w:rPr>
          <w:rFonts w:hint="eastAsia" w:hAnsi="宋体" w:cs="仿宋_GB2312"/>
          <w:color w:val="auto"/>
          <w:sz w:val="22"/>
          <w:szCs w:val="22"/>
          <w:highlight w:val="none"/>
          <w:lang w:eastAsia="zh-CN"/>
        </w:rPr>
        <w:t>泰顺县大安新农村建设投资有限公司</w:t>
      </w:r>
      <w:r>
        <w:rPr>
          <w:rFonts w:hint="eastAsia" w:hAnsi="宋体" w:cs="仿宋_GB2312"/>
          <w:color w:val="auto"/>
          <w:sz w:val="22"/>
          <w:szCs w:val="22"/>
          <w:highlight w:val="none"/>
        </w:rPr>
        <w:t>。</w:t>
      </w:r>
    </w:p>
    <w:p w14:paraId="2A431BAC">
      <w:pPr>
        <w:spacing w:line="360" w:lineRule="auto"/>
        <w:ind w:firstLine="440" w:firstLineChars="200"/>
        <w:rPr>
          <w:rFonts w:hint="default" w:eastAsia="宋体"/>
          <w:color w:val="auto"/>
          <w:highlight w:val="none"/>
          <w:lang w:val="en-US" w:eastAsia="zh-CN"/>
        </w:rPr>
      </w:pPr>
      <w:r>
        <w:rPr>
          <w:rFonts w:hint="eastAsia" w:hAnsi="宋体" w:cs="仿宋_GB2312"/>
          <w:color w:val="auto"/>
          <w:sz w:val="22"/>
          <w:szCs w:val="22"/>
          <w:highlight w:val="none"/>
          <w:lang w:val="en-US" w:eastAsia="zh-CN"/>
        </w:rPr>
        <w:t>第十七条  合同附件</w:t>
      </w:r>
    </w:p>
    <w:p w14:paraId="1E1206F8">
      <w:pPr>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下列文件与本合同具有同等法律效力：</w:t>
      </w:r>
    </w:p>
    <w:p w14:paraId="211D0201">
      <w:pPr>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 竞争性磋商文件与招标补充文件；</w:t>
      </w:r>
    </w:p>
    <w:p w14:paraId="64239D94">
      <w:pPr>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 投标文件；</w:t>
      </w:r>
    </w:p>
    <w:p w14:paraId="3DBC053F">
      <w:pPr>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 询标纪要和承诺书；</w:t>
      </w:r>
    </w:p>
    <w:p w14:paraId="0BC2C22E">
      <w:pPr>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4. 中标(成交)通知书。</w:t>
      </w:r>
    </w:p>
    <w:p w14:paraId="5B17AC43">
      <w:pPr>
        <w:spacing w:line="360" w:lineRule="auto"/>
        <w:ind w:firstLine="440" w:firstLineChars="200"/>
        <w:rPr>
          <w:rFonts w:hint="eastAsia" w:ascii="宋体" w:hAnsi="宋体" w:eastAsia="宋体" w:cs="宋体"/>
          <w:color w:val="auto"/>
          <w:sz w:val="22"/>
          <w:highlight w:val="none"/>
        </w:rPr>
      </w:pPr>
    </w:p>
    <w:p w14:paraId="20D3B078">
      <w:pPr>
        <w:spacing w:line="360" w:lineRule="auto"/>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甲方(盖章)：                              乙方（盖章）</w:t>
      </w:r>
    </w:p>
    <w:p w14:paraId="74A67AEF">
      <w:pPr>
        <w:spacing w:line="360" w:lineRule="auto"/>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法定代表人：                              法定代表人：</w:t>
      </w:r>
    </w:p>
    <w:p w14:paraId="2C226914">
      <w:pPr>
        <w:spacing w:line="360" w:lineRule="auto"/>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开户银行：                                开户银行：</w:t>
      </w:r>
    </w:p>
    <w:p w14:paraId="2BE6AF42">
      <w:pPr>
        <w:spacing w:line="360" w:lineRule="auto"/>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开户名称：                                开户名称：</w:t>
      </w:r>
    </w:p>
    <w:p w14:paraId="00AB9361">
      <w:pPr>
        <w:spacing w:line="360" w:lineRule="auto"/>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账号：                                    账号：</w:t>
      </w:r>
    </w:p>
    <w:p w14:paraId="50031972">
      <w:pPr>
        <w:spacing w:line="360" w:lineRule="auto"/>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签约日期：                                签约地点：</w:t>
      </w:r>
    </w:p>
    <w:p w14:paraId="0DEAD0F7">
      <w:pPr>
        <w:spacing w:line="360" w:lineRule="auto"/>
        <w:ind w:firstLine="440" w:firstLineChars="200"/>
        <w:rPr>
          <w:rFonts w:hint="eastAsia" w:ascii="宋体" w:hAnsi="宋体" w:cs="宋体"/>
          <w:color w:val="auto"/>
          <w:sz w:val="22"/>
          <w:highlight w:val="none"/>
          <w:u w:val="single"/>
        </w:rPr>
      </w:pPr>
    </w:p>
    <w:p w14:paraId="0DC99D34">
      <w:pPr>
        <w:spacing w:line="360" w:lineRule="auto"/>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注：以上合同条款供采购人及成交供应商作为商务参考，具体签订时，采购人可根据自身项目情况与中标供应商协商另行修改拟定相关合同具体条款。</w:t>
      </w:r>
    </w:p>
    <w:p w14:paraId="66AA9376">
      <w:pPr>
        <w:rPr>
          <w:rFonts w:hint="eastAsia" w:hAnsi="Times New Roman"/>
          <w:b/>
          <w:bCs/>
          <w:color w:val="auto"/>
          <w:sz w:val="36"/>
          <w:szCs w:val="36"/>
          <w:highlight w:val="none"/>
        </w:rPr>
      </w:pPr>
      <w:r>
        <w:rPr>
          <w:rFonts w:hint="eastAsia" w:hAnsi="Times New Roman"/>
          <w:b/>
          <w:bCs/>
          <w:color w:val="auto"/>
          <w:sz w:val="36"/>
          <w:szCs w:val="36"/>
          <w:highlight w:val="none"/>
        </w:rPr>
        <w:br w:type="page"/>
      </w:r>
    </w:p>
    <w:p w14:paraId="1CB9866F">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ind w:left="0" w:right="0"/>
        <w:jc w:val="center"/>
        <w:outlineLvl w:val="0"/>
        <w:rPr>
          <w:rFonts w:hint="eastAsia" w:ascii="宋体" w:hAnsi="Times New Roman" w:eastAsia="宋体" w:cs="Times New Roman"/>
          <w:b/>
          <w:bCs/>
          <w:color w:val="auto"/>
          <w:sz w:val="32"/>
          <w:szCs w:val="32"/>
          <w:highlight w:val="none"/>
          <w:lang w:val="zh-CN" w:eastAsia="zh-CN"/>
        </w:rPr>
      </w:pPr>
      <w:r>
        <w:rPr>
          <w:rFonts w:hint="eastAsia" w:ascii="宋体" w:hAnsi="Times New Roman" w:eastAsia="宋体" w:cs="Times New Roman"/>
          <w:b/>
          <w:bCs/>
          <w:color w:val="auto"/>
          <w:sz w:val="32"/>
          <w:szCs w:val="32"/>
          <w:highlight w:val="none"/>
          <w:lang w:val="zh-CN" w:eastAsia="zh-CN"/>
        </w:rPr>
        <w:t>第六部分</w:t>
      </w:r>
      <w:r>
        <w:rPr>
          <w:rFonts w:hint="eastAsia" w:ascii="宋体" w:eastAsia="宋体" w:cs="Times New Roman"/>
          <w:b/>
          <w:bCs/>
          <w:color w:val="auto"/>
          <w:sz w:val="32"/>
          <w:szCs w:val="32"/>
          <w:highlight w:val="none"/>
          <w:lang w:val="zh-CN" w:eastAsia="zh-CN"/>
        </w:rPr>
        <w:t>、</w:t>
      </w:r>
      <w:r>
        <w:rPr>
          <w:rFonts w:hint="eastAsia" w:ascii="宋体" w:hAnsi="Times New Roman" w:eastAsia="宋体" w:cs="Times New Roman"/>
          <w:b/>
          <w:bCs/>
          <w:color w:val="auto"/>
          <w:sz w:val="32"/>
          <w:szCs w:val="32"/>
          <w:highlight w:val="none"/>
          <w:lang w:val="zh-CN" w:eastAsia="zh-CN"/>
        </w:rPr>
        <w:t>投标文件格式</w:t>
      </w:r>
    </w:p>
    <w:p w14:paraId="41A1125D">
      <w:pPr>
        <w:pStyle w:val="16"/>
        <w:adjustRightInd w:val="0"/>
        <w:snapToGrid w:val="0"/>
        <w:spacing w:line="400" w:lineRule="exact"/>
        <w:jc w:val="center"/>
        <w:rPr>
          <w:rFonts w:hAnsi="Times New Roman"/>
          <w:color w:val="auto"/>
          <w:sz w:val="22"/>
          <w:szCs w:val="22"/>
          <w:highlight w:val="none"/>
        </w:rPr>
      </w:pPr>
      <w:r>
        <w:rPr>
          <w:rFonts w:hint="eastAsia" w:hAnsi="Times New Roman"/>
          <w:color w:val="auto"/>
          <w:sz w:val="22"/>
          <w:szCs w:val="22"/>
          <w:highlight w:val="none"/>
        </w:rPr>
        <w:t>（未提供格式的由投标供应商自拟）</w:t>
      </w:r>
    </w:p>
    <w:bookmarkEnd w:id="36"/>
    <w:p w14:paraId="466991D6">
      <w:pPr>
        <w:pStyle w:val="16"/>
        <w:adjustRightInd w:val="0"/>
        <w:snapToGrid w:val="0"/>
        <w:spacing w:line="340" w:lineRule="atLeast"/>
        <w:rPr>
          <w:rFonts w:hint="default" w:hAnsi="宋体" w:eastAsiaTheme="minorEastAsia"/>
          <w:color w:val="auto"/>
          <w:sz w:val="32"/>
          <w:szCs w:val="32"/>
          <w:highlight w:val="none"/>
          <w:lang w:val="en-US" w:eastAsia="zh-CN"/>
        </w:rPr>
      </w:pPr>
      <w:r>
        <w:rPr>
          <w:rFonts w:hint="eastAsia" w:hAnsi="宋体"/>
          <w:b/>
          <w:bCs/>
          <w:color w:val="auto"/>
          <w:sz w:val="32"/>
          <w:szCs w:val="32"/>
          <w:highlight w:val="none"/>
        </w:rPr>
        <w:t>附件一</w:t>
      </w:r>
      <w:r>
        <w:rPr>
          <w:rFonts w:hint="eastAsia" w:hAnsi="宋体"/>
          <w:b/>
          <w:bCs/>
          <w:color w:val="auto"/>
          <w:sz w:val="32"/>
          <w:szCs w:val="32"/>
          <w:highlight w:val="none"/>
          <w:lang w:eastAsia="zh-CN"/>
        </w:rPr>
        <w:t>（</w:t>
      </w:r>
      <w:r>
        <w:rPr>
          <w:rFonts w:hint="eastAsia" w:hAnsi="宋体"/>
          <w:b/>
          <w:bCs/>
          <w:color w:val="auto"/>
          <w:sz w:val="32"/>
          <w:szCs w:val="32"/>
          <w:highlight w:val="none"/>
          <w:lang w:val="en-US" w:eastAsia="zh-CN"/>
        </w:rPr>
        <w:t>一）</w:t>
      </w:r>
    </w:p>
    <w:p w14:paraId="23083E5D">
      <w:pPr>
        <w:kinsoku w:val="0"/>
        <w:autoSpaceDE w:val="0"/>
        <w:autoSpaceDN w:val="0"/>
        <w:adjustRightInd w:val="0"/>
        <w:snapToGrid w:val="0"/>
        <w:spacing w:before="277" w:line="219" w:lineRule="auto"/>
        <w:jc w:val="center"/>
        <w:textAlignment w:val="baseline"/>
        <w:rPr>
          <w:rFonts w:ascii="宋体" w:hAnsi="宋体" w:eastAsia="宋体" w:cs="宋体"/>
          <w:b/>
          <w:bCs/>
          <w:snapToGrid w:val="0"/>
          <w:color w:val="auto"/>
          <w:spacing w:val="1"/>
          <w:kern w:val="0"/>
          <w:sz w:val="32"/>
          <w:szCs w:val="32"/>
          <w:highlight w:val="none"/>
          <w:lang w:val="zh-CN" w:eastAsia="en-US" w:bidi="ar-SA"/>
        </w:rPr>
      </w:pPr>
      <w:r>
        <w:rPr>
          <w:rFonts w:hint="eastAsia" w:ascii="宋体" w:hAnsi="宋体" w:eastAsia="宋体" w:cs="宋体"/>
          <w:b/>
          <w:bCs/>
          <w:snapToGrid w:val="0"/>
          <w:color w:val="auto"/>
          <w:spacing w:val="1"/>
          <w:kern w:val="0"/>
          <w:sz w:val="32"/>
          <w:szCs w:val="32"/>
          <w:highlight w:val="none"/>
          <w:lang w:val="zh-CN" w:eastAsia="en-US" w:bidi="ar-SA"/>
        </w:rPr>
        <w:t>投标报价一览表</w:t>
      </w:r>
    </w:p>
    <w:p w14:paraId="1BB46D7E">
      <w:pPr>
        <w:wordWrap w:val="0"/>
        <w:spacing w:line="400" w:lineRule="exact"/>
        <w:ind w:right="420"/>
        <w:rPr>
          <w:rFonts w:hint="eastAsia" w:ascii="宋体" w:hAnsi="宋体"/>
          <w:color w:val="auto"/>
          <w:sz w:val="22"/>
          <w:szCs w:val="22"/>
          <w:highlight w:val="none"/>
          <w:lang w:eastAsia="zh-CN"/>
        </w:rPr>
      </w:pPr>
      <w:r>
        <w:rPr>
          <w:rFonts w:hint="eastAsia"/>
          <w:color w:val="auto"/>
          <w:sz w:val="22"/>
          <w:szCs w:val="22"/>
          <w:highlight w:val="none"/>
        </w:rPr>
        <w:t>项目名称：</w:t>
      </w:r>
      <w:r>
        <w:rPr>
          <w:rFonts w:hint="eastAsia" w:ascii="宋体" w:hAnsi="宋体"/>
          <w:color w:val="auto"/>
          <w:sz w:val="22"/>
          <w:szCs w:val="22"/>
          <w:highlight w:val="none"/>
          <w:lang w:eastAsia="zh-CN"/>
        </w:rPr>
        <w:t>2025-2026泰顺县大安乡环卫保洁服务</w:t>
      </w:r>
    </w:p>
    <w:p w14:paraId="1560B16B">
      <w:pPr>
        <w:wordWrap w:val="0"/>
        <w:spacing w:line="400" w:lineRule="exact"/>
        <w:ind w:right="420"/>
        <w:rPr>
          <w:rFonts w:hint="eastAsia" w:eastAsiaTheme="minorEastAsia"/>
          <w:color w:val="auto"/>
          <w:sz w:val="22"/>
          <w:szCs w:val="22"/>
          <w:highlight w:val="none"/>
          <w:lang w:eastAsia="zh-CN"/>
        </w:rPr>
      </w:pPr>
      <w:r>
        <w:rPr>
          <w:rFonts w:hint="eastAsia"/>
          <w:color w:val="auto"/>
          <w:sz w:val="22"/>
          <w:szCs w:val="22"/>
          <w:highlight w:val="none"/>
        </w:rPr>
        <w:t>项目</w:t>
      </w:r>
      <w:r>
        <w:rPr>
          <w:color w:val="auto"/>
          <w:sz w:val="22"/>
          <w:szCs w:val="22"/>
          <w:highlight w:val="none"/>
        </w:rPr>
        <w:t>编号：</w:t>
      </w:r>
      <w:r>
        <w:rPr>
          <w:rFonts w:hint="eastAsia" w:ascii="宋体" w:hAnsi="宋体" w:eastAsia="宋体" w:cs="宋体"/>
          <w:color w:val="auto"/>
          <w:sz w:val="22"/>
          <w:szCs w:val="28"/>
          <w:highlight w:val="none"/>
          <w:lang w:eastAsia="zh-CN"/>
        </w:rPr>
        <w:t>TSCG202509001</w:t>
      </w:r>
    </w:p>
    <w:p w14:paraId="31F52832">
      <w:pPr>
        <w:autoSpaceDE w:val="0"/>
        <w:autoSpaceDN w:val="0"/>
        <w:adjustRightInd w:val="0"/>
        <w:spacing w:line="360" w:lineRule="auto"/>
        <w:outlineLvl w:val="9"/>
        <w:rPr>
          <w:color w:val="auto"/>
          <w:highlight w:val="none"/>
        </w:rPr>
      </w:pPr>
      <w:r>
        <w:rPr>
          <w:rFonts w:hint="eastAsia" w:ascii="宋体" w:hAnsi="宋体" w:eastAsia="宋体" w:cs="宋体"/>
          <w:color w:val="auto"/>
          <w:sz w:val="22"/>
          <w:szCs w:val="22"/>
          <w:highlight w:val="none"/>
          <w:u w:val="none"/>
        </w:rPr>
        <w:t>价格单位：元人民币</w:t>
      </w:r>
    </w:p>
    <w:tbl>
      <w:tblPr>
        <w:tblStyle w:val="30"/>
        <w:tblW w:w="9371" w:type="dxa"/>
        <w:jc w:val="center"/>
        <w:tblLayout w:type="fixed"/>
        <w:tblCellMar>
          <w:top w:w="0" w:type="dxa"/>
          <w:left w:w="108" w:type="dxa"/>
          <w:bottom w:w="0" w:type="dxa"/>
          <w:right w:w="108" w:type="dxa"/>
        </w:tblCellMar>
      </w:tblPr>
      <w:tblGrid>
        <w:gridCol w:w="3555"/>
        <w:gridCol w:w="4125"/>
        <w:gridCol w:w="1691"/>
      </w:tblGrid>
      <w:tr w14:paraId="3C0ACF96">
        <w:tblPrEx>
          <w:tblCellMar>
            <w:top w:w="0" w:type="dxa"/>
            <w:left w:w="108" w:type="dxa"/>
            <w:bottom w:w="0" w:type="dxa"/>
            <w:right w:w="108" w:type="dxa"/>
          </w:tblCellMar>
        </w:tblPrEx>
        <w:trPr>
          <w:trHeight w:val="916" w:hRule="atLeast"/>
          <w:jc w:val="center"/>
        </w:trPr>
        <w:tc>
          <w:tcPr>
            <w:tcW w:w="3555" w:type="dxa"/>
            <w:tcBorders>
              <w:top w:val="single" w:color="auto" w:sz="4" w:space="0"/>
              <w:left w:val="single" w:color="auto" w:sz="4" w:space="0"/>
              <w:bottom w:val="single" w:color="auto" w:sz="4" w:space="0"/>
              <w:right w:val="single" w:color="auto" w:sz="4" w:space="0"/>
            </w:tcBorders>
            <w:vAlign w:val="center"/>
          </w:tcPr>
          <w:p w14:paraId="24657485">
            <w:pPr>
              <w:jc w:val="center"/>
              <w:rPr>
                <w:rFonts w:ascii="宋体" w:hAnsi="宋体"/>
                <w:color w:val="auto"/>
                <w:sz w:val="22"/>
                <w:szCs w:val="22"/>
                <w:highlight w:val="none"/>
              </w:rPr>
            </w:pPr>
            <w:r>
              <w:rPr>
                <w:rFonts w:hint="eastAsia" w:ascii="宋体" w:hAnsi="宋体"/>
                <w:color w:val="auto"/>
                <w:sz w:val="22"/>
                <w:szCs w:val="22"/>
                <w:highlight w:val="none"/>
              </w:rPr>
              <w:t>项目名称</w:t>
            </w:r>
          </w:p>
        </w:tc>
        <w:tc>
          <w:tcPr>
            <w:tcW w:w="4125" w:type="dxa"/>
            <w:tcBorders>
              <w:top w:val="single" w:color="auto" w:sz="4" w:space="0"/>
              <w:left w:val="single" w:color="auto" w:sz="4" w:space="0"/>
              <w:bottom w:val="single" w:color="auto" w:sz="4" w:space="0"/>
              <w:right w:val="single" w:color="auto" w:sz="8" w:space="0"/>
            </w:tcBorders>
            <w:vAlign w:val="center"/>
          </w:tcPr>
          <w:p w14:paraId="355F298E">
            <w:pPr>
              <w:jc w:val="center"/>
              <w:rPr>
                <w:rFonts w:ascii="宋体" w:hAnsi="宋体"/>
                <w:color w:val="auto"/>
                <w:sz w:val="22"/>
                <w:szCs w:val="22"/>
                <w:highlight w:val="none"/>
              </w:rPr>
            </w:pPr>
            <w:r>
              <w:rPr>
                <w:rFonts w:hint="eastAsia" w:ascii="宋体" w:hAnsi="宋体" w:eastAsia="宋体" w:cs="宋体"/>
                <w:color w:val="auto"/>
                <w:kern w:val="0"/>
                <w:sz w:val="22"/>
                <w:szCs w:val="22"/>
                <w:highlight w:val="none"/>
              </w:rPr>
              <w:t>投标报价（总价）</w:t>
            </w:r>
          </w:p>
        </w:tc>
        <w:tc>
          <w:tcPr>
            <w:tcW w:w="1691" w:type="dxa"/>
            <w:tcBorders>
              <w:top w:val="single" w:color="auto" w:sz="4" w:space="0"/>
              <w:left w:val="single" w:color="auto" w:sz="4" w:space="0"/>
              <w:bottom w:val="single" w:color="auto" w:sz="4" w:space="0"/>
              <w:right w:val="single" w:color="auto" w:sz="8" w:space="0"/>
            </w:tcBorders>
            <w:vAlign w:val="center"/>
          </w:tcPr>
          <w:p w14:paraId="0CA10BB9">
            <w:pPr>
              <w:jc w:val="center"/>
              <w:rPr>
                <w:rFonts w:ascii="宋体" w:hAnsi="宋体" w:eastAsia="宋体"/>
                <w:color w:val="auto"/>
                <w:sz w:val="22"/>
                <w:szCs w:val="22"/>
                <w:highlight w:val="none"/>
              </w:rPr>
            </w:pPr>
            <w:r>
              <w:rPr>
                <w:rFonts w:hint="eastAsia" w:ascii="宋体" w:hAnsi="宋体" w:eastAsia="宋体"/>
                <w:color w:val="auto"/>
                <w:sz w:val="22"/>
                <w:szCs w:val="22"/>
                <w:highlight w:val="none"/>
              </w:rPr>
              <w:t>采购预算（元）</w:t>
            </w:r>
          </w:p>
        </w:tc>
      </w:tr>
      <w:tr w14:paraId="05859979">
        <w:tblPrEx>
          <w:tblCellMar>
            <w:top w:w="0" w:type="dxa"/>
            <w:left w:w="108" w:type="dxa"/>
            <w:bottom w:w="0" w:type="dxa"/>
            <w:right w:w="108" w:type="dxa"/>
          </w:tblCellMar>
        </w:tblPrEx>
        <w:trPr>
          <w:trHeight w:val="1554" w:hRule="atLeast"/>
          <w:jc w:val="center"/>
        </w:trPr>
        <w:tc>
          <w:tcPr>
            <w:tcW w:w="3555" w:type="dxa"/>
            <w:tcBorders>
              <w:top w:val="single" w:color="auto" w:sz="4" w:space="0"/>
              <w:left w:val="single" w:color="auto" w:sz="4" w:space="0"/>
              <w:bottom w:val="single" w:color="auto" w:sz="4" w:space="0"/>
              <w:right w:val="single" w:color="auto" w:sz="4" w:space="0"/>
            </w:tcBorders>
            <w:vAlign w:val="center"/>
          </w:tcPr>
          <w:p w14:paraId="1C6EEB80">
            <w:pPr>
              <w:jc w:val="center"/>
              <w:rPr>
                <w:rFonts w:hint="eastAsia" w:ascii="宋体" w:hAnsi="宋体" w:eastAsiaTheme="minorEastAsia"/>
                <w:color w:val="auto"/>
                <w:sz w:val="22"/>
                <w:szCs w:val="22"/>
                <w:highlight w:val="none"/>
                <w:lang w:eastAsia="zh-CN"/>
              </w:rPr>
            </w:pPr>
            <w:r>
              <w:rPr>
                <w:rFonts w:hint="eastAsia" w:ascii="宋体" w:hAnsi="宋体"/>
                <w:color w:val="auto"/>
                <w:sz w:val="22"/>
                <w:szCs w:val="22"/>
                <w:highlight w:val="none"/>
                <w:lang w:eastAsia="zh-CN"/>
              </w:rPr>
              <w:t>2025-2026泰顺县大安乡环卫保洁服务</w:t>
            </w:r>
          </w:p>
        </w:tc>
        <w:tc>
          <w:tcPr>
            <w:tcW w:w="4125" w:type="dxa"/>
            <w:tcBorders>
              <w:top w:val="single" w:color="auto" w:sz="4" w:space="0"/>
              <w:left w:val="single" w:color="auto" w:sz="4" w:space="0"/>
              <w:bottom w:val="single" w:color="auto" w:sz="4" w:space="0"/>
              <w:right w:val="single" w:color="auto" w:sz="8" w:space="0"/>
            </w:tcBorders>
            <w:vAlign w:val="center"/>
          </w:tcPr>
          <w:p w14:paraId="01AF6699">
            <w:pPr>
              <w:jc w:val="left"/>
              <w:rPr>
                <w:rFonts w:ascii="宋体" w:hAnsi="宋体"/>
                <w:color w:val="auto"/>
                <w:sz w:val="22"/>
                <w:szCs w:val="22"/>
                <w:highlight w:val="none"/>
              </w:rPr>
            </w:pPr>
            <w:r>
              <w:rPr>
                <w:rFonts w:hint="eastAsia" w:ascii="宋体" w:hAnsi="宋体"/>
                <w:color w:val="auto"/>
                <w:sz w:val="22"/>
                <w:szCs w:val="22"/>
                <w:highlight w:val="none"/>
              </w:rPr>
              <w:t>小写:</w:t>
            </w:r>
          </w:p>
          <w:p w14:paraId="0A93E09D">
            <w:pPr>
              <w:jc w:val="left"/>
              <w:rPr>
                <w:rFonts w:ascii="宋体" w:hAnsi="宋体"/>
                <w:color w:val="auto"/>
                <w:sz w:val="22"/>
                <w:szCs w:val="22"/>
                <w:highlight w:val="none"/>
              </w:rPr>
            </w:pPr>
          </w:p>
          <w:p w14:paraId="2096ADD5">
            <w:pPr>
              <w:jc w:val="left"/>
              <w:rPr>
                <w:rFonts w:ascii="宋体" w:hAnsi="宋体"/>
                <w:color w:val="auto"/>
                <w:sz w:val="22"/>
                <w:szCs w:val="22"/>
                <w:highlight w:val="none"/>
              </w:rPr>
            </w:pPr>
            <w:r>
              <w:rPr>
                <w:rFonts w:hint="eastAsia" w:ascii="宋体" w:hAnsi="宋体"/>
                <w:color w:val="auto"/>
                <w:sz w:val="22"/>
                <w:szCs w:val="22"/>
                <w:highlight w:val="none"/>
              </w:rPr>
              <w:t>大写：</w:t>
            </w:r>
          </w:p>
        </w:tc>
        <w:tc>
          <w:tcPr>
            <w:tcW w:w="1691" w:type="dxa"/>
            <w:tcBorders>
              <w:top w:val="single" w:color="auto" w:sz="4" w:space="0"/>
              <w:left w:val="single" w:color="auto" w:sz="4" w:space="0"/>
              <w:bottom w:val="single" w:color="auto" w:sz="4" w:space="0"/>
              <w:right w:val="single" w:color="auto" w:sz="8" w:space="0"/>
            </w:tcBorders>
            <w:vAlign w:val="center"/>
          </w:tcPr>
          <w:p w14:paraId="69A11D54">
            <w:pPr>
              <w:jc w:val="center"/>
              <w:rPr>
                <w:rFonts w:hint="default" w:ascii="宋体" w:hAnsi="宋体" w:eastAsiaTheme="minorEastAsia"/>
                <w:color w:val="auto"/>
                <w:sz w:val="22"/>
                <w:szCs w:val="22"/>
                <w:highlight w:val="none"/>
                <w:lang w:val="en-US" w:eastAsia="zh-CN"/>
              </w:rPr>
            </w:pPr>
            <w:r>
              <w:rPr>
                <w:rFonts w:hint="eastAsia" w:ascii="宋体" w:hAnsi="宋体" w:eastAsia="宋体" w:cs="宋体"/>
                <w:bCs/>
                <w:color w:val="auto"/>
                <w:kern w:val="0"/>
                <w:sz w:val="22"/>
                <w:szCs w:val="22"/>
                <w:highlight w:val="none"/>
                <w:lang w:val="en-US" w:eastAsia="zh-CN"/>
              </w:rPr>
              <w:t>950000</w:t>
            </w:r>
          </w:p>
        </w:tc>
      </w:tr>
    </w:tbl>
    <w:p w14:paraId="15220733">
      <w:pPr>
        <w:autoSpaceDE w:val="0"/>
        <w:autoSpaceDN w:val="0"/>
        <w:adjustRightInd w:val="0"/>
        <w:spacing w:line="440" w:lineRule="atLeast"/>
        <w:ind w:firstLine="442" w:firstLineChars="200"/>
        <w:rPr>
          <w:rFonts w:ascii="宋体" w:hAnsi="宋体" w:cs="仿宋_GB2312"/>
          <w:b/>
          <w:bCs/>
          <w:color w:val="auto"/>
          <w:sz w:val="22"/>
          <w:highlight w:val="none"/>
        </w:rPr>
      </w:pPr>
    </w:p>
    <w:p w14:paraId="33120844">
      <w:pPr>
        <w:autoSpaceDE w:val="0"/>
        <w:autoSpaceDN w:val="0"/>
        <w:adjustRightInd w:val="0"/>
        <w:spacing w:line="440" w:lineRule="atLeast"/>
        <w:rPr>
          <w:rFonts w:ascii="宋体" w:hAnsi="宋体" w:cs="仿宋_GB2312"/>
          <w:b/>
          <w:bCs/>
          <w:color w:val="auto"/>
          <w:sz w:val="22"/>
          <w:highlight w:val="none"/>
        </w:rPr>
      </w:pPr>
      <w:r>
        <w:rPr>
          <w:rFonts w:hint="eastAsia" w:ascii="宋体" w:hAnsi="宋体" w:cs="仿宋_GB2312"/>
          <w:b/>
          <w:bCs/>
          <w:color w:val="auto"/>
          <w:sz w:val="22"/>
          <w:highlight w:val="none"/>
        </w:rPr>
        <w:t>▲注:</w:t>
      </w:r>
    </w:p>
    <w:p w14:paraId="6FF6A6C6">
      <w:pPr>
        <w:autoSpaceDE w:val="0"/>
        <w:autoSpaceDN w:val="0"/>
        <w:adjustRightInd w:val="0"/>
        <w:spacing w:line="440" w:lineRule="atLeast"/>
        <w:ind w:firstLine="420"/>
        <w:rPr>
          <w:rFonts w:ascii="宋体" w:hAnsi="宋体" w:eastAsia="宋体" w:cs="仿宋_GB2312"/>
          <w:b/>
          <w:bCs/>
          <w:color w:val="auto"/>
          <w:sz w:val="22"/>
          <w:szCs w:val="22"/>
          <w:highlight w:val="none"/>
        </w:rPr>
      </w:pPr>
      <w:r>
        <w:rPr>
          <w:rFonts w:hint="eastAsia" w:ascii="宋体" w:hAnsi="宋体" w:eastAsia="宋体" w:cs="仿宋_GB2312"/>
          <w:b/>
          <w:bCs/>
          <w:color w:val="auto"/>
          <w:sz w:val="22"/>
          <w:szCs w:val="22"/>
          <w:highlight w:val="none"/>
        </w:rPr>
        <w:t>1、不提供此表格的将视为没有实质性响应招标文件。</w:t>
      </w:r>
    </w:p>
    <w:p w14:paraId="255DB226">
      <w:pPr>
        <w:autoSpaceDE w:val="0"/>
        <w:autoSpaceDN w:val="0"/>
        <w:adjustRightInd w:val="0"/>
        <w:spacing w:line="440" w:lineRule="atLeast"/>
        <w:ind w:firstLine="420"/>
        <w:rPr>
          <w:rFonts w:hint="eastAsia" w:ascii="宋体" w:hAnsi="宋体" w:eastAsia="宋体" w:cs="仿宋_GB2312"/>
          <w:b/>
          <w:bCs/>
          <w:color w:val="auto"/>
          <w:sz w:val="22"/>
          <w:szCs w:val="22"/>
          <w:highlight w:val="none"/>
          <w:lang w:eastAsia="zh-CN"/>
        </w:rPr>
      </w:pPr>
      <w:r>
        <w:rPr>
          <w:rFonts w:hint="eastAsia" w:ascii="宋体" w:hAnsi="宋体" w:eastAsia="宋体" w:cs="仿宋_GB2312"/>
          <w:b/>
          <w:bCs/>
          <w:color w:val="auto"/>
          <w:sz w:val="22"/>
          <w:szCs w:val="22"/>
          <w:highlight w:val="none"/>
        </w:rPr>
        <w:t>2、报价一经涂改，应在涂改处加盖单位公章或者由法定代表人或授权委托人签字，否则其投标作无效标处理。</w:t>
      </w:r>
    </w:p>
    <w:p w14:paraId="762EE46F">
      <w:pPr>
        <w:autoSpaceDE w:val="0"/>
        <w:autoSpaceDN w:val="0"/>
        <w:adjustRightInd w:val="0"/>
        <w:spacing w:line="440" w:lineRule="atLeast"/>
        <w:ind w:firstLine="420"/>
        <w:rPr>
          <w:rFonts w:ascii="宋体" w:hAnsi="宋体" w:eastAsia="宋体" w:cs="仿宋_GB2312"/>
          <w:b/>
          <w:bCs/>
          <w:color w:val="auto"/>
          <w:sz w:val="22"/>
          <w:szCs w:val="22"/>
          <w:highlight w:val="none"/>
        </w:rPr>
      </w:pPr>
      <w:r>
        <w:rPr>
          <w:rFonts w:hint="eastAsia" w:ascii="宋体" w:hAnsi="宋体" w:eastAsia="宋体" w:cs="仿宋_GB2312"/>
          <w:b/>
          <w:bCs/>
          <w:color w:val="auto"/>
          <w:sz w:val="22"/>
          <w:szCs w:val="22"/>
          <w:highlight w:val="none"/>
        </w:rPr>
        <w:t>3、投标总价含</w:t>
      </w:r>
      <w:r>
        <w:rPr>
          <w:rFonts w:hint="eastAsia" w:ascii="宋体" w:hAnsi="宋体" w:eastAsia="宋体" w:cs="仿宋_GB2312"/>
          <w:b/>
          <w:bCs/>
          <w:color w:val="auto"/>
          <w:sz w:val="22"/>
          <w:szCs w:val="22"/>
          <w:highlight w:val="none"/>
          <w:lang w:eastAsia="zh-CN"/>
        </w:rPr>
        <w:t>服务费</w:t>
      </w:r>
      <w:r>
        <w:rPr>
          <w:rFonts w:hint="eastAsia" w:ascii="宋体" w:hAnsi="宋体" w:eastAsia="宋体" w:cs="仿宋_GB2312"/>
          <w:b/>
          <w:bCs/>
          <w:color w:val="auto"/>
          <w:sz w:val="22"/>
          <w:szCs w:val="22"/>
          <w:highlight w:val="none"/>
        </w:rPr>
        <w:t>、规费、税费、保险费、验收费用、代理费等完成本项目的所有费用。</w:t>
      </w:r>
    </w:p>
    <w:p w14:paraId="4D415F67">
      <w:pPr>
        <w:autoSpaceDE w:val="0"/>
        <w:autoSpaceDN w:val="0"/>
        <w:adjustRightInd w:val="0"/>
        <w:spacing w:line="440" w:lineRule="atLeast"/>
        <w:ind w:firstLine="480" w:firstLineChars="200"/>
        <w:rPr>
          <w:rFonts w:hint="eastAsia" w:eastAsiaTheme="minorEastAsia"/>
          <w:color w:val="auto"/>
          <w:sz w:val="24"/>
          <w:highlight w:val="none"/>
          <w:lang w:eastAsia="zh-CN"/>
        </w:rPr>
      </w:pPr>
    </w:p>
    <w:p w14:paraId="3408416E">
      <w:pPr>
        <w:autoSpaceDE w:val="0"/>
        <w:autoSpaceDN w:val="0"/>
        <w:adjustRightInd w:val="0"/>
        <w:spacing w:line="440" w:lineRule="atLeast"/>
        <w:rPr>
          <w:rFonts w:ascii="宋体" w:hAnsi="宋体" w:cs="仿宋_GB2312"/>
          <w:color w:val="auto"/>
          <w:sz w:val="22"/>
          <w:highlight w:val="none"/>
        </w:rPr>
      </w:pPr>
    </w:p>
    <w:p w14:paraId="3159C832">
      <w:pPr>
        <w:spacing w:line="480" w:lineRule="auto"/>
        <w:rPr>
          <w:color w:val="auto"/>
          <w:sz w:val="22"/>
          <w:szCs w:val="22"/>
          <w:highlight w:val="none"/>
        </w:rPr>
      </w:pPr>
      <w:r>
        <w:rPr>
          <w:rFonts w:hint="eastAsia"/>
          <w:color w:val="auto"/>
          <w:sz w:val="22"/>
          <w:szCs w:val="22"/>
          <w:highlight w:val="none"/>
        </w:rPr>
        <w:t>供应商全称（盖章）：</w:t>
      </w:r>
    </w:p>
    <w:p w14:paraId="2E6E90A3">
      <w:pPr>
        <w:spacing w:line="480" w:lineRule="auto"/>
        <w:rPr>
          <w:color w:val="auto"/>
          <w:sz w:val="22"/>
          <w:szCs w:val="22"/>
          <w:highlight w:val="none"/>
        </w:rPr>
      </w:pPr>
      <w:r>
        <w:rPr>
          <w:rFonts w:hint="eastAsia" w:ascii="宋体" w:hAnsi="宋体" w:eastAsia="宋体" w:cs="宋体"/>
          <w:b w:val="0"/>
          <w:bCs/>
          <w:color w:val="auto"/>
          <w:sz w:val="22"/>
          <w:szCs w:val="22"/>
          <w:highlight w:val="none"/>
        </w:rPr>
        <w:t>法定代表人（签字或盖章）或</w:t>
      </w:r>
      <w:r>
        <w:rPr>
          <w:rFonts w:hint="eastAsia" w:ascii="宋体" w:hAnsi="宋体" w:eastAsia="宋体" w:cs="宋体"/>
          <w:b w:val="0"/>
          <w:bCs/>
          <w:color w:val="auto"/>
          <w:sz w:val="22"/>
          <w:szCs w:val="22"/>
          <w:highlight w:val="none"/>
          <w:lang w:val="zh-CN"/>
        </w:rPr>
        <w:t>授权代表（签字）</w:t>
      </w:r>
      <w:r>
        <w:rPr>
          <w:rFonts w:hint="eastAsia"/>
          <w:color w:val="auto"/>
          <w:sz w:val="22"/>
          <w:szCs w:val="22"/>
          <w:highlight w:val="none"/>
        </w:rPr>
        <w:t>：</w:t>
      </w:r>
      <w:r>
        <w:rPr>
          <w:color w:val="auto"/>
          <w:sz w:val="22"/>
          <w:szCs w:val="22"/>
          <w:highlight w:val="none"/>
        </w:rPr>
        <w:tab/>
      </w:r>
    </w:p>
    <w:p w14:paraId="0279362D">
      <w:pPr>
        <w:spacing w:line="480" w:lineRule="auto"/>
        <w:rPr>
          <w:rFonts w:hint="default" w:ascii="宋体" w:hAnsi="宋体" w:eastAsiaTheme="minorEastAsia"/>
          <w:color w:val="auto"/>
          <w:sz w:val="32"/>
          <w:szCs w:val="32"/>
          <w:highlight w:val="none"/>
          <w:lang w:val="en-US" w:eastAsia="zh-CN"/>
        </w:rPr>
      </w:pPr>
      <w:r>
        <w:rPr>
          <w:rFonts w:hint="eastAsia"/>
          <w:color w:val="auto"/>
          <w:sz w:val="22"/>
          <w:szCs w:val="22"/>
          <w:highlight w:val="none"/>
        </w:rPr>
        <w:t>日期：</w:t>
      </w:r>
      <w:r>
        <w:rPr>
          <w:rFonts w:hint="eastAsia" w:hAnsi="宋体"/>
          <w:b/>
          <w:color w:val="auto"/>
          <w:sz w:val="32"/>
          <w:szCs w:val="32"/>
          <w:highlight w:val="none"/>
        </w:rPr>
        <w:br w:type="page"/>
      </w:r>
      <w:r>
        <w:rPr>
          <w:rFonts w:hint="eastAsia" w:ascii="宋体" w:hAnsi="宋体" w:eastAsia="宋体" w:cs="Times New Roman"/>
          <w:b/>
          <w:color w:val="auto"/>
          <w:kern w:val="0"/>
          <w:sz w:val="32"/>
          <w:szCs w:val="32"/>
          <w:highlight w:val="none"/>
          <w:lang w:val="zh-CN" w:eastAsia="zh-CN" w:bidi="ar-SA"/>
        </w:rPr>
        <w:t>附件一（</w:t>
      </w:r>
      <w:r>
        <w:rPr>
          <w:rFonts w:hint="eastAsia" w:ascii="宋体" w:hAnsi="宋体" w:eastAsia="宋体" w:cs="Times New Roman"/>
          <w:b/>
          <w:color w:val="auto"/>
          <w:kern w:val="0"/>
          <w:sz w:val="32"/>
          <w:szCs w:val="32"/>
          <w:highlight w:val="none"/>
          <w:lang w:val="en-US" w:eastAsia="zh-CN" w:bidi="ar-SA"/>
        </w:rPr>
        <w:t>二）</w:t>
      </w:r>
    </w:p>
    <w:p w14:paraId="4716E953">
      <w:pPr>
        <w:kinsoku w:val="0"/>
        <w:autoSpaceDE w:val="0"/>
        <w:autoSpaceDN w:val="0"/>
        <w:adjustRightInd w:val="0"/>
        <w:snapToGrid w:val="0"/>
        <w:spacing w:before="277" w:line="219" w:lineRule="auto"/>
        <w:jc w:val="center"/>
        <w:textAlignment w:val="baseline"/>
        <w:rPr>
          <w:rFonts w:hint="eastAsia" w:ascii="宋体" w:hAnsi="宋体" w:eastAsia="宋体" w:cs="宋体"/>
          <w:b/>
          <w:bCs/>
          <w:snapToGrid w:val="0"/>
          <w:color w:val="auto"/>
          <w:spacing w:val="1"/>
          <w:kern w:val="0"/>
          <w:sz w:val="32"/>
          <w:szCs w:val="32"/>
          <w:highlight w:val="none"/>
          <w:lang w:val="zh-CN" w:eastAsia="en-US" w:bidi="ar-SA"/>
        </w:rPr>
      </w:pPr>
      <w:r>
        <w:rPr>
          <w:rFonts w:hint="eastAsia" w:ascii="宋体" w:hAnsi="宋体" w:eastAsia="宋体" w:cs="宋体"/>
          <w:b/>
          <w:bCs/>
          <w:snapToGrid w:val="0"/>
          <w:color w:val="auto"/>
          <w:spacing w:val="1"/>
          <w:kern w:val="0"/>
          <w:sz w:val="32"/>
          <w:szCs w:val="32"/>
          <w:highlight w:val="none"/>
          <w:lang w:val="zh-CN" w:eastAsia="en-US" w:bidi="ar-SA"/>
        </w:rPr>
        <w:t>投标分项报价表</w:t>
      </w:r>
    </w:p>
    <w:p w14:paraId="5011B34B">
      <w:pPr>
        <w:wordWrap w:val="0"/>
        <w:spacing w:line="400" w:lineRule="exact"/>
        <w:ind w:right="420"/>
        <w:rPr>
          <w:rFonts w:hint="eastAsia" w:ascii="宋体" w:hAnsi="宋体"/>
          <w:color w:val="auto"/>
          <w:sz w:val="22"/>
          <w:szCs w:val="22"/>
          <w:highlight w:val="none"/>
          <w:lang w:eastAsia="zh-CN"/>
        </w:rPr>
      </w:pPr>
      <w:r>
        <w:rPr>
          <w:rFonts w:hint="eastAsia" w:ascii="Times New Roman" w:hAnsi="Times New Roman"/>
          <w:color w:val="auto"/>
          <w:sz w:val="22"/>
          <w:szCs w:val="22"/>
          <w:highlight w:val="none"/>
        </w:rPr>
        <w:t>项目名称：</w:t>
      </w:r>
      <w:r>
        <w:rPr>
          <w:rFonts w:hint="eastAsia" w:ascii="宋体" w:hAnsi="宋体"/>
          <w:color w:val="auto"/>
          <w:sz w:val="22"/>
          <w:szCs w:val="22"/>
          <w:highlight w:val="none"/>
          <w:lang w:eastAsia="zh-CN"/>
        </w:rPr>
        <w:t>2025-2026泰顺县大安乡环卫保洁服务</w:t>
      </w:r>
    </w:p>
    <w:p w14:paraId="347A833A">
      <w:pPr>
        <w:wordWrap w:val="0"/>
        <w:spacing w:line="400" w:lineRule="exact"/>
        <w:ind w:right="420"/>
        <w:rPr>
          <w:rFonts w:hint="eastAsia" w:ascii="宋体" w:hAnsi="宋体" w:eastAsia="宋体" w:cs="宋体"/>
          <w:color w:val="auto"/>
          <w:sz w:val="22"/>
          <w:szCs w:val="28"/>
          <w:highlight w:val="none"/>
          <w:lang w:eastAsia="zh-CN"/>
        </w:rPr>
      </w:pPr>
      <w:r>
        <w:rPr>
          <w:rFonts w:hint="eastAsia" w:ascii="Times New Roman" w:hAnsi="Times New Roman"/>
          <w:color w:val="auto"/>
          <w:sz w:val="22"/>
          <w:szCs w:val="22"/>
          <w:highlight w:val="none"/>
        </w:rPr>
        <w:t>项目编号：</w:t>
      </w:r>
      <w:r>
        <w:rPr>
          <w:rFonts w:hint="eastAsia" w:ascii="宋体" w:hAnsi="宋体" w:eastAsia="宋体" w:cs="宋体"/>
          <w:color w:val="auto"/>
          <w:sz w:val="22"/>
          <w:szCs w:val="28"/>
          <w:highlight w:val="none"/>
          <w:lang w:eastAsia="zh-CN"/>
        </w:rPr>
        <w:t>TSCG202509001</w:t>
      </w:r>
    </w:p>
    <w:p w14:paraId="0A038BC6">
      <w:pPr>
        <w:wordWrap w:val="0"/>
        <w:spacing w:line="400" w:lineRule="exact"/>
        <w:ind w:right="420"/>
        <w:rPr>
          <w:rFonts w:hint="eastAsia" w:ascii="Times New Roman" w:hAnsi="Times New Roman"/>
          <w:color w:val="auto"/>
          <w:sz w:val="22"/>
          <w:szCs w:val="22"/>
          <w:highlight w:val="none"/>
          <w:lang w:val="zh-CN"/>
        </w:rPr>
      </w:pPr>
      <w:r>
        <w:rPr>
          <w:rFonts w:hint="eastAsia" w:ascii="Times New Roman" w:hAnsi="Times New Roman"/>
          <w:color w:val="auto"/>
          <w:sz w:val="22"/>
          <w:szCs w:val="22"/>
          <w:highlight w:val="none"/>
        </w:rPr>
        <w:t>价格单位：元人民币</w:t>
      </w:r>
      <w:r>
        <w:rPr>
          <w:rFonts w:hint="eastAsia" w:ascii="Times New Roman" w:hAnsi="Times New Roman"/>
          <w:color w:val="auto"/>
          <w:sz w:val="22"/>
          <w:szCs w:val="22"/>
          <w:highlight w:val="none"/>
          <w:lang w:val="zh-CN"/>
        </w:rPr>
        <w:t xml:space="preserve">  </w:t>
      </w:r>
    </w:p>
    <w:tbl>
      <w:tblPr>
        <w:tblStyle w:val="30"/>
        <w:tblW w:w="9423"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961"/>
        <w:gridCol w:w="1568"/>
        <w:gridCol w:w="688"/>
        <w:gridCol w:w="720"/>
        <w:gridCol w:w="945"/>
        <w:gridCol w:w="1185"/>
        <w:gridCol w:w="2655"/>
      </w:tblGrid>
      <w:tr w14:paraId="70F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8" w:hRule="atLeast"/>
        </w:trPr>
        <w:tc>
          <w:tcPr>
            <w:tcW w:w="701" w:type="dxa"/>
            <w:vAlign w:val="center"/>
          </w:tcPr>
          <w:p w14:paraId="20C522F0">
            <w:pPr>
              <w:keepNext w:val="0"/>
              <w:keepLines w:val="0"/>
              <w:widowControl/>
              <w:suppressLineNumbers w:val="0"/>
              <w:jc w:val="center"/>
              <w:textAlignment w:val="center"/>
              <w:rPr>
                <w:rFonts w:ascii="宋体" w:hAnsi="Calibri" w:eastAsia="宋体" w:cs="宋体"/>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rPr>
              <w:t>序号</w:t>
            </w:r>
          </w:p>
        </w:tc>
        <w:tc>
          <w:tcPr>
            <w:tcW w:w="961" w:type="dxa"/>
            <w:vAlign w:val="center"/>
          </w:tcPr>
          <w:p w14:paraId="38CA4B05">
            <w:pPr>
              <w:jc w:val="center"/>
              <w:rPr>
                <w:rFonts w:ascii="宋体" w:hAnsi="Calibri" w:eastAsia="宋体" w:cs="宋体"/>
                <w:bCs/>
                <w:color w:val="auto"/>
                <w:sz w:val="22"/>
                <w:szCs w:val="22"/>
                <w:highlight w:val="none"/>
              </w:rPr>
            </w:pPr>
            <w:r>
              <w:rPr>
                <w:rFonts w:hint="eastAsia" w:ascii="Calibri" w:hAnsi="Calibri" w:eastAsia="宋体" w:cs="Times New Roman"/>
                <w:color w:val="auto"/>
                <w:szCs w:val="22"/>
                <w:highlight w:val="none"/>
              </w:rPr>
              <w:t>报价项`</w:t>
            </w:r>
          </w:p>
        </w:tc>
        <w:tc>
          <w:tcPr>
            <w:tcW w:w="1568" w:type="dxa"/>
            <w:vAlign w:val="center"/>
          </w:tcPr>
          <w:p w14:paraId="2C732FE7">
            <w:pPr>
              <w:jc w:val="center"/>
              <w:rPr>
                <w:rFonts w:hint="default" w:ascii="Calibri" w:hAnsi="Calibri" w:eastAsia="宋体" w:cs="Times New Roman"/>
                <w:color w:val="auto"/>
                <w:szCs w:val="22"/>
                <w:highlight w:val="none"/>
                <w:lang w:val="en-US" w:eastAsia="zh-CN"/>
              </w:rPr>
            </w:pPr>
            <w:r>
              <w:rPr>
                <w:rFonts w:hint="eastAsia" w:ascii="Calibri" w:hAnsi="Calibri" w:eastAsia="宋体" w:cs="Times New Roman"/>
                <w:color w:val="auto"/>
                <w:szCs w:val="22"/>
                <w:highlight w:val="none"/>
                <w:lang w:val="en-US" w:eastAsia="zh-CN"/>
              </w:rPr>
              <w:t>配置参数</w:t>
            </w:r>
          </w:p>
        </w:tc>
        <w:tc>
          <w:tcPr>
            <w:tcW w:w="688" w:type="dxa"/>
            <w:vAlign w:val="center"/>
          </w:tcPr>
          <w:p w14:paraId="175FCAA6">
            <w:pPr>
              <w:ind w:right="-11" w:rightChars="0"/>
              <w:jc w:val="center"/>
              <w:rPr>
                <w:rFonts w:ascii="宋体" w:hAnsi="宋体" w:eastAsia="宋体" w:cs="宋体"/>
                <w:b/>
                <w:bCs/>
                <w:i w:val="0"/>
                <w:iCs w:val="0"/>
                <w:color w:val="auto"/>
                <w:kern w:val="0"/>
                <w:sz w:val="22"/>
                <w:szCs w:val="22"/>
                <w:highlight w:val="none"/>
                <w:u w:val="none"/>
                <w:lang w:val="en-US" w:eastAsia="zh-CN"/>
              </w:rPr>
            </w:pPr>
            <w:r>
              <w:rPr>
                <w:rFonts w:hint="eastAsia" w:ascii="宋体" w:hAnsi="Calibri" w:eastAsia="宋体" w:cs="Arial"/>
                <w:bCs/>
                <w:color w:val="auto"/>
                <w:sz w:val="22"/>
                <w:szCs w:val="22"/>
                <w:highlight w:val="none"/>
              </w:rPr>
              <w:t>单位</w:t>
            </w:r>
          </w:p>
        </w:tc>
        <w:tc>
          <w:tcPr>
            <w:tcW w:w="720" w:type="dxa"/>
            <w:vAlign w:val="center"/>
          </w:tcPr>
          <w:p w14:paraId="69DCAD1F">
            <w:pPr>
              <w:ind w:right="-11" w:rightChars="0"/>
              <w:jc w:val="center"/>
              <w:rPr>
                <w:rFonts w:ascii="宋体" w:hAnsi="Calibri" w:eastAsia="宋体" w:cs="宋体"/>
                <w:bCs/>
                <w:color w:val="auto"/>
                <w:sz w:val="22"/>
                <w:szCs w:val="22"/>
                <w:highlight w:val="none"/>
              </w:rPr>
            </w:pPr>
            <w:r>
              <w:rPr>
                <w:rFonts w:hint="eastAsia" w:ascii="宋体" w:hAnsi="Calibri" w:eastAsia="宋体" w:cs="Arial"/>
                <w:bCs/>
                <w:color w:val="auto"/>
                <w:sz w:val="22"/>
                <w:szCs w:val="22"/>
                <w:highlight w:val="none"/>
              </w:rPr>
              <w:t>数量</w:t>
            </w:r>
          </w:p>
        </w:tc>
        <w:tc>
          <w:tcPr>
            <w:tcW w:w="945" w:type="dxa"/>
            <w:vAlign w:val="center"/>
          </w:tcPr>
          <w:p w14:paraId="0A7088CD">
            <w:pPr>
              <w:ind w:right="-11" w:rightChars="0"/>
              <w:jc w:val="center"/>
              <w:rPr>
                <w:rFonts w:ascii="宋体" w:hAnsi="Calibri" w:eastAsia="宋体" w:cs="宋体"/>
                <w:bCs/>
                <w:color w:val="auto"/>
                <w:sz w:val="22"/>
                <w:szCs w:val="22"/>
                <w:highlight w:val="none"/>
              </w:rPr>
            </w:pPr>
            <w:r>
              <w:rPr>
                <w:rFonts w:hint="eastAsia" w:ascii="宋体" w:hAnsi="Calibri" w:eastAsia="宋体" w:cs="Arial"/>
                <w:bCs/>
                <w:color w:val="auto"/>
                <w:sz w:val="22"/>
                <w:szCs w:val="22"/>
                <w:highlight w:val="none"/>
              </w:rPr>
              <w:t>单价</w:t>
            </w:r>
          </w:p>
        </w:tc>
        <w:tc>
          <w:tcPr>
            <w:tcW w:w="1185" w:type="dxa"/>
            <w:vAlign w:val="center"/>
          </w:tcPr>
          <w:p w14:paraId="197F61AE">
            <w:pPr>
              <w:ind w:right="-11" w:rightChars="0"/>
              <w:jc w:val="center"/>
              <w:rPr>
                <w:rFonts w:ascii="宋体" w:hAnsi="Calibri" w:eastAsia="宋体" w:cs="宋体"/>
                <w:bCs/>
                <w:color w:val="auto"/>
                <w:sz w:val="22"/>
                <w:szCs w:val="22"/>
                <w:highlight w:val="none"/>
              </w:rPr>
            </w:pPr>
            <w:r>
              <w:rPr>
                <w:rFonts w:hint="eastAsia" w:ascii="宋体" w:hAnsi="Calibri" w:eastAsia="宋体" w:cs="Arial"/>
                <w:bCs/>
                <w:color w:val="auto"/>
                <w:sz w:val="22"/>
                <w:szCs w:val="22"/>
                <w:highlight w:val="none"/>
              </w:rPr>
              <w:t>总价</w:t>
            </w:r>
          </w:p>
        </w:tc>
        <w:tc>
          <w:tcPr>
            <w:tcW w:w="2655" w:type="dxa"/>
            <w:vAlign w:val="center"/>
          </w:tcPr>
          <w:p w14:paraId="68152E4A">
            <w:pPr>
              <w:ind w:right="-11" w:rightChars="0"/>
              <w:jc w:val="center"/>
              <w:rPr>
                <w:rFonts w:ascii="宋体" w:hAnsi="Calibri" w:eastAsia="宋体" w:cs="宋体"/>
                <w:bCs/>
                <w:color w:val="auto"/>
                <w:sz w:val="22"/>
                <w:szCs w:val="22"/>
                <w:highlight w:val="none"/>
              </w:rPr>
            </w:pPr>
            <w:r>
              <w:rPr>
                <w:rFonts w:hint="eastAsia" w:ascii="宋体" w:hAnsi="Calibri" w:eastAsia="宋体" w:cs="Arial"/>
                <w:bCs/>
                <w:color w:val="auto"/>
                <w:sz w:val="22"/>
                <w:szCs w:val="22"/>
                <w:highlight w:val="none"/>
              </w:rPr>
              <w:t>备注</w:t>
            </w:r>
          </w:p>
        </w:tc>
      </w:tr>
      <w:tr w14:paraId="089C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471D02F6">
            <w:pPr>
              <w:ind w:right="-11"/>
              <w:jc w:val="center"/>
              <w:rPr>
                <w:rFonts w:ascii="宋体" w:hAnsi="Calibri" w:eastAsia="宋体" w:cs="宋体"/>
                <w:color w:val="auto"/>
                <w:sz w:val="22"/>
                <w:szCs w:val="22"/>
                <w:highlight w:val="none"/>
              </w:rPr>
            </w:pPr>
            <w:r>
              <w:rPr>
                <w:rFonts w:hint="eastAsia" w:ascii="宋体" w:hAnsi="Calibri" w:eastAsia="宋体" w:cs="宋体"/>
                <w:color w:val="auto"/>
                <w:sz w:val="22"/>
                <w:szCs w:val="22"/>
                <w:highlight w:val="none"/>
              </w:rPr>
              <w:t>1</w:t>
            </w:r>
          </w:p>
        </w:tc>
        <w:tc>
          <w:tcPr>
            <w:tcW w:w="961" w:type="dxa"/>
            <w:tcBorders>
              <w:top w:val="single" w:color="auto" w:sz="4" w:space="0"/>
              <w:left w:val="single" w:color="auto" w:sz="4" w:space="0"/>
              <w:right w:val="single" w:color="auto" w:sz="4" w:space="0"/>
            </w:tcBorders>
            <w:vAlign w:val="center"/>
          </w:tcPr>
          <w:p w14:paraId="02DA72BC">
            <w:pPr>
              <w:jc w:val="center"/>
              <w:rPr>
                <w:rFonts w:ascii="宋体" w:hAnsi="Calibri" w:eastAsia="宋体" w:cs="宋体"/>
                <w:color w:val="auto"/>
                <w:sz w:val="22"/>
                <w:szCs w:val="22"/>
                <w:highlight w:val="none"/>
              </w:rPr>
            </w:pPr>
          </w:p>
        </w:tc>
        <w:tc>
          <w:tcPr>
            <w:tcW w:w="1568" w:type="dxa"/>
            <w:tcBorders>
              <w:top w:val="single" w:color="auto" w:sz="4" w:space="0"/>
              <w:left w:val="single" w:color="auto" w:sz="4" w:space="0"/>
              <w:right w:val="single" w:color="auto" w:sz="4" w:space="0"/>
            </w:tcBorders>
            <w:vAlign w:val="center"/>
          </w:tcPr>
          <w:p w14:paraId="065F4561">
            <w:pPr>
              <w:jc w:val="center"/>
              <w:rPr>
                <w:rFonts w:ascii="宋体" w:hAnsi="Calibri" w:eastAsia="宋体" w:cs="宋体"/>
                <w:color w:val="auto"/>
                <w:sz w:val="22"/>
                <w:szCs w:val="22"/>
                <w:highlight w:val="none"/>
              </w:rPr>
            </w:pPr>
          </w:p>
        </w:tc>
        <w:tc>
          <w:tcPr>
            <w:tcW w:w="688" w:type="dxa"/>
            <w:tcBorders>
              <w:top w:val="single" w:color="auto" w:sz="4" w:space="0"/>
              <w:left w:val="single" w:color="auto" w:sz="4" w:space="0"/>
              <w:right w:val="single" w:color="auto" w:sz="4" w:space="0"/>
            </w:tcBorders>
            <w:vAlign w:val="center"/>
          </w:tcPr>
          <w:p w14:paraId="13BCDA45">
            <w:pPr>
              <w:jc w:val="center"/>
              <w:rPr>
                <w:rFonts w:ascii="宋体" w:hAnsi="Calibri"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4DD51E17">
            <w:pPr>
              <w:jc w:val="center"/>
              <w:rPr>
                <w:rFonts w:ascii="宋体" w:hAnsi="Calibri" w:eastAsia="宋体" w:cs="宋体"/>
                <w:color w:val="auto"/>
                <w:sz w:val="22"/>
                <w:szCs w:val="22"/>
                <w:highlight w:val="none"/>
              </w:rPr>
            </w:pPr>
          </w:p>
        </w:tc>
        <w:tc>
          <w:tcPr>
            <w:tcW w:w="945" w:type="dxa"/>
            <w:tcBorders>
              <w:top w:val="single" w:color="auto" w:sz="4" w:space="0"/>
              <w:left w:val="single" w:color="auto" w:sz="4" w:space="0"/>
              <w:right w:val="single" w:color="auto" w:sz="4" w:space="0"/>
            </w:tcBorders>
            <w:vAlign w:val="center"/>
          </w:tcPr>
          <w:p w14:paraId="3CCA451D">
            <w:pPr>
              <w:jc w:val="center"/>
              <w:rPr>
                <w:rFonts w:ascii="宋体" w:hAnsi="Calibri" w:eastAsia="宋体" w:cs="宋体"/>
                <w:color w:val="auto"/>
                <w:sz w:val="22"/>
                <w:szCs w:val="22"/>
                <w:highlight w:val="none"/>
              </w:rPr>
            </w:pPr>
          </w:p>
        </w:tc>
        <w:tc>
          <w:tcPr>
            <w:tcW w:w="1185" w:type="dxa"/>
            <w:tcBorders>
              <w:top w:val="single" w:color="auto" w:sz="4" w:space="0"/>
              <w:left w:val="single" w:color="auto" w:sz="4" w:space="0"/>
              <w:right w:val="single" w:color="auto" w:sz="4" w:space="0"/>
            </w:tcBorders>
            <w:vAlign w:val="center"/>
          </w:tcPr>
          <w:p w14:paraId="3C5550D8">
            <w:pPr>
              <w:ind w:right="-11"/>
              <w:jc w:val="center"/>
              <w:rPr>
                <w:rFonts w:ascii="宋体" w:hAnsi="Calibri" w:eastAsia="宋体" w:cs="宋体"/>
                <w:color w:val="auto"/>
                <w:sz w:val="22"/>
                <w:szCs w:val="22"/>
                <w:highlight w:val="none"/>
              </w:rPr>
            </w:pPr>
          </w:p>
        </w:tc>
        <w:tc>
          <w:tcPr>
            <w:tcW w:w="2655" w:type="dxa"/>
            <w:tcBorders>
              <w:top w:val="single" w:color="auto" w:sz="4" w:space="0"/>
              <w:left w:val="single" w:color="auto" w:sz="4" w:space="0"/>
              <w:right w:val="single" w:color="auto" w:sz="4" w:space="0"/>
            </w:tcBorders>
            <w:vAlign w:val="center"/>
          </w:tcPr>
          <w:p w14:paraId="2AF05405">
            <w:pPr>
              <w:jc w:val="center"/>
              <w:rPr>
                <w:rFonts w:ascii="宋体" w:hAnsi="Calibri" w:eastAsia="宋体" w:cs="宋体"/>
                <w:color w:val="auto"/>
                <w:sz w:val="22"/>
                <w:szCs w:val="22"/>
                <w:highlight w:val="none"/>
              </w:rPr>
            </w:pPr>
          </w:p>
        </w:tc>
      </w:tr>
      <w:tr w14:paraId="172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5079FF6D">
            <w:pPr>
              <w:ind w:right="-11"/>
              <w:jc w:val="center"/>
              <w:rPr>
                <w:rFonts w:ascii="宋体" w:hAnsi="Calibri" w:eastAsia="宋体" w:cs="宋体"/>
                <w:color w:val="auto"/>
                <w:sz w:val="22"/>
                <w:szCs w:val="22"/>
                <w:highlight w:val="none"/>
              </w:rPr>
            </w:pPr>
            <w:r>
              <w:rPr>
                <w:rFonts w:hint="eastAsia" w:ascii="宋体" w:hAnsi="Calibri" w:eastAsia="宋体" w:cs="宋体"/>
                <w:color w:val="auto"/>
                <w:sz w:val="22"/>
                <w:szCs w:val="22"/>
                <w:highlight w:val="none"/>
              </w:rPr>
              <w:t>2</w:t>
            </w:r>
          </w:p>
        </w:tc>
        <w:tc>
          <w:tcPr>
            <w:tcW w:w="961" w:type="dxa"/>
            <w:tcBorders>
              <w:top w:val="single" w:color="auto" w:sz="4" w:space="0"/>
              <w:left w:val="single" w:color="auto" w:sz="4" w:space="0"/>
              <w:right w:val="single" w:color="auto" w:sz="4" w:space="0"/>
            </w:tcBorders>
            <w:vAlign w:val="center"/>
          </w:tcPr>
          <w:p w14:paraId="74527431">
            <w:pPr>
              <w:jc w:val="center"/>
              <w:rPr>
                <w:rFonts w:ascii="宋体" w:hAnsi="Calibri" w:eastAsia="宋体" w:cs="宋体"/>
                <w:color w:val="auto"/>
                <w:sz w:val="22"/>
                <w:szCs w:val="22"/>
                <w:highlight w:val="none"/>
              </w:rPr>
            </w:pPr>
          </w:p>
        </w:tc>
        <w:tc>
          <w:tcPr>
            <w:tcW w:w="1568" w:type="dxa"/>
            <w:tcBorders>
              <w:top w:val="single" w:color="auto" w:sz="4" w:space="0"/>
              <w:left w:val="single" w:color="auto" w:sz="4" w:space="0"/>
              <w:right w:val="single" w:color="auto" w:sz="4" w:space="0"/>
            </w:tcBorders>
            <w:vAlign w:val="center"/>
          </w:tcPr>
          <w:p w14:paraId="5A1260D2">
            <w:pPr>
              <w:jc w:val="center"/>
              <w:rPr>
                <w:rFonts w:ascii="宋体" w:hAnsi="Calibri" w:eastAsia="宋体" w:cs="宋体"/>
                <w:color w:val="auto"/>
                <w:sz w:val="22"/>
                <w:szCs w:val="22"/>
                <w:highlight w:val="none"/>
              </w:rPr>
            </w:pPr>
          </w:p>
        </w:tc>
        <w:tc>
          <w:tcPr>
            <w:tcW w:w="688" w:type="dxa"/>
            <w:tcBorders>
              <w:top w:val="single" w:color="auto" w:sz="4" w:space="0"/>
              <w:left w:val="single" w:color="auto" w:sz="4" w:space="0"/>
              <w:right w:val="single" w:color="auto" w:sz="4" w:space="0"/>
            </w:tcBorders>
            <w:vAlign w:val="center"/>
          </w:tcPr>
          <w:p w14:paraId="3326B58A">
            <w:pPr>
              <w:jc w:val="center"/>
              <w:rPr>
                <w:rFonts w:ascii="宋体" w:hAnsi="Calibri"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11578EC7">
            <w:pPr>
              <w:jc w:val="center"/>
              <w:rPr>
                <w:rFonts w:ascii="宋体" w:hAnsi="Calibri" w:eastAsia="宋体" w:cs="宋体"/>
                <w:color w:val="auto"/>
                <w:sz w:val="22"/>
                <w:szCs w:val="22"/>
                <w:highlight w:val="none"/>
              </w:rPr>
            </w:pPr>
          </w:p>
        </w:tc>
        <w:tc>
          <w:tcPr>
            <w:tcW w:w="945" w:type="dxa"/>
            <w:tcBorders>
              <w:top w:val="single" w:color="auto" w:sz="4" w:space="0"/>
              <w:left w:val="single" w:color="auto" w:sz="4" w:space="0"/>
              <w:right w:val="single" w:color="auto" w:sz="4" w:space="0"/>
            </w:tcBorders>
            <w:vAlign w:val="center"/>
          </w:tcPr>
          <w:p w14:paraId="38973E07">
            <w:pPr>
              <w:jc w:val="center"/>
              <w:rPr>
                <w:rFonts w:ascii="宋体" w:hAnsi="Calibri" w:eastAsia="宋体" w:cs="宋体"/>
                <w:color w:val="auto"/>
                <w:sz w:val="22"/>
                <w:szCs w:val="22"/>
                <w:highlight w:val="none"/>
              </w:rPr>
            </w:pPr>
          </w:p>
        </w:tc>
        <w:tc>
          <w:tcPr>
            <w:tcW w:w="1185" w:type="dxa"/>
            <w:tcBorders>
              <w:top w:val="single" w:color="auto" w:sz="4" w:space="0"/>
              <w:left w:val="single" w:color="auto" w:sz="4" w:space="0"/>
              <w:right w:val="single" w:color="auto" w:sz="4" w:space="0"/>
            </w:tcBorders>
            <w:vAlign w:val="center"/>
          </w:tcPr>
          <w:p w14:paraId="50D615BB">
            <w:pPr>
              <w:ind w:right="-11"/>
              <w:jc w:val="center"/>
              <w:rPr>
                <w:rFonts w:ascii="宋体" w:hAnsi="Calibri" w:eastAsia="宋体" w:cs="宋体"/>
                <w:color w:val="auto"/>
                <w:sz w:val="22"/>
                <w:szCs w:val="22"/>
                <w:highlight w:val="none"/>
              </w:rPr>
            </w:pPr>
          </w:p>
        </w:tc>
        <w:tc>
          <w:tcPr>
            <w:tcW w:w="2655" w:type="dxa"/>
            <w:tcBorders>
              <w:top w:val="single" w:color="auto" w:sz="4" w:space="0"/>
              <w:left w:val="single" w:color="auto" w:sz="4" w:space="0"/>
              <w:right w:val="single" w:color="auto" w:sz="4" w:space="0"/>
            </w:tcBorders>
            <w:vAlign w:val="center"/>
          </w:tcPr>
          <w:p w14:paraId="41CBB2E8">
            <w:pPr>
              <w:jc w:val="center"/>
              <w:rPr>
                <w:rFonts w:ascii="宋体" w:hAnsi="Calibri" w:eastAsia="宋体" w:cs="宋体"/>
                <w:color w:val="auto"/>
                <w:sz w:val="22"/>
                <w:szCs w:val="22"/>
                <w:highlight w:val="none"/>
              </w:rPr>
            </w:pPr>
          </w:p>
        </w:tc>
      </w:tr>
      <w:tr w14:paraId="7DB0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226EFEA2">
            <w:pPr>
              <w:ind w:right="-11"/>
              <w:jc w:val="center"/>
              <w:rPr>
                <w:rFonts w:ascii="宋体" w:hAnsi="Calibri" w:eastAsia="宋体" w:cs="宋体"/>
                <w:color w:val="auto"/>
                <w:sz w:val="22"/>
                <w:szCs w:val="22"/>
                <w:highlight w:val="none"/>
              </w:rPr>
            </w:pPr>
            <w:r>
              <w:rPr>
                <w:rFonts w:hint="eastAsia" w:ascii="宋体" w:hAnsi="Calibri" w:eastAsia="宋体" w:cs="宋体"/>
                <w:color w:val="auto"/>
                <w:sz w:val="22"/>
                <w:szCs w:val="22"/>
                <w:highlight w:val="none"/>
              </w:rPr>
              <w:t>3</w:t>
            </w:r>
          </w:p>
        </w:tc>
        <w:tc>
          <w:tcPr>
            <w:tcW w:w="961" w:type="dxa"/>
            <w:tcBorders>
              <w:top w:val="single" w:color="auto" w:sz="4" w:space="0"/>
              <w:left w:val="single" w:color="auto" w:sz="4" w:space="0"/>
              <w:right w:val="single" w:color="auto" w:sz="4" w:space="0"/>
            </w:tcBorders>
            <w:vAlign w:val="center"/>
          </w:tcPr>
          <w:p w14:paraId="6F692CBD">
            <w:pPr>
              <w:jc w:val="center"/>
              <w:rPr>
                <w:rFonts w:ascii="宋体" w:hAnsi="Calibri" w:eastAsia="宋体" w:cs="宋体"/>
                <w:color w:val="auto"/>
                <w:sz w:val="22"/>
                <w:szCs w:val="22"/>
                <w:highlight w:val="none"/>
              </w:rPr>
            </w:pPr>
          </w:p>
        </w:tc>
        <w:tc>
          <w:tcPr>
            <w:tcW w:w="1568" w:type="dxa"/>
            <w:tcBorders>
              <w:top w:val="single" w:color="auto" w:sz="4" w:space="0"/>
              <w:left w:val="single" w:color="auto" w:sz="4" w:space="0"/>
              <w:right w:val="single" w:color="auto" w:sz="4" w:space="0"/>
            </w:tcBorders>
            <w:vAlign w:val="center"/>
          </w:tcPr>
          <w:p w14:paraId="354DC68D">
            <w:pPr>
              <w:jc w:val="center"/>
              <w:rPr>
                <w:rFonts w:ascii="宋体" w:hAnsi="Calibri" w:eastAsia="宋体" w:cs="宋体"/>
                <w:color w:val="auto"/>
                <w:sz w:val="22"/>
                <w:szCs w:val="22"/>
                <w:highlight w:val="none"/>
              </w:rPr>
            </w:pPr>
          </w:p>
        </w:tc>
        <w:tc>
          <w:tcPr>
            <w:tcW w:w="688" w:type="dxa"/>
            <w:tcBorders>
              <w:top w:val="single" w:color="auto" w:sz="4" w:space="0"/>
              <w:left w:val="single" w:color="auto" w:sz="4" w:space="0"/>
              <w:right w:val="single" w:color="auto" w:sz="4" w:space="0"/>
            </w:tcBorders>
            <w:vAlign w:val="center"/>
          </w:tcPr>
          <w:p w14:paraId="21B66FC2">
            <w:pPr>
              <w:jc w:val="center"/>
              <w:rPr>
                <w:rFonts w:ascii="宋体" w:hAnsi="Calibri"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6DDD6335">
            <w:pPr>
              <w:jc w:val="center"/>
              <w:rPr>
                <w:rFonts w:ascii="宋体" w:hAnsi="Calibri" w:eastAsia="宋体" w:cs="宋体"/>
                <w:color w:val="auto"/>
                <w:sz w:val="22"/>
                <w:szCs w:val="22"/>
                <w:highlight w:val="none"/>
              </w:rPr>
            </w:pPr>
          </w:p>
        </w:tc>
        <w:tc>
          <w:tcPr>
            <w:tcW w:w="945" w:type="dxa"/>
            <w:tcBorders>
              <w:top w:val="single" w:color="auto" w:sz="4" w:space="0"/>
              <w:left w:val="single" w:color="auto" w:sz="4" w:space="0"/>
              <w:right w:val="single" w:color="auto" w:sz="4" w:space="0"/>
            </w:tcBorders>
            <w:vAlign w:val="center"/>
          </w:tcPr>
          <w:p w14:paraId="4753E182">
            <w:pPr>
              <w:jc w:val="center"/>
              <w:rPr>
                <w:rFonts w:ascii="宋体" w:hAnsi="Calibri" w:eastAsia="宋体" w:cs="宋体"/>
                <w:color w:val="auto"/>
                <w:sz w:val="22"/>
                <w:szCs w:val="22"/>
                <w:highlight w:val="none"/>
              </w:rPr>
            </w:pPr>
          </w:p>
        </w:tc>
        <w:tc>
          <w:tcPr>
            <w:tcW w:w="1185" w:type="dxa"/>
            <w:tcBorders>
              <w:top w:val="single" w:color="auto" w:sz="4" w:space="0"/>
              <w:left w:val="single" w:color="auto" w:sz="4" w:space="0"/>
              <w:right w:val="single" w:color="auto" w:sz="4" w:space="0"/>
            </w:tcBorders>
            <w:vAlign w:val="center"/>
          </w:tcPr>
          <w:p w14:paraId="2EEDF3A1">
            <w:pPr>
              <w:ind w:right="-11"/>
              <w:jc w:val="center"/>
              <w:rPr>
                <w:rFonts w:ascii="宋体" w:hAnsi="Calibri" w:eastAsia="宋体" w:cs="宋体"/>
                <w:color w:val="auto"/>
                <w:sz w:val="22"/>
                <w:szCs w:val="22"/>
                <w:highlight w:val="none"/>
              </w:rPr>
            </w:pPr>
          </w:p>
        </w:tc>
        <w:tc>
          <w:tcPr>
            <w:tcW w:w="2655" w:type="dxa"/>
            <w:tcBorders>
              <w:top w:val="single" w:color="auto" w:sz="4" w:space="0"/>
              <w:left w:val="single" w:color="auto" w:sz="4" w:space="0"/>
              <w:right w:val="single" w:color="auto" w:sz="4" w:space="0"/>
            </w:tcBorders>
            <w:vAlign w:val="center"/>
          </w:tcPr>
          <w:p w14:paraId="6D9252B8">
            <w:pPr>
              <w:jc w:val="center"/>
              <w:rPr>
                <w:rFonts w:ascii="宋体" w:hAnsi="Calibri" w:eastAsia="宋体" w:cs="宋体"/>
                <w:color w:val="auto"/>
                <w:sz w:val="22"/>
                <w:szCs w:val="22"/>
                <w:highlight w:val="none"/>
              </w:rPr>
            </w:pPr>
          </w:p>
        </w:tc>
      </w:tr>
      <w:tr w14:paraId="12F5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6175DD3F">
            <w:pPr>
              <w:ind w:right="-11"/>
              <w:jc w:val="center"/>
              <w:rPr>
                <w:rFonts w:ascii="宋体" w:hAnsi="Calibri" w:eastAsia="宋体" w:cs="宋体"/>
                <w:color w:val="auto"/>
                <w:sz w:val="22"/>
                <w:szCs w:val="22"/>
                <w:highlight w:val="none"/>
              </w:rPr>
            </w:pPr>
            <w:r>
              <w:rPr>
                <w:rFonts w:hint="eastAsia" w:ascii="宋体" w:hAnsi="Calibri" w:eastAsia="宋体" w:cs="宋体"/>
                <w:color w:val="auto"/>
                <w:sz w:val="22"/>
                <w:szCs w:val="22"/>
                <w:highlight w:val="none"/>
              </w:rPr>
              <w:t>.</w:t>
            </w:r>
          </w:p>
        </w:tc>
        <w:tc>
          <w:tcPr>
            <w:tcW w:w="961" w:type="dxa"/>
            <w:tcBorders>
              <w:top w:val="single" w:color="auto" w:sz="4" w:space="0"/>
              <w:left w:val="single" w:color="auto" w:sz="4" w:space="0"/>
              <w:right w:val="single" w:color="auto" w:sz="4" w:space="0"/>
            </w:tcBorders>
            <w:vAlign w:val="center"/>
          </w:tcPr>
          <w:p w14:paraId="4A8AABE5">
            <w:pPr>
              <w:jc w:val="center"/>
              <w:rPr>
                <w:rFonts w:ascii="宋体" w:hAnsi="Calibri" w:eastAsia="宋体" w:cs="宋体"/>
                <w:color w:val="auto"/>
                <w:sz w:val="22"/>
                <w:szCs w:val="22"/>
                <w:highlight w:val="none"/>
              </w:rPr>
            </w:pPr>
          </w:p>
        </w:tc>
        <w:tc>
          <w:tcPr>
            <w:tcW w:w="1568" w:type="dxa"/>
            <w:tcBorders>
              <w:top w:val="single" w:color="auto" w:sz="4" w:space="0"/>
              <w:left w:val="single" w:color="auto" w:sz="4" w:space="0"/>
              <w:right w:val="single" w:color="auto" w:sz="4" w:space="0"/>
            </w:tcBorders>
            <w:vAlign w:val="center"/>
          </w:tcPr>
          <w:p w14:paraId="1AF1454A">
            <w:pPr>
              <w:jc w:val="center"/>
              <w:rPr>
                <w:rFonts w:ascii="宋体" w:hAnsi="Calibri" w:eastAsia="宋体" w:cs="宋体"/>
                <w:color w:val="auto"/>
                <w:sz w:val="22"/>
                <w:szCs w:val="22"/>
                <w:highlight w:val="none"/>
              </w:rPr>
            </w:pPr>
          </w:p>
        </w:tc>
        <w:tc>
          <w:tcPr>
            <w:tcW w:w="688" w:type="dxa"/>
            <w:tcBorders>
              <w:top w:val="single" w:color="auto" w:sz="4" w:space="0"/>
              <w:left w:val="single" w:color="auto" w:sz="4" w:space="0"/>
              <w:right w:val="single" w:color="auto" w:sz="4" w:space="0"/>
            </w:tcBorders>
            <w:vAlign w:val="center"/>
          </w:tcPr>
          <w:p w14:paraId="274227F1">
            <w:pPr>
              <w:jc w:val="center"/>
              <w:rPr>
                <w:rFonts w:ascii="宋体" w:hAnsi="Calibri"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4845978A">
            <w:pPr>
              <w:jc w:val="center"/>
              <w:rPr>
                <w:rFonts w:ascii="宋体" w:hAnsi="Calibri" w:eastAsia="宋体" w:cs="宋体"/>
                <w:color w:val="auto"/>
                <w:sz w:val="22"/>
                <w:szCs w:val="22"/>
                <w:highlight w:val="none"/>
              </w:rPr>
            </w:pPr>
          </w:p>
        </w:tc>
        <w:tc>
          <w:tcPr>
            <w:tcW w:w="945" w:type="dxa"/>
            <w:tcBorders>
              <w:top w:val="single" w:color="auto" w:sz="4" w:space="0"/>
              <w:left w:val="single" w:color="auto" w:sz="4" w:space="0"/>
              <w:right w:val="single" w:color="auto" w:sz="4" w:space="0"/>
            </w:tcBorders>
            <w:vAlign w:val="center"/>
          </w:tcPr>
          <w:p w14:paraId="58C51521">
            <w:pPr>
              <w:jc w:val="center"/>
              <w:rPr>
                <w:rFonts w:ascii="宋体" w:hAnsi="Calibri" w:eastAsia="宋体" w:cs="宋体"/>
                <w:color w:val="auto"/>
                <w:sz w:val="22"/>
                <w:szCs w:val="22"/>
                <w:highlight w:val="none"/>
              </w:rPr>
            </w:pPr>
          </w:p>
        </w:tc>
        <w:tc>
          <w:tcPr>
            <w:tcW w:w="1185" w:type="dxa"/>
            <w:tcBorders>
              <w:top w:val="single" w:color="auto" w:sz="4" w:space="0"/>
              <w:left w:val="single" w:color="auto" w:sz="4" w:space="0"/>
              <w:right w:val="single" w:color="auto" w:sz="4" w:space="0"/>
            </w:tcBorders>
            <w:vAlign w:val="center"/>
          </w:tcPr>
          <w:p w14:paraId="03B67033">
            <w:pPr>
              <w:ind w:right="-11"/>
              <w:jc w:val="center"/>
              <w:rPr>
                <w:rFonts w:ascii="宋体" w:hAnsi="Calibri" w:eastAsia="宋体" w:cs="宋体"/>
                <w:color w:val="auto"/>
                <w:sz w:val="22"/>
                <w:szCs w:val="22"/>
                <w:highlight w:val="none"/>
              </w:rPr>
            </w:pPr>
          </w:p>
        </w:tc>
        <w:tc>
          <w:tcPr>
            <w:tcW w:w="2655" w:type="dxa"/>
            <w:tcBorders>
              <w:top w:val="single" w:color="auto" w:sz="4" w:space="0"/>
              <w:left w:val="single" w:color="auto" w:sz="4" w:space="0"/>
              <w:right w:val="single" w:color="auto" w:sz="4" w:space="0"/>
            </w:tcBorders>
            <w:vAlign w:val="center"/>
          </w:tcPr>
          <w:p w14:paraId="2A4A70F3">
            <w:pPr>
              <w:rPr>
                <w:rFonts w:ascii="宋体" w:hAnsi="Calibri" w:eastAsia="宋体" w:cs="宋体"/>
                <w:color w:val="auto"/>
                <w:sz w:val="22"/>
                <w:szCs w:val="22"/>
                <w:highlight w:val="none"/>
              </w:rPr>
            </w:pPr>
          </w:p>
        </w:tc>
      </w:tr>
      <w:tr w14:paraId="1743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1A570A26">
            <w:pPr>
              <w:ind w:right="-11"/>
              <w:jc w:val="center"/>
              <w:rPr>
                <w:rFonts w:ascii="宋体" w:hAnsi="Calibri" w:eastAsia="宋体" w:cs="宋体"/>
                <w:color w:val="auto"/>
                <w:sz w:val="22"/>
                <w:szCs w:val="22"/>
                <w:highlight w:val="none"/>
              </w:rPr>
            </w:pPr>
            <w:r>
              <w:rPr>
                <w:rFonts w:hint="eastAsia" w:ascii="宋体" w:hAnsi="Calibri" w:eastAsia="宋体" w:cs="宋体"/>
                <w:color w:val="auto"/>
                <w:sz w:val="22"/>
                <w:szCs w:val="22"/>
                <w:highlight w:val="none"/>
              </w:rPr>
              <w:t>.</w:t>
            </w:r>
          </w:p>
        </w:tc>
        <w:tc>
          <w:tcPr>
            <w:tcW w:w="961" w:type="dxa"/>
            <w:tcBorders>
              <w:top w:val="single" w:color="auto" w:sz="4" w:space="0"/>
              <w:left w:val="single" w:color="auto" w:sz="4" w:space="0"/>
              <w:right w:val="single" w:color="auto" w:sz="4" w:space="0"/>
            </w:tcBorders>
            <w:vAlign w:val="center"/>
          </w:tcPr>
          <w:p w14:paraId="3CD1D4A1">
            <w:pPr>
              <w:jc w:val="center"/>
              <w:rPr>
                <w:rFonts w:ascii="宋体" w:hAnsi="Calibri" w:eastAsia="宋体" w:cs="宋体"/>
                <w:color w:val="auto"/>
                <w:sz w:val="22"/>
                <w:szCs w:val="22"/>
                <w:highlight w:val="none"/>
              </w:rPr>
            </w:pPr>
          </w:p>
        </w:tc>
        <w:tc>
          <w:tcPr>
            <w:tcW w:w="1568" w:type="dxa"/>
            <w:tcBorders>
              <w:top w:val="single" w:color="auto" w:sz="4" w:space="0"/>
              <w:left w:val="single" w:color="auto" w:sz="4" w:space="0"/>
              <w:right w:val="single" w:color="auto" w:sz="4" w:space="0"/>
            </w:tcBorders>
            <w:vAlign w:val="center"/>
          </w:tcPr>
          <w:p w14:paraId="7B882B4C">
            <w:pPr>
              <w:jc w:val="center"/>
              <w:rPr>
                <w:rFonts w:ascii="宋体" w:hAnsi="Calibri" w:eastAsia="宋体" w:cs="宋体"/>
                <w:color w:val="auto"/>
                <w:sz w:val="22"/>
                <w:szCs w:val="22"/>
                <w:highlight w:val="none"/>
              </w:rPr>
            </w:pPr>
          </w:p>
        </w:tc>
        <w:tc>
          <w:tcPr>
            <w:tcW w:w="688" w:type="dxa"/>
            <w:tcBorders>
              <w:top w:val="single" w:color="auto" w:sz="4" w:space="0"/>
              <w:left w:val="single" w:color="auto" w:sz="4" w:space="0"/>
              <w:right w:val="single" w:color="auto" w:sz="4" w:space="0"/>
            </w:tcBorders>
            <w:vAlign w:val="center"/>
          </w:tcPr>
          <w:p w14:paraId="428A994E">
            <w:pPr>
              <w:jc w:val="center"/>
              <w:rPr>
                <w:rFonts w:ascii="宋体" w:hAnsi="Calibri"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316682C6">
            <w:pPr>
              <w:jc w:val="center"/>
              <w:rPr>
                <w:rFonts w:ascii="宋体" w:hAnsi="Calibri" w:eastAsia="宋体" w:cs="宋体"/>
                <w:color w:val="auto"/>
                <w:sz w:val="22"/>
                <w:szCs w:val="22"/>
                <w:highlight w:val="none"/>
              </w:rPr>
            </w:pPr>
          </w:p>
        </w:tc>
        <w:tc>
          <w:tcPr>
            <w:tcW w:w="945" w:type="dxa"/>
            <w:tcBorders>
              <w:top w:val="single" w:color="auto" w:sz="4" w:space="0"/>
              <w:left w:val="single" w:color="auto" w:sz="4" w:space="0"/>
              <w:right w:val="single" w:color="auto" w:sz="4" w:space="0"/>
            </w:tcBorders>
            <w:vAlign w:val="center"/>
          </w:tcPr>
          <w:p w14:paraId="5D202F8A">
            <w:pPr>
              <w:jc w:val="center"/>
              <w:rPr>
                <w:rFonts w:ascii="宋体" w:hAnsi="Calibri" w:eastAsia="宋体" w:cs="宋体"/>
                <w:color w:val="auto"/>
                <w:sz w:val="22"/>
                <w:szCs w:val="22"/>
                <w:highlight w:val="none"/>
              </w:rPr>
            </w:pPr>
          </w:p>
        </w:tc>
        <w:tc>
          <w:tcPr>
            <w:tcW w:w="1185" w:type="dxa"/>
            <w:tcBorders>
              <w:top w:val="single" w:color="auto" w:sz="4" w:space="0"/>
              <w:left w:val="single" w:color="auto" w:sz="4" w:space="0"/>
              <w:right w:val="single" w:color="auto" w:sz="4" w:space="0"/>
            </w:tcBorders>
            <w:vAlign w:val="center"/>
          </w:tcPr>
          <w:p w14:paraId="26DD100B">
            <w:pPr>
              <w:ind w:right="-11"/>
              <w:jc w:val="center"/>
              <w:rPr>
                <w:rFonts w:ascii="宋体" w:hAnsi="Calibri" w:eastAsia="宋体" w:cs="宋体"/>
                <w:color w:val="auto"/>
                <w:sz w:val="22"/>
                <w:szCs w:val="22"/>
                <w:highlight w:val="none"/>
              </w:rPr>
            </w:pPr>
          </w:p>
        </w:tc>
        <w:tc>
          <w:tcPr>
            <w:tcW w:w="2655" w:type="dxa"/>
            <w:tcBorders>
              <w:top w:val="single" w:color="auto" w:sz="4" w:space="0"/>
              <w:left w:val="single" w:color="auto" w:sz="4" w:space="0"/>
              <w:right w:val="single" w:color="auto" w:sz="4" w:space="0"/>
            </w:tcBorders>
            <w:vAlign w:val="center"/>
          </w:tcPr>
          <w:p w14:paraId="0A3609E8">
            <w:pPr>
              <w:jc w:val="center"/>
              <w:rPr>
                <w:rFonts w:ascii="宋体" w:hAnsi="Calibri" w:eastAsia="宋体" w:cs="宋体"/>
                <w:color w:val="auto"/>
                <w:sz w:val="22"/>
                <w:szCs w:val="22"/>
                <w:highlight w:val="none"/>
              </w:rPr>
            </w:pPr>
          </w:p>
        </w:tc>
      </w:tr>
      <w:tr w14:paraId="640C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5C6E9688">
            <w:pPr>
              <w:ind w:right="-11"/>
              <w:jc w:val="center"/>
              <w:rPr>
                <w:rFonts w:ascii="宋体" w:hAnsi="Calibri" w:eastAsia="宋体" w:cs="宋体"/>
                <w:color w:val="auto"/>
                <w:sz w:val="22"/>
                <w:szCs w:val="22"/>
                <w:highlight w:val="none"/>
              </w:rPr>
            </w:pPr>
            <w:r>
              <w:rPr>
                <w:rFonts w:hint="eastAsia" w:ascii="宋体" w:hAnsi="Calibri" w:eastAsia="宋体" w:cs="宋体"/>
                <w:color w:val="auto"/>
                <w:sz w:val="22"/>
                <w:szCs w:val="22"/>
                <w:highlight w:val="none"/>
              </w:rPr>
              <w:t>.</w:t>
            </w:r>
          </w:p>
        </w:tc>
        <w:tc>
          <w:tcPr>
            <w:tcW w:w="961" w:type="dxa"/>
            <w:tcBorders>
              <w:top w:val="single" w:color="auto" w:sz="4" w:space="0"/>
              <w:left w:val="single" w:color="auto" w:sz="4" w:space="0"/>
              <w:right w:val="single" w:color="auto" w:sz="4" w:space="0"/>
            </w:tcBorders>
            <w:vAlign w:val="center"/>
          </w:tcPr>
          <w:p w14:paraId="4750BD08">
            <w:pPr>
              <w:jc w:val="center"/>
              <w:rPr>
                <w:rFonts w:ascii="宋体" w:hAnsi="Calibri" w:eastAsia="宋体" w:cs="宋体"/>
                <w:color w:val="auto"/>
                <w:sz w:val="22"/>
                <w:szCs w:val="22"/>
                <w:highlight w:val="none"/>
              </w:rPr>
            </w:pPr>
          </w:p>
        </w:tc>
        <w:tc>
          <w:tcPr>
            <w:tcW w:w="1568" w:type="dxa"/>
            <w:tcBorders>
              <w:top w:val="single" w:color="auto" w:sz="4" w:space="0"/>
              <w:left w:val="single" w:color="auto" w:sz="4" w:space="0"/>
              <w:right w:val="single" w:color="auto" w:sz="4" w:space="0"/>
            </w:tcBorders>
            <w:vAlign w:val="center"/>
          </w:tcPr>
          <w:p w14:paraId="4D3DAE24">
            <w:pPr>
              <w:jc w:val="center"/>
              <w:rPr>
                <w:rFonts w:ascii="宋体" w:hAnsi="Calibri" w:eastAsia="宋体" w:cs="宋体"/>
                <w:color w:val="auto"/>
                <w:sz w:val="22"/>
                <w:szCs w:val="22"/>
                <w:highlight w:val="none"/>
              </w:rPr>
            </w:pPr>
          </w:p>
        </w:tc>
        <w:tc>
          <w:tcPr>
            <w:tcW w:w="688" w:type="dxa"/>
            <w:tcBorders>
              <w:top w:val="single" w:color="auto" w:sz="4" w:space="0"/>
              <w:left w:val="single" w:color="auto" w:sz="4" w:space="0"/>
              <w:right w:val="single" w:color="auto" w:sz="4" w:space="0"/>
            </w:tcBorders>
            <w:vAlign w:val="center"/>
          </w:tcPr>
          <w:p w14:paraId="6BA42D20">
            <w:pPr>
              <w:jc w:val="center"/>
              <w:rPr>
                <w:rFonts w:ascii="宋体" w:hAnsi="Calibri"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49E669C0">
            <w:pPr>
              <w:jc w:val="center"/>
              <w:rPr>
                <w:rFonts w:ascii="宋体" w:hAnsi="Calibri" w:eastAsia="宋体" w:cs="宋体"/>
                <w:color w:val="auto"/>
                <w:sz w:val="22"/>
                <w:szCs w:val="22"/>
                <w:highlight w:val="none"/>
              </w:rPr>
            </w:pPr>
          </w:p>
        </w:tc>
        <w:tc>
          <w:tcPr>
            <w:tcW w:w="945" w:type="dxa"/>
            <w:tcBorders>
              <w:top w:val="single" w:color="auto" w:sz="4" w:space="0"/>
              <w:left w:val="single" w:color="auto" w:sz="4" w:space="0"/>
              <w:right w:val="single" w:color="auto" w:sz="4" w:space="0"/>
            </w:tcBorders>
            <w:vAlign w:val="center"/>
          </w:tcPr>
          <w:p w14:paraId="27B228B7">
            <w:pPr>
              <w:jc w:val="center"/>
              <w:rPr>
                <w:rFonts w:ascii="宋体" w:hAnsi="Calibri" w:eastAsia="宋体" w:cs="宋体"/>
                <w:color w:val="auto"/>
                <w:sz w:val="22"/>
                <w:szCs w:val="22"/>
                <w:highlight w:val="none"/>
              </w:rPr>
            </w:pPr>
          </w:p>
        </w:tc>
        <w:tc>
          <w:tcPr>
            <w:tcW w:w="1185" w:type="dxa"/>
            <w:tcBorders>
              <w:top w:val="single" w:color="auto" w:sz="4" w:space="0"/>
              <w:left w:val="single" w:color="auto" w:sz="4" w:space="0"/>
              <w:right w:val="single" w:color="auto" w:sz="4" w:space="0"/>
            </w:tcBorders>
            <w:vAlign w:val="center"/>
          </w:tcPr>
          <w:p w14:paraId="39B48D21">
            <w:pPr>
              <w:ind w:right="-11"/>
              <w:jc w:val="center"/>
              <w:rPr>
                <w:rFonts w:ascii="宋体" w:hAnsi="Calibri" w:eastAsia="宋体" w:cs="宋体"/>
                <w:color w:val="auto"/>
                <w:sz w:val="22"/>
                <w:szCs w:val="22"/>
                <w:highlight w:val="none"/>
              </w:rPr>
            </w:pPr>
          </w:p>
        </w:tc>
        <w:tc>
          <w:tcPr>
            <w:tcW w:w="2655" w:type="dxa"/>
            <w:tcBorders>
              <w:top w:val="single" w:color="auto" w:sz="4" w:space="0"/>
              <w:left w:val="single" w:color="auto" w:sz="4" w:space="0"/>
              <w:right w:val="single" w:color="auto" w:sz="4" w:space="0"/>
            </w:tcBorders>
            <w:vAlign w:val="center"/>
          </w:tcPr>
          <w:p w14:paraId="70E69F0F">
            <w:pPr>
              <w:jc w:val="center"/>
              <w:rPr>
                <w:rFonts w:ascii="宋体" w:hAnsi="Calibri" w:eastAsia="宋体" w:cs="宋体"/>
                <w:color w:val="auto"/>
                <w:sz w:val="22"/>
                <w:szCs w:val="22"/>
                <w:highlight w:val="none"/>
              </w:rPr>
            </w:pPr>
          </w:p>
        </w:tc>
      </w:tr>
      <w:tr w14:paraId="047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4BA34040">
            <w:pPr>
              <w:ind w:right="-11"/>
              <w:jc w:val="center"/>
              <w:rPr>
                <w:rFonts w:ascii="宋体" w:hAnsi="Calibri" w:eastAsia="宋体" w:cs="宋体"/>
                <w:color w:val="auto"/>
                <w:sz w:val="22"/>
                <w:szCs w:val="22"/>
                <w:highlight w:val="none"/>
              </w:rPr>
            </w:pPr>
            <w:r>
              <w:rPr>
                <w:rFonts w:hint="eastAsia" w:ascii="宋体" w:hAnsi="Calibri" w:eastAsia="宋体" w:cs="宋体"/>
                <w:color w:val="auto"/>
                <w:sz w:val="22"/>
                <w:szCs w:val="22"/>
                <w:highlight w:val="none"/>
              </w:rPr>
              <w:t>.</w:t>
            </w:r>
          </w:p>
        </w:tc>
        <w:tc>
          <w:tcPr>
            <w:tcW w:w="961" w:type="dxa"/>
            <w:tcBorders>
              <w:top w:val="single" w:color="auto" w:sz="4" w:space="0"/>
              <w:left w:val="single" w:color="auto" w:sz="4" w:space="0"/>
              <w:right w:val="single" w:color="auto" w:sz="4" w:space="0"/>
            </w:tcBorders>
            <w:vAlign w:val="center"/>
          </w:tcPr>
          <w:p w14:paraId="68C52691">
            <w:pPr>
              <w:jc w:val="center"/>
              <w:rPr>
                <w:rFonts w:ascii="宋体" w:hAnsi="Calibri" w:eastAsia="宋体" w:cs="宋体"/>
                <w:color w:val="auto"/>
                <w:sz w:val="22"/>
                <w:szCs w:val="22"/>
                <w:highlight w:val="none"/>
              </w:rPr>
            </w:pPr>
          </w:p>
        </w:tc>
        <w:tc>
          <w:tcPr>
            <w:tcW w:w="1568" w:type="dxa"/>
            <w:tcBorders>
              <w:top w:val="single" w:color="auto" w:sz="4" w:space="0"/>
              <w:left w:val="single" w:color="auto" w:sz="4" w:space="0"/>
              <w:right w:val="single" w:color="auto" w:sz="4" w:space="0"/>
            </w:tcBorders>
            <w:vAlign w:val="center"/>
          </w:tcPr>
          <w:p w14:paraId="2E972CBB">
            <w:pPr>
              <w:jc w:val="center"/>
              <w:rPr>
                <w:rFonts w:ascii="宋体" w:hAnsi="Calibri" w:eastAsia="宋体" w:cs="宋体"/>
                <w:color w:val="auto"/>
                <w:sz w:val="22"/>
                <w:szCs w:val="22"/>
                <w:highlight w:val="none"/>
              </w:rPr>
            </w:pPr>
          </w:p>
        </w:tc>
        <w:tc>
          <w:tcPr>
            <w:tcW w:w="688" w:type="dxa"/>
            <w:tcBorders>
              <w:top w:val="single" w:color="auto" w:sz="4" w:space="0"/>
              <w:left w:val="single" w:color="auto" w:sz="4" w:space="0"/>
              <w:right w:val="single" w:color="auto" w:sz="4" w:space="0"/>
            </w:tcBorders>
            <w:vAlign w:val="center"/>
          </w:tcPr>
          <w:p w14:paraId="2FEE5E76">
            <w:pPr>
              <w:jc w:val="center"/>
              <w:rPr>
                <w:rFonts w:ascii="宋体" w:hAnsi="Calibri"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41CD410A">
            <w:pPr>
              <w:jc w:val="center"/>
              <w:rPr>
                <w:rFonts w:ascii="宋体" w:hAnsi="Calibri" w:eastAsia="宋体" w:cs="宋体"/>
                <w:color w:val="auto"/>
                <w:sz w:val="22"/>
                <w:szCs w:val="22"/>
                <w:highlight w:val="none"/>
              </w:rPr>
            </w:pPr>
          </w:p>
        </w:tc>
        <w:tc>
          <w:tcPr>
            <w:tcW w:w="945" w:type="dxa"/>
            <w:tcBorders>
              <w:top w:val="single" w:color="auto" w:sz="4" w:space="0"/>
              <w:left w:val="single" w:color="auto" w:sz="4" w:space="0"/>
              <w:right w:val="single" w:color="auto" w:sz="4" w:space="0"/>
            </w:tcBorders>
            <w:vAlign w:val="center"/>
          </w:tcPr>
          <w:p w14:paraId="06EC63A2">
            <w:pPr>
              <w:jc w:val="center"/>
              <w:rPr>
                <w:rFonts w:ascii="宋体" w:hAnsi="Calibri" w:eastAsia="宋体" w:cs="宋体"/>
                <w:color w:val="auto"/>
                <w:sz w:val="22"/>
                <w:szCs w:val="22"/>
                <w:highlight w:val="none"/>
              </w:rPr>
            </w:pPr>
          </w:p>
        </w:tc>
        <w:tc>
          <w:tcPr>
            <w:tcW w:w="1185" w:type="dxa"/>
            <w:tcBorders>
              <w:top w:val="single" w:color="auto" w:sz="4" w:space="0"/>
              <w:left w:val="single" w:color="auto" w:sz="4" w:space="0"/>
              <w:right w:val="single" w:color="auto" w:sz="4" w:space="0"/>
            </w:tcBorders>
            <w:vAlign w:val="center"/>
          </w:tcPr>
          <w:p w14:paraId="0604FC93">
            <w:pPr>
              <w:ind w:right="-11"/>
              <w:jc w:val="center"/>
              <w:rPr>
                <w:rFonts w:ascii="宋体" w:hAnsi="Calibri" w:eastAsia="宋体" w:cs="宋体"/>
                <w:color w:val="auto"/>
                <w:sz w:val="22"/>
                <w:szCs w:val="22"/>
                <w:highlight w:val="none"/>
              </w:rPr>
            </w:pPr>
          </w:p>
        </w:tc>
        <w:tc>
          <w:tcPr>
            <w:tcW w:w="2655" w:type="dxa"/>
            <w:tcBorders>
              <w:top w:val="single" w:color="auto" w:sz="4" w:space="0"/>
              <w:left w:val="single" w:color="auto" w:sz="4" w:space="0"/>
              <w:right w:val="single" w:color="auto" w:sz="4" w:space="0"/>
            </w:tcBorders>
            <w:vAlign w:val="center"/>
          </w:tcPr>
          <w:p w14:paraId="59CCD0C8">
            <w:pPr>
              <w:jc w:val="center"/>
              <w:rPr>
                <w:rFonts w:ascii="宋体" w:hAnsi="Calibri" w:eastAsia="宋体" w:cs="宋体"/>
                <w:color w:val="auto"/>
                <w:sz w:val="22"/>
                <w:szCs w:val="22"/>
                <w:highlight w:val="none"/>
              </w:rPr>
            </w:pPr>
          </w:p>
        </w:tc>
      </w:tr>
      <w:tr w14:paraId="2E19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6335C90F">
            <w:pPr>
              <w:widowControl/>
              <w:jc w:val="center"/>
              <w:textAlignment w:val="center"/>
              <w:rPr>
                <w:rFonts w:ascii="宋体" w:hAnsi="Calibri" w:eastAsia="宋体" w:cs="宋体"/>
                <w:color w:val="auto"/>
                <w:sz w:val="22"/>
                <w:szCs w:val="22"/>
                <w:highlight w:val="none"/>
              </w:rPr>
            </w:pPr>
            <w:r>
              <w:rPr>
                <w:rFonts w:hint="eastAsia" w:ascii="宋体" w:hAnsi="Calibri" w:eastAsia="宋体" w:cs="宋体"/>
                <w:color w:val="auto"/>
                <w:sz w:val="22"/>
                <w:szCs w:val="22"/>
                <w:highlight w:val="none"/>
              </w:rPr>
              <w:t>.</w:t>
            </w:r>
          </w:p>
        </w:tc>
        <w:tc>
          <w:tcPr>
            <w:tcW w:w="961" w:type="dxa"/>
            <w:tcBorders>
              <w:top w:val="single" w:color="auto" w:sz="4" w:space="0"/>
              <w:left w:val="single" w:color="auto" w:sz="4" w:space="0"/>
              <w:right w:val="single" w:color="auto" w:sz="4" w:space="0"/>
            </w:tcBorders>
            <w:vAlign w:val="center"/>
          </w:tcPr>
          <w:p w14:paraId="3A6195CA">
            <w:pPr>
              <w:jc w:val="center"/>
              <w:rPr>
                <w:rFonts w:ascii="宋体" w:hAnsi="Calibri" w:eastAsia="宋体" w:cs="宋体"/>
                <w:color w:val="auto"/>
                <w:sz w:val="22"/>
                <w:szCs w:val="22"/>
                <w:highlight w:val="none"/>
              </w:rPr>
            </w:pPr>
          </w:p>
        </w:tc>
        <w:tc>
          <w:tcPr>
            <w:tcW w:w="1568" w:type="dxa"/>
            <w:tcBorders>
              <w:top w:val="single" w:color="auto" w:sz="4" w:space="0"/>
              <w:left w:val="single" w:color="auto" w:sz="4" w:space="0"/>
              <w:right w:val="single" w:color="auto" w:sz="4" w:space="0"/>
            </w:tcBorders>
            <w:vAlign w:val="center"/>
          </w:tcPr>
          <w:p w14:paraId="448B5BFE">
            <w:pPr>
              <w:jc w:val="center"/>
              <w:rPr>
                <w:rFonts w:ascii="宋体" w:hAnsi="Calibri" w:eastAsia="宋体" w:cs="宋体"/>
                <w:color w:val="auto"/>
                <w:sz w:val="22"/>
                <w:szCs w:val="22"/>
                <w:highlight w:val="none"/>
              </w:rPr>
            </w:pPr>
          </w:p>
        </w:tc>
        <w:tc>
          <w:tcPr>
            <w:tcW w:w="688" w:type="dxa"/>
            <w:tcBorders>
              <w:top w:val="single" w:color="auto" w:sz="4" w:space="0"/>
              <w:left w:val="single" w:color="auto" w:sz="4" w:space="0"/>
              <w:right w:val="single" w:color="auto" w:sz="4" w:space="0"/>
            </w:tcBorders>
            <w:vAlign w:val="center"/>
          </w:tcPr>
          <w:p w14:paraId="69C2181D">
            <w:pPr>
              <w:jc w:val="center"/>
              <w:rPr>
                <w:rFonts w:ascii="宋体" w:hAnsi="Calibri"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102DFD84">
            <w:pPr>
              <w:jc w:val="center"/>
              <w:rPr>
                <w:rFonts w:ascii="宋体" w:hAnsi="Calibri" w:eastAsia="宋体" w:cs="宋体"/>
                <w:color w:val="auto"/>
                <w:sz w:val="22"/>
                <w:szCs w:val="22"/>
                <w:highlight w:val="none"/>
              </w:rPr>
            </w:pPr>
          </w:p>
        </w:tc>
        <w:tc>
          <w:tcPr>
            <w:tcW w:w="945" w:type="dxa"/>
            <w:tcBorders>
              <w:top w:val="single" w:color="auto" w:sz="4" w:space="0"/>
              <w:left w:val="single" w:color="auto" w:sz="4" w:space="0"/>
              <w:right w:val="single" w:color="auto" w:sz="4" w:space="0"/>
            </w:tcBorders>
            <w:vAlign w:val="center"/>
          </w:tcPr>
          <w:p w14:paraId="4DD16AD0">
            <w:pPr>
              <w:jc w:val="center"/>
              <w:rPr>
                <w:rFonts w:ascii="宋体" w:hAnsi="Calibri" w:eastAsia="宋体" w:cs="宋体"/>
                <w:color w:val="auto"/>
                <w:sz w:val="22"/>
                <w:szCs w:val="22"/>
                <w:highlight w:val="none"/>
              </w:rPr>
            </w:pPr>
          </w:p>
        </w:tc>
        <w:tc>
          <w:tcPr>
            <w:tcW w:w="1185" w:type="dxa"/>
            <w:tcBorders>
              <w:top w:val="single" w:color="auto" w:sz="4" w:space="0"/>
              <w:left w:val="single" w:color="auto" w:sz="4" w:space="0"/>
              <w:right w:val="single" w:color="auto" w:sz="4" w:space="0"/>
            </w:tcBorders>
            <w:vAlign w:val="center"/>
          </w:tcPr>
          <w:p w14:paraId="7C543A4F">
            <w:pPr>
              <w:widowControl/>
              <w:jc w:val="center"/>
              <w:textAlignment w:val="center"/>
              <w:rPr>
                <w:rFonts w:ascii="宋体" w:hAnsi="Calibri" w:eastAsia="宋体" w:cs="宋体"/>
                <w:color w:val="auto"/>
                <w:sz w:val="22"/>
                <w:szCs w:val="22"/>
                <w:highlight w:val="none"/>
              </w:rPr>
            </w:pPr>
          </w:p>
        </w:tc>
        <w:tc>
          <w:tcPr>
            <w:tcW w:w="2655" w:type="dxa"/>
            <w:tcBorders>
              <w:top w:val="single" w:color="auto" w:sz="4" w:space="0"/>
              <w:left w:val="single" w:color="auto" w:sz="4" w:space="0"/>
              <w:right w:val="single" w:color="auto" w:sz="4" w:space="0"/>
            </w:tcBorders>
            <w:vAlign w:val="center"/>
          </w:tcPr>
          <w:p w14:paraId="570D9CF6">
            <w:pPr>
              <w:widowControl/>
              <w:jc w:val="center"/>
              <w:textAlignment w:val="center"/>
              <w:rPr>
                <w:rFonts w:ascii="宋体" w:hAnsi="Calibri" w:eastAsia="宋体" w:cs="宋体"/>
                <w:color w:val="auto"/>
                <w:sz w:val="22"/>
                <w:szCs w:val="22"/>
                <w:highlight w:val="none"/>
              </w:rPr>
            </w:pPr>
          </w:p>
        </w:tc>
      </w:tr>
      <w:tr w14:paraId="239C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3C9300D4">
            <w:pPr>
              <w:widowControl/>
              <w:jc w:val="center"/>
              <w:textAlignment w:val="center"/>
              <w:rPr>
                <w:rFonts w:ascii="宋体" w:hAnsi="Calibri" w:eastAsia="宋体" w:cs="宋体"/>
                <w:color w:val="auto"/>
                <w:sz w:val="22"/>
                <w:szCs w:val="22"/>
                <w:highlight w:val="none"/>
              </w:rPr>
            </w:pPr>
            <w:r>
              <w:rPr>
                <w:rFonts w:hint="eastAsia" w:ascii="宋体" w:hAnsi="Calibri" w:eastAsia="宋体" w:cs="宋体"/>
                <w:color w:val="auto"/>
                <w:sz w:val="22"/>
                <w:szCs w:val="22"/>
                <w:highlight w:val="none"/>
              </w:rPr>
              <w:t>.</w:t>
            </w:r>
          </w:p>
        </w:tc>
        <w:tc>
          <w:tcPr>
            <w:tcW w:w="961" w:type="dxa"/>
            <w:tcBorders>
              <w:top w:val="single" w:color="auto" w:sz="4" w:space="0"/>
              <w:left w:val="single" w:color="auto" w:sz="4" w:space="0"/>
              <w:right w:val="single" w:color="auto" w:sz="4" w:space="0"/>
            </w:tcBorders>
            <w:vAlign w:val="center"/>
          </w:tcPr>
          <w:p w14:paraId="4651B034">
            <w:pPr>
              <w:widowControl/>
              <w:jc w:val="center"/>
              <w:textAlignment w:val="center"/>
              <w:rPr>
                <w:rFonts w:ascii="宋体" w:hAnsi="Calibri" w:eastAsia="宋体" w:cs="宋体"/>
                <w:color w:val="auto"/>
                <w:sz w:val="22"/>
                <w:szCs w:val="22"/>
                <w:highlight w:val="none"/>
              </w:rPr>
            </w:pPr>
          </w:p>
        </w:tc>
        <w:tc>
          <w:tcPr>
            <w:tcW w:w="1568" w:type="dxa"/>
            <w:tcBorders>
              <w:top w:val="single" w:color="auto" w:sz="4" w:space="0"/>
              <w:left w:val="single" w:color="auto" w:sz="4" w:space="0"/>
              <w:right w:val="single" w:color="auto" w:sz="4" w:space="0"/>
            </w:tcBorders>
            <w:vAlign w:val="center"/>
          </w:tcPr>
          <w:p w14:paraId="3FAC31CF">
            <w:pPr>
              <w:widowControl/>
              <w:jc w:val="center"/>
              <w:textAlignment w:val="center"/>
              <w:rPr>
                <w:rFonts w:ascii="宋体" w:hAnsi="Calibri" w:eastAsia="宋体" w:cs="宋体"/>
                <w:color w:val="auto"/>
                <w:sz w:val="22"/>
                <w:szCs w:val="22"/>
                <w:highlight w:val="none"/>
              </w:rPr>
            </w:pPr>
          </w:p>
        </w:tc>
        <w:tc>
          <w:tcPr>
            <w:tcW w:w="688" w:type="dxa"/>
            <w:tcBorders>
              <w:top w:val="single" w:color="auto" w:sz="4" w:space="0"/>
              <w:left w:val="single" w:color="auto" w:sz="4" w:space="0"/>
              <w:right w:val="single" w:color="auto" w:sz="4" w:space="0"/>
            </w:tcBorders>
            <w:vAlign w:val="center"/>
          </w:tcPr>
          <w:p w14:paraId="2505C5BB">
            <w:pPr>
              <w:widowControl/>
              <w:jc w:val="center"/>
              <w:textAlignment w:val="center"/>
              <w:rPr>
                <w:rFonts w:ascii="宋体" w:hAnsi="Calibri"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701A7497">
            <w:pPr>
              <w:widowControl/>
              <w:jc w:val="center"/>
              <w:textAlignment w:val="center"/>
              <w:rPr>
                <w:rFonts w:ascii="宋体" w:hAnsi="Calibri" w:eastAsia="宋体" w:cs="宋体"/>
                <w:color w:val="auto"/>
                <w:sz w:val="22"/>
                <w:szCs w:val="22"/>
                <w:highlight w:val="none"/>
              </w:rPr>
            </w:pPr>
          </w:p>
        </w:tc>
        <w:tc>
          <w:tcPr>
            <w:tcW w:w="945" w:type="dxa"/>
            <w:tcBorders>
              <w:top w:val="single" w:color="auto" w:sz="4" w:space="0"/>
              <w:left w:val="single" w:color="auto" w:sz="4" w:space="0"/>
              <w:right w:val="single" w:color="auto" w:sz="4" w:space="0"/>
            </w:tcBorders>
            <w:vAlign w:val="center"/>
          </w:tcPr>
          <w:p w14:paraId="5387505B">
            <w:pPr>
              <w:widowControl/>
              <w:jc w:val="center"/>
              <w:textAlignment w:val="center"/>
              <w:rPr>
                <w:rFonts w:ascii="宋体" w:hAnsi="Calibri" w:eastAsia="宋体" w:cs="宋体"/>
                <w:color w:val="auto"/>
                <w:sz w:val="22"/>
                <w:szCs w:val="22"/>
                <w:highlight w:val="none"/>
              </w:rPr>
            </w:pPr>
          </w:p>
        </w:tc>
        <w:tc>
          <w:tcPr>
            <w:tcW w:w="1185" w:type="dxa"/>
            <w:tcBorders>
              <w:top w:val="single" w:color="auto" w:sz="4" w:space="0"/>
              <w:left w:val="single" w:color="auto" w:sz="4" w:space="0"/>
              <w:right w:val="single" w:color="auto" w:sz="4" w:space="0"/>
            </w:tcBorders>
            <w:vAlign w:val="center"/>
          </w:tcPr>
          <w:p w14:paraId="29A2F201">
            <w:pPr>
              <w:widowControl/>
              <w:jc w:val="center"/>
              <w:textAlignment w:val="center"/>
              <w:rPr>
                <w:rFonts w:ascii="宋体" w:hAnsi="Calibri" w:eastAsia="宋体" w:cs="宋体"/>
                <w:color w:val="auto"/>
                <w:sz w:val="22"/>
                <w:szCs w:val="22"/>
                <w:highlight w:val="none"/>
              </w:rPr>
            </w:pPr>
          </w:p>
        </w:tc>
        <w:tc>
          <w:tcPr>
            <w:tcW w:w="2655" w:type="dxa"/>
            <w:tcBorders>
              <w:top w:val="single" w:color="auto" w:sz="4" w:space="0"/>
              <w:left w:val="single" w:color="auto" w:sz="4" w:space="0"/>
              <w:right w:val="single" w:color="auto" w:sz="4" w:space="0"/>
            </w:tcBorders>
            <w:vAlign w:val="center"/>
          </w:tcPr>
          <w:p w14:paraId="25BCF3D5">
            <w:pPr>
              <w:widowControl/>
              <w:jc w:val="center"/>
              <w:textAlignment w:val="center"/>
              <w:rPr>
                <w:rFonts w:ascii="宋体" w:hAnsi="Calibri" w:eastAsia="宋体" w:cs="宋体"/>
                <w:color w:val="auto"/>
                <w:sz w:val="22"/>
                <w:szCs w:val="22"/>
                <w:highlight w:val="none"/>
              </w:rPr>
            </w:pPr>
          </w:p>
        </w:tc>
      </w:tr>
      <w:tr w14:paraId="694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9" w:hRule="atLeast"/>
        </w:trPr>
        <w:tc>
          <w:tcPr>
            <w:tcW w:w="701" w:type="dxa"/>
            <w:tcBorders>
              <w:top w:val="single" w:color="auto" w:sz="4" w:space="0"/>
              <w:left w:val="single" w:color="auto" w:sz="4" w:space="0"/>
              <w:right w:val="single" w:color="auto" w:sz="4" w:space="0"/>
            </w:tcBorders>
            <w:vAlign w:val="center"/>
          </w:tcPr>
          <w:p w14:paraId="0AB1FB71">
            <w:pPr>
              <w:widowControl/>
              <w:jc w:val="center"/>
              <w:textAlignment w:val="center"/>
              <w:rPr>
                <w:rFonts w:ascii="宋体" w:hAnsi="Calibri" w:eastAsia="宋体" w:cs="宋体"/>
                <w:color w:val="auto"/>
                <w:sz w:val="22"/>
                <w:szCs w:val="22"/>
                <w:highlight w:val="none"/>
              </w:rPr>
            </w:pPr>
            <w:r>
              <w:rPr>
                <w:rFonts w:hint="eastAsia" w:ascii="宋体" w:hAnsi="Calibri" w:eastAsia="宋体" w:cs="宋体"/>
                <w:color w:val="auto"/>
                <w:sz w:val="22"/>
                <w:szCs w:val="22"/>
                <w:highlight w:val="none"/>
              </w:rPr>
              <w:t>.</w:t>
            </w:r>
          </w:p>
        </w:tc>
        <w:tc>
          <w:tcPr>
            <w:tcW w:w="961" w:type="dxa"/>
            <w:tcBorders>
              <w:top w:val="single" w:color="auto" w:sz="4" w:space="0"/>
              <w:left w:val="single" w:color="auto" w:sz="4" w:space="0"/>
              <w:right w:val="single" w:color="auto" w:sz="4" w:space="0"/>
            </w:tcBorders>
            <w:vAlign w:val="center"/>
          </w:tcPr>
          <w:p w14:paraId="2AA32BFF">
            <w:pPr>
              <w:widowControl/>
              <w:jc w:val="center"/>
              <w:textAlignment w:val="center"/>
              <w:rPr>
                <w:rFonts w:ascii="宋体" w:hAnsi="Calibri" w:eastAsia="宋体" w:cs="宋体"/>
                <w:color w:val="auto"/>
                <w:sz w:val="22"/>
                <w:szCs w:val="22"/>
                <w:highlight w:val="none"/>
              </w:rPr>
            </w:pPr>
          </w:p>
        </w:tc>
        <w:tc>
          <w:tcPr>
            <w:tcW w:w="1568" w:type="dxa"/>
            <w:tcBorders>
              <w:top w:val="single" w:color="auto" w:sz="4" w:space="0"/>
              <w:left w:val="single" w:color="auto" w:sz="4" w:space="0"/>
              <w:right w:val="single" w:color="auto" w:sz="4" w:space="0"/>
            </w:tcBorders>
            <w:vAlign w:val="center"/>
          </w:tcPr>
          <w:p w14:paraId="1944F49F">
            <w:pPr>
              <w:widowControl/>
              <w:jc w:val="center"/>
              <w:textAlignment w:val="center"/>
              <w:rPr>
                <w:rFonts w:ascii="宋体" w:hAnsi="Calibri" w:eastAsia="宋体" w:cs="宋体"/>
                <w:color w:val="auto"/>
                <w:sz w:val="22"/>
                <w:szCs w:val="22"/>
                <w:highlight w:val="none"/>
              </w:rPr>
            </w:pPr>
          </w:p>
        </w:tc>
        <w:tc>
          <w:tcPr>
            <w:tcW w:w="688" w:type="dxa"/>
            <w:tcBorders>
              <w:top w:val="single" w:color="auto" w:sz="4" w:space="0"/>
              <w:left w:val="single" w:color="auto" w:sz="4" w:space="0"/>
              <w:right w:val="single" w:color="auto" w:sz="4" w:space="0"/>
            </w:tcBorders>
            <w:vAlign w:val="center"/>
          </w:tcPr>
          <w:p w14:paraId="337C4105">
            <w:pPr>
              <w:widowControl/>
              <w:jc w:val="center"/>
              <w:textAlignment w:val="center"/>
              <w:rPr>
                <w:rFonts w:ascii="宋体" w:hAnsi="Calibri"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vAlign w:val="center"/>
          </w:tcPr>
          <w:p w14:paraId="2F4B2630">
            <w:pPr>
              <w:widowControl/>
              <w:jc w:val="center"/>
              <w:textAlignment w:val="center"/>
              <w:rPr>
                <w:rFonts w:ascii="宋体" w:hAnsi="Calibri" w:eastAsia="宋体" w:cs="宋体"/>
                <w:color w:val="auto"/>
                <w:sz w:val="22"/>
                <w:szCs w:val="22"/>
                <w:highlight w:val="none"/>
              </w:rPr>
            </w:pPr>
          </w:p>
        </w:tc>
        <w:tc>
          <w:tcPr>
            <w:tcW w:w="945" w:type="dxa"/>
            <w:tcBorders>
              <w:top w:val="single" w:color="auto" w:sz="4" w:space="0"/>
              <w:left w:val="single" w:color="auto" w:sz="4" w:space="0"/>
              <w:right w:val="single" w:color="auto" w:sz="4" w:space="0"/>
            </w:tcBorders>
            <w:vAlign w:val="center"/>
          </w:tcPr>
          <w:p w14:paraId="7D8EA95D">
            <w:pPr>
              <w:widowControl/>
              <w:jc w:val="center"/>
              <w:textAlignment w:val="center"/>
              <w:rPr>
                <w:rFonts w:ascii="宋体" w:hAnsi="Calibri" w:eastAsia="宋体" w:cs="宋体"/>
                <w:color w:val="auto"/>
                <w:sz w:val="22"/>
                <w:szCs w:val="22"/>
                <w:highlight w:val="none"/>
              </w:rPr>
            </w:pPr>
          </w:p>
        </w:tc>
        <w:tc>
          <w:tcPr>
            <w:tcW w:w="1185" w:type="dxa"/>
            <w:tcBorders>
              <w:top w:val="single" w:color="auto" w:sz="4" w:space="0"/>
              <w:left w:val="single" w:color="auto" w:sz="4" w:space="0"/>
              <w:right w:val="single" w:color="auto" w:sz="4" w:space="0"/>
            </w:tcBorders>
            <w:vAlign w:val="center"/>
          </w:tcPr>
          <w:p w14:paraId="74A8867D">
            <w:pPr>
              <w:widowControl/>
              <w:jc w:val="center"/>
              <w:textAlignment w:val="center"/>
              <w:rPr>
                <w:rFonts w:ascii="宋体" w:hAnsi="Calibri" w:eastAsia="宋体" w:cs="宋体"/>
                <w:color w:val="auto"/>
                <w:sz w:val="22"/>
                <w:szCs w:val="22"/>
                <w:highlight w:val="none"/>
              </w:rPr>
            </w:pPr>
          </w:p>
        </w:tc>
        <w:tc>
          <w:tcPr>
            <w:tcW w:w="2655" w:type="dxa"/>
            <w:tcBorders>
              <w:top w:val="single" w:color="auto" w:sz="4" w:space="0"/>
              <w:left w:val="single" w:color="auto" w:sz="4" w:space="0"/>
              <w:right w:val="single" w:color="auto" w:sz="4" w:space="0"/>
            </w:tcBorders>
            <w:vAlign w:val="center"/>
          </w:tcPr>
          <w:p w14:paraId="76CEFD1A">
            <w:pPr>
              <w:widowControl/>
              <w:jc w:val="center"/>
              <w:textAlignment w:val="center"/>
              <w:rPr>
                <w:rFonts w:ascii="宋体" w:hAnsi="Calibri" w:eastAsia="宋体" w:cs="宋体"/>
                <w:color w:val="auto"/>
                <w:sz w:val="22"/>
                <w:szCs w:val="22"/>
                <w:highlight w:val="none"/>
              </w:rPr>
            </w:pPr>
          </w:p>
        </w:tc>
      </w:tr>
    </w:tbl>
    <w:p w14:paraId="6DC8A7A2">
      <w:pPr>
        <w:rPr>
          <w:rFonts w:ascii="宋体" w:hAnsi="Calibri" w:eastAsia="宋体" w:cs="宋体"/>
          <w:bCs/>
          <w:color w:val="auto"/>
          <w:sz w:val="22"/>
          <w:szCs w:val="22"/>
          <w:highlight w:val="none"/>
        </w:rPr>
      </w:pPr>
    </w:p>
    <w:p w14:paraId="643DEE9C">
      <w:pPr>
        <w:spacing w:line="36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w:t>
      </w:r>
    </w:p>
    <w:p w14:paraId="7E3B0014">
      <w:pPr>
        <w:spacing w:line="24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1.不提供详细分项报价表将视为没有实质性响应竞争性磋商文件。</w:t>
      </w:r>
    </w:p>
    <w:p w14:paraId="062E72EC">
      <w:pPr>
        <w:spacing w:line="24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2.此表的合计总价应与附件一“开标（报价）一览表”投标总价相一致。</w:t>
      </w:r>
    </w:p>
    <w:p w14:paraId="48268DBA">
      <w:pPr>
        <w:spacing w:line="24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3.如果所报项免费请在该备注栏内注明“免”，如果含在产品价格中则填“含”，如无此项内容则填“无”，不留空白。</w:t>
      </w:r>
    </w:p>
    <w:p w14:paraId="088F160B">
      <w:pPr>
        <w:spacing w:line="24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4.根据《中华人民共和国政府采购法实施条例 》第四十三条规定，在中标或者成交公告的内容中可能增加本表，请各供应商认真填写，确保报价数据的真实性、完整性和合理性。</w:t>
      </w:r>
    </w:p>
    <w:p w14:paraId="39484F3B">
      <w:pPr>
        <w:spacing w:line="240" w:lineRule="auto"/>
        <w:ind w:firstLine="440" w:firstLineChars="200"/>
        <w:rPr>
          <w:rFonts w:hint="eastAsia" w:ascii="宋体" w:hAnsi="宋体" w:eastAsia="宋体" w:cs="宋体"/>
          <w:b w:val="0"/>
          <w:bCs/>
          <w:color w:val="auto"/>
          <w:sz w:val="22"/>
          <w:szCs w:val="22"/>
          <w:highlight w:val="none"/>
          <w:u w:val="single"/>
        </w:rPr>
      </w:pPr>
      <w:r>
        <w:rPr>
          <w:rFonts w:hint="eastAsia" w:ascii="宋体" w:hAnsi="宋体" w:eastAsia="宋体" w:cs="宋体"/>
          <w:b w:val="0"/>
          <w:bCs/>
          <w:color w:val="auto"/>
          <w:sz w:val="22"/>
          <w:szCs w:val="22"/>
          <w:highlight w:val="none"/>
        </w:rPr>
        <w:t>5.</w:t>
      </w:r>
      <w:r>
        <w:rPr>
          <w:rFonts w:hint="eastAsia" w:ascii="宋体" w:hAnsi="宋体" w:eastAsia="宋体" w:cs="宋体"/>
          <w:b w:val="0"/>
          <w:bCs/>
          <w:color w:val="auto"/>
          <w:sz w:val="22"/>
          <w:szCs w:val="22"/>
          <w:highlight w:val="none"/>
          <w:u w:val="single"/>
        </w:rPr>
        <w:t>▲中标后，以上投标单价将按投标供应商最终报价同比例下浮（采购人若有变更采购需求的情况除外），供应商报价时应注意各个分项报价。</w:t>
      </w:r>
    </w:p>
    <w:p w14:paraId="5C946EEC">
      <w:pPr>
        <w:spacing w:line="240" w:lineRule="auto"/>
        <w:ind w:firstLine="440" w:firstLineChars="200"/>
        <w:rPr>
          <w:rFonts w:hint="eastAsia" w:ascii="宋体" w:hAnsi="宋体" w:eastAsia="宋体" w:cs="宋体"/>
          <w:b w:val="0"/>
          <w:bCs/>
          <w:color w:val="auto"/>
          <w:sz w:val="22"/>
          <w:szCs w:val="22"/>
          <w:highlight w:val="none"/>
          <w:u w:val="single"/>
        </w:rPr>
      </w:pPr>
      <w:r>
        <w:rPr>
          <w:rFonts w:hint="eastAsia" w:ascii="宋体" w:hAnsi="宋体" w:eastAsia="宋体" w:cs="宋体"/>
          <w:b w:val="0"/>
          <w:bCs/>
          <w:color w:val="auto"/>
          <w:sz w:val="22"/>
          <w:szCs w:val="22"/>
          <w:highlight w:val="none"/>
        </w:rPr>
        <w:t xml:space="preserve">6.表格可以延续。            </w:t>
      </w:r>
    </w:p>
    <w:p w14:paraId="40139FA3">
      <w:pPr>
        <w:spacing w:line="360" w:lineRule="auto"/>
        <w:rPr>
          <w:rFonts w:hint="eastAsia" w:ascii="宋体" w:hAnsi="宋体" w:eastAsia="宋体" w:cs="宋体"/>
          <w:b w:val="0"/>
          <w:bCs/>
          <w:color w:val="auto"/>
          <w:sz w:val="22"/>
          <w:szCs w:val="22"/>
          <w:highlight w:val="none"/>
        </w:rPr>
      </w:pPr>
    </w:p>
    <w:p w14:paraId="163A0BA1">
      <w:pPr>
        <w:spacing w:line="48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供应商全称：（盖章）</w:t>
      </w:r>
    </w:p>
    <w:p w14:paraId="408229FF">
      <w:pPr>
        <w:spacing w:line="480" w:lineRule="auto"/>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rPr>
        <w:t>法定代表人（签字或盖章）或</w:t>
      </w:r>
      <w:r>
        <w:rPr>
          <w:rFonts w:hint="eastAsia" w:ascii="宋体" w:hAnsi="宋体" w:eastAsia="宋体" w:cs="宋体"/>
          <w:b w:val="0"/>
          <w:bCs/>
          <w:color w:val="auto"/>
          <w:sz w:val="22"/>
          <w:szCs w:val="22"/>
          <w:highlight w:val="none"/>
          <w:lang w:val="zh-CN"/>
        </w:rPr>
        <w:t>授权代表（签字）：</w:t>
      </w:r>
    </w:p>
    <w:p w14:paraId="4BE27816">
      <w:pPr>
        <w:spacing w:line="480" w:lineRule="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日期：</w:t>
      </w:r>
    </w:p>
    <w:p w14:paraId="2E22C742">
      <w:pPr>
        <w:widowControl w:val="0"/>
        <w:spacing w:line="360" w:lineRule="exact"/>
        <w:jc w:val="both"/>
        <w:rPr>
          <w:rFonts w:ascii="宋体" w:hAnsi="Courier New" w:eastAsia="宋体" w:cs="宋体"/>
          <w:b/>
          <w:bCs/>
          <w:color w:val="auto"/>
          <w:kern w:val="0"/>
          <w:sz w:val="32"/>
          <w:szCs w:val="32"/>
          <w:highlight w:val="none"/>
          <w:lang w:val="en-US" w:eastAsia="zh-CN" w:bidi="ar-SA"/>
        </w:rPr>
      </w:pPr>
    </w:p>
    <w:p w14:paraId="4B3432A0">
      <w:pPr>
        <w:rPr>
          <w:rFonts w:hint="eastAsia" w:ascii="宋体" w:hAnsi="宋体" w:eastAsia="宋体" w:cs="Times New Roman"/>
          <w:b/>
          <w:color w:val="auto"/>
          <w:kern w:val="0"/>
          <w:sz w:val="32"/>
          <w:szCs w:val="32"/>
          <w:highlight w:val="none"/>
          <w:lang w:val="zh-CN" w:eastAsia="zh-CN" w:bidi="ar-SA"/>
        </w:rPr>
      </w:pPr>
      <w:r>
        <w:rPr>
          <w:rFonts w:hint="eastAsia" w:ascii="宋体" w:hAnsi="宋体" w:eastAsia="宋体" w:cs="Times New Roman"/>
          <w:b/>
          <w:color w:val="auto"/>
          <w:kern w:val="0"/>
          <w:sz w:val="32"/>
          <w:szCs w:val="32"/>
          <w:highlight w:val="none"/>
          <w:lang w:val="zh-CN" w:eastAsia="zh-CN" w:bidi="ar-SA"/>
        </w:rPr>
        <w:br w:type="page"/>
      </w:r>
    </w:p>
    <w:p w14:paraId="22383728">
      <w:pPr>
        <w:autoSpaceDE w:val="0"/>
        <w:autoSpaceDN w:val="0"/>
        <w:adjustRightInd w:val="0"/>
        <w:spacing w:line="360" w:lineRule="exact"/>
        <w:outlineLvl w:val="9"/>
        <w:rPr>
          <w:rFonts w:hint="eastAsia" w:ascii="宋体" w:hAnsi="宋体" w:eastAsia="宋体" w:cs="Times New Roman"/>
          <w:b/>
          <w:color w:val="auto"/>
          <w:kern w:val="0"/>
          <w:sz w:val="32"/>
          <w:szCs w:val="32"/>
          <w:highlight w:val="none"/>
          <w:lang w:val="zh-CN" w:eastAsia="zh-CN" w:bidi="ar-SA"/>
        </w:rPr>
      </w:pPr>
      <w:r>
        <w:rPr>
          <w:rFonts w:hint="eastAsia" w:ascii="宋体" w:hAnsi="宋体" w:eastAsia="宋体" w:cs="Times New Roman"/>
          <w:b/>
          <w:color w:val="auto"/>
          <w:kern w:val="0"/>
          <w:sz w:val="32"/>
          <w:szCs w:val="32"/>
          <w:highlight w:val="none"/>
          <w:lang w:val="zh-CN" w:eastAsia="zh-CN" w:bidi="ar-SA"/>
        </w:rPr>
        <w:t>附件</w:t>
      </w:r>
      <w:r>
        <w:rPr>
          <w:rFonts w:hint="eastAsia" w:ascii="宋体" w:hAnsi="宋体" w:eastAsia="宋体" w:cs="Times New Roman"/>
          <w:b/>
          <w:color w:val="auto"/>
          <w:kern w:val="0"/>
          <w:sz w:val="32"/>
          <w:szCs w:val="32"/>
          <w:highlight w:val="none"/>
          <w:lang w:val="en-US" w:eastAsia="zh-CN" w:bidi="ar-SA"/>
        </w:rPr>
        <w:t>二</w:t>
      </w:r>
    </w:p>
    <w:p w14:paraId="2BCC454B">
      <w:pPr>
        <w:kinsoku w:val="0"/>
        <w:autoSpaceDE w:val="0"/>
        <w:autoSpaceDN w:val="0"/>
        <w:adjustRightInd w:val="0"/>
        <w:snapToGrid w:val="0"/>
        <w:spacing w:before="277" w:line="219" w:lineRule="auto"/>
        <w:ind w:left="1206"/>
        <w:jc w:val="left"/>
        <w:textAlignment w:val="baseline"/>
        <w:rPr>
          <w:rFonts w:ascii="宋体" w:hAnsi="宋体" w:eastAsia="宋体" w:cs="宋体"/>
          <w:snapToGrid w:val="0"/>
          <w:color w:val="auto"/>
          <w:kern w:val="0"/>
          <w:sz w:val="30"/>
          <w:szCs w:val="30"/>
          <w:highlight w:val="none"/>
          <w:lang w:val="en-US" w:eastAsia="en-US" w:bidi="ar-SA"/>
        </w:rPr>
      </w:pPr>
      <w:r>
        <w:rPr>
          <w:rFonts w:ascii="宋体" w:hAnsi="宋体" w:eastAsia="宋体" w:cs="宋体"/>
          <w:b/>
          <w:bCs/>
          <w:snapToGrid w:val="0"/>
          <w:color w:val="auto"/>
          <w:spacing w:val="1"/>
          <w:kern w:val="0"/>
          <w:sz w:val="30"/>
          <w:szCs w:val="30"/>
          <w:highlight w:val="none"/>
          <w:lang w:val="en-US" w:eastAsia="en-US" w:bidi="ar-SA"/>
        </w:rPr>
        <w:t>具有良好的商业信誉和健全的财务会计制度</w:t>
      </w:r>
      <w:r>
        <w:rPr>
          <w:rFonts w:ascii="宋体" w:hAnsi="宋体" w:eastAsia="宋体" w:cs="宋体"/>
          <w:b/>
          <w:bCs/>
          <w:snapToGrid w:val="0"/>
          <w:color w:val="auto"/>
          <w:kern w:val="0"/>
          <w:sz w:val="30"/>
          <w:szCs w:val="30"/>
          <w:highlight w:val="none"/>
          <w:lang w:val="en-US" w:eastAsia="en-US" w:bidi="ar-SA"/>
        </w:rPr>
        <w:t>的承诺函</w:t>
      </w:r>
    </w:p>
    <w:p w14:paraId="49057A34">
      <w:pPr>
        <w:widowControl/>
        <w:kinsoku w:val="0"/>
        <w:autoSpaceDE w:val="0"/>
        <w:autoSpaceDN w:val="0"/>
        <w:adjustRightInd w:val="0"/>
        <w:snapToGrid w:val="0"/>
        <w:spacing w:line="337" w:lineRule="auto"/>
        <w:jc w:val="left"/>
        <w:textAlignment w:val="baseline"/>
        <w:rPr>
          <w:rFonts w:ascii="Arial" w:hAnsi="Arial" w:eastAsia="Arial" w:cs="Arial"/>
          <w:snapToGrid w:val="0"/>
          <w:color w:val="auto"/>
          <w:kern w:val="0"/>
          <w:sz w:val="21"/>
          <w:szCs w:val="21"/>
          <w:highlight w:val="none"/>
          <w:lang w:eastAsia="en-US"/>
        </w:rPr>
      </w:pPr>
    </w:p>
    <w:p w14:paraId="67C1F5DA">
      <w:pPr>
        <w:widowControl/>
        <w:kinsoku w:val="0"/>
        <w:autoSpaceDE w:val="0"/>
        <w:autoSpaceDN w:val="0"/>
        <w:adjustRightInd w:val="0"/>
        <w:snapToGrid w:val="0"/>
        <w:spacing w:line="337" w:lineRule="auto"/>
        <w:jc w:val="left"/>
        <w:textAlignment w:val="baseline"/>
        <w:rPr>
          <w:rFonts w:ascii="Arial" w:hAnsi="Arial" w:eastAsia="Arial" w:cs="Arial"/>
          <w:snapToGrid w:val="0"/>
          <w:color w:val="auto"/>
          <w:kern w:val="0"/>
          <w:sz w:val="21"/>
          <w:szCs w:val="21"/>
          <w:highlight w:val="none"/>
          <w:lang w:eastAsia="en-US"/>
        </w:rPr>
      </w:pPr>
    </w:p>
    <w:p w14:paraId="7896DD58">
      <w:pPr>
        <w:kinsoku w:val="0"/>
        <w:autoSpaceDE w:val="0"/>
        <w:autoSpaceDN w:val="0"/>
        <w:adjustRightInd w:val="0"/>
        <w:snapToGrid w:val="0"/>
        <w:spacing w:before="71" w:line="219" w:lineRule="auto"/>
        <w:ind w:left="1"/>
        <w:jc w:val="left"/>
        <w:textAlignment w:val="baseline"/>
        <w:rPr>
          <w:rFonts w:ascii="宋体" w:hAnsi="宋体" w:eastAsia="宋体" w:cs="宋体"/>
          <w:snapToGrid w:val="0"/>
          <w:color w:val="auto"/>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u w:val="single" w:color="auto"/>
          <w:lang w:val="en-US" w:eastAsia="zh-CN" w:bidi="ar-SA"/>
        </w:rPr>
        <w:t>泰顺县大安乡人民政府</w:t>
      </w:r>
      <w:r>
        <w:rPr>
          <w:rFonts w:ascii="宋体" w:hAnsi="宋体" w:eastAsia="宋体" w:cs="宋体"/>
          <w:snapToGrid w:val="0"/>
          <w:color w:val="auto"/>
          <w:spacing w:val="3"/>
          <w:kern w:val="0"/>
          <w:sz w:val="22"/>
          <w:szCs w:val="22"/>
          <w:highlight w:val="none"/>
          <w:u w:val="single" w:color="auto"/>
          <w:lang w:val="en-US" w:eastAsia="en-US" w:bidi="ar-SA"/>
        </w:rPr>
        <w:t>、</w:t>
      </w:r>
      <w:r>
        <w:rPr>
          <w:rFonts w:hint="eastAsia" w:ascii="宋体" w:hAnsi="宋体" w:eastAsia="宋体" w:cs="宋体"/>
          <w:snapToGrid w:val="0"/>
          <w:color w:val="auto"/>
          <w:spacing w:val="3"/>
          <w:kern w:val="0"/>
          <w:sz w:val="22"/>
          <w:szCs w:val="22"/>
          <w:highlight w:val="none"/>
          <w:u w:val="single" w:color="auto"/>
          <w:lang w:val="en-US" w:eastAsia="zh-CN" w:bidi="ar-SA"/>
        </w:rPr>
        <w:t>温州荣祥项目管理咨询有限公司</w:t>
      </w:r>
      <w:r>
        <w:rPr>
          <w:rFonts w:ascii="宋体" w:hAnsi="宋体" w:eastAsia="宋体" w:cs="宋体"/>
          <w:snapToGrid w:val="0"/>
          <w:color w:val="auto"/>
          <w:spacing w:val="3"/>
          <w:kern w:val="0"/>
          <w:sz w:val="22"/>
          <w:szCs w:val="22"/>
          <w:highlight w:val="none"/>
          <w:u w:val="single" w:color="auto"/>
          <w:lang w:val="en-US" w:eastAsia="en-US" w:bidi="ar-SA"/>
        </w:rPr>
        <w:t>：</w:t>
      </w:r>
    </w:p>
    <w:p w14:paraId="0F616804">
      <w:pPr>
        <w:widowControl/>
        <w:kinsoku w:val="0"/>
        <w:autoSpaceDE w:val="0"/>
        <w:autoSpaceDN w:val="0"/>
        <w:adjustRightInd w:val="0"/>
        <w:snapToGrid w:val="0"/>
        <w:spacing w:line="292" w:lineRule="auto"/>
        <w:jc w:val="left"/>
        <w:textAlignment w:val="baseline"/>
        <w:rPr>
          <w:rFonts w:ascii="Arial" w:hAnsi="Arial" w:eastAsia="Arial" w:cs="Arial"/>
          <w:snapToGrid w:val="0"/>
          <w:color w:val="auto"/>
          <w:kern w:val="0"/>
          <w:sz w:val="21"/>
          <w:szCs w:val="21"/>
          <w:highlight w:val="none"/>
          <w:lang w:eastAsia="en-US"/>
        </w:rPr>
      </w:pPr>
    </w:p>
    <w:p w14:paraId="45D3028E">
      <w:pPr>
        <w:widowControl/>
        <w:kinsoku w:val="0"/>
        <w:autoSpaceDE w:val="0"/>
        <w:autoSpaceDN w:val="0"/>
        <w:adjustRightInd w:val="0"/>
        <w:snapToGrid w:val="0"/>
        <w:spacing w:line="293" w:lineRule="auto"/>
        <w:jc w:val="left"/>
        <w:textAlignment w:val="baseline"/>
        <w:rPr>
          <w:rFonts w:ascii="Arial" w:hAnsi="Arial" w:eastAsia="Arial" w:cs="Arial"/>
          <w:snapToGrid w:val="0"/>
          <w:color w:val="auto"/>
          <w:kern w:val="0"/>
          <w:sz w:val="21"/>
          <w:szCs w:val="21"/>
          <w:highlight w:val="none"/>
          <w:lang w:eastAsia="en-US"/>
        </w:rPr>
      </w:pPr>
    </w:p>
    <w:p w14:paraId="4000B84F">
      <w:pPr>
        <w:kinsoku w:val="0"/>
        <w:autoSpaceDE w:val="0"/>
        <w:autoSpaceDN w:val="0"/>
        <w:adjustRightInd w:val="0"/>
        <w:snapToGrid w:val="0"/>
        <w:spacing w:before="72" w:line="371" w:lineRule="auto"/>
        <w:ind w:left="3" w:firstLine="447"/>
        <w:jc w:val="left"/>
        <w:textAlignment w:val="baseline"/>
        <w:rPr>
          <w:rFonts w:ascii="宋体" w:hAnsi="宋体" w:eastAsia="宋体" w:cs="宋体"/>
          <w:snapToGrid w:val="0"/>
          <w:color w:val="auto"/>
          <w:kern w:val="0"/>
          <w:sz w:val="22"/>
          <w:szCs w:val="22"/>
          <w:highlight w:val="none"/>
          <w:lang w:val="en-US" w:eastAsia="en-US" w:bidi="ar-SA"/>
        </w:rPr>
      </w:pPr>
      <w:r>
        <w:rPr>
          <w:rFonts w:ascii="宋体" w:hAnsi="宋体" w:eastAsia="宋体" w:cs="宋体"/>
          <w:snapToGrid w:val="0"/>
          <w:color w:val="auto"/>
          <w:spacing w:val="2"/>
          <w:kern w:val="0"/>
          <w:sz w:val="22"/>
          <w:szCs w:val="22"/>
          <w:highlight w:val="none"/>
          <w:lang w:val="en-US" w:eastAsia="en-US" w:bidi="ar-SA"/>
        </w:rPr>
        <w:t>我方</w:t>
      </w:r>
      <w:r>
        <w:rPr>
          <w:rFonts w:ascii="宋体" w:hAnsi="宋体" w:eastAsia="宋体" w:cs="宋体"/>
          <w:snapToGrid w:val="0"/>
          <w:color w:val="auto"/>
          <w:spacing w:val="-19"/>
          <w:kern w:val="0"/>
          <w:sz w:val="22"/>
          <w:szCs w:val="22"/>
          <w:highlight w:val="none"/>
          <w:u w:val="single" w:color="auto"/>
          <w:lang w:val="en-US" w:eastAsia="en-US" w:bidi="ar-SA"/>
        </w:rPr>
        <w:t xml:space="preserve"> </w:t>
      </w:r>
      <w:r>
        <w:rPr>
          <w:rFonts w:ascii="宋体" w:hAnsi="宋体" w:eastAsia="宋体" w:cs="宋体"/>
          <w:snapToGrid w:val="0"/>
          <w:color w:val="auto"/>
          <w:spacing w:val="2"/>
          <w:kern w:val="0"/>
          <w:sz w:val="22"/>
          <w:szCs w:val="22"/>
          <w:highlight w:val="none"/>
          <w:u w:val="single" w:color="auto"/>
          <w:lang w:val="en-US" w:eastAsia="en-US" w:bidi="ar-SA"/>
        </w:rPr>
        <w:t>（供应商）</w:t>
      </w:r>
      <w:r>
        <w:rPr>
          <w:rFonts w:ascii="宋体" w:hAnsi="宋体" w:eastAsia="宋体" w:cs="宋体"/>
          <w:snapToGrid w:val="0"/>
          <w:color w:val="auto"/>
          <w:spacing w:val="91"/>
          <w:kern w:val="0"/>
          <w:sz w:val="22"/>
          <w:szCs w:val="22"/>
          <w:highlight w:val="none"/>
          <w:u w:val="single" w:color="auto"/>
          <w:lang w:val="en-US" w:eastAsia="en-US" w:bidi="ar-SA"/>
        </w:rPr>
        <w:t xml:space="preserve"> </w:t>
      </w:r>
      <w:r>
        <w:rPr>
          <w:rFonts w:ascii="宋体" w:hAnsi="宋体" w:eastAsia="宋体" w:cs="宋体"/>
          <w:snapToGrid w:val="0"/>
          <w:color w:val="auto"/>
          <w:spacing w:val="-100"/>
          <w:kern w:val="0"/>
          <w:sz w:val="22"/>
          <w:szCs w:val="22"/>
          <w:highlight w:val="none"/>
          <w:lang w:val="en-US" w:eastAsia="en-US" w:bidi="ar-SA"/>
        </w:rPr>
        <w:t xml:space="preserve"> </w:t>
      </w:r>
      <w:r>
        <w:rPr>
          <w:rFonts w:ascii="宋体" w:hAnsi="宋体" w:eastAsia="宋体" w:cs="宋体"/>
          <w:snapToGrid w:val="0"/>
          <w:color w:val="auto"/>
          <w:spacing w:val="2"/>
          <w:kern w:val="0"/>
          <w:sz w:val="22"/>
          <w:szCs w:val="22"/>
          <w:highlight w:val="none"/>
          <w:lang w:val="en-US" w:eastAsia="en-US" w:bidi="ar-SA"/>
        </w:rPr>
        <w:t>承诺良好的商业信誉和健全的财务会计制度。如有</w:t>
      </w:r>
      <w:r>
        <w:rPr>
          <w:rFonts w:ascii="宋体" w:hAnsi="宋体" w:eastAsia="宋体" w:cs="宋体"/>
          <w:snapToGrid w:val="0"/>
          <w:color w:val="auto"/>
          <w:spacing w:val="1"/>
          <w:kern w:val="0"/>
          <w:sz w:val="22"/>
          <w:szCs w:val="22"/>
          <w:highlight w:val="none"/>
          <w:lang w:val="en-US" w:eastAsia="en-US" w:bidi="ar-SA"/>
        </w:rPr>
        <w:t>虚假，采购人可取消我</w:t>
      </w:r>
      <w:r>
        <w:rPr>
          <w:rFonts w:ascii="宋体" w:hAnsi="宋体" w:eastAsia="宋体" w:cs="宋体"/>
          <w:snapToGrid w:val="0"/>
          <w:color w:val="auto"/>
          <w:spacing w:val="2"/>
          <w:kern w:val="0"/>
          <w:sz w:val="22"/>
          <w:szCs w:val="22"/>
          <w:highlight w:val="none"/>
          <w:lang w:val="en-US" w:eastAsia="en-US" w:bidi="ar-SA"/>
        </w:rPr>
        <w:t>方任何资格（投标/中标/签订合同</w:t>
      </w:r>
      <w:r>
        <w:rPr>
          <w:rFonts w:ascii="宋体" w:hAnsi="宋体" w:eastAsia="宋体" w:cs="宋体"/>
          <w:snapToGrid w:val="0"/>
          <w:color w:val="auto"/>
          <w:spacing w:val="16"/>
          <w:kern w:val="0"/>
          <w:sz w:val="22"/>
          <w:szCs w:val="22"/>
          <w:highlight w:val="none"/>
          <w:lang w:val="en-US" w:eastAsia="en-US" w:bidi="ar-SA"/>
        </w:rPr>
        <w:t>），</w:t>
      </w:r>
      <w:r>
        <w:rPr>
          <w:rFonts w:ascii="宋体" w:hAnsi="宋体" w:eastAsia="宋体" w:cs="宋体"/>
          <w:snapToGrid w:val="0"/>
          <w:color w:val="auto"/>
          <w:spacing w:val="2"/>
          <w:kern w:val="0"/>
          <w:sz w:val="22"/>
          <w:szCs w:val="22"/>
          <w:highlight w:val="none"/>
          <w:lang w:val="en-US" w:eastAsia="en-US" w:bidi="ar-SA"/>
        </w:rPr>
        <w:t>我方对此无任何异议。</w:t>
      </w:r>
    </w:p>
    <w:p w14:paraId="006B506A">
      <w:pPr>
        <w:widowControl w:val="0"/>
        <w:spacing w:line="312" w:lineRule="auto"/>
        <w:ind w:left="0" w:leftChars="0" w:firstLine="0" w:firstLineChars="0"/>
        <w:jc w:val="both"/>
        <w:rPr>
          <w:rFonts w:hint="eastAsia" w:ascii="Times New Roman" w:hAnsi="Times New Roman" w:eastAsia="宋体" w:cs="Times New Roman"/>
          <w:color w:val="auto"/>
          <w:kern w:val="0"/>
          <w:sz w:val="20"/>
          <w:szCs w:val="24"/>
          <w:highlight w:val="none"/>
          <w:lang w:val="en-US" w:eastAsia="zh-CN" w:bidi="ar-SA"/>
        </w:rPr>
      </w:pPr>
    </w:p>
    <w:p w14:paraId="457CB92B">
      <w:pPr>
        <w:kinsoku w:val="0"/>
        <w:autoSpaceDE w:val="0"/>
        <w:autoSpaceDN w:val="0"/>
        <w:adjustRightInd w:val="0"/>
        <w:snapToGrid w:val="0"/>
        <w:spacing w:before="71" w:line="220" w:lineRule="auto"/>
        <w:ind w:left="448"/>
        <w:jc w:val="left"/>
        <w:textAlignment w:val="baseline"/>
        <w:rPr>
          <w:rFonts w:ascii="宋体" w:hAnsi="宋体" w:eastAsia="宋体" w:cs="宋体"/>
          <w:snapToGrid w:val="0"/>
          <w:color w:val="auto"/>
          <w:kern w:val="0"/>
          <w:sz w:val="22"/>
          <w:szCs w:val="22"/>
          <w:highlight w:val="none"/>
          <w:lang w:val="en-US" w:eastAsia="en-US" w:bidi="ar-SA"/>
        </w:rPr>
      </w:pPr>
      <w:r>
        <w:rPr>
          <w:rFonts w:ascii="宋体" w:hAnsi="宋体" w:eastAsia="宋体" w:cs="宋体"/>
          <w:snapToGrid w:val="0"/>
          <w:color w:val="auto"/>
          <w:kern w:val="0"/>
          <w:sz w:val="22"/>
          <w:szCs w:val="22"/>
          <w:highlight w:val="none"/>
          <w:lang w:val="en-US" w:eastAsia="en-US" w:bidi="ar-SA"/>
        </w:rPr>
        <w:t>特此承诺！</w:t>
      </w:r>
    </w:p>
    <w:p w14:paraId="4F9EC76A">
      <w:pPr>
        <w:widowControl/>
        <w:kinsoku w:val="0"/>
        <w:autoSpaceDE w:val="0"/>
        <w:autoSpaceDN w:val="0"/>
        <w:adjustRightInd w:val="0"/>
        <w:snapToGrid w:val="0"/>
        <w:spacing w:line="294" w:lineRule="auto"/>
        <w:jc w:val="left"/>
        <w:textAlignment w:val="baseline"/>
        <w:rPr>
          <w:rFonts w:ascii="Arial" w:hAnsi="Arial" w:eastAsia="Arial" w:cs="Arial"/>
          <w:snapToGrid w:val="0"/>
          <w:color w:val="auto"/>
          <w:kern w:val="0"/>
          <w:sz w:val="21"/>
          <w:szCs w:val="21"/>
          <w:highlight w:val="none"/>
          <w:lang w:eastAsia="en-US"/>
        </w:rPr>
      </w:pPr>
    </w:p>
    <w:p w14:paraId="3E284008">
      <w:pPr>
        <w:widowControl/>
        <w:kinsoku w:val="0"/>
        <w:autoSpaceDE w:val="0"/>
        <w:autoSpaceDN w:val="0"/>
        <w:adjustRightInd w:val="0"/>
        <w:snapToGrid w:val="0"/>
        <w:spacing w:line="295" w:lineRule="auto"/>
        <w:jc w:val="left"/>
        <w:textAlignment w:val="baseline"/>
        <w:rPr>
          <w:rFonts w:ascii="Arial" w:hAnsi="Arial" w:eastAsia="Arial" w:cs="Arial"/>
          <w:snapToGrid w:val="0"/>
          <w:color w:val="auto"/>
          <w:kern w:val="0"/>
          <w:sz w:val="21"/>
          <w:szCs w:val="21"/>
          <w:highlight w:val="none"/>
          <w:lang w:eastAsia="en-US"/>
        </w:rPr>
      </w:pPr>
    </w:p>
    <w:p w14:paraId="388EF493">
      <w:pPr>
        <w:keepNext w:val="0"/>
        <w:keepLines w:val="0"/>
        <w:widowControl w:val="0"/>
        <w:suppressLineNumbers w:val="0"/>
        <w:autoSpaceDE w:val="0"/>
        <w:autoSpaceDN w:val="0"/>
        <w:adjustRightInd w:val="0"/>
        <w:spacing w:before="0" w:beforeAutospacing="0" w:after="0" w:afterAutospacing="0" w:line="480" w:lineRule="auto"/>
        <w:ind w:left="0" w:right="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供应商名称（盖章）：</w:t>
      </w:r>
    </w:p>
    <w:p w14:paraId="61DD36DC">
      <w:pPr>
        <w:keepNext w:val="0"/>
        <w:keepLines w:val="0"/>
        <w:widowControl w:val="0"/>
        <w:suppressLineNumbers w:val="0"/>
        <w:autoSpaceDE w:val="0"/>
        <w:autoSpaceDN w:val="0"/>
        <w:adjustRightInd w:val="0"/>
        <w:spacing w:before="0" w:beforeAutospacing="0" w:after="0" w:afterAutospacing="0" w:line="480" w:lineRule="auto"/>
        <w:ind w:left="0" w:right="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法定代表人（签字或盖章）或授权代表（签字）：</w:t>
      </w:r>
    </w:p>
    <w:p w14:paraId="6CC31107">
      <w:pPr>
        <w:keepNext w:val="0"/>
        <w:keepLines w:val="0"/>
        <w:widowControl w:val="0"/>
        <w:suppressLineNumbers w:val="0"/>
        <w:spacing w:before="0" w:beforeAutospacing="0" w:after="0" w:afterAutospacing="0" w:line="480" w:lineRule="auto"/>
        <w:ind w:left="0" w:right="0"/>
        <w:jc w:val="both"/>
        <w:rPr>
          <w:rFonts w:eastAsia="宋体" w:cs="Times New Roman"/>
          <w:color w:val="auto"/>
          <w:szCs w:val="22"/>
          <w:highlight w:val="none"/>
        </w:rPr>
      </w:pPr>
      <w:r>
        <w:rPr>
          <w:rFonts w:hint="eastAsia" w:ascii="宋体" w:hAnsi="宋体" w:eastAsia="宋体" w:cs="宋体"/>
          <w:color w:val="auto"/>
          <w:kern w:val="2"/>
          <w:sz w:val="22"/>
          <w:szCs w:val="22"/>
          <w:highlight w:val="none"/>
          <w:lang w:val="en-US" w:eastAsia="zh-CN" w:bidi="ar"/>
        </w:rPr>
        <w:t>日期：</w:t>
      </w:r>
    </w:p>
    <w:p w14:paraId="15D2AE49">
      <w:pPr>
        <w:pStyle w:val="65"/>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 w:val="22"/>
          <w:szCs w:val="22"/>
          <w:highlight w:val="none"/>
        </w:rPr>
      </w:pPr>
    </w:p>
    <w:p w14:paraId="543360C5">
      <w:pPr>
        <w:rPr>
          <w:rFonts w:hint="eastAsia" w:cs="宋体"/>
          <w:color w:val="auto"/>
          <w:sz w:val="22"/>
          <w:highlight w:val="none"/>
        </w:rPr>
      </w:pPr>
      <w:r>
        <w:rPr>
          <w:rFonts w:hint="eastAsia" w:cs="宋体"/>
          <w:color w:val="auto"/>
          <w:sz w:val="22"/>
          <w:highlight w:val="none"/>
        </w:rPr>
        <w:br w:type="page"/>
      </w:r>
    </w:p>
    <w:p w14:paraId="2BB8BF4E">
      <w:pPr>
        <w:widowControl w:val="0"/>
        <w:adjustRightInd w:val="0"/>
        <w:snapToGrid w:val="0"/>
        <w:spacing w:line="360" w:lineRule="auto"/>
        <w:jc w:val="both"/>
        <w:outlineLvl w:val="9"/>
        <w:rPr>
          <w:rFonts w:hint="eastAsia" w:ascii="宋体" w:hAnsi="宋体" w:eastAsia="宋体" w:cs="Times New Roman"/>
          <w:b/>
          <w:color w:val="auto"/>
          <w:kern w:val="0"/>
          <w:sz w:val="32"/>
          <w:szCs w:val="32"/>
          <w:highlight w:val="none"/>
          <w:lang w:val="en-US" w:eastAsia="zh-CN" w:bidi="ar-SA"/>
        </w:rPr>
      </w:pPr>
      <w:r>
        <w:rPr>
          <w:rFonts w:hint="eastAsia" w:ascii="宋体" w:hAnsi="宋体" w:eastAsia="宋体" w:cs="Times New Roman"/>
          <w:b/>
          <w:color w:val="auto"/>
          <w:kern w:val="0"/>
          <w:sz w:val="32"/>
          <w:szCs w:val="32"/>
          <w:highlight w:val="none"/>
          <w:lang w:val="zh-CN" w:eastAsia="zh-CN" w:bidi="ar-SA"/>
        </w:rPr>
        <w:t>附件</w:t>
      </w:r>
      <w:r>
        <w:rPr>
          <w:rFonts w:hint="eastAsia" w:ascii="宋体" w:hAnsi="宋体" w:eastAsia="宋体" w:cs="Times New Roman"/>
          <w:b/>
          <w:color w:val="auto"/>
          <w:kern w:val="0"/>
          <w:sz w:val="32"/>
          <w:szCs w:val="32"/>
          <w:highlight w:val="none"/>
          <w:lang w:val="en-US" w:eastAsia="zh-CN" w:bidi="ar-SA"/>
        </w:rPr>
        <w:t>三</w:t>
      </w:r>
    </w:p>
    <w:p w14:paraId="505877E5">
      <w:pPr>
        <w:autoSpaceDE w:val="0"/>
        <w:autoSpaceDN w:val="0"/>
        <w:adjustRightInd w:val="0"/>
        <w:spacing w:line="360" w:lineRule="auto"/>
        <w:jc w:val="center"/>
        <w:textAlignment w:val="baseline"/>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符合参加政府采购活动应当具备的一般条件的承诺函</w:t>
      </w:r>
    </w:p>
    <w:p w14:paraId="0C3499A2">
      <w:pPr>
        <w:spacing w:line="360" w:lineRule="auto"/>
        <w:outlineLvl w:val="9"/>
        <w:rPr>
          <w:rFonts w:hint="eastAsia" w:ascii="宋体" w:hAnsi="宋体" w:eastAsia="宋体" w:cs="宋体"/>
          <w:color w:val="auto"/>
          <w:sz w:val="22"/>
          <w:szCs w:val="21"/>
          <w:highlight w:val="none"/>
          <w:u w:val="single"/>
          <w:lang w:eastAsia="zh-CN"/>
        </w:rPr>
      </w:pPr>
    </w:p>
    <w:p w14:paraId="25BCF6F0">
      <w:pPr>
        <w:spacing w:line="360" w:lineRule="auto"/>
        <w:outlineLvl w:val="9"/>
        <w:rPr>
          <w:rFonts w:hint="eastAsia" w:ascii="宋体" w:hAnsi="宋体" w:eastAsia="宋体" w:cs="宋体"/>
          <w:color w:val="auto"/>
          <w:sz w:val="22"/>
          <w:szCs w:val="21"/>
          <w:highlight w:val="none"/>
          <w:u w:val="single"/>
          <w:lang w:eastAsia="zh-CN"/>
        </w:rPr>
      </w:pPr>
      <w:r>
        <w:rPr>
          <w:rFonts w:hint="eastAsia" w:ascii="宋体" w:hAnsi="宋体" w:eastAsia="宋体" w:cs="宋体"/>
          <w:color w:val="auto"/>
          <w:sz w:val="22"/>
          <w:szCs w:val="21"/>
          <w:highlight w:val="none"/>
          <w:u w:val="single"/>
          <w:lang w:eastAsia="zh-CN"/>
        </w:rPr>
        <w:t>泰顺县大安乡人民政府、温州荣祥项目管理咨询有限公司：</w:t>
      </w:r>
    </w:p>
    <w:p w14:paraId="2D27FE8C">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我方</w:t>
      </w:r>
      <w:r>
        <w:rPr>
          <w:rFonts w:hint="eastAsia" w:ascii="宋体" w:hAnsi="宋体" w:eastAsia="宋体" w:cs="宋体"/>
          <w:color w:val="auto"/>
          <w:sz w:val="22"/>
          <w:szCs w:val="22"/>
          <w:highlight w:val="none"/>
          <w:u w:val="none"/>
        </w:rPr>
        <w:t>参与</w:t>
      </w:r>
      <w:r>
        <w:rPr>
          <w:rFonts w:hint="eastAsia" w:ascii="宋体" w:hAnsi="宋体" w:eastAsia="宋体" w:cs="宋体"/>
          <w:color w:val="auto"/>
          <w:sz w:val="22"/>
          <w:szCs w:val="22"/>
          <w:highlight w:val="none"/>
          <w:u w:val="single"/>
          <w:lang w:val="zh-CN" w:eastAsia="zh-CN"/>
        </w:rPr>
        <w:t>2025-2026泰顺县大安乡环卫保洁服务（</w:t>
      </w:r>
      <w:r>
        <w:rPr>
          <w:rFonts w:hint="eastAsia" w:ascii="宋体" w:hAnsi="宋体" w:eastAsia="宋体" w:cs="宋体"/>
          <w:color w:val="auto"/>
          <w:sz w:val="22"/>
          <w:szCs w:val="22"/>
          <w:highlight w:val="none"/>
          <w:u w:val="single"/>
          <w:lang w:val="en-US" w:eastAsia="zh-CN"/>
        </w:rPr>
        <w:t>项目名称</w:t>
      </w:r>
      <w:r>
        <w:rPr>
          <w:rFonts w:hint="eastAsia" w:ascii="宋体" w:hAnsi="宋体" w:eastAsia="宋体" w:cs="宋体"/>
          <w:color w:val="auto"/>
          <w:sz w:val="22"/>
          <w:szCs w:val="22"/>
          <w:highlight w:val="none"/>
          <w:u w:val="single"/>
          <w:lang w:val="zh-CN" w:eastAsia="zh-CN"/>
        </w:rPr>
        <w:t>）（</w:t>
      </w:r>
      <w:r>
        <w:rPr>
          <w:rFonts w:hint="eastAsia" w:ascii="宋体" w:hAnsi="宋体" w:eastAsia="宋体" w:cs="宋体"/>
          <w:color w:val="auto"/>
          <w:sz w:val="22"/>
          <w:szCs w:val="22"/>
          <w:highlight w:val="none"/>
          <w:u w:val="single"/>
          <w:lang w:val="zh-CN"/>
        </w:rPr>
        <w:t>项目编号：TSCG202509001</w:t>
      </w:r>
      <w:r>
        <w:rPr>
          <w:rFonts w:hint="eastAsia" w:ascii="宋体" w:hAnsi="宋体" w:eastAsia="宋体" w:cs="宋体"/>
          <w:color w:val="auto"/>
          <w:sz w:val="22"/>
          <w:szCs w:val="22"/>
          <w:highlight w:val="none"/>
          <w:u w:val="single"/>
          <w:lang w:val="zh-CN" w:eastAsia="zh-CN"/>
        </w:rPr>
        <w:t>）</w:t>
      </w:r>
      <w:r>
        <w:rPr>
          <w:rFonts w:hint="eastAsia" w:ascii="宋体" w:hAnsi="宋体" w:eastAsia="宋体" w:cs="宋体"/>
          <w:color w:val="auto"/>
          <w:sz w:val="22"/>
          <w:szCs w:val="22"/>
          <w:highlight w:val="none"/>
          <w:u w:val="none"/>
        </w:rPr>
        <w:t>政府采购活动，郑重承诺：</w:t>
      </w:r>
    </w:p>
    <w:p w14:paraId="53B44A52">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（一）具备《中华人民共和国政府采购法》第二十二条规定的条件：</w:t>
      </w:r>
    </w:p>
    <w:p w14:paraId="6E091944">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1、具有独立承担民事责任的能力；</w:t>
      </w:r>
    </w:p>
    <w:p w14:paraId="11E23B8C">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2、具有良好的商业信誉和健全的财务会计制度；</w:t>
      </w:r>
    </w:p>
    <w:p w14:paraId="37A00ED9">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3、具有履行合同所必需的设备和专业技术能力；</w:t>
      </w:r>
    </w:p>
    <w:p w14:paraId="711EF825">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4、有依法缴纳税收和社会保障资金的良好记录；</w:t>
      </w:r>
    </w:p>
    <w:p w14:paraId="04C8E657">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5、参加政府采购活动前三年内，在经营活动中没有重大违法记录；</w:t>
      </w:r>
    </w:p>
    <w:p w14:paraId="28286EBD">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6、具有法律、行政法规规定的其他条件。</w:t>
      </w:r>
    </w:p>
    <w:p w14:paraId="0483D2F3">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（二）</w:t>
      </w:r>
      <w:r>
        <w:rPr>
          <w:rFonts w:hint="eastAsia" w:ascii="宋体" w:hAnsi="宋体" w:eastAsia="宋体" w:cs="宋体"/>
          <w:color w:val="auto"/>
          <w:sz w:val="22"/>
          <w:szCs w:val="22"/>
          <w:highlight w:val="none"/>
          <w:u w:val="none"/>
          <w:lang w:val="en-US" w:eastAsia="zh-CN"/>
        </w:rPr>
        <w:t>未被“信用中国”（www.creditchina.gov.cn)、中国政府采购网（www.ccgp.gov.cn）列入失信被执行人、重大税收违法案件当事人名单、政府采购严重违法失信行为记录名单</w:t>
      </w:r>
      <w:r>
        <w:rPr>
          <w:rFonts w:hint="eastAsia" w:ascii="宋体" w:hAnsi="宋体" w:eastAsia="宋体" w:cs="宋体"/>
          <w:color w:val="auto"/>
          <w:sz w:val="22"/>
          <w:szCs w:val="22"/>
          <w:highlight w:val="none"/>
          <w:u w:val="none"/>
          <w:lang w:val="zh-CN"/>
        </w:rPr>
        <w:t>（没有因违法经营受到刑事处罚，没有被责令停产停业、被吊销许可证或者执照、被处以较大数额罚款等行政处罚，没有因违法经营被禁止参加政府采购活动的期限未满情形）</w:t>
      </w:r>
      <w:r>
        <w:rPr>
          <w:rFonts w:hint="eastAsia" w:ascii="宋体" w:hAnsi="宋体" w:eastAsia="宋体" w:cs="宋体"/>
          <w:color w:val="auto"/>
          <w:sz w:val="22"/>
          <w:szCs w:val="22"/>
          <w:highlight w:val="none"/>
          <w:u w:val="none"/>
          <w:lang w:val="en-US" w:eastAsia="zh-CN"/>
        </w:rPr>
        <w:t>。</w:t>
      </w:r>
    </w:p>
    <w:p w14:paraId="43353D36">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（三）不存在以下情况：</w:t>
      </w:r>
    </w:p>
    <w:p w14:paraId="3401C3F3">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1、单位负责人为同一人或者存在直接控股、管理关系的不同供应商参加同一合同项下的政府采购活动的；</w:t>
      </w:r>
    </w:p>
    <w:p w14:paraId="285CE258">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2、为采购项目提供整体设计、规范编制或者项目管理、监理、检测等服务后再参加该采购项目的其他采购活动的。</w:t>
      </w:r>
    </w:p>
    <w:p w14:paraId="60BB0271">
      <w:pPr>
        <w:autoSpaceDE w:val="0"/>
        <w:autoSpaceDN w:val="0"/>
        <w:adjustRightInd w:val="0"/>
        <w:spacing w:line="360" w:lineRule="auto"/>
        <w:ind w:firstLine="440" w:firstLineChars="200"/>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特此承诺！如有虚假，采购人可取消我方任何资格（投标/中标/签订合同），我方对此无任何异议。</w:t>
      </w:r>
    </w:p>
    <w:p w14:paraId="3CEE7B6E">
      <w:pPr>
        <w:autoSpaceDE w:val="0"/>
        <w:autoSpaceDN w:val="0"/>
        <w:adjustRightInd w:val="0"/>
        <w:spacing w:line="360" w:lineRule="auto"/>
        <w:outlineLvl w:val="9"/>
        <w:rPr>
          <w:rFonts w:hint="eastAsia" w:ascii="宋体" w:hAnsi="宋体" w:eastAsia="宋体" w:cs="宋体"/>
          <w:color w:val="auto"/>
          <w:sz w:val="22"/>
          <w:szCs w:val="22"/>
          <w:highlight w:val="none"/>
          <w:u w:val="none"/>
          <w:lang w:val="zh-CN"/>
        </w:rPr>
      </w:pPr>
    </w:p>
    <w:p w14:paraId="5E71EC44">
      <w:pPr>
        <w:autoSpaceDE w:val="0"/>
        <w:autoSpaceDN w:val="0"/>
        <w:adjustRightInd w:val="0"/>
        <w:spacing w:line="480" w:lineRule="auto"/>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供应商</w:t>
      </w:r>
      <w:r>
        <w:rPr>
          <w:rFonts w:hint="eastAsia" w:ascii="宋体" w:hAnsi="宋体" w:eastAsia="宋体" w:cs="宋体"/>
          <w:color w:val="auto"/>
          <w:sz w:val="22"/>
          <w:szCs w:val="22"/>
          <w:highlight w:val="none"/>
          <w:u w:val="none"/>
          <w:lang w:val="zh-CN" w:eastAsia="zh-CN"/>
        </w:rPr>
        <w:t>名称</w:t>
      </w:r>
      <w:r>
        <w:rPr>
          <w:rFonts w:hint="eastAsia" w:ascii="宋体" w:hAnsi="宋体" w:eastAsia="宋体" w:cs="宋体"/>
          <w:color w:val="auto"/>
          <w:sz w:val="22"/>
          <w:szCs w:val="22"/>
          <w:highlight w:val="none"/>
          <w:u w:val="none"/>
          <w:lang w:val="zh-CN"/>
        </w:rPr>
        <w:t>（盖章）：</w:t>
      </w:r>
    </w:p>
    <w:p w14:paraId="718AD814">
      <w:pPr>
        <w:autoSpaceDE w:val="0"/>
        <w:autoSpaceDN w:val="0"/>
        <w:adjustRightInd w:val="0"/>
        <w:spacing w:line="480" w:lineRule="auto"/>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法定代表人（签字或盖章）或授权代表（签字）：</w:t>
      </w:r>
    </w:p>
    <w:p w14:paraId="7EF5E214">
      <w:pPr>
        <w:autoSpaceDE w:val="0"/>
        <w:autoSpaceDN w:val="0"/>
        <w:adjustRightInd w:val="0"/>
        <w:spacing w:line="480" w:lineRule="auto"/>
        <w:outlineLvl w:val="9"/>
        <w:rPr>
          <w:rFonts w:hAnsi="宋体"/>
          <w:b/>
          <w:bCs/>
          <w:color w:val="auto"/>
          <w:sz w:val="32"/>
          <w:szCs w:val="32"/>
          <w:highlight w:val="none"/>
        </w:rPr>
      </w:pPr>
      <w:r>
        <w:rPr>
          <w:rFonts w:hint="eastAsia" w:ascii="宋体" w:hAnsi="宋体" w:eastAsia="宋体" w:cs="宋体"/>
          <w:color w:val="auto"/>
          <w:sz w:val="22"/>
          <w:szCs w:val="22"/>
          <w:highlight w:val="none"/>
          <w:u w:val="none"/>
          <w:lang w:val="zh-CN"/>
        </w:rPr>
        <w:t>日期：</w:t>
      </w:r>
    </w:p>
    <w:p w14:paraId="789228C4">
      <w:pPr>
        <w:autoSpaceDE w:val="0"/>
        <w:autoSpaceDN w:val="0"/>
        <w:adjustRightInd w:val="0"/>
        <w:spacing w:line="460" w:lineRule="atLeast"/>
        <w:rPr>
          <w:rFonts w:ascii="宋体" w:hAnsi="宋体" w:eastAsia="宋体" w:cs="黑体"/>
          <w:color w:val="auto"/>
          <w:sz w:val="30"/>
          <w:szCs w:val="24"/>
          <w:highlight w:val="none"/>
        </w:rPr>
      </w:pPr>
      <w:r>
        <w:rPr>
          <w:rFonts w:hint="eastAsia" w:ascii="宋体" w:hAnsi="宋体"/>
          <w:b/>
          <w:color w:val="auto"/>
          <w:sz w:val="32"/>
          <w:szCs w:val="32"/>
          <w:highlight w:val="none"/>
        </w:rPr>
        <w:br w:type="page"/>
      </w:r>
      <w:r>
        <w:rPr>
          <w:rFonts w:hint="eastAsia" w:ascii="Calibri" w:hAnsi="Calibri" w:eastAsia="宋体" w:cs="黑体"/>
          <w:b/>
          <w:bCs/>
          <w:color w:val="auto"/>
          <w:sz w:val="30"/>
          <w:szCs w:val="24"/>
          <w:highlight w:val="none"/>
          <w:lang w:val="zh-CN"/>
        </w:rPr>
        <w:t>附件</w:t>
      </w:r>
      <w:r>
        <w:rPr>
          <w:rFonts w:hint="eastAsia" w:ascii="Calibri" w:hAnsi="Calibri" w:eastAsia="宋体" w:cs="黑体"/>
          <w:b/>
          <w:bCs/>
          <w:color w:val="auto"/>
          <w:sz w:val="30"/>
          <w:szCs w:val="24"/>
          <w:highlight w:val="none"/>
        </w:rPr>
        <w:t>四</w:t>
      </w:r>
    </w:p>
    <w:p w14:paraId="7D1E0122">
      <w:pPr>
        <w:autoSpaceDE w:val="0"/>
        <w:autoSpaceDN w:val="0"/>
        <w:adjustRightInd w:val="0"/>
        <w:spacing w:line="460" w:lineRule="atLeast"/>
        <w:jc w:val="center"/>
        <w:rPr>
          <w:rFonts w:ascii="宋体" w:hAnsi="宋体" w:eastAsia="宋体" w:cs="黑体"/>
          <w:color w:val="auto"/>
          <w:sz w:val="36"/>
          <w:szCs w:val="24"/>
          <w:highlight w:val="none"/>
          <w:lang w:val="zh-CN"/>
        </w:rPr>
      </w:pPr>
    </w:p>
    <w:p w14:paraId="5876D28C">
      <w:pPr>
        <w:autoSpaceDE w:val="0"/>
        <w:autoSpaceDN w:val="0"/>
        <w:adjustRightInd w:val="0"/>
        <w:spacing w:line="460" w:lineRule="atLeast"/>
        <w:jc w:val="center"/>
        <w:rPr>
          <w:rFonts w:ascii="宋体" w:hAnsi="宋体" w:eastAsia="宋体" w:cs="黑体"/>
          <w:color w:val="auto"/>
          <w:sz w:val="36"/>
          <w:szCs w:val="24"/>
          <w:highlight w:val="none"/>
          <w:lang w:val="zh-CN"/>
        </w:rPr>
      </w:pPr>
      <w:r>
        <w:rPr>
          <w:rFonts w:hint="eastAsia" w:ascii="Calibri" w:hAnsi="Calibri" w:eastAsia="宋体" w:cs="黑体"/>
          <w:b/>
          <w:bCs/>
          <w:color w:val="auto"/>
          <w:sz w:val="30"/>
          <w:szCs w:val="24"/>
          <w:highlight w:val="none"/>
          <w:lang w:val="zh-CN"/>
        </w:rPr>
        <w:t>具有履行合同所必需的设备和专业技术能力的承诺函</w:t>
      </w:r>
    </w:p>
    <w:p w14:paraId="0FECAAE4">
      <w:pPr>
        <w:spacing w:line="360" w:lineRule="auto"/>
        <w:outlineLvl w:val="9"/>
        <w:rPr>
          <w:rFonts w:hint="eastAsia" w:ascii="宋体" w:hAnsi="宋体" w:eastAsia="宋体" w:cs="宋体"/>
          <w:color w:val="auto"/>
          <w:sz w:val="22"/>
          <w:szCs w:val="21"/>
          <w:highlight w:val="none"/>
          <w:u w:val="single"/>
          <w:lang w:eastAsia="zh-CN"/>
        </w:rPr>
      </w:pPr>
    </w:p>
    <w:p w14:paraId="1EA71CC2">
      <w:pPr>
        <w:spacing w:line="360" w:lineRule="auto"/>
        <w:outlineLvl w:val="9"/>
        <w:rPr>
          <w:rFonts w:hint="eastAsia" w:ascii="宋体" w:hAnsi="宋体" w:eastAsia="宋体" w:cs="宋体"/>
          <w:color w:val="auto"/>
          <w:sz w:val="22"/>
          <w:szCs w:val="21"/>
          <w:highlight w:val="none"/>
          <w:u w:val="single"/>
          <w:lang w:eastAsia="zh-CN"/>
        </w:rPr>
      </w:pPr>
      <w:r>
        <w:rPr>
          <w:rFonts w:hint="eastAsia" w:ascii="宋体" w:hAnsi="宋体" w:eastAsia="宋体" w:cs="宋体"/>
          <w:color w:val="auto"/>
          <w:sz w:val="22"/>
          <w:szCs w:val="21"/>
          <w:highlight w:val="none"/>
          <w:u w:val="single"/>
          <w:lang w:eastAsia="zh-CN"/>
        </w:rPr>
        <w:t>泰顺县大安乡人民政府、温州荣祥项目管理咨询有限公司：</w:t>
      </w:r>
    </w:p>
    <w:p w14:paraId="7B6607F9">
      <w:pPr>
        <w:widowControl/>
        <w:snapToGrid w:val="0"/>
        <w:spacing w:line="460" w:lineRule="exact"/>
        <w:ind w:firstLine="440" w:firstLineChars="200"/>
        <w:jc w:val="left"/>
        <w:rPr>
          <w:rFonts w:ascii="宋体" w:hAnsi="宋体" w:eastAsia="宋体" w:cs="Courier New"/>
          <w:color w:val="auto"/>
          <w:sz w:val="22"/>
          <w:szCs w:val="24"/>
          <w:highlight w:val="none"/>
        </w:rPr>
      </w:pPr>
    </w:p>
    <w:p w14:paraId="28FA5973">
      <w:pPr>
        <w:widowControl/>
        <w:snapToGrid w:val="0"/>
        <w:spacing w:line="460" w:lineRule="exact"/>
        <w:ind w:firstLine="440" w:firstLineChars="200"/>
        <w:jc w:val="left"/>
        <w:rPr>
          <w:rFonts w:ascii="宋体" w:hAnsi="宋体" w:eastAsia="宋体" w:cs="Courier New"/>
          <w:color w:val="auto"/>
          <w:sz w:val="22"/>
          <w:szCs w:val="24"/>
          <w:highlight w:val="none"/>
        </w:rPr>
      </w:pPr>
      <w:r>
        <w:rPr>
          <w:rFonts w:hint="eastAsia" w:ascii="宋体" w:hAnsi="宋体" w:eastAsia="宋体" w:cs="Courier New"/>
          <w:color w:val="auto"/>
          <w:sz w:val="22"/>
          <w:szCs w:val="24"/>
          <w:highlight w:val="none"/>
        </w:rPr>
        <w:t>我方</w:t>
      </w:r>
      <w:r>
        <w:rPr>
          <w:rFonts w:hint="eastAsia" w:ascii="宋体" w:hAnsi="宋体" w:eastAsia="宋体" w:cs="Courier New"/>
          <w:color w:val="auto"/>
          <w:sz w:val="22"/>
          <w:szCs w:val="24"/>
          <w:highlight w:val="none"/>
          <w:u w:val="single"/>
        </w:rPr>
        <w:t xml:space="preserve"> （供应商）  </w:t>
      </w:r>
      <w:r>
        <w:rPr>
          <w:rFonts w:hint="eastAsia" w:ascii="宋体" w:hAnsi="宋体" w:eastAsia="宋体" w:cs="Courier New"/>
          <w:color w:val="auto"/>
          <w:sz w:val="22"/>
          <w:szCs w:val="24"/>
          <w:highlight w:val="none"/>
        </w:rPr>
        <w:t>承诺具有履行合同所必需的设备和专业技术能力。如有虚假，采购人可取消我方任何资格（投标/中标/签订合同），我方对此无任何异议。</w:t>
      </w:r>
    </w:p>
    <w:p w14:paraId="658167D0">
      <w:pPr>
        <w:widowControl/>
        <w:snapToGrid w:val="0"/>
        <w:spacing w:line="460" w:lineRule="exact"/>
        <w:ind w:firstLine="440" w:firstLineChars="200"/>
        <w:jc w:val="left"/>
        <w:rPr>
          <w:rFonts w:ascii="宋体" w:hAnsi="宋体" w:eastAsia="宋体" w:cs="Courier New"/>
          <w:color w:val="auto"/>
          <w:sz w:val="22"/>
          <w:szCs w:val="24"/>
          <w:highlight w:val="none"/>
        </w:rPr>
      </w:pPr>
    </w:p>
    <w:p w14:paraId="4CD5F96A">
      <w:pPr>
        <w:widowControl/>
        <w:snapToGrid w:val="0"/>
        <w:spacing w:line="460" w:lineRule="exact"/>
        <w:ind w:firstLine="440" w:firstLineChars="200"/>
        <w:jc w:val="left"/>
        <w:rPr>
          <w:rFonts w:ascii="宋体" w:hAnsi="宋体" w:eastAsia="宋体" w:cs="Courier New"/>
          <w:color w:val="auto"/>
          <w:sz w:val="22"/>
          <w:szCs w:val="24"/>
          <w:highlight w:val="none"/>
        </w:rPr>
      </w:pPr>
      <w:r>
        <w:rPr>
          <w:rFonts w:hint="eastAsia" w:ascii="宋体" w:hAnsi="宋体" w:eastAsia="宋体" w:cs="Courier New"/>
          <w:color w:val="auto"/>
          <w:sz w:val="22"/>
          <w:szCs w:val="24"/>
          <w:highlight w:val="none"/>
        </w:rPr>
        <w:t>特此承诺！</w:t>
      </w:r>
    </w:p>
    <w:p w14:paraId="1920F2E2">
      <w:pPr>
        <w:rPr>
          <w:rFonts w:eastAsia="宋体" w:cs="Times New Roman"/>
          <w:color w:val="auto"/>
          <w:szCs w:val="22"/>
          <w:highlight w:val="none"/>
        </w:rPr>
      </w:pPr>
    </w:p>
    <w:p w14:paraId="275D1531">
      <w:pPr>
        <w:widowControl w:val="0"/>
        <w:jc w:val="both"/>
        <w:rPr>
          <w:rFonts w:ascii="Times New Roman" w:hAnsi="Times New Roman" w:eastAsia="宋体" w:cs="Times New Roman"/>
          <w:color w:val="auto"/>
          <w:kern w:val="0"/>
          <w:sz w:val="20"/>
          <w:szCs w:val="20"/>
          <w:highlight w:val="none"/>
          <w:lang w:val="en-US" w:eastAsia="zh-CN" w:bidi="ar-SA"/>
        </w:rPr>
      </w:pPr>
    </w:p>
    <w:p w14:paraId="6E56D500">
      <w:pPr>
        <w:autoSpaceDE w:val="0"/>
        <w:autoSpaceDN w:val="0"/>
        <w:adjustRightInd w:val="0"/>
        <w:spacing w:line="480" w:lineRule="auto"/>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供应商</w:t>
      </w:r>
      <w:r>
        <w:rPr>
          <w:rFonts w:hint="eastAsia" w:ascii="宋体" w:hAnsi="宋体" w:eastAsia="宋体" w:cs="宋体"/>
          <w:color w:val="auto"/>
          <w:sz w:val="22"/>
          <w:szCs w:val="22"/>
          <w:highlight w:val="none"/>
          <w:u w:val="none"/>
          <w:lang w:val="zh-CN" w:eastAsia="zh-CN"/>
        </w:rPr>
        <w:t>名称</w:t>
      </w:r>
      <w:r>
        <w:rPr>
          <w:rFonts w:hint="eastAsia" w:ascii="宋体" w:hAnsi="宋体" w:eastAsia="宋体" w:cs="宋体"/>
          <w:color w:val="auto"/>
          <w:sz w:val="22"/>
          <w:szCs w:val="22"/>
          <w:highlight w:val="none"/>
          <w:u w:val="none"/>
          <w:lang w:val="zh-CN"/>
        </w:rPr>
        <w:t>（盖章）：</w:t>
      </w:r>
    </w:p>
    <w:p w14:paraId="1AA01C25">
      <w:pPr>
        <w:autoSpaceDE w:val="0"/>
        <w:autoSpaceDN w:val="0"/>
        <w:adjustRightInd w:val="0"/>
        <w:spacing w:line="480" w:lineRule="auto"/>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法定代表人（签字或盖章）或授权代表（签字）：</w:t>
      </w:r>
    </w:p>
    <w:p w14:paraId="2BB93124">
      <w:pPr>
        <w:autoSpaceDE w:val="0"/>
        <w:autoSpaceDN w:val="0"/>
        <w:adjustRightInd w:val="0"/>
        <w:spacing w:line="480" w:lineRule="auto"/>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日期：</w:t>
      </w:r>
    </w:p>
    <w:p w14:paraId="12F99948">
      <w:pPr>
        <w:pStyle w:val="16"/>
        <w:spacing w:line="460" w:lineRule="atLeast"/>
        <w:ind w:firstLine="770" w:firstLineChars="350"/>
        <w:rPr>
          <w:rFonts w:hAnsi="宋体"/>
          <w:color w:val="auto"/>
          <w:sz w:val="22"/>
          <w:szCs w:val="22"/>
          <w:highlight w:val="none"/>
        </w:rPr>
      </w:pPr>
    </w:p>
    <w:p w14:paraId="30FBC608">
      <w:pPr>
        <w:pStyle w:val="16"/>
        <w:spacing w:line="460" w:lineRule="atLeast"/>
        <w:ind w:firstLine="773" w:firstLineChars="350"/>
        <w:rPr>
          <w:rFonts w:hAnsi="宋体"/>
          <w:b/>
          <w:bCs/>
          <w:color w:val="auto"/>
          <w:sz w:val="22"/>
          <w:szCs w:val="22"/>
          <w:highlight w:val="none"/>
        </w:rPr>
      </w:pPr>
    </w:p>
    <w:p w14:paraId="5FF304A7">
      <w:pPr>
        <w:pStyle w:val="16"/>
        <w:spacing w:line="460" w:lineRule="atLeast"/>
        <w:ind w:firstLine="773" w:firstLineChars="350"/>
        <w:rPr>
          <w:rFonts w:hAnsi="宋体"/>
          <w:b/>
          <w:bCs/>
          <w:color w:val="auto"/>
          <w:sz w:val="22"/>
          <w:szCs w:val="22"/>
          <w:highlight w:val="none"/>
        </w:rPr>
      </w:pPr>
    </w:p>
    <w:p w14:paraId="60918415">
      <w:pPr>
        <w:autoSpaceDE w:val="0"/>
        <w:autoSpaceDN w:val="0"/>
        <w:adjustRightInd w:val="0"/>
        <w:spacing w:line="440" w:lineRule="atLeast"/>
        <w:rPr>
          <w:rFonts w:hAnsi="宋体"/>
          <w:b/>
          <w:bCs/>
          <w:color w:val="auto"/>
          <w:sz w:val="32"/>
          <w:szCs w:val="32"/>
          <w:highlight w:val="none"/>
        </w:rPr>
      </w:pPr>
    </w:p>
    <w:p w14:paraId="3D260207">
      <w:pPr>
        <w:rPr>
          <w:rFonts w:hAnsi="宋体"/>
          <w:b/>
          <w:bCs/>
          <w:color w:val="auto"/>
          <w:sz w:val="32"/>
          <w:szCs w:val="32"/>
          <w:highlight w:val="none"/>
        </w:rPr>
      </w:pPr>
      <w:r>
        <w:rPr>
          <w:rFonts w:hAnsi="宋体"/>
          <w:b/>
          <w:bCs/>
          <w:color w:val="auto"/>
          <w:sz w:val="32"/>
          <w:szCs w:val="32"/>
          <w:highlight w:val="none"/>
        </w:rPr>
        <w:br w:type="page"/>
      </w:r>
    </w:p>
    <w:p w14:paraId="4DC8E802">
      <w:pPr>
        <w:autoSpaceDE w:val="0"/>
        <w:autoSpaceDN w:val="0"/>
        <w:adjustRightInd w:val="0"/>
        <w:spacing w:line="460" w:lineRule="atLeast"/>
        <w:rPr>
          <w:rFonts w:hint="eastAsia" w:ascii="宋体" w:hAnsi="宋体" w:eastAsia="宋体" w:cs="宋体"/>
          <w:snapToGrid w:val="0"/>
          <w:color w:val="auto"/>
          <w:sz w:val="30"/>
          <w:szCs w:val="30"/>
          <w:highlight w:val="none"/>
          <w:lang w:val="en-US" w:eastAsia="zh-CN"/>
        </w:rPr>
      </w:pPr>
      <w:r>
        <w:rPr>
          <w:rFonts w:hint="eastAsia" w:ascii="Calibri" w:hAnsi="Calibri" w:eastAsia="宋体" w:cs="黑体"/>
          <w:b/>
          <w:bCs/>
          <w:color w:val="auto"/>
          <w:sz w:val="30"/>
          <w:szCs w:val="24"/>
          <w:highlight w:val="none"/>
          <w:lang w:val="zh-CN" w:eastAsia="en-US"/>
        </w:rPr>
        <w:t>附件</w:t>
      </w:r>
      <w:r>
        <w:rPr>
          <w:rFonts w:hint="eastAsia" w:ascii="Calibri" w:hAnsi="Calibri" w:eastAsia="宋体" w:cs="黑体"/>
          <w:b/>
          <w:bCs/>
          <w:color w:val="auto"/>
          <w:sz w:val="30"/>
          <w:szCs w:val="24"/>
          <w:highlight w:val="none"/>
          <w:lang w:val="en-US" w:eastAsia="zh-CN"/>
        </w:rPr>
        <w:t>五</w:t>
      </w:r>
    </w:p>
    <w:p w14:paraId="76469BA5">
      <w:pPr>
        <w:kinsoku w:val="0"/>
        <w:autoSpaceDE w:val="0"/>
        <w:autoSpaceDN w:val="0"/>
        <w:adjustRightInd w:val="0"/>
        <w:snapToGrid w:val="0"/>
        <w:spacing w:before="277" w:line="219" w:lineRule="auto"/>
        <w:ind w:left="1201"/>
        <w:jc w:val="left"/>
        <w:textAlignment w:val="baseline"/>
        <w:rPr>
          <w:rFonts w:ascii="宋体" w:hAnsi="宋体" w:eastAsia="宋体" w:cs="宋体"/>
          <w:snapToGrid w:val="0"/>
          <w:color w:val="auto"/>
          <w:kern w:val="0"/>
          <w:sz w:val="30"/>
          <w:szCs w:val="30"/>
          <w:highlight w:val="none"/>
          <w:lang w:val="en-US" w:eastAsia="en-US" w:bidi="ar-SA"/>
        </w:rPr>
      </w:pPr>
      <w:r>
        <w:rPr>
          <w:rFonts w:ascii="宋体" w:hAnsi="宋体" w:eastAsia="宋体" w:cs="宋体"/>
          <w:b/>
          <w:bCs/>
          <w:snapToGrid w:val="0"/>
          <w:color w:val="auto"/>
          <w:spacing w:val="1"/>
          <w:kern w:val="0"/>
          <w:sz w:val="30"/>
          <w:szCs w:val="30"/>
          <w:highlight w:val="none"/>
          <w:lang w:val="en-US" w:eastAsia="en-US" w:bidi="ar-SA"/>
        </w:rPr>
        <w:t>有依法缴纳税收和社会保障资金的良好记录的承诺函</w:t>
      </w:r>
    </w:p>
    <w:p w14:paraId="55191115">
      <w:pPr>
        <w:widowControl/>
        <w:kinsoku w:val="0"/>
        <w:autoSpaceDE w:val="0"/>
        <w:autoSpaceDN w:val="0"/>
        <w:adjustRightInd w:val="0"/>
        <w:snapToGrid w:val="0"/>
        <w:spacing w:line="337" w:lineRule="auto"/>
        <w:jc w:val="left"/>
        <w:textAlignment w:val="baseline"/>
        <w:rPr>
          <w:rFonts w:ascii="Arial" w:hAnsi="Arial" w:eastAsia="Arial" w:cs="Arial"/>
          <w:snapToGrid w:val="0"/>
          <w:color w:val="auto"/>
          <w:kern w:val="0"/>
          <w:sz w:val="21"/>
          <w:szCs w:val="21"/>
          <w:highlight w:val="none"/>
          <w:lang w:eastAsia="en-US"/>
        </w:rPr>
      </w:pPr>
    </w:p>
    <w:p w14:paraId="5E7C5A89">
      <w:pPr>
        <w:kinsoku w:val="0"/>
        <w:autoSpaceDE w:val="0"/>
        <w:autoSpaceDN w:val="0"/>
        <w:adjustRightInd w:val="0"/>
        <w:snapToGrid w:val="0"/>
        <w:spacing w:before="71" w:line="219" w:lineRule="auto"/>
        <w:ind w:left="1"/>
        <w:jc w:val="left"/>
        <w:textAlignment w:val="baseline"/>
        <w:rPr>
          <w:rFonts w:ascii="宋体" w:hAnsi="宋体" w:eastAsia="宋体" w:cs="宋体"/>
          <w:snapToGrid w:val="0"/>
          <w:color w:val="auto"/>
          <w:kern w:val="0"/>
          <w:sz w:val="22"/>
          <w:szCs w:val="22"/>
          <w:highlight w:val="none"/>
          <w:lang w:val="en-US" w:eastAsia="en-US" w:bidi="ar-SA"/>
        </w:rPr>
      </w:pPr>
      <w:r>
        <w:rPr>
          <w:rFonts w:hint="eastAsia" w:ascii="宋体" w:hAnsi="宋体" w:eastAsia="宋体" w:cs="宋体"/>
          <w:snapToGrid w:val="0"/>
          <w:color w:val="auto"/>
          <w:spacing w:val="3"/>
          <w:kern w:val="0"/>
          <w:sz w:val="22"/>
          <w:szCs w:val="22"/>
          <w:highlight w:val="none"/>
          <w:u w:val="single" w:color="auto"/>
          <w:lang w:val="en-US" w:eastAsia="zh-CN" w:bidi="ar-SA"/>
        </w:rPr>
        <w:t>泰顺县大安乡人民政府</w:t>
      </w:r>
      <w:r>
        <w:rPr>
          <w:rFonts w:ascii="宋体" w:hAnsi="宋体" w:eastAsia="宋体" w:cs="宋体"/>
          <w:snapToGrid w:val="0"/>
          <w:color w:val="auto"/>
          <w:spacing w:val="3"/>
          <w:kern w:val="0"/>
          <w:sz w:val="22"/>
          <w:szCs w:val="22"/>
          <w:highlight w:val="none"/>
          <w:u w:val="single" w:color="auto"/>
          <w:lang w:val="en-US" w:eastAsia="en-US" w:bidi="ar-SA"/>
        </w:rPr>
        <w:t>、</w:t>
      </w:r>
      <w:r>
        <w:rPr>
          <w:rFonts w:hint="eastAsia" w:ascii="宋体" w:hAnsi="宋体" w:eastAsia="宋体" w:cs="宋体"/>
          <w:snapToGrid w:val="0"/>
          <w:color w:val="auto"/>
          <w:spacing w:val="3"/>
          <w:kern w:val="0"/>
          <w:sz w:val="22"/>
          <w:szCs w:val="22"/>
          <w:highlight w:val="none"/>
          <w:u w:val="single" w:color="auto"/>
          <w:lang w:val="en-US" w:eastAsia="zh-CN" w:bidi="ar-SA"/>
        </w:rPr>
        <w:t>温州荣祥项目管理咨询有限公司</w:t>
      </w:r>
      <w:r>
        <w:rPr>
          <w:rFonts w:ascii="宋体" w:hAnsi="宋体" w:eastAsia="宋体" w:cs="宋体"/>
          <w:snapToGrid w:val="0"/>
          <w:color w:val="auto"/>
          <w:spacing w:val="3"/>
          <w:kern w:val="0"/>
          <w:sz w:val="22"/>
          <w:szCs w:val="22"/>
          <w:highlight w:val="none"/>
          <w:u w:val="single" w:color="auto"/>
          <w:lang w:val="en-US" w:eastAsia="en-US" w:bidi="ar-SA"/>
        </w:rPr>
        <w:t>：</w:t>
      </w:r>
    </w:p>
    <w:p w14:paraId="190D3D08">
      <w:pPr>
        <w:widowControl/>
        <w:kinsoku w:val="0"/>
        <w:autoSpaceDE w:val="0"/>
        <w:autoSpaceDN w:val="0"/>
        <w:adjustRightInd w:val="0"/>
        <w:snapToGrid w:val="0"/>
        <w:spacing w:line="292" w:lineRule="auto"/>
        <w:jc w:val="left"/>
        <w:textAlignment w:val="baseline"/>
        <w:rPr>
          <w:rFonts w:ascii="Arial" w:hAnsi="Arial" w:eastAsia="Arial" w:cs="Arial"/>
          <w:snapToGrid w:val="0"/>
          <w:color w:val="auto"/>
          <w:kern w:val="0"/>
          <w:sz w:val="21"/>
          <w:szCs w:val="21"/>
          <w:highlight w:val="none"/>
          <w:lang w:eastAsia="en-US"/>
        </w:rPr>
      </w:pPr>
    </w:p>
    <w:p w14:paraId="19CAE6AE">
      <w:pPr>
        <w:widowControl/>
        <w:kinsoku w:val="0"/>
        <w:autoSpaceDE w:val="0"/>
        <w:autoSpaceDN w:val="0"/>
        <w:adjustRightInd w:val="0"/>
        <w:snapToGrid w:val="0"/>
        <w:spacing w:line="293" w:lineRule="auto"/>
        <w:jc w:val="left"/>
        <w:textAlignment w:val="baseline"/>
        <w:rPr>
          <w:rFonts w:ascii="Arial" w:hAnsi="Arial" w:eastAsia="Arial" w:cs="Arial"/>
          <w:snapToGrid w:val="0"/>
          <w:color w:val="auto"/>
          <w:kern w:val="0"/>
          <w:sz w:val="21"/>
          <w:szCs w:val="21"/>
          <w:highlight w:val="none"/>
          <w:lang w:eastAsia="en-US"/>
        </w:rPr>
      </w:pPr>
    </w:p>
    <w:p w14:paraId="6B21BEAB">
      <w:pPr>
        <w:kinsoku w:val="0"/>
        <w:autoSpaceDE w:val="0"/>
        <w:autoSpaceDN w:val="0"/>
        <w:adjustRightInd w:val="0"/>
        <w:snapToGrid w:val="0"/>
        <w:spacing w:before="72" w:line="371" w:lineRule="auto"/>
        <w:ind w:left="6" w:firstLine="443"/>
        <w:jc w:val="left"/>
        <w:textAlignment w:val="baseline"/>
        <w:rPr>
          <w:rFonts w:ascii="宋体" w:hAnsi="宋体" w:eastAsia="宋体" w:cs="宋体"/>
          <w:snapToGrid w:val="0"/>
          <w:color w:val="auto"/>
          <w:kern w:val="0"/>
          <w:sz w:val="22"/>
          <w:szCs w:val="22"/>
          <w:highlight w:val="none"/>
          <w:lang w:val="en-US" w:eastAsia="en-US" w:bidi="ar-SA"/>
        </w:rPr>
      </w:pPr>
      <w:r>
        <w:rPr>
          <w:rFonts w:ascii="宋体" w:hAnsi="宋体" w:eastAsia="宋体" w:cs="宋体"/>
          <w:snapToGrid w:val="0"/>
          <w:color w:val="auto"/>
          <w:spacing w:val="2"/>
          <w:kern w:val="0"/>
          <w:sz w:val="22"/>
          <w:szCs w:val="22"/>
          <w:highlight w:val="none"/>
          <w:lang w:val="en-US" w:eastAsia="en-US" w:bidi="ar-SA"/>
        </w:rPr>
        <w:t>我方</w:t>
      </w:r>
      <w:r>
        <w:rPr>
          <w:rFonts w:ascii="宋体" w:hAnsi="宋体" w:eastAsia="宋体" w:cs="宋体"/>
          <w:snapToGrid w:val="0"/>
          <w:color w:val="auto"/>
          <w:spacing w:val="-19"/>
          <w:kern w:val="0"/>
          <w:sz w:val="22"/>
          <w:szCs w:val="22"/>
          <w:highlight w:val="none"/>
          <w:u w:val="single" w:color="auto"/>
          <w:lang w:val="en-US" w:eastAsia="en-US" w:bidi="ar-SA"/>
        </w:rPr>
        <w:t xml:space="preserve"> </w:t>
      </w:r>
      <w:r>
        <w:rPr>
          <w:rFonts w:ascii="宋体" w:hAnsi="宋体" w:eastAsia="宋体" w:cs="宋体"/>
          <w:snapToGrid w:val="0"/>
          <w:color w:val="auto"/>
          <w:spacing w:val="2"/>
          <w:kern w:val="0"/>
          <w:sz w:val="22"/>
          <w:szCs w:val="22"/>
          <w:highlight w:val="none"/>
          <w:u w:val="single" w:color="auto"/>
          <w:lang w:val="en-US" w:eastAsia="en-US" w:bidi="ar-SA"/>
        </w:rPr>
        <w:t>（供应商）</w:t>
      </w:r>
      <w:r>
        <w:rPr>
          <w:rFonts w:ascii="宋体" w:hAnsi="宋体" w:eastAsia="宋体" w:cs="宋体"/>
          <w:snapToGrid w:val="0"/>
          <w:color w:val="auto"/>
          <w:spacing w:val="91"/>
          <w:kern w:val="0"/>
          <w:sz w:val="22"/>
          <w:szCs w:val="22"/>
          <w:highlight w:val="none"/>
          <w:u w:val="single" w:color="auto"/>
          <w:lang w:val="en-US" w:eastAsia="en-US" w:bidi="ar-SA"/>
        </w:rPr>
        <w:t xml:space="preserve"> </w:t>
      </w:r>
      <w:r>
        <w:rPr>
          <w:rFonts w:ascii="宋体" w:hAnsi="宋体" w:eastAsia="宋体" w:cs="宋体"/>
          <w:snapToGrid w:val="0"/>
          <w:color w:val="auto"/>
          <w:spacing w:val="-100"/>
          <w:kern w:val="0"/>
          <w:sz w:val="22"/>
          <w:szCs w:val="22"/>
          <w:highlight w:val="none"/>
          <w:lang w:val="en-US" w:eastAsia="en-US" w:bidi="ar-SA"/>
        </w:rPr>
        <w:t xml:space="preserve"> </w:t>
      </w:r>
      <w:r>
        <w:rPr>
          <w:rFonts w:ascii="宋体" w:hAnsi="宋体" w:eastAsia="宋体" w:cs="宋体"/>
          <w:snapToGrid w:val="0"/>
          <w:color w:val="auto"/>
          <w:spacing w:val="2"/>
          <w:kern w:val="0"/>
          <w:sz w:val="22"/>
          <w:szCs w:val="22"/>
          <w:highlight w:val="none"/>
          <w:lang w:val="en-US" w:eastAsia="en-US" w:bidi="ar-SA"/>
        </w:rPr>
        <w:t>承诺有依法缴纳税收和社会保障资金的良好记录。</w:t>
      </w:r>
      <w:r>
        <w:rPr>
          <w:rFonts w:ascii="宋体" w:hAnsi="宋体" w:eastAsia="宋体" w:cs="宋体"/>
          <w:snapToGrid w:val="0"/>
          <w:color w:val="auto"/>
          <w:spacing w:val="1"/>
          <w:kern w:val="0"/>
          <w:sz w:val="22"/>
          <w:szCs w:val="22"/>
          <w:highlight w:val="none"/>
          <w:lang w:val="en-US" w:eastAsia="en-US" w:bidi="ar-SA"/>
        </w:rPr>
        <w:t>如有虚假，采购人可取</w:t>
      </w:r>
      <w:r>
        <w:rPr>
          <w:rFonts w:ascii="宋体" w:hAnsi="宋体" w:eastAsia="宋体" w:cs="宋体"/>
          <w:snapToGrid w:val="0"/>
          <w:color w:val="auto"/>
          <w:spacing w:val="2"/>
          <w:kern w:val="0"/>
          <w:sz w:val="22"/>
          <w:szCs w:val="22"/>
          <w:highlight w:val="none"/>
          <w:lang w:val="en-US" w:eastAsia="en-US" w:bidi="ar-SA"/>
        </w:rPr>
        <w:t>消我方任何资格（投标/中标/签订合同</w:t>
      </w:r>
      <w:r>
        <w:rPr>
          <w:rFonts w:ascii="宋体" w:hAnsi="宋体" w:eastAsia="宋体" w:cs="宋体"/>
          <w:snapToGrid w:val="0"/>
          <w:color w:val="auto"/>
          <w:spacing w:val="17"/>
          <w:kern w:val="0"/>
          <w:sz w:val="22"/>
          <w:szCs w:val="22"/>
          <w:highlight w:val="none"/>
          <w:lang w:val="en-US" w:eastAsia="en-US" w:bidi="ar-SA"/>
        </w:rPr>
        <w:t>），</w:t>
      </w:r>
      <w:r>
        <w:rPr>
          <w:rFonts w:ascii="宋体" w:hAnsi="宋体" w:eastAsia="宋体" w:cs="宋体"/>
          <w:snapToGrid w:val="0"/>
          <w:color w:val="auto"/>
          <w:spacing w:val="2"/>
          <w:kern w:val="0"/>
          <w:sz w:val="22"/>
          <w:szCs w:val="22"/>
          <w:highlight w:val="none"/>
          <w:lang w:val="en-US" w:eastAsia="en-US" w:bidi="ar-SA"/>
        </w:rPr>
        <w:t>我方对此无任何异议。</w:t>
      </w:r>
    </w:p>
    <w:p w14:paraId="17A14E74">
      <w:pPr>
        <w:widowControl/>
        <w:kinsoku w:val="0"/>
        <w:autoSpaceDE w:val="0"/>
        <w:autoSpaceDN w:val="0"/>
        <w:adjustRightInd w:val="0"/>
        <w:snapToGrid w:val="0"/>
        <w:spacing w:line="421" w:lineRule="auto"/>
        <w:jc w:val="left"/>
        <w:textAlignment w:val="baseline"/>
        <w:rPr>
          <w:rFonts w:ascii="Arial" w:hAnsi="Arial" w:eastAsia="Arial" w:cs="Arial"/>
          <w:snapToGrid w:val="0"/>
          <w:color w:val="auto"/>
          <w:kern w:val="0"/>
          <w:sz w:val="21"/>
          <w:szCs w:val="21"/>
          <w:highlight w:val="none"/>
          <w:lang w:eastAsia="en-US"/>
        </w:rPr>
      </w:pPr>
    </w:p>
    <w:p w14:paraId="086648C1">
      <w:pPr>
        <w:kinsoku w:val="0"/>
        <w:autoSpaceDE w:val="0"/>
        <w:autoSpaceDN w:val="0"/>
        <w:adjustRightInd w:val="0"/>
        <w:snapToGrid w:val="0"/>
        <w:spacing w:before="71" w:line="220" w:lineRule="auto"/>
        <w:ind w:left="448"/>
        <w:jc w:val="left"/>
        <w:textAlignment w:val="baseline"/>
        <w:rPr>
          <w:rFonts w:ascii="宋体" w:hAnsi="宋体" w:eastAsia="宋体" w:cs="宋体"/>
          <w:snapToGrid w:val="0"/>
          <w:color w:val="auto"/>
          <w:kern w:val="0"/>
          <w:sz w:val="22"/>
          <w:szCs w:val="22"/>
          <w:highlight w:val="none"/>
          <w:lang w:val="en-US" w:eastAsia="en-US" w:bidi="ar-SA"/>
        </w:rPr>
      </w:pPr>
      <w:r>
        <w:rPr>
          <w:rFonts w:ascii="宋体" w:hAnsi="宋体" w:eastAsia="宋体" w:cs="宋体"/>
          <w:snapToGrid w:val="0"/>
          <w:color w:val="auto"/>
          <w:kern w:val="0"/>
          <w:sz w:val="22"/>
          <w:szCs w:val="22"/>
          <w:highlight w:val="none"/>
          <w:lang w:val="en-US" w:eastAsia="en-US" w:bidi="ar-SA"/>
        </w:rPr>
        <w:t>特此承诺！</w:t>
      </w:r>
    </w:p>
    <w:p w14:paraId="435C5A98">
      <w:pPr>
        <w:widowControl/>
        <w:kinsoku w:val="0"/>
        <w:autoSpaceDE w:val="0"/>
        <w:autoSpaceDN w:val="0"/>
        <w:adjustRightInd w:val="0"/>
        <w:snapToGrid w:val="0"/>
        <w:spacing w:line="294" w:lineRule="auto"/>
        <w:jc w:val="left"/>
        <w:textAlignment w:val="baseline"/>
        <w:rPr>
          <w:rFonts w:ascii="Arial" w:hAnsi="Arial" w:eastAsia="Arial" w:cs="Arial"/>
          <w:snapToGrid w:val="0"/>
          <w:color w:val="auto"/>
          <w:kern w:val="0"/>
          <w:sz w:val="21"/>
          <w:szCs w:val="21"/>
          <w:highlight w:val="none"/>
          <w:lang w:eastAsia="en-US"/>
        </w:rPr>
      </w:pPr>
    </w:p>
    <w:p w14:paraId="3A786C6E">
      <w:pPr>
        <w:widowControl/>
        <w:kinsoku w:val="0"/>
        <w:autoSpaceDE w:val="0"/>
        <w:autoSpaceDN w:val="0"/>
        <w:adjustRightInd w:val="0"/>
        <w:snapToGrid w:val="0"/>
        <w:spacing w:line="295" w:lineRule="auto"/>
        <w:jc w:val="left"/>
        <w:textAlignment w:val="baseline"/>
        <w:rPr>
          <w:rFonts w:ascii="Arial" w:hAnsi="Arial" w:eastAsia="Arial" w:cs="Arial"/>
          <w:snapToGrid w:val="0"/>
          <w:color w:val="auto"/>
          <w:kern w:val="0"/>
          <w:sz w:val="21"/>
          <w:szCs w:val="21"/>
          <w:highlight w:val="none"/>
          <w:lang w:eastAsia="en-US"/>
        </w:rPr>
      </w:pPr>
    </w:p>
    <w:p w14:paraId="1D875B42">
      <w:pPr>
        <w:autoSpaceDE w:val="0"/>
        <w:autoSpaceDN w:val="0"/>
        <w:adjustRightInd w:val="0"/>
        <w:spacing w:line="480" w:lineRule="auto"/>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供应商</w:t>
      </w:r>
      <w:r>
        <w:rPr>
          <w:rFonts w:hint="eastAsia" w:ascii="宋体" w:hAnsi="宋体" w:eastAsia="宋体" w:cs="宋体"/>
          <w:color w:val="auto"/>
          <w:sz w:val="22"/>
          <w:szCs w:val="22"/>
          <w:highlight w:val="none"/>
          <w:u w:val="none"/>
          <w:lang w:val="zh-CN" w:eastAsia="zh-CN"/>
        </w:rPr>
        <w:t>名称</w:t>
      </w:r>
      <w:r>
        <w:rPr>
          <w:rFonts w:hint="eastAsia" w:ascii="宋体" w:hAnsi="宋体" w:eastAsia="宋体" w:cs="宋体"/>
          <w:color w:val="auto"/>
          <w:sz w:val="22"/>
          <w:szCs w:val="22"/>
          <w:highlight w:val="none"/>
          <w:u w:val="none"/>
          <w:lang w:val="zh-CN"/>
        </w:rPr>
        <w:t>（盖章）：</w:t>
      </w:r>
    </w:p>
    <w:p w14:paraId="41EE69A2">
      <w:pPr>
        <w:autoSpaceDE w:val="0"/>
        <w:autoSpaceDN w:val="0"/>
        <w:adjustRightInd w:val="0"/>
        <w:spacing w:line="480" w:lineRule="auto"/>
        <w:outlineLvl w:val="9"/>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法定代表人（签字或盖章）或授权代表（签字）：</w:t>
      </w:r>
    </w:p>
    <w:p w14:paraId="418CF185">
      <w:pPr>
        <w:spacing w:line="480" w:lineRule="auto"/>
        <w:rPr>
          <w:rFonts w:ascii="宋体" w:hAnsi="宋体" w:cs="黑体"/>
          <w:color w:val="auto"/>
          <w:sz w:val="22"/>
          <w:highlight w:val="none"/>
          <w:lang w:val="zh-CN"/>
        </w:rPr>
      </w:pPr>
      <w:r>
        <w:rPr>
          <w:rFonts w:hint="eastAsia" w:ascii="宋体" w:hAnsi="宋体" w:eastAsia="宋体" w:cs="宋体"/>
          <w:color w:val="auto"/>
          <w:sz w:val="22"/>
          <w:szCs w:val="22"/>
          <w:highlight w:val="none"/>
          <w:u w:val="none"/>
          <w:lang w:val="zh-CN"/>
        </w:rPr>
        <w:t>日期：</w:t>
      </w:r>
    </w:p>
    <w:p w14:paraId="1BAC15D4">
      <w:pPr>
        <w:jc w:val="center"/>
        <w:rPr>
          <w:rFonts w:ascii="宋体"/>
          <w:color w:val="auto"/>
          <w:sz w:val="36"/>
          <w:szCs w:val="36"/>
          <w:highlight w:val="none"/>
          <w:lang w:val="zh-CN"/>
        </w:rPr>
      </w:pPr>
    </w:p>
    <w:p w14:paraId="5F571209">
      <w:pPr>
        <w:pStyle w:val="16"/>
        <w:adjustRightInd w:val="0"/>
        <w:snapToGrid w:val="0"/>
        <w:spacing w:line="340" w:lineRule="atLeast"/>
        <w:rPr>
          <w:rFonts w:hAnsi="宋体"/>
          <w:b/>
          <w:color w:val="auto"/>
          <w:sz w:val="32"/>
          <w:szCs w:val="32"/>
          <w:highlight w:val="none"/>
        </w:rPr>
      </w:pPr>
    </w:p>
    <w:p w14:paraId="2ABE356A">
      <w:pPr>
        <w:pStyle w:val="16"/>
        <w:adjustRightInd w:val="0"/>
        <w:snapToGrid w:val="0"/>
        <w:spacing w:line="340" w:lineRule="atLeast"/>
        <w:rPr>
          <w:rFonts w:hAnsi="宋体"/>
          <w:b/>
          <w:color w:val="auto"/>
          <w:sz w:val="32"/>
          <w:szCs w:val="32"/>
          <w:highlight w:val="none"/>
        </w:rPr>
      </w:pPr>
    </w:p>
    <w:p w14:paraId="5522D119">
      <w:pPr>
        <w:pStyle w:val="16"/>
        <w:adjustRightInd w:val="0"/>
        <w:snapToGrid w:val="0"/>
        <w:spacing w:line="340" w:lineRule="atLeast"/>
        <w:rPr>
          <w:rFonts w:hAnsi="宋体"/>
          <w:b/>
          <w:color w:val="auto"/>
          <w:sz w:val="32"/>
          <w:szCs w:val="32"/>
          <w:highlight w:val="none"/>
        </w:rPr>
      </w:pPr>
    </w:p>
    <w:p w14:paraId="6AA1A341">
      <w:pPr>
        <w:autoSpaceDE w:val="0"/>
        <w:autoSpaceDN w:val="0"/>
        <w:adjustRightInd w:val="0"/>
        <w:spacing w:line="460" w:lineRule="atLeast"/>
        <w:rPr>
          <w:rFonts w:ascii="宋体" w:hAnsi="宋体" w:eastAsia="宋体" w:cs="黑体"/>
          <w:color w:val="auto"/>
          <w:sz w:val="36"/>
          <w:szCs w:val="24"/>
          <w:highlight w:val="none"/>
          <w:lang w:val="zh-CN"/>
        </w:rPr>
      </w:pPr>
      <w:r>
        <w:rPr>
          <w:rFonts w:hint="eastAsia" w:hAnsi="宋体"/>
          <w:b/>
          <w:color w:val="auto"/>
          <w:sz w:val="32"/>
          <w:szCs w:val="32"/>
          <w:highlight w:val="none"/>
        </w:rPr>
        <w:br w:type="page"/>
      </w:r>
      <w:r>
        <w:rPr>
          <w:rFonts w:hint="eastAsia" w:ascii="Calibri" w:hAnsi="Calibri" w:eastAsia="宋体" w:cs="黑体"/>
          <w:b/>
          <w:bCs/>
          <w:color w:val="auto"/>
          <w:sz w:val="30"/>
          <w:szCs w:val="24"/>
          <w:highlight w:val="none"/>
          <w:lang w:val="zh-CN"/>
        </w:rPr>
        <w:t>附件</w:t>
      </w:r>
      <w:r>
        <w:rPr>
          <w:rFonts w:hint="eastAsia" w:ascii="Calibri" w:hAnsi="Calibri" w:eastAsia="宋体" w:cs="黑体"/>
          <w:b/>
          <w:bCs/>
          <w:color w:val="auto"/>
          <w:sz w:val="30"/>
          <w:szCs w:val="24"/>
          <w:highlight w:val="none"/>
          <w:lang w:val="en-US" w:eastAsia="zh-CN"/>
        </w:rPr>
        <w:t>六</w:t>
      </w:r>
    </w:p>
    <w:p w14:paraId="174A877B">
      <w:pPr>
        <w:autoSpaceDE w:val="0"/>
        <w:autoSpaceDN w:val="0"/>
        <w:adjustRightInd w:val="0"/>
        <w:spacing w:line="460" w:lineRule="atLeast"/>
        <w:jc w:val="center"/>
        <w:rPr>
          <w:rFonts w:ascii="Calibri" w:hAnsi="Calibri" w:eastAsia="宋体" w:cs="黑体"/>
          <w:b/>
          <w:bCs/>
          <w:color w:val="auto"/>
          <w:sz w:val="30"/>
          <w:szCs w:val="24"/>
          <w:highlight w:val="none"/>
          <w:lang w:val="zh-CN"/>
        </w:rPr>
      </w:pPr>
      <w:r>
        <w:rPr>
          <w:rFonts w:hint="eastAsia" w:ascii="Calibri" w:hAnsi="Calibri" w:eastAsia="宋体" w:cs="黑体"/>
          <w:b/>
          <w:bCs/>
          <w:color w:val="auto"/>
          <w:sz w:val="30"/>
          <w:szCs w:val="24"/>
          <w:highlight w:val="none"/>
          <w:lang w:val="zh-CN"/>
        </w:rPr>
        <w:t>参加政府采购活动前3年内在经营活动中没有重大违法记录的声明函</w:t>
      </w:r>
    </w:p>
    <w:p w14:paraId="40FB299E">
      <w:pPr>
        <w:spacing w:line="360" w:lineRule="auto"/>
        <w:outlineLvl w:val="9"/>
        <w:rPr>
          <w:rFonts w:hint="eastAsia" w:ascii="宋体" w:hAnsi="宋体" w:eastAsia="宋体" w:cs="宋体"/>
          <w:color w:val="auto"/>
          <w:sz w:val="22"/>
          <w:szCs w:val="21"/>
          <w:highlight w:val="none"/>
          <w:u w:val="single"/>
          <w:lang w:eastAsia="zh-CN"/>
        </w:rPr>
      </w:pPr>
      <w:r>
        <w:rPr>
          <w:rFonts w:hint="eastAsia" w:ascii="宋体" w:hAnsi="宋体" w:eastAsia="宋体" w:cs="宋体"/>
          <w:color w:val="auto"/>
          <w:sz w:val="22"/>
          <w:szCs w:val="21"/>
          <w:highlight w:val="none"/>
          <w:u w:val="single"/>
          <w:lang w:eastAsia="zh-CN"/>
        </w:rPr>
        <w:t>泰顺县大安乡人民政府、温州荣祥项目管理咨询有限公司：</w:t>
      </w:r>
    </w:p>
    <w:p w14:paraId="37BDEB97">
      <w:pPr>
        <w:widowControl/>
        <w:snapToGrid w:val="0"/>
        <w:spacing w:line="460" w:lineRule="exact"/>
        <w:ind w:firstLine="440" w:firstLineChars="200"/>
        <w:jc w:val="left"/>
        <w:rPr>
          <w:rFonts w:ascii="宋体" w:hAnsi="宋体" w:eastAsia="宋体" w:cs="Courier New"/>
          <w:color w:val="auto"/>
          <w:sz w:val="22"/>
          <w:szCs w:val="24"/>
          <w:highlight w:val="none"/>
        </w:rPr>
      </w:pPr>
      <w:r>
        <w:rPr>
          <w:rFonts w:hint="eastAsia" w:ascii="宋体" w:hAnsi="宋体" w:eastAsia="宋体" w:cs="Courier New"/>
          <w:color w:val="auto"/>
          <w:sz w:val="22"/>
          <w:szCs w:val="24"/>
          <w:highlight w:val="none"/>
        </w:rPr>
        <w:t>我方</w:t>
      </w:r>
      <w:r>
        <w:rPr>
          <w:rFonts w:hint="eastAsia" w:ascii="宋体" w:hAnsi="宋体" w:eastAsia="宋体" w:cs="Courier New"/>
          <w:color w:val="auto"/>
          <w:sz w:val="22"/>
          <w:szCs w:val="24"/>
          <w:highlight w:val="none"/>
          <w:u w:val="single"/>
        </w:rPr>
        <w:t xml:space="preserve"> （供应商）  </w:t>
      </w:r>
      <w:r>
        <w:rPr>
          <w:rFonts w:hint="eastAsia" w:ascii="宋体" w:hAnsi="宋体" w:eastAsia="宋体" w:cs="Courier New"/>
          <w:color w:val="auto"/>
          <w:sz w:val="22"/>
          <w:szCs w:val="24"/>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F9342F1">
      <w:pPr>
        <w:widowControl/>
        <w:snapToGrid w:val="0"/>
        <w:spacing w:line="460" w:lineRule="exact"/>
        <w:ind w:firstLine="440" w:firstLineChars="200"/>
        <w:jc w:val="left"/>
        <w:rPr>
          <w:rFonts w:ascii="宋体" w:hAnsi="宋体" w:eastAsia="宋体" w:cs="Courier New"/>
          <w:color w:val="auto"/>
          <w:sz w:val="22"/>
          <w:szCs w:val="24"/>
          <w:highlight w:val="none"/>
        </w:rPr>
      </w:pPr>
    </w:p>
    <w:p w14:paraId="7DF29D52">
      <w:pPr>
        <w:widowControl/>
        <w:snapToGrid w:val="0"/>
        <w:spacing w:line="460" w:lineRule="exact"/>
        <w:ind w:firstLine="440" w:firstLineChars="200"/>
        <w:jc w:val="left"/>
        <w:rPr>
          <w:rFonts w:ascii="宋体" w:hAnsi="宋体" w:eastAsia="宋体" w:cs="Courier New"/>
          <w:color w:val="auto"/>
          <w:sz w:val="22"/>
          <w:szCs w:val="24"/>
          <w:highlight w:val="none"/>
        </w:rPr>
      </w:pPr>
      <w:r>
        <w:rPr>
          <w:rFonts w:hint="eastAsia" w:ascii="宋体" w:hAnsi="宋体" w:eastAsia="宋体" w:cs="Courier New"/>
          <w:color w:val="auto"/>
          <w:sz w:val="22"/>
          <w:szCs w:val="24"/>
          <w:highlight w:val="none"/>
        </w:rPr>
        <w:t>特此承诺！</w:t>
      </w:r>
    </w:p>
    <w:p w14:paraId="25FCCA9E">
      <w:pPr>
        <w:widowControl/>
        <w:snapToGrid w:val="0"/>
        <w:spacing w:line="460" w:lineRule="exact"/>
        <w:ind w:firstLine="440" w:firstLineChars="200"/>
        <w:jc w:val="left"/>
        <w:rPr>
          <w:rFonts w:ascii="宋体" w:hAnsi="宋体" w:eastAsia="宋体" w:cs="Courier New"/>
          <w:color w:val="auto"/>
          <w:sz w:val="22"/>
          <w:szCs w:val="24"/>
          <w:highlight w:val="none"/>
        </w:rPr>
      </w:pPr>
    </w:p>
    <w:p w14:paraId="55FC6782">
      <w:pPr>
        <w:widowControl w:val="0"/>
        <w:spacing w:line="480" w:lineRule="auto"/>
        <w:jc w:val="both"/>
        <w:rPr>
          <w:rFonts w:ascii="宋体" w:hAnsi="宋体" w:eastAsia="宋体" w:cs="黑体"/>
          <w:b/>
          <w:color w:val="auto"/>
          <w:kern w:val="0"/>
          <w:sz w:val="22"/>
          <w:szCs w:val="21"/>
          <w:highlight w:val="none"/>
          <w:lang w:val="en-US" w:eastAsia="zh-CN" w:bidi="ar-SA"/>
        </w:rPr>
      </w:pPr>
      <w:r>
        <w:rPr>
          <w:rFonts w:hint="eastAsia" w:ascii="宋体" w:hAnsi="宋体" w:eastAsia="宋体" w:cs="黑体"/>
          <w:color w:val="auto"/>
          <w:kern w:val="0"/>
          <w:sz w:val="22"/>
          <w:szCs w:val="21"/>
          <w:highlight w:val="none"/>
          <w:lang w:val="en-US" w:eastAsia="zh-CN" w:bidi="ar-SA"/>
        </w:rPr>
        <w:t>供应商全称：（盖章）</w:t>
      </w:r>
    </w:p>
    <w:p w14:paraId="0EB8B446">
      <w:pPr>
        <w:widowControl w:val="0"/>
        <w:spacing w:line="480" w:lineRule="auto"/>
        <w:jc w:val="both"/>
        <w:rPr>
          <w:rFonts w:ascii="宋体" w:hAnsi="宋体" w:eastAsia="宋体" w:cs="黑体"/>
          <w:b/>
          <w:color w:val="auto"/>
          <w:kern w:val="0"/>
          <w:sz w:val="22"/>
          <w:szCs w:val="21"/>
          <w:highlight w:val="none"/>
          <w:lang w:val="zh-CN" w:eastAsia="zh-CN" w:bidi="ar-SA"/>
        </w:rPr>
      </w:pPr>
      <w:r>
        <w:rPr>
          <w:rFonts w:hint="eastAsia" w:ascii="宋体" w:hAnsi="宋体" w:eastAsia="宋体" w:cs="黑体"/>
          <w:color w:val="auto"/>
          <w:kern w:val="0"/>
          <w:sz w:val="22"/>
          <w:szCs w:val="21"/>
          <w:highlight w:val="none"/>
          <w:lang w:val="en-US" w:eastAsia="zh-CN" w:bidi="ar-SA"/>
        </w:rPr>
        <w:t>法定代表人（签字或盖章）或</w:t>
      </w:r>
      <w:r>
        <w:rPr>
          <w:rFonts w:hint="eastAsia" w:ascii="宋体" w:hAnsi="宋体" w:eastAsia="宋体" w:cs="黑体"/>
          <w:color w:val="auto"/>
          <w:kern w:val="0"/>
          <w:sz w:val="22"/>
          <w:szCs w:val="21"/>
          <w:highlight w:val="none"/>
          <w:lang w:val="zh-CN" w:eastAsia="zh-CN" w:bidi="ar-SA"/>
        </w:rPr>
        <w:t>授权代表（签字）：</w:t>
      </w:r>
    </w:p>
    <w:p w14:paraId="35CF1453">
      <w:pPr>
        <w:wordWrap w:val="0"/>
        <w:spacing w:line="480" w:lineRule="auto"/>
        <w:ind w:right="420"/>
        <w:jc w:val="left"/>
        <w:outlineLvl w:val="9"/>
        <w:rPr>
          <w:rFonts w:hint="eastAsia" w:ascii="宋体" w:hAnsi="宋体" w:eastAsia="宋体" w:cs="黑体"/>
          <w:color w:val="auto"/>
          <w:kern w:val="0"/>
          <w:sz w:val="22"/>
          <w:szCs w:val="21"/>
          <w:highlight w:val="none"/>
          <w:lang w:val="en-US" w:eastAsia="zh-CN" w:bidi="ar-SA"/>
        </w:rPr>
      </w:pPr>
      <w:r>
        <w:rPr>
          <w:rFonts w:hint="eastAsia" w:ascii="宋体" w:hAnsi="宋体" w:eastAsia="宋体" w:cs="黑体"/>
          <w:color w:val="auto"/>
          <w:kern w:val="0"/>
          <w:sz w:val="22"/>
          <w:szCs w:val="21"/>
          <w:highlight w:val="none"/>
          <w:lang w:val="en-US" w:eastAsia="zh-CN" w:bidi="ar-SA"/>
        </w:rPr>
        <w:t>日期</w:t>
      </w:r>
    </w:p>
    <w:p w14:paraId="144DAC0C">
      <w:pPr>
        <w:autoSpaceDE w:val="0"/>
        <w:autoSpaceDN w:val="0"/>
        <w:adjustRightInd w:val="0"/>
        <w:spacing w:line="440" w:lineRule="atLeast"/>
        <w:rPr>
          <w:rFonts w:ascii="宋体" w:hAnsi="宋体" w:cs="Courier New"/>
          <w:b/>
          <w:color w:val="auto"/>
          <w:kern w:val="0"/>
          <w:sz w:val="22"/>
          <w:highlight w:val="none"/>
        </w:rPr>
      </w:pPr>
    </w:p>
    <w:p w14:paraId="705A7D8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BFB0238">
      <w:pPr>
        <w:wordWrap w:val="0"/>
        <w:spacing w:line="400" w:lineRule="exact"/>
        <w:ind w:right="420"/>
        <w:jc w:val="left"/>
        <w:outlineLvl w:val="9"/>
        <w:rPr>
          <w:rFonts w:hint="default" w:ascii="宋体" w:hAnsi="宋体" w:eastAsia="宋体" w:cs="宋体"/>
          <w:b/>
          <w:bCs/>
          <w:color w:val="auto"/>
          <w:sz w:val="32"/>
          <w:szCs w:val="32"/>
          <w:highlight w:val="none"/>
          <w:lang w:val="en-US" w:eastAsia="zh-CN"/>
        </w:rPr>
      </w:pPr>
      <w:r>
        <w:rPr>
          <w:rFonts w:hint="eastAsia" w:ascii="宋体" w:hAnsi="宋体" w:eastAsia="宋体" w:cs="Times New Roman"/>
          <w:b/>
          <w:color w:val="auto"/>
          <w:kern w:val="0"/>
          <w:sz w:val="32"/>
          <w:szCs w:val="32"/>
          <w:highlight w:val="none"/>
          <w:lang w:val="zh-CN" w:eastAsia="zh-CN" w:bidi="ar-SA"/>
        </w:rPr>
        <w:t>附件</w:t>
      </w:r>
      <w:bookmarkStart w:id="37" w:name="_Toc32552_WPSOffice_Level3"/>
      <w:r>
        <w:rPr>
          <w:rFonts w:hint="eastAsia" w:ascii="宋体" w:hAnsi="宋体" w:eastAsia="宋体" w:cs="Times New Roman"/>
          <w:b/>
          <w:color w:val="auto"/>
          <w:kern w:val="0"/>
          <w:sz w:val="32"/>
          <w:szCs w:val="32"/>
          <w:highlight w:val="none"/>
          <w:lang w:val="en-US" w:eastAsia="zh-CN" w:bidi="ar-SA"/>
        </w:rPr>
        <w:t>七</w:t>
      </w:r>
    </w:p>
    <w:p w14:paraId="5839C27C">
      <w:pPr>
        <w:autoSpaceDE w:val="0"/>
        <w:autoSpaceDN w:val="0"/>
        <w:adjustRightInd w:val="0"/>
        <w:spacing w:line="360" w:lineRule="atLeast"/>
        <w:jc w:val="center"/>
        <w:textAlignment w:val="baseline"/>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法定代表人授权书</w:t>
      </w:r>
      <w:bookmarkEnd w:id="37"/>
    </w:p>
    <w:p w14:paraId="2D7BA888">
      <w:pPr>
        <w:autoSpaceDE w:val="0"/>
        <w:autoSpaceDN w:val="0"/>
        <w:adjustRightInd w:val="0"/>
        <w:spacing w:line="360" w:lineRule="exact"/>
        <w:jc w:val="center"/>
        <w:outlineLvl w:val="9"/>
        <w:rPr>
          <w:rFonts w:hint="eastAsia" w:ascii="宋体" w:hAnsi="宋体" w:eastAsia="宋体" w:cs="宋体"/>
          <w:color w:val="auto"/>
          <w:sz w:val="36"/>
          <w:szCs w:val="22"/>
          <w:highlight w:val="none"/>
          <w:lang w:val="zh-CN"/>
        </w:rPr>
      </w:pPr>
    </w:p>
    <w:p w14:paraId="5F41F061">
      <w:pPr>
        <w:spacing w:line="360" w:lineRule="auto"/>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u w:val="single"/>
          <w:lang w:eastAsia="zh-CN"/>
        </w:rPr>
        <w:t>泰顺县大安乡人民政府</w:t>
      </w:r>
      <w:r>
        <w:rPr>
          <w:rFonts w:hint="eastAsia" w:ascii="宋体" w:hAnsi="宋体" w:eastAsia="宋体" w:cs="宋体"/>
          <w:color w:val="auto"/>
          <w:sz w:val="22"/>
          <w:szCs w:val="21"/>
          <w:highlight w:val="none"/>
          <w:lang w:val="zh-CN"/>
        </w:rPr>
        <w:t>：</w:t>
      </w:r>
    </w:p>
    <w:p w14:paraId="5211D020">
      <w:pPr>
        <w:spacing w:line="360" w:lineRule="auto"/>
        <w:ind w:firstLine="440" w:firstLineChars="2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本授权委托书声明：我</w:t>
      </w:r>
      <w:r>
        <w:rPr>
          <w:rFonts w:hint="eastAsia" w:ascii="宋体" w:hAnsi="宋体" w:eastAsia="宋体" w:cs="宋体"/>
          <w:color w:val="auto"/>
          <w:sz w:val="22"/>
          <w:szCs w:val="21"/>
          <w:highlight w:val="none"/>
          <w:u w:val="single"/>
        </w:rPr>
        <w:t xml:space="preserve">  （法定代表人姓名）  </w:t>
      </w:r>
      <w:r>
        <w:rPr>
          <w:rFonts w:hint="eastAsia" w:ascii="宋体" w:hAnsi="宋体" w:eastAsia="宋体" w:cs="宋体"/>
          <w:color w:val="auto"/>
          <w:sz w:val="22"/>
          <w:szCs w:val="21"/>
          <w:highlight w:val="none"/>
        </w:rPr>
        <w:t>系</w:t>
      </w:r>
      <w:r>
        <w:rPr>
          <w:rFonts w:hint="eastAsia" w:ascii="宋体" w:hAnsi="宋体" w:eastAsia="宋体" w:cs="宋体"/>
          <w:color w:val="auto"/>
          <w:sz w:val="22"/>
          <w:szCs w:val="21"/>
          <w:highlight w:val="none"/>
          <w:u w:val="single"/>
        </w:rPr>
        <w:t xml:space="preserve">  （供应商名称）  </w:t>
      </w:r>
      <w:r>
        <w:rPr>
          <w:rFonts w:hint="eastAsia" w:ascii="宋体" w:hAnsi="宋体" w:eastAsia="宋体" w:cs="宋体"/>
          <w:color w:val="auto"/>
          <w:sz w:val="22"/>
          <w:szCs w:val="21"/>
          <w:highlight w:val="none"/>
        </w:rPr>
        <w:t>的法定代表人，现授权委托</w:t>
      </w:r>
      <w:r>
        <w:rPr>
          <w:rFonts w:hint="eastAsia" w:ascii="宋体" w:hAnsi="宋体" w:eastAsia="宋体" w:cs="宋体"/>
          <w:color w:val="auto"/>
          <w:sz w:val="22"/>
          <w:szCs w:val="21"/>
          <w:highlight w:val="none"/>
          <w:u w:val="single"/>
        </w:rPr>
        <w:t xml:space="preserve">  （单位名称）   </w:t>
      </w:r>
      <w:r>
        <w:rPr>
          <w:rFonts w:hint="eastAsia" w:ascii="宋体" w:hAnsi="宋体" w:eastAsia="宋体" w:cs="宋体"/>
          <w:color w:val="auto"/>
          <w:sz w:val="22"/>
          <w:szCs w:val="21"/>
          <w:highlight w:val="none"/>
        </w:rPr>
        <w:t>的</w:t>
      </w:r>
      <w:r>
        <w:rPr>
          <w:rFonts w:hint="eastAsia" w:ascii="宋体" w:hAnsi="宋体" w:eastAsia="宋体" w:cs="宋体"/>
          <w:color w:val="auto"/>
          <w:sz w:val="22"/>
          <w:szCs w:val="21"/>
          <w:highlight w:val="none"/>
          <w:u w:val="single"/>
        </w:rPr>
        <w:t xml:space="preserve">  （授权代表姓名）  </w:t>
      </w:r>
      <w:r>
        <w:rPr>
          <w:rFonts w:hint="eastAsia" w:ascii="宋体" w:hAnsi="宋体" w:eastAsia="宋体" w:cs="宋体"/>
          <w:color w:val="auto"/>
          <w:sz w:val="22"/>
          <w:szCs w:val="21"/>
          <w:highlight w:val="none"/>
        </w:rPr>
        <w:t>为我公司法定代表人授权代表，参加贵处组织的</w:t>
      </w:r>
      <w:r>
        <w:rPr>
          <w:rFonts w:hint="eastAsia" w:ascii="宋体" w:hAnsi="宋体" w:eastAsia="宋体" w:cs="宋体"/>
          <w:color w:val="auto"/>
          <w:sz w:val="22"/>
          <w:szCs w:val="21"/>
          <w:highlight w:val="none"/>
          <w:u w:val="single"/>
          <w:lang w:val="zh-CN"/>
        </w:rPr>
        <w:t>2025-2026泰顺县大安乡环卫保洁服务</w:t>
      </w:r>
      <w:r>
        <w:rPr>
          <w:rFonts w:hint="eastAsia" w:ascii="宋体" w:hAnsi="宋体" w:eastAsia="宋体" w:cs="宋体"/>
          <w:color w:val="auto"/>
          <w:sz w:val="22"/>
          <w:szCs w:val="21"/>
          <w:highlight w:val="none"/>
        </w:rPr>
        <w:t>（项目编号：</w:t>
      </w:r>
      <w:r>
        <w:rPr>
          <w:rFonts w:hint="eastAsia" w:ascii="宋体" w:hAnsi="宋体" w:eastAsia="宋体" w:cs="宋体"/>
          <w:color w:val="auto"/>
          <w:sz w:val="22"/>
          <w:szCs w:val="21"/>
          <w:highlight w:val="none"/>
          <w:u w:val="single"/>
          <w:lang w:eastAsia="zh-CN"/>
        </w:rPr>
        <w:t>TSCG202509001</w:t>
      </w:r>
      <w:r>
        <w:rPr>
          <w:rFonts w:hint="eastAsia" w:ascii="宋体" w:hAnsi="宋体" w:eastAsia="宋体" w:cs="宋体"/>
          <w:color w:val="auto"/>
          <w:sz w:val="22"/>
          <w:szCs w:val="21"/>
          <w:highlight w:val="none"/>
        </w:rPr>
        <w:t>）项目投标，全权处理本次招投标活动中的一切事宜，我承认授权代表全权代表我所签署的本项目的投标（响应）文件的内容。</w:t>
      </w:r>
    </w:p>
    <w:p w14:paraId="0A5D4B69">
      <w:pPr>
        <w:spacing w:line="360" w:lineRule="auto"/>
        <w:ind w:firstLine="440" w:firstLineChars="2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授权代表无转授权，特此授权。</w:t>
      </w:r>
    </w:p>
    <w:p w14:paraId="0FAE3A87">
      <w:pPr>
        <w:spacing w:line="360" w:lineRule="auto"/>
        <w:ind w:left="2100" w:leftChars="1000" w:firstLine="1320" w:firstLineChars="600"/>
        <w:outlineLvl w:val="9"/>
        <w:rPr>
          <w:rFonts w:hint="eastAsia" w:ascii="宋体" w:hAnsi="宋体" w:eastAsia="宋体" w:cs="宋体"/>
          <w:color w:val="auto"/>
          <w:sz w:val="22"/>
          <w:szCs w:val="21"/>
          <w:highlight w:val="none"/>
          <w:u w:val="single"/>
        </w:rPr>
      </w:pPr>
      <w:r>
        <w:rPr>
          <w:rFonts w:hint="eastAsia" w:ascii="宋体" w:hAnsi="宋体" w:eastAsia="宋体" w:cs="宋体"/>
          <w:color w:val="auto"/>
          <w:sz w:val="22"/>
          <w:szCs w:val="21"/>
          <w:highlight w:val="none"/>
        </w:rPr>
        <w:t>授权代表：</w:t>
      </w:r>
      <w:r>
        <w:rPr>
          <w:rFonts w:hint="eastAsia" w:ascii="宋体" w:hAnsi="宋体" w:eastAsia="宋体" w:cs="宋体"/>
          <w:b/>
          <w:bCs/>
          <w:color w:val="auto"/>
          <w:sz w:val="22"/>
          <w:szCs w:val="21"/>
          <w:highlight w:val="none"/>
          <w:u w:val="single"/>
        </w:rPr>
        <w:t>（签字）</w:t>
      </w:r>
      <w:r>
        <w:rPr>
          <w:rFonts w:hint="eastAsia" w:ascii="宋体" w:hAnsi="宋体" w:eastAsia="宋体" w:cs="宋体"/>
          <w:color w:val="auto"/>
          <w:sz w:val="22"/>
          <w:szCs w:val="21"/>
          <w:highlight w:val="none"/>
        </w:rPr>
        <w:t xml:space="preserve"> 性别：</w:t>
      </w:r>
      <w:r>
        <w:rPr>
          <w:rFonts w:hint="eastAsia" w:ascii="宋体" w:hAnsi="宋体" w:eastAsia="宋体" w:cs="宋体"/>
          <w:color w:val="auto"/>
          <w:sz w:val="22"/>
          <w:szCs w:val="21"/>
          <w:highlight w:val="none"/>
          <w:u w:val="single"/>
        </w:rPr>
        <w:t xml:space="preserve">    </w:t>
      </w:r>
      <w:r>
        <w:rPr>
          <w:rFonts w:hint="eastAsia" w:ascii="宋体" w:hAnsi="宋体" w:eastAsia="宋体" w:cs="宋体"/>
          <w:color w:val="auto"/>
          <w:sz w:val="22"/>
          <w:szCs w:val="21"/>
          <w:highlight w:val="none"/>
        </w:rPr>
        <w:t>年龄：</w:t>
      </w:r>
      <w:r>
        <w:rPr>
          <w:rFonts w:hint="eastAsia" w:ascii="宋体" w:hAnsi="宋体" w:eastAsia="宋体" w:cs="宋体"/>
          <w:color w:val="auto"/>
          <w:sz w:val="22"/>
          <w:szCs w:val="21"/>
          <w:highlight w:val="none"/>
          <w:u w:val="single"/>
        </w:rPr>
        <w:t xml:space="preserve">      </w:t>
      </w:r>
    </w:p>
    <w:p w14:paraId="207E3227">
      <w:pPr>
        <w:spacing w:line="360" w:lineRule="auto"/>
        <w:ind w:left="2100" w:leftChars="1000" w:firstLine="1320" w:firstLineChars="6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详细通讯地址：</w:t>
      </w:r>
      <w:r>
        <w:rPr>
          <w:rFonts w:hint="eastAsia" w:ascii="宋体" w:hAnsi="宋体" w:eastAsia="宋体" w:cs="宋体"/>
          <w:color w:val="auto"/>
          <w:sz w:val="22"/>
          <w:szCs w:val="21"/>
          <w:highlight w:val="none"/>
          <w:u w:val="single"/>
        </w:rPr>
        <w:t xml:space="preserve">                     </w:t>
      </w:r>
    </w:p>
    <w:p w14:paraId="54D3AAEF">
      <w:pPr>
        <w:spacing w:line="360" w:lineRule="auto"/>
        <w:ind w:left="2100" w:leftChars="1000" w:firstLine="1320" w:firstLineChars="6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电话：</w:t>
      </w:r>
      <w:r>
        <w:rPr>
          <w:rFonts w:hint="eastAsia" w:ascii="宋体" w:hAnsi="宋体" w:eastAsia="宋体" w:cs="宋体"/>
          <w:color w:val="auto"/>
          <w:sz w:val="22"/>
          <w:szCs w:val="21"/>
          <w:highlight w:val="none"/>
          <w:u w:val="single"/>
        </w:rPr>
        <w:t xml:space="preserve">                    </w:t>
      </w:r>
    </w:p>
    <w:p w14:paraId="45D5257E">
      <w:pPr>
        <w:spacing w:line="360" w:lineRule="auto"/>
        <w:ind w:left="2100" w:leftChars="1000" w:firstLine="1320" w:firstLineChars="6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lang w:val="en-US" w:eastAsia="zh-CN"/>
        </w:rPr>
        <w:t>邮政编码</w:t>
      </w: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u w:val="single"/>
        </w:rPr>
        <w:t xml:space="preserve">          </w:t>
      </w:r>
    </w:p>
    <w:p w14:paraId="28C3296D">
      <w:pPr>
        <w:spacing w:line="360" w:lineRule="auto"/>
        <w:ind w:left="2100" w:leftChars="1000" w:firstLine="1320" w:firstLineChars="6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供应商</w:t>
      </w:r>
      <w:r>
        <w:rPr>
          <w:rFonts w:hint="eastAsia" w:ascii="宋体" w:hAnsi="宋体" w:eastAsia="宋体" w:cs="宋体"/>
          <w:color w:val="auto"/>
          <w:sz w:val="22"/>
          <w:szCs w:val="21"/>
          <w:highlight w:val="none"/>
          <w:lang w:val="en-US" w:eastAsia="zh-CN"/>
        </w:rPr>
        <w:t>名称</w:t>
      </w: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u w:val="single"/>
        </w:rPr>
        <w:t xml:space="preserve">         （盖章）     </w:t>
      </w:r>
    </w:p>
    <w:p w14:paraId="5C2D9927">
      <w:pPr>
        <w:spacing w:line="360" w:lineRule="auto"/>
        <w:ind w:left="2100" w:leftChars="1000" w:firstLine="1320" w:firstLineChars="6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法定代表人：</w:t>
      </w:r>
      <w:r>
        <w:rPr>
          <w:rFonts w:hint="eastAsia" w:ascii="宋体" w:hAnsi="宋体" w:eastAsia="宋体" w:cs="宋体"/>
          <w:color w:val="auto"/>
          <w:sz w:val="22"/>
          <w:szCs w:val="21"/>
          <w:highlight w:val="none"/>
          <w:u w:val="single"/>
        </w:rPr>
        <w:t xml:space="preserve">       （签字或盖章）   </w:t>
      </w:r>
    </w:p>
    <w:p w14:paraId="513E815F">
      <w:pPr>
        <w:spacing w:line="360" w:lineRule="auto"/>
        <w:ind w:left="2100" w:leftChars="1000" w:firstLine="1320" w:firstLineChars="6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授权委托日期：</w:t>
      </w:r>
      <w:r>
        <w:rPr>
          <w:rFonts w:hint="eastAsia" w:ascii="宋体" w:hAnsi="宋体" w:eastAsia="宋体" w:cs="宋体"/>
          <w:color w:val="auto"/>
          <w:sz w:val="22"/>
          <w:szCs w:val="21"/>
          <w:highlight w:val="none"/>
          <w:u w:val="single"/>
        </w:rPr>
        <w:t xml:space="preserve">     </w:t>
      </w:r>
      <w:r>
        <w:rPr>
          <w:rFonts w:hint="eastAsia" w:ascii="宋体" w:hAnsi="宋体" w:eastAsia="宋体" w:cs="宋体"/>
          <w:color w:val="auto"/>
          <w:sz w:val="22"/>
          <w:szCs w:val="21"/>
          <w:highlight w:val="none"/>
        </w:rPr>
        <w:t>年</w:t>
      </w:r>
      <w:r>
        <w:rPr>
          <w:rFonts w:hint="eastAsia" w:ascii="宋体" w:hAnsi="宋体" w:eastAsia="宋体" w:cs="宋体"/>
          <w:color w:val="auto"/>
          <w:sz w:val="22"/>
          <w:szCs w:val="21"/>
          <w:highlight w:val="none"/>
          <w:u w:val="single"/>
        </w:rPr>
        <w:t xml:space="preserve">     </w:t>
      </w:r>
      <w:r>
        <w:rPr>
          <w:rFonts w:hint="eastAsia" w:ascii="宋体" w:hAnsi="宋体" w:eastAsia="宋体" w:cs="宋体"/>
          <w:color w:val="auto"/>
          <w:sz w:val="22"/>
          <w:szCs w:val="21"/>
          <w:highlight w:val="none"/>
        </w:rPr>
        <w:t>月</w:t>
      </w:r>
      <w:r>
        <w:rPr>
          <w:rFonts w:hint="eastAsia" w:ascii="宋体" w:hAnsi="宋体" w:eastAsia="宋体" w:cs="宋体"/>
          <w:color w:val="auto"/>
          <w:sz w:val="22"/>
          <w:szCs w:val="21"/>
          <w:highlight w:val="none"/>
          <w:u w:val="single"/>
        </w:rPr>
        <w:t xml:space="preserve">     </w:t>
      </w:r>
      <w:r>
        <w:rPr>
          <w:rFonts w:hint="eastAsia" w:ascii="宋体" w:hAnsi="宋体" w:eastAsia="宋体" w:cs="宋体"/>
          <w:color w:val="auto"/>
          <w:sz w:val="22"/>
          <w:szCs w:val="21"/>
          <w:highlight w:val="none"/>
        </w:rPr>
        <w:t>日</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2F6A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9673" w:type="dxa"/>
            <w:noWrap w:val="0"/>
            <w:vAlign w:val="center"/>
          </w:tcPr>
          <w:p w14:paraId="0F8E6E52">
            <w:pPr>
              <w:autoSpaceDE w:val="0"/>
              <w:autoSpaceDN w:val="0"/>
              <w:adjustRightInd w:val="0"/>
              <w:spacing w:line="440" w:lineRule="atLeast"/>
              <w:jc w:val="center"/>
              <w:outlineLvl w:val="9"/>
              <w:rPr>
                <w:rFonts w:ascii="宋体" w:hAnsi="宋体" w:eastAsia="宋体" w:cs="仿宋_GB2312"/>
                <w:color w:val="auto"/>
                <w:sz w:val="22"/>
                <w:szCs w:val="21"/>
                <w:highlight w:val="none"/>
              </w:rPr>
            </w:pPr>
            <w:r>
              <w:rPr>
                <w:rFonts w:ascii="宋体" w:hAnsi="宋体" w:eastAsia="宋体" w:cs="仿宋_GB2312"/>
                <w:color w:val="auto"/>
                <w:sz w:val="22"/>
                <w:szCs w:val="21"/>
                <w:highlight w:val="none"/>
              </w:rPr>
              <w:t>黏贴授权代表身份证复印件或影印件（正反面）</w:t>
            </w:r>
          </w:p>
        </w:tc>
      </w:tr>
      <w:tr w14:paraId="72AD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9673" w:type="dxa"/>
            <w:noWrap w:val="0"/>
            <w:vAlign w:val="center"/>
          </w:tcPr>
          <w:p w14:paraId="592F56FE">
            <w:pPr>
              <w:autoSpaceDE w:val="0"/>
              <w:autoSpaceDN w:val="0"/>
              <w:adjustRightInd w:val="0"/>
              <w:spacing w:line="440" w:lineRule="atLeast"/>
              <w:jc w:val="center"/>
              <w:outlineLvl w:val="9"/>
              <w:rPr>
                <w:rFonts w:ascii="宋体" w:hAnsi="宋体" w:eastAsia="宋体" w:cs="仿宋_GB2312"/>
                <w:color w:val="auto"/>
                <w:sz w:val="22"/>
                <w:szCs w:val="21"/>
                <w:highlight w:val="none"/>
              </w:rPr>
            </w:pPr>
            <w:r>
              <w:rPr>
                <w:rFonts w:ascii="宋体" w:hAnsi="宋体" w:eastAsia="宋体" w:cs="仿宋_GB2312"/>
                <w:color w:val="auto"/>
                <w:sz w:val="22"/>
                <w:szCs w:val="21"/>
                <w:highlight w:val="none"/>
              </w:rPr>
              <w:t>黏贴</w:t>
            </w:r>
            <w:r>
              <w:rPr>
                <w:rFonts w:hint="eastAsia" w:ascii="宋体" w:hAnsi="宋体" w:eastAsia="宋体" w:cs="仿宋_GB2312"/>
                <w:color w:val="auto"/>
                <w:sz w:val="22"/>
                <w:szCs w:val="21"/>
                <w:highlight w:val="none"/>
              </w:rPr>
              <w:t>法定代表人</w:t>
            </w:r>
            <w:r>
              <w:rPr>
                <w:rFonts w:ascii="宋体" w:hAnsi="宋体" w:eastAsia="宋体" w:cs="仿宋_GB2312"/>
                <w:color w:val="auto"/>
                <w:sz w:val="22"/>
                <w:szCs w:val="21"/>
                <w:highlight w:val="none"/>
              </w:rPr>
              <w:t>身份证复印件或影印件（正反面）</w:t>
            </w:r>
          </w:p>
        </w:tc>
      </w:tr>
    </w:tbl>
    <w:p w14:paraId="675EC22B">
      <w:pPr>
        <w:adjustRightInd w:val="0"/>
        <w:snapToGrid w:val="0"/>
        <w:spacing w:line="400" w:lineRule="exact"/>
        <w:outlineLvl w:val="9"/>
        <w:rPr>
          <w:rFonts w:hint="eastAsia" w:hAnsi="宋体"/>
          <w:b/>
          <w:color w:val="auto"/>
          <w:sz w:val="32"/>
          <w:szCs w:val="32"/>
          <w:highlight w:val="none"/>
        </w:rPr>
      </w:pPr>
      <w:r>
        <w:rPr>
          <w:rFonts w:hint="eastAsia" w:ascii="宋体" w:hAnsi="宋体" w:eastAsia="宋体" w:cs="宋体"/>
          <w:color w:val="auto"/>
          <w:sz w:val="22"/>
          <w:szCs w:val="21"/>
          <w:highlight w:val="none"/>
          <w:lang w:bidi="ar"/>
        </w:rPr>
        <w:t>▲</w:t>
      </w:r>
      <w:r>
        <w:rPr>
          <w:rFonts w:hint="eastAsia" w:ascii="宋体" w:hAnsi="宋体" w:eastAsia="宋体" w:cs="Courier New"/>
          <w:color w:val="auto"/>
          <w:kern w:val="0"/>
          <w:sz w:val="22"/>
          <w:szCs w:val="24"/>
          <w:highlight w:val="none"/>
        </w:rPr>
        <w:t>授权委托人参加投标，不提供此表格的将视为没有实质性响应竞争性磋商文件。</w:t>
      </w:r>
      <w:r>
        <w:rPr>
          <w:rFonts w:hint="eastAsia" w:hAnsi="宋体"/>
          <w:b/>
          <w:color w:val="auto"/>
          <w:sz w:val="32"/>
          <w:szCs w:val="32"/>
          <w:highlight w:val="none"/>
        </w:rPr>
        <w:br w:type="page"/>
      </w:r>
    </w:p>
    <w:p w14:paraId="4CFF41F1">
      <w:pPr>
        <w:wordWrap w:val="0"/>
        <w:spacing w:line="400" w:lineRule="exact"/>
        <w:ind w:right="420"/>
        <w:jc w:val="left"/>
        <w:outlineLvl w:val="9"/>
        <w:rPr>
          <w:rFonts w:hint="eastAsia" w:ascii="宋体" w:hAnsi="宋体" w:eastAsia="宋体" w:cs="Times New Roman"/>
          <w:b/>
          <w:color w:val="auto"/>
          <w:kern w:val="0"/>
          <w:sz w:val="32"/>
          <w:szCs w:val="32"/>
          <w:highlight w:val="none"/>
          <w:lang w:val="en-US" w:eastAsia="zh-CN" w:bidi="ar-SA"/>
        </w:rPr>
      </w:pPr>
      <w:r>
        <w:rPr>
          <w:rFonts w:hint="eastAsia" w:ascii="宋体" w:hAnsi="宋体" w:eastAsia="宋体" w:cs="Times New Roman"/>
          <w:b/>
          <w:color w:val="auto"/>
          <w:kern w:val="0"/>
          <w:sz w:val="32"/>
          <w:szCs w:val="32"/>
          <w:highlight w:val="none"/>
          <w:lang w:val="zh-CN" w:eastAsia="zh-CN" w:bidi="ar-SA"/>
        </w:rPr>
        <w:t>附件</w:t>
      </w:r>
      <w:r>
        <w:rPr>
          <w:rFonts w:hint="eastAsia" w:ascii="宋体" w:hAnsi="宋体" w:eastAsia="宋体" w:cs="Times New Roman"/>
          <w:b/>
          <w:color w:val="auto"/>
          <w:kern w:val="0"/>
          <w:sz w:val="32"/>
          <w:szCs w:val="32"/>
          <w:highlight w:val="none"/>
          <w:lang w:val="en-US" w:eastAsia="zh-CN" w:bidi="ar-SA"/>
        </w:rPr>
        <w:t>八</w:t>
      </w:r>
    </w:p>
    <w:p w14:paraId="5BEADA83">
      <w:pPr>
        <w:autoSpaceDE w:val="0"/>
        <w:autoSpaceDN w:val="0"/>
        <w:adjustRightInd w:val="0"/>
        <w:spacing w:line="360" w:lineRule="atLeast"/>
        <w:jc w:val="center"/>
        <w:textAlignment w:val="baseline"/>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4530C665">
      <w:pPr>
        <w:pStyle w:val="16"/>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eastAsia="zh-CN"/>
        </w:rPr>
        <w:t>泰顺县大安乡人民政府</w:t>
      </w:r>
      <w:r>
        <w:rPr>
          <w:rFonts w:hint="eastAsia" w:ascii="宋体" w:hAnsi="宋体" w:eastAsia="宋体" w:cs="宋体"/>
          <w:color w:val="auto"/>
          <w:sz w:val="22"/>
          <w:szCs w:val="22"/>
          <w:highlight w:val="none"/>
        </w:rPr>
        <w:t>：</w:t>
      </w:r>
    </w:p>
    <w:p w14:paraId="0FAB7ADB">
      <w:pPr>
        <w:autoSpaceDE w:val="0"/>
        <w:autoSpaceDN w:val="0"/>
        <w:adjustRightInd w:val="0"/>
        <w:spacing w:line="440" w:lineRule="atLeast"/>
        <w:ind w:firstLine="440" w:firstLineChars="200"/>
        <w:rPr>
          <w:rFonts w:ascii="宋体" w:cs="仿宋_GB2312"/>
          <w:color w:val="auto"/>
          <w:sz w:val="22"/>
          <w:szCs w:val="22"/>
          <w:highlight w:val="none"/>
          <w:lang w:val="zh-CN"/>
        </w:rPr>
      </w:pP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（供应商全称）授权</w:t>
      </w:r>
      <w:r>
        <w:rPr>
          <w:rFonts w:ascii="宋体" w:cs="仿宋_GB2312"/>
          <w:color w:val="auto"/>
          <w:sz w:val="22"/>
          <w:szCs w:val="22"/>
          <w:highlight w:val="none"/>
          <w:u w:val="single"/>
          <w:lang w:val="zh-CN"/>
        </w:rPr>
        <w:t xml:space="preserve">              </w:t>
      </w:r>
      <w:r>
        <w:rPr>
          <w:rFonts w:ascii="宋体" w:cs="仿宋_GB2312"/>
          <w:color w:val="auto"/>
          <w:sz w:val="22"/>
          <w:szCs w:val="22"/>
          <w:highlight w:val="none"/>
          <w:lang w:val="zh-CN"/>
        </w:rPr>
        <w:t xml:space="preserve"> </w:t>
      </w:r>
      <w:r>
        <w:rPr>
          <w:rFonts w:hint="eastAsia" w:ascii="宋体" w:cs="仿宋_GB2312"/>
          <w:color w:val="auto"/>
          <w:sz w:val="22"/>
          <w:szCs w:val="22"/>
          <w:highlight w:val="none"/>
          <w:lang w:val="zh-CN"/>
        </w:rPr>
        <w:t>（授权代表名称）</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（职务、职称）为授权代表，参加贵方组织的</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（招标项目名称）（括号内填投标编号）招标的有关活动，为此：并对</w:t>
      </w:r>
      <w:r>
        <w:rPr>
          <w:rFonts w:hint="eastAsia"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项目（招标项目名称）进行投标。</w:t>
      </w:r>
      <w:r>
        <w:rPr>
          <w:rFonts w:ascii="宋体" w:cs="仿宋_GB2312"/>
          <w:color w:val="auto"/>
          <w:sz w:val="22"/>
          <w:szCs w:val="22"/>
          <w:highlight w:val="none"/>
          <w:lang w:val="zh-CN"/>
        </w:rPr>
        <w:t xml:space="preserve">   </w:t>
      </w:r>
    </w:p>
    <w:p w14:paraId="39DA13A9">
      <w:pPr>
        <w:autoSpaceDE w:val="0"/>
        <w:autoSpaceDN w:val="0"/>
        <w:adjustRightInd w:val="0"/>
        <w:spacing w:line="400" w:lineRule="exact"/>
        <w:ind w:firstLine="440" w:firstLineChars="200"/>
        <w:rPr>
          <w:rFonts w:ascii="宋体"/>
          <w:color w:val="auto"/>
          <w:sz w:val="22"/>
          <w:highlight w:val="none"/>
          <w:lang w:val="zh-CN"/>
        </w:rPr>
      </w:pPr>
      <w:r>
        <w:rPr>
          <w:rFonts w:hint="eastAsia" w:ascii="宋体"/>
          <w:color w:val="auto"/>
          <w:sz w:val="22"/>
          <w:highlight w:val="none"/>
          <w:lang w:val="zh-CN"/>
        </w:rPr>
        <w:t>“电子加密投标文件”：在线上传递交。</w:t>
      </w:r>
    </w:p>
    <w:p w14:paraId="5033A9E9">
      <w:pPr>
        <w:autoSpaceDE w:val="0"/>
        <w:autoSpaceDN w:val="0"/>
        <w:adjustRightInd w:val="0"/>
        <w:spacing w:line="400" w:lineRule="exact"/>
        <w:ind w:firstLine="440" w:firstLineChars="200"/>
        <w:rPr>
          <w:rFonts w:ascii="宋体"/>
          <w:color w:val="auto"/>
          <w:sz w:val="22"/>
          <w:highlight w:val="none"/>
          <w:lang w:val="zh-CN"/>
        </w:rPr>
      </w:pPr>
      <w:r>
        <w:rPr>
          <w:rFonts w:hint="eastAsia" w:ascii="宋体"/>
          <w:color w:val="auto"/>
          <w:sz w:val="22"/>
          <w:highlight w:val="none"/>
          <w:lang w:val="zh-CN"/>
        </w:rPr>
        <w:t>2、保证遵守招标文件中的有关规定和收费标准。</w:t>
      </w:r>
    </w:p>
    <w:p w14:paraId="0E0C5012">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3</w:t>
      </w:r>
      <w:r>
        <w:rPr>
          <w:rFonts w:hint="eastAsia" w:ascii="宋体"/>
          <w:color w:val="auto"/>
          <w:sz w:val="22"/>
          <w:highlight w:val="none"/>
          <w:lang w:val="zh-CN"/>
        </w:rPr>
        <w:t>、保证忠实地执行采购单位、</w:t>
      </w:r>
      <w:r>
        <w:rPr>
          <w:rFonts w:hint="eastAsia" w:ascii="宋体" w:cs="??_GB2312"/>
          <w:color w:val="auto"/>
          <w:sz w:val="22"/>
          <w:highlight w:val="none"/>
          <w:lang w:val="zh-CN"/>
        </w:rPr>
        <w:t>中标（成交）供应商</w:t>
      </w:r>
      <w:r>
        <w:rPr>
          <w:rFonts w:hint="eastAsia" w:ascii="宋体"/>
          <w:color w:val="auto"/>
          <w:sz w:val="22"/>
          <w:highlight w:val="none"/>
          <w:lang w:val="zh-CN"/>
        </w:rPr>
        <w:t>双方所签的合同，并承担合同规定的责任义务。</w:t>
      </w:r>
    </w:p>
    <w:p w14:paraId="5D4ECBDF">
      <w:pPr>
        <w:pStyle w:val="16"/>
        <w:snapToGrid w:val="0"/>
        <w:spacing w:line="410" w:lineRule="atLeast"/>
        <w:ind w:firstLine="440" w:firstLineChars="200"/>
        <w:rPr>
          <w:rFonts w:hAnsi="宋体"/>
          <w:b/>
          <w:bCs/>
          <w:color w:val="auto"/>
          <w:sz w:val="22"/>
          <w:highlight w:val="none"/>
        </w:rPr>
      </w:pPr>
      <w:r>
        <w:rPr>
          <w:rFonts w:cs="??_GB2312"/>
          <w:color w:val="auto"/>
          <w:sz w:val="22"/>
          <w:highlight w:val="none"/>
          <w:lang w:val="zh-CN"/>
        </w:rPr>
        <w:t>4</w:t>
      </w:r>
      <w:r>
        <w:rPr>
          <w:rFonts w:hint="eastAsia" w:cs="??_GB2312"/>
          <w:color w:val="auto"/>
          <w:sz w:val="22"/>
          <w:highlight w:val="none"/>
          <w:lang w:val="zh-CN"/>
        </w:rPr>
        <w:t>、</w:t>
      </w:r>
      <w:r>
        <w:rPr>
          <w:rFonts w:hint="eastAsia"/>
          <w:color w:val="auto"/>
          <w:sz w:val="22"/>
          <w:highlight w:val="none"/>
          <w:lang w:val="zh-CN"/>
        </w:rPr>
        <w:t>我方对完工期承诺如下</w:t>
      </w:r>
      <w:r>
        <w:rPr>
          <w:rFonts w:hint="eastAsia"/>
          <w:b/>
          <w:bCs/>
          <w:color w:val="auto"/>
          <w:sz w:val="22"/>
          <w:highlight w:val="none"/>
          <w:lang w:val="zh-CN"/>
        </w:rPr>
        <w:t>：</w:t>
      </w:r>
      <w:r>
        <w:rPr>
          <w:rFonts w:hint="eastAsia" w:hAnsi="宋体"/>
          <w:b/>
          <w:bCs/>
          <w:color w:val="auto"/>
          <w:sz w:val="22"/>
          <w:highlight w:val="none"/>
        </w:rPr>
        <w:t>▲按招标文件规定期限交货并通过采购单位验收，逾期采购单位有权拒绝供货。</w:t>
      </w:r>
    </w:p>
    <w:p w14:paraId="536F0225">
      <w:pPr>
        <w:autoSpaceDE w:val="0"/>
        <w:autoSpaceDN w:val="0"/>
        <w:adjustRightInd w:val="0"/>
        <w:spacing w:line="440" w:lineRule="atLeast"/>
        <w:ind w:firstLine="450"/>
        <w:rPr>
          <w:rFonts w:ascii="宋体"/>
          <w:color w:val="auto"/>
          <w:sz w:val="22"/>
          <w:highlight w:val="none"/>
          <w:lang w:val="zh-CN"/>
        </w:rPr>
      </w:pPr>
      <w:r>
        <w:rPr>
          <w:rFonts w:ascii="宋体"/>
          <w:color w:val="auto"/>
          <w:sz w:val="22"/>
          <w:highlight w:val="none"/>
          <w:lang w:val="zh-CN"/>
        </w:rPr>
        <w:t>5</w:t>
      </w:r>
      <w:r>
        <w:rPr>
          <w:rFonts w:hint="eastAsia" w:ascii="宋体"/>
          <w:color w:val="auto"/>
          <w:sz w:val="22"/>
          <w:highlight w:val="none"/>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1A2B8733">
      <w:pPr>
        <w:spacing w:line="340" w:lineRule="exact"/>
        <w:ind w:firstLine="442" w:firstLineChars="201"/>
        <w:rPr>
          <w:rFonts w:ascii="宋体"/>
          <w:color w:val="auto"/>
          <w:sz w:val="22"/>
          <w:highlight w:val="none"/>
        </w:rPr>
      </w:pPr>
      <w:r>
        <w:rPr>
          <w:rFonts w:ascii="宋体"/>
          <w:color w:val="auto"/>
          <w:sz w:val="22"/>
          <w:highlight w:val="none"/>
        </w:rPr>
        <w:t>6</w:t>
      </w:r>
      <w:r>
        <w:rPr>
          <w:rFonts w:hint="eastAsia" w:ascii="宋体"/>
          <w:color w:val="auto"/>
          <w:sz w:val="22"/>
          <w:highlight w:val="none"/>
        </w:rPr>
        <w:t>、利益冲突：近三年内直至目前，我公司与本项目的采购单位、招标代理机构没有任何的隶属关系。</w:t>
      </w:r>
    </w:p>
    <w:p w14:paraId="6F4F48A4">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rPr>
        <w:t>7</w:t>
      </w:r>
      <w:r>
        <w:rPr>
          <w:rFonts w:hint="eastAsia" w:ascii="宋体"/>
          <w:color w:val="auto"/>
          <w:sz w:val="22"/>
          <w:highlight w:val="none"/>
        </w:rPr>
        <w:t>、我公司没有被各级、各地财政监管部门限制参加政府采购活动，且在限制期内。</w:t>
      </w:r>
    </w:p>
    <w:p w14:paraId="04409939">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8</w:t>
      </w:r>
      <w:r>
        <w:rPr>
          <w:rFonts w:hint="eastAsia" w:ascii="宋体"/>
          <w:color w:val="auto"/>
          <w:sz w:val="22"/>
          <w:highlight w:val="none"/>
          <w:lang w:val="zh-CN"/>
        </w:rPr>
        <w:t>、愿意向贵方提供任何与该项投标有关的数据、情况和技术资料，完全理解贵方不一定接受最低价的投标或收到的任何投标。</w:t>
      </w:r>
    </w:p>
    <w:p w14:paraId="1FF66AC5">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9</w:t>
      </w:r>
      <w:r>
        <w:rPr>
          <w:rFonts w:hint="eastAsia" w:ascii="宋体"/>
          <w:color w:val="auto"/>
          <w:sz w:val="22"/>
          <w:highlight w:val="none"/>
          <w:lang w:val="zh-CN"/>
        </w:rPr>
        <w:t>、本投标自开标之日起</w:t>
      </w:r>
      <w:r>
        <w:rPr>
          <w:rFonts w:ascii="宋体"/>
          <w:color w:val="auto"/>
          <w:sz w:val="22"/>
          <w:highlight w:val="none"/>
          <w:lang w:val="zh-CN"/>
        </w:rPr>
        <w:t>90</w:t>
      </w:r>
      <w:r>
        <w:rPr>
          <w:rFonts w:hint="eastAsia" w:ascii="宋体"/>
          <w:color w:val="auto"/>
          <w:sz w:val="22"/>
          <w:highlight w:val="none"/>
          <w:lang w:val="zh-CN"/>
        </w:rPr>
        <w:t>天内有效。</w:t>
      </w:r>
    </w:p>
    <w:p w14:paraId="054F445A">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10</w:t>
      </w:r>
      <w:r>
        <w:rPr>
          <w:rFonts w:hint="eastAsia" w:ascii="宋体"/>
          <w:color w:val="auto"/>
          <w:sz w:val="22"/>
          <w:highlight w:val="none"/>
          <w:lang w:val="zh-CN"/>
        </w:rPr>
        <w:t>、与本投标有关的一切往来通讯请寄：</w:t>
      </w:r>
    </w:p>
    <w:p w14:paraId="71CC8F48">
      <w:pPr>
        <w:autoSpaceDE w:val="0"/>
        <w:autoSpaceDN w:val="0"/>
        <w:adjustRightInd w:val="0"/>
        <w:spacing w:line="440" w:lineRule="atLeast"/>
        <w:ind w:firstLine="585" w:firstLineChars="266"/>
        <w:rPr>
          <w:rFonts w:ascii="宋体" w:cs="仿宋_GB2312"/>
          <w:color w:val="auto"/>
          <w:sz w:val="22"/>
          <w:szCs w:val="22"/>
          <w:highlight w:val="none"/>
          <w:u w:val="single"/>
          <w:lang w:val="zh-CN"/>
        </w:rPr>
      </w:pPr>
      <w:r>
        <w:rPr>
          <w:rFonts w:hint="eastAsia" w:ascii="宋体" w:cs="仿宋_GB2312"/>
          <w:color w:val="auto"/>
          <w:sz w:val="22"/>
          <w:szCs w:val="22"/>
          <w:highlight w:val="none"/>
          <w:lang w:val="zh-CN"/>
        </w:rPr>
        <w:t>地址：</w:t>
      </w:r>
      <w:r>
        <w:rPr>
          <w:rFonts w:ascii="宋体" w:cs="仿宋_GB2312"/>
          <w:color w:val="auto"/>
          <w:sz w:val="22"/>
          <w:szCs w:val="22"/>
          <w:highlight w:val="none"/>
          <w:u w:val="single"/>
          <w:lang w:val="zh-CN"/>
        </w:rPr>
        <w:t xml:space="preserve">                                 </w:t>
      </w:r>
    </w:p>
    <w:p w14:paraId="4D672452">
      <w:pPr>
        <w:autoSpaceDE w:val="0"/>
        <w:autoSpaceDN w:val="0"/>
        <w:adjustRightInd w:val="0"/>
        <w:spacing w:line="440" w:lineRule="atLeast"/>
        <w:ind w:firstLine="585" w:firstLineChars="266"/>
        <w:rPr>
          <w:rFonts w:ascii="宋体" w:cs="仿宋_GB2312"/>
          <w:color w:val="auto"/>
          <w:sz w:val="22"/>
          <w:szCs w:val="22"/>
          <w:highlight w:val="none"/>
          <w:lang w:val="zh-CN"/>
        </w:rPr>
      </w:pPr>
      <w:r>
        <w:rPr>
          <w:rFonts w:hint="eastAsia" w:ascii="宋体" w:cs="仿宋_GB2312"/>
          <w:color w:val="auto"/>
          <w:sz w:val="22"/>
          <w:szCs w:val="22"/>
          <w:highlight w:val="none"/>
          <w:lang w:val="zh-CN"/>
        </w:rPr>
        <w:t>邮编：</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电话：</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传真：</w:t>
      </w:r>
      <w:r>
        <w:rPr>
          <w:rFonts w:ascii="宋体" w:cs="仿宋_GB2312"/>
          <w:color w:val="auto"/>
          <w:sz w:val="22"/>
          <w:szCs w:val="22"/>
          <w:highlight w:val="none"/>
          <w:u w:val="single"/>
          <w:lang w:val="zh-CN"/>
        </w:rPr>
        <w:t xml:space="preserve">                 </w:t>
      </w:r>
    </w:p>
    <w:p w14:paraId="2F862332">
      <w:pPr>
        <w:autoSpaceDE w:val="0"/>
        <w:autoSpaceDN w:val="0"/>
        <w:adjustRightInd w:val="0"/>
        <w:spacing w:line="440" w:lineRule="atLeast"/>
        <w:rPr>
          <w:rFonts w:ascii="宋体" w:cs="仿宋_GB2312"/>
          <w:color w:val="auto"/>
          <w:sz w:val="22"/>
          <w:szCs w:val="22"/>
          <w:highlight w:val="none"/>
          <w:lang w:val="zh-CN"/>
        </w:rPr>
      </w:pPr>
    </w:p>
    <w:p w14:paraId="7F9D55ED">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供应商全称（盖章）：</w:t>
      </w:r>
    </w:p>
    <w:p w14:paraId="47B03589">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法定代表人（签字或盖章）：</w:t>
      </w:r>
    </w:p>
    <w:p w14:paraId="52917946">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日期：</w:t>
      </w:r>
    </w:p>
    <w:p w14:paraId="4B954BE3">
      <w:pPr>
        <w:autoSpaceDE w:val="0"/>
        <w:autoSpaceDN w:val="0"/>
        <w:adjustRightInd w:val="0"/>
        <w:spacing w:line="440" w:lineRule="atLeast"/>
        <w:ind w:firstLine="627" w:firstLineChars="285"/>
        <w:rPr>
          <w:rFonts w:ascii="宋体" w:cs="仿宋_GB2312"/>
          <w:color w:val="auto"/>
          <w:sz w:val="22"/>
          <w:szCs w:val="22"/>
          <w:highlight w:val="none"/>
          <w:lang w:val="zh-CN"/>
        </w:rPr>
      </w:pPr>
    </w:p>
    <w:p w14:paraId="37BEBC09">
      <w:pPr>
        <w:pStyle w:val="16"/>
        <w:adjustRightInd w:val="0"/>
        <w:snapToGrid w:val="0"/>
        <w:spacing w:line="400" w:lineRule="exact"/>
        <w:rPr>
          <w:rFonts w:hint="eastAsia" w:hAnsi="宋体" w:eastAsiaTheme="minorEastAsia"/>
          <w:color w:val="auto"/>
          <w:sz w:val="32"/>
          <w:szCs w:val="32"/>
          <w:highlight w:val="none"/>
          <w:lang w:eastAsia="zh-CN"/>
        </w:rPr>
      </w:pPr>
      <w:r>
        <w:rPr>
          <w:rFonts w:hint="eastAsia" w:ascii="宋体" w:hAnsi="宋体" w:eastAsia="宋体" w:cs="宋体"/>
          <w:b/>
          <w:bCs/>
          <w:color w:val="auto"/>
          <w:kern w:val="0"/>
          <w:sz w:val="22"/>
          <w:szCs w:val="22"/>
          <w:highlight w:val="none"/>
        </w:rPr>
        <w:t>▲备注：不提供本函做无效投标处理。</w:t>
      </w:r>
      <w:r>
        <w:rPr>
          <w:rFonts w:hint="eastAsia" w:hAnsi="宋体"/>
          <w:b/>
          <w:color w:val="auto"/>
          <w:sz w:val="32"/>
          <w:szCs w:val="32"/>
          <w:highlight w:val="none"/>
        </w:rPr>
        <w:br w:type="page"/>
      </w:r>
      <w:r>
        <w:rPr>
          <w:rFonts w:hint="eastAsia" w:ascii="宋体" w:hAnsi="宋体" w:eastAsia="宋体" w:cs="Times New Roman"/>
          <w:b/>
          <w:color w:val="auto"/>
          <w:kern w:val="0"/>
          <w:sz w:val="32"/>
          <w:szCs w:val="32"/>
          <w:highlight w:val="none"/>
          <w:lang w:val="zh-CN" w:eastAsia="zh-CN" w:bidi="ar-SA"/>
        </w:rPr>
        <w:t>附件</w:t>
      </w:r>
      <w:r>
        <w:rPr>
          <w:rFonts w:hint="eastAsia" w:ascii="宋体" w:hAnsi="宋体" w:eastAsia="宋体" w:cs="Times New Roman"/>
          <w:b/>
          <w:color w:val="auto"/>
          <w:kern w:val="0"/>
          <w:sz w:val="32"/>
          <w:szCs w:val="32"/>
          <w:highlight w:val="none"/>
          <w:lang w:val="en-US" w:eastAsia="zh-CN" w:bidi="ar-SA"/>
        </w:rPr>
        <w:t>九</w:t>
      </w:r>
    </w:p>
    <w:p w14:paraId="3BFC63D9">
      <w:pPr>
        <w:autoSpaceDE w:val="0"/>
        <w:autoSpaceDN w:val="0"/>
        <w:adjustRightInd w:val="0"/>
        <w:spacing w:line="360" w:lineRule="atLeast"/>
        <w:jc w:val="center"/>
        <w:textAlignment w:val="baseline"/>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供应商参与政府采购活动投标资格声明函</w:t>
      </w:r>
    </w:p>
    <w:tbl>
      <w:tblPr>
        <w:tblStyle w:val="3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7817"/>
      </w:tblGrid>
      <w:tr w14:paraId="7553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68" w:type="dxa"/>
          </w:tcPr>
          <w:p w14:paraId="119117AD">
            <w:pPr>
              <w:pStyle w:val="16"/>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2"/>
                <w:szCs w:val="22"/>
                <w:highlight w:val="none"/>
                <w:u w:val="none"/>
              </w:rPr>
            </w:pPr>
            <w:r>
              <w:rPr>
                <w:rFonts w:hint="eastAsia" w:ascii="宋体" w:hAnsi="宋体" w:eastAsia="宋体" w:cs="宋体"/>
                <w:bCs/>
                <w:color w:val="auto"/>
                <w:sz w:val="22"/>
                <w:szCs w:val="22"/>
                <w:highlight w:val="none"/>
                <w:u w:val="none"/>
              </w:rPr>
              <w:t>项目名称</w:t>
            </w:r>
          </w:p>
        </w:tc>
        <w:tc>
          <w:tcPr>
            <w:tcW w:w="7817" w:type="dxa"/>
          </w:tcPr>
          <w:p w14:paraId="65BB9B41">
            <w:pPr>
              <w:pStyle w:val="16"/>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2"/>
                <w:szCs w:val="22"/>
                <w:highlight w:val="none"/>
                <w:u w:val="none"/>
              </w:rPr>
            </w:pPr>
            <w:r>
              <w:rPr>
                <w:rFonts w:hint="eastAsia" w:ascii="宋体" w:hAnsi="宋体" w:eastAsia="宋体" w:cs="宋体"/>
                <w:color w:val="auto"/>
                <w:sz w:val="22"/>
                <w:szCs w:val="22"/>
                <w:highlight w:val="none"/>
                <w:u w:val="none"/>
                <w:lang w:val="zh-CN"/>
              </w:rPr>
              <w:t>2025-2026泰顺县大安乡环卫保洁服务</w:t>
            </w:r>
          </w:p>
        </w:tc>
      </w:tr>
      <w:tr w14:paraId="7FC9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68" w:type="dxa"/>
          </w:tcPr>
          <w:p w14:paraId="4E6265B7">
            <w:pPr>
              <w:pStyle w:val="16"/>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2"/>
                <w:szCs w:val="22"/>
                <w:highlight w:val="none"/>
                <w:u w:val="none"/>
              </w:rPr>
            </w:pPr>
            <w:r>
              <w:rPr>
                <w:rFonts w:hint="eastAsia" w:ascii="宋体" w:hAnsi="宋体" w:eastAsia="宋体" w:cs="宋体"/>
                <w:bCs/>
                <w:color w:val="auto"/>
                <w:sz w:val="22"/>
                <w:szCs w:val="22"/>
                <w:highlight w:val="none"/>
                <w:u w:val="none"/>
              </w:rPr>
              <w:t>项目采购编号</w:t>
            </w:r>
          </w:p>
        </w:tc>
        <w:tc>
          <w:tcPr>
            <w:tcW w:w="7817" w:type="dxa"/>
          </w:tcPr>
          <w:p w14:paraId="42B77D61">
            <w:pPr>
              <w:pStyle w:val="16"/>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2"/>
                <w:szCs w:val="22"/>
                <w:highlight w:val="none"/>
                <w:u w:val="none"/>
              </w:rPr>
            </w:pPr>
            <w:r>
              <w:rPr>
                <w:rFonts w:hint="eastAsia" w:ascii="宋体" w:hAnsi="宋体" w:eastAsia="宋体" w:cs="宋体"/>
                <w:color w:val="auto"/>
                <w:sz w:val="22"/>
                <w:szCs w:val="21"/>
                <w:highlight w:val="none"/>
                <w:u w:val="none"/>
                <w:lang w:eastAsia="zh-CN"/>
              </w:rPr>
              <w:t>TSCG202509001</w:t>
            </w:r>
          </w:p>
        </w:tc>
      </w:tr>
      <w:tr w14:paraId="530D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68" w:type="dxa"/>
          </w:tcPr>
          <w:p w14:paraId="0EFFB1C1">
            <w:pPr>
              <w:pStyle w:val="16"/>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时间</w:t>
            </w:r>
          </w:p>
        </w:tc>
        <w:tc>
          <w:tcPr>
            <w:tcW w:w="7817" w:type="dxa"/>
          </w:tcPr>
          <w:p w14:paraId="7957282E">
            <w:pPr>
              <w:pStyle w:val="16"/>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投标截止时间：</w:t>
            </w:r>
          </w:p>
        </w:tc>
      </w:tr>
      <w:tr w14:paraId="63B1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0" w:hRule="atLeast"/>
        </w:trPr>
        <w:tc>
          <w:tcPr>
            <w:tcW w:w="9385" w:type="dxa"/>
            <w:gridSpan w:val="2"/>
          </w:tcPr>
          <w:p w14:paraId="0C3EFA2C">
            <w:pPr>
              <w:pStyle w:val="16"/>
              <w:keepNext w:val="0"/>
              <w:keepLines w:val="0"/>
              <w:pageBreakBefore w:val="0"/>
              <w:widowControl w:val="0"/>
              <w:kinsoku/>
              <w:wordWrap/>
              <w:overflowPunct/>
              <w:topLinePunct w:val="0"/>
              <w:autoSpaceDE/>
              <w:autoSpaceDN/>
              <w:bidi w:val="0"/>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1、根据政府采购法第二十二条规定，我单位满足以下条件，并已经在技术资信部分响应文件中提供了相应的证明材料：</w:t>
            </w:r>
          </w:p>
          <w:p w14:paraId="46F4AF5E">
            <w:pPr>
              <w:pStyle w:val="16"/>
              <w:keepNext w:val="0"/>
              <w:keepLines w:val="0"/>
              <w:pageBreakBefore w:val="0"/>
              <w:widowControl w:val="0"/>
              <w:kinsoku/>
              <w:wordWrap/>
              <w:overflowPunct/>
              <w:topLinePunct w:val="0"/>
              <w:autoSpaceDE/>
              <w:autoSpaceDN/>
              <w:bidi w:val="0"/>
              <w:spacing w:line="3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（一）具有独立承担民事责任的能力；</w:t>
            </w:r>
          </w:p>
          <w:p w14:paraId="2CC9BB31">
            <w:pPr>
              <w:pStyle w:val="16"/>
              <w:keepNext w:val="0"/>
              <w:keepLines w:val="0"/>
              <w:pageBreakBefore w:val="0"/>
              <w:widowControl w:val="0"/>
              <w:kinsoku/>
              <w:wordWrap/>
              <w:overflowPunct/>
              <w:topLinePunct w:val="0"/>
              <w:autoSpaceDE/>
              <w:autoSpaceDN/>
              <w:bidi w:val="0"/>
              <w:spacing w:line="3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（二）具有良好的商业信誉和健全的财务会计制度；</w:t>
            </w:r>
          </w:p>
          <w:p w14:paraId="6DDA67A7">
            <w:pPr>
              <w:pStyle w:val="16"/>
              <w:keepNext w:val="0"/>
              <w:keepLines w:val="0"/>
              <w:pageBreakBefore w:val="0"/>
              <w:widowControl w:val="0"/>
              <w:kinsoku/>
              <w:wordWrap/>
              <w:overflowPunct/>
              <w:topLinePunct w:val="0"/>
              <w:autoSpaceDE/>
              <w:autoSpaceDN/>
              <w:bidi w:val="0"/>
              <w:spacing w:line="3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（三）具有履行合同所必需的设备和专业技术能力；</w:t>
            </w:r>
          </w:p>
          <w:p w14:paraId="48123A2A">
            <w:pPr>
              <w:pStyle w:val="16"/>
              <w:keepNext w:val="0"/>
              <w:keepLines w:val="0"/>
              <w:pageBreakBefore w:val="0"/>
              <w:widowControl w:val="0"/>
              <w:kinsoku/>
              <w:wordWrap/>
              <w:overflowPunct/>
              <w:topLinePunct w:val="0"/>
              <w:autoSpaceDE/>
              <w:autoSpaceDN/>
              <w:bidi w:val="0"/>
              <w:spacing w:line="3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（四）有依法缴纳税收和社会保障资金的良好记录；</w:t>
            </w:r>
          </w:p>
          <w:p w14:paraId="6C4CAE8A">
            <w:pPr>
              <w:pStyle w:val="16"/>
              <w:keepNext w:val="0"/>
              <w:keepLines w:val="0"/>
              <w:pageBreakBefore w:val="0"/>
              <w:widowControl w:val="0"/>
              <w:kinsoku/>
              <w:wordWrap/>
              <w:overflowPunct/>
              <w:topLinePunct w:val="0"/>
              <w:autoSpaceDE/>
              <w:autoSpaceDN/>
              <w:bidi w:val="0"/>
              <w:spacing w:line="3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（五）参加政府采购活动前三年内，在经营活动中没有重大违法记录；</w:t>
            </w:r>
          </w:p>
          <w:p w14:paraId="579946FC">
            <w:pPr>
              <w:pStyle w:val="16"/>
              <w:keepNext w:val="0"/>
              <w:keepLines w:val="0"/>
              <w:pageBreakBefore w:val="0"/>
              <w:widowControl w:val="0"/>
              <w:kinsoku/>
              <w:wordWrap/>
              <w:overflowPunct/>
              <w:topLinePunct w:val="0"/>
              <w:autoSpaceDE/>
              <w:autoSpaceDN/>
              <w:bidi w:val="0"/>
              <w:spacing w:line="3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（六）法律、行政法规规定的其他条件。</w:t>
            </w:r>
          </w:p>
          <w:p w14:paraId="448EE741">
            <w:pPr>
              <w:pStyle w:val="16"/>
              <w:keepNext w:val="0"/>
              <w:keepLines w:val="0"/>
              <w:pageBreakBefore w:val="0"/>
              <w:widowControl w:val="0"/>
              <w:kinsoku/>
              <w:wordWrap/>
              <w:overflowPunct/>
              <w:topLinePunct w:val="0"/>
              <w:autoSpaceDE/>
              <w:autoSpaceDN/>
              <w:bidi w:val="0"/>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0005DA">
            <w:pPr>
              <w:pStyle w:val="16"/>
              <w:keepNext w:val="0"/>
              <w:keepLines w:val="0"/>
              <w:pageBreakBefore w:val="0"/>
              <w:widowControl w:val="0"/>
              <w:kinsoku/>
              <w:wordWrap/>
              <w:overflowPunct/>
              <w:topLinePunct w:val="0"/>
              <w:autoSpaceDE/>
              <w:autoSpaceDN/>
              <w:bidi w:val="0"/>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3、我单位没有被各地、各级财政部门限制参加政府采购活动，且在限制期内：</w:t>
            </w:r>
          </w:p>
          <w:p w14:paraId="19F7899C">
            <w:pPr>
              <w:pStyle w:val="16"/>
              <w:keepNext w:val="0"/>
              <w:keepLines w:val="0"/>
              <w:pageBreakBefore w:val="0"/>
              <w:widowControl w:val="0"/>
              <w:kinsoku/>
              <w:wordWrap/>
              <w:overflowPunct/>
              <w:topLinePunct w:val="0"/>
              <w:autoSpaceDE/>
              <w:autoSpaceDN/>
              <w:bidi w:val="0"/>
              <w:snapToGrid w:val="0"/>
              <w:spacing w:line="380" w:lineRule="exact"/>
              <w:ind w:firstLine="440" w:firstLineChars="200"/>
              <w:textAlignment w:val="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B3779C1">
            <w:pPr>
              <w:pStyle w:val="16"/>
              <w:keepNext w:val="0"/>
              <w:keepLines w:val="0"/>
              <w:pageBreakBefore w:val="0"/>
              <w:widowControl w:val="0"/>
              <w:kinsoku/>
              <w:wordWrap/>
              <w:overflowPunct/>
              <w:topLinePunct w:val="0"/>
              <w:autoSpaceDE/>
              <w:autoSpaceDN/>
              <w:bidi w:val="0"/>
              <w:snapToGrid w:val="0"/>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5、我单位符合本项目特定资格条件：的要求，并在</w:t>
            </w:r>
            <w:r>
              <w:rPr>
                <w:rFonts w:hint="eastAsia" w:ascii="宋体" w:hAnsi="宋体" w:eastAsia="宋体" w:cs="宋体"/>
                <w:color w:val="auto"/>
                <w:sz w:val="22"/>
                <w:szCs w:val="22"/>
                <w:highlight w:val="none"/>
              </w:rPr>
              <w:t>技术资信部分响应文件中提供了相应的证明材料</w:t>
            </w:r>
            <w:r>
              <w:rPr>
                <w:rFonts w:hint="eastAsia" w:ascii="宋体" w:hAnsi="宋体" w:eastAsia="宋体" w:cs="宋体"/>
                <w:color w:val="auto"/>
                <w:sz w:val="22"/>
                <w:szCs w:val="22"/>
                <w:highlight w:val="none"/>
                <w:u w:val="single"/>
              </w:rPr>
              <w:t>（招标文件文件没有要求特定资格条件的，本条款空格处可以空白）</w:t>
            </w:r>
          </w:p>
          <w:p w14:paraId="3A07D6EA">
            <w:pPr>
              <w:keepNext w:val="0"/>
              <w:keepLines w:val="0"/>
              <w:pageBreakBefore w:val="0"/>
              <w:widowControl w:val="0"/>
              <w:tabs>
                <w:tab w:val="center" w:pos="4483"/>
              </w:tabs>
              <w:kinsoku/>
              <w:wordWrap/>
              <w:overflowPunct/>
              <w:topLinePunct w:val="0"/>
              <w:autoSpaceDE/>
              <w:autoSpaceDN/>
              <w:bidi w:val="0"/>
              <w:adjustRightInd w:val="0"/>
              <w:spacing w:line="3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D9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85" w:type="dxa"/>
            <w:gridSpan w:val="2"/>
            <w:vAlign w:val="center"/>
          </w:tcPr>
          <w:p w14:paraId="26372740">
            <w:pPr>
              <w:pStyle w:val="16"/>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供应商名称（加盖公章）：</w:t>
            </w:r>
          </w:p>
        </w:tc>
      </w:tr>
      <w:tr w14:paraId="5227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85" w:type="dxa"/>
            <w:gridSpan w:val="2"/>
            <w:vAlign w:val="center"/>
          </w:tcPr>
          <w:p w14:paraId="6B887D85">
            <w:pPr>
              <w:pStyle w:val="16"/>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法定代表人（签字或盖章）或</w:t>
            </w:r>
            <w:r>
              <w:rPr>
                <w:rFonts w:hint="eastAsia" w:ascii="宋体" w:hAnsi="宋体" w:eastAsia="宋体" w:cs="宋体"/>
                <w:bCs/>
                <w:color w:val="auto"/>
                <w:sz w:val="22"/>
                <w:szCs w:val="22"/>
                <w:highlight w:val="none"/>
                <w:lang w:val="zh-CN"/>
              </w:rPr>
              <w:t>授权代表（</w:t>
            </w:r>
            <w:r>
              <w:rPr>
                <w:rFonts w:hint="eastAsia" w:ascii="宋体" w:hAnsi="宋体" w:eastAsia="宋体" w:cs="宋体"/>
                <w:bCs/>
                <w:color w:val="auto"/>
                <w:sz w:val="22"/>
                <w:szCs w:val="22"/>
                <w:highlight w:val="none"/>
              </w:rPr>
              <w:t>签字或盖章</w:t>
            </w:r>
            <w:r>
              <w:rPr>
                <w:rFonts w:hint="eastAsia" w:ascii="宋体" w:hAnsi="宋体" w:eastAsia="宋体" w:cs="宋体"/>
                <w:bCs/>
                <w:color w:val="auto"/>
                <w:sz w:val="22"/>
                <w:szCs w:val="22"/>
                <w:highlight w:val="none"/>
                <w:lang w:val="zh-CN"/>
              </w:rPr>
              <w:t>）</w:t>
            </w:r>
            <w:r>
              <w:rPr>
                <w:rFonts w:hint="eastAsia" w:ascii="宋体" w:hAnsi="宋体" w:eastAsia="宋体" w:cs="宋体"/>
                <w:bCs/>
                <w:color w:val="auto"/>
                <w:sz w:val="22"/>
                <w:szCs w:val="22"/>
                <w:highlight w:val="none"/>
              </w:rPr>
              <w:t>：</w:t>
            </w:r>
          </w:p>
        </w:tc>
      </w:tr>
      <w:tr w14:paraId="27D2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385" w:type="dxa"/>
            <w:gridSpan w:val="2"/>
            <w:vAlign w:val="center"/>
          </w:tcPr>
          <w:p w14:paraId="0AF4763C">
            <w:pPr>
              <w:pStyle w:val="16"/>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签署日期：</w:t>
            </w:r>
          </w:p>
        </w:tc>
      </w:tr>
    </w:tbl>
    <w:p w14:paraId="03AB50B2">
      <w:pPr>
        <w:autoSpaceDE w:val="0"/>
        <w:autoSpaceDN w:val="0"/>
        <w:adjustRightInd w:val="0"/>
        <w:spacing w:line="440" w:lineRule="atLeast"/>
        <w:rPr>
          <w:rFonts w:hAnsi="宋体"/>
          <w:color w:val="auto"/>
          <w:sz w:val="22"/>
          <w:highlight w:val="none"/>
        </w:rPr>
      </w:pPr>
      <w:r>
        <w:rPr>
          <w:rFonts w:hint="eastAsia" w:hAnsi="宋体"/>
          <w:b/>
          <w:color w:val="auto"/>
          <w:sz w:val="22"/>
          <w:szCs w:val="22"/>
          <w:highlight w:val="none"/>
        </w:rPr>
        <w:t>备注：▲投标供应商必须按要求提供本声明，不提供按无效标处理</w:t>
      </w:r>
      <w:r>
        <w:rPr>
          <w:rFonts w:hint="eastAsia" w:hAnsi="宋体"/>
          <w:color w:val="auto"/>
          <w:sz w:val="22"/>
          <w:szCs w:val="22"/>
          <w:highlight w:val="none"/>
        </w:rPr>
        <w:t>。</w:t>
      </w:r>
    </w:p>
    <w:p w14:paraId="09E5016E">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6A9473C">
      <w:pPr>
        <w:spacing w:line="360" w:lineRule="exact"/>
        <w:jc w:val="left"/>
        <w:outlineLvl w:val="9"/>
        <w:rPr>
          <w:rFonts w:hint="default" w:ascii="宋体" w:hAnsi="宋体" w:eastAsia="宋体" w:cs="宋体"/>
          <w:b/>
          <w:bCs/>
          <w:color w:val="auto"/>
          <w:sz w:val="32"/>
          <w:szCs w:val="32"/>
          <w:highlight w:val="none"/>
          <w:lang w:val="en-US" w:eastAsia="zh-CN"/>
        </w:rPr>
      </w:pPr>
      <w:r>
        <w:rPr>
          <w:rFonts w:hint="eastAsia" w:ascii="宋体" w:hAnsi="宋体" w:eastAsia="宋体" w:cs="Times New Roman"/>
          <w:b/>
          <w:color w:val="auto"/>
          <w:kern w:val="0"/>
          <w:sz w:val="32"/>
          <w:szCs w:val="32"/>
          <w:highlight w:val="none"/>
          <w:lang w:val="zh-CN" w:eastAsia="zh-CN" w:bidi="ar-SA"/>
        </w:rPr>
        <w:t>附件</w:t>
      </w:r>
      <w:r>
        <w:rPr>
          <w:rFonts w:hint="eastAsia" w:ascii="宋体" w:hAnsi="宋体" w:eastAsia="宋体" w:cs="Times New Roman"/>
          <w:b/>
          <w:color w:val="auto"/>
          <w:kern w:val="0"/>
          <w:sz w:val="32"/>
          <w:szCs w:val="32"/>
          <w:highlight w:val="none"/>
          <w:lang w:val="en-US" w:eastAsia="zh-CN" w:bidi="ar-SA"/>
        </w:rPr>
        <w:t>十</w:t>
      </w:r>
    </w:p>
    <w:p w14:paraId="1D4BEEAB">
      <w:pPr>
        <w:autoSpaceDE w:val="0"/>
        <w:autoSpaceDN w:val="0"/>
        <w:adjustRightInd w:val="0"/>
        <w:spacing w:line="360" w:lineRule="atLeast"/>
        <w:jc w:val="center"/>
        <w:textAlignment w:val="baseline"/>
        <w:outlineLvl w:val="9"/>
        <w:rPr>
          <w:rFonts w:hint="eastAsia" w:ascii="宋体" w:hAnsi="宋体" w:eastAsia="宋体" w:cs="宋体"/>
          <w:b/>
          <w:bCs/>
          <w:color w:val="auto"/>
          <w:sz w:val="32"/>
          <w:szCs w:val="32"/>
          <w:highlight w:val="none"/>
          <w:lang w:val="zh-CN"/>
        </w:rPr>
      </w:pPr>
      <w:bookmarkStart w:id="38" w:name="_Toc7010_WPSOffice_Level3"/>
      <w:r>
        <w:rPr>
          <w:rFonts w:hint="eastAsia" w:ascii="宋体" w:hAnsi="宋体" w:eastAsia="宋体" w:cs="宋体"/>
          <w:b/>
          <w:bCs/>
          <w:color w:val="auto"/>
          <w:sz w:val="32"/>
          <w:szCs w:val="32"/>
          <w:highlight w:val="none"/>
          <w:lang w:val="zh-CN"/>
        </w:rPr>
        <w:t>法定代表人诚信投标承诺书</w:t>
      </w:r>
      <w:bookmarkEnd w:id="38"/>
    </w:p>
    <w:p w14:paraId="52D30AC3">
      <w:pPr>
        <w:spacing w:line="360" w:lineRule="auto"/>
        <w:outlineLvl w:val="9"/>
        <w:rPr>
          <w:rFonts w:hint="eastAsia" w:ascii="宋体" w:hAnsi="宋体" w:eastAsia="宋体" w:cs="宋体"/>
          <w:color w:val="auto"/>
          <w:sz w:val="22"/>
          <w:szCs w:val="21"/>
          <w:highlight w:val="none"/>
        </w:rPr>
      </w:pPr>
    </w:p>
    <w:p w14:paraId="6D87C661">
      <w:pPr>
        <w:spacing w:line="360" w:lineRule="auto"/>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本人以企业法定代表人的身份郑重承诺：</w:t>
      </w:r>
    </w:p>
    <w:p w14:paraId="63617A55">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将遵循公开、公平、公正和诚信信用的原则参加</w:t>
      </w:r>
      <w:r>
        <w:rPr>
          <w:rFonts w:hint="eastAsia" w:ascii="宋体" w:hAnsi="宋体" w:eastAsia="宋体" w:cs="宋体"/>
          <w:color w:val="auto"/>
          <w:sz w:val="22"/>
          <w:szCs w:val="21"/>
          <w:highlight w:val="none"/>
          <w:u w:val="single"/>
          <w:lang w:eastAsia="zh-CN"/>
        </w:rPr>
        <w:t>2025-2026泰顺县大安乡环卫保洁服务</w:t>
      </w:r>
      <w:r>
        <w:rPr>
          <w:rFonts w:hint="eastAsia" w:ascii="宋体" w:hAnsi="宋体" w:eastAsia="宋体" w:cs="宋体"/>
          <w:color w:val="auto"/>
          <w:sz w:val="22"/>
          <w:szCs w:val="21"/>
          <w:highlight w:val="none"/>
          <w:u w:val="single"/>
        </w:rPr>
        <w:t>（项目编号：</w:t>
      </w:r>
      <w:r>
        <w:rPr>
          <w:rFonts w:hint="eastAsia" w:ascii="宋体" w:hAnsi="宋体" w:eastAsia="宋体" w:cs="宋体"/>
          <w:color w:val="auto"/>
          <w:sz w:val="22"/>
          <w:szCs w:val="21"/>
          <w:highlight w:val="none"/>
          <w:u w:val="single"/>
          <w:lang w:eastAsia="zh-CN"/>
        </w:rPr>
        <w:t xml:space="preserve">TSCG202509001  </w:t>
      </w:r>
      <w:r>
        <w:rPr>
          <w:rFonts w:hint="eastAsia" w:ascii="宋体" w:hAnsi="宋体" w:eastAsia="宋体" w:cs="宋体"/>
          <w:color w:val="auto"/>
          <w:sz w:val="22"/>
          <w:szCs w:val="21"/>
          <w:highlight w:val="none"/>
          <w:u w:val="single"/>
        </w:rPr>
        <w:t>）</w:t>
      </w:r>
      <w:r>
        <w:rPr>
          <w:rFonts w:hint="eastAsia" w:ascii="宋体" w:hAnsi="宋体" w:eastAsia="宋体" w:cs="宋体"/>
          <w:color w:val="auto"/>
          <w:sz w:val="22"/>
          <w:szCs w:val="21"/>
          <w:highlight w:val="none"/>
        </w:rPr>
        <w:t>的投标：</w:t>
      </w:r>
    </w:p>
    <w:p w14:paraId="01AD2B4F">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0E5EBF1D">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二、投标（响应）文件所提供的一切材料都是真实、有效、合法的。</w:t>
      </w:r>
    </w:p>
    <w:p w14:paraId="36B234E5">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三、不与其他供应商相互串通投标报价，不排挤其他供应商的公平竞争，不损害采购单位或其他供应商的合法权益。</w:t>
      </w:r>
    </w:p>
    <w:p w14:paraId="4220F39C">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四、不与采购单位或</w:t>
      </w:r>
      <w:r>
        <w:rPr>
          <w:rFonts w:hint="eastAsia" w:ascii="宋体" w:hAnsi="宋体" w:eastAsia="宋体" w:cs="宋体"/>
          <w:color w:val="auto"/>
          <w:sz w:val="22"/>
          <w:szCs w:val="21"/>
          <w:highlight w:val="none"/>
          <w:lang w:eastAsia="zh-CN"/>
        </w:rPr>
        <w:t>采购代理机构</w:t>
      </w:r>
      <w:r>
        <w:rPr>
          <w:rFonts w:hint="eastAsia" w:ascii="宋体" w:hAnsi="宋体" w:eastAsia="宋体" w:cs="宋体"/>
          <w:color w:val="auto"/>
          <w:sz w:val="22"/>
          <w:szCs w:val="21"/>
          <w:highlight w:val="none"/>
        </w:rPr>
        <w:t>串通投标，不损害国家利益，社会公共利益或其他人的合法权益。</w:t>
      </w:r>
    </w:p>
    <w:p w14:paraId="25325517">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五、不向采购单位或者</w:t>
      </w:r>
      <w:r>
        <w:rPr>
          <w:rFonts w:hint="eastAsia" w:ascii="宋体" w:hAnsi="宋体" w:eastAsia="宋体" w:cs="宋体"/>
          <w:color w:val="auto"/>
          <w:sz w:val="22"/>
          <w:szCs w:val="21"/>
          <w:highlight w:val="none"/>
          <w:lang w:val="en-US" w:eastAsia="zh-CN"/>
        </w:rPr>
        <w:t>评审小组成员</w:t>
      </w:r>
      <w:r>
        <w:rPr>
          <w:rFonts w:hint="eastAsia" w:ascii="宋体" w:hAnsi="宋体" w:eastAsia="宋体" w:cs="宋体"/>
          <w:color w:val="auto"/>
          <w:sz w:val="22"/>
          <w:szCs w:val="21"/>
          <w:highlight w:val="none"/>
        </w:rPr>
        <w:t>行贿以牟取中标(成交)。</w:t>
      </w:r>
    </w:p>
    <w:p w14:paraId="197E9BDD">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六、不以其他人名义投标或者以其他方式弄虚作假，骗取中标(成交)。</w:t>
      </w:r>
    </w:p>
    <w:p w14:paraId="7DB2E415">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七、不在开标后进行虚假恶意投诉。</w:t>
      </w:r>
    </w:p>
    <w:p w14:paraId="176B20A2">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35767CBA">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九、没有被各地、各级财政部门禁止参加政府采购活动，且在限制期限内。</w:t>
      </w:r>
    </w:p>
    <w:p w14:paraId="6E882E15">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十、参与本项目政府采购活动 3 年内没有重大违法记录情况。</w:t>
      </w:r>
    </w:p>
    <w:p w14:paraId="23C36916">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本公司若有违反本承诺内容的行为，愿意承担法律责任，包括不限于：愿意接受相关行政主管部门作出的处罚</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给采购单位造成损失的，依法承担相应的赔偿责任。</w:t>
      </w:r>
    </w:p>
    <w:p w14:paraId="7674266D">
      <w:pPr>
        <w:spacing w:line="360" w:lineRule="auto"/>
        <w:ind w:firstLine="420"/>
        <w:outlineLvl w:val="9"/>
        <w:rPr>
          <w:rFonts w:hint="eastAsia" w:ascii="宋体" w:hAnsi="宋体" w:eastAsia="宋体" w:cs="宋体"/>
          <w:color w:val="auto"/>
          <w:sz w:val="22"/>
          <w:szCs w:val="21"/>
          <w:highlight w:val="none"/>
        </w:rPr>
      </w:pPr>
    </w:p>
    <w:p w14:paraId="3FE23E4C">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供应商</w:t>
      </w:r>
      <w:r>
        <w:rPr>
          <w:rFonts w:hint="eastAsia" w:ascii="宋体" w:hAnsi="宋体" w:eastAsia="宋体" w:cs="宋体"/>
          <w:color w:val="auto"/>
          <w:sz w:val="22"/>
          <w:szCs w:val="21"/>
          <w:highlight w:val="none"/>
          <w:lang w:val="en-US" w:eastAsia="zh-CN"/>
        </w:rPr>
        <w:t>名称</w:t>
      </w:r>
      <w:r>
        <w:rPr>
          <w:rFonts w:hint="eastAsia" w:ascii="宋体" w:hAnsi="宋体" w:eastAsia="宋体" w:cs="宋体"/>
          <w:color w:val="auto"/>
          <w:sz w:val="22"/>
          <w:szCs w:val="21"/>
          <w:highlight w:val="none"/>
        </w:rPr>
        <w:t>（盖章）：</w:t>
      </w:r>
    </w:p>
    <w:p w14:paraId="7968C7CA">
      <w:pPr>
        <w:spacing w:line="360" w:lineRule="auto"/>
        <w:ind w:firstLine="420"/>
        <w:outlineLvl w:val="9"/>
        <w:rPr>
          <w:rFonts w:hint="eastAsia" w:ascii="宋体" w:hAnsi="宋体" w:eastAsia="宋体" w:cs="宋体"/>
          <w:color w:val="auto"/>
          <w:sz w:val="22"/>
          <w:szCs w:val="21"/>
          <w:highlight w:val="none"/>
          <w:lang w:val="zh-CN"/>
        </w:rPr>
      </w:pPr>
      <w:r>
        <w:rPr>
          <w:rFonts w:hint="eastAsia" w:ascii="宋体" w:hAnsi="宋体" w:eastAsia="宋体" w:cs="宋体"/>
          <w:color w:val="auto"/>
          <w:sz w:val="22"/>
          <w:szCs w:val="21"/>
          <w:highlight w:val="none"/>
        </w:rPr>
        <w:t>法定代表人（签字或盖章）</w:t>
      </w:r>
      <w:r>
        <w:rPr>
          <w:rFonts w:hint="eastAsia" w:ascii="宋体" w:hAnsi="宋体" w:eastAsia="宋体" w:cs="宋体"/>
          <w:color w:val="auto"/>
          <w:sz w:val="22"/>
          <w:szCs w:val="21"/>
          <w:highlight w:val="none"/>
          <w:lang w:val="zh-CN"/>
        </w:rPr>
        <w:t>：</w:t>
      </w:r>
    </w:p>
    <w:p w14:paraId="0E8DA151">
      <w:pPr>
        <w:spacing w:line="360" w:lineRule="auto"/>
        <w:ind w:firstLine="420"/>
        <w:outlineLvl w:val="9"/>
        <w:rPr>
          <w:rFonts w:hint="eastAsia" w:ascii="宋体" w:hAnsi="宋体" w:eastAsia="宋体" w:cs="宋体"/>
          <w:color w:val="auto"/>
          <w:sz w:val="22"/>
          <w:szCs w:val="21"/>
          <w:highlight w:val="none"/>
          <w:lang w:val="zh-CN"/>
        </w:rPr>
      </w:pPr>
      <w:r>
        <w:rPr>
          <w:rFonts w:hint="eastAsia" w:ascii="宋体" w:hAnsi="宋体" w:eastAsia="宋体" w:cs="宋体"/>
          <w:color w:val="auto"/>
          <w:sz w:val="22"/>
          <w:szCs w:val="21"/>
          <w:highlight w:val="none"/>
        </w:rPr>
        <w:t>日期：</w:t>
      </w:r>
    </w:p>
    <w:p w14:paraId="744C35E6">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▲注：投标供应商必须提供本承诺书，不提供按无效投标处理。</w:t>
      </w:r>
    </w:p>
    <w:p w14:paraId="249B3B52">
      <w:pPr>
        <w:spacing w:line="440" w:lineRule="exact"/>
        <w:jc w:val="left"/>
        <w:rPr>
          <w:rFonts w:ascii="宋体" w:hAnsi="宋体"/>
          <w:b/>
          <w:color w:val="auto"/>
          <w:sz w:val="32"/>
          <w:szCs w:val="32"/>
          <w:highlight w:val="none"/>
        </w:rPr>
      </w:pPr>
    </w:p>
    <w:p w14:paraId="7FA803AA">
      <w:pPr>
        <w:widowControl w:val="0"/>
        <w:spacing w:line="360" w:lineRule="exact"/>
        <w:jc w:val="left"/>
        <w:outlineLvl w:val="9"/>
        <w:rPr>
          <w:rFonts w:hint="default" w:ascii="宋体" w:hAnsi="宋体" w:eastAsia="宋体" w:cs="宋体"/>
          <w:b/>
          <w:bCs/>
          <w:color w:val="auto"/>
          <w:kern w:val="0"/>
          <w:sz w:val="32"/>
          <w:szCs w:val="21"/>
          <w:highlight w:val="none"/>
          <w:lang w:val="en-US" w:eastAsia="zh-CN" w:bidi="ar-SA"/>
        </w:rPr>
      </w:pPr>
      <w:r>
        <w:rPr>
          <w:rFonts w:hint="eastAsia" w:ascii="宋体" w:hAnsi="宋体" w:eastAsia="宋体" w:cs="Times New Roman"/>
          <w:b/>
          <w:color w:val="auto"/>
          <w:kern w:val="0"/>
          <w:sz w:val="32"/>
          <w:szCs w:val="32"/>
          <w:highlight w:val="none"/>
          <w:lang w:val="zh-CN" w:eastAsia="zh-CN" w:bidi="ar-SA"/>
        </w:rPr>
        <w:t>附件</w:t>
      </w:r>
      <w:r>
        <w:rPr>
          <w:rFonts w:hint="eastAsia" w:ascii="宋体" w:hAnsi="宋体" w:eastAsia="宋体" w:cs="Times New Roman"/>
          <w:b/>
          <w:color w:val="auto"/>
          <w:kern w:val="0"/>
          <w:sz w:val="32"/>
          <w:szCs w:val="32"/>
          <w:highlight w:val="none"/>
          <w:lang w:val="en-US" w:eastAsia="zh-CN" w:bidi="ar-SA"/>
        </w:rPr>
        <w:t>十一</w:t>
      </w:r>
    </w:p>
    <w:p w14:paraId="19140025">
      <w:pPr>
        <w:autoSpaceDE w:val="0"/>
        <w:autoSpaceDN w:val="0"/>
        <w:adjustRightInd w:val="0"/>
        <w:spacing w:line="360" w:lineRule="atLeast"/>
        <w:jc w:val="center"/>
        <w:textAlignment w:val="baseline"/>
        <w:outlineLvl w:val="9"/>
        <w:rPr>
          <w:rFonts w:hint="eastAsia" w:ascii="宋体" w:hAnsi="宋体" w:eastAsia="宋体" w:cs="宋体"/>
          <w:b/>
          <w:bCs/>
          <w:color w:val="auto"/>
          <w:sz w:val="32"/>
          <w:szCs w:val="32"/>
          <w:highlight w:val="none"/>
          <w:lang w:val="zh-CN"/>
        </w:rPr>
      </w:pPr>
      <w:r>
        <w:rPr>
          <w:rFonts w:hint="eastAsia" w:ascii="宋体" w:hAnsi="宋体" w:eastAsia="宋体" w:cs="Times New Roman"/>
          <w:b/>
          <w:color w:val="auto"/>
          <w:kern w:val="0"/>
          <w:sz w:val="32"/>
          <w:szCs w:val="32"/>
          <w:highlight w:val="none"/>
          <w:lang w:val="en-US" w:eastAsia="zh-CN" w:bidi="ar-SA"/>
        </w:rPr>
        <w:t>（一）</w:t>
      </w:r>
      <w:r>
        <w:rPr>
          <w:rFonts w:hint="eastAsia" w:ascii="宋体" w:hAnsi="宋体" w:eastAsia="宋体" w:cs="宋体"/>
          <w:b/>
          <w:bCs/>
          <w:color w:val="auto"/>
          <w:sz w:val="32"/>
          <w:szCs w:val="32"/>
          <w:highlight w:val="none"/>
          <w:lang w:val="zh-CN"/>
        </w:rPr>
        <w:t>商 务 偏 离 表</w:t>
      </w:r>
    </w:p>
    <w:tbl>
      <w:tblPr>
        <w:tblStyle w:val="30"/>
        <w:tblW w:w="9376" w:type="dxa"/>
        <w:jc w:val="center"/>
        <w:tblLayout w:type="fixed"/>
        <w:tblCellMar>
          <w:top w:w="0" w:type="dxa"/>
          <w:left w:w="108" w:type="dxa"/>
          <w:bottom w:w="0" w:type="dxa"/>
          <w:right w:w="108" w:type="dxa"/>
        </w:tblCellMar>
      </w:tblPr>
      <w:tblGrid>
        <w:gridCol w:w="900"/>
        <w:gridCol w:w="2195"/>
        <w:gridCol w:w="2269"/>
        <w:gridCol w:w="2437"/>
        <w:gridCol w:w="1575"/>
      </w:tblGrid>
      <w:tr w14:paraId="0CF14057">
        <w:tblPrEx>
          <w:tblCellMar>
            <w:top w:w="0" w:type="dxa"/>
            <w:left w:w="108" w:type="dxa"/>
            <w:bottom w:w="0" w:type="dxa"/>
            <w:right w:w="108" w:type="dxa"/>
          </w:tblCellMar>
        </w:tblPrEx>
        <w:trPr>
          <w:trHeight w:val="936"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center"/>
          </w:tcPr>
          <w:p w14:paraId="00714896">
            <w:pPr>
              <w:autoSpaceDE w:val="0"/>
              <w:autoSpaceDN w:val="0"/>
              <w:adjustRightInd w:val="0"/>
              <w:spacing w:line="440" w:lineRule="atLeast"/>
              <w:jc w:val="center"/>
              <w:outlineLvl w:val="9"/>
              <w:rPr>
                <w:rFonts w:ascii="宋体" w:hAnsi="宋体" w:eastAsia="宋体" w:cs="Times New Roman"/>
                <w:b/>
                <w:bCs/>
                <w:color w:val="auto"/>
                <w:sz w:val="24"/>
                <w:szCs w:val="22"/>
                <w:highlight w:val="none"/>
              </w:rPr>
            </w:pPr>
            <w:r>
              <w:rPr>
                <w:rFonts w:ascii="宋体" w:hAnsi="宋体" w:eastAsia="宋体" w:cs="Times New Roman"/>
                <w:b/>
                <w:bCs/>
                <w:color w:val="auto"/>
                <w:sz w:val="24"/>
                <w:szCs w:val="22"/>
                <w:highlight w:val="none"/>
              </w:rPr>
              <w:t>序号</w:t>
            </w:r>
          </w:p>
        </w:tc>
        <w:tc>
          <w:tcPr>
            <w:tcW w:w="2195" w:type="dxa"/>
            <w:tcBorders>
              <w:top w:val="single" w:color="auto" w:sz="6" w:space="0"/>
              <w:left w:val="nil"/>
              <w:bottom w:val="single" w:color="auto" w:sz="6" w:space="0"/>
              <w:right w:val="single" w:color="auto" w:sz="6" w:space="0"/>
            </w:tcBorders>
            <w:noWrap w:val="0"/>
            <w:vAlign w:val="center"/>
          </w:tcPr>
          <w:p w14:paraId="60008FBF">
            <w:pPr>
              <w:autoSpaceDE w:val="0"/>
              <w:autoSpaceDN w:val="0"/>
              <w:adjustRightInd w:val="0"/>
              <w:spacing w:line="440" w:lineRule="atLeast"/>
              <w:jc w:val="center"/>
              <w:outlineLvl w:val="9"/>
              <w:rPr>
                <w:rFonts w:ascii="宋体" w:hAnsi="宋体" w:eastAsia="宋体" w:cs="Times New Roman"/>
                <w:b/>
                <w:bCs/>
                <w:color w:val="auto"/>
                <w:sz w:val="24"/>
                <w:szCs w:val="22"/>
                <w:highlight w:val="none"/>
              </w:rPr>
            </w:pPr>
            <w:r>
              <w:rPr>
                <w:rFonts w:ascii="宋体" w:hAnsi="宋体" w:eastAsia="宋体" w:cs="Times New Roman"/>
                <w:b/>
                <w:bCs/>
                <w:color w:val="auto"/>
                <w:sz w:val="24"/>
                <w:szCs w:val="22"/>
                <w:highlight w:val="none"/>
              </w:rPr>
              <w:t>内容</w:t>
            </w:r>
          </w:p>
        </w:tc>
        <w:tc>
          <w:tcPr>
            <w:tcW w:w="2269" w:type="dxa"/>
            <w:tcBorders>
              <w:top w:val="single" w:color="auto" w:sz="6" w:space="0"/>
              <w:left w:val="nil"/>
              <w:bottom w:val="single" w:color="auto" w:sz="6" w:space="0"/>
              <w:right w:val="single" w:color="auto" w:sz="6" w:space="0"/>
            </w:tcBorders>
            <w:noWrap w:val="0"/>
            <w:vAlign w:val="center"/>
          </w:tcPr>
          <w:p w14:paraId="3AC47FB9">
            <w:pPr>
              <w:autoSpaceDE w:val="0"/>
              <w:autoSpaceDN w:val="0"/>
              <w:adjustRightInd w:val="0"/>
              <w:spacing w:line="440" w:lineRule="atLeast"/>
              <w:jc w:val="center"/>
              <w:outlineLvl w:val="9"/>
              <w:rPr>
                <w:rFonts w:hint="eastAsia" w:ascii="宋体" w:hAnsi="宋体" w:eastAsia="宋体" w:cs="Times New Roman"/>
                <w:b/>
                <w:bCs/>
                <w:color w:val="auto"/>
                <w:sz w:val="24"/>
                <w:szCs w:val="22"/>
                <w:highlight w:val="none"/>
                <w:lang w:val="zh-CN"/>
              </w:rPr>
            </w:pPr>
            <w:r>
              <w:rPr>
                <w:rFonts w:hint="eastAsia" w:ascii="宋体" w:hAnsi="宋体" w:eastAsia="宋体" w:cs="Times New Roman"/>
                <w:b/>
                <w:bCs/>
                <w:color w:val="auto"/>
                <w:sz w:val="24"/>
                <w:szCs w:val="22"/>
                <w:highlight w:val="none"/>
                <w:lang w:val="zh-CN"/>
              </w:rPr>
              <w:t>竞争性磋商文件</w:t>
            </w:r>
          </w:p>
          <w:p w14:paraId="091491EA">
            <w:pPr>
              <w:autoSpaceDE w:val="0"/>
              <w:autoSpaceDN w:val="0"/>
              <w:adjustRightInd w:val="0"/>
              <w:spacing w:line="440" w:lineRule="atLeast"/>
              <w:jc w:val="center"/>
              <w:outlineLvl w:val="9"/>
              <w:rPr>
                <w:rFonts w:ascii="宋体" w:hAnsi="宋体" w:eastAsia="宋体" w:cs="Times New Roman"/>
                <w:b/>
                <w:bCs/>
                <w:color w:val="auto"/>
                <w:sz w:val="24"/>
                <w:szCs w:val="22"/>
                <w:highlight w:val="none"/>
              </w:rPr>
            </w:pPr>
            <w:r>
              <w:rPr>
                <w:rFonts w:hint="eastAsia" w:ascii="宋体" w:hAnsi="宋体" w:eastAsia="宋体" w:cs="Times New Roman"/>
                <w:b/>
                <w:bCs/>
                <w:color w:val="auto"/>
                <w:sz w:val="24"/>
                <w:szCs w:val="22"/>
                <w:highlight w:val="none"/>
                <w:lang w:val="zh-CN"/>
              </w:rPr>
              <w:t>规范要求</w:t>
            </w:r>
          </w:p>
        </w:tc>
        <w:tc>
          <w:tcPr>
            <w:tcW w:w="2437" w:type="dxa"/>
            <w:tcBorders>
              <w:top w:val="single" w:color="auto" w:sz="6" w:space="0"/>
              <w:left w:val="nil"/>
              <w:bottom w:val="single" w:color="auto" w:sz="6" w:space="0"/>
              <w:right w:val="single" w:color="auto" w:sz="6" w:space="0"/>
            </w:tcBorders>
            <w:noWrap w:val="0"/>
            <w:vAlign w:val="center"/>
          </w:tcPr>
          <w:p w14:paraId="375F714A">
            <w:pPr>
              <w:autoSpaceDE w:val="0"/>
              <w:autoSpaceDN w:val="0"/>
              <w:adjustRightInd w:val="0"/>
              <w:spacing w:line="440" w:lineRule="atLeast"/>
              <w:jc w:val="center"/>
              <w:outlineLvl w:val="9"/>
              <w:rPr>
                <w:rFonts w:hint="eastAsia" w:ascii="宋体" w:hAnsi="宋体" w:eastAsia="宋体" w:cs="Times New Roman"/>
                <w:b/>
                <w:bCs/>
                <w:color w:val="auto"/>
                <w:sz w:val="24"/>
                <w:szCs w:val="22"/>
                <w:highlight w:val="none"/>
                <w:lang w:val="zh-CN"/>
              </w:rPr>
            </w:pPr>
            <w:r>
              <w:rPr>
                <w:rFonts w:hint="eastAsia" w:ascii="宋体" w:hAnsi="宋体" w:eastAsia="宋体" w:cs="Times New Roman"/>
                <w:b/>
                <w:bCs/>
                <w:color w:val="auto"/>
                <w:sz w:val="24"/>
                <w:szCs w:val="22"/>
                <w:highlight w:val="none"/>
                <w:lang w:val="zh-CN"/>
              </w:rPr>
              <w:t>投标（响应）文件</w:t>
            </w:r>
          </w:p>
          <w:p w14:paraId="18F165A8">
            <w:pPr>
              <w:autoSpaceDE w:val="0"/>
              <w:autoSpaceDN w:val="0"/>
              <w:adjustRightInd w:val="0"/>
              <w:spacing w:line="440" w:lineRule="atLeast"/>
              <w:jc w:val="center"/>
              <w:outlineLvl w:val="9"/>
              <w:rPr>
                <w:rFonts w:ascii="宋体" w:hAnsi="宋体" w:eastAsia="宋体" w:cs="Times New Roman"/>
                <w:b/>
                <w:bCs/>
                <w:color w:val="auto"/>
                <w:sz w:val="24"/>
                <w:szCs w:val="22"/>
                <w:highlight w:val="none"/>
              </w:rPr>
            </w:pPr>
            <w:r>
              <w:rPr>
                <w:rFonts w:hint="eastAsia" w:ascii="宋体" w:hAnsi="宋体" w:eastAsia="宋体" w:cs="Times New Roman"/>
                <w:b/>
                <w:bCs/>
                <w:color w:val="auto"/>
                <w:sz w:val="24"/>
                <w:szCs w:val="22"/>
                <w:highlight w:val="none"/>
                <w:lang w:val="zh-CN"/>
              </w:rPr>
              <w:t>对应规范</w:t>
            </w:r>
          </w:p>
        </w:tc>
        <w:tc>
          <w:tcPr>
            <w:tcW w:w="1575" w:type="dxa"/>
            <w:tcBorders>
              <w:top w:val="single" w:color="auto" w:sz="6" w:space="0"/>
              <w:left w:val="nil"/>
              <w:bottom w:val="single" w:color="auto" w:sz="6" w:space="0"/>
              <w:right w:val="single" w:color="auto" w:sz="6" w:space="0"/>
            </w:tcBorders>
            <w:noWrap w:val="0"/>
            <w:vAlign w:val="center"/>
          </w:tcPr>
          <w:p w14:paraId="59424248">
            <w:pPr>
              <w:autoSpaceDE w:val="0"/>
              <w:autoSpaceDN w:val="0"/>
              <w:adjustRightInd w:val="0"/>
              <w:spacing w:line="440" w:lineRule="atLeast"/>
              <w:jc w:val="center"/>
              <w:outlineLvl w:val="9"/>
              <w:rPr>
                <w:rFonts w:ascii="宋体" w:hAnsi="宋体" w:eastAsia="宋体" w:cs="Times New Roman"/>
                <w:b/>
                <w:bCs/>
                <w:color w:val="auto"/>
                <w:sz w:val="24"/>
                <w:szCs w:val="22"/>
                <w:highlight w:val="none"/>
              </w:rPr>
            </w:pPr>
            <w:r>
              <w:rPr>
                <w:rFonts w:ascii="宋体" w:hAnsi="宋体" w:eastAsia="宋体" w:cs="Times New Roman"/>
                <w:b/>
                <w:bCs/>
                <w:color w:val="auto"/>
                <w:sz w:val="24"/>
                <w:szCs w:val="22"/>
                <w:highlight w:val="none"/>
              </w:rPr>
              <w:t>备注</w:t>
            </w:r>
          </w:p>
        </w:tc>
      </w:tr>
      <w:tr w14:paraId="061EF395">
        <w:tblPrEx>
          <w:tblCellMar>
            <w:top w:w="0" w:type="dxa"/>
            <w:left w:w="108" w:type="dxa"/>
            <w:bottom w:w="0" w:type="dxa"/>
            <w:right w:w="108" w:type="dxa"/>
          </w:tblCellMar>
        </w:tblPrEx>
        <w:trPr>
          <w:trHeight w:val="424"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0C5A15C3">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195" w:type="dxa"/>
            <w:tcBorders>
              <w:top w:val="single" w:color="auto" w:sz="6" w:space="0"/>
              <w:left w:val="nil"/>
              <w:bottom w:val="single" w:color="auto" w:sz="6" w:space="0"/>
              <w:right w:val="single" w:color="auto" w:sz="6" w:space="0"/>
            </w:tcBorders>
            <w:noWrap w:val="0"/>
            <w:vAlign w:val="top"/>
          </w:tcPr>
          <w:p w14:paraId="1E612DBB">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9" w:type="dxa"/>
            <w:tcBorders>
              <w:top w:val="single" w:color="auto" w:sz="6" w:space="0"/>
              <w:left w:val="nil"/>
              <w:bottom w:val="single" w:color="auto" w:sz="6" w:space="0"/>
              <w:right w:val="single" w:color="auto" w:sz="6" w:space="0"/>
            </w:tcBorders>
            <w:noWrap w:val="0"/>
            <w:vAlign w:val="top"/>
          </w:tcPr>
          <w:p w14:paraId="5C782BEF">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37" w:type="dxa"/>
            <w:tcBorders>
              <w:top w:val="single" w:color="auto" w:sz="6" w:space="0"/>
              <w:left w:val="nil"/>
              <w:bottom w:val="single" w:color="auto" w:sz="6" w:space="0"/>
              <w:right w:val="single" w:color="auto" w:sz="6" w:space="0"/>
            </w:tcBorders>
            <w:noWrap w:val="0"/>
            <w:vAlign w:val="top"/>
          </w:tcPr>
          <w:p w14:paraId="69F32FBC">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575" w:type="dxa"/>
            <w:tcBorders>
              <w:top w:val="single" w:color="auto" w:sz="6" w:space="0"/>
              <w:left w:val="nil"/>
              <w:bottom w:val="single" w:color="auto" w:sz="6" w:space="0"/>
              <w:right w:val="single" w:color="auto" w:sz="6" w:space="0"/>
            </w:tcBorders>
            <w:noWrap w:val="0"/>
            <w:vAlign w:val="top"/>
          </w:tcPr>
          <w:p w14:paraId="1808314E">
            <w:pPr>
              <w:autoSpaceDE w:val="0"/>
              <w:autoSpaceDN w:val="0"/>
              <w:adjustRightInd w:val="0"/>
              <w:spacing w:line="440" w:lineRule="atLeast"/>
              <w:jc w:val="center"/>
              <w:outlineLvl w:val="9"/>
              <w:rPr>
                <w:rFonts w:ascii="宋体" w:eastAsia="宋体" w:cs="宋体"/>
                <w:b/>
                <w:bCs/>
                <w:color w:val="auto"/>
                <w:sz w:val="24"/>
                <w:szCs w:val="22"/>
                <w:highlight w:val="none"/>
              </w:rPr>
            </w:pPr>
          </w:p>
        </w:tc>
      </w:tr>
      <w:tr w14:paraId="2AC48B9F">
        <w:tblPrEx>
          <w:tblCellMar>
            <w:top w:w="0" w:type="dxa"/>
            <w:left w:w="108" w:type="dxa"/>
            <w:bottom w:w="0" w:type="dxa"/>
            <w:right w:w="108" w:type="dxa"/>
          </w:tblCellMar>
        </w:tblPrEx>
        <w:trPr>
          <w:trHeight w:val="424"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5B131D4F">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195" w:type="dxa"/>
            <w:tcBorders>
              <w:top w:val="single" w:color="auto" w:sz="6" w:space="0"/>
              <w:left w:val="nil"/>
              <w:bottom w:val="single" w:color="auto" w:sz="6" w:space="0"/>
              <w:right w:val="single" w:color="auto" w:sz="6" w:space="0"/>
            </w:tcBorders>
            <w:noWrap w:val="0"/>
            <w:vAlign w:val="top"/>
          </w:tcPr>
          <w:p w14:paraId="2AC153C0">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9" w:type="dxa"/>
            <w:tcBorders>
              <w:top w:val="single" w:color="auto" w:sz="6" w:space="0"/>
              <w:left w:val="nil"/>
              <w:bottom w:val="single" w:color="auto" w:sz="6" w:space="0"/>
              <w:right w:val="single" w:color="auto" w:sz="6" w:space="0"/>
            </w:tcBorders>
            <w:noWrap w:val="0"/>
            <w:vAlign w:val="top"/>
          </w:tcPr>
          <w:p w14:paraId="33A008EE">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37" w:type="dxa"/>
            <w:tcBorders>
              <w:top w:val="single" w:color="auto" w:sz="6" w:space="0"/>
              <w:left w:val="nil"/>
              <w:bottom w:val="single" w:color="auto" w:sz="6" w:space="0"/>
              <w:right w:val="single" w:color="auto" w:sz="6" w:space="0"/>
            </w:tcBorders>
            <w:noWrap w:val="0"/>
            <w:vAlign w:val="top"/>
          </w:tcPr>
          <w:p w14:paraId="6F478869">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575" w:type="dxa"/>
            <w:tcBorders>
              <w:top w:val="single" w:color="auto" w:sz="6" w:space="0"/>
              <w:left w:val="nil"/>
              <w:bottom w:val="single" w:color="auto" w:sz="6" w:space="0"/>
              <w:right w:val="single" w:color="auto" w:sz="6" w:space="0"/>
            </w:tcBorders>
            <w:noWrap w:val="0"/>
            <w:vAlign w:val="top"/>
          </w:tcPr>
          <w:p w14:paraId="5E26BFC5">
            <w:pPr>
              <w:autoSpaceDE w:val="0"/>
              <w:autoSpaceDN w:val="0"/>
              <w:adjustRightInd w:val="0"/>
              <w:spacing w:line="440" w:lineRule="atLeast"/>
              <w:jc w:val="center"/>
              <w:outlineLvl w:val="9"/>
              <w:rPr>
                <w:rFonts w:ascii="宋体" w:eastAsia="宋体" w:cs="宋体"/>
                <w:b/>
                <w:bCs/>
                <w:color w:val="auto"/>
                <w:sz w:val="24"/>
                <w:szCs w:val="22"/>
                <w:highlight w:val="none"/>
              </w:rPr>
            </w:pPr>
          </w:p>
        </w:tc>
      </w:tr>
      <w:tr w14:paraId="16BC3F64">
        <w:tblPrEx>
          <w:tblCellMar>
            <w:top w:w="0" w:type="dxa"/>
            <w:left w:w="108" w:type="dxa"/>
            <w:bottom w:w="0" w:type="dxa"/>
            <w:right w:w="108" w:type="dxa"/>
          </w:tblCellMar>
        </w:tblPrEx>
        <w:trPr>
          <w:trHeight w:val="424"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1DEA2DAA">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195" w:type="dxa"/>
            <w:tcBorders>
              <w:top w:val="single" w:color="auto" w:sz="6" w:space="0"/>
              <w:left w:val="nil"/>
              <w:bottom w:val="single" w:color="auto" w:sz="6" w:space="0"/>
              <w:right w:val="single" w:color="auto" w:sz="6" w:space="0"/>
            </w:tcBorders>
            <w:noWrap w:val="0"/>
            <w:vAlign w:val="top"/>
          </w:tcPr>
          <w:p w14:paraId="2AFC54B3">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9" w:type="dxa"/>
            <w:tcBorders>
              <w:top w:val="single" w:color="auto" w:sz="6" w:space="0"/>
              <w:left w:val="nil"/>
              <w:bottom w:val="single" w:color="auto" w:sz="6" w:space="0"/>
              <w:right w:val="single" w:color="auto" w:sz="6" w:space="0"/>
            </w:tcBorders>
            <w:noWrap w:val="0"/>
            <w:vAlign w:val="top"/>
          </w:tcPr>
          <w:p w14:paraId="223FAFFC">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37" w:type="dxa"/>
            <w:tcBorders>
              <w:top w:val="single" w:color="auto" w:sz="6" w:space="0"/>
              <w:left w:val="nil"/>
              <w:bottom w:val="single" w:color="auto" w:sz="6" w:space="0"/>
              <w:right w:val="single" w:color="auto" w:sz="6" w:space="0"/>
            </w:tcBorders>
            <w:noWrap w:val="0"/>
            <w:vAlign w:val="top"/>
          </w:tcPr>
          <w:p w14:paraId="2A161E05">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575" w:type="dxa"/>
            <w:tcBorders>
              <w:top w:val="single" w:color="auto" w:sz="6" w:space="0"/>
              <w:left w:val="nil"/>
              <w:bottom w:val="single" w:color="auto" w:sz="6" w:space="0"/>
              <w:right w:val="single" w:color="auto" w:sz="6" w:space="0"/>
            </w:tcBorders>
            <w:noWrap w:val="0"/>
            <w:vAlign w:val="top"/>
          </w:tcPr>
          <w:p w14:paraId="4E88A735">
            <w:pPr>
              <w:autoSpaceDE w:val="0"/>
              <w:autoSpaceDN w:val="0"/>
              <w:adjustRightInd w:val="0"/>
              <w:spacing w:line="440" w:lineRule="atLeast"/>
              <w:jc w:val="center"/>
              <w:outlineLvl w:val="9"/>
              <w:rPr>
                <w:rFonts w:ascii="宋体" w:eastAsia="宋体" w:cs="宋体"/>
                <w:b/>
                <w:bCs/>
                <w:color w:val="auto"/>
                <w:sz w:val="24"/>
                <w:szCs w:val="22"/>
                <w:highlight w:val="none"/>
              </w:rPr>
            </w:pPr>
          </w:p>
        </w:tc>
      </w:tr>
      <w:tr w14:paraId="320DA89C">
        <w:tblPrEx>
          <w:tblCellMar>
            <w:top w:w="0" w:type="dxa"/>
            <w:left w:w="108" w:type="dxa"/>
            <w:bottom w:w="0" w:type="dxa"/>
            <w:right w:w="108" w:type="dxa"/>
          </w:tblCellMar>
        </w:tblPrEx>
        <w:trPr>
          <w:trHeight w:val="436"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61104BA8">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195" w:type="dxa"/>
            <w:tcBorders>
              <w:top w:val="single" w:color="auto" w:sz="6" w:space="0"/>
              <w:left w:val="nil"/>
              <w:bottom w:val="single" w:color="auto" w:sz="6" w:space="0"/>
              <w:right w:val="single" w:color="auto" w:sz="6" w:space="0"/>
            </w:tcBorders>
            <w:noWrap w:val="0"/>
            <w:vAlign w:val="top"/>
          </w:tcPr>
          <w:p w14:paraId="51F448F9">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9" w:type="dxa"/>
            <w:tcBorders>
              <w:top w:val="single" w:color="auto" w:sz="6" w:space="0"/>
              <w:left w:val="nil"/>
              <w:bottom w:val="single" w:color="auto" w:sz="6" w:space="0"/>
              <w:right w:val="single" w:color="auto" w:sz="6" w:space="0"/>
            </w:tcBorders>
            <w:noWrap w:val="0"/>
            <w:vAlign w:val="top"/>
          </w:tcPr>
          <w:p w14:paraId="5F98D02F">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37" w:type="dxa"/>
            <w:tcBorders>
              <w:top w:val="single" w:color="auto" w:sz="6" w:space="0"/>
              <w:left w:val="nil"/>
              <w:bottom w:val="single" w:color="auto" w:sz="6" w:space="0"/>
              <w:right w:val="single" w:color="auto" w:sz="6" w:space="0"/>
            </w:tcBorders>
            <w:noWrap w:val="0"/>
            <w:vAlign w:val="top"/>
          </w:tcPr>
          <w:p w14:paraId="4232DC5A">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575" w:type="dxa"/>
            <w:tcBorders>
              <w:top w:val="single" w:color="auto" w:sz="6" w:space="0"/>
              <w:left w:val="nil"/>
              <w:bottom w:val="single" w:color="auto" w:sz="6" w:space="0"/>
              <w:right w:val="single" w:color="auto" w:sz="6" w:space="0"/>
            </w:tcBorders>
            <w:noWrap w:val="0"/>
            <w:vAlign w:val="top"/>
          </w:tcPr>
          <w:p w14:paraId="38157ACB">
            <w:pPr>
              <w:autoSpaceDE w:val="0"/>
              <w:autoSpaceDN w:val="0"/>
              <w:adjustRightInd w:val="0"/>
              <w:spacing w:line="440" w:lineRule="atLeast"/>
              <w:jc w:val="center"/>
              <w:outlineLvl w:val="9"/>
              <w:rPr>
                <w:rFonts w:ascii="宋体" w:eastAsia="宋体" w:cs="宋体"/>
                <w:b/>
                <w:bCs/>
                <w:color w:val="auto"/>
                <w:sz w:val="24"/>
                <w:szCs w:val="22"/>
                <w:highlight w:val="none"/>
              </w:rPr>
            </w:pPr>
          </w:p>
        </w:tc>
      </w:tr>
      <w:tr w14:paraId="028ED358">
        <w:tblPrEx>
          <w:tblCellMar>
            <w:top w:w="0" w:type="dxa"/>
            <w:left w:w="108" w:type="dxa"/>
            <w:bottom w:w="0" w:type="dxa"/>
            <w:right w:w="108" w:type="dxa"/>
          </w:tblCellMar>
        </w:tblPrEx>
        <w:trPr>
          <w:trHeight w:val="424"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520666C4">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195" w:type="dxa"/>
            <w:tcBorders>
              <w:top w:val="single" w:color="auto" w:sz="6" w:space="0"/>
              <w:left w:val="nil"/>
              <w:bottom w:val="single" w:color="auto" w:sz="6" w:space="0"/>
              <w:right w:val="single" w:color="auto" w:sz="6" w:space="0"/>
            </w:tcBorders>
            <w:noWrap w:val="0"/>
            <w:vAlign w:val="top"/>
          </w:tcPr>
          <w:p w14:paraId="640D00A8">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9" w:type="dxa"/>
            <w:tcBorders>
              <w:top w:val="single" w:color="auto" w:sz="6" w:space="0"/>
              <w:left w:val="nil"/>
              <w:bottom w:val="single" w:color="auto" w:sz="6" w:space="0"/>
              <w:right w:val="single" w:color="auto" w:sz="6" w:space="0"/>
            </w:tcBorders>
            <w:noWrap w:val="0"/>
            <w:vAlign w:val="top"/>
          </w:tcPr>
          <w:p w14:paraId="42B2027E">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37" w:type="dxa"/>
            <w:tcBorders>
              <w:top w:val="single" w:color="auto" w:sz="6" w:space="0"/>
              <w:left w:val="nil"/>
              <w:bottom w:val="single" w:color="auto" w:sz="6" w:space="0"/>
              <w:right w:val="single" w:color="auto" w:sz="6" w:space="0"/>
            </w:tcBorders>
            <w:noWrap w:val="0"/>
            <w:vAlign w:val="top"/>
          </w:tcPr>
          <w:p w14:paraId="14F7AEA6">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575" w:type="dxa"/>
            <w:tcBorders>
              <w:top w:val="single" w:color="auto" w:sz="6" w:space="0"/>
              <w:left w:val="nil"/>
              <w:bottom w:val="single" w:color="auto" w:sz="6" w:space="0"/>
              <w:right w:val="single" w:color="auto" w:sz="6" w:space="0"/>
            </w:tcBorders>
            <w:noWrap w:val="0"/>
            <w:vAlign w:val="top"/>
          </w:tcPr>
          <w:p w14:paraId="1A17AAD1">
            <w:pPr>
              <w:autoSpaceDE w:val="0"/>
              <w:autoSpaceDN w:val="0"/>
              <w:adjustRightInd w:val="0"/>
              <w:spacing w:line="440" w:lineRule="atLeast"/>
              <w:jc w:val="center"/>
              <w:outlineLvl w:val="9"/>
              <w:rPr>
                <w:rFonts w:ascii="宋体" w:eastAsia="宋体" w:cs="宋体"/>
                <w:b/>
                <w:bCs/>
                <w:color w:val="auto"/>
                <w:sz w:val="24"/>
                <w:szCs w:val="22"/>
                <w:highlight w:val="none"/>
              </w:rPr>
            </w:pPr>
          </w:p>
        </w:tc>
      </w:tr>
      <w:tr w14:paraId="68EDE647">
        <w:tblPrEx>
          <w:tblCellMar>
            <w:top w:w="0" w:type="dxa"/>
            <w:left w:w="108" w:type="dxa"/>
            <w:bottom w:w="0" w:type="dxa"/>
            <w:right w:w="108" w:type="dxa"/>
          </w:tblCellMar>
        </w:tblPrEx>
        <w:trPr>
          <w:trHeight w:val="424" w:hRule="atLeast"/>
          <w:jc w:val="center"/>
        </w:trPr>
        <w:tc>
          <w:tcPr>
            <w:tcW w:w="900" w:type="dxa"/>
            <w:tcBorders>
              <w:top w:val="single" w:color="auto" w:sz="6" w:space="0"/>
              <w:left w:val="single" w:color="auto" w:sz="6" w:space="0"/>
              <w:bottom w:val="single" w:color="auto" w:sz="6" w:space="0"/>
              <w:right w:val="single" w:color="auto" w:sz="6" w:space="0"/>
            </w:tcBorders>
            <w:noWrap w:val="0"/>
            <w:vAlign w:val="top"/>
          </w:tcPr>
          <w:p w14:paraId="6467FBA3">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195" w:type="dxa"/>
            <w:tcBorders>
              <w:top w:val="single" w:color="auto" w:sz="6" w:space="0"/>
              <w:left w:val="nil"/>
              <w:bottom w:val="single" w:color="auto" w:sz="6" w:space="0"/>
              <w:right w:val="single" w:color="auto" w:sz="6" w:space="0"/>
            </w:tcBorders>
            <w:noWrap w:val="0"/>
            <w:vAlign w:val="top"/>
          </w:tcPr>
          <w:p w14:paraId="0DDDC454">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9" w:type="dxa"/>
            <w:tcBorders>
              <w:top w:val="single" w:color="auto" w:sz="6" w:space="0"/>
              <w:left w:val="nil"/>
              <w:bottom w:val="single" w:color="auto" w:sz="6" w:space="0"/>
              <w:right w:val="single" w:color="auto" w:sz="6" w:space="0"/>
            </w:tcBorders>
            <w:noWrap w:val="0"/>
            <w:vAlign w:val="top"/>
          </w:tcPr>
          <w:p w14:paraId="2FF5ED6B">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37" w:type="dxa"/>
            <w:tcBorders>
              <w:top w:val="single" w:color="auto" w:sz="6" w:space="0"/>
              <w:left w:val="nil"/>
              <w:bottom w:val="single" w:color="auto" w:sz="6" w:space="0"/>
              <w:right w:val="single" w:color="auto" w:sz="6" w:space="0"/>
            </w:tcBorders>
            <w:noWrap w:val="0"/>
            <w:vAlign w:val="top"/>
          </w:tcPr>
          <w:p w14:paraId="62D0B2D1">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575" w:type="dxa"/>
            <w:tcBorders>
              <w:top w:val="single" w:color="auto" w:sz="6" w:space="0"/>
              <w:left w:val="nil"/>
              <w:bottom w:val="single" w:color="auto" w:sz="6" w:space="0"/>
              <w:right w:val="single" w:color="auto" w:sz="6" w:space="0"/>
            </w:tcBorders>
            <w:noWrap w:val="0"/>
            <w:vAlign w:val="top"/>
          </w:tcPr>
          <w:p w14:paraId="7BEC4123">
            <w:pPr>
              <w:autoSpaceDE w:val="0"/>
              <w:autoSpaceDN w:val="0"/>
              <w:adjustRightInd w:val="0"/>
              <w:spacing w:line="440" w:lineRule="atLeast"/>
              <w:jc w:val="center"/>
              <w:outlineLvl w:val="9"/>
              <w:rPr>
                <w:rFonts w:ascii="宋体" w:eastAsia="宋体" w:cs="宋体"/>
                <w:b/>
                <w:bCs/>
                <w:color w:val="auto"/>
                <w:sz w:val="24"/>
                <w:szCs w:val="22"/>
                <w:highlight w:val="none"/>
              </w:rPr>
            </w:pPr>
          </w:p>
        </w:tc>
      </w:tr>
    </w:tbl>
    <w:p w14:paraId="40968F9A">
      <w:pPr>
        <w:widowControl w:val="0"/>
        <w:tabs>
          <w:tab w:val="left" w:pos="1069"/>
          <w:tab w:val="left" w:pos="2352"/>
        </w:tabs>
        <w:spacing w:line="440" w:lineRule="atLeast"/>
        <w:jc w:val="both"/>
        <w:outlineLvl w:val="9"/>
        <w:rPr>
          <w:rFonts w:hint="eastAsia" w:ascii="宋体" w:hAnsi="宋体" w:eastAsia="宋体" w:cs="宋体"/>
          <w:b/>
          <w:bCs/>
          <w:color w:val="auto"/>
          <w:kern w:val="0"/>
          <w:sz w:val="24"/>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供应商名称（盖章）：</w:t>
      </w:r>
    </w:p>
    <w:p w14:paraId="689F6EF0">
      <w:pPr>
        <w:autoSpaceDE w:val="0"/>
        <w:autoSpaceDN w:val="0"/>
        <w:adjustRightInd w:val="0"/>
        <w:spacing w:line="440" w:lineRule="atLeast"/>
        <w:outlineLvl w:val="9"/>
        <w:rPr>
          <w:rFonts w:hint="eastAsia" w:ascii="宋体" w:hAnsi="宋体" w:eastAsia="宋体" w:cs="Times New Roman"/>
          <w:b/>
          <w:color w:val="auto"/>
          <w:sz w:val="32"/>
          <w:szCs w:val="32"/>
          <w:highlight w:val="none"/>
        </w:rPr>
      </w:pPr>
    </w:p>
    <w:p w14:paraId="58B77585">
      <w:pPr>
        <w:autoSpaceDE w:val="0"/>
        <w:autoSpaceDN w:val="0"/>
        <w:adjustRightInd w:val="0"/>
        <w:spacing w:line="360" w:lineRule="atLeast"/>
        <w:jc w:val="center"/>
        <w:textAlignment w:val="baseline"/>
        <w:outlineLvl w:val="9"/>
        <w:rPr>
          <w:rFonts w:hint="eastAsia" w:ascii="宋体" w:hAnsi="宋体" w:eastAsia="宋体" w:cs="Times New Roman"/>
          <w:b/>
          <w:color w:val="auto"/>
          <w:kern w:val="0"/>
          <w:sz w:val="32"/>
          <w:szCs w:val="32"/>
          <w:highlight w:val="none"/>
          <w:lang w:val="en-US" w:eastAsia="zh-CN" w:bidi="ar-SA"/>
        </w:rPr>
      </w:pPr>
    </w:p>
    <w:p w14:paraId="1D742D6D">
      <w:pPr>
        <w:autoSpaceDE w:val="0"/>
        <w:autoSpaceDN w:val="0"/>
        <w:adjustRightInd w:val="0"/>
        <w:spacing w:line="360" w:lineRule="atLeast"/>
        <w:jc w:val="center"/>
        <w:textAlignment w:val="baseline"/>
        <w:outlineLvl w:val="9"/>
        <w:rPr>
          <w:rFonts w:hint="eastAsia" w:ascii="宋体" w:hAnsi="宋体" w:eastAsia="宋体" w:cs="宋体"/>
          <w:b/>
          <w:bCs/>
          <w:color w:val="auto"/>
          <w:sz w:val="32"/>
          <w:szCs w:val="32"/>
          <w:highlight w:val="none"/>
          <w:lang w:val="zh-CN"/>
        </w:rPr>
      </w:pPr>
      <w:r>
        <w:rPr>
          <w:rFonts w:hint="eastAsia" w:ascii="宋体" w:hAnsi="宋体" w:eastAsia="宋体" w:cs="Times New Roman"/>
          <w:b/>
          <w:color w:val="auto"/>
          <w:kern w:val="0"/>
          <w:sz w:val="32"/>
          <w:szCs w:val="32"/>
          <w:highlight w:val="none"/>
          <w:lang w:val="en-US" w:eastAsia="zh-CN" w:bidi="ar-SA"/>
        </w:rPr>
        <w:t>（二）</w:t>
      </w:r>
      <w:r>
        <w:rPr>
          <w:rFonts w:hint="eastAsia" w:ascii="宋体" w:hAnsi="宋体" w:eastAsia="宋体" w:cs="宋体"/>
          <w:b/>
          <w:bCs/>
          <w:color w:val="auto"/>
          <w:sz w:val="32"/>
          <w:szCs w:val="32"/>
          <w:highlight w:val="none"/>
          <w:lang w:val="zh-CN"/>
        </w:rPr>
        <w:t>技 术 偏 离 表</w:t>
      </w:r>
    </w:p>
    <w:tbl>
      <w:tblPr>
        <w:tblStyle w:val="30"/>
        <w:tblW w:w="9396" w:type="dxa"/>
        <w:jc w:val="center"/>
        <w:tblLayout w:type="fixed"/>
        <w:tblCellMar>
          <w:top w:w="0" w:type="dxa"/>
          <w:left w:w="108" w:type="dxa"/>
          <w:bottom w:w="0" w:type="dxa"/>
          <w:right w:w="108" w:type="dxa"/>
        </w:tblCellMar>
      </w:tblPr>
      <w:tblGrid>
        <w:gridCol w:w="858"/>
        <w:gridCol w:w="2222"/>
        <w:gridCol w:w="2264"/>
        <w:gridCol w:w="2441"/>
        <w:gridCol w:w="1611"/>
      </w:tblGrid>
      <w:tr w14:paraId="65A9CD6D">
        <w:tblPrEx>
          <w:tblCellMar>
            <w:top w:w="0" w:type="dxa"/>
            <w:left w:w="108" w:type="dxa"/>
            <w:bottom w:w="0" w:type="dxa"/>
            <w:right w:w="108" w:type="dxa"/>
          </w:tblCellMar>
        </w:tblPrEx>
        <w:trPr>
          <w:trHeight w:val="918" w:hRule="atLeast"/>
          <w:jc w:val="center"/>
        </w:trPr>
        <w:tc>
          <w:tcPr>
            <w:tcW w:w="858" w:type="dxa"/>
            <w:tcBorders>
              <w:top w:val="single" w:color="auto" w:sz="6" w:space="0"/>
              <w:left w:val="single" w:color="auto" w:sz="6" w:space="0"/>
              <w:bottom w:val="single" w:color="auto" w:sz="6" w:space="0"/>
              <w:right w:val="single" w:color="auto" w:sz="6" w:space="0"/>
            </w:tcBorders>
            <w:noWrap w:val="0"/>
            <w:vAlign w:val="center"/>
          </w:tcPr>
          <w:p w14:paraId="2169BD7F">
            <w:pPr>
              <w:autoSpaceDE w:val="0"/>
              <w:autoSpaceDN w:val="0"/>
              <w:adjustRightInd w:val="0"/>
              <w:spacing w:line="440" w:lineRule="atLeast"/>
              <w:jc w:val="center"/>
              <w:outlineLvl w:val="9"/>
              <w:rPr>
                <w:rFonts w:ascii="宋体" w:hAnsi="宋体" w:eastAsia="宋体" w:cs="Times New Roman"/>
                <w:b/>
                <w:bCs/>
                <w:color w:val="auto"/>
                <w:sz w:val="24"/>
                <w:szCs w:val="22"/>
                <w:highlight w:val="none"/>
              </w:rPr>
            </w:pPr>
            <w:r>
              <w:rPr>
                <w:rFonts w:ascii="宋体" w:hAnsi="宋体" w:eastAsia="宋体" w:cs="Times New Roman"/>
                <w:b/>
                <w:bCs/>
                <w:color w:val="auto"/>
                <w:sz w:val="24"/>
                <w:szCs w:val="22"/>
                <w:highlight w:val="none"/>
              </w:rPr>
              <w:t>序号</w:t>
            </w:r>
          </w:p>
        </w:tc>
        <w:tc>
          <w:tcPr>
            <w:tcW w:w="2222" w:type="dxa"/>
            <w:tcBorders>
              <w:top w:val="single" w:color="auto" w:sz="6" w:space="0"/>
              <w:left w:val="nil"/>
              <w:bottom w:val="single" w:color="auto" w:sz="6" w:space="0"/>
              <w:right w:val="single" w:color="auto" w:sz="6" w:space="0"/>
            </w:tcBorders>
            <w:noWrap w:val="0"/>
            <w:vAlign w:val="center"/>
          </w:tcPr>
          <w:p w14:paraId="0C1110D0">
            <w:pPr>
              <w:autoSpaceDE w:val="0"/>
              <w:autoSpaceDN w:val="0"/>
              <w:adjustRightInd w:val="0"/>
              <w:spacing w:line="440" w:lineRule="atLeast"/>
              <w:jc w:val="center"/>
              <w:outlineLvl w:val="9"/>
              <w:rPr>
                <w:rFonts w:ascii="宋体" w:hAnsi="宋体" w:eastAsia="宋体" w:cs="Times New Roman"/>
                <w:b/>
                <w:bCs/>
                <w:color w:val="auto"/>
                <w:sz w:val="24"/>
                <w:szCs w:val="22"/>
                <w:highlight w:val="none"/>
              </w:rPr>
            </w:pPr>
            <w:r>
              <w:rPr>
                <w:rFonts w:ascii="宋体" w:hAnsi="宋体" w:eastAsia="宋体" w:cs="Times New Roman"/>
                <w:b/>
                <w:bCs/>
                <w:color w:val="auto"/>
                <w:sz w:val="24"/>
                <w:szCs w:val="22"/>
                <w:highlight w:val="none"/>
              </w:rPr>
              <w:t>内容</w:t>
            </w:r>
          </w:p>
        </w:tc>
        <w:tc>
          <w:tcPr>
            <w:tcW w:w="2264" w:type="dxa"/>
            <w:tcBorders>
              <w:top w:val="single" w:color="auto" w:sz="6" w:space="0"/>
              <w:left w:val="nil"/>
              <w:bottom w:val="single" w:color="auto" w:sz="6" w:space="0"/>
              <w:right w:val="single" w:color="auto" w:sz="6" w:space="0"/>
            </w:tcBorders>
            <w:noWrap w:val="0"/>
            <w:vAlign w:val="center"/>
          </w:tcPr>
          <w:p w14:paraId="19563971">
            <w:pPr>
              <w:autoSpaceDE w:val="0"/>
              <w:autoSpaceDN w:val="0"/>
              <w:adjustRightInd w:val="0"/>
              <w:spacing w:line="440" w:lineRule="atLeast"/>
              <w:jc w:val="center"/>
              <w:outlineLvl w:val="9"/>
              <w:rPr>
                <w:rFonts w:hint="eastAsia" w:ascii="宋体" w:hAnsi="宋体" w:eastAsia="宋体" w:cs="Times New Roman"/>
                <w:b/>
                <w:bCs/>
                <w:color w:val="auto"/>
                <w:sz w:val="24"/>
                <w:szCs w:val="22"/>
                <w:highlight w:val="none"/>
                <w:lang w:val="zh-CN"/>
              </w:rPr>
            </w:pPr>
            <w:r>
              <w:rPr>
                <w:rFonts w:hint="eastAsia" w:ascii="宋体" w:hAnsi="宋体" w:eastAsia="宋体" w:cs="Times New Roman"/>
                <w:b/>
                <w:bCs/>
                <w:color w:val="auto"/>
                <w:sz w:val="24"/>
                <w:szCs w:val="22"/>
                <w:highlight w:val="none"/>
                <w:lang w:val="zh-CN"/>
              </w:rPr>
              <w:t>竞争性磋商文件</w:t>
            </w:r>
          </w:p>
          <w:p w14:paraId="21588A4B">
            <w:pPr>
              <w:autoSpaceDE w:val="0"/>
              <w:autoSpaceDN w:val="0"/>
              <w:adjustRightInd w:val="0"/>
              <w:spacing w:line="440" w:lineRule="atLeast"/>
              <w:jc w:val="center"/>
              <w:outlineLvl w:val="9"/>
              <w:rPr>
                <w:rFonts w:ascii="宋体" w:hAnsi="宋体" w:eastAsia="宋体" w:cs="Times New Roman"/>
                <w:b/>
                <w:bCs/>
                <w:color w:val="auto"/>
                <w:sz w:val="24"/>
                <w:szCs w:val="22"/>
                <w:highlight w:val="none"/>
              </w:rPr>
            </w:pPr>
            <w:r>
              <w:rPr>
                <w:rFonts w:hint="eastAsia" w:ascii="宋体" w:hAnsi="宋体" w:eastAsia="宋体" w:cs="Times New Roman"/>
                <w:b/>
                <w:bCs/>
                <w:color w:val="auto"/>
                <w:sz w:val="24"/>
                <w:szCs w:val="22"/>
                <w:highlight w:val="none"/>
                <w:lang w:val="zh-CN"/>
              </w:rPr>
              <w:t>规范要求</w:t>
            </w:r>
          </w:p>
        </w:tc>
        <w:tc>
          <w:tcPr>
            <w:tcW w:w="2441" w:type="dxa"/>
            <w:tcBorders>
              <w:top w:val="single" w:color="auto" w:sz="6" w:space="0"/>
              <w:left w:val="nil"/>
              <w:bottom w:val="single" w:color="auto" w:sz="6" w:space="0"/>
              <w:right w:val="single" w:color="auto" w:sz="6" w:space="0"/>
            </w:tcBorders>
            <w:noWrap w:val="0"/>
            <w:vAlign w:val="center"/>
          </w:tcPr>
          <w:p w14:paraId="19188827">
            <w:pPr>
              <w:autoSpaceDE w:val="0"/>
              <w:autoSpaceDN w:val="0"/>
              <w:adjustRightInd w:val="0"/>
              <w:spacing w:line="440" w:lineRule="atLeast"/>
              <w:jc w:val="center"/>
              <w:outlineLvl w:val="9"/>
              <w:rPr>
                <w:rFonts w:hint="eastAsia" w:ascii="宋体" w:hAnsi="宋体" w:eastAsia="宋体" w:cs="Times New Roman"/>
                <w:b/>
                <w:bCs/>
                <w:color w:val="auto"/>
                <w:sz w:val="24"/>
                <w:szCs w:val="22"/>
                <w:highlight w:val="none"/>
                <w:lang w:val="zh-CN"/>
              </w:rPr>
            </w:pPr>
            <w:r>
              <w:rPr>
                <w:rFonts w:hint="eastAsia" w:ascii="宋体" w:hAnsi="宋体" w:eastAsia="宋体" w:cs="Times New Roman"/>
                <w:b/>
                <w:bCs/>
                <w:color w:val="auto"/>
                <w:sz w:val="24"/>
                <w:szCs w:val="22"/>
                <w:highlight w:val="none"/>
                <w:lang w:val="zh-CN"/>
              </w:rPr>
              <w:t>投标（响应）文件</w:t>
            </w:r>
          </w:p>
          <w:p w14:paraId="2B41E4DC">
            <w:pPr>
              <w:autoSpaceDE w:val="0"/>
              <w:autoSpaceDN w:val="0"/>
              <w:adjustRightInd w:val="0"/>
              <w:spacing w:line="440" w:lineRule="atLeast"/>
              <w:jc w:val="center"/>
              <w:outlineLvl w:val="9"/>
              <w:rPr>
                <w:rFonts w:ascii="宋体" w:hAnsi="宋体" w:eastAsia="宋体" w:cs="Times New Roman"/>
                <w:b/>
                <w:bCs/>
                <w:color w:val="auto"/>
                <w:sz w:val="24"/>
                <w:szCs w:val="22"/>
                <w:highlight w:val="none"/>
              </w:rPr>
            </w:pPr>
            <w:r>
              <w:rPr>
                <w:rFonts w:hint="eastAsia" w:ascii="宋体" w:hAnsi="宋体" w:eastAsia="宋体" w:cs="Times New Roman"/>
                <w:b/>
                <w:bCs/>
                <w:color w:val="auto"/>
                <w:sz w:val="24"/>
                <w:szCs w:val="22"/>
                <w:highlight w:val="none"/>
                <w:lang w:val="zh-CN"/>
              </w:rPr>
              <w:t>对应规范</w:t>
            </w:r>
          </w:p>
        </w:tc>
        <w:tc>
          <w:tcPr>
            <w:tcW w:w="1611" w:type="dxa"/>
            <w:tcBorders>
              <w:top w:val="single" w:color="auto" w:sz="6" w:space="0"/>
              <w:left w:val="nil"/>
              <w:bottom w:val="single" w:color="auto" w:sz="6" w:space="0"/>
              <w:right w:val="single" w:color="auto" w:sz="6" w:space="0"/>
            </w:tcBorders>
            <w:noWrap w:val="0"/>
            <w:vAlign w:val="center"/>
          </w:tcPr>
          <w:p w14:paraId="2982A41A">
            <w:pPr>
              <w:autoSpaceDE w:val="0"/>
              <w:autoSpaceDN w:val="0"/>
              <w:adjustRightInd w:val="0"/>
              <w:spacing w:line="440" w:lineRule="atLeast"/>
              <w:jc w:val="center"/>
              <w:outlineLvl w:val="9"/>
              <w:rPr>
                <w:rFonts w:ascii="宋体" w:hAnsi="宋体" w:eastAsia="宋体" w:cs="Times New Roman"/>
                <w:b/>
                <w:bCs/>
                <w:color w:val="auto"/>
                <w:sz w:val="24"/>
                <w:szCs w:val="22"/>
                <w:highlight w:val="none"/>
              </w:rPr>
            </w:pPr>
            <w:r>
              <w:rPr>
                <w:rFonts w:ascii="宋体" w:hAnsi="宋体" w:eastAsia="宋体" w:cs="Times New Roman"/>
                <w:b/>
                <w:bCs/>
                <w:color w:val="auto"/>
                <w:sz w:val="24"/>
                <w:szCs w:val="22"/>
                <w:highlight w:val="none"/>
              </w:rPr>
              <w:t>备注</w:t>
            </w:r>
          </w:p>
        </w:tc>
      </w:tr>
      <w:tr w14:paraId="08175918">
        <w:tblPrEx>
          <w:tblCellMar>
            <w:top w:w="0" w:type="dxa"/>
            <w:left w:w="108" w:type="dxa"/>
            <w:bottom w:w="0" w:type="dxa"/>
            <w:right w:w="108" w:type="dxa"/>
          </w:tblCellMar>
        </w:tblPrEx>
        <w:trPr>
          <w:jc w:val="center"/>
        </w:trPr>
        <w:tc>
          <w:tcPr>
            <w:tcW w:w="858" w:type="dxa"/>
            <w:tcBorders>
              <w:top w:val="single" w:color="auto" w:sz="6" w:space="0"/>
              <w:left w:val="single" w:color="auto" w:sz="6" w:space="0"/>
              <w:bottom w:val="single" w:color="auto" w:sz="6" w:space="0"/>
              <w:right w:val="single" w:color="auto" w:sz="6" w:space="0"/>
            </w:tcBorders>
            <w:noWrap w:val="0"/>
            <w:vAlign w:val="top"/>
          </w:tcPr>
          <w:p w14:paraId="7DEBD91B">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22" w:type="dxa"/>
            <w:tcBorders>
              <w:top w:val="single" w:color="auto" w:sz="6" w:space="0"/>
              <w:left w:val="nil"/>
              <w:bottom w:val="single" w:color="auto" w:sz="6" w:space="0"/>
              <w:right w:val="single" w:color="auto" w:sz="6" w:space="0"/>
            </w:tcBorders>
            <w:noWrap w:val="0"/>
            <w:vAlign w:val="top"/>
          </w:tcPr>
          <w:p w14:paraId="1027F8A8">
            <w:pPr>
              <w:tabs>
                <w:tab w:val="left" w:pos="511"/>
              </w:tabs>
              <w:autoSpaceDE w:val="0"/>
              <w:autoSpaceDN w:val="0"/>
              <w:adjustRightInd w:val="0"/>
              <w:spacing w:line="440" w:lineRule="atLeast"/>
              <w:jc w:val="both"/>
              <w:outlineLvl w:val="9"/>
              <w:rPr>
                <w:rFonts w:hint="eastAsia" w:ascii="宋体" w:eastAsia="宋体" w:cs="宋体"/>
                <w:b/>
                <w:bCs/>
                <w:color w:val="auto"/>
                <w:sz w:val="24"/>
                <w:szCs w:val="22"/>
                <w:highlight w:val="none"/>
                <w:lang w:eastAsia="zh-CN"/>
              </w:rPr>
            </w:pPr>
          </w:p>
        </w:tc>
        <w:tc>
          <w:tcPr>
            <w:tcW w:w="2264" w:type="dxa"/>
            <w:tcBorders>
              <w:top w:val="single" w:color="auto" w:sz="6" w:space="0"/>
              <w:left w:val="nil"/>
              <w:bottom w:val="single" w:color="auto" w:sz="6" w:space="0"/>
              <w:right w:val="single" w:color="auto" w:sz="6" w:space="0"/>
            </w:tcBorders>
            <w:noWrap w:val="0"/>
            <w:vAlign w:val="top"/>
          </w:tcPr>
          <w:p w14:paraId="46AD97C9">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41" w:type="dxa"/>
            <w:tcBorders>
              <w:top w:val="single" w:color="auto" w:sz="6" w:space="0"/>
              <w:left w:val="nil"/>
              <w:bottom w:val="single" w:color="auto" w:sz="6" w:space="0"/>
              <w:right w:val="single" w:color="auto" w:sz="6" w:space="0"/>
            </w:tcBorders>
            <w:noWrap w:val="0"/>
            <w:vAlign w:val="top"/>
          </w:tcPr>
          <w:p w14:paraId="70DE00FB">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611" w:type="dxa"/>
            <w:tcBorders>
              <w:top w:val="single" w:color="auto" w:sz="6" w:space="0"/>
              <w:left w:val="nil"/>
              <w:bottom w:val="single" w:color="auto" w:sz="6" w:space="0"/>
              <w:right w:val="single" w:color="auto" w:sz="6" w:space="0"/>
            </w:tcBorders>
            <w:noWrap w:val="0"/>
            <w:vAlign w:val="top"/>
          </w:tcPr>
          <w:p w14:paraId="3EE03C82">
            <w:pPr>
              <w:autoSpaceDE w:val="0"/>
              <w:autoSpaceDN w:val="0"/>
              <w:adjustRightInd w:val="0"/>
              <w:spacing w:line="440" w:lineRule="atLeast"/>
              <w:jc w:val="center"/>
              <w:outlineLvl w:val="9"/>
              <w:rPr>
                <w:rFonts w:ascii="宋体" w:eastAsia="宋体" w:cs="宋体"/>
                <w:b/>
                <w:bCs/>
                <w:color w:val="auto"/>
                <w:sz w:val="24"/>
                <w:szCs w:val="22"/>
                <w:highlight w:val="none"/>
              </w:rPr>
            </w:pPr>
          </w:p>
        </w:tc>
      </w:tr>
      <w:tr w14:paraId="156E38E6">
        <w:tblPrEx>
          <w:tblCellMar>
            <w:top w:w="0" w:type="dxa"/>
            <w:left w:w="108" w:type="dxa"/>
            <w:bottom w:w="0" w:type="dxa"/>
            <w:right w:w="108" w:type="dxa"/>
          </w:tblCellMar>
        </w:tblPrEx>
        <w:trPr>
          <w:jc w:val="center"/>
        </w:trPr>
        <w:tc>
          <w:tcPr>
            <w:tcW w:w="858" w:type="dxa"/>
            <w:tcBorders>
              <w:top w:val="single" w:color="auto" w:sz="6" w:space="0"/>
              <w:left w:val="single" w:color="auto" w:sz="6" w:space="0"/>
              <w:bottom w:val="single" w:color="auto" w:sz="6" w:space="0"/>
              <w:right w:val="single" w:color="auto" w:sz="6" w:space="0"/>
            </w:tcBorders>
            <w:noWrap w:val="0"/>
            <w:vAlign w:val="top"/>
          </w:tcPr>
          <w:p w14:paraId="3EAD9D90">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22" w:type="dxa"/>
            <w:tcBorders>
              <w:top w:val="single" w:color="auto" w:sz="6" w:space="0"/>
              <w:left w:val="nil"/>
              <w:bottom w:val="single" w:color="auto" w:sz="6" w:space="0"/>
              <w:right w:val="single" w:color="auto" w:sz="6" w:space="0"/>
            </w:tcBorders>
            <w:noWrap w:val="0"/>
            <w:vAlign w:val="top"/>
          </w:tcPr>
          <w:p w14:paraId="1090467C">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4" w:type="dxa"/>
            <w:tcBorders>
              <w:top w:val="single" w:color="auto" w:sz="6" w:space="0"/>
              <w:left w:val="nil"/>
              <w:bottom w:val="single" w:color="auto" w:sz="6" w:space="0"/>
              <w:right w:val="single" w:color="auto" w:sz="6" w:space="0"/>
            </w:tcBorders>
            <w:noWrap w:val="0"/>
            <w:vAlign w:val="top"/>
          </w:tcPr>
          <w:p w14:paraId="5128E7DB">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41" w:type="dxa"/>
            <w:tcBorders>
              <w:top w:val="single" w:color="auto" w:sz="6" w:space="0"/>
              <w:left w:val="nil"/>
              <w:bottom w:val="single" w:color="auto" w:sz="6" w:space="0"/>
              <w:right w:val="single" w:color="auto" w:sz="6" w:space="0"/>
            </w:tcBorders>
            <w:noWrap w:val="0"/>
            <w:vAlign w:val="top"/>
          </w:tcPr>
          <w:p w14:paraId="342A573A">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611" w:type="dxa"/>
            <w:tcBorders>
              <w:top w:val="single" w:color="auto" w:sz="6" w:space="0"/>
              <w:left w:val="nil"/>
              <w:bottom w:val="single" w:color="auto" w:sz="6" w:space="0"/>
              <w:right w:val="single" w:color="auto" w:sz="6" w:space="0"/>
            </w:tcBorders>
            <w:noWrap w:val="0"/>
            <w:vAlign w:val="top"/>
          </w:tcPr>
          <w:p w14:paraId="37BCB6A1">
            <w:pPr>
              <w:autoSpaceDE w:val="0"/>
              <w:autoSpaceDN w:val="0"/>
              <w:adjustRightInd w:val="0"/>
              <w:spacing w:line="440" w:lineRule="atLeast"/>
              <w:jc w:val="center"/>
              <w:outlineLvl w:val="9"/>
              <w:rPr>
                <w:rFonts w:ascii="宋体" w:eastAsia="宋体" w:cs="宋体"/>
                <w:b/>
                <w:bCs/>
                <w:color w:val="auto"/>
                <w:sz w:val="24"/>
                <w:szCs w:val="22"/>
                <w:highlight w:val="none"/>
              </w:rPr>
            </w:pPr>
          </w:p>
        </w:tc>
      </w:tr>
      <w:tr w14:paraId="43B07A2C">
        <w:tblPrEx>
          <w:tblCellMar>
            <w:top w:w="0" w:type="dxa"/>
            <w:left w:w="108" w:type="dxa"/>
            <w:bottom w:w="0" w:type="dxa"/>
            <w:right w:w="108" w:type="dxa"/>
          </w:tblCellMar>
        </w:tblPrEx>
        <w:trPr>
          <w:jc w:val="center"/>
        </w:trPr>
        <w:tc>
          <w:tcPr>
            <w:tcW w:w="858" w:type="dxa"/>
            <w:tcBorders>
              <w:top w:val="single" w:color="auto" w:sz="6" w:space="0"/>
              <w:left w:val="single" w:color="auto" w:sz="6" w:space="0"/>
              <w:bottom w:val="single" w:color="auto" w:sz="6" w:space="0"/>
              <w:right w:val="single" w:color="auto" w:sz="6" w:space="0"/>
            </w:tcBorders>
            <w:noWrap w:val="0"/>
            <w:vAlign w:val="top"/>
          </w:tcPr>
          <w:p w14:paraId="4E91A80C">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22" w:type="dxa"/>
            <w:tcBorders>
              <w:top w:val="single" w:color="auto" w:sz="6" w:space="0"/>
              <w:left w:val="nil"/>
              <w:bottom w:val="single" w:color="auto" w:sz="6" w:space="0"/>
              <w:right w:val="single" w:color="auto" w:sz="6" w:space="0"/>
            </w:tcBorders>
            <w:noWrap w:val="0"/>
            <w:vAlign w:val="top"/>
          </w:tcPr>
          <w:p w14:paraId="3CD54400">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4" w:type="dxa"/>
            <w:tcBorders>
              <w:top w:val="single" w:color="auto" w:sz="6" w:space="0"/>
              <w:left w:val="nil"/>
              <w:bottom w:val="single" w:color="auto" w:sz="6" w:space="0"/>
              <w:right w:val="single" w:color="auto" w:sz="6" w:space="0"/>
            </w:tcBorders>
            <w:noWrap w:val="0"/>
            <w:vAlign w:val="top"/>
          </w:tcPr>
          <w:p w14:paraId="00F662D7">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41" w:type="dxa"/>
            <w:tcBorders>
              <w:top w:val="single" w:color="auto" w:sz="6" w:space="0"/>
              <w:left w:val="nil"/>
              <w:bottom w:val="single" w:color="auto" w:sz="6" w:space="0"/>
              <w:right w:val="single" w:color="auto" w:sz="6" w:space="0"/>
            </w:tcBorders>
            <w:noWrap w:val="0"/>
            <w:vAlign w:val="top"/>
          </w:tcPr>
          <w:p w14:paraId="7243FFC5">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611" w:type="dxa"/>
            <w:tcBorders>
              <w:top w:val="single" w:color="auto" w:sz="6" w:space="0"/>
              <w:left w:val="nil"/>
              <w:bottom w:val="single" w:color="auto" w:sz="6" w:space="0"/>
              <w:right w:val="single" w:color="auto" w:sz="6" w:space="0"/>
            </w:tcBorders>
            <w:noWrap w:val="0"/>
            <w:vAlign w:val="top"/>
          </w:tcPr>
          <w:p w14:paraId="0FE32DD0">
            <w:pPr>
              <w:autoSpaceDE w:val="0"/>
              <w:autoSpaceDN w:val="0"/>
              <w:adjustRightInd w:val="0"/>
              <w:spacing w:line="440" w:lineRule="atLeast"/>
              <w:jc w:val="center"/>
              <w:outlineLvl w:val="9"/>
              <w:rPr>
                <w:rFonts w:ascii="宋体" w:eastAsia="宋体" w:cs="宋体"/>
                <w:b/>
                <w:bCs/>
                <w:color w:val="auto"/>
                <w:sz w:val="24"/>
                <w:szCs w:val="22"/>
                <w:highlight w:val="none"/>
              </w:rPr>
            </w:pPr>
          </w:p>
        </w:tc>
      </w:tr>
      <w:tr w14:paraId="75CAD9A9">
        <w:tblPrEx>
          <w:tblCellMar>
            <w:top w:w="0" w:type="dxa"/>
            <w:left w:w="108" w:type="dxa"/>
            <w:bottom w:w="0" w:type="dxa"/>
            <w:right w:w="108" w:type="dxa"/>
          </w:tblCellMar>
        </w:tblPrEx>
        <w:trPr>
          <w:jc w:val="center"/>
        </w:trPr>
        <w:tc>
          <w:tcPr>
            <w:tcW w:w="858" w:type="dxa"/>
            <w:tcBorders>
              <w:top w:val="single" w:color="auto" w:sz="6" w:space="0"/>
              <w:left w:val="single" w:color="auto" w:sz="6" w:space="0"/>
              <w:bottom w:val="single" w:color="auto" w:sz="6" w:space="0"/>
              <w:right w:val="single" w:color="auto" w:sz="6" w:space="0"/>
            </w:tcBorders>
            <w:noWrap w:val="0"/>
            <w:vAlign w:val="top"/>
          </w:tcPr>
          <w:p w14:paraId="3DB901F4">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22" w:type="dxa"/>
            <w:tcBorders>
              <w:top w:val="single" w:color="auto" w:sz="6" w:space="0"/>
              <w:left w:val="nil"/>
              <w:bottom w:val="single" w:color="auto" w:sz="6" w:space="0"/>
              <w:right w:val="single" w:color="auto" w:sz="6" w:space="0"/>
            </w:tcBorders>
            <w:noWrap w:val="0"/>
            <w:vAlign w:val="top"/>
          </w:tcPr>
          <w:p w14:paraId="325B08CB">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4" w:type="dxa"/>
            <w:tcBorders>
              <w:top w:val="single" w:color="auto" w:sz="6" w:space="0"/>
              <w:left w:val="nil"/>
              <w:bottom w:val="single" w:color="auto" w:sz="6" w:space="0"/>
              <w:right w:val="single" w:color="auto" w:sz="6" w:space="0"/>
            </w:tcBorders>
            <w:noWrap w:val="0"/>
            <w:vAlign w:val="top"/>
          </w:tcPr>
          <w:p w14:paraId="28182B9D">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41" w:type="dxa"/>
            <w:tcBorders>
              <w:top w:val="single" w:color="auto" w:sz="6" w:space="0"/>
              <w:left w:val="nil"/>
              <w:bottom w:val="single" w:color="auto" w:sz="6" w:space="0"/>
              <w:right w:val="single" w:color="auto" w:sz="6" w:space="0"/>
            </w:tcBorders>
            <w:noWrap w:val="0"/>
            <w:vAlign w:val="top"/>
          </w:tcPr>
          <w:p w14:paraId="4C55558C">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611" w:type="dxa"/>
            <w:tcBorders>
              <w:top w:val="single" w:color="auto" w:sz="6" w:space="0"/>
              <w:left w:val="nil"/>
              <w:bottom w:val="single" w:color="auto" w:sz="6" w:space="0"/>
              <w:right w:val="single" w:color="auto" w:sz="6" w:space="0"/>
            </w:tcBorders>
            <w:noWrap w:val="0"/>
            <w:vAlign w:val="top"/>
          </w:tcPr>
          <w:p w14:paraId="5D6151A9">
            <w:pPr>
              <w:autoSpaceDE w:val="0"/>
              <w:autoSpaceDN w:val="0"/>
              <w:adjustRightInd w:val="0"/>
              <w:spacing w:line="440" w:lineRule="atLeast"/>
              <w:jc w:val="center"/>
              <w:outlineLvl w:val="9"/>
              <w:rPr>
                <w:rFonts w:ascii="宋体" w:eastAsia="宋体" w:cs="宋体"/>
                <w:b/>
                <w:bCs/>
                <w:color w:val="auto"/>
                <w:sz w:val="24"/>
                <w:szCs w:val="22"/>
                <w:highlight w:val="none"/>
              </w:rPr>
            </w:pPr>
          </w:p>
        </w:tc>
      </w:tr>
      <w:tr w14:paraId="0096BFB7">
        <w:tblPrEx>
          <w:tblCellMar>
            <w:top w:w="0" w:type="dxa"/>
            <w:left w:w="108" w:type="dxa"/>
            <w:bottom w:w="0" w:type="dxa"/>
            <w:right w:w="108" w:type="dxa"/>
          </w:tblCellMar>
        </w:tblPrEx>
        <w:trPr>
          <w:jc w:val="center"/>
        </w:trPr>
        <w:tc>
          <w:tcPr>
            <w:tcW w:w="858" w:type="dxa"/>
            <w:tcBorders>
              <w:top w:val="single" w:color="auto" w:sz="6" w:space="0"/>
              <w:left w:val="single" w:color="auto" w:sz="6" w:space="0"/>
              <w:bottom w:val="single" w:color="auto" w:sz="6" w:space="0"/>
              <w:right w:val="single" w:color="auto" w:sz="6" w:space="0"/>
            </w:tcBorders>
            <w:noWrap w:val="0"/>
            <w:vAlign w:val="top"/>
          </w:tcPr>
          <w:p w14:paraId="1E9695D3">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22" w:type="dxa"/>
            <w:tcBorders>
              <w:top w:val="single" w:color="auto" w:sz="6" w:space="0"/>
              <w:left w:val="nil"/>
              <w:bottom w:val="single" w:color="auto" w:sz="6" w:space="0"/>
              <w:right w:val="single" w:color="auto" w:sz="6" w:space="0"/>
            </w:tcBorders>
            <w:noWrap w:val="0"/>
            <w:vAlign w:val="top"/>
          </w:tcPr>
          <w:p w14:paraId="355C238F">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4" w:type="dxa"/>
            <w:tcBorders>
              <w:top w:val="single" w:color="auto" w:sz="6" w:space="0"/>
              <w:left w:val="nil"/>
              <w:bottom w:val="single" w:color="auto" w:sz="6" w:space="0"/>
              <w:right w:val="single" w:color="auto" w:sz="6" w:space="0"/>
            </w:tcBorders>
            <w:noWrap w:val="0"/>
            <w:vAlign w:val="top"/>
          </w:tcPr>
          <w:p w14:paraId="3F2DCA6B">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41" w:type="dxa"/>
            <w:tcBorders>
              <w:top w:val="single" w:color="auto" w:sz="6" w:space="0"/>
              <w:left w:val="nil"/>
              <w:bottom w:val="single" w:color="auto" w:sz="6" w:space="0"/>
              <w:right w:val="single" w:color="auto" w:sz="6" w:space="0"/>
            </w:tcBorders>
            <w:noWrap w:val="0"/>
            <w:vAlign w:val="top"/>
          </w:tcPr>
          <w:p w14:paraId="7F9E0CC5">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611" w:type="dxa"/>
            <w:tcBorders>
              <w:top w:val="single" w:color="auto" w:sz="6" w:space="0"/>
              <w:left w:val="nil"/>
              <w:bottom w:val="single" w:color="auto" w:sz="6" w:space="0"/>
              <w:right w:val="single" w:color="auto" w:sz="6" w:space="0"/>
            </w:tcBorders>
            <w:noWrap w:val="0"/>
            <w:vAlign w:val="top"/>
          </w:tcPr>
          <w:p w14:paraId="2FC02C29">
            <w:pPr>
              <w:autoSpaceDE w:val="0"/>
              <w:autoSpaceDN w:val="0"/>
              <w:adjustRightInd w:val="0"/>
              <w:spacing w:line="440" w:lineRule="atLeast"/>
              <w:jc w:val="center"/>
              <w:outlineLvl w:val="9"/>
              <w:rPr>
                <w:rFonts w:ascii="宋体" w:eastAsia="宋体" w:cs="宋体"/>
                <w:b/>
                <w:bCs/>
                <w:color w:val="auto"/>
                <w:sz w:val="24"/>
                <w:szCs w:val="22"/>
                <w:highlight w:val="none"/>
              </w:rPr>
            </w:pPr>
          </w:p>
        </w:tc>
      </w:tr>
      <w:tr w14:paraId="43D1B208">
        <w:tblPrEx>
          <w:tblCellMar>
            <w:top w:w="0" w:type="dxa"/>
            <w:left w:w="108" w:type="dxa"/>
            <w:bottom w:w="0" w:type="dxa"/>
            <w:right w:w="108" w:type="dxa"/>
          </w:tblCellMar>
        </w:tblPrEx>
        <w:trPr>
          <w:jc w:val="center"/>
        </w:trPr>
        <w:tc>
          <w:tcPr>
            <w:tcW w:w="858" w:type="dxa"/>
            <w:tcBorders>
              <w:top w:val="single" w:color="auto" w:sz="6" w:space="0"/>
              <w:left w:val="single" w:color="auto" w:sz="6" w:space="0"/>
              <w:bottom w:val="single" w:color="auto" w:sz="6" w:space="0"/>
              <w:right w:val="single" w:color="auto" w:sz="6" w:space="0"/>
            </w:tcBorders>
            <w:noWrap w:val="0"/>
            <w:vAlign w:val="top"/>
          </w:tcPr>
          <w:p w14:paraId="29A68663">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22" w:type="dxa"/>
            <w:tcBorders>
              <w:top w:val="single" w:color="auto" w:sz="6" w:space="0"/>
              <w:left w:val="nil"/>
              <w:bottom w:val="single" w:color="auto" w:sz="6" w:space="0"/>
              <w:right w:val="single" w:color="auto" w:sz="6" w:space="0"/>
            </w:tcBorders>
            <w:noWrap w:val="0"/>
            <w:vAlign w:val="top"/>
          </w:tcPr>
          <w:p w14:paraId="2CAEF6F4">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264" w:type="dxa"/>
            <w:tcBorders>
              <w:top w:val="single" w:color="auto" w:sz="6" w:space="0"/>
              <w:left w:val="nil"/>
              <w:bottom w:val="single" w:color="auto" w:sz="6" w:space="0"/>
              <w:right w:val="single" w:color="auto" w:sz="6" w:space="0"/>
            </w:tcBorders>
            <w:noWrap w:val="0"/>
            <w:vAlign w:val="top"/>
          </w:tcPr>
          <w:p w14:paraId="01C574CD">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2441" w:type="dxa"/>
            <w:tcBorders>
              <w:top w:val="single" w:color="auto" w:sz="6" w:space="0"/>
              <w:left w:val="nil"/>
              <w:bottom w:val="single" w:color="auto" w:sz="6" w:space="0"/>
              <w:right w:val="single" w:color="auto" w:sz="6" w:space="0"/>
            </w:tcBorders>
            <w:noWrap w:val="0"/>
            <w:vAlign w:val="top"/>
          </w:tcPr>
          <w:p w14:paraId="15B7B169">
            <w:pPr>
              <w:autoSpaceDE w:val="0"/>
              <w:autoSpaceDN w:val="0"/>
              <w:adjustRightInd w:val="0"/>
              <w:spacing w:line="440" w:lineRule="atLeast"/>
              <w:jc w:val="center"/>
              <w:outlineLvl w:val="9"/>
              <w:rPr>
                <w:rFonts w:ascii="宋体" w:eastAsia="宋体" w:cs="宋体"/>
                <w:b/>
                <w:bCs/>
                <w:color w:val="auto"/>
                <w:sz w:val="24"/>
                <w:szCs w:val="22"/>
                <w:highlight w:val="none"/>
              </w:rPr>
            </w:pPr>
          </w:p>
        </w:tc>
        <w:tc>
          <w:tcPr>
            <w:tcW w:w="1611" w:type="dxa"/>
            <w:tcBorders>
              <w:top w:val="single" w:color="auto" w:sz="6" w:space="0"/>
              <w:left w:val="nil"/>
              <w:bottom w:val="single" w:color="auto" w:sz="6" w:space="0"/>
              <w:right w:val="single" w:color="auto" w:sz="6" w:space="0"/>
            </w:tcBorders>
            <w:noWrap w:val="0"/>
            <w:vAlign w:val="top"/>
          </w:tcPr>
          <w:p w14:paraId="451B0849">
            <w:pPr>
              <w:autoSpaceDE w:val="0"/>
              <w:autoSpaceDN w:val="0"/>
              <w:adjustRightInd w:val="0"/>
              <w:spacing w:line="440" w:lineRule="atLeast"/>
              <w:jc w:val="center"/>
              <w:outlineLvl w:val="9"/>
              <w:rPr>
                <w:rFonts w:ascii="宋体" w:eastAsia="宋体" w:cs="宋体"/>
                <w:b/>
                <w:bCs/>
                <w:color w:val="auto"/>
                <w:sz w:val="24"/>
                <w:szCs w:val="22"/>
                <w:highlight w:val="none"/>
              </w:rPr>
            </w:pPr>
          </w:p>
        </w:tc>
      </w:tr>
    </w:tbl>
    <w:p w14:paraId="7DD4D48D">
      <w:pPr>
        <w:widowControl w:val="0"/>
        <w:tabs>
          <w:tab w:val="left" w:pos="1069"/>
          <w:tab w:val="left" w:pos="2352"/>
        </w:tabs>
        <w:spacing w:line="440" w:lineRule="atLeast"/>
        <w:jc w:val="both"/>
        <w:outlineLvl w:val="9"/>
        <w:rPr>
          <w:rFonts w:ascii="宋体" w:hAnsi="宋体" w:eastAsia="宋体" w:cs="宋体"/>
          <w:b/>
          <w:bCs/>
          <w:color w:val="auto"/>
          <w:kern w:val="0"/>
          <w:sz w:val="24"/>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供应商名称（盖章）：</w:t>
      </w:r>
    </w:p>
    <w:p w14:paraId="5F2CED7B">
      <w:pPr>
        <w:widowControl w:val="0"/>
        <w:adjustRightInd w:val="0"/>
        <w:snapToGrid w:val="0"/>
        <w:spacing w:line="400" w:lineRule="exact"/>
        <w:jc w:val="both"/>
        <w:outlineLvl w:val="9"/>
        <w:rPr>
          <w:rFonts w:ascii="宋体" w:hAnsi="宋体" w:eastAsia="宋体" w:cs="Times New Roman"/>
          <w:b/>
          <w:color w:val="auto"/>
          <w:kern w:val="0"/>
          <w:sz w:val="22"/>
          <w:szCs w:val="22"/>
          <w:highlight w:val="none"/>
          <w:u w:val="single"/>
          <w:lang w:val="en-US" w:eastAsia="zh-CN" w:bidi="ar-SA"/>
        </w:rPr>
      </w:pPr>
    </w:p>
    <w:p w14:paraId="4D35194E">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▲注：表格可以延续</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如不说明偏离情况，视为完全响应招标文件要求无偏离。不提供此表格的将视为没有实质性响应</w:t>
      </w:r>
      <w:r>
        <w:rPr>
          <w:rFonts w:hint="eastAsia" w:ascii="宋体" w:hAnsi="宋体" w:eastAsia="宋体" w:cs="宋体"/>
          <w:color w:val="auto"/>
          <w:sz w:val="22"/>
          <w:szCs w:val="21"/>
          <w:highlight w:val="none"/>
          <w:lang w:eastAsia="zh-CN"/>
        </w:rPr>
        <w:t>竞争性磋商文件</w:t>
      </w:r>
      <w:r>
        <w:rPr>
          <w:rFonts w:hint="eastAsia" w:ascii="宋体" w:hAnsi="宋体" w:eastAsia="宋体" w:cs="宋体"/>
          <w:color w:val="auto"/>
          <w:sz w:val="22"/>
          <w:szCs w:val="21"/>
          <w:highlight w:val="none"/>
        </w:rPr>
        <w:t>。</w:t>
      </w:r>
    </w:p>
    <w:p w14:paraId="20C70EB1">
      <w:pPr>
        <w:widowControl/>
        <w:jc w:val="left"/>
        <w:rPr>
          <w:rFonts w:ascii="宋体" w:hAnsi="宋体" w:cs="仿宋_GB2312"/>
          <w:color w:val="auto"/>
          <w:sz w:val="32"/>
          <w:szCs w:val="32"/>
          <w:highlight w:val="none"/>
        </w:rPr>
        <w:sectPr>
          <w:headerReference r:id="rId8" w:type="default"/>
          <w:footerReference r:id="rId9" w:type="default"/>
          <w:pgSz w:w="11906" w:h="16838"/>
          <w:pgMar w:top="1247" w:right="1247" w:bottom="1247" w:left="1247" w:header="720" w:footer="720" w:gutter="0"/>
          <w:pgNumType w:fmt="decimal"/>
          <w:cols w:space="720" w:num="1"/>
          <w:docGrid w:type="lines" w:linePitch="312" w:charSpace="0"/>
        </w:sectPr>
      </w:pPr>
    </w:p>
    <w:p w14:paraId="73122292">
      <w:pPr>
        <w:autoSpaceDE w:val="0"/>
        <w:autoSpaceDN w:val="0"/>
        <w:adjustRightInd w:val="0"/>
        <w:spacing w:line="440" w:lineRule="atLeast"/>
        <w:outlineLvl w:val="9"/>
        <w:rPr>
          <w:rFonts w:hint="default" w:ascii="宋体" w:hAnsi="宋体" w:eastAsia="宋体" w:cs="Times New Roman"/>
          <w:b/>
          <w:color w:val="auto"/>
          <w:kern w:val="0"/>
          <w:sz w:val="32"/>
          <w:szCs w:val="32"/>
          <w:highlight w:val="none"/>
          <w:lang w:val="en-US" w:eastAsia="zh-CN" w:bidi="ar-SA"/>
        </w:rPr>
      </w:pPr>
      <w:r>
        <w:rPr>
          <w:rFonts w:hint="eastAsia" w:ascii="宋体" w:hAnsi="宋体" w:eastAsia="宋体" w:cs="Times New Roman"/>
          <w:b/>
          <w:color w:val="auto"/>
          <w:kern w:val="0"/>
          <w:sz w:val="32"/>
          <w:szCs w:val="32"/>
          <w:highlight w:val="none"/>
          <w:lang w:val="zh-CN" w:eastAsia="zh-CN" w:bidi="ar-SA"/>
        </w:rPr>
        <w:t>附件</w:t>
      </w:r>
      <w:r>
        <w:rPr>
          <w:rFonts w:hint="eastAsia" w:ascii="宋体" w:hAnsi="宋体" w:eastAsia="宋体" w:cs="Times New Roman"/>
          <w:b/>
          <w:color w:val="auto"/>
          <w:kern w:val="0"/>
          <w:sz w:val="32"/>
          <w:szCs w:val="32"/>
          <w:highlight w:val="none"/>
          <w:lang w:val="en-US" w:eastAsia="zh-CN" w:bidi="ar-SA"/>
        </w:rPr>
        <w:t>十二</w:t>
      </w:r>
    </w:p>
    <w:p w14:paraId="603DEA83">
      <w:pPr>
        <w:autoSpaceDE w:val="0"/>
        <w:autoSpaceDN w:val="0"/>
        <w:adjustRightInd w:val="0"/>
        <w:spacing w:line="360" w:lineRule="atLeast"/>
        <w:jc w:val="center"/>
        <w:textAlignment w:val="baseline"/>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供应商项目服务人员汇总表</w:t>
      </w:r>
    </w:p>
    <w:p w14:paraId="29897845">
      <w:pPr>
        <w:spacing w:line="360" w:lineRule="auto"/>
        <w:outlineLvl w:val="9"/>
        <w:rPr>
          <w:rFonts w:hint="eastAsia" w:ascii="宋体" w:hAnsi="宋体" w:eastAsia="宋体" w:cs="宋体"/>
          <w:color w:val="auto"/>
          <w:sz w:val="22"/>
          <w:szCs w:val="21"/>
          <w:highlight w:val="none"/>
          <w:lang w:val="zh-CN"/>
        </w:rPr>
      </w:pPr>
      <w:r>
        <w:rPr>
          <w:rFonts w:hint="eastAsia" w:ascii="宋体" w:hAnsi="宋体" w:eastAsia="宋体" w:cs="宋体"/>
          <w:color w:val="auto"/>
          <w:sz w:val="22"/>
          <w:szCs w:val="21"/>
          <w:highlight w:val="none"/>
          <w:lang w:val="zh-CN"/>
        </w:rPr>
        <w:t>项目名称：2025-2026泰顺县大安乡环卫保洁服务</w:t>
      </w:r>
    </w:p>
    <w:p w14:paraId="6FF4D250">
      <w:pPr>
        <w:spacing w:line="360" w:lineRule="auto"/>
        <w:outlineLvl w:val="9"/>
        <w:rPr>
          <w:rFonts w:hint="eastAsia" w:ascii="宋体" w:hAnsi="宋体" w:eastAsia="宋体" w:cs="宋体"/>
          <w:color w:val="auto"/>
          <w:sz w:val="22"/>
          <w:szCs w:val="21"/>
          <w:highlight w:val="none"/>
          <w:lang w:val="zh-CN" w:eastAsia="zh-CN"/>
        </w:rPr>
      </w:pPr>
      <w:r>
        <w:rPr>
          <w:rFonts w:hint="eastAsia" w:ascii="宋体" w:hAnsi="宋体" w:eastAsia="宋体" w:cs="宋体"/>
          <w:color w:val="auto"/>
          <w:sz w:val="22"/>
          <w:szCs w:val="21"/>
          <w:highlight w:val="none"/>
          <w:lang w:val="zh-CN"/>
        </w:rPr>
        <w:t>项目编号：TSCG202509001</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2080"/>
        <w:gridCol w:w="720"/>
        <w:gridCol w:w="720"/>
        <w:gridCol w:w="720"/>
        <w:gridCol w:w="1080"/>
        <w:gridCol w:w="1458"/>
        <w:gridCol w:w="1560"/>
      </w:tblGrid>
      <w:tr w14:paraId="09F2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68" w:type="dxa"/>
            <w:noWrap w:val="0"/>
            <w:vAlign w:val="center"/>
          </w:tcPr>
          <w:p w14:paraId="6EBC749F">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2080" w:type="dxa"/>
            <w:noWrap w:val="0"/>
            <w:vAlign w:val="center"/>
          </w:tcPr>
          <w:p w14:paraId="285E9885">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本项目主要工作</w:t>
            </w:r>
          </w:p>
        </w:tc>
        <w:tc>
          <w:tcPr>
            <w:tcW w:w="720" w:type="dxa"/>
            <w:noWrap w:val="0"/>
            <w:vAlign w:val="center"/>
          </w:tcPr>
          <w:p w14:paraId="21DADB85">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年龄</w:t>
            </w:r>
          </w:p>
        </w:tc>
        <w:tc>
          <w:tcPr>
            <w:tcW w:w="720" w:type="dxa"/>
            <w:noWrap w:val="0"/>
            <w:vAlign w:val="center"/>
          </w:tcPr>
          <w:p w14:paraId="37BF4FF0">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性别</w:t>
            </w:r>
          </w:p>
        </w:tc>
        <w:tc>
          <w:tcPr>
            <w:tcW w:w="720" w:type="dxa"/>
            <w:noWrap w:val="0"/>
            <w:vAlign w:val="center"/>
          </w:tcPr>
          <w:p w14:paraId="49CC7F25">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w:t>
            </w:r>
          </w:p>
        </w:tc>
        <w:tc>
          <w:tcPr>
            <w:tcW w:w="1080" w:type="dxa"/>
            <w:noWrap w:val="0"/>
            <w:vAlign w:val="center"/>
          </w:tcPr>
          <w:p w14:paraId="40ABD747">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w:t>
            </w:r>
          </w:p>
          <w:p w14:paraId="2AB9DC3C">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年限</w:t>
            </w:r>
          </w:p>
        </w:tc>
        <w:tc>
          <w:tcPr>
            <w:tcW w:w="1458" w:type="dxa"/>
            <w:noWrap w:val="0"/>
            <w:vAlign w:val="center"/>
          </w:tcPr>
          <w:p w14:paraId="5AE963EC">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p w14:paraId="65E91471">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和职称/认证</w:t>
            </w:r>
          </w:p>
        </w:tc>
        <w:tc>
          <w:tcPr>
            <w:tcW w:w="1560" w:type="dxa"/>
            <w:noWrap w:val="0"/>
            <w:vAlign w:val="center"/>
          </w:tcPr>
          <w:p w14:paraId="31CEF0C6">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1E32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4D819F49">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199DB021">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022E3719">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77118639">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4F9E751B">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4899798D">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3913C30A">
            <w:pPr>
              <w:spacing w:line="360" w:lineRule="auto"/>
              <w:ind w:left="5250"/>
              <w:outlineLvl w:val="9"/>
              <w:rPr>
                <w:rFonts w:hint="eastAsia" w:ascii="宋体" w:hAnsi="宋体" w:eastAsia="宋体" w:cs="宋体"/>
                <w:color w:val="auto"/>
                <w:spacing w:val="12"/>
                <w:sz w:val="22"/>
                <w:szCs w:val="22"/>
                <w:highlight w:val="none"/>
              </w:rPr>
            </w:pPr>
          </w:p>
        </w:tc>
        <w:tc>
          <w:tcPr>
            <w:tcW w:w="1560" w:type="dxa"/>
            <w:noWrap w:val="0"/>
            <w:vAlign w:val="center"/>
          </w:tcPr>
          <w:p w14:paraId="6E1026E3">
            <w:pPr>
              <w:spacing w:line="360" w:lineRule="auto"/>
              <w:outlineLvl w:val="9"/>
              <w:rPr>
                <w:rFonts w:hint="eastAsia" w:ascii="宋体" w:hAnsi="宋体" w:eastAsia="宋体" w:cs="宋体"/>
                <w:color w:val="auto"/>
                <w:sz w:val="22"/>
                <w:szCs w:val="22"/>
                <w:highlight w:val="none"/>
              </w:rPr>
            </w:pPr>
          </w:p>
        </w:tc>
      </w:tr>
      <w:tr w14:paraId="13BC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6AB774A0">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5669D58B">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2779D94B">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55C43A26">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3A2BA241">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4A106567">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578C1451">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2754DDFC">
            <w:pPr>
              <w:spacing w:line="360" w:lineRule="auto"/>
              <w:ind w:left="5250"/>
              <w:outlineLvl w:val="9"/>
              <w:rPr>
                <w:rFonts w:hint="eastAsia" w:ascii="宋体" w:hAnsi="宋体" w:eastAsia="宋体" w:cs="宋体"/>
                <w:color w:val="auto"/>
                <w:spacing w:val="12"/>
                <w:sz w:val="22"/>
                <w:szCs w:val="22"/>
                <w:highlight w:val="none"/>
              </w:rPr>
            </w:pPr>
          </w:p>
        </w:tc>
      </w:tr>
      <w:tr w14:paraId="4EB3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6A7CA1E0">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5066ED7D">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76A80AEF">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3E9A9B6D">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42B7B030">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325C341E">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7ADA10CC">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3314A18B">
            <w:pPr>
              <w:spacing w:line="360" w:lineRule="auto"/>
              <w:outlineLvl w:val="9"/>
              <w:rPr>
                <w:rFonts w:hint="eastAsia" w:ascii="宋体" w:hAnsi="宋体" w:eastAsia="宋体" w:cs="宋体"/>
                <w:color w:val="auto"/>
                <w:sz w:val="22"/>
                <w:szCs w:val="22"/>
                <w:highlight w:val="none"/>
              </w:rPr>
            </w:pPr>
          </w:p>
        </w:tc>
      </w:tr>
      <w:tr w14:paraId="59BA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5503DC7A">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3ED52BE5">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34F8ED65">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0715BE03">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5F64D128">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67B2EF11">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57887F3B">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27A26BA3">
            <w:pPr>
              <w:spacing w:line="360" w:lineRule="auto"/>
              <w:outlineLvl w:val="9"/>
              <w:rPr>
                <w:rFonts w:hint="eastAsia" w:ascii="宋体" w:hAnsi="宋体" w:eastAsia="宋体" w:cs="宋体"/>
                <w:color w:val="auto"/>
                <w:sz w:val="22"/>
                <w:szCs w:val="22"/>
                <w:highlight w:val="none"/>
              </w:rPr>
            </w:pPr>
          </w:p>
        </w:tc>
      </w:tr>
      <w:tr w14:paraId="1817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69CA86B2">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39ECF7AC">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13103FC2">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7DB5B542">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270B491C">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1163CE73">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0DA8E908">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5BF528F5">
            <w:pPr>
              <w:spacing w:line="360" w:lineRule="auto"/>
              <w:outlineLvl w:val="9"/>
              <w:rPr>
                <w:rFonts w:hint="eastAsia" w:ascii="宋体" w:hAnsi="宋体" w:eastAsia="宋体" w:cs="宋体"/>
                <w:color w:val="auto"/>
                <w:sz w:val="22"/>
                <w:szCs w:val="22"/>
                <w:highlight w:val="none"/>
              </w:rPr>
            </w:pPr>
          </w:p>
        </w:tc>
      </w:tr>
      <w:tr w14:paraId="24CD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535ED25B">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07D3FB3D">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4441E174">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58D664AA">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582C4682">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1098D8BF">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486C9795">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0B695B72">
            <w:pPr>
              <w:spacing w:line="360" w:lineRule="auto"/>
              <w:outlineLvl w:val="9"/>
              <w:rPr>
                <w:rFonts w:hint="eastAsia" w:ascii="宋体" w:hAnsi="宋体" w:eastAsia="宋体" w:cs="宋体"/>
                <w:color w:val="auto"/>
                <w:sz w:val="22"/>
                <w:szCs w:val="22"/>
                <w:highlight w:val="none"/>
              </w:rPr>
            </w:pPr>
          </w:p>
        </w:tc>
      </w:tr>
      <w:tr w14:paraId="5D09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6D0C02CC">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25DFAF0C">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103E11D2">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27720455">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6E432975">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1DC24009">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23F9A4E4">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2A63A6E9">
            <w:pPr>
              <w:spacing w:line="360" w:lineRule="auto"/>
              <w:outlineLvl w:val="9"/>
              <w:rPr>
                <w:rFonts w:hint="eastAsia" w:ascii="宋体" w:hAnsi="宋体" w:eastAsia="宋体" w:cs="宋体"/>
                <w:color w:val="auto"/>
                <w:sz w:val="22"/>
                <w:szCs w:val="22"/>
                <w:highlight w:val="none"/>
              </w:rPr>
            </w:pPr>
          </w:p>
        </w:tc>
      </w:tr>
      <w:tr w14:paraId="4BD4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06AD1511">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32216CE5">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2A6825C6">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5D7372FA">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76428016">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003D0E3D">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54C4C2FF">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164AAFC5">
            <w:pPr>
              <w:spacing w:line="360" w:lineRule="auto"/>
              <w:outlineLvl w:val="9"/>
              <w:rPr>
                <w:rFonts w:hint="eastAsia" w:ascii="宋体" w:hAnsi="宋体" w:eastAsia="宋体" w:cs="宋体"/>
                <w:color w:val="auto"/>
                <w:sz w:val="22"/>
                <w:szCs w:val="22"/>
                <w:highlight w:val="none"/>
              </w:rPr>
            </w:pPr>
          </w:p>
        </w:tc>
      </w:tr>
      <w:tr w14:paraId="2AA9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5A5B7BD2">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0D127A1D">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62FB1B4E">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01CAD6B8">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7AC5DC47">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56E5CF45">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7D2B6789">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3096DE84">
            <w:pPr>
              <w:spacing w:line="360" w:lineRule="auto"/>
              <w:outlineLvl w:val="9"/>
              <w:rPr>
                <w:rFonts w:hint="eastAsia" w:ascii="宋体" w:hAnsi="宋体" w:eastAsia="宋体" w:cs="宋体"/>
                <w:color w:val="auto"/>
                <w:sz w:val="22"/>
                <w:szCs w:val="22"/>
                <w:highlight w:val="none"/>
              </w:rPr>
            </w:pPr>
          </w:p>
        </w:tc>
      </w:tr>
      <w:tr w14:paraId="1EE9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216AE999">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6127E7C6">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6E154290">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0B63A3D3">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7746D77A">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42C952BE">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569ED775">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6C03E771">
            <w:pPr>
              <w:spacing w:line="360" w:lineRule="auto"/>
              <w:outlineLvl w:val="9"/>
              <w:rPr>
                <w:rFonts w:hint="eastAsia" w:ascii="宋体" w:hAnsi="宋体" w:eastAsia="宋体" w:cs="宋体"/>
                <w:color w:val="auto"/>
                <w:sz w:val="22"/>
                <w:szCs w:val="22"/>
                <w:highlight w:val="none"/>
              </w:rPr>
            </w:pPr>
          </w:p>
        </w:tc>
      </w:tr>
      <w:tr w14:paraId="54DF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1DC82B3F">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134B949A">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6911B5A3">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19CC7AA7">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09D4902C">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36D23FC9">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13FA68C8">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773C824D">
            <w:pPr>
              <w:spacing w:line="360" w:lineRule="auto"/>
              <w:outlineLvl w:val="9"/>
              <w:rPr>
                <w:rFonts w:hint="eastAsia" w:ascii="宋体" w:hAnsi="宋体" w:eastAsia="宋体" w:cs="宋体"/>
                <w:color w:val="auto"/>
                <w:sz w:val="22"/>
                <w:szCs w:val="22"/>
                <w:highlight w:val="none"/>
              </w:rPr>
            </w:pPr>
          </w:p>
        </w:tc>
      </w:tr>
      <w:tr w14:paraId="55CF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68" w:type="dxa"/>
            <w:noWrap w:val="0"/>
            <w:vAlign w:val="center"/>
          </w:tcPr>
          <w:p w14:paraId="4C671143">
            <w:pPr>
              <w:spacing w:line="360" w:lineRule="auto"/>
              <w:outlineLvl w:val="9"/>
              <w:rPr>
                <w:rFonts w:hint="eastAsia" w:ascii="宋体" w:hAnsi="宋体" w:eastAsia="宋体" w:cs="宋体"/>
                <w:color w:val="auto"/>
                <w:sz w:val="22"/>
                <w:szCs w:val="22"/>
                <w:highlight w:val="none"/>
              </w:rPr>
            </w:pPr>
          </w:p>
        </w:tc>
        <w:tc>
          <w:tcPr>
            <w:tcW w:w="2080" w:type="dxa"/>
            <w:noWrap w:val="0"/>
            <w:vAlign w:val="center"/>
          </w:tcPr>
          <w:p w14:paraId="5034B3F2">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512EAB4D">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6DDC1953">
            <w:pPr>
              <w:spacing w:line="360" w:lineRule="auto"/>
              <w:outlineLvl w:val="9"/>
              <w:rPr>
                <w:rFonts w:hint="eastAsia" w:ascii="宋体" w:hAnsi="宋体" w:eastAsia="宋体" w:cs="宋体"/>
                <w:color w:val="auto"/>
                <w:sz w:val="22"/>
                <w:szCs w:val="22"/>
                <w:highlight w:val="none"/>
              </w:rPr>
            </w:pPr>
          </w:p>
        </w:tc>
        <w:tc>
          <w:tcPr>
            <w:tcW w:w="720" w:type="dxa"/>
            <w:noWrap w:val="0"/>
            <w:vAlign w:val="center"/>
          </w:tcPr>
          <w:p w14:paraId="2E9C6CED">
            <w:pPr>
              <w:spacing w:line="360" w:lineRule="auto"/>
              <w:outlineLvl w:val="9"/>
              <w:rPr>
                <w:rFonts w:hint="eastAsia" w:ascii="宋体" w:hAnsi="宋体" w:eastAsia="宋体" w:cs="宋体"/>
                <w:color w:val="auto"/>
                <w:sz w:val="22"/>
                <w:szCs w:val="22"/>
                <w:highlight w:val="none"/>
              </w:rPr>
            </w:pPr>
          </w:p>
        </w:tc>
        <w:tc>
          <w:tcPr>
            <w:tcW w:w="1080" w:type="dxa"/>
            <w:noWrap w:val="0"/>
            <w:vAlign w:val="center"/>
          </w:tcPr>
          <w:p w14:paraId="7C45921E">
            <w:pPr>
              <w:spacing w:line="360" w:lineRule="auto"/>
              <w:outlineLvl w:val="9"/>
              <w:rPr>
                <w:rFonts w:hint="eastAsia" w:ascii="宋体" w:hAnsi="宋体" w:eastAsia="宋体" w:cs="宋体"/>
                <w:color w:val="auto"/>
                <w:sz w:val="22"/>
                <w:szCs w:val="22"/>
                <w:highlight w:val="none"/>
              </w:rPr>
            </w:pPr>
          </w:p>
        </w:tc>
        <w:tc>
          <w:tcPr>
            <w:tcW w:w="1458" w:type="dxa"/>
            <w:noWrap w:val="0"/>
            <w:vAlign w:val="center"/>
          </w:tcPr>
          <w:p w14:paraId="6FB29259">
            <w:pPr>
              <w:spacing w:line="360" w:lineRule="auto"/>
              <w:outlineLvl w:val="9"/>
              <w:rPr>
                <w:rFonts w:hint="eastAsia" w:ascii="宋体" w:hAnsi="宋体" w:eastAsia="宋体" w:cs="宋体"/>
                <w:color w:val="auto"/>
                <w:sz w:val="22"/>
                <w:szCs w:val="22"/>
                <w:highlight w:val="none"/>
              </w:rPr>
            </w:pPr>
          </w:p>
        </w:tc>
        <w:tc>
          <w:tcPr>
            <w:tcW w:w="1560" w:type="dxa"/>
            <w:noWrap w:val="0"/>
            <w:vAlign w:val="center"/>
          </w:tcPr>
          <w:p w14:paraId="390D39E3">
            <w:pPr>
              <w:spacing w:line="360" w:lineRule="auto"/>
              <w:outlineLvl w:val="9"/>
              <w:rPr>
                <w:rFonts w:hint="eastAsia" w:ascii="宋体" w:hAnsi="宋体" w:eastAsia="宋体" w:cs="宋体"/>
                <w:color w:val="auto"/>
                <w:sz w:val="22"/>
                <w:szCs w:val="22"/>
                <w:highlight w:val="none"/>
              </w:rPr>
            </w:pPr>
          </w:p>
        </w:tc>
      </w:tr>
    </w:tbl>
    <w:p w14:paraId="3127E98F">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注：1</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项目负责人及其他服务人员均应列入；</w:t>
      </w:r>
    </w:p>
    <w:p w14:paraId="0BB6E34B">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列入本表人员如要更换，需经采购人同意，擅自更换或不到位属违约行为；</w:t>
      </w:r>
    </w:p>
    <w:p w14:paraId="595A9E73">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本表后附相关证明材料，证明材料以第七部分评审标准中的要求为准；</w:t>
      </w:r>
    </w:p>
    <w:p w14:paraId="685CDD12">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表格可以延续。</w:t>
      </w:r>
    </w:p>
    <w:p w14:paraId="35537929">
      <w:pPr>
        <w:widowControl w:val="0"/>
        <w:tabs>
          <w:tab w:val="left" w:pos="1069"/>
          <w:tab w:val="left" w:pos="2352"/>
        </w:tabs>
        <w:spacing w:line="360" w:lineRule="auto"/>
        <w:jc w:val="both"/>
        <w:outlineLvl w:val="9"/>
        <w:rPr>
          <w:rFonts w:hint="eastAsia" w:ascii="宋体" w:hAnsi="宋体" w:eastAsia="宋体" w:cs="宋体"/>
          <w:color w:val="auto"/>
          <w:kern w:val="0"/>
          <w:sz w:val="22"/>
          <w:szCs w:val="22"/>
          <w:highlight w:val="none"/>
          <w:lang w:val="en-US" w:eastAsia="zh-CN" w:bidi="ar-SA"/>
        </w:rPr>
      </w:pPr>
    </w:p>
    <w:p w14:paraId="1CF643F3">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供应商</w:t>
      </w:r>
      <w:r>
        <w:rPr>
          <w:rFonts w:hint="eastAsia" w:ascii="宋体" w:hAnsi="宋体" w:eastAsia="宋体" w:cs="宋体"/>
          <w:color w:val="auto"/>
          <w:sz w:val="22"/>
          <w:szCs w:val="21"/>
          <w:highlight w:val="none"/>
          <w:lang w:val="en-US" w:eastAsia="zh-CN"/>
        </w:rPr>
        <w:t>名称</w:t>
      </w:r>
      <w:r>
        <w:rPr>
          <w:rFonts w:hint="eastAsia" w:ascii="宋体" w:hAnsi="宋体" w:eastAsia="宋体" w:cs="宋体"/>
          <w:color w:val="auto"/>
          <w:sz w:val="22"/>
          <w:szCs w:val="21"/>
          <w:highlight w:val="none"/>
        </w:rPr>
        <w:t>（盖章）：</w:t>
      </w:r>
    </w:p>
    <w:p w14:paraId="67593BA8">
      <w:pPr>
        <w:spacing w:line="360" w:lineRule="auto"/>
        <w:ind w:firstLine="420"/>
        <w:outlineLvl w:val="9"/>
        <w:rPr>
          <w:rFonts w:hint="eastAsia" w:ascii="宋体" w:hAnsi="宋体" w:eastAsia="宋体" w:cs="宋体"/>
          <w:color w:val="auto"/>
          <w:sz w:val="22"/>
          <w:szCs w:val="21"/>
          <w:highlight w:val="none"/>
          <w:lang w:val="zh-CN"/>
        </w:rPr>
      </w:pPr>
      <w:r>
        <w:rPr>
          <w:rFonts w:hint="eastAsia" w:ascii="宋体" w:hAnsi="宋体" w:eastAsia="宋体" w:cs="宋体"/>
          <w:color w:val="auto"/>
          <w:sz w:val="22"/>
          <w:szCs w:val="21"/>
          <w:highlight w:val="none"/>
        </w:rPr>
        <w:t>法定代表人（签字或盖章）或</w:t>
      </w:r>
      <w:r>
        <w:rPr>
          <w:rFonts w:hint="eastAsia" w:ascii="宋体" w:hAnsi="宋体" w:eastAsia="宋体" w:cs="宋体"/>
          <w:color w:val="auto"/>
          <w:sz w:val="22"/>
          <w:szCs w:val="21"/>
          <w:highlight w:val="none"/>
          <w:lang w:val="zh-CN"/>
        </w:rPr>
        <w:t>授权代表（签字）：</w:t>
      </w:r>
    </w:p>
    <w:p w14:paraId="0C6768DC">
      <w:pPr>
        <w:spacing w:line="360" w:lineRule="auto"/>
        <w:ind w:firstLine="420"/>
        <w:outlineLvl w:val="9"/>
        <w:rPr>
          <w:rFonts w:hint="eastAsia" w:ascii="宋体" w:hAnsi="宋体" w:eastAsia="宋体" w:cs="宋体"/>
          <w:color w:val="auto"/>
          <w:sz w:val="22"/>
          <w:szCs w:val="21"/>
          <w:highlight w:val="none"/>
          <w:lang w:val="zh-CN"/>
        </w:rPr>
      </w:pPr>
      <w:r>
        <w:rPr>
          <w:rFonts w:hint="eastAsia" w:ascii="宋体" w:hAnsi="宋体" w:eastAsia="宋体" w:cs="宋体"/>
          <w:color w:val="auto"/>
          <w:sz w:val="22"/>
          <w:szCs w:val="21"/>
          <w:highlight w:val="none"/>
        </w:rPr>
        <w:t>日期：</w:t>
      </w:r>
    </w:p>
    <w:p w14:paraId="755B5BA1">
      <w:pPr>
        <w:autoSpaceDE w:val="0"/>
        <w:autoSpaceDN w:val="0"/>
        <w:adjustRightInd w:val="0"/>
        <w:spacing w:line="440" w:lineRule="atLeast"/>
        <w:outlineLvl w:val="9"/>
        <w:rPr>
          <w:rFonts w:hint="default" w:ascii="宋体" w:hAnsi="宋体" w:eastAsia="宋体" w:cs="Times New Roman"/>
          <w:b/>
          <w:color w:val="auto"/>
          <w:sz w:val="32"/>
          <w:szCs w:val="32"/>
          <w:highlight w:val="none"/>
          <w:lang w:val="en-US" w:eastAsia="zh-CN"/>
        </w:rPr>
      </w:pPr>
      <w:r>
        <w:rPr>
          <w:rFonts w:hint="eastAsia" w:ascii="宋体" w:hAnsi="宋体" w:eastAsia="宋体" w:cs="宋体"/>
          <w:b/>
          <w:bCs/>
          <w:color w:val="auto"/>
          <w:sz w:val="30"/>
          <w:szCs w:val="22"/>
          <w:highlight w:val="none"/>
        </w:rPr>
        <w:br w:type="page"/>
      </w:r>
      <w:r>
        <w:rPr>
          <w:rFonts w:hint="eastAsia" w:ascii="宋体" w:hAnsi="宋体" w:eastAsia="宋体" w:cs="Times New Roman"/>
          <w:b/>
          <w:color w:val="auto"/>
          <w:kern w:val="0"/>
          <w:sz w:val="32"/>
          <w:szCs w:val="32"/>
          <w:highlight w:val="none"/>
          <w:lang w:val="zh-CN" w:eastAsia="zh-CN" w:bidi="ar-SA"/>
        </w:rPr>
        <w:t>附件十</w:t>
      </w:r>
      <w:r>
        <w:rPr>
          <w:rFonts w:hint="eastAsia" w:ascii="宋体" w:hAnsi="宋体" w:eastAsia="宋体" w:cs="Times New Roman"/>
          <w:b/>
          <w:color w:val="auto"/>
          <w:kern w:val="0"/>
          <w:sz w:val="32"/>
          <w:szCs w:val="32"/>
          <w:highlight w:val="none"/>
          <w:lang w:val="en-US" w:eastAsia="zh-CN" w:bidi="ar-SA"/>
        </w:rPr>
        <w:t>三</w:t>
      </w:r>
    </w:p>
    <w:p w14:paraId="290DD4C5">
      <w:pPr>
        <w:autoSpaceDE w:val="0"/>
        <w:autoSpaceDN w:val="0"/>
        <w:adjustRightInd w:val="0"/>
        <w:spacing w:line="360" w:lineRule="atLeast"/>
        <w:jc w:val="center"/>
        <w:textAlignment w:val="baseline"/>
        <w:outlineLvl w:val="9"/>
        <w:rPr>
          <w:rFonts w:hint="eastAsia" w:ascii="宋体" w:hAnsi="宋体" w:eastAsia="宋体" w:cs="宋体"/>
          <w:b/>
          <w:bCs/>
          <w:color w:val="auto"/>
          <w:sz w:val="32"/>
          <w:szCs w:val="32"/>
          <w:highlight w:val="none"/>
          <w:lang w:val="zh-CN"/>
        </w:rPr>
      </w:pPr>
      <w:bookmarkStart w:id="39" w:name="_Toc28287_WPSOffice_Level3"/>
      <w:r>
        <w:rPr>
          <w:rFonts w:hint="eastAsia" w:ascii="宋体" w:hAnsi="宋体" w:eastAsia="宋体" w:cs="宋体"/>
          <w:b/>
          <w:bCs/>
          <w:color w:val="auto"/>
          <w:sz w:val="32"/>
          <w:szCs w:val="32"/>
          <w:highlight w:val="none"/>
          <w:lang w:val="en-US" w:eastAsia="zh-CN"/>
        </w:rPr>
        <w:t>供应商</w:t>
      </w:r>
      <w:r>
        <w:rPr>
          <w:rFonts w:hint="eastAsia" w:ascii="宋体" w:hAnsi="宋体" w:eastAsia="宋体" w:cs="宋体"/>
          <w:b/>
          <w:bCs/>
          <w:color w:val="auto"/>
          <w:sz w:val="32"/>
          <w:szCs w:val="32"/>
          <w:highlight w:val="none"/>
          <w:lang w:val="zh-CN"/>
        </w:rPr>
        <w:t>项目业绩清单</w:t>
      </w:r>
      <w:bookmarkEnd w:id="39"/>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25"/>
        <w:gridCol w:w="1654"/>
        <w:gridCol w:w="1154"/>
        <w:gridCol w:w="1154"/>
        <w:gridCol w:w="1154"/>
        <w:gridCol w:w="1154"/>
        <w:gridCol w:w="882"/>
      </w:tblGrid>
      <w:tr w14:paraId="59C6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14:paraId="143DCABF">
            <w:pPr>
              <w:tabs>
                <w:tab w:val="left" w:pos="1069"/>
                <w:tab w:val="left" w:pos="4140"/>
              </w:tabs>
              <w:adjustRightInd w:val="0"/>
              <w:snapToGrid w:val="0"/>
              <w:spacing w:line="320" w:lineRule="atLeast"/>
              <w:jc w:val="center"/>
              <w:outlineLvl w:val="9"/>
              <w:rPr>
                <w:rFonts w:hint="eastAsia" w:ascii="宋体" w:hAnsi="宋体" w:eastAsia="宋体" w:cs="宋体"/>
                <w:caps/>
                <w:color w:val="auto"/>
                <w:spacing w:val="20"/>
                <w:sz w:val="22"/>
                <w:szCs w:val="21"/>
                <w:highlight w:val="none"/>
              </w:rPr>
            </w:pPr>
            <w:r>
              <w:rPr>
                <w:rFonts w:hint="eastAsia" w:ascii="宋体" w:hAnsi="宋体" w:eastAsia="宋体" w:cs="宋体"/>
                <w:caps/>
                <w:color w:val="auto"/>
                <w:spacing w:val="20"/>
                <w:sz w:val="22"/>
                <w:szCs w:val="21"/>
                <w:highlight w:val="none"/>
              </w:rPr>
              <w:t>序号</w:t>
            </w:r>
          </w:p>
        </w:tc>
        <w:tc>
          <w:tcPr>
            <w:tcW w:w="1425" w:type="dxa"/>
            <w:noWrap w:val="0"/>
            <w:vAlign w:val="center"/>
          </w:tcPr>
          <w:p w14:paraId="3F90FA55">
            <w:pPr>
              <w:tabs>
                <w:tab w:val="left" w:pos="1069"/>
                <w:tab w:val="left" w:pos="4140"/>
              </w:tabs>
              <w:adjustRightInd w:val="0"/>
              <w:snapToGrid w:val="0"/>
              <w:spacing w:line="320" w:lineRule="atLeast"/>
              <w:jc w:val="center"/>
              <w:outlineLvl w:val="9"/>
              <w:rPr>
                <w:rFonts w:hint="eastAsia" w:ascii="宋体" w:hAnsi="宋体" w:eastAsia="宋体" w:cs="宋体"/>
                <w:color w:val="auto"/>
                <w:spacing w:val="20"/>
                <w:sz w:val="22"/>
                <w:szCs w:val="21"/>
                <w:highlight w:val="none"/>
              </w:rPr>
            </w:pPr>
            <w:r>
              <w:rPr>
                <w:rFonts w:hint="eastAsia" w:ascii="宋体" w:hAnsi="宋体" w:eastAsia="宋体" w:cs="宋体"/>
                <w:color w:val="auto"/>
                <w:spacing w:val="20"/>
                <w:sz w:val="22"/>
                <w:szCs w:val="21"/>
                <w:highlight w:val="none"/>
              </w:rPr>
              <w:t>采购</w:t>
            </w:r>
          </w:p>
          <w:p w14:paraId="2E768F51">
            <w:pPr>
              <w:tabs>
                <w:tab w:val="left" w:pos="1069"/>
                <w:tab w:val="left" w:pos="4140"/>
              </w:tabs>
              <w:adjustRightInd w:val="0"/>
              <w:snapToGrid w:val="0"/>
              <w:spacing w:line="320" w:lineRule="atLeast"/>
              <w:jc w:val="center"/>
              <w:outlineLvl w:val="9"/>
              <w:rPr>
                <w:rFonts w:hint="eastAsia" w:ascii="宋体" w:hAnsi="宋体" w:eastAsia="宋体" w:cs="宋体"/>
                <w:caps/>
                <w:color w:val="auto"/>
                <w:spacing w:val="20"/>
                <w:sz w:val="22"/>
                <w:szCs w:val="21"/>
                <w:highlight w:val="none"/>
              </w:rPr>
            </w:pPr>
            <w:r>
              <w:rPr>
                <w:rFonts w:hint="eastAsia" w:ascii="宋体" w:hAnsi="宋体" w:eastAsia="宋体" w:cs="宋体"/>
                <w:color w:val="auto"/>
                <w:spacing w:val="20"/>
                <w:sz w:val="22"/>
                <w:szCs w:val="21"/>
                <w:highlight w:val="none"/>
              </w:rPr>
              <w:t>单位</w:t>
            </w:r>
          </w:p>
        </w:tc>
        <w:tc>
          <w:tcPr>
            <w:tcW w:w="1654" w:type="dxa"/>
            <w:noWrap w:val="0"/>
            <w:vAlign w:val="center"/>
          </w:tcPr>
          <w:p w14:paraId="6046D122">
            <w:pPr>
              <w:tabs>
                <w:tab w:val="left" w:pos="1069"/>
                <w:tab w:val="left" w:pos="4140"/>
              </w:tabs>
              <w:adjustRightInd w:val="0"/>
              <w:snapToGrid w:val="0"/>
              <w:spacing w:line="320" w:lineRule="atLeast"/>
              <w:jc w:val="center"/>
              <w:outlineLvl w:val="9"/>
              <w:rPr>
                <w:rFonts w:hint="eastAsia" w:ascii="宋体" w:hAnsi="宋体" w:eastAsia="宋体" w:cs="宋体"/>
                <w:caps/>
                <w:color w:val="auto"/>
                <w:spacing w:val="20"/>
                <w:sz w:val="22"/>
                <w:szCs w:val="21"/>
                <w:highlight w:val="none"/>
              </w:rPr>
            </w:pPr>
            <w:r>
              <w:rPr>
                <w:rFonts w:hint="eastAsia" w:ascii="宋体" w:hAnsi="宋体" w:eastAsia="宋体" w:cs="宋体"/>
                <w:caps/>
                <w:color w:val="auto"/>
                <w:spacing w:val="20"/>
                <w:sz w:val="22"/>
                <w:szCs w:val="21"/>
                <w:highlight w:val="none"/>
              </w:rPr>
              <w:t>项目</w:t>
            </w:r>
          </w:p>
          <w:p w14:paraId="05EBDB71">
            <w:pPr>
              <w:tabs>
                <w:tab w:val="left" w:pos="1069"/>
                <w:tab w:val="left" w:pos="4140"/>
              </w:tabs>
              <w:adjustRightInd w:val="0"/>
              <w:snapToGrid w:val="0"/>
              <w:spacing w:line="320" w:lineRule="atLeast"/>
              <w:jc w:val="center"/>
              <w:outlineLvl w:val="9"/>
              <w:rPr>
                <w:rFonts w:hint="eastAsia" w:ascii="宋体" w:hAnsi="宋体" w:eastAsia="宋体" w:cs="宋体"/>
                <w:caps/>
                <w:color w:val="auto"/>
                <w:spacing w:val="20"/>
                <w:sz w:val="22"/>
                <w:szCs w:val="21"/>
                <w:highlight w:val="none"/>
              </w:rPr>
            </w:pPr>
            <w:r>
              <w:rPr>
                <w:rFonts w:hint="eastAsia" w:ascii="宋体" w:hAnsi="宋体" w:eastAsia="宋体" w:cs="宋体"/>
                <w:caps/>
                <w:color w:val="auto"/>
                <w:spacing w:val="20"/>
                <w:sz w:val="22"/>
                <w:szCs w:val="21"/>
                <w:highlight w:val="none"/>
              </w:rPr>
              <w:t>名称</w:t>
            </w:r>
          </w:p>
        </w:tc>
        <w:tc>
          <w:tcPr>
            <w:tcW w:w="1154" w:type="dxa"/>
            <w:noWrap w:val="0"/>
            <w:vAlign w:val="center"/>
          </w:tcPr>
          <w:p w14:paraId="6C6F55BB">
            <w:pPr>
              <w:tabs>
                <w:tab w:val="left" w:pos="1069"/>
                <w:tab w:val="left" w:pos="4140"/>
              </w:tabs>
              <w:adjustRightInd w:val="0"/>
              <w:snapToGrid w:val="0"/>
              <w:spacing w:line="320" w:lineRule="atLeast"/>
              <w:jc w:val="center"/>
              <w:outlineLvl w:val="9"/>
              <w:rPr>
                <w:rFonts w:hint="eastAsia" w:ascii="宋体" w:hAnsi="宋体" w:eastAsia="宋体" w:cs="宋体"/>
                <w:caps/>
                <w:color w:val="auto"/>
                <w:spacing w:val="20"/>
                <w:sz w:val="22"/>
                <w:szCs w:val="21"/>
                <w:highlight w:val="none"/>
              </w:rPr>
            </w:pPr>
            <w:r>
              <w:rPr>
                <w:rFonts w:hint="eastAsia" w:ascii="宋体" w:hAnsi="宋体" w:eastAsia="宋体" w:cs="宋体"/>
                <w:caps/>
                <w:color w:val="auto"/>
                <w:spacing w:val="20"/>
                <w:sz w:val="22"/>
                <w:szCs w:val="21"/>
                <w:highlight w:val="none"/>
              </w:rPr>
              <w:t>合同</w:t>
            </w:r>
          </w:p>
          <w:p w14:paraId="2069499A">
            <w:pPr>
              <w:tabs>
                <w:tab w:val="left" w:pos="1069"/>
                <w:tab w:val="left" w:pos="4140"/>
              </w:tabs>
              <w:adjustRightInd w:val="0"/>
              <w:snapToGrid w:val="0"/>
              <w:spacing w:line="320" w:lineRule="atLeast"/>
              <w:jc w:val="center"/>
              <w:outlineLvl w:val="9"/>
              <w:rPr>
                <w:rFonts w:hint="eastAsia" w:ascii="宋体" w:hAnsi="宋体" w:eastAsia="宋体" w:cs="宋体"/>
                <w:caps/>
                <w:color w:val="auto"/>
                <w:spacing w:val="20"/>
                <w:sz w:val="22"/>
                <w:szCs w:val="21"/>
                <w:highlight w:val="none"/>
              </w:rPr>
            </w:pPr>
            <w:r>
              <w:rPr>
                <w:rFonts w:hint="eastAsia" w:ascii="宋体" w:hAnsi="宋体" w:eastAsia="宋体" w:cs="宋体"/>
                <w:caps/>
                <w:color w:val="auto"/>
                <w:spacing w:val="20"/>
                <w:sz w:val="22"/>
                <w:szCs w:val="21"/>
                <w:highlight w:val="none"/>
              </w:rPr>
              <w:t>金额</w:t>
            </w:r>
          </w:p>
        </w:tc>
        <w:tc>
          <w:tcPr>
            <w:tcW w:w="1154" w:type="dxa"/>
            <w:noWrap w:val="0"/>
            <w:vAlign w:val="center"/>
          </w:tcPr>
          <w:p w14:paraId="71896A09">
            <w:pPr>
              <w:tabs>
                <w:tab w:val="left" w:pos="1069"/>
                <w:tab w:val="left" w:pos="4140"/>
              </w:tabs>
              <w:adjustRightInd w:val="0"/>
              <w:snapToGrid w:val="0"/>
              <w:spacing w:line="320" w:lineRule="atLeast"/>
              <w:jc w:val="center"/>
              <w:outlineLvl w:val="9"/>
              <w:rPr>
                <w:rFonts w:hint="eastAsia" w:ascii="宋体" w:hAnsi="宋体" w:eastAsia="宋体" w:cs="宋体"/>
                <w:color w:val="auto"/>
                <w:spacing w:val="20"/>
                <w:sz w:val="22"/>
                <w:szCs w:val="21"/>
                <w:highlight w:val="none"/>
              </w:rPr>
            </w:pPr>
            <w:r>
              <w:rPr>
                <w:rFonts w:hint="eastAsia" w:ascii="宋体" w:hAnsi="宋体" w:eastAsia="宋体" w:cs="宋体"/>
                <w:color w:val="auto"/>
                <w:spacing w:val="20"/>
                <w:sz w:val="22"/>
                <w:szCs w:val="21"/>
                <w:highlight w:val="none"/>
              </w:rPr>
              <w:t>签约</w:t>
            </w:r>
          </w:p>
          <w:p w14:paraId="1E15968D">
            <w:pPr>
              <w:tabs>
                <w:tab w:val="left" w:pos="1069"/>
                <w:tab w:val="left" w:pos="4140"/>
              </w:tabs>
              <w:adjustRightInd w:val="0"/>
              <w:snapToGrid w:val="0"/>
              <w:spacing w:line="320" w:lineRule="atLeast"/>
              <w:jc w:val="center"/>
              <w:outlineLvl w:val="9"/>
              <w:rPr>
                <w:rFonts w:hint="eastAsia" w:ascii="宋体" w:hAnsi="宋体" w:eastAsia="宋体" w:cs="宋体"/>
                <w:caps/>
                <w:color w:val="auto"/>
                <w:spacing w:val="20"/>
                <w:sz w:val="22"/>
                <w:szCs w:val="21"/>
                <w:highlight w:val="none"/>
              </w:rPr>
            </w:pPr>
            <w:r>
              <w:rPr>
                <w:rFonts w:hint="eastAsia" w:ascii="宋体" w:hAnsi="宋体" w:eastAsia="宋体" w:cs="宋体"/>
                <w:color w:val="auto"/>
                <w:spacing w:val="20"/>
                <w:sz w:val="22"/>
                <w:szCs w:val="21"/>
                <w:highlight w:val="none"/>
              </w:rPr>
              <w:t>日期</w:t>
            </w:r>
          </w:p>
        </w:tc>
        <w:tc>
          <w:tcPr>
            <w:tcW w:w="1154" w:type="dxa"/>
            <w:noWrap w:val="0"/>
            <w:vAlign w:val="center"/>
          </w:tcPr>
          <w:p w14:paraId="2D973653">
            <w:pPr>
              <w:tabs>
                <w:tab w:val="left" w:pos="1069"/>
                <w:tab w:val="left" w:pos="4140"/>
              </w:tabs>
              <w:adjustRightInd w:val="0"/>
              <w:snapToGrid w:val="0"/>
              <w:spacing w:line="320" w:lineRule="atLeast"/>
              <w:jc w:val="center"/>
              <w:outlineLvl w:val="9"/>
              <w:rPr>
                <w:rFonts w:hint="eastAsia" w:ascii="宋体" w:hAnsi="宋体" w:eastAsia="宋体" w:cs="宋体"/>
                <w:color w:val="auto"/>
                <w:spacing w:val="20"/>
                <w:sz w:val="22"/>
                <w:szCs w:val="21"/>
                <w:highlight w:val="none"/>
              </w:rPr>
            </w:pPr>
            <w:r>
              <w:rPr>
                <w:rFonts w:hint="eastAsia" w:ascii="宋体" w:hAnsi="宋体" w:eastAsia="宋体" w:cs="宋体"/>
                <w:color w:val="auto"/>
                <w:spacing w:val="20"/>
                <w:sz w:val="22"/>
                <w:szCs w:val="21"/>
                <w:highlight w:val="none"/>
              </w:rPr>
              <w:t>联系人</w:t>
            </w:r>
          </w:p>
        </w:tc>
        <w:tc>
          <w:tcPr>
            <w:tcW w:w="1154" w:type="dxa"/>
            <w:noWrap w:val="0"/>
            <w:vAlign w:val="center"/>
          </w:tcPr>
          <w:p w14:paraId="1174CA98">
            <w:pPr>
              <w:tabs>
                <w:tab w:val="left" w:pos="1069"/>
                <w:tab w:val="left" w:pos="4140"/>
              </w:tabs>
              <w:adjustRightInd w:val="0"/>
              <w:snapToGrid w:val="0"/>
              <w:spacing w:line="320" w:lineRule="atLeast"/>
              <w:jc w:val="center"/>
              <w:outlineLvl w:val="9"/>
              <w:rPr>
                <w:rFonts w:hint="eastAsia" w:ascii="宋体" w:hAnsi="宋体" w:eastAsia="宋体" w:cs="宋体"/>
                <w:color w:val="auto"/>
                <w:spacing w:val="20"/>
                <w:sz w:val="22"/>
                <w:szCs w:val="21"/>
                <w:highlight w:val="none"/>
              </w:rPr>
            </w:pPr>
            <w:r>
              <w:rPr>
                <w:rFonts w:hint="eastAsia" w:ascii="宋体" w:hAnsi="宋体" w:eastAsia="宋体" w:cs="宋体"/>
                <w:color w:val="auto"/>
                <w:spacing w:val="20"/>
                <w:sz w:val="22"/>
                <w:szCs w:val="21"/>
                <w:highlight w:val="none"/>
              </w:rPr>
              <w:t>联系</w:t>
            </w:r>
          </w:p>
          <w:p w14:paraId="1771487D">
            <w:pPr>
              <w:tabs>
                <w:tab w:val="left" w:pos="1069"/>
                <w:tab w:val="left" w:pos="4140"/>
              </w:tabs>
              <w:adjustRightInd w:val="0"/>
              <w:snapToGrid w:val="0"/>
              <w:spacing w:line="320" w:lineRule="atLeast"/>
              <w:jc w:val="center"/>
              <w:outlineLvl w:val="9"/>
              <w:rPr>
                <w:rFonts w:hint="eastAsia" w:ascii="宋体" w:hAnsi="宋体" w:eastAsia="宋体" w:cs="宋体"/>
                <w:color w:val="auto"/>
                <w:spacing w:val="20"/>
                <w:sz w:val="22"/>
                <w:szCs w:val="21"/>
                <w:highlight w:val="none"/>
              </w:rPr>
            </w:pPr>
            <w:r>
              <w:rPr>
                <w:rFonts w:hint="eastAsia" w:ascii="宋体" w:hAnsi="宋体" w:eastAsia="宋体" w:cs="宋体"/>
                <w:color w:val="auto"/>
                <w:spacing w:val="20"/>
                <w:sz w:val="22"/>
                <w:szCs w:val="21"/>
                <w:highlight w:val="none"/>
              </w:rPr>
              <w:t>电话</w:t>
            </w:r>
          </w:p>
        </w:tc>
        <w:tc>
          <w:tcPr>
            <w:tcW w:w="882" w:type="dxa"/>
            <w:noWrap w:val="0"/>
            <w:vAlign w:val="center"/>
          </w:tcPr>
          <w:p w14:paraId="078C5CB0">
            <w:pPr>
              <w:tabs>
                <w:tab w:val="left" w:pos="1069"/>
                <w:tab w:val="left" w:pos="4140"/>
              </w:tabs>
              <w:adjustRightInd w:val="0"/>
              <w:snapToGrid w:val="0"/>
              <w:spacing w:line="320" w:lineRule="atLeast"/>
              <w:jc w:val="center"/>
              <w:outlineLvl w:val="9"/>
              <w:rPr>
                <w:rFonts w:hint="eastAsia" w:ascii="宋体" w:hAnsi="宋体" w:eastAsia="宋体" w:cs="宋体"/>
                <w:color w:val="auto"/>
                <w:spacing w:val="20"/>
                <w:sz w:val="22"/>
                <w:szCs w:val="21"/>
                <w:highlight w:val="none"/>
              </w:rPr>
            </w:pPr>
            <w:r>
              <w:rPr>
                <w:rFonts w:hint="eastAsia" w:ascii="宋体" w:hAnsi="宋体" w:eastAsia="宋体" w:cs="宋体"/>
                <w:color w:val="auto"/>
                <w:spacing w:val="20"/>
                <w:sz w:val="22"/>
                <w:szCs w:val="21"/>
                <w:highlight w:val="none"/>
              </w:rPr>
              <w:t>备注</w:t>
            </w:r>
          </w:p>
        </w:tc>
      </w:tr>
      <w:tr w14:paraId="5716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7D86C532">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72634294">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095CF89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4C7608C7">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16B1DB2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BC22BE1">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23153A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08615B4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2A5B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67473C2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043B9541">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4A841A08">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67706A8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3940C1E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682B9BA5">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92BCDA7">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6773C340">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11C9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52850EB5">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46585299">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44439DA9">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49814779">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88DE9C7">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52DC9A1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1C1E0CFA">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4927C55C">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0D68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4BD4D4C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3EBD837D">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57542A6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5427F170">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10D00368">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3BC28B78">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444A6D8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05923F50">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0A8E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671DB20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7DD4FF7B">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5B15BAA2">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DBDE811">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4965B015">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351EA05C">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283222F3">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23F953AB">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766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72CD8F9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04116075">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6D6627D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0916CB9">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269D3B7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416C3698">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5319640D">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7376FD4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03FE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70C8C283">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375139F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7FF220C5">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577904C">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6773C02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19E5B2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3574BEAA">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6029C18A">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32F3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0EF20DE5">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346946BA">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603E042C">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D8F2E07">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3ACA0477">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2FD19D6A">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80B29CD">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6CA15D21">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3385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1A63BA90">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0E3A8FC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337CCE1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36FB529D">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ECBF0ED">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63C07CD2">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2DDABB4A">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56531CC1">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4A87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0F8274CB">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34B5141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273DDDD9">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318CDA52">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64B619E7">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AAB173A">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CBB352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139AE1F1">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4DA1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320F6DE1">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3728E110">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712B539B">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11FC4D19">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5F980511">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5382C4C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12C62363">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5788F88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7FDD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73537244">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7CC2D8E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61B41AD0">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1759806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264FCF1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0A56004">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15E0664B">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6E11B3D3">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2341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1CE6B081">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2EA1C309">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5683940B">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696951F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3493983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2167755D">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29A0041">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5255E08D">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05A0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461E685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69C8576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5A6D6B0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879F5F0">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53D1F6AD">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66DFA7B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C96099D">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3AB0DD7B">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0543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6FF1340A">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5D315D9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41AF8997">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EF8F77A">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2086DA14">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5EBD9624">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6706EF15">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4A08AB54">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1E53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766E4203">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5AB4B6A2">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07EA8850">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132B7258">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822553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3A9EC8D4">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197174D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0990A76E">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2FF8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5CAD3663">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5F11131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62B1A21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2FB84B2">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11E7A639">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D76A5DD">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51D1572">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6B737152">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046D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52779727">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53E7074A">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6F26384B">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2381462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28199E05">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03CB13BC">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7B3BE6C2">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1172024C">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r w14:paraId="6D67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4" w:type="dxa"/>
            <w:noWrap w:val="0"/>
            <w:vAlign w:val="top"/>
          </w:tcPr>
          <w:p w14:paraId="53B74650">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425" w:type="dxa"/>
            <w:noWrap w:val="0"/>
            <w:vAlign w:val="top"/>
          </w:tcPr>
          <w:p w14:paraId="055A98C4">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654" w:type="dxa"/>
            <w:noWrap w:val="0"/>
            <w:vAlign w:val="top"/>
          </w:tcPr>
          <w:p w14:paraId="6CD8A5D2">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305FFA8C">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5F03EA59">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4DC74214">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1154" w:type="dxa"/>
            <w:noWrap w:val="0"/>
            <w:vAlign w:val="top"/>
          </w:tcPr>
          <w:p w14:paraId="636EE436">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c>
          <w:tcPr>
            <w:tcW w:w="882" w:type="dxa"/>
            <w:noWrap w:val="0"/>
            <w:vAlign w:val="top"/>
          </w:tcPr>
          <w:p w14:paraId="452D667F">
            <w:pPr>
              <w:tabs>
                <w:tab w:val="left" w:pos="1069"/>
                <w:tab w:val="left" w:pos="4140"/>
              </w:tabs>
              <w:adjustRightInd w:val="0"/>
              <w:snapToGrid w:val="0"/>
              <w:spacing w:line="320" w:lineRule="atLeast"/>
              <w:outlineLvl w:val="9"/>
              <w:rPr>
                <w:rFonts w:hint="eastAsia" w:ascii="宋体" w:hAnsi="宋体" w:eastAsia="宋体" w:cs="宋体"/>
                <w:color w:val="auto"/>
                <w:spacing w:val="20"/>
                <w:sz w:val="24"/>
                <w:szCs w:val="22"/>
                <w:highlight w:val="none"/>
              </w:rPr>
            </w:pPr>
          </w:p>
        </w:tc>
      </w:tr>
    </w:tbl>
    <w:p w14:paraId="565CD4D2">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注：本表后附相关证明材料，证明材料以第七部分评审标准中的要求为准。</w:t>
      </w:r>
    </w:p>
    <w:p w14:paraId="476C1056">
      <w:pPr>
        <w:tabs>
          <w:tab w:val="left" w:pos="1069"/>
        </w:tabs>
        <w:spacing w:line="360" w:lineRule="auto"/>
        <w:outlineLvl w:val="9"/>
        <w:rPr>
          <w:rFonts w:hint="eastAsia" w:ascii="宋体" w:hAnsi="宋体" w:eastAsia="宋体" w:cs="宋体"/>
          <w:color w:val="auto"/>
          <w:spacing w:val="20"/>
          <w:sz w:val="22"/>
          <w:szCs w:val="21"/>
          <w:highlight w:val="none"/>
        </w:rPr>
      </w:pPr>
    </w:p>
    <w:p w14:paraId="2E4D4E49">
      <w:pPr>
        <w:spacing w:line="360" w:lineRule="auto"/>
        <w:ind w:firstLine="42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供应商</w:t>
      </w:r>
      <w:r>
        <w:rPr>
          <w:rFonts w:hint="eastAsia" w:ascii="宋体" w:hAnsi="宋体" w:eastAsia="宋体" w:cs="宋体"/>
          <w:color w:val="auto"/>
          <w:sz w:val="22"/>
          <w:szCs w:val="21"/>
          <w:highlight w:val="none"/>
          <w:lang w:val="en-US" w:eastAsia="zh-CN"/>
        </w:rPr>
        <w:t>名称</w:t>
      </w:r>
      <w:r>
        <w:rPr>
          <w:rFonts w:hint="eastAsia" w:ascii="宋体" w:hAnsi="宋体" w:eastAsia="宋体" w:cs="宋体"/>
          <w:color w:val="auto"/>
          <w:sz w:val="22"/>
          <w:szCs w:val="21"/>
          <w:highlight w:val="none"/>
        </w:rPr>
        <w:t>（盖章）：</w:t>
      </w:r>
    </w:p>
    <w:p w14:paraId="50D358F6">
      <w:pPr>
        <w:rPr>
          <w:rFonts w:hint="eastAsia" w:ascii="宋体" w:hAnsi="宋体" w:eastAsia="宋体" w:cs="Times New Roman"/>
          <w:b/>
          <w:color w:val="auto"/>
          <w:kern w:val="0"/>
          <w:sz w:val="32"/>
          <w:szCs w:val="32"/>
          <w:highlight w:val="none"/>
          <w:lang w:val="zh-CN" w:eastAsia="zh-CN" w:bidi="ar-SA"/>
        </w:rPr>
      </w:pPr>
      <w:r>
        <w:rPr>
          <w:rFonts w:hint="eastAsia" w:ascii="宋体" w:hAnsi="宋体" w:eastAsia="宋体" w:cs="Times New Roman"/>
          <w:b/>
          <w:color w:val="auto"/>
          <w:kern w:val="0"/>
          <w:sz w:val="32"/>
          <w:szCs w:val="32"/>
          <w:highlight w:val="none"/>
          <w:lang w:val="zh-CN" w:eastAsia="zh-CN" w:bidi="ar-SA"/>
        </w:rPr>
        <w:br w:type="page"/>
      </w:r>
    </w:p>
    <w:p w14:paraId="13CC8BAE">
      <w:pPr>
        <w:outlineLvl w:val="9"/>
        <w:rPr>
          <w:rFonts w:hint="default" w:ascii="宋体" w:hAnsi="宋体" w:eastAsia="宋体" w:cs="Times New Roman"/>
          <w:b/>
          <w:color w:val="auto"/>
          <w:sz w:val="32"/>
          <w:szCs w:val="32"/>
          <w:highlight w:val="none"/>
          <w:lang w:val="en-US" w:eastAsia="zh-CN"/>
        </w:rPr>
      </w:pPr>
      <w:r>
        <w:rPr>
          <w:rFonts w:hint="eastAsia" w:ascii="宋体" w:hAnsi="宋体" w:eastAsia="宋体" w:cs="Times New Roman"/>
          <w:b/>
          <w:color w:val="auto"/>
          <w:kern w:val="0"/>
          <w:sz w:val="32"/>
          <w:szCs w:val="32"/>
          <w:highlight w:val="none"/>
          <w:lang w:val="zh-CN" w:eastAsia="zh-CN" w:bidi="ar-SA"/>
        </w:rPr>
        <w:t>附件十</w:t>
      </w:r>
      <w:r>
        <w:rPr>
          <w:rFonts w:hint="eastAsia" w:ascii="宋体" w:hAnsi="宋体" w:eastAsia="宋体" w:cs="Times New Roman"/>
          <w:b/>
          <w:color w:val="auto"/>
          <w:kern w:val="0"/>
          <w:sz w:val="32"/>
          <w:szCs w:val="32"/>
          <w:highlight w:val="none"/>
          <w:lang w:val="en-US" w:eastAsia="zh-CN" w:bidi="ar-SA"/>
        </w:rPr>
        <w:t>四</w:t>
      </w:r>
    </w:p>
    <w:p w14:paraId="5B41DE2D">
      <w:pPr>
        <w:autoSpaceDE w:val="0"/>
        <w:autoSpaceDN w:val="0"/>
        <w:adjustRightInd w:val="0"/>
        <w:spacing w:line="360" w:lineRule="atLeast"/>
        <w:jc w:val="center"/>
        <w:textAlignment w:val="baseline"/>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政府采购活动现场确认声明书</w:t>
      </w:r>
    </w:p>
    <w:p w14:paraId="0B6F6D27">
      <w:pPr>
        <w:tabs>
          <w:tab w:val="left" w:pos="1069"/>
        </w:tabs>
        <w:snapToGrid w:val="0"/>
        <w:spacing w:line="360" w:lineRule="auto"/>
        <w:outlineLvl w:val="9"/>
        <w:rPr>
          <w:rFonts w:hint="eastAsia" w:ascii="宋体" w:hAnsi="宋体" w:eastAsia="宋体" w:cs="宋体"/>
          <w:color w:val="auto"/>
          <w:kern w:val="0"/>
          <w:sz w:val="22"/>
          <w:szCs w:val="21"/>
          <w:highlight w:val="none"/>
          <w:u w:val="single"/>
        </w:rPr>
      </w:pPr>
    </w:p>
    <w:p w14:paraId="42172027">
      <w:pPr>
        <w:tabs>
          <w:tab w:val="left" w:pos="1069"/>
        </w:tabs>
        <w:snapToGrid w:val="0"/>
        <w:spacing w:line="360" w:lineRule="auto"/>
        <w:outlineLvl w:val="9"/>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u w:val="single"/>
          <w:lang w:eastAsia="zh-CN"/>
        </w:rPr>
        <w:t>温州荣祥项目管理咨询有限公司</w:t>
      </w:r>
      <w:r>
        <w:rPr>
          <w:rFonts w:hint="eastAsia" w:ascii="宋体" w:hAnsi="宋体" w:eastAsia="宋体" w:cs="宋体"/>
          <w:color w:val="auto"/>
          <w:kern w:val="0"/>
          <w:sz w:val="22"/>
          <w:szCs w:val="21"/>
          <w:highlight w:val="none"/>
        </w:rPr>
        <w:t>：</w:t>
      </w:r>
    </w:p>
    <w:p w14:paraId="407C5BAC">
      <w:pPr>
        <w:tabs>
          <w:tab w:val="left" w:pos="1069"/>
        </w:tabs>
        <w:snapToGrid w:val="0"/>
        <w:spacing w:line="360" w:lineRule="auto"/>
        <w:ind w:firstLine="464" w:firstLineChars="200"/>
        <w:outlineLvl w:val="9"/>
        <w:rPr>
          <w:rFonts w:hint="eastAsia" w:ascii="宋体" w:hAnsi="宋体" w:eastAsia="宋体" w:cs="宋体"/>
          <w:color w:val="auto"/>
          <w:spacing w:val="6"/>
          <w:sz w:val="22"/>
          <w:szCs w:val="21"/>
          <w:highlight w:val="none"/>
        </w:rPr>
      </w:pPr>
      <w:r>
        <w:rPr>
          <w:rFonts w:hint="eastAsia" w:ascii="宋体" w:hAnsi="宋体" w:eastAsia="宋体" w:cs="宋体"/>
          <w:color w:val="auto"/>
          <w:spacing w:val="6"/>
          <w:sz w:val="22"/>
          <w:szCs w:val="21"/>
          <w:highlight w:val="none"/>
        </w:rPr>
        <w:t>本人经由</w:t>
      </w:r>
      <w:r>
        <w:rPr>
          <w:rFonts w:hint="eastAsia" w:ascii="宋体" w:hAnsi="宋体" w:eastAsia="宋体" w:cs="宋体"/>
          <w:color w:val="auto"/>
          <w:spacing w:val="6"/>
          <w:sz w:val="22"/>
          <w:szCs w:val="21"/>
          <w:highlight w:val="none"/>
          <w:u w:val="single"/>
        </w:rPr>
        <w:t>（供应商全称）</w:t>
      </w:r>
      <w:r>
        <w:rPr>
          <w:rFonts w:hint="eastAsia" w:ascii="宋体" w:hAnsi="宋体" w:eastAsia="宋体" w:cs="宋体"/>
          <w:color w:val="auto"/>
          <w:spacing w:val="6"/>
          <w:sz w:val="22"/>
          <w:szCs w:val="21"/>
          <w:highlight w:val="none"/>
        </w:rPr>
        <w:t>负责人</w:t>
      </w:r>
      <w:r>
        <w:rPr>
          <w:rFonts w:hint="eastAsia" w:ascii="宋体" w:hAnsi="宋体" w:eastAsia="宋体" w:cs="宋体"/>
          <w:color w:val="auto"/>
          <w:spacing w:val="6"/>
          <w:sz w:val="22"/>
          <w:szCs w:val="21"/>
          <w:highlight w:val="none"/>
          <w:u w:val="single"/>
        </w:rPr>
        <w:t>（法定代表人姓名）</w:t>
      </w:r>
      <w:r>
        <w:rPr>
          <w:rFonts w:hint="eastAsia" w:ascii="宋体" w:hAnsi="宋体" w:eastAsia="宋体" w:cs="宋体"/>
          <w:color w:val="auto"/>
          <w:spacing w:val="6"/>
          <w:sz w:val="22"/>
          <w:szCs w:val="21"/>
          <w:highlight w:val="none"/>
        </w:rPr>
        <w:t>合法授权参加</w:t>
      </w:r>
      <w:r>
        <w:rPr>
          <w:rFonts w:hint="eastAsia" w:ascii="宋体" w:hAnsi="宋体" w:eastAsia="宋体" w:cs="宋体"/>
          <w:color w:val="auto"/>
          <w:spacing w:val="6"/>
          <w:sz w:val="22"/>
          <w:szCs w:val="21"/>
          <w:highlight w:val="none"/>
          <w:u w:val="single"/>
        </w:rPr>
        <w:t>（</w:t>
      </w:r>
      <w:r>
        <w:rPr>
          <w:rFonts w:hint="eastAsia" w:ascii="宋体" w:hAnsi="宋体" w:eastAsia="宋体" w:cs="宋体"/>
          <w:color w:val="auto"/>
          <w:spacing w:val="6"/>
          <w:sz w:val="22"/>
          <w:szCs w:val="21"/>
          <w:highlight w:val="none"/>
          <w:u w:val="single"/>
          <w:lang w:eastAsia="zh-CN"/>
        </w:rPr>
        <w:t>2025-2026泰顺县大安乡环卫保洁服务</w:t>
      </w:r>
      <w:r>
        <w:rPr>
          <w:rFonts w:hint="eastAsia" w:ascii="宋体" w:hAnsi="宋体" w:eastAsia="宋体" w:cs="宋体"/>
          <w:color w:val="auto"/>
          <w:spacing w:val="6"/>
          <w:sz w:val="22"/>
          <w:szCs w:val="21"/>
          <w:highlight w:val="none"/>
          <w:u w:val="single"/>
        </w:rPr>
        <w:t>）</w:t>
      </w:r>
      <w:r>
        <w:rPr>
          <w:rFonts w:hint="eastAsia" w:ascii="宋体" w:hAnsi="宋体" w:eastAsia="宋体" w:cs="宋体"/>
          <w:color w:val="auto"/>
          <w:spacing w:val="6"/>
          <w:sz w:val="22"/>
          <w:szCs w:val="21"/>
          <w:highlight w:val="none"/>
        </w:rPr>
        <w:t>（</w:t>
      </w:r>
      <w:r>
        <w:rPr>
          <w:rFonts w:hint="eastAsia" w:ascii="宋体" w:hAnsi="宋体" w:eastAsia="宋体" w:cs="宋体"/>
          <w:color w:val="auto"/>
          <w:spacing w:val="6"/>
          <w:sz w:val="22"/>
          <w:szCs w:val="21"/>
          <w:highlight w:val="none"/>
          <w:u w:val="single"/>
          <w:lang w:eastAsia="zh-CN"/>
        </w:rPr>
        <w:t>项目编号：TSCG202509001</w:t>
      </w:r>
      <w:r>
        <w:rPr>
          <w:rFonts w:hint="eastAsia" w:ascii="宋体" w:hAnsi="宋体" w:eastAsia="宋体" w:cs="宋体"/>
          <w:color w:val="auto"/>
          <w:spacing w:val="6"/>
          <w:sz w:val="22"/>
          <w:szCs w:val="21"/>
          <w:highlight w:val="none"/>
        </w:rPr>
        <w:t>）政府采购活动，经与本单位法人代表（负责人）联系确认，现就有关公平竞争事项郑重声明如下：</w:t>
      </w:r>
    </w:p>
    <w:p w14:paraId="174F537F">
      <w:pPr>
        <w:widowControl/>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一、本单位与采购人之间 □不存在利害关系 □存在下列利害关系</w:t>
      </w:r>
      <w:r>
        <w:rPr>
          <w:rFonts w:hint="eastAsia" w:ascii="宋体" w:hAnsi="宋体" w:eastAsia="宋体" w:cs="宋体"/>
          <w:color w:val="auto"/>
          <w:kern w:val="0"/>
          <w:sz w:val="22"/>
          <w:szCs w:val="21"/>
          <w:highlight w:val="none"/>
          <w:u w:val="single"/>
        </w:rPr>
        <w:t xml:space="preserve">           </w:t>
      </w:r>
      <w:r>
        <w:rPr>
          <w:rFonts w:hint="eastAsia" w:ascii="宋体" w:hAnsi="宋体" w:eastAsia="宋体" w:cs="宋体"/>
          <w:color w:val="auto"/>
          <w:kern w:val="0"/>
          <w:sz w:val="22"/>
          <w:szCs w:val="21"/>
          <w:highlight w:val="none"/>
        </w:rPr>
        <w:t>：</w:t>
      </w:r>
    </w:p>
    <w:p w14:paraId="52701A32">
      <w:pPr>
        <w:widowControl/>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 xml:space="preserve">  A.投资关系    B.行政隶属关系    C.业务指导关系</w:t>
      </w:r>
    </w:p>
    <w:p w14:paraId="73C8A095">
      <w:pPr>
        <w:widowControl/>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 xml:space="preserve">  D.其他可能</w:t>
      </w:r>
      <w:r>
        <w:rPr>
          <w:rFonts w:hint="eastAsia" w:ascii="宋体" w:hAnsi="宋体" w:eastAsia="宋体" w:cs="宋体"/>
          <w:color w:val="auto"/>
          <w:sz w:val="22"/>
          <w:szCs w:val="21"/>
          <w:highlight w:val="none"/>
        </w:rPr>
        <w:t>影响采购公正的</w:t>
      </w:r>
      <w:r>
        <w:rPr>
          <w:rFonts w:hint="eastAsia" w:ascii="宋体" w:hAnsi="宋体" w:eastAsia="宋体" w:cs="宋体"/>
          <w:color w:val="auto"/>
          <w:kern w:val="0"/>
          <w:sz w:val="22"/>
          <w:szCs w:val="21"/>
          <w:highlight w:val="none"/>
        </w:rPr>
        <w:t>利害关系</w:t>
      </w:r>
      <w:r>
        <w:rPr>
          <w:rFonts w:hint="eastAsia" w:ascii="宋体" w:hAnsi="宋体" w:eastAsia="宋体" w:cs="宋体"/>
          <w:color w:val="auto"/>
          <w:kern w:val="0"/>
          <w:sz w:val="22"/>
          <w:szCs w:val="21"/>
          <w:highlight w:val="none"/>
          <w:u w:val="single"/>
        </w:rPr>
        <w:t xml:space="preserve">（如有，请如实说明）                 </w:t>
      </w:r>
      <w:r>
        <w:rPr>
          <w:rFonts w:hint="eastAsia" w:ascii="宋体" w:hAnsi="宋体" w:eastAsia="宋体" w:cs="宋体"/>
          <w:color w:val="auto"/>
          <w:kern w:val="0"/>
          <w:sz w:val="22"/>
          <w:szCs w:val="21"/>
          <w:highlight w:val="none"/>
        </w:rPr>
        <w:t>。</w:t>
      </w:r>
    </w:p>
    <w:p w14:paraId="3F3AD328">
      <w:pPr>
        <w:widowControl/>
        <w:tabs>
          <w:tab w:val="left" w:pos="1069"/>
        </w:tabs>
        <w:adjustRightInd w:val="0"/>
        <w:snapToGrid w:val="0"/>
        <w:spacing w:line="360" w:lineRule="auto"/>
        <w:ind w:firstLine="464" w:firstLineChars="200"/>
        <w:textAlignment w:val="baseline"/>
        <w:outlineLvl w:val="9"/>
        <w:rPr>
          <w:rFonts w:hint="eastAsia" w:ascii="宋体" w:hAnsi="宋体" w:eastAsia="宋体" w:cs="宋体"/>
          <w:color w:val="auto"/>
          <w:kern w:val="0"/>
          <w:sz w:val="22"/>
          <w:szCs w:val="21"/>
          <w:highlight w:val="none"/>
        </w:rPr>
      </w:pPr>
      <w:r>
        <w:rPr>
          <w:rFonts w:hint="eastAsia" w:ascii="宋体" w:hAnsi="宋体" w:eastAsia="宋体" w:cs="宋体"/>
          <w:color w:val="auto"/>
          <w:spacing w:val="6"/>
          <w:sz w:val="22"/>
          <w:szCs w:val="21"/>
          <w:highlight w:val="none"/>
        </w:rPr>
        <w:t>二、</w:t>
      </w:r>
      <w:r>
        <w:rPr>
          <w:rFonts w:hint="eastAsia" w:ascii="宋体" w:hAnsi="宋体" w:eastAsia="宋体" w:cs="宋体"/>
          <w:color w:val="auto"/>
          <w:kern w:val="0"/>
          <w:sz w:val="22"/>
          <w:szCs w:val="21"/>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 w:val="22"/>
          <w:szCs w:val="21"/>
          <w:highlight w:val="none"/>
          <w:u w:val="single"/>
        </w:rPr>
        <w:t xml:space="preserve">                （供应商名称）   </w:t>
      </w:r>
      <w:r>
        <w:rPr>
          <w:rFonts w:hint="eastAsia" w:ascii="宋体" w:hAnsi="宋体" w:eastAsia="宋体" w:cs="宋体"/>
          <w:color w:val="auto"/>
          <w:kern w:val="0"/>
          <w:sz w:val="22"/>
          <w:szCs w:val="21"/>
          <w:highlight w:val="none"/>
        </w:rPr>
        <w:t>之间存在下列利害关系</w:t>
      </w:r>
      <w:r>
        <w:rPr>
          <w:rFonts w:hint="eastAsia" w:ascii="宋体" w:hAnsi="宋体" w:eastAsia="宋体" w:cs="宋体"/>
          <w:color w:val="auto"/>
          <w:kern w:val="0"/>
          <w:sz w:val="22"/>
          <w:szCs w:val="21"/>
          <w:highlight w:val="none"/>
          <w:u w:val="single"/>
        </w:rPr>
        <w:t xml:space="preserve">          </w:t>
      </w:r>
      <w:r>
        <w:rPr>
          <w:rFonts w:hint="eastAsia" w:ascii="宋体" w:hAnsi="宋体" w:eastAsia="宋体" w:cs="宋体"/>
          <w:color w:val="auto"/>
          <w:kern w:val="0"/>
          <w:sz w:val="22"/>
          <w:szCs w:val="21"/>
          <w:highlight w:val="none"/>
        </w:rPr>
        <w:t>：</w:t>
      </w:r>
    </w:p>
    <w:p w14:paraId="38586BEE">
      <w:pPr>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 xml:space="preserve">  A.法定代表人或负责人或实际控制人是同一人</w:t>
      </w:r>
    </w:p>
    <w:p w14:paraId="2D6CD3C3">
      <w:pPr>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spacing w:val="6"/>
          <w:sz w:val="22"/>
          <w:szCs w:val="21"/>
          <w:highlight w:val="none"/>
        </w:rPr>
      </w:pPr>
      <w:r>
        <w:rPr>
          <w:rFonts w:hint="eastAsia" w:ascii="宋体" w:hAnsi="宋体" w:eastAsia="宋体" w:cs="宋体"/>
          <w:color w:val="auto"/>
          <w:kern w:val="0"/>
          <w:sz w:val="22"/>
          <w:szCs w:val="21"/>
          <w:highlight w:val="none"/>
        </w:rPr>
        <w:t xml:space="preserve">  B.法定代表人或负责人或实际控制人是夫妻关系</w:t>
      </w:r>
    </w:p>
    <w:p w14:paraId="6111DD5C">
      <w:pPr>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spacing w:val="6"/>
          <w:sz w:val="22"/>
          <w:szCs w:val="21"/>
          <w:highlight w:val="none"/>
        </w:rPr>
      </w:pPr>
      <w:r>
        <w:rPr>
          <w:rFonts w:hint="eastAsia" w:ascii="宋体" w:hAnsi="宋体" w:eastAsia="宋体" w:cs="宋体"/>
          <w:color w:val="auto"/>
          <w:kern w:val="0"/>
          <w:sz w:val="22"/>
          <w:szCs w:val="21"/>
          <w:highlight w:val="none"/>
        </w:rPr>
        <w:t xml:space="preserve">  C.法定代表人或负责人或实际控制人是直系血亲关系</w:t>
      </w:r>
    </w:p>
    <w:p w14:paraId="749B9951">
      <w:pPr>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spacing w:val="6"/>
          <w:sz w:val="22"/>
          <w:szCs w:val="21"/>
          <w:highlight w:val="none"/>
        </w:rPr>
      </w:pPr>
      <w:r>
        <w:rPr>
          <w:rFonts w:hint="eastAsia" w:ascii="宋体" w:hAnsi="宋体" w:eastAsia="宋体" w:cs="宋体"/>
          <w:color w:val="auto"/>
          <w:kern w:val="0"/>
          <w:sz w:val="22"/>
          <w:szCs w:val="21"/>
          <w:highlight w:val="none"/>
        </w:rPr>
        <w:t xml:space="preserve">  D.法定代表人或负责人或实际控制人存在三代以内旁系血亲关系</w:t>
      </w:r>
    </w:p>
    <w:p w14:paraId="4F05F060">
      <w:pPr>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 xml:space="preserve">  E.法定代表人或负责人或实际控制人存在近姻亲关系</w:t>
      </w:r>
    </w:p>
    <w:p w14:paraId="5D3A0505">
      <w:pPr>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 xml:space="preserve">  F.法定代表人或负责人或实际控制人存在股份控制或实际控制关系</w:t>
      </w:r>
    </w:p>
    <w:p w14:paraId="5EA5B7E9">
      <w:pPr>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 xml:space="preserve">  G.存在共同直接或间接投资设立子公司、联营企业和合营企业情况</w:t>
      </w:r>
    </w:p>
    <w:p w14:paraId="15EADEF5">
      <w:pPr>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sz w:val="22"/>
          <w:szCs w:val="21"/>
          <w:highlight w:val="none"/>
        </w:rPr>
      </w:pPr>
      <w:r>
        <w:rPr>
          <w:rFonts w:hint="eastAsia" w:ascii="宋体" w:hAnsi="宋体" w:eastAsia="宋体" w:cs="宋体"/>
          <w:color w:val="auto"/>
          <w:kern w:val="0"/>
          <w:sz w:val="22"/>
          <w:szCs w:val="21"/>
          <w:highlight w:val="none"/>
        </w:rPr>
        <w:t xml:space="preserve">  H.存在分级代理或代销关系、同一生产制造商关系、</w:t>
      </w:r>
      <w:r>
        <w:rPr>
          <w:rFonts w:hint="eastAsia" w:ascii="宋体" w:hAnsi="宋体" w:eastAsia="宋体" w:cs="宋体"/>
          <w:color w:val="auto"/>
          <w:sz w:val="22"/>
          <w:szCs w:val="21"/>
          <w:highlight w:val="none"/>
        </w:rPr>
        <w:t>管理关系、重要业务（占主营业务收入50%以上）或重要财务往来关系（如融资）等其他实质性控制关系</w:t>
      </w:r>
    </w:p>
    <w:p w14:paraId="17F015CB">
      <w:pPr>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spacing w:val="6"/>
          <w:sz w:val="22"/>
          <w:szCs w:val="21"/>
          <w:highlight w:val="none"/>
        </w:rPr>
      </w:pPr>
      <w:r>
        <w:rPr>
          <w:rFonts w:hint="eastAsia" w:ascii="宋体" w:hAnsi="宋体" w:eastAsia="宋体" w:cs="宋体"/>
          <w:color w:val="auto"/>
          <w:sz w:val="22"/>
          <w:szCs w:val="21"/>
          <w:highlight w:val="none"/>
        </w:rPr>
        <w:t xml:space="preserve">  I</w:t>
      </w:r>
      <w:r>
        <w:rPr>
          <w:rFonts w:hint="eastAsia" w:ascii="宋体" w:hAnsi="宋体" w:eastAsia="宋体" w:cs="宋体"/>
          <w:color w:val="auto"/>
          <w:kern w:val="0"/>
          <w:sz w:val="22"/>
          <w:szCs w:val="21"/>
          <w:highlight w:val="none"/>
        </w:rPr>
        <w:t>.</w:t>
      </w:r>
      <w:r>
        <w:rPr>
          <w:rFonts w:hint="eastAsia" w:ascii="宋体" w:hAnsi="宋体" w:eastAsia="宋体" w:cs="宋体"/>
          <w:color w:val="auto"/>
          <w:sz w:val="22"/>
          <w:szCs w:val="21"/>
          <w:highlight w:val="none"/>
        </w:rPr>
        <w:t>其他利害关系情况</w:t>
      </w:r>
      <w:r>
        <w:rPr>
          <w:rFonts w:hint="eastAsia" w:ascii="宋体" w:hAnsi="宋体" w:eastAsia="宋体" w:cs="宋体"/>
          <w:color w:val="auto"/>
          <w:sz w:val="22"/>
          <w:szCs w:val="21"/>
          <w:highlight w:val="none"/>
          <w:u w:val="single"/>
        </w:rPr>
        <w:t xml:space="preserve">                              </w:t>
      </w:r>
      <w:r>
        <w:rPr>
          <w:rFonts w:hint="eastAsia" w:ascii="宋体" w:hAnsi="宋体" w:eastAsia="宋体" w:cs="宋体"/>
          <w:color w:val="auto"/>
          <w:kern w:val="0"/>
          <w:sz w:val="22"/>
          <w:szCs w:val="21"/>
          <w:highlight w:val="none"/>
        </w:rPr>
        <w:t>。</w:t>
      </w:r>
    </w:p>
    <w:p w14:paraId="05AE340C">
      <w:pPr>
        <w:widowControl/>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1"/>
          <w:highlight w:val="none"/>
        </w:rPr>
      </w:pPr>
      <w:r>
        <w:rPr>
          <w:rFonts w:hint="eastAsia" w:ascii="宋体" w:hAnsi="宋体" w:eastAsia="宋体" w:cs="宋体"/>
          <w:color w:val="auto"/>
          <w:sz w:val="22"/>
          <w:szCs w:val="21"/>
          <w:highlight w:val="none"/>
        </w:rPr>
        <w:t>三、现已清楚知道并</w:t>
      </w:r>
      <w:r>
        <w:rPr>
          <w:rFonts w:hint="eastAsia" w:ascii="宋体" w:hAnsi="宋体" w:eastAsia="宋体" w:cs="宋体"/>
          <w:color w:val="auto"/>
          <w:kern w:val="0"/>
          <w:sz w:val="22"/>
          <w:szCs w:val="21"/>
          <w:highlight w:val="none"/>
        </w:rPr>
        <w:t>严格遵守政府采购法律法规和现场纪律。</w:t>
      </w:r>
    </w:p>
    <w:p w14:paraId="23EA2129">
      <w:pPr>
        <w:widowControl/>
        <w:tabs>
          <w:tab w:val="left" w:pos="1069"/>
        </w:tabs>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四、我发现</w:t>
      </w:r>
      <w:r>
        <w:rPr>
          <w:rFonts w:hint="eastAsia" w:ascii="宋体" w:hAnsi="宋体" w:eastAsia="宋体" w:cs="宋体"/>
          <w:color w:val="auto"/>
          <w:kern w:val="0"/>
          <w:sz w:val="22"/>
          <w:szCs w:val="21"/>
          <w:highlight w:val="none"/>
          <w:u w:val="single"/>
        </w:rPr>
        <w:t xml:space="preserve">            </w:t>
      </w:r>
      <w:r>
        <w:rPr>
          <w:rFonts w:hint="eastAsia" w:ascii="宋体" w:hAnsi="宋体" w:eastAsia="宋体" w:cs="宋体"/>
          <w:color w:val="auto"/>
          <w:kern w:val="0"/>
          <w:sz w:val="22"/>
          <w:szCs w:val="21"/>
          <w:highlight w:val="none"/>
        </w:rPr>
        <w:t>供应商之间存在或可能存在上述第二条第</w:t>
      </w:r>
      <w:r>
        <w:rPr>
          <w:rFonts w:hint="eastAsia" w:ascii="宋体" w:hAnsi="宋体" w:eastAsia="宋体" w:cs="宋体"/>
          <w:color w:val="auto"/>
          <w:kern w:val="0"/>
          <w:sz w:val="22"/>
          <w:szCs w:val="21"/>
          <w:highlight w:val="none"/>
          <w:u w:val="single"/>
        </w:rPr>
        <w:t xml:space="preserve">      </w:t>
      </w:r>
      <w:r>
        <w:rPr>
          <w:rFonts w:hint="eastAsia" w:ascii="宋体" w:hAnsi="宋体" w:eastAsia="宋体" w:cs="宋体"/>
          <w:color w:val="auto"/>
          <w:kern w:val="0"/>
          <w:sz w:val="22"/>
          <w:szCs w:val="21"/>
          <w:highlight w:val="none"/>
        </w:rPr>
        <w:t>项利害关系。</w:t>
      </w:r>
    </w:p>
    <w:p w14:paraId="24F5C0F3">
      <w:pPr>
        <w:tabs>
          <w:tab w:val="left" w:pos="1069"/>
        </w:tabs>
        <w:snapToGrid w:val="0"/>
        <w:spacing w:line="360" w:lineRule="auto"/>
        <w:ind w:firstLine="440" w:firstLineChars="200"/>
        <w:outlineLvl w:val="9"/>
        <w:rPr>
          <w:rFonts w:hint="eastAsia" w:ascii="宋体" w:hAnsi="宋体" w:eastAsia="宋体" w:cs="宋体"/>
          <w:color w:val="auto"/>
          <w:sz w:val="22"/>
          <w:szCs w:val="21"/>
          <w:highlight w:val="none"/>
        </w:rPr>
      </w:pPr>
    </w:p>
    <w:p w14:paraId="7E6C2A52">
      <w:pPr>
        <w:tabs>
          <w:tab w:val="left" w:pos="1069"/>
        </w:tabs>
        <w:snapToGrid w:val="0"/>
        <w:spacing w:line="360" w:lineRule="auto"/>
        <w:ind w:firstLine="440" w:firstLineChars="2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                                    </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 xml:space="preserve"> 供应商代表签名：</w:t>
      </w:r>
    </w:p>
    <w:p w14:paraId="44ACEC67">
      <w:pPr>
        <w:tabs>
          <w:tab w:val="left" w:pos="1069"/>
        </w:tabs>
        <w:spacing w:before="312" w:beforeLines="100" w:after="312" w:afterLines="100" w:line="360" w:lineRule="auto"/>
        <w:ind w:left="4859" w:leftChars="2314" w:firstLine="880" w:firstLineChars="400"/>
        <w:outlineLvl w:val="9"/>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lang w:val="en-US" w:eastAsia="zh-CN"/>
        </w:rPr>
        <w:t xml:space="preserve">日期：     </w:t>
      </w:r>
      <w:r>
        <w:rPr>
          <w:rFonts w:hint="eastAsia" w:ascii="宋体" w:hAnsi="宋体" w:eastAsia="宋体" w:cs="宋体"/>
          <w:color w:val="auto"/>
          <w:sz w:val="22"/>
          <w:szCs w:val="21"/>
          <w:highlight w:val="none"/>
        </w:rPr>
        <w:t>年</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 xml:space="preserve">  月  </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日</w:t>
      </w:r>
    </w:p>
    <w:p w14:paraId="31080FE0">
      <w:pP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14:paraId="34C25C8D">
      <w:pPr>
        <w:outlineLvl w:val="9"/>
        <w:rPr>
          <w:rFonts w:hint="eastAsia" w:ascii="宋体" w:hAnsi="宋体" w:eastAsia="宋体" w:cs="Times New Roman"/>
          <w:b/>
          <w:color w:val="auto"/>
          <w:kern w:val="0"/>
          <w:sz w:val="32"/>
          <w:szCs w:val="32"/>
          <w:highlight w:val="none"/>
          <w:lang w:val="en-US" w:eastAsia="zh-CN" w:bidi="ar-SA"/>
        </w:rPr>
      </w:pPr>
      <w:r>
        <w:rPr>
          <w:rFonts w:hint="eastAsia" w:ascii="宋体" w:hAnsi="宋体" w:eastAsia="宋体" w:cs="Times New Roman"/>
          <w:b/>
          <w:color w:val="auto"/>
          <w:kern w:val="0"/>
          <w:sz w:val="32"/>
          <w:szCs w:val="32"/>
          <w:highlight w:val="none"/>
          <w:lang w:val="zh-CN" w:eastAsia="zh-CN" w:bidi="ar-SA"/>
        </w:rPr>
        <w:t>附件十</w:t>
      </w:r>
      <w:r>
        <w:rPr>
          <w:rFonts w:hint="eastAsia" w:ascii="宋体" w:hAnsi="宋体" w:eastAsia="宋体" w:cs="Times New Roman"/>
          <w:b/>
          <w:color w:val="auto"/>
          <w:kern w:val="0"/>
          <w:sz w:val="32"/>
          <w:szCs w:val="32"/>
          <w:highlight w:val="none"/>
          <w:lang w:val="en-US" w:eastAsia="zh-CN" w:bidi="ar-SA"/>
        </w:rPr>
        <w:t>五</w:t>
      </w:r>
    </w:p>
    <w:p w14:paraId="52392F45">
      <w:pPr>
        <w:pStyle w:val="16"/>
        <w:spacing w:line="440" w:lineRule="atLeast"/>
        <w:jc w:val="center"/>
        <w:rPr>
          <w:rFonts w:hAnsi="Times New Roman"/>
          <w:color w:val="auto"/>
          <w:sz w:val="36"/>
          <w:szCs w:val="36"/>
          <w:highlight w:val="none"/>
        </w:rPr>
      </w:pPr>
    </w:p>
    <w:p w14:paraId="5317102F">
      <w:pPr>
        <w:pStyle w:val="16"/>
        <w:spacing w:line="440" w:lineRule="atLeast"/>
        <w:jc w:val="center"/>
        <w:rPr>
          <w:rFonts w:hAnsi="Times New Roman"/>
          <w:color w:val="auto"/>
          <w:sz w:val="36"/>
          <w:szCs w:val="36"/>
          <w:highlight w:val="none"/>
        </w:rPr>
      </w:pPr>
    </w:p>
    <w:p w14:paraId="7408C7EE">
      <w:pPr>
        <w:jc w:val="center"/>
        <w:outlineLvl w:val="9"/>
        <w:rPr>
          <w:rFonts w:hint="eastAsia" w:ascii="宋体" w:hAnsi="宋体" w:eastAsia="宋体" w:cs="Times New Roman"/>
          <w:b/>
          <w:color w:val="auto"/>
          <w:kern w:val="0"/>
          <w:sz w:val="32"/>
          <w:szCs w:val="32"/>
          <w:highlight w:val="none"/>
          <w:lang w:val="zh-CN" w:eastAsia="zh-CN" w:bidi="ar-SA"/>
        </w:rPr>
      </w:pPr>
      <w:r>
        <w:rPr>
          <w:rFonts w:hint="eastAsia" w:ascii="宋体" w:hAnsi="宋体" w:eastAsia="宋体" w:cs="Times New Roman"/>
          <w:b/>
          <w:color w:val="auto"/>
          <w:kern w:val="0"/>
          <w:sz w:val="32"/>
          <w:szCs w:val="32"/>
          <w:highlight w:val="none"/>
          <w:lang w:val="zh-CN" w:eastAsia="zh-CN" w:bidi="ar-SA"/>
        </w:rPr>
        <w:t>投标供应商认为有必要提供的其他材料或证明</w:t>
      </w:r>
    </w:p>
    <w:p w14:paraId="08CE9469">
      <w:pPr>
        <w:rPr>
          <w:color w:val="auto"/>
          <w:highlight w:val="none"/>
        </w:rPr>
      </w:pPr>
    </w:p>
    <w:p w14:paraId="27B2C42D">
      <w:pPr>
        <w:rPr>
          <w:color w:val="auto"/>
          <w:highlight w:val="none"/>
        </w:rPr>
      </w:pPr>
    </w:p>
    <w:p w14:paraId="7A48510D">
      <w:pPr>
        <w:pStyle w:val="16"/>
        <w:adjustRightInd w:val="0"/>
        <w:snapToGrid w:val="0"/>
        <w:spacing w:line="400" w:lineRule="exact"/>
        <w:rPr>
          <w:rFonts w:hint="eastAsia" w:ascii="Times New Roman" w:hAnsi="宋体" w:eastAsiaTheme="minorEastAsia"/>
          <w:color w:val="auto"/>
          <w:sz w:val="22"/>
          <w:szCs w:val="22"/>
          <w:highlight w:val="none"/>
          <w:lang w:eastAsia="zh-CN"/>
        </w:rPr>
      </w:pPr>
    </w:p>
    <w:p w14:paraId="3AA71D07">
      <w:pPr>
        <w:autoSpaceDE w:val="0"/>
        <w:autoSpaceDN w:val="0"/>
        <w:adjustRightInd w:val="0"/>
        <w:snapToGrid w:val="0"/>
        <w:spacing w:line="360" w:lineRule="atLeast"/>
        <w:jc w:val="center"/>
        <w:textAlignment w:val="bottom"/>
        <w:rPr>
          <w:rFonts w:hint="eastAsia" w:hAnsi="宋体" w:cs="宋体" w:eastAsiaTheme="minorEastAsia"/>
          <w:b/>
          <w:bCs/>
          <w:color w:val="auto"/>
          <w:sz w:val="24"/>
          <w:highlight w:val="none"/>
          <w:lang w:eastAsia="zh-CN"/>
        </w:rPr>
      </w:pPr>
    </w:p>
    <w:p w14:paraId="0D3C90BC">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26D83B79">
      <w:pPr>
        <w:autoSpaceDE w:val="0"/>
        <w:autoSpaceDN w:val="0"/>
        <w:adjustRightInd w:val="0"/>
        <w:spacing w:line="360" w:lineRule="atLeast"/>
        <w:jc w:val="center"/>
        <w:textAlignment w:val="baseline"/>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评分对应表（参考）</w:t>
      </w:r>
    </w:p>
    <w:p w14:paraId="7253AC3F">
      <w:pPr>
        <w:jc w:val="center"/>
        <w:outlineLvl w:val="9"/>
        <w:rPr>
          <w:rFonts w:hint="eastAsia" w:ascii="宋体" w:eastAsia="宋体" w:cs="Times New Roman"/>
          <w:b/>
          <w:bCs/>
          <w:color w:val="auto"/>
          <w:sz w:val="28"/>
          <w:szCs w:val="28"/>
          <w:highlight w:val="none"/>
          <w:lang w:val="zh-CN"/>
        </w:rPr>
      </w:pPr>
      <w:r>
        <w:rPr>
          <w:rFonts w:hint="eastAsia" w:ascii="宋体" w:eastAsia="宋体" w:cs="Times New Roman"/>
          <w:b/>
          <w:bCs/>
          <w:color w:val="auto"/>
          <w:sz w:val="28"/>
          <w:szCs w:val="28"/>
          <w:highlight w:val="none"/>
          <w:lang w:val="zh-CN"/>
        </w:rPr>
        <w:t>置于目录处</w:t>
      </w:r>
    </w:p>
    <w:tbl>
      <w:tblPr>
        <w:tblStyle w:val="30"/>
        <w:tblW w:w="9191" w:type="dxa"/>
        <w:jc w:val="center"/>
        <w:tblLayout w:type="fixed"/>
        <w:tblCellMar>
          <w:top w:w="0" w:type="dxa"/>
          <w:left w:w="108" w:type="dxa"/>
          <w:bottom w:w="0" w:type="dxa"/>
          <w:right w:w="108" w:type="dxa"/>
        </w:tblCellMar>
      </w:tblPr>
      <w:tblGrid>
        <w:gridCol w:w="1429"/>
        <w:gridCol w:w="1384"/>
        <w:gridCol w:w="2984"/>
        <w:gridCol w:w="3394"/>
      </w:tblGrid>
      <w:tr w14:paraId="691D8FB2">
        <w:tblPrEx>
          <w:tblCellMar>
            <w:top w:w="0" w:type="dxa"/>
            <w:left w:w="108" w:type="dxa"/>
            <w:bottom w:w="0" w:type="dxa"/>
            <w:right w:w="108" w:type="dxa"/>
          </w:tblCellMar>
        </w:tblPrEx>
        <w:trPr>
          <w:trHeight w:val="629"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14:paraId="11D4B513">
            <w:pPr>
              <w:widowControl/>
              <w:snapToGrid w:val="0"/>
              <w:spacing w:line="360" w:lineRule="exact"/>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序号</w:t>
            </w:r>
          </w:p>
        </w:tc>
        <w:tc>
          <w:tcPr>
            <w:tcW w:w="1384" w:type="dxa"/>
            <w:tcBorders>
              <w:top w:val="single" w:color="000000" w:sz="4" w:space="0"/>
              <w:left w:val="nil"/>
              <w:bottom w:val="single" w:color="000000" w:sz="4" w:space="0"/>
              <w:right w:val="single" w:color="000000" w:sz="4" w:space="0"/>
            </w:tcBorders>
            <w:noWrap w:val="0"/>
            <w:vAlign w:val="center"/>
          </w:tcPr>
          <w:p w14:paraId="04EA4E1E">
            <w:pPr>
              <w:widowControl/>
              <w:snapToGrid w:val="0"/>
              <w:spacing w:line="360" w:lineRule="exact"/>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lang w:val="en-US" w:eastAsia="zh-CN"/>
              </w:rPr>
              <w:t>评审</w:t>
            </w:r>
            <w:r>
              <w:rPr>
                <w:rFonts w:hint="eastAsia" w:ascii="宋体" w:hAnsi="宋体" w:eastAsia="宋体" w:cs="宋体"/>
                <w:b/>
                <w:bCs/>
                <w:color w:val="auto"/>
                <w:kern w:val="0"/>
                <w:sz w:val="24"/>
                <w:szCs w:val="22"/>
                <w:highlight w:val="none"/>
              </w:rPr>
              <w:t>内容</w:t>
            </w:r>
          </w:p>
        </w:tc>
        <w:tc>
          <w:tcPr>
            <w:tcW w:w="2984" w:type="dxa"/>
            <w:tcBorders>
              <w:top w:val="single" w:color="000000" w:sz="4" w:space="0"/>
              <w:left w:val="nil"/>
              <w:bottom w:val="single" w:color="000000" w:sz="4" w:space="0"/>
              <w:right w:val="single" w:color="000000" w:sz="4" w:space="0"/>
            </w:tcBorders>
            <w:noWrap w:val="0"/>
            <w:vAlign w:val="center"/>
          </w:tcPr>
          <w:p w14:paraId="50EDC856">
            <w:pPr>
              <w:widowControl/>
              <w:snapToGrid w:val="0"/>
              <w:spacing w:line="360" w:lineRule="exact"/>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评审标准</w:t>
            </w:r>
          </w:p>
        </w:tc>
        <w:tc>
          <w:tcPr>
            <w:tcW w:w="3394" w:type="dxa"/>
            <w:tcBorders>
              <w:top w:val="single" w:color="000000" w:sz="4" w:space="0"/>
              <w:left w:val="nil"/>
              <w:bottom w:val="single" w:color="000000" w:sz="4" w:space="0"/>
              <w:right w:val="single" w:color="000000" w:sz="4" w:space="0"/>
            </w:tcBorders>
            <w:noWrap w:val="0"/>
            <w:vAlign w:val="center"/>
          </w:tcPr>
          <w:p w14:paraId="7A2E27A5">
            <w:pPr>
              <w:widowControl/>
              <w:snapToGrid w:val="0"/>
              <w:spacing w:line="360" w:lineRule="exact"/>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页码</w:t>
            </w:r>
          </w:p>
        </w:tc>
      </w:tr>
      <w:tr w14:paraId="3D35C3A8">
        <w:tblPrEx>
          <w:tblCellMar>
            <w:top w:w="0" w:type="dxa"/>
            <w:left w:w="108" w:type="dxa"/>
            <w:bottom w:w="0" w:type="dxa"/>
            <w:right w:w="108" w:type="dxa"/>
          </w:tblCellMar>
        </w:tblPrEx>
        <w:trPr>
          <w:trHeight w:val="629"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14:paraId="54290490">
            <w:pPr>
              <w:widowControl/>
              <w:jc w:val="center"/>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p>
        </w:tc>
        <w:tc>
          <w:tcPr>
            <w:tcW w:w="1384" w:type="dxa"/>
            <w:tcBorders>
              <w:top w:val="single" w:color="000000" w:sz="4" w:space="0"/>
              <w:left w:val="nil"/>
              <w:bottom w:val="single" w:color="000000" w:sz="4" w:space="0"/>
              <w:right w:val="single" w:color="000000" w:sz="4" w:space="0"/>
            </w:tcBorders>
            <w:noWrap w:val="0"/>
            <w:vAlign w:val="center"/>
          </w:tcPr>
          <w:p w14:paraId="772DC695">
            <w:pPr>
              <w:jc w:val="center"/>
              <w:outlineLvl w:val="9"/>
              <w:rPr>
                <w:rFonts w:hint="eastAsia" w:ascii="宋体" w:hAnsi="宋体" w:eastAsia="宋体" w:cs="宋体"/>
                <w:color w:val="auto"/>
                <w:sz w:val="24"/>
                <w:szCs w:val="22"/>
                <w:highlight w:val="none"/>
              </w:rPr>
            </w:pPr>
          </w:p>
        </w:tc>
        <w:tc>
          <w:tcPr>
            <w:tcW w:w="2984" w:type="dxa"/>
            <w:tcBorders>
              <w:top w:val="single" w:color="000000" w:sz="4" w:space="0"/>
              <w:left w:val="nil"/>
              <w:bottom w:val="single" w:color="000000" w:sz="4" w:space="0"/>
              <w:right w:val="single" w:color="000000" w:sz="4" w:space="0"/>
            </w:tcBorders>
            <w:noWrap w:val="0"/>
            <w:vAlign w:val="center"/>
          </w:tcPr>
          <w:p w14:paraId="792598C0">
            <w:pPr>
              <w:jc w:val="center"/>
              <w:outlineLvl w:val="9"/>
              <w:rPr>
                <w:rFonts w:hint="eastAsia" w:ascii="宋体" w:hAnsi="宋体" w:eastAsia="宋体" w:cs="宋体"/>
                <w:color w:val="auto"/>
                <w:sz w:val="24"/>
                <w:szCs w:val="22"/>
                <w:highlight w:val="none"/>
              </w:rPr>
            </w:pPr>
          </w:p>
        </w:tc>
        <w:tc>
          <w:tcPr>
            <w:tcW w:w="3394" w:type="dxa"/>
            <w:tcBorders>
              <w:top w:val="single" w:color="000000" w:sz="4" w:space="0"/>
              <w:left w:val="nil"/>
              <w:bottom w:val="single" w:color="000000" w:sz="4" w:space="0"/>
              <w:right w:val="single" w:color="000000" w:sz="4" w:space="0"/>
            </w:tcBorders>
            <w:noWrap w:val="0"/>
            <w:vAlign w:val="center"/>
          </w:tcPr>
          <w:p w14:paraId="1063B7FA">
            <w:pPr>
              <w:jc w:val="center"/>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详见投标（响应）文件第几页</w:t>
            </w:r>
          </w:p>
        </w:tc>
      </w:tr>
      <w:tr w14:paraId="342F376A">
        <w:tblPrEx>
          <w:tblCellMar>
            <w:top w:w="0" w:type="dxa"/>
            <w:left w:w="108" w:type="dxa"/>
            <w:bottom w:w="0" w:type="dxa"/>
            <w:right w:w="108" w:type="dxa"/>
          </w:tblCellMar>
        </w:tblPrEx>
        <w:trPr>
          <w:cantSplit/>
          <w:trHeight w:val="629"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14:paraId="2DAF9468">
            <w:pPr>
              <w:widowControl/>
              <w:jc w:val="center"/>
              <w:outlineLvl w:val="9"/>
              <w:rPr>
                <w:rFonts w:ascii="宋体" w:hAnsi="宋体" w:eastAsia="宋体" w:cs="宋体"/>
                <w:color w:val="auto"/>
                <w:sz w:val="22"/>
                <w:szCs w:val="22"/>
                <w:highlight w:val="none"/>
              </w:rPr>
            </w:pPr>
          </w:p>
        </w:tc>
        <w:tc>
          <w:tcPr>
            <w:tcW w:w="1384" w:type="dxa"/>
            <w:tcBorders>
              <w:top w:val="single" w:color="000000" w:sz="4" w:space="0"/>
              <w:left w:val="nil"/>
              <w:bottom w:val="single" w:color="000000" w:sz="4" w:space="0"/>
              <w:right w:val="single" w:color="000000" w:sz="4" w:space="0"/>
            </w:tcBorders>
            <w:noWrap w:val="0"/>
            <w:vAlign w:val="center"/>
          </w:tcPr>
          <w:p w14:paraId="40858B71">
            <w:pPr>
              <w:jc w:val="center"/>
              <w:outlineLvl w:val="9"/>
              <w:rPr>
                <w:rFonts w:ascii="宋体" w:hAnsi="宋体" w:eastAsia="宋体" w:cs="宋体"/>
                <w:color w:val="auto"/>
                <w:sz w:val="22"/>
                <w:szCs w:val="22"/>
                <w:highlight w:val="none"/>
              </w:rPr>
            </w:pPr>
          </w:p>
        </w:tc>
        <w:tc>
          <w:tcPr>
            <w:tcW w:w="2984" w:type="dxa"/>
            <w:tcBorders>
              <w:top w:val="single" w:color="000000" w:sz="4" w:space="0"/>
              <w:left w:val="nil"/>
              <w:bottom w:val="nil"/>
              <w:right w:val="single" w:color="000000" w:sz="4" w:space="0"/>
            </w:tcBorders>
            <w:noWrap w:val="0"/>
            <w:vAlign w:val="center"/>
          </w:tcPr>
          <w:p w14:paraId="0A2FD75A">
            <w:pPr>
              <w:jc w:val="center"/>
              <w:outlineLvl w:val="9"/>
              <w:rPr>
                <w:rFonts w:ascii="宋体" w:hAnsi="宋体" w:eastAsia="宋体" w:cs="宋体"/>
                <w:color w:val="auto"/>
                <w:sz w:val="22"/>
                <w:szCs w:val="22"/>
                <w:highlight w:val="none"/>
              </w:rPr>
            </w:pPr>
          </w:p>
        </w:tc>
        <w:tc>
          <w:tcPr>
            <w:tcW w:w="3394" w:type="dxa"/>
            <w:tcBorders>
              <w:top w:val="single" w:color="000000" w:sz="4" w:space="0"/>
              <w:left w:val="nil"/>
              <w:bottom w:val="nil"/>
              <w:right w:val="single" w:color="000000" w:sz="4" w:space="0"/>
            </w:tcBorders>
            <w:noWrap w:val="0"/>
            <w:vAlign w:val="center"/>
          </w:tcPr>
          <w:p w14:paraId="7CFD4EE2">
            <w:pPr>
              <w:jc w:val="center"/>
              <w:outlineLvl w:val="9"/>
              <w:rPr>
                <w:rFonts w:ascii="宋体" w:hAnsi="宋体" w:eastAsia="宋体" w:cs="宋体"/>
                <w:color w:val="auto"/>
                <w:sz w:val="22"/>
                <w:szCs w:val="22"/>
                <w:highlight w:val="none"/>
              </w:rPr>
            </w:pPr>
          </w:p>
        </w:tc>
      </w:tr>
      <w:tr w14:paraId="5036F197">
        <w:tblPrEx>
          <w:tblCellMar>
            <w:top w:w="0" w:type="dxa"/>
            <w:left w:w="108" w:type="dxa"/>
            <w:bottom w:w="0" w:type="dxa"/>
            <w:right w:w="108" w:type="dxa"/>
          </w:tblCellMar>
        </w:tblPrEx>
        <w:trPr>
          <w:cantSplit/>
          <w:trHeight w:val="629"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14:paraId="138798D0">
            <w:pPr>
              <w:widowControl/>
              <w:jc w:val="center"/>
              <w:outlineLvl w:val="9"/>
              <w:rPr>
                <w:rFonts w:ascii="宋体" w:hAnsi="宋体" w:eastAsia="宋体" w:cs="宋体"/>
                <w:color w:val="auto"/>
                <w:sz w:val="22"/>
                <w:szCs w:val="22"/>
                <w:highlight w:val="none"/>
              </w:rPr>
            </w:pPr>
          </w:p>
        </w:tc>
        <w:tc>
          <w:tcPr>
            <w:tcW w:w="1384" w:type="dxa"/>
            <w:tcBorders>
              <w:top w:val="single" w:color="000000" w:sz="4" w:space="0"/>
              <w:left w:val="nil"/>
              <w:bottom w:val="single" w:color="000000" w:sz="4" w:space="0"/>
              <w:right w:val="single" w:color="000000" w:sz="4" w:space="0"/>
            </w:tcBorders>
            <w:noWrap w:val="0"/>
            <w:vAlign w:val="center"/>
          </w:tcPr>
          <w:p w14:paraId="6EC85333">
            <w:pPr>
              <w:jc w:val="center"/>
              <w:outlineLvl w:val="9"/>
              <w:rPr>
                <w:rFonts w:ascii="宋体" w:hAnsi="宋体" w:eastAsia="宋体" w:cs="宋体"/>
                <w:color w:val="auto"/>
                <w:sz w:val="22"/>
                <w:szCs w:val="22"/>
                <w:highlight w:val="none"/>
              </w:rPr>
            </w:pPr>
          </w:p>
        </w:tc>
        <w:tc>
          <w:tcPr>
            <w:tcW w:w="2984" w:type="dxa"/>
            <w:tcBorders>
              <w:top w:val="single" w:color="000000" w:sz="4" w:space="0"/>
              <w:left w:val="nil"/>
              <w:bottom w:val="nil"/>
              <w:right w:val="single" w:color="000000" w:sz="4" w:space="0"/>
            </w:tcBorders>
            <w:noWrap w:val="0"/>
            <w:vAlign w:val="center"/>
          </w:tcPr>
          <w:p w14:paraId="76174857">
            <w:pPr>
              <w:widowControl/>
              <w:jc w:val="center"/>
              <w:outlineLvl w:val="9"/>
              <w:rPr>
                <w:rFonts w:ascii="宋体" w:hAnsi="宋体" w:eastAsia="宋体" w:cs="宋体"/>
                <w:color w:val="auto"/>
                <w:sz w:val="22"/>
                <w:szCs w:val="22"/>
                <w:highlight w:val="none"/>
              </w:rPr>
            </w:pPr>
          </w:p>
        </w:tc>
        <w:tc>
          <w:tcPr>
            <w:tcW w:w="3394" w:type="dxa"/>
            <w:tcBorders>
              <w:top w:val="single" w:color="000000" w:sz="4" w:space="0"/>
              <w:left w:val="nil"/>
              <w:bottom w:val="nil"/>
              <w:right w:val="single" w:color="000000" w:sz="4" w:space="0"/>
            </w:tcBorders>
            <w:noWrap w:val="0"/>
            <w:vAlign w:val="center"/>
          </w:tcPr>
          <w:p w14:paraId="2D80AB69">
            <w:pPr>
              <w:jc w:val="center"/>
              <w:outlineLvl w:val="9"/>
              <w:rPr>
                <w:rFonts w:ascii="宋体" w:hAnsi="宋体" w:eastAsia="宋体" w:cs="宋体"/>
                <w:color w:val="auto"/>
                <w:sz w:val="22"/>
                <w:szCs w:val="22"/>
                <w:highlight w:val="none"/>
              </w:rPr>
            </w:pPr>
          </w:p>
        </w:tc>
      </w:tr>
      <w:tr w14:paraId="6BCACD7E">
        <w:tblPrEx>
          <w:tblCellMar>
            <w:top w:w="0" w:type="dxa"/>
            <w:left w:w="108" w:type="dxa"/>
            <w:bottom w:w="0" w:type="dxa"/>
            <w:right w:w="108" w:type="dxa"/>
          </w:tblCellMar>
        </w:tblPrEx>
        <w:trPr>
          <w:cantSplit/>
          <w:trHeight w:val="629" w:hRule="atLeast"/>
          <w:jc w:val="center"/>
        </w:trPr>
        <w:tc>
          <w:tcPr>
            <w:tcW w:w="1429" w:type="dxa"/>
            <w:tcBorders>
              <w:top w:val="nil"/>
              <w:left w:val="single" w:color="000000" w:sz="4" w:space="0"/>
              <w:bottom w:val="single" w:color="000000" w:sz="4" w:space="0"/>
              <w:right w:val="single" w:color="000000" w:sz="4" w:space="0"/>
            </w:tcBorders>
            <w:noWrap w:val="0"/>
            <w:vAlign w:val="center"/>
          </w:tcPr>
          <w:p w14:paraId="375281BF">
            <w:pPr>
              <w:widowControl/>
              <w:jc w:val="center"/>
              <w:outlineLvl w:val="9"/>
              <w:rPr>
                <w:rFonts w:ascii="宋体" w:hAnsi="宋体" w:eastAsia="宋体" w:cs="宋体"/>
                <w:color w:val="auto"/>
                <w:sz w:val="22"/>
                <w:szCs w:val="22"/>
                <w:highlight w:val="none"/>
              </w:rPr>
            </w:pPr>
          </w:p>
        </w:tc>
        <w:tc>
          <w:tcPr>
            <w:tcW w:w="1384" w:type="dxa"/>
            <w:tcBorders>
              <w:top w:val="nil"/>
              <w:left w:val="nil"/>
              <w:bottom w:val="single" w:color="000000" w:sz="4" w:space="0"/>
              <w:right w:val="single" w:color="000000" w:sz="4" w:space="0"/>
            </w:tcBorders>
            <w:noWrap w:val="0"/>
            <w:vAlign w:val="center"/>
          </w:tcPr>
          <w:p w14:paraId="329037AE">
            <w:pPr>
              <w:widowControl/>
              <w:jc w:val="center"/>
              <w:outlineLvl w:val="9"/>
              <w:rPr>
                <w:rFonts w:ascii="宋体" w:hAnsi="宋体" w:eastAsia="宋体" w:cs="宋体"/>
                <w:color w:val="auto"/>
                <w:sz w:val="22"/>
                <w:szCs w:val="22"/>
                <w:highlight w:val="none"/>
              </w:rPr>
            </w:pPr>
          </w:p>
        </w:tc>
        <w:tc>
          <w:tcPr>
            <w:tcW w:w="2984" w:type="dxa"/>
            <w:tcBorders>
              <w:top w:val="single" w:color="000000" w:sz="4" w:space="0"/>
              <w:left w:val="nil"/>
              <w:bottom w:val="single" w:color="000000" w:sz="4" w:space="0"/>
              <w:right w:val="single" w:color="000000" w:sz="4" w:space="0"/>
            </w:tcBorders>
            <w:noWrap w:val="0"/>
            <w:vAlign w:val="center"/>
          </w:tcPr>
          <w:p w14:paraId="5EEBCD94">
            <w:pPr>
              <w:ind w:left="55"/>
              <w:jc w:val="center"/>
              <w:outlineLvl w:val="9"/>
              <w:rPr>
                <w:rFonts w:ascii="宋体" w:hAnsi="宋体" w:eastAsia="宋体" w:cs="宋体"/>
                <w:color w:val="auto"/>
                <w:sz w:val="22"/>
                <w:szCs w:val="22"/>
                <w:highlight w:val="none"/>
              </w:rPr>
            </w:pPr>
          </w:p>
        </w:tc>
        <w:tc>
          <w:tcPr>
            <w:tcW w:w="3394" w:type="dxa"/>
            <w:tcBorders>
              <w:top w:val="single" w:color="000000" w:sz="4" w:space="0"/>
              <w:left w:val="nil"/>
              <w:bottom w:val="single" w:color="000000" w:sz="4" w:space="0"/>
              <w:right w:val="single" w:color="000000" w:sz="4" w:space="0"/>
            </w:tcBorders>
            <w:noWrap w:val="0"/>
            <w:vAlign w:val="center"/>
          </w:tcPr>
          <w:p w14:paraId="2A04D4C6">
            <w:pPr>
              <w:jc w:val="center"/>
              <w:outlineLvl w:val="9"/>
              <w:rPr>
                <w:rFonts w:ascii="宋体" w:hAnsi="宋体" w:eastAsia="宋体" w:cs="宋体"/>
                <w:color w:val="auto"/>
                <w:sz w:val="22"/>
                <w:szCs w:val="22"/>
                <w:highlight w:val="none"/>
              </w:rPr>
            </w:pPr>
          </w:p>
        </w:tc>
      </w:tr>
      <w:tr w14:paraId="2F3489AA">
        <w:tblPrEx>
          <w:tblCellMar>
            <w:top w:w="0" w:type="dxa"/>
            <w:left w:w="108" w:type="dxa"/>
            <w:bottom w:w="0" w:type="dxa"/>
            <w:right w:w="108" w:type="dxa"/>
          </w:tblCellMar>
        </w:tblPrEx>
        <w:trPr>
          <w:cantSplit/>
          <w:trHeight w:val="629"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14:paraId="6EEC1A99">
            <w:pPr>
              <w:widowControl/>
              <w:jc w:val="center"/>
              <w:outlineLvl w:val="9"/>
              <w:rPr>
                <w:rFonts w:ascii="宋体" w:hAnsi="宋体" w:eastAsia="宋体" w:cs="宋体"/>
                <w:color w:val="auto"/>
                <w:sz w:val="22"/>
                <w:szCs w:val="22"/>
                <w:highlight w:val="none"/>
              </w:rPr>
            </w:pPr>
          </w:p>
        </w:tc>
        <w:tc>
          <w:tcPr>
            <w:tcW w:w="1384" w:type="dxa"/>
            <w:tcBorders>
              <w:top w:val="single" w:color="000000" w:sz="4" w:space="0"/>
              <w:left w:val="nil"/>
              <w:bottom w:val="single" w:color="000000" w:sz="4" w:space="0"/>
              <w:right w:val="single" w:color="000000" w:sz="4" w:space="0"/>
            </w:tcBorders>
            <w:noWrap w:val="0"/>
            <w:vAlign w:val="center"/>
          </w:tcPr>
          <w:p w14:paraId="2BAA8EAC">
            <w:pPr>
              <w:widowControl/>
              <w:jc w:val="center"/>
              <w:outlineLvl w:val="9"/>
              <w:rPr>
                <w:rFonts w:ascii="宋体" w:hAnsi="宋体" w:eastAsia="宋体" w:cs="宋体"/>
                <w:color w:val="auto"/>
                <w:sz w:val="22"/>
                <w:szCs w:val="22"/>
                <w:highlight w:val="none"/>
              </w:rPr>
            </w:pPr>
          </w:p>
        </w:tc>
        <w:tc>
          <w:tcPr>
            <w:tcW w:w="2984" w:type="dxa"/>
            <w:tcBorders>
              <w:top w:val="single" w:color="000000" w:sz="4" w:space="0"/>
              <w:left w:val="nil"/>
              <w:bottom w:val="single" w:color="000000" w:sz="4" w:space="0"/>
              <w:right w:val="single" w:color="000000" w:sz="4" w:space="0"/>
            </w:tcBorders>
            <w:noWrap w:val="0"/>
            <w:vAlign w:val="center"/>
          </w:tcPr>
          <w:p w14:paraId="6F95E1A0">
            <w:pPr>
              <w:widowControl w:val="0"/>
              <w:autoSpaceDE w:val="0"/>
              <w:autoSpaceDN w:val="0"/>
              <w:spacing w:line="400" w:lineRule="atLeast"/>
              <w:ind w:firstLine="440" w:firstLineChars="200"/>
              <w:jc w:val="center"/>
              <w:textAlignment w:val="bottom"/>
              <w:outlineLvl w:val="9"/>
              <w:rPr>
                <w:rFonts w:ascii="宋体" w:hAnsi="宋体" w:eastAsia="黑体" w:cs="Times New Roman"/>
                <w:color w:val="auto"/>
                <w:kern w:val="2"/>
                <w:sz w:val="22"/>
                <w:szCs w:val="22"/>
                <w:highlight w:val="none"/>
                <w:lang w:val="en-US" w:eastAsia="zh-CN" w:bidi="ar-SA"/>
              </w:rPr>
            </w:pPr>
          </w:p>
        </w:tc>
        <w:tc>
          <w:tcPr>
            <w:tcW w:w="3394" w:type="dxa"/>
            <w:tcBorders>
              <w:top w:val="single" w:color="000000" w:sz="4" w:space="0"/>
              <w:left w:val="nil"/>
              <w:bottom w:val="single" w:color="000000" w:sz="4" w:space="0"/>
              <w:right w:val="single" w:color="000000" w:sz="4" w:space="0"/>
            </w:tcBorders>
            <w:noWrap w:val="0"/>
            <w:vAlign w:val="center"/>
          </w:tcPr>
          <w:p w14:paraId="563FFDF6">
            <w:pPr>
              <w:widowControl w:val="0"/>
              <w:autoSpaceDE w:val="0"/>
              <w:autoSpaceDN w:val="0"/>
              <w:spacing w:line="400" w:lineRule="atLeast"/>
              <w:ind w:firstLine="440" w:firstLineChars="200"/>
              <w:jc w:val="center"/>
              <w:textAlignment w:val="bottom"/>
              <w:outlineLvl w:val="9"/>
              <w:rPr>
                <w:rFonts w:ascii="宋体" w:hAnsi="宋体" w:eastAsia="黑体" w:cs="Times New Roman"/>
                <w:color w:val="auto"/>
                <w:kern w:val="2"/>
                <w:sz w:val="22"/>
                <w:szCs w:val="22"/>
                <w:highlight w:val="none"/>
                <w:lang w:val="en-US" w:eastAsia="zh-CN" w:bidi="ar-SA"/>
              </w:rPr>
            </w:pPr>
          </w:p>
        </w:tc>
      </w:tr>
      <w:tr w14:paraId="0DA29531">
        <w:tblPrEx>
          <w:tblCellMar>
            <w:top w:w="0" w:type="dxa"/>
            <w:left w:w="108" w:type="dxa"/>
            <w:bottom w:w="0" w:type="dxa"/>
            <w:right w:w="108" w:type="dxa"/>
          </w:tblCellMar>
        </w:tblPrEx>
        <w:trPr>
          <w:cantSplit/>
          <w:trHeight w:val="629"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14:paraId="37124C6C">
            <w:pPr>
              <w:widowControl/>
              <w:jc w:val="center"/>
              <w:outlineLvl w:val="9"/>
              <w:rPr>
                <w:rFonts w:ascii="宋体" w:hAnsi="宋体" w:eastAsia="宋体" w:cs="宋体"/>
                <w:color w:val="auto"/>
                <w:sz w:val="22"/>
                <w:szCs w:val="22"/>
                <w:highlight w:val="none"/>
              </w:rPr>
            </w:pPr>
          </w:p>
        </w:tc>
        <w:tc>
          <w:tcPr>
            <w:tcW w:w="1384" w:type="dxa"/>
            <w:tcBorders>
              <w:top w:val="single" w:color="000000" w:sz="4" w:space="0"/>
              <w:left w:val="nil"/>
              <w:bottom w:val="single" w:color="000000" w:sz="4" w:space="0"/>
              <w:right w:val="single" w:color="000000" w:sz="4" w:space="0"/>
            </w:tcBorders>
            <w:noWrap w:val="0"/>
            <w:vAlign w:val="center"/>
          </w:tcPr>
          <w:p w14:paraId="082D18F5">
            <w:pPr>
              <w:jc w:val="center"/>
              <w:outlineLvl w:val="9"/>
              <w:rPr>
                <w:rFonts w:ascii="宋体" w:hAnsi="宋体" w:eastAsia="宋体" w:cs="宋体"/>
                <w:color w:val="auto"/>
                <w:sz w:val="22"/>
                <w:szCs w:val="22"/>
                <w:highlight w:val="none"/>
              </w:rPr>
            </w:pPr>
          </w:p>
        </w:tc>
        <w:tc>
          <w:tcPr>
            <w:tcW w:w="2984" w:type="dxa"/>
            <w:tcBorders>
              <w:top w:val="single" w:color="000000" w:sz="4" w:space="0"/>
              <w:left w:val="nil"/>
              <w:bottom w:val="single" w:color="000000" w:sz="4" w:space="0"/>
              <w:right w:val="single" w:color="000000" w:sz="4" w:space="0"/>
            </w:tcBorders>
            <w:noWrap w:val="0"/>
            <w:vAlign w:val="center"/>
          </w:tcPr>
          <w:p w14:paraId="61A41239">
            <w:pPr>
              <w:jc w:val="center"/>
              <w:outlineLvl w:val="9"/>
              <w:rPr>
                <w:rFonts w:ascii="宋体" w:hAnsi="宋体" w:eastAsia="宋体" w:cs="宋体"/>
                <w:color w:val="auto"/>
                <w:sz w:val="22"/>
                <w:szCs w:val="22"/>
                <w:highlight w:val="none"/>
              </w:rPr>
            </w:pPr>
          </w:p>
        </w:tc>
        <w:tc>
          <w:tcPr>
            <w:tcW w:w="3394" w:type="dxa"/>
            <w:tcBorders>
              <w:top w:val="single" w:color="000000" w:sz="4" w:space="0"/>
              <w:left w:val="nil"/>
              <w:bottom w:val="single" w:color="000000" w:sz="4" w:space="0"/>
              <w:right w:val="single" w:color="000000" w:sz="4" w:space="0"/>
            </w:tcBorders>
            <w:noWrap w:val="0"/>
            <w:vAlign w:val="center"/>
          </w:tcPr>
          <w:p w14:paraId="273A82AC">
            <w:pPr>
              <w:jc w:val="center"/>
              <w:outlineLvl w:val="9"/>
              <w:rPr>
                <w:rFonts w:ascii="宋体" w:hAnsi="宋体" w:eastAsia="宋体" w:cs="宋体"/>
                <w:color w:val="auto"/>
                <w:sz w:val="22"/>
                <w:szCs w:val="22"/>
                <w:highlight w:val="none"/>
              </w:rPr>
            </w:pPr>
          </w:p>
        </w:tc>
      </w:tr>
      <w:tr w14:paraId="6919A5DD">
        <w:tblPrEx>
          <w:tblCellMar>
            <w:top w:w="0" w:type="dxa"/>
            <w:left w:w="108" w:type="dxa"/>
            <w:bottom w:w="0" w:type="dxa"/>
            <w:right w:w="108" w:type="dxa"/>
          </w:tblCellMar>
        </w:tblPrEx>
        <w:trPr>
          <w:cantSplit/>
          <w:trHeight w:val="629"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14:paraId="410025AF">
            <w:pPr>
              <w:widowControl/>
              <w:jc w:val="center"/>
              <w:outlineLvl w:val="9"/>
              <w:rPr>
                <w:rFonts w:ascii="宋体" w:hAnsi="宋体" w:eastAsia="宋体" w:cs="宋体"/>
                <w:color w:val="auto"/>
                <w:sz w:val="22"/>
                <w:szCs w:val="22"/>
                <w:highlight w:val="none"/>
              </w:rPr>
            </w:pPr>
          </w:p>
        </w:tc>
        <w:tc>
          <w:tcPr>
            <w:tcW w:w="1384" w:type="dxa"/>
            <w:tcBorders>
              <w:top w:val="single" w:color="000000" w:sz="4" w:space="0"/>
              <w:left w:val="nil"/>
              <w:bottom w:val="single" w:color="000000" w:sz="4" w:space="0"/>
              <w:right w:val="single" w:color="000000" w:sz="4" w:space="0"/>
            </w:tcBorders>
            <w:noWrap w:val="0"/>
            <w:vAlign w:val="center"/>
          </w:tcPr>
          <w:p w14:paraId="02DFEB72">
            <w:pPr>
              <w:jc w:val="center"/>
              <w:outlineLvl w:val="9"/>
              <w:rPr>
                <w:rFonts w:ascii="宋体" w:hAnsi="宋体" w:eastAsia="宋体" w:cs="宋体"/>
                <w:color w:val="auto"/>
                <w:sz w:val="22"/>
                <w:szCs w:val="22"/>
                <w:highlight w:val="none"/>
              </w:rPr>
            </w:pPr>
          </w:p>
        </w:tc>
        <w:tc>
          <w:tcPr>
            <w:tcW w:w="2984" w:type="dxa"/>
            <w:tcBorders>
              <w:top w:val="single" w:color="000000" w:sz="4" w:space="0"/>
              <w:left w:val="nil"/>
              <w:bottom w:val="single" w:color="000000" w:sz="4" w:space="0"/>
              <w:right w:val="single" w:color="000000" w:sz="4" w:space="0"/>
            </w:tcBorders>
            <w:noWrap w:val="0"/>
            <w:vAlign w:val="center"/>
          </w:tcPr>
          <w:p w14:paraId="40DC2BEA">
            <w:pPr>
              <w:jc w:val="center"/>
              <w:outlineLvl w:val="9"/>
              <w:rPr>
                <w:rFonts w:ascii="宋体" w:hAnsi="宋体" w:eastAsia="宋体" w:cs="宋体"/>
                <w:color w:val="auto"/>
                <w:sz w:val="22"/>
                <w:szCs w:val="22"/>
                <w:highlight w:val="none"/>
              </w:rPr>
            </w:pPr>
          </w:p>
        </w:tc>
        <w:tc>
          <w:tcPr>
            <w:tcW w:w="3394" w:type="dxa"/>
            <w:tcBorders>
              <w:top w:val="single" w:color="000000" w:sz="4" w:space="0"/>
              <w:left w:val="nil"/>
              <w:bottom w:val="single" w:color="000000" w:sz="4" w:space="0"/>
              <w:right w:val="single" w:color="000000" w:sz="4" w:space="0"/>
            </w:tcBorders>
            <w:noWrap w:val="0"/>
            <w:vAlign w:val="center"/>
          </w:tcPr>
          <w:p w14:paraId="633F1A41">
            <w:pPr>
              <w:widowControl w:val="0"/>
              <w:autoSpaceDE w:val="0"/>
              <w:autoSpaceDN w:val="0"/>
              <w:spacing w:line="400" w:lineRule="atLeast"/>
              <w:ind w:firstLine="440" w:firstLineChars="200"/>
              <w:jc w:val="center"/>
              <w:textAlignment w:val="bottom"/>
              <w:outlineLvl w:val="9"/>
              <w:rPr>
                <w:rFonts w:ascii="宋体" w:hAnsi="宋体" w:eastAsia="黑体" w:cs="Times New Roman"/>
                <w:color w:val="auto"/>
                <w:kern w:val="2"/>
                <w:sz w:val="22"/>
                <w:szCs w:val="22"/>
                <w:highlight w:val="none"/>
                <w:lang w:val="en-US" w:eastAsia="zh-CN" w:bidi="ar-SA"/>
              </w:rPr>
            </w:pPr>
          </w:p>
        </w:tc>
      </w:tr>
      <w:tr w14:paraId="51B42A4E">
        <w:tblPrEx>
          <w:tblCellMar>
            <w:top w:w="0" w:type="dxa"/>
            <w:left w:w="108" w:type="dxa"/>
            <w:bottom w:w="0" w:type="dxa"/>
            <w:right w:w="108" w:type="dxa"/>
          </w:tblCellMar>
        </w:tblPrEx>
        <w:trPr>
          <w:cantSplit/>
          <w:trHeight w:val="629"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14:paraId="74D28E16">
            <w:pPr>
              <w:widowControl/>
              <w:jc w:val="center"/>
              <w:outlineLvl w:val="9"/>
              <w:rPr>
                <w:rFonts w:ascii="宋体" w:hAnsi="宋体" w:eastAsia="宋体" w:cs="宋体"/>
                <w:color w:val="auto"/>
                <w:sz w:val="22"/>
                <w:szCs w:val="22"/>
                <w:highlight w:val="none"/>
              </w:rPr>
            </w:pPr>
          </w:p>
        </w:tc>
        <w:tc>
          <w:tcPr>
            <w:tcW w:w="1384" w:type="dxa"/>
            <w:tcBorders>
              <w:top w:val="single" w:color="000000" w:sz="4" w:space="0"/>
              <w:left w:val="nil"/>
              <w:bottom w:val="single" w:color="000000" w:sz="4" w:space="0"/>
              <w:right w:val="single" w:color="000000" w:sz="4" w:space="0"/>
            </w:tcBorders>
            <w:noWrap w:val="0"/>
            <w:vAlign w:val="center"/>
          </w:tcPr>
          <w:p w14:paraId="52AC4EAD">
            <w:pPr>
              <w:jc w:val="center"/>
              <w:outlineLvl w:val="9"/>
              <w:rPr>
                <w:rFonts w:ascii="宋体" w:hAnsi="宋体" w:eastAsia="宋体" w:cs="宋体"/>
                <w:color w:val="auto"/>
                <w:sz w:val="22"/>
                <w:szCs w:val="22"/>
                <w:highlight w:val="none"/>
              </w:rPr>
            </w:pPr>
          </w:p>
        </w:tc>
        <w:tc>
          <w:tcPr>
            <w:tcW w:w="2984" w:type="dxa"/>
            <w:tcBorders>
              <w:top w:val="single" w:color="000000" w:sz="4" w:space="0"/>
              <w:left w:val="nil"/>
              <w:bottom w:val="single" w:color="000000" w:sz="4" w:space="0"/>
              <w:right w:val="single" w:color="000000" w:sz="4" w:space="0"/>
            </w:tcBorders>
            <w:noWrap w:val="0"/>
            <w:vAlign w:val="center"/>
          </w:tcPr>
          <w:p w14:paraId="76A37B7B">
            <w:pPr>
              <w:jc w:val="center"/>
              <w:outlineLvl w:val="9"/>
              <w:rPr>
                <w:rFonts w:ascii="宋体" w:hAnsi="宋体" w:eastAsia="宋体" w:cs="宋体"/>
                <w:color w:val="auto"/>
                <w:sz w:val="22"/>
                <w:szCs w:val="22"/>
                <w:highlight w:val="none"/>
              </w:rPr>
            </w:pPr>
          </w:p>
        </w:tc>
        <w:tc>
          <w:tcPr>
            <w:tcW w:w="3394" w:type="dxa"/>
            <w:tcBorders>
              <w:top w:val="single" w:color="000000" w:sz="4" w:space="0"/>
              <w:left w:val="nil"/>
              <w:bottom w:val="single" w:color="000000" w:sz="4" w:space="0"/>
              <w:right w:val="single" w:color="000000" w:sz="4" w:space="0"/>
            </w:tcBorders>
            <w:noWrap w:val="0"/>
            <w:vAlign w:val="center"/>
          </w:tcPr>
          <w:p w14:paraId="568AB141">
            <w:pPr>
              <w:widowControl w:val="0"/>
              <w:autoSpaceDE w:val="0"/>
              <w:autoSpaceDN w:val="0"/>
              <w:spacing w:line="400" w:lineRule="atLeast"/>
              <w:ind w:firstLine="440" w:firstLineChars="200"/>
              <w:jc w:val="center"/>
              <w:textAlignment w:val="bottom"/>
              <w:outlineLvl w:val="9"/>
              <w:rPr>
                <w:rFonts w:ascii="宋体" w:hAnsi="宋体" w:eastAsia="黑体" w:cs="Times New Roman"/>
                <w:color w:val="auto"/>
                <w:kern w:val="2"/>
                <w:sz w:val="22"/>
                <w:szCs w:val="22"/>
                <w:highlight w:val="none"/>
                <w:lang w:val="en-US" w:eastAsia="zh-CN" w:bidi="ar-SA"/>
              </w:rPr>
            </w:pPr>
          </w:p>
        </w:tc>
      </w:tr>
      <w:tr w14:paraId="1AEBD63B">
        <w:tblPrEx>
          <w:tblCellMar>
            <w:top w:w="0" w:type="dxa"/>
            <w:left w:w="108" w:type="dxa"/>
            <w:bottom w:w="0" w:type="dxa"/>
            <w:right w:w="108" w:type="dxa"/>
          </w:tblCellMar>
        </w:tblPrEx>
        <w:trPr>
          <w:cantSplit/>
          <w:trHeight w:val="629" w:hRule="atLeast"/>
          <w:jc w:val="center"/>
        </w:trPr>
        <w:tc>
          <w:tcPr>
            <w:tcW w:w="1429" w:type="dxa"/>
            <w:tcBorders>
              <w:top w:val="nil"/>
              <w:left w:val="single" w:color="000000" w:sz="4" w:space="0"/>
              <w:bottom w:val="single" w:color="000000" w:sz="4" w:space="0"/>
              <w:right w:val="single" w:color="000000" w:sz="4" w:space="0"/>
            </w:tcBorders>
            <w:noWrap w:val="0"/>
            <w:vAlign w:val="center"/>
          </w:tcPr>
          <w:p w14:paraId="168052D8">
            <w:pPr>
              <w:widowControl/>
              <w:jc w:val="center"/>
              <w:outlineLvl w:val="9"/>
              <w:rPr>
                <w:rFonts w:ascii="宋体" w:hAnsi="宋体" w:eastAsia="宋体" w:cs="宋体"/>
                <w:color w:val="auto"/>
                <w:sz w:val="24"/>
                <w:szCs w:val="22"/>
                <w:highlight w:val="none"/>
              </w:rPr>
            </w:pPr>
          </w:p>
        </w:tc>
        <w:tc>
          <w:tcPr>
            <w:tcW w:w="1384" w:type="dxa"/>
            <w:tcBorders>
              <w:top w:val="nil"/>
              <w:left w:val="nil"/>
              <w:bottom w:val="single" w:color="000000" w:sz="4" w:space="0"/>
              <w:right w:val="single" w:color="000000" w:sz="4" w:space="0"/>
            </w:tcBorders>
            <w:noWrap w:val="0"/>
            <w:vAlign w:val="center"/>
          </w:tcPr>
          <w:p w14:paraId="63A204F8">
            <w:pPr>
              <w:widowControl/>
              <w:jc w:val="center"/>
              <w:outlineLvl w:val="9"/>
              <w:rPr>
                <w:rFonts w:ascii="宋体" w:hAnsi="宋体" w:eastAsia="宋体" w:cs="宋体"/>
                <w:color w:val="auto"/>
                <w:sz w:val="24"/>
                <w:szCs w:val="22"/>
                <w:highlight w:val="none"/>
              </w:rPr>
            </w:pPr>
          </w:p>
        </w:tc>
        <w:tc>
          <w:tcPr>
            <w:tcW w:w="2984" w:type="dxa"/>
            <w:tcBorders>
              <w:top w:val="single" w:color="000000" w:sz="4" w:space="0"/>
              <w:left w:val="nil"/>
              <w:bottom w:val="single" w:color="000000" w:sz="4" w:space="0"/>
              <w:right w:val="single" w:color="000000" w:sz="4" w:space="0"/>
            </w:tcBorders>
            <w:noWrap w:val="0"/>
            <w:vAlign w:val="center"/>
          </w:tcPr>
          <w:p w14:paraId="5171DC57">
            <w:pPr>
              <w:widowControl w:val="0"/>
              <w:autoSpaceDE w:val="0"/>
              <w:autoSpaceDN w:val="0"/>
              <w:spacing w:line="400" w:lineRule="atLeast"/>
              <w:ind w:firstLine="480" w:firstLineChars="200"/>
              <w:jc w:val="center"/>
              <w:textAlignment w:val="bottom"/>
              <w:outlineLvl w:val="9"/>
              <w:rPr>
                <w:rFonts w:ascii="宋体" w:hAnsi="宋体" w:eastAsia="黑体" w:cs="Times New Roman"/>
                <w:color w:val="auto"/>
                <w:kern w:val="2"/>
                <w:sz w:val="24"/>
                <w:szCs w:val="22"/>
                <w:highlight w:val="none"/>
                <w:lang w:val="en-US" w:eastAsia="zh-CN" w:bidi="ar-SA"/>
              </w:rPr>
            </w:pPr>
          </w:p>
        </w:tc>
        <w:tc>
          <w:tcPr>
            <w:tcW w:w="3394" w:type="dxa"/>
            <w:tcBorders>
              <w:top w:val="single" w:color="000000" w:sz="4" w:space="0"/>
              <w:left w:val="nil"/>
              <w:bottom w:val="single" w:color="000000" w:sz="4" w:space="0"/>
              <w:right w:val="single" w:color="000000" w:sz="4" w:space="0"/>
            </w:tcBorders>
            <w:noWrap w:val="0"/>
            <w:vAlign w:val="center"/>
          </w:tcPr>
          <w:p w14:paraId="411ED7B1">
            <w:pPr>
              <w:widowControl/>
              <w:jc w:val="center"/>
              <w:outlineLvl w:val="9"/>
              <w:rPr>
                <w:rFonts w:ascii="宋体" w:hAnsi="宋体" w:eastAsia="宋体" w:cs="宋体"/>
                <w:color w:val="auto"/>
                <w:sz w:val="24"/>
                <w:szCs w:val="22"/>
                <w:highlight w:val="none"/>
              </w:rPr>
            </w:pPr>
          </w:p>
        </w:tc>
      </w:tr>
      <w:tr w14:paraId="79C6CB72">
        <w:tblPrEx>
          <w:tblCellMar>
            <w:top w:w="0" w:type="dxa"/>
            <w:left w:w="108" w:type="dxa"/>
            <w:bottom w:w="0" w:type="dxa"/>
            <w:right w:w="108" w:type="dxa"/>
          </w:tblCellMar>
        </w:tblPrEx>
        <w:trPr>
          <w:cantSplit/>
          <w:trHeight w:val="629" w:hRule="atLeast"/>
          <w:jc w:val="center"/>
        </w:trPr>
        <w:tc>
          <w:tcPr>
            <w:tcW w:w="1429" w:type="dxa"/>
            <w:tcBorders>
              <w:top w:val="nil"/>
              <w:left w:val="single" w:color="000000" w:sz="4" w:space="0"/>
              <w:bottom w:val="single" w:color="000000" w:sz="4" w:space="0"/>
              <w:right w:val="single" w:color="000000" w:sz="4" w:space="0"/>
            </w:tcBorders>
            <w:noWrap w:val="0"/>
            <w:vAlign w:val="center"/>
          </w:tcPr>
          <w:p w14:paraId="67343B38">
            <w:pPr>
              <w:widowControl/>
              <w:jc w:val="center"/>
              <w:outlineLvl w:val="9"/>
              <w:rPr>
                <w:rFonts w:ascii="宋体" w:hAnsi="宋体" w:eastAsia="宋体" w:cs="宋体"/>
                <w:color w:val="auto"/>
                <w:sz w:val="24"/>
                <w:szCs w:val="22"/>
                <w:highlight w:val="none"/>
              </w:rPr>
            </w:pPr>
          </w:p>
        </w:tc>
        <w:tc>
          <w:tcPr>
            <w:tcW w:w="1384" w:type="dxa"/>
            <w:tcBorders>
              <w:top w:val="nil"/>
              <w:left w:val="nil"/>
              <w:bottom w:val="single" w:color="000000" w:sz="4" w:space="0"/>
              <w:right w:val="single" w:color="000000" w:sz="4" w:space="0"/>
            </w:tcBorders>
            <w:noWrap w:val="0"/>
            <w:vAlign w:val="center"/>
          </w:tcPr>
          <w:p w14:paraId="06031D07">
            <w:pPr>
              <w:jc w:val="center"/>
              <w:outlineLvl w:val="9"/>
              <w:rPr>
                <w:rFonts w:ascii="宋体" w:hAnsi="宋体" w:eastAsia="宋体" w:cs="宋体"/>
                <w:color w:val="auto"/>
                <w:sz w:val="24"/>
                <w:szCs w:val="22"/>
                <w:highlight w:val="none"/>
              </w:rPr>
            </w:pPr>
          </w:p>
        </w:tc>
        <w:tc>
          <w:tcPr>
            <w:tcW w:w="2984" w:type="dxa"/>
            <w:tcBorders>
              <w:top w:val="single" w:color="000000" w:sz="4" w:space="0"/>
              <w:left w:val="nil"/>
              <w:bottom w:val="single" w:color="000000" w:sz="4" w:space="0"/>
              <w:right w:val="single" w:color="000000" w:sz="4" w:space="0"/>
            </w:tcBorders>
            <w:noWrap w:val="0"/>
            <w:vAlign w:val="center"/>
          </w:tcPr>
          <w:p w14:paraId="7DD05C62">
            <w:pPr>
              <w:jc w:val="center"/>
              <w:outlineLvl w:val="9"/>
              <w:rPr>
                <w:rFonts w:ascii="宋体" w:hAnsi="宋体" w:eastAsia="宋体" w:cs="宋体"/>
                <w:color w:val="auto"/>
                <w:sz w:val="24"/>
                <w:szCs w:val="22"/>
                <w:highlight w:val="none"/>
              </w:rPr>
            </w:pPr>
          </w:p>
        </w:tc>
        <w:tc>
          <w:tcPr>
            <w:tcW w:w="3394" w:type="dxa"/>
            <w:tcBorders>
              <w:top w:val="single" w:color="000000" w:sz="4" w:space="0"/>
              <w:left w:val="nil"/>
              <w:bottom w:val="single" w:color="000000" w:sz="4" w:space="0"/>
              <w:right w:val="single" w:color="000000" w:sz="4" w:space="0"/>
            </w:tcBorders>
            <w:noWrap w:val="0"/>
            <w:vAlign w:val="center"/>
          </w:tcPr>
          <w:p w14:paraId="00253007">
            <w:pPr>
              <w:jc w:val="center"/>
              <w:outlineLvl w:val="9"/>
              <w:rPr>
                <w:rFonts w:ascii="宋体" w:hAnsi="宋体" w:eastAsia="宋体" w:cs="宋体"/>
                <w:color w:val="auto"/>
                <w:sz w:val="24"/>
                <w:szCs w:val="22"/>
                <w:highlight w:val="none"/>
              </w:rPr>
            </w:pPr>
          </w:p>
        </w:tc>
      </w:tr>
      <w:tr w14:paraId="1B0CD9AE">
        <w:tblPrEx>
          <w:tblCellMar>
            <w:top w:w="0" w:type="dxa"/>
            <w:left w:w="108" w:type="dxa"/>
            <w:bottom w:w="0" w:type="dxa"/>
            <w:right w:w="108" w:type="dxa"/>
          </w:tblCellMar>
        </w:tblPrEx>
        <w:trPr>
          <w:cantSplit/>
          <w:trHeight w:val="629"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14:paraId="3641F666">
            <w:pPr>
              <w:widowControl/>
              <w:jc w:val="center"/>
              <w:outlineLvl w:val="9"/>
              <w:rPr>
                <w:rFonts w:ascii="宋体" w:hAnsi="宋体" w:eastAsia="宋体" w:cs="宋体"/>
                <w:color w:val="auto"/>
                <w:sz w:val="24"/>
                <w:szCs w:val="22"/>
                <w:highlight w:val="none"/>
              </w:rPr>
            </w:pPr>
          </w:p>
        </w:tc>
        <w:tc>
          <w:tcPr>
            <w:tcW w:w="1384" w:type="dxa"/>
            <w:tcBorders>
              <w:top w:val="single" w:color="000000" w:sz="4" w:space="0"/>
              <w:left w:val="nil"/>
              <w:bottom w:val="single" w:color="000000" w:sz="4" w:space="0"/>
              <w:right w:val="single" w:color="000000" w:sz="4" w:space="0"/>
            </w:tcBorders>
            <w:noWrap w:val="0"/>
            <w:vAlign w:val="center"/>
          </w:tcPr>
          <w:p w14:paraId="6B8C9BC9">
            <w:pPr>
              <w:jc w:val="center"/>
              <w:outlineLvl w:val="9"/>
              <w:rPr>
                <w:rFonts w:ascii="宋体" w:hAnsi="宋体" w:eastAsia="宋体" w:cs="宋体"/>
                <w:color w:val="auto"/>
                <w:sz w:val="24"/>
                <w:szCs w:val="22"/>
                <w:highlight w:val="none"/>
              </w:rPr>
            </w:pPr>
          </w:p>
        </w:tc>
        <w:tc>
          <w:tcPr>
            <w:tcW w:w="2984" w:type="dxa"/>
            <w:tcBorders>
              <w:top w:val="single" w:color="000000" w:sz="4" w:space="0"/>
              <w:left w:val="nil"/>
              <w:bottom w:val="single" w:color="000000" w:sz="4" w:space="0"/>
              <w:right w:val="single" w:color="000000" w:sz="4" w:space="0"/>
            </w:tcBorders>
            <w:noWrap w:val="0"/>
            <w:vAlign w:val="center"/>
          </w:tcPr>
          <w:p w14:paraId="4AAD9C66">
            <w:pPr>
              <w:jc w:val="center"/>
              <w:outlineLvl w:val="9"/>
              <w:rPr>
                <w:rFonts w:ascii="宋体" w:hAnsi="宋体" w:eastAsia="宋体" w:cs="宋体"/>
                <w:color w:val="auto"/>
                <w:sz w:val="24"/>
                <w:szCs w:val="22"/>
                <w:highlight w:val="none"/>
              </w:rPr>
            </w:pPr>
          </w:p>
        </w:tc>
        <w:tc>
          <w:tcPr>
            <w:tcW w:w="3394" w:type="dxa"/>
            <w:tcBorders>
              <w:top w:val="single" w:color="000000" w:sz="4" w:space="0"/>
              <w:left w:val="nil"/>
              <w:bottom w:val="single" w:color="000000" w:sz="4" w:space="0"/>
              <w:right w:val="single" w:color="000000" w:sz="4" w:space="0"/>
            </w:tcBorders>
            <w:noWrap w:val="0"/>
            <w:vAlign w:val="center"/>
          </w:tcPr>
          <w:p w14:paraId="72AE108C">
            <w:pPr>
              <w:jc w:val="center"/>
              <w:outlineLvl w:val="9"/>
              <w:rPr>
                <w:rFonts w:ascii="宋体" w:hAnsi="宋体" w:eastAsia="宋体" w:cs="宋体"/>
                <w:color w:val="auto"/>
                <w:sz w:val="24"/>
                <w:szCs w:val="22"/>
                <w:highlight w:val="none"/>
              </w:rPr>
            </w:pPr>
          </w:p>
        </w:tc>
      </w:tr>
      <w:tr w14:paraId="66895F8E">
        <w:tblPrEx>
          <w:tblCellMar>
            <w:top w:w="0" w:type="dxa"/>
            <w:left w:w="108" w:type="dxa"/>
            <w:bottom w:w="0" w:type="dxa"/>
            <w:right w:w="108" w:type="dxa"/>
          </w:tblCellMar>
        </w:tblPrEx>
        <w:trPr>
          <w:cantSplit/>
          <w:trHeight w:val="629" w:hRule="atLeast"/>
          <w:jc w:val="center"/>
        </w:trPr>
        <w:tc>
          <w:tcPr>
            <w:tcW w:w="1429" w:type="dxa"/>
            <w:tcBorders>
              <w:top w:val="single" w:color="000000" w:sz="4" w:space="0"/>
              <w:left w:val="single" w:color="000000" w:sz="4" w:space="0"/>
              <w:bottom w:val="single" w:color="000000" w:sz="4" w:space="0"/>
              <w:right w:val="single" w:color="000000" w:sz="4" w:space="0"/>
            </w:tcBorders>
            <w:noWrap w:val="0"/>
            <w:vAlign w:val="center"/>
          </w:tcPr>
          <w:p w14:paraId="5741838D">
            <w:pPr>
              <w:widowControl/>
              <w:jc w:val="center"/>
              <w:outlineLvl w:val="9"/>
              <w:rPr>
                <w:rFonts w:ascii="宋体" w:hAnsi="宋体" w:eastAsia="宋体" w:cs="宋体"/>
                <w:color w:val="auto"/>
                <w:sz w:val="24"/>
                <w:szCs w:val="22"/>
                <w:highlight w:val="none"/>
              </w:rPr>
            </w:pPr>
          </w:p>
        </w:tc>
        <w:tc>
          <w:tcPr>
            <w:tcW w:w="1384" w:type="dxa"/>
            <w:tcBorders>
              <w:top w:val="single" w:color="000000" w:sz="4" w:space="0"/>
              <w:left w:val="nil"/>
              <w:bottom w:val="single" w:color="000000" w:sz="4" w:space="0"/>
              <w:right w:val="single" w:color="000000" w:sz="4" w:space="0"/>
            </w:tcBorders>
            <w:noWrap w:val="0"/>
            <w:vAlign w:val="center"/>
          </w:tcPr>
          <w:p w14:paraId="0B2337DC">
            <w:pPr>
              <w:jc w:val="center"/>
              <w:outlineLvl w:val="9"/>
              <w:rPr>
                <w:rFonts w:ascii="宋体" w:hAnsi="宋体" w:eastAsia="宋体" w:cs="宋体"/>
                <w:color w:val="auto"/>
                <w:sz w:val="24"/>
                <w:szCs w:val="22"/>
                <w:highlight w:val="none"/>
              </w:rPr>
            </w:pPr>
          </w:p>
        </w:tc>
        <w:tc>
          <w:tcPr>
            <w:tcW w:w="2984" w:type="dxa"/>
            <w:tcBorders>
              <w:top w:val="single" w:color="000000" w:sz="4" w:space="0"/>
              <w:left w:val="nil"/>
              <w:bottom w:val="single" w:color="000000" w:sz="4" w:space="0"/>
              <w:right w:val="single" w:color="000000" w:sz="4" w:space="0"/>
            </w:tcBorders>
            <w:noWrap w:val="0"/>
            <w:vAlign w:val="center"/>
          </w:tcPr>
          <w:p w14:paraId="202CBE94">
            <w:pPr>
              <w:jc w:val="center"/>
              <w:outlineLvl w:val="9"/>
              <w:rPr>
                <w:rFonts w:ascii="宋体" w:hAnsi="宋体" w:eastAsia="宋体" w:cs="宋体"/>
                <w:color w:val="auto"/>
                <w:sz w:val="24"/>
                <w:szCs w:val="22"/>
                <w:highlight w:val="none"/>
              </w:rPr>
            </w:pPr>
          </w:p>
        </w:tc>
        <w:tc>
          <w:tcPr>
            <w:tcW w:w="3394" w:type="dxa"/>
            <w:tcBorders>
              <w:top w:val="single" w:color="000000" w:sz="4" w:space="0"/>
              <w:left w:val="nil"/>
              <w:bottom w:val="single" w:color="000000" w:sz="4" w:space="0"/>
              <w:right w:val="single" w:color="000000" w:sz="4" w:space="0"/>
            </w:tcBorders>
            <w:noWrap w:val="0"/>
            <w:vAlign w:val="center"/>
          </w:tcPr>
          <w:p w14:paraId="0713DA1E">
            <w:pPr>
              <w:jc w:val="center"/>
              <w:outlineLvl w:val="9"/>
              <w:rPr>
                <w:rFonts w:ascii="宋体" w:hAnsi="宋体" w:eastAsia="宋体" w:cs="宋体"/>
                <w:color w:val="auto"/>
                <w:sz w:val="24"/>
                <w:szCs w:val="22"/>
                <w:highlight w:val="none"/>
              </w:rPr>
            </w:pPr>
          </w:p>
        </w:tc>
      </w:tr>
    </w:tbl>
    <w:p w14:paraId="3951CA47">
      <w:pPr>
        <w:spacing w:before="50" w:after="50"/>
        <w:outlineLvl w:val="9"/>
        <w:rPr>
          <w:rFonts w:hint="eastAsia" w:ascii="宋体" w:hAnsi="宋体" w:eastAsia="宋体" w:cs="Times New Roman"/>
          <w:color w:val="auto"/>
          <w:sz w:val="24"/>
          <w:szCs w:val="22"/>
          <w:highlight w:val="none"/>
        </w:rPr>
      </w:pPr>
    </w:p>
    <w:p w14:paraId="1793894A">
      <w:pPr>
        <w:spacing w:before="50" w:after="50"/>
        <w:ind w:firstLine="6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1"/>
          <w:highlight w:val="none"/>
        </w:rPr>
        <w:t>注：评分对应表主要用于作为</w:t>
      </w:r>
      <w:r>
        <w:rPr>
          <w:rFonts w:hint="eastAsia" w:ascii="宋体" w:hAnsi="宋体" w:eastAsia="宋体" w:cs="宋体"/>
          <w:color w:val="auto"/>
          <w:sz w:val="22"/>
          <w:szCs w:val="21"/>
          <w:highlight w:val="none"/>
          <w:lang w:eastAsia="zh-CN"/>
        </w:rPr>
        <w:t>评审小组</w:t>
      </w:r>
      <w:r>
        <w:rPr>
          <w:rFonts w:hint="eastAsia" w:ascii="宋体" w:hAnsi="宋体" w:eastAsia="宋体" w:cs="宋体"/>
          <w:color w:val="auto"/>
          <w:sz w:val="22"/>
          <w:szCs w:val="21"/>
          <w:highlight w:val="none"/>
        </w:rPr>
        <w:t>评分的一个参考及查阅依据。</w:t>
      </w:r>
    </w:p>
    <w:p w14:paraId="7ABD0513">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74BC6FC6">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ind w:left="0" w:right="0"/>
        <w:jc w:val="center"/>
        <w:outlineLvl w:val="0"/>
        <w:rPr>
          <w:rFonts w:hint="eastAsia" w:ascii="宋体" w:hAnsi="Times New Roman" w:eastAsia="宋体" w:cs="Times New Roman"/>
          <w:b/>
          <w:bCs/>
          <w:color w:val="auto"/>
          <w:sz w:val="32"/>
          <w:szCs w:val="32"/>
          <w:highlight w:val="none"/>
          <w:lang w:val="zh-CN" w:eastAsia="zh-CN"/>
        </w:rPr>
      </w:pPr>
      <w:r>
        <w:rPr>
          <w:rFonts w:hint="eastAsia" w:ascii="宋体" w:hAnsi="Times New Roman" w:eastAsia="宋体" w:cs="Times New Roman"/>
          <w:b/>
          <w:bCs/>
          <w:color w:val="auto"/>
          <w:sz w:val="32"/>
          <w:szCs w:val="32"/>
          <w:highlight w:val="none"/>
          <w:lang w:val="zh-CN" w:eastAsia="zh-CN"/>
        </w:rPr>
        <w:t>第七部分、评标办法</w:t>
      </w:r>
    </w:p>
    <w:p w14:paraId="07017FA5">
      <w:pPr>
        <w:adjustRightInd w:val="0"/>
        <w:snapToGrid w:val="0"/>
        <w:spacing w:line="360" w:lineRule="auto"/>
        <w:ind w:firstLine="420"/>
        <w:rPr>
          <w:rFonts w:ascii="宋体" w:hAnsi="宋体"/>
          <w:color w:val="auto"/>
          <w:sz w:val="22"/>
          <w:szCs w:val="22"/>
          <w:highlight w:val="none"/>
        </w:rPr>
      </w:pPr>
      <w:r>
        <w:rPr>
          <w:rFonts w:hint="eastAsia" w:ascii="宋体" w:hAnsi="宋体"/>
          <w:color w:val="auto"/>
          <w:sz w:val="22"/>
          <w:szCs w:val="22"/>
          <w:highlight w:val="none"/>
        </w:rPr>
        <w:t>根据《中华人民共和国政府采购法》等有关政府采购法规，结合本次所要采购服务的实际，按照公平、公正、科学、择优的原则选择成交单位，特制定本评标办法。</w:t>
      </w:r>
    </w:p>
    <w:p w14:paraId="3DA74847">
      <w:pPr>
        <w:adjustRightInd w:val="0"/>
        <w:snapToGrid w:val="0"/>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一、总则</w:t>
      </w:r>
    </w:p>
    <w:p w14:paraId="5159A14D">
      <w:pPr>
        <w:adjustRightInd w:val="0"/>
        <w:snapToGrid w:val="0"/>
        <w:spacing w:line="360" w:lineRule="auto"/>
        <w:ind w:firstLine="420"/>
        <w:rPr>
          <w:rFonts w:ascii="宋体" w:hAnsi="宋体"/>
          <w:color w:val="auto"/>
          <w:sz w:val="22"/>
          <w:szCs w:val="22"/>
          <w:highlight w:val="none"/>
        </w:rPr>
      </w:pPr>
      <w:r>
        <w:rPr>
          <w:rFonts w:hint="eastAsia" w:ascii="宋体" w:hAnsi="宋体" w:eastAsia="宋体" w:cs="Times New Roman"/>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响应文件将被拒绝</w:t>
      </w:r>
      <w:r>
        <w:rPr>
          <w:rFonts w:hint="eastAsia" w:ascii="宋体" w:hAnsi="宋体"/>
          <w:color w:val="auto"/>
          <w:sz w:val="22"/>
          <w:szCs w:val="22"/>
          <w:highlight w:val="none"/>
        </w:rPr>
        <w:t>。</w:t>
      </w:r>
    </w:p>
    <w:p w14:paraId="4769C5A4">
      <w:pPr>
        <w:adjustRightInd w:val="0"/>
        <w:snapToGrid w:val="0"/>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二、评审组织</w:t>
      </w:r>
    </w:p>
    <w:p w14:paraId="36A1F4FE">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评审工作由采购单位依法组建的竞争性磋商小组负责，竞争性磋商小组由采购单位代表以及评审专家库中随机抽取的有关技术、经济专家共同组成。评</w:t>
      </w:r>
      <w:r>
        <w:rPr>
          <w:rFonts w:ascii="宋体" w:hAnsi="宋体" w:eastAsia="宋体" w:cs="Times New Roman"/>
          <w:color w:val="auto"/>
          <w:sz w:val="22"/>
          <w:szCs w:val="22"/>
          <w:highlight w:val="none"/>
        </w:rPr>
        <w:t>标</w:t>
      </w:r>
      <w:r>
        <w:rPr>
          <w:rFonts w:hint="eastAsia" w:ascii="宋体" w:hAnsi="宋体" w:eastAsia="宋体" w:cs="Times New Roman"/>
          <w:color w:val="auto"/>
          <w:sz w:val="22"/>
          <w:szCs w:val="22"/>
          <w:highlight w:val="none"/>
        </w:rPr>
        <w:t>全过程由采购管理部门全程监督</w:t>
      </w:r>
      <w:r>
        <w:rPr>
          <w:rFonts w:ascii="宋体" w:hAnsi="宋体" w:eastAsia="宋体" w:cs="Times New Roman"/>
          <w:color w:val="auto"/>
          <w:sz w:val="22"/>
          <w:szCs w:val="22"/>
          <w:highlight w:val="none"/>
        </w:rPr>
        <w:t>整个开标、评标和定标过程。</w:t>
      </w:r>
    </w:p>
    <w:p w14:paraId="063D3F99">
      <w:pPr>
        <w:adjustRightInd w:val="0"/>
        <w:snapToGrid w:val="0"/>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三、</w:t>
      </w:r>
      <w:r>
        <w:rPr>
          <w:rFonts w:hint="eastAsia" w:ascii="宋体" w:hAnsi="宋体" w:eastAsia="宋体" w:cs="Times New Roman"/>
          <w:b/>
          <w:color w:val="auto"/>
          <w:sz w:val="22"/>
          <w:szCs w:val="22"/>
          <w:highlight w:val="none"/>
        </w:rPr>
        <w:t>响应文件递交截止、磋商程序、磋商原则和方式</w:t>
      </w:r>
    </w:p>
    <w:p w14:paraId="75BC1A70">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w:t>
      </w:r>
      <w:r>
        <w:rPr>
          <w:rFonts w:hint="eastAsia" w:ascii="宋体"/>
          <w:color w:val="auto"/>
          <w:sz w:val="22"/>
          <w:highlight w:val="none"/>
        </w:rPr>
        <w:t>开标准备</w:t>
      </w:r>
    </w:p>
    <w:p w14:paraId="1F1F7179">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1AAA0EAF">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1.2若磋商供应商在规定时间内无法解密或解密失败，</w:t>
      </w:r>
      <w:r>
        <w:rPr>
          <w:rFonts w:hint="eastAsia" w:ascii="宋体" w:hAnsi="宋体"/>
          <w:color w:val="auto"/>
          <w:kern w:val="0"/>
          <w:sz w:val="22"/>
          <w:highlight w:val="none"/>
        </w:rPr>
        <w:t>投标无效。</w:t>
      </w:r>
      <w:r>
        <w:rPr>
          <w:rFonts w:hint="eastAsia" w:ascii="宋体" w:hAnsi="宋体" w:eastAsia="宋体" w:cs="Times New Roman"/>
          <w:color w:val="auto"/>
          <w:sz w:val="22"/>
          <w:szCs w:val="22"/>
          <w:highlight w:val="none"/>
        </w:rPr>
        <w:t>。</w:t>
      </w:r>
    </w:p>
    <w:p w14:paraId="69ABACF6">
      <w:pPr>
        <w:adjustRightInd w:val="0"/>
        <w:snapToGrid w:val="0"/>
        <w:spacing w:line="360" w:lineRule="auto"/>
        <w:ind w:firstLine="420"/>
        <w:rPr>
          <w:color w:val="auto"/>
          <w:highlight w:val="none"/>
        </w:rPr>
      </w:pPr>
      <w:r>
        <w:rPr>
          <w:rFonts w:hint="eastAsia" w:ascii="宋体" w:hAnsi="宋体" w:eastAsia="宋体" w:cs="Times New Roman"/>
          <w:color w:val="auto"/>
          <w:sz w:val="22"/>
          <w:szCs w:val="22"/>
          <w:highlight w:val="none"/>
        </w:rPr>
        <w:t>1.3所有二次报价询标流程，均在线上完成，请各供应商务必不要离开电脑太久，并留意手机短信。（请提前检查“政采云”内，关于‘项目采购’的岗位权限是否已勾选上。如有问题，请致电400-881-7190）。</w:t>
      </w:r>
    </w:p>
    <w:p w14:paraId="17B7E708">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2、电子招投标开标及评审程序</w:t>
      </w:r>
    </w:p>
    <w:p w14:paraId="62C1A413">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34FF8858">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2.2投标文件解密结束，开启响应文件，磋商小组对资格和商务技术响应文件进行评审；</w:t>
      </w:r>
    </w:p>
    <w:p w14:paraId="74CAC01F">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2.3供应商按签到的前后顺序决定磋商的顺序，就价格、服务等认为需要磋商的内容进行磋商，供应商逐家回答磋商小组的提问，响应人作出最终承诺和最终报价。</w:t>
      </w:r>
    </w:p>
    <w:p w14:paraId="726C1D82">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2.4在系统上公开资格和商务技术评审结果；</w:t>
      </w:r>
    </w:p>
    <w:p w14:paraId="72FF00C6">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2.5在系统上录入最终报价情况；</w:t>
      </w:r>
    </w:p>
    <w:p w14:paraId="53643B99">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2.6磋商小组对报价情况进行评审；</w:t>
      </w:r>
    </w:p>
    <w:p w14:paraId="50EFC0D3">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2.7在系统上公布评审结果。</w:t>
      </w:r>
    </w:p>
    <w:p w14:paraId="3E9A2169">
      <w:pPr>
        <w:adjustRightInd w:val="0"/>
        <w:snapToGrid w:val="0"/>
        <w:spacing w:line="360" w:lineRule="auto"/>
        <w:ind w:firstLine="42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特别说明：政采云公司如对电子化开标及评审程序有调整的，按调整后的程序操作。</w:t>
      </w:r>
    </w:p>
    <w:p w14:paraId="5EB9A5F5">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3、本次采购是根据竞争性磋商采购方式进行，各供应商第一次报价不公开。</w:t>
      </w:r>
    </w:p>
    <w:p w14:paraId="3E1A7648">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3.1如竞争性磋商小组认为竞争性磋商文件能够详细列明采购标的的技术、服务要求的，评审结束后，竞争性磋商小组可以直接对供应商进行打分评价。</w:t>
      </w:r>
    </w:p>
    <w:p w14:paraId="35A46752">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单位代表确认。</w:t>
      </w:r>
    </w:p>
    <w:p w14:paraId="2949D7B7">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3.3对竞争性磋商文件作出的实质性变动是竞争性磋商文件的有效组成部分，竞争性磋商小组应当及时以书面形式同时通知所有参加磋商的供应商。</w:t>
      </w:r>
    </w:p>
    <w:p w14:paraId="25A75117">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3.4供应商应当按照竞争性磋商文件的变动情况和竞争性磋商小组的要求重新提交响应文件，并由其法定代表人或授权代表签字或者加盖公章。由授权代表签字的，应当附法定代表人授权书。</w:t>
      </w:r>
    </w:p>
    <w:p w14:paraId="0EFFC133">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4、评审原则和方法</w:t>
      </w:r>
    </w:p>
    <w:p w14:paraId="68C20A76">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4.1竞争性磋商小组负责审查响应文件是否符合竞争性磋商文件的要求，并作出评价。竞争性磋商小组认为必要时，可向供应商进行质疑。竞争性磋商小组有权决定全部或部分供应商响应文件无效。</w:t>
      </w:r>
    </w:p>
    <w:p w14:paraId="39ED9863">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4.2竞争性磋商小组将综合分析合格供应商的各项指标，而不是以单项指标的优劣评选出成交的供应商。</w:t>
      </w:r>
    </w:p>
    <w:p w14:paraId="1EAA943B">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经磋商确定最终采购需求和提交最后报价的供应商后，由竞争性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11EF6F62">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4.4本次评审采用综合评分法，竞争性磋商小组根据竞争性磋商文件制定的评审办法对供应商进行评审排序，将综合得分第一名的供应商向采购单位推荐其为成交供应商。</w:t>
      </w:r>
    </w:p>
    <w:p w14:paraId="1C953214">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5、响应文件的澄清</w:t>
      </w:r>
    </w:p>
    <w:p w14:paraId="341386BF">
      <w:pPr>
        <w:adjustRightInd w:val="0"/>
        <w:snapToGrid w:val="0"/>
        <w:spacing w:line="360" w:lineRule="auto"/>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5.1、为有利于对响应文件的比较和评议，必要时采购单位可要求供应商对响应文件进行澄清，并作出书面答复。书面答复须有供应商授权代表签字并作为响应文件内容的一部分。</w:t>
      </w:r>
    </w:p>
    <w:p w14:paraId="4FD384A7">
      <w:pPr>
        <w:adjustRightInd w:val="0"/>
        <w:snapToGrid w:val="0"/>
        <w:spacing w:line="360" w:lineRule="auto"/>
        <w:jc w:val="center"/>
        <w:rPr>
          <w:rFonts w:ascii="宋体" w:hAnsi="宋体"/>
          <w:color w:val="auto"/>
          <w:sz w:val="22"/>
          <w:szCs w:val="22"/>
          <w:highlight w:val="none"/>
        </w:rPr>
      </w:pPr>
      <w:r>
        <w:rPr>
          <w:rFonts w:hint="eastAsia" w:ascii="宋体" w:hAnsi="宋体"/>
          <w:b/>
          <w:color w:val="auto"/>
          <w:sz w:val="22"/>
          <w:szCs w:val="22"/>
          <w:highlight w:val="none"/>
        </w:rPr>
        <w:t>四、评审细则</w:t>
      </w:r>
    </w:p>
    <w:p w14:paraId="5F77477E">
      <w:pPr>
        <w:adjustRightInd w:val="0"/>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（一）商务报价评分（</w:t>
      </w:r>
      <w:r>
        <w:rPr>
          <w:rFonts w:hint="eastAsia" w:ascii="宋体" w:hAnsi="宋体"/>
          <w:color w:val="auto"/>
          <w:sz w:val="22"/>
          <w:szCs w:val="22"/>
          <w:highlight w:val="none"/>
          <w:lang w:val="en-US" w:eastAsia="zh-CN"/>
        </w:rPr>
        <w:t>20</w:t>
      </w:r>
      <w:r>
        <w:rPr>
          <w:rFonts w:hint="eastAsia" w:ascii="宋体" w:hAnsi="宋体"/>
          <w:color w:val="auto"/>
          <w:sz w:val="22"/>
          <w:szCs w:val="22"/>
          <w:highlight w:val="none"/>
        </w:rPr>
        <w:t>分）</w:t>
      </w:r>
    </w:p>
    <w:p w14:paraId="79A20C66">
      <w:pPr>
        <w:pStyle w:val="16"/>
        <w:adjustRightInd w:val="0"/>
        <w:snapToGrid w:val="0"/>
        <w:spacing w:line="360" w:lineRule="auto"/>
        <w:ind w:firstLine="440" w:firstLineChars="200"/>
        <w:rPr>
          <w:rFonts w:hAnsi="宋体"/>
          <w:color w:val="auto"/>
          <w:sz w:val="22"/>
          <w:szCs w:val="22"/>
          <w:highlight w:val="none"/>
        </w:rPr>
      </w:pPr>
      <w:r>
        <w:rPr>
          <w:rFonts w:hint="eastAsia" w:hAnsi="宋体" w:cs="Arial"/>
          <w:color w:val="auto"/>
          <w:kern w:val="0"/>
          <w:sz w:val="22"/>
          <w:highlight w:val="none"/>
        </w:rPr>
        <w:t>1、</w:t>
      </w:r>
      <w:r>
        <w:rPr>
          <w:rFonts w:hint="eastAsia" w:hAnsi="宋体" w:eastAsia="宋体" w:cs="Arial"/>
          <w:color w:val="auto"/>
          <w:kern w:val="0"/>
          <w:sz w:val="22"/>
          <w:highlight w:val="none"/>
        </w:rPr>
        <w:t>以满足竞争性磋商文件要求且最后报价最低的有效供应商的价格为磋商基准价，得满分</w:t>
      </w:r>
      <w:r>
        <w:rPr>
          <w:rFonts w:hint="eastAsia" w:hAnsi="宋体"/>
          <w:color w:val="auto"/>
          <w:sz w:val="22"/>
          <w:szCs w:val="22"/>
          <w:highlight w:val="none"/>
        </w:rPr>
        <w:t>；商</w:t>
      </w:r>
      <w:r>
        <w:rPr>
          <w:rFonts w:hint="eastAsia" w:hAnsi="宋体" w:eastAsia="宋体" w:cs="Arial"/>
          <w:color w:val="auto"/>
          <w:kern w:val="0"/>
          <w:sz w:val="22"/>
          <w:highlight w:val="none"/>
        </w:rPr>
        <w:t>务报价评分结算公式为：</w:t>
      </w:r>
    </w:p>
    <w:p w14:paraId="12B1C700">
      <w:pPr>
        <w:adjustRightInd w:val="0"/>
        <w:snapToGrid w:val="0"/>
        <w:spacing w:line="360" w:lineRule="auto"/>
        <w:ind w:firstLine="420"/>
        <w:rPr>
          <w:rFonts w:ascii="宋体" w:hAnsi="宋体" w:eastAsia="宋体" w:cs="Arial"/>
          <w:color w:val="auto"/>
          <w:kern w:val="0"/>
          <w:sz w:val="22"/>
          <w:highlight w:val="none"/>
        </w:rPr>
      </w:pPr>
      <w:r>
        <w:rPr>
          <w:rFonts w:hint="eastAsia" w:ascii="宋体" w:hAnsi="宋体" w:eastAsia="宋体" w:cs="Arial"/>
          <w:color w:val="auto"/>
          <w:kern w:val="0"/>
          <w:sz w:val="22"/>
          <w:highlight w:val="none"/>
        </w:rPr>
        <w:t>磋商报价得分=（磋商基准价/最后磋商报价</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0%×10</w:t>
      </w:r>
      <w:r>
        <w:rPr>
          <w:rFonts w:hint="eastAsia" w:ascii="宋体" w:hAnsi="宋体" w:eastAsia="宋体" w:cs="Arial"/>
          <w:color w:val="auto"/>
          <w:kern w:val="0"/>
          <w:sz w:val="22"/>
          <w:highlight w:val="none"/>
        </w:rPr>
        <w:t>0。</w:t>
      </w:r>
    </w:p>
    <w:p w14:paraId="49115454">
      <w:pPr>
        <w:adjustRightInd w:val="0"/>
        <w:snapToGrid w:val="0"/>
        <w:spacing w:line="360" w:lineRule="auto"/>
        <w:ind w:firstLine="420"/>
        <w:rPr>
          <w:rFonts w:ascii="宋体" w:hAnsi="宋体"/>
          <w:color w:val="auto"/>
          <w:sz w:val="22"/>
          <w:highlight w:val="none"/>
        </w:rPr>
      </w:pPr>
      <w:r>
        <w:rPr>
          <w:rFonts w:hint="eastAsia" w:ascii="宋体" w:hAnsi="宋体"/>
          <w:color w:val="auto"/>
          <w:sz w:val="22"/>
          <w:highlight w:val="none"/>
        </w:rPr>
        <w:t>2、如果投标供应商的报价均超出采购预算（最高限价）且采购单位确认不能支付的情况，</w:t>
      </w:r>
    </w:p>
    <w:p w14:paraId="52F63098">
      <w:pPr>
        <w:adjustRightInd w:val="0"/>
        <w:snapToGrid w:val="0"/>
        <w:spacing w:line="360" w:lineRule="auto"/>
        <w:rPr>
          <w:rFonts w:ascii="宋体" w:hAnsi="宋体"/>
          <w:color w:val="auto"/>
          <w:sz w:val="22"/>
          <w:highlight w:val="none"/>
        </w:rPr>
      </w:pPr>
      <w:r>
        <w:rPr>
          <w:rFonts w:hint="eastAsia" w:ascii="宋体" w:hAnsi="宋体"/>
          <w:color w:val="auto"/>
          <w:sz w:val="22"/>
          <w:highlight w:val="none"/>
        </w:rPr>
        <w:t>本次招标做流（废）标处理。如果仅仅某些（个）投标供应商投标报价超出预算（最高限价）的，则拒绝接受其投标报价，该投标供应商投标按无效投标处理。</w:t>
      </w:r>
    </w:p>
    <w:p w14:paraId="69FCE01F">
      <w:pPr>
        <w:adjustRightInd w:val="0"/>
        <w:snapToGrid w:val="0"/>
        <w:spacing w:line="360" w:lineRule="auto"/>
        <w:rPr>
          <w:rFonts w:ascii="宋体" w:hAnsi="宋体"/>
          <w:color w:val="auto"/>
          <w:sz w:val="22"/>
          <w:szCs w:val="22"/>
          <w:highlight w:val="none"/>
        </w:rPr>
      </w:pPr>
      <w:r>
        <w:rPr>
          <w:rFonts w:hint="eastAsia" w:ascii="宋体" w:hAnsi="宋体"/>
          <w:color w:val="auto"/>
          <w:sz w:val="22"/>
          <w:szCs w:val="22"/>
          <w:highlight w:val="none"/>
        </w:rPr>
        <w:t>（二）技术资信分评分（</w:t>
      </w:r>
      <w:r>
        <w:rPr>
          <w:rFonts w:hint="eastAsia" w:ascii="宋体" w:hAnsi="宋体"/>
          <w:color w:val="auto"/>
          <w:sz w:val="22"/>
          <w:szCs w:val="22"/>
          <w:highlight w:val="none"/>
          <w:lang w:val="en-US" w:eastAsia="zh-CN"/>
        </w:rPr>
        <w:t>80</w:t>
      </w:r>
      <w:r>
        <w:rPr>
          <w:rFonts w:hint="eastAsia" w:ascii="宋体" w:hAnsi="宋体"/>
          <w:color w:val="auto"/>
          <w:sz w:val="22"/>
          <w:szCs w:val="22"/>
          <w:highlight w:val="none"/>
        </w:rPr>
        <w:t>分）</w:t>
      </w:r>
    </w:p>
    <w:tbl>
      <w:tblPr>
        <w:tblStyle w:val="30"/>
        <w:tblW w:w="9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4"/>
        <w:gridCol w:w="1661"/>
        <w:gridCol w:w="6278"/>
        <w:gridCol w:w="985"/>
      </w:tblGrid>
      <w:tr w14:paraId="1CC57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644" w:type="dxa"/>
            <w:vAlign w:val="center"/>
          </w:tcPr>
          <w:p w14:paraId="2C3B3CFF">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661" w:type="dxa"/>
            <w:vAlign w:val="center"/>
          </w:tcPr>
          <w:p w14:paraId="5A3CB1B6">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评分项目</w:t>
            </w:r>
          </w:p>
        </w:tc>
        <w:tc>
          <w:tcPr>
            <w:tcW w:w="6278" w:type="dxa"/>
            <w:vAlign w:val="center"/>
          </w:tcPr>
          <w:p w14:paraId="427F12B9">
            <w:pPr>
              <w:ind w:hanging="498"/>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评审细则</w:t>
            </w:r>
          </w:p>
        </w:tc>
        <w:tc>
          <w:tcPr>
            <w:tcW w:w="985" w:type="dxa"/>
            <w:vAlign w:val="center"/>
          </w:tcPr>
          <w:p w14:paraId="1A3165FA">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r>
      <w:tr w14:paraId="487E6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2" w:hRule="atLeast"/>
          <w:jc w:val="center"/>
        </w:trPr>
        <w:tc>
          <w:tcPr>
            <w:tcW w:w="644" w:type="dxa"/>
            <w:vMerge w:val="restart"/>
            <w:vAlign w:val="center"/>
          </w:tcPr>
          <w:p w14:paraId="0FF05D3A">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661" w:type="dxa"/>
            <w:vMerge w:val="restart"/>
            <w:vAlign w:val="center"/>
          </w:tcPr>
          <w:p w14:paraId="72019744">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综合实力</w:t>
            </w:r>
          </w:p>
        </w:tc>
        <w:tc>
          <w:tcPr>
            <w:tcW w:w="6278" w:type="dxa"/>
            <w:vAlign w:val="center"/>
          </w:tcPr>
          <w:p w14:paraId="5C50C707">
            <w:pPr>
              <w:jc w:val="lef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供应商具有质量管理体系认证证书、环境管理体系认证证书、职业健康安全管理体系认证证书，每提供一个证书得</w:t>
            </w:r>
            <w:r>
              <w:rPr>
                <w:rFonts w:hint="eastAsia" w:ascii="宋体" w:eastAsia="宋体" w:cs="宋体"/>
                <w:b w:val="0"/>
                <w:color w:val="auto"/>
                <w:kern w:val="2"/>
                <w:sz w:val="22"/>
                <w:szCs w:val="22"/>
                <w:highlight w:val="none"/>
                <w:lang w:val="en-US" w:eastAsia="zh-CN"/>
              </w:rPr>
              <w:t>1</w:t>
            </w:r>
            <w:r>
              <w:rPr>
                <w:rFonts w:hint="eastAsia" w:ascii="宋体" w:eastAsia="宋体" w:cs="宋体"/>
                <w:b w:val="0"/>
                <w:color w:val="auto"/>
                <w:kern w:val="2"/>
                <w:sz w:val="22"/>
                <w:szCs w:val="22"/>
                <w:highlight w:val="none"/>
              </w:rPr>
              <w:t>分</w:t>
            </w:r>
            <w:r>
              <w:rPr>
                <w:rFonts w:hint="eastAsia" w:ascii="宋体" w:eastAsia="宋体" w:cs="宋体"/>
                <w:b w:val="0"/>
                <w:color w:val="auto"/>
                <w:kern w:val="2"/>
                <w:sz w:val="22"/>
                <w:szCs w:val="22"/>
                <w:highlight w:val="none"/>
                <w:lang w:eastAsia="zh-CN"/>
              </w:rPr>
              <w:t>（</w:t>
            </w:r>
            <w:r>
              <w:rPr>
                <w:rFonts w:hint="eastAsia" w:ascii="宋体" w:hAnsi="Times New Roman" w:eastAsia="宋体" w:cs="宋体"/>
                <w:b w:val="0"/>
                <w:color w:val="auto"/>
                <w:kern w:val="2"/>
                <w:sz w:val="22"/>
                <w:szCs w:val="22"/>
                <w:highlight w:val="none"/>
              </w:rPr>
              <w:t>认证范围</w:t>
            </w:r>
            <w:r>
              <w:rPr>
                <w:rFonts w:hint="eastAsia" w:ascii="宋体" w:hAnsi="Times New Roman" w:eastAsia="宋体" w:cs="宋体"/>
                <w:b w:val="0"/>
                <w:color w:val="auto"/>
                <w:kern w:val="2"/>
                <w:sz w:val="22"/>
                <w:szCs w:val="22"/>
                <w:highlight w:val="none"/>
                <w:lang w:val="en-US" w:eastAsia="zh-CN"/>
              </w:rPr>
              <w:t>须包含生活垃圾清扫、收集等相关内容</w:t>
            </w:r>
            <w:r>
              <w:rPr>
                <w:rFonts w:hint="eastAsia" w:ascii="宋体" w:eastAsia="宋体" w:cs="宋体"/>
                <w:b w:val="0"/>
                <w:color w:val="auto"/>
                <w:kern w:val="2"/>
                <w:sz w:val="22"/>
                <w:szCs w:val="22"/>
                <w:highlight w:val="none"/>
                <w:lang w:eastAsia="zh-CN"/>
              </w:rPr>
              <w:t>）</w:t>
            </w:r>
            <w:r>
              <w:rPr>
                <w:rFonts w:hint="eastAsia" w:ascii="宋体" w:eastAsia="宋体" w:cs="宋体"/>
                <w:b w:val="0"/>
                <w:color w:val="auto"/>
                <w:kern w:val="2"/>
                <w:sz w:val="22"/>
                <w:szCs w:val="22"/>
                <w:highlight w:val="none"/>
              </w:rPr>
              <w:t>，此项最高得</w:t>
            </w:r>
            <w:r>
              <w:rPr>
                <w:rFonts w:hint="eastAsia" w:ascii="宋体" w:eastAsia="宋体" w:cs="宋体"/>
                <w:b w:val="0"/>
                <w:color w:val="auto"/>
                <w:kern w:val="2"/>
                <w:sz w:val="22"/>
                <w:szCs w:val="22"/>
                <w:highlight w:val="none"/>
                <w:lang w:val="en-US" w:eastAsia="zh-CN"/>
              </w:rPr>
              <w:t>3</w:t>
            </w:r>
            <w:r>
              <w:rPr>
                <w:rFonts w:hint="eastAsia" w:ascii="宋体" w:eastAsia="宋体" w:cs="宋体"/>
                <w:b w:val="0"/>
                <w:color w:val="auto"/>
                <w:kern w:val="2"/>
                <w:sz w:val="22"/>
                <w:szCs w:val="22"/>
                <w:highlight w:val="none"/>
              </w:rPr>
              <w:t>分。</w:t>
            </w:r>
          </w:p>
          <w:p w14:paraId="256781CF">
            <w:pPr>
              <w:rPr>
                <w:rFonts w:ascii="宋体" w:hAnsi="宋体" w:eastAsia="宋体" w:cs="宋体"/>
                <w:color w:val="auto"/>
                <w:sz w:val="22"/>
                <w:szCs w:val="22"/>
                <w:highlight w:val="none"/>
              </w:rPr>
            </w:pPr>
            <w:r>
              <w:rPr>
                <w:rFonts w:hint="eastAsia" w:ascii="宋体" w:eastAsia="宋体" w:cs="宋体"/>
                <w:b/>
                <w:bCs w:val="0"/>
                <w:color w:val="auto"/>
                <w:kern w:val="2"/>
                <w:sz w:val="22"/>
                <w:szCs w:val="22"/>
                <w:highlight w:val="none"/>
              </w:rPr>
              <w:t>注：以上证书在中国国家认证认可监督管理委员会官网（http://www.cnca.gov.cn）查询截图为准，同时提供有效期内的证书扫描件加盖公章，否则不得分。</w:t>
            </w:r>
          </w:p>
        </w:tc>
        <w:tc>
          <w:tcPr>
            <w:tcW w:w="985" w:type="dxa"/>
            <w:vAlign w:val="center"/>
          </w:tcPr>
          <w:p w14:paraId="77AB6D97">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55C8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8" w:hRule="atLeast"/>
          <w:jc w:val="center"/>
        </w:trPr>
        <w:tc>
          <w:tcPr>
            <w:tcW w:w="644" w:type="dxa"/>
            <w:vMerge w:val="continue"/>
            <w:vAlign w:val="center"/>
          </w:tcPr>
          <w:p w14:paraId="742D0127">
            <w:pPr>
              <w:rPr>
                <w:color w:val="auto"/>
                <w:highlight w:val="none"/>
              </w:rPr>
            </w:pPr>
          </w:p>
        </w:tc>
        <w:tc>
          <w:tcPr>
            <w:tcW w:w="1661" w:type="dxa"/>
            <w:vMerge w:val="continue"/>
            <w:vAlign w:val="center"/>
          </w:tcPr>
          <w:p w14:paraId="09C14EA5">
            <w:pPr>
              <w:rPr>
                <w:color w:val="auto"/>
                <w:highlight w:val="none"/>
              </w:rPr>
            </w:pPr>
          </w:p>
        </w:tc>
        <w:tc>
          <w:tcPr>
            <w:tcW w:w="6278" w:type="dxa"/>
            <w:vAlign w:val="center"/>
          </w:tcPr>
          <w:p w14:paraId="53BC3F3E">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供应商具有政府部门颁发的市容环境相关荣誉：省级及以上的得3分，市级市容环境相关荣誉的得2分，县级环境相关荣誉的每个得1分，本项不可累计得分，此项最高得3分。</w:t>
            </w:r>
          </w:p>
          <w:p w14:paraId="0571B7CB">
            <w:pPr>
              <w:rPr>
                <w:rFonts w:hint="eastAsia" w:ascii="宋体" w:eastAsia="宋体" w:cs="宋体"/>
                <w:b/>
                <w:bCs w:val="0"/>
                <w:color w:val="auto"/>
                <w:kern w:val="2"/>
                <w:sz w:val="22"/>
                <w:szCs w:val="22"/>
                <w:highlight w:val="none"/>
              </w:rPr>
            </w:pPr>
            <w:r>
              <w:rPr>
                <w:rFonts w:hint="eastAsia" w:ascii="宋体" w:hAnsi="宋体" w:eastAsia="宋体" w:cs="宋体"/>
                <w:b/>
                <w:bCs/>
                <w:color w:val="auto"/>
                <w:sz w:val="22"/>
                <w:szCs w:val="22"/>
                <w:highlight w:val="none"/>
                <w:lang w:val="en-US" w:eastAsia="zh-CN"/>
              </w:rPr>
              <w:t>注:提供相关证明材料扫描件加盖公章，否则不得分。</w:t>
            </w:r>
          </w:p>
        </w:tc>
        <w:tc>
          <w:tcPr>
            <w:tcW w:w="985" w:type="dxa"/>
            <w:vAlign w:val="center"/>
          </w:tcPr>
          <w:p w14:paraId="18A46936">
            <w:pPr>
              <w:jc w:val="center"/>
              <w:rPr>
                <w:rFonts w:hint="eastAsia" w:ascii="宋体" w:eastAsia="宋体" w:cs="宋体"/>
                <w:b/>
                <w:bCs w:val="0"/>
                <w:color w:val="auto"/>
                <w:kern w:val="2"/>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0143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8" w:hRule="atLeast"/>
          <w:jc w:val="center"/>
        </w:trPr>
        <w:tc>
          <w:tcPr>
            <w:tcW w:w="644" w:type="dxa"/>
            <w:vAlign w:val="center"/>
          </w:tcPr>
          <w:p w14:paraId="227E105A">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661" w:type="dxa"/>
            <w:vAlign w:val="center"/>
          </w:tcPr>
          <w:p w14:paraId="59C23AB5">
            <w:pPr>
              <w:jc w:val="center"/>
              <w:rPr>
                <w:rFonts w:ascii="宋体" w:hAnsi="宋体" w:eastAsia="宋体" w:cs="宋体"/>
                <w:color w:val="auto"/>
                <w:sz w:val="22"/>
                <w:szCs w:val="22"/>
                <w:highlight w:val="none"/>
              </w:rPr>
            </w:pPr>
            <w:r>
              <w:rPr>
                <w:rFonts w:hint="eastAsia" w:ascii="宋体" w:eastAsia="宋体" w:cs="宋体"/>
                <w:b w:val="0"/>
                <w:color w:val="auto"/>
                <w:kern w:val="2"/>
                <w:sz w:val="22"/>
                <w:szCs w:val="22"/>
                <w:highlight w:val="none"/>
              </w:rPr>
              <w:t>供应商业绩</w:t>
            </w:r>
          </w:p>
        </w:tc>
        <w:tc>
          <w:tcPr>
            <w:tcW w:w="6278" w:type="dxa"/>
            <w:vAlign w:val="center"/>
          </w:tcPr>
          <w:p w14:paraId="5C83B81D">
            <w:pPr>
              <w:rPr>
                <w:rFonts w:hint="eastAsia" w:ascii="宋体" w:hAnsi="宋体" w:cs="宋体"/>
                <w:color w:val="auto"/>
                <w:sz w:val="22"/>
                <w:szCs w:val="22"/>
                <w:highlight w:val="none"/>
              </w:rPr>
            </w:pPr>
            <w:r>
              <w:rPr>
                <w:rFonts w:hint="eastAsia" w:ascii="宋体" w:hAnsi="宋体" w:cs="宋体"/>
                <w:color w:val="auto"/>
                <w:sz w:val="22"/>
                <w:szCs w:val="22"/>
                <w:highlight w:val="none"/>
              </w:rPr>
              <w:t>投标人每提供一项</w:t>
            </w:r>
            <w:r>
              <w:rPr>
                <w:rFonts w:hint="eastAsia" w:ascii="宋体" w:eastAsia="宋体" w:cs="宋体"/>
                <w:color w:val="auto"/>
                <w:sz w:val="22"/>
                <w:szCs w:val="22"/>
                <w:highlight w:val="none"/>
              </w:rPr>
              <w:t>类似环卫保洁及垃圾分类一体化</w:t>
            </w:r>
            <w:r>
              <w:rPr>
                <w:rFonts w:hint="eastAsia" w:ascii="宋体" w:hAnsi="宋体" w:cs="宋体"/>
                <w:color w:val="auto"/>
                <w:sz w:val="22"/>
                <w:szCs w:val="22"/>
                <w:highlight w:val="none"/>
              </w:rPr>
              <w:t>项目业绩</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rPr>
              <w:t>得1分，最高得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p>
          <w:p w14:paraId="5DE11B22">
            <w:pPr>
              <w:rPr>
                <w:rFonts w:ascii="宋体" w:hAnsi="宋体" w:eastAsia="宋体" w:cs="宋体"/>
                <w:color w:val="auto"/>
                <w:sz w:val="22"/>
                <w:szCs w:val="22"/>
                <w:highlight w:val="none"/>
              </w:rPr>
            </w:pPr>
            <w:r>
              <w:rPr>
                <w:rFonts w:hint="eastAsia" w:ascii="宋体" w:hAnsi="宋体" w:cs="宋体"/>
                <w:b/>
                <w:bCs/>
                <w:color w:val="auto"/>
                <w:sz w:val="22"/>
                <w:szCs w:val="22"/>
                <w:highlight w:val="none"/>
              </w:rPr>
              <w:t>注：以上业绩均需提供</w:t>
            </w:r>
            <w:r>
              <w:rPr>
                <w:rFonts w:hint="eastAsia" w:ascii="宋体" w:hAnsi="宋体" w:cs="宋体"/>
                <w:b/>
                <w:bCs/>
                <w:color w:val="auto"/>
                <w:sz w:val="22"/>
                <w:szCs w:val="22"/>
                <w:highlight w:val="none"/>
                <w:lang w:eastAsia="zh-CN"/>
              </w:rPr>
              <w:t>合同、</w:t>
            </w:r>
            <w:r>
              <w:rPr>
                <w:rFonts w:hint="eastAsia" w:ascii="宋体" w:hAnsi="宋体" w:cs="宋体"/>
                <w:b/>
                <w:bCs/>
                <w:color w:val="auto"/>
                <w:sz w:val="22"/>
                <w:szCs w:val="22"/>
                <w:highlight w:val="none"/>
              </w:rPr>
              <w:t>中标通知书</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rPr>
              <w:t>服务评价</w:t>
            </w:r>
            <w:r>
              <w:rPr>
                <w:rFonts w:hint="eastAsia" w:ascii="宋体" w:hAnsi="宋体" w:cs="宋体"/>
                <w:b/>
                <w:bCs/>
                <w:color w:val="auto"/>
                <w:sz w:val="22"/>
                <w:szCs w:val="22"/>
                <w:highlight w:val="none"/>
                <w:lang w:eastAsia="zh-CN"/>
              </w:rPr>
              <w:t>满意</w:t>
            </w:r>
            <w:r>
              <w:rPr>
                <w:rFonts w:hint="eastAsia" w:ascii="宋体" w:hAnsi="宋体" w:cs="宋体"/>
                <w:b/>
                <w:bCs/>
                <w:color w:val="auto"/>
                <w:sz w:val="22"/>
                <w:szCs w:val="22"/>
                <w:highlight w:val="none"/>
              </w:rPr>
              <w:t>证明（需</w:t>
            </w:r>
            <w:r>
              <w:rPr>
                <w:rFonts w:hint="eastAsia" w:ascii="宋体" w:hAnsi="宋体" w:cs="宋体"/>
                <w:b/>
                <w:bCs/>
                <w:color w:val="auto"/>
                <w:sz w:val="22"/>
                <w:szCs w:val="22"/>
                <w:highlight w:val="none"/>
                <w:lang w:eastAsia="zh-CN"/>
              </w:rPr>
              <w:t>加盖</w:t>
            </w:r>
            <w:r>
              <w:rPr>
                <w:rFonts w:hint="eastAsia" w:ascii="宋体" w:hAnsi="宋体" w:cs="宋体"/>
                <w:b/>
                <w:bCs/>
                <w:color w:val="auto"/>
                <w:sz w:val="22"/>
                <w:szCs w:val="22"/>
                <w:highlight w:val="none"/>
              </w:rPr>
              <w:t>采购人公章），否则不得分。</w:t>
            </w:r>
          </w:p>
        </w:tc>
        <w:tc>
          <w:tcPr>
            <w:tcW w:w="985" w:type="dxa"/>
            <w:vAlign w:val="center"/>
          </w:tcPr>
          <w:p w14:paraId="209E9639">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r>
      <w:tr w14:paraId="6703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644" w:type="dxa"/>
            <w:vAlign w:val="center"/>
          </w:tcPr>
          <w:p w14:paraId="234E916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661" w:type="dxa"/>
            <w:vAlign w:val="center"/>
          </w:tcPr>
          <w:p w14:paraId="4E3C9FF9">
            <w:pPr>
              <w:jc w:val="center"/>
              <w:rPr>
                <w:rFonts w:hint="eastAsia" w:ascii="宋体" w:eastAsia="宋体" w:cs="宋体"/>
                <w:b w:val="0"/>
                <w:color w:val="auto"/>
                <w:kern w:val="2"/>
                <w:sz w:val="22"/>
                <w:szCs w:val="22"/>
                <w:highlight w:val="none"/>
              </w:rPr>
            </w:pPr>
            <w:r>
              <w:rPr>
                <w:rFonts w:hint="eastAsia" w:ascii="宋体" w:hAnsi="宋体" w:eastAsia="宋体" w:cs="宋体"/>
                <w:color w:val="auto"/>
                <w:sz w:val="22"/>
                <w:szCs w:val="22"/>
                <w:highlight w:val="none"/>
              </w:rPr>
              <w:t>供应商资质</w:t>
            </w:r>
          </w:p>
        </w:tc>
        <w:tc>
          <w:tcPr>
            <w:tcW w:w="6278" w:type="dxa"/>
            <w:vAlign w:val="center"/>
          </w:tcPr>
          <w:p w14:paraId="50097C47">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供应商具有相关政府部门颁发的“城市生活垃圾经营性清扫、收集、运输服务许可证”的得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分；具有县级及以上政府部门颁发的“道路运输经营许可证”的得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分。本项最高得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0A20A4F0">
            <w:pPr>
              <w:rPr>
                <w:rFonts w:hint="eastAsia" w:ascii="宋体" w:hAnsi="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提供有效期内的证书扫描件加盖公章，以上证明材料未提供或提供不全的不得分。</w:t>
            </w:r>
          </w:p>
        </w:tc>
        <w:tc>
          <w:tcPr>
            <w:tcW w:w="985" w:type="dxa"/>
            <w:vAlign w:val="center"/>
          </w:tcPr>
          <w:p w14:paraId="5F742243">
            <w:pPr>
              <w:tabs>
                <w:tab w:val="left" w:pos="576"/>
              </w:tabs>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2分</w:t>
            </w:r>
          </w:p>
        </w:tc>
      </w:tr>
      <w:tr w14:paraId="20739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644" w:type="dxa"/>
            <w:vMerge w:val="restart"/>
            <w:vAlign w:val="center"/>
          </w:tcPr>
          <w:p w14:paraId="10F9D954">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1661" w:type="dxa"/>
            <w:vMerge w:val="restart"/>
            <w:vAlign w:val="center"/>
          </w:tcPr>
          <w:p w14:paraId="47452F5B">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拟投入的</w:t>
            </w:r>
            <w:r>
              <w:rPr>
                <w:rFonts w:hint="eastAsia" w:ascii="宋体" w:hAnsi="宋体" w:eastAsia="宋体" w:cs="宋体"/>
                <w:color w:val="auto"/>
                <w:sz w:val="22"/>
                <w:szCs w:val="22"/>
                <w:highlight w:val="none"/>
                <w:lang w:eastAsia="zh-CN"/>
              </w:rPr>
              <w:t>车辆</w:t>
            </w:r>
            <w:r>
              <w:rPr>
                <w:rFonts w:hint="eastAsia" w:ascii="宋体" w:hAnsi="宋体" w:eastAsia="宋体" w:cs="宋体"/>
                <w:color w:val="auto"/>
                <w:sz w:val="22"/>
                <w:szCs w:val="22"/>
                <w:highlight w:val="none"/>
              </w:rPr>
              <w:t>配备情况</w:t>
            </w:r>
          </w:p>
        </w:tc>
        <w:tc>
          <w:tcPr>
            <w:tcW w:w="6278" w:type="dxa"/>
            <w:vAlign w:val="center"/>
          </w:tcPr>
          <w:p w14:paraId="7A7F5F87">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1、供应商所承诺的投入该项目的快速巡回保洁车在满足竞争性磋商文件的要求下每增加</w:t>
            </w:r>
            <w:r>
              <w:rPr>
                <w:rFonts w:hint="eastAsia" w:ascii="宋体" w:hAnsi="宋体" w:eastAsia="宋体" w:cs="宋体"/>
                <w:color w:val="auto"/>
                <w:sz w:val="22"/>
                <w:szCs w:val="22"/>
                <w:highlight w:val="none"/>
                <w:lang w:eastAsia="zh-CN"/>
              </w:rPr>
              <w:t>1辆</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分，最多得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c>
          <w:tcPr>
            <w:tcW w:w="985" w:type="dxa"/>
            <w:vAlign w:val="center"/>
          </w:tcPr>
          <w:p w14:paraId="0E109AB3">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1C17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644" w:type="dxa"/>
            <w:vMerge w:val="continue"/>
            <w:vAlign w:val="center"/>
          </w:tcPr>
          <w:p w14:paraId="233618E9">
            <w:pPr>
              <w:jc w:val="center"/>
              <w:rPr>
                <w:rFonts w:hint="eastAsia" w:ascii="宋体" w:hAnsi="宋体" w:eastAsia="宋体" w:cs="宋体"/>
                <w:color w:val="auto"/>
                <w:sz w:val="22"/>
                <w:szCs w:val="22"/>
                <w:highlight w:val="none"/>
              </w:rPr>
            </w:pPr>
          </w:p>
        </w:tc>
        <w:tc>
          <w:tcPr>
            <w:tcW w:w="1661" w:type="dxa"/>
            <w:vMerge w:val="continue"/>
            <w:vAlign w:val="center"/>
          </w:tcPr>
          <w:p w14:paraId="299CAD57">
            <w:pPr>
              <w:jc w:val="center"/>
              <w:rPr>
                <w:rFonts w:hint="eastAsia" w:ascii="宋体" w:hAnsi="宋体" w:eastAsia="宋体" w:cs="宋体"/>
                <w:color w:val="auto"/>
                <w:sz w:val="22"/>
                <w:szCs w:val="22"/>
                <w:highlight w:val="none"/>
              </w:rPr>
            </w:pPr>
          </w:p>
        </w:tc>
        <w:tc>
          <w:tcPr>
            <w:tcW w:w="6278" w:type="dxa"/>
            <w:vAlign w:val="center"/>
          </w:tcPr>
          <w:p w14:paraId="1E77ED8D">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2、供应商所承诺的投入该项目的</w:t>
            </w:r>
            <w:r>
              <w:rPr>
                <w:rFonts w:hint="eastAsia" w:ascii="宋体" w:hAnsi="宋体" w:eastAsia="宋体" w:cs="宋体"/>
                <w:b w:val="0"/>
                <w:bCs/>
                <w:color w:val="auto"/>
                <w:sz w:val="22"/>
                <w:szCs w:val="22"/>
                <w:highlight w:val="none"/>
              </w:rPr>
              <w:t>后装式压缩垃圾车</w:t>
            </w:r>
            <w:r>
              <w:rPr>
                <w:rFonts w:hint="eastAsia" w:ascii="宋体" w:hAnsi="宋体" w:eastAsia="宋体" w:cs="宋体"/>
                <w:color w:val="auto"/>
                <w:sz w:val="22"/>
                <w:szCs w:val="22"/>
                <w:highlight w:val="none"/>
                <w:lang w:val="en-US" w:eastAsia="zh-CN"/>
              </w:rPr>
              <w:t>在满足竞争性磋商文件的要求下每增加1辆得2分，最多得4分。</w:t>
            </w:r>
          </w:p>
        </w:tc>
        <w:tc>
          <w:tcPr>
            <w:tcW w:w="985" w:type="dxa"/>
            <w:vAlign w:val="center"/>
          </w:tcPr>
          <w:p w14:paraId="4A0D6A1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r>
      <w:tr w14:paraId="5B71A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644" w:type="dxa"/>
            <w:vMerge w:val="continue"/>
            <w:vAlign w:val="center"/>
          </w:tcPr>
          <w:p w14:paraId="0B51457A">
            <w:pPr>
              <w:jc w:val="center"/>
              <w:rPr>
                <w:rFonts w:hint="eastAsia" w:ascii="宋体" w:hAnsi="宋体" w:eastAsia="宋体" w:cs="宋体"/>
                <w:color w:val="auto"/>
                <w:sz w:val="22"/>
                <w:szCs w:val="22"/>
                <w:highlight w:val="none"/>
              </w:rPr>
            </w:pPr>
          </w:p>
        </w:tc>
        <w:tc>
          <w:tcPr>
            <w:tcW w:w="1661" w:type="dxa"/>
            <w:vMerge w:val="continue"/>
            <w:vAlign w:val="center"/>
          </w:tcPr>
          <w:p w14:paraId="77062865">
            <w:pPr>
              <w:jc w:val="center"/>
              <w:rPr>
                <w:rFonts w:hint="eastAsia" w:ascii="宋体" w:hAnsi="宋体" w:eastAsia="宋体" w:cs="宋体"/>
                <w:color w:val="auto"/>
                <w:sz w:val="22"/>
                <w:szCs w:val="22"/>
                <w:highlight w:val="none"/>
              </w:rPr>
            </w:pPr>
          </w:p>
        </w:tc>
        <w:tc>
          <w:tcPr>
            <w:tcW w:w="6278" w:type="dxa"/>
            <w:vAlign w:val="center"/>
          </w:tcPr>
          <w:p w14:paraId="48790EDD">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3、供应商所承诺的投入该项目的洗扫车在满足竞争性磋商文件的要求下每增加1辆得3分，最多得3分。</w:t>
            </w:r>
          </w:p>
        </w:tc>
        <w:tc>
          <w:tcPr>
            <w:tcW w:w="985" w:type="dxa"/>
            <w:vAlign w:val="center"/>
          </w:tcPr>
          <w:p w14:paraId="4FF431D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54ED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644" w:type="dxa"/>
            <w:vMerge w:val="continue"/>
            <w:vAlign w:val="center"/>
          </w:tcPr>
          <w:p w14:paraId="123C37C1">
            <w:pPr>
              <w:jc w:val="center"/>
              <w:rPr>
                <w:rFonts w:ascii="宋体" w:hAnsi="宋体" w:eastAsia="宋体" w:cs="宋体"/>
                <w:color w:val="auto"/>
                <w:sz w:val="22"/>
                <w:szCs w:val="22"/>
                <w:highlight w:val="none"/>
              </w:rPr>
            </w:pPr>
          </w:p>
        </w:tc>
        <w:tc>
          <w:tcPr>
            <w:tcW w:w="1661" w:type="dxa"/>
            <w:vMerge w:val="continue"/>
            <w:vAlign w:val="center"/>
          </w:tcPr>
          <w:p w14:paraId="065DE303">
            <w:pPr>
              <w:jc w:val="center"/>
              <w:rPr>
                <w:rFonts w:ascii="宋体" w:hAnsi="宋体" w:eastAsia="宋体" w:cs="宋体"/>
                <w:color w:val="auto"/>
                <w:sz w:val="22"/>
                <w:szCs w:val="22"/>
                <w:highlight w:val="none"/>
              </w:rPr>
            </w:pPr>
          </w:p>
        </w:tc>
        <w:tc>
          <w:tcPr>
            <w:tcW w:w="6278" w:type="dxa"/>
            <w:vAlign w:val="center"/>
          </w:tcPr>
          <w:p w14:paraId="0356ADA5">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、供应商所承诺的投入该项目的</w:t>
            </w:r>
            <w:r>
              <w:rPr>
                <w:rFonts w:hint="eastAsia" w:ascii="宋体" w:hAnsi="宋体" w:eastAsia="宋体" w:cs="宋体"/>
                <w:b w:val="0"/>
                <w:bCs/>
                <w:color w:val="auto"/>
                <w:sz w:val="22"/>
                <w:szCs w:val="22"/>
                <w:highlight w:val="none"/>
              </w:rPr>
              <w:t>锂电4桶分类三轮车</w:t>
            </w:r>
            <w:r>
              <w:rPr>
                <w:rFonts w:hint="eastAsia" w:ascii="宋体" w:hAnsi="宋体" w:eastAsia="宋体" w:cs="宋体"/>
                <w:color w:val="auto"/>
                <w:sz w:val="22"/>
                <w:szCs w:val="22"/>
                <w:highlight w:val="none"/>
              </w:rPr>
              <w:t>在满足竞争性磋商文件的要求下每增加</w:t>
            </w:r>
            <w:r>
              <w:rPr>
                <w:rFonts w:hint="eastAsia" w:ascii="宋体" w:hAnsi="宋体" w:eastAsia="宋体" w:cs="宋体"/>
                <w:color w:val="auto"/>
                <w:sz w:val="22"/>
                <w:szCs w:val="22"/>
                <w:highlight w:val="none"/>
                <w:lang w:eastAsia="zh-CN"/>
              </w:rPr>
              <w:t>1辆</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分，最多得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c>
          <w:tcPr>
            <w:tcW w:w="985" w:type="dxa"/>
            <w:vAlign w:val="center"/>
          </w:tcPr>
          <w:p w14:paraId="1A98B3AF">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r>
      <w:tr w14:paraId="0AE75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0" w:hRule="atLeast"/>
          <w:jc w:val="center"/>
        </w:trPr>
        <w:tc>
          <w:tcPr>
            <w:tcW w:w="644" w:type="dxa"/>
            <w:vMerge w:val="continue"/>
            <w:vAlign w:val="center"/>
          </w:tcPr>
          <w:p w14:paraId="073F499B">
            <w:pPr>
              <w:jc w:val="center"/>
              <w:rPr>
                <w:rFonts w:ascii="宋体" w:hAnsi="宋体" w:eastAsia="宋体" w:cs="宋体"/>
                <w:color w:val="auto"/>
                <w:sz w:val="22"/>
                <w:szCs w:val="22"/>
                <w:highlight w:val="none"/>
              </w:rPr>
            </w:pPr>
          </w:p>
        </w:tc>
        <w:tc>
          <w:tcPr>
            <w:tcW w:w="1661" w:type="dxa"/>
            <w:vMerge w:val="continue"/>
            <w:vAlign w:val="center"/>
          </w:tcPr>
          <w:p w14:paraId="0F3A17E6">
            <w:pPr>
              <w:jc w:val="center"/>
              <w:rPr>
                <w:rFonts w:ascii="宋体" w:hAnsi="宋体" w:eastAsia="宋体" w:cs="宋体"/>
                <w:color w:val="auto"/>
                <w:sz w:val="22"/>
                <w:szCs w:val="22"/>
                <w:highlight w:val="none"/>
              </w:rPr>
            </w:pPr>
          </w:p>
        </w:tc>
        <w:tc>
          <w:tcPr>
            <w:tcW w:w="7263" w:type="dxa"/>
            <w:gridSpan w:val="2"/>
            <w:vAlign w:val="center"/>
          </w:tcPr>
          <w:p w14:paraId="3ADD620E">
            <w:pPr>
              <w:jc w:val="left"/>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注：以上</w:t>
            </w:r>
            <w:r>
              <w:rPr>
                <w:rFonts w:hint="eastAsia" w:ascii="宋体" w:hAnsi="宋体" w:eastAsia="宋体" w:cs="宋体"/>
                <w:b/>
                <w:color w:val="auto"/>
                <w:sz w:val="22"/>
                <w:szCs w:val="22"/>
                <w:highlight w:val="none"/>
                <w:lang w:eastAsia="zh-CN"/>
              </w:rPr>
              <w:t>车辆</w:t>
            </w:r>
            <w:r>
              <w:rPr>
                <w:rFonts w:hint="eastAsia" w:ascii="宋体" w:hAnsi="宋体" w:eastAsia="宋体" w:cs="宋体"/>
                <w:b/>
                <w:color w:val="auto"/>
                <w:sz w:val="22"/>
                <w:szCs w:val="22"/>
                <w:highlight w:val="none"/>
              </w:rPr>
              <w:t>需提供相关证明材料</w:t>
            </w:r>
            <w:r>
              <w:rPr>
                <w:rFonts w:hint="eastAsia" w:ascii="宋体" w:hAnsi="宋体" w:eastAsia="宋体" w:cs="宋体"/>
                <w:b/>
                <w:color w:val="auto"/>
                <w:sz w:val="22"/>
                <w:szCs w:val="22"/>
                <w:highlight w:val="none"/>
                <w:lang w:eastAsia="zh-CN"/>
              </w:rPr>
              <w:t>（已有设备需提供相关购置发票证明</w:t>
            </w:r>
            <w:r>
              <w:rPr>
                <w:rFonts w:hint="eastAsia" w:ascii="宋体" w:hAnsi="宋体" w:cs="宋体"/>
                <w:b/>
                <w:bCs/>
                <w:color w:val="auto"/>
                <w:sz w:val="22"/>
                <w:szCs w:val="22"/>
                <w:highlight w:val="none"/>
              </w:rPr>
              <w:t>扫描件车辆照片、机动车辆须提供有效期内的行驶证。租赁设备需同时提供租赁合同扫描件，承诺购买或承诺租赁的设备需提供承诺书，所有设备需在投标文件中明确，中标后30天内所有车辆全部进场。</w:t>
            </w:r>
            <w:r>
              <w:rPr>
                <w:rFonts w:hint="eastAsia" w:ascii="宋体" w:hAnsi="宋体" w:eastAsia="宋体" w:cs="宋体"/>
                <w:b/>
                <w:color w:val="auto"/>
                <w:sz w:val="22"/>
                <w:szCs w:val="22"/>
                <w:highlight w:val="none"/>
                <w:lang w:eastAsia="zh-CN"/>
              </w:rPr>
              <w:t>）扫描件</w:t>
            </w:r>
            <w:r>
              <w:rPr>
                <w:rFonts w:hint="eastAsia" w:ascii="宋体" w:hAnsi="宋体" w:eastAsia="宋体" w:cs="宋体"/>
                <w:b/>
                <w:color w:val="auto"/>
                <w:sz w:val="22"/>
                <w:szCs w:val="22"/>
                <w:highlight w:val="none"/>
              </w:rPr>
              <w:t>加盖公章，否则不得分。</w:t>
            </w:r>
          </w:p>
        </w:tc>
      </w:tr>
      <w:tr w14:paraId="6109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jc w:val="center"/>
        </w:trPr>
        <w:tc>
          <w:tcPr>
            <w:tcW w:w="644" w:type="dxa"/>
            <w:vMerge w:val="restart"/>
            <w:vAlign w:val="center"/>
          </w:tcPr>
          <w:p w14:paraId="257FF487">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661" w:type="dxa"/>
            <w:vMerge w:val="restart"/>
            <w:vAlign w:val="center"/>
          </w:tcPr>
          <w:p w14:paraId="2AD47C3D">
            <w:pPr>
              <w:widowControl/>
              <w:spacing w:line="400" w:lineRule="exact"/>
              <w:jc w:val="left"/>
              <w:rPr>
                <w:rFonts w:hint="eastAsia" w:ascii="宋体" w:hAnsi="宋体" w:eastAsia="宋体" w:cs="仿宋"/>
                <w:color w:val="auto"/>
                <w:sz w:val="22"/>
                <w:szCs w:val="22"/>
                <w:highlight w:val="none"/>
              </w:rPr>
            </w:pPr>
            <w:r>
              <w:rPr>
                <w:rFonts w:hint="eastAsia" w:ascii="宋体" w:hAnsi="宋体" w:eastAsia="宋体" w:cs="仿宋"/>
                <w:color w:val="auto"/>
                <w:sz w:val="22"/>
                <w:szCs w:val="22"/>
                <w:highlight w:val="none"/>
              </w:rPr>
              <w:t>项目管理团队</w:t>
            </w:r>
          </w:p>
          <w:p w14:paraId="1B77E8E5">
            <w:pPr>
              <w:jc w:val="center"/>
              <w:rPr>
                <w:rFonts w:hint="eastAsia" w:ascii="宋体" w:hAnsi="宋体" w:eastAsia="宋体" w:cs="宋体"/>
                <w:color w:val="auto"/>
                <w:sz w:val="22"/>
                <w:szCs w:val="22"/>
                <w:highlight w:val="none"/>
                <w:lang w:eastAsia="zh-CN"/>
              </w:rPr>
            </w:pPr>
          </w:p>
        </w:tc>
        <w:tc>
          <w:tcPr>
            <w:tcW w:w="6278" w:type="dxa"/>
            <w:vAlign w:val="center"/>
          </w:tcPr>
          <w:p w14:paraId="4E08F4EC">
            <w:pPr>
              <w:numPr>
                <w:ilvl w:val="0"/>
                <w:numId w:val="0"/>
              </w:num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拟派项目负责人具有高级环卫项目经理证书得3分，具有中级环卫项目经理证书得2分，最高得3分。</w:t>
            </w:r>
          </w:p>
          <w:p w14:paraId="2A083912">
            <w:pPr>
              <w:numPr>
                <w:ilvl w:val="0"/>
                <w:numId w:val="0"/>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注：提供有效期内的证书扫描件加盖公章。以上证明材料未提供或提供不全的不得分</w:t>
            </w:r>
            <w:r>
              <w:rPr>
                <w:rFonts w:hint="eastAsia" w:ascii="宋体" w:hAnsi="宋体" w:eastAsia="宋体" w:cs="宋体"/>
                <w:color w:val="auto"/>
                <w:sz w:val="22"/>
                <w:szCs w:val="22"/>
                <w:highlight w:val="none"/>
                <w:lang w:eastAsia="zh-CN"/>
              </w:rPr>
              <w:t>。</w:t>
            </w:r>
          </w:p>
        </w:tc>
        <w:tc>
          <w:tcPr>
            <w:tcW w:w="985" w:type="dxa"/>
            <w:vAlign w:val="center"/>
          </w:tcPr>
          <w:p w14:paraId="001E77BA">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tc>
      </w:tr>
      <w:tr w14:paraId="52E05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644" w:type="dxa"/>
            <w:vMerge w:val="continue"/>
            <w:vAlign w:val="center"/>
          </w:tcPr>
          <w:p w14:paraId="30D71A89">
            <w:pPr>
              <w:jc w:val="left"/>
              <w:rPr>
                <w:color w:val="auto"/>
                <w:highlight w:val="none"/>
              </w:rPr>
            </w:pPr>
          </w:p>
        </w:tc>
        <w:tc>
          <w:tcPr>
            <w:tcW w:w="1661" w:type="dxa"/>
            <w:vMerge w:val="continue"/>
            <w:vAlign w:val="center"/>
          </w:tcPr>
          <w:p w14:paraId="03032758">
            <w:pPr>
              <w:jc w:val="left"/>
              <w:rPr>
                <w:color w:val="auto"/>
                <w:highlight w:val="none"/>
              </w:rPr>
            </w:pPr>
          </w:p>
        </w:tc>
        <w:tc>
          <w:tcPr>
            <w:tcW w:w="6278" w:type="dxa"/>
            <w:vAlign w:val="center"/>
          </w:tcPr>
          <w:p w14:paraId="40CEAA49">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项目管理人员中提供相关行业颁发的垃圾分类督导员、智慧环卫工程师提供一项得1分，最高得2分；</w:t>
            </w:r>
          </w:p>
          <w:p w14:paraId="43D08588">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具有政府机构颁发的安全生产知识培训合格证，每提供1人得1.5分；最高得3分。</w:t>
            </w:r>
          </w:p>
          <w:p w14:paraId="15AC9FB8">
            <w:pPr>
              <w:jc w:val="lef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en-US" w:eastAsia="zh-CN"/>
              </w:rPr>
              <w:t>注：提供有效期内的证书原件扫描件加盖公章，以上证明材料未提供或提供不全的不得分。</w:t>
            </w:r>
          </w:p>
        </w:tc>
        <w:tc>
          <w:tcPr>
            <w:tcW w:w="985" w:type="dxa"/>
            <w:vAlign w:val="center"/>
          </w:tcPr>
          <w:p w14:paraId="3C061A8E">
            <w:pPr>
              <w:jc w:val="center"/>
              <w:rPr>
                <w:rFonts w:hint="default" w:ascii="宋体" w:hAnsi="宋体" w:eastAsia="宋体" w:cs="宋体"/>
                <w:b/>
                <w:bCs/>
                <w:color w:val="auto"/>
                <w:sz w:val="22"/>
                <w:szCs w:val="22"/>
                <w:highlight w:val="none"/>
                <w:lang w:val="en-US" w:eastAsia="zh-CN"/>
              </w:rPr>
            </w:pPr>
            <w:r>
              <w:rPr>
                <w:rFonts w:hint="eastAsia" w:ascii="宋体" w:hAnsi="宋体" w:cs="宋体"/>
                <w:color w:val="auto"/>
                <w:sz w:val="22"/>
                <w:szCs w:val="22"/>
                <w:highlight w:val="none"/>
                <w:lang w:val="en-US" w:eastAsia="zh-CN"/>
              </w:rPr>
              <w:t>5分</w:t>
            </w:r>
          </w:p>
        </w:tc>
      </w:tr>
      <w:tr w14:paraId="02B7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4" w:type="dxa"/>
            <w:vAlign w:val="center"/>
          </w:tcPr>
          <w:p w14:paraId="609844DB">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661" w:type="dxa"/>
            <w:vAlign w:val="center"/>
          </w:tcPr>
          <w:p w14:paraId="2280DC25">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现状</w:t>
            </w:r>
            <w:r>
              <w:rPr>
                <w:rFonts w:hint="eastAsia" w:ascii="宋体" w:hAnsi="宋体" w:eastAsia="宋体" w:cs="宋体"/>
                <w:color w:val="auto"/>
                <w:sz w:val="22"/>
                <w:szCs w:val="22"/>
                <w:highlight w:val="none"/>
                <w:lang w:val="en-US" w:eastAsia="zh-CN"/>
              </w:rPr>
              <w:t>分析</w:t>
            </w:r>
            <w:r>
              <w:rPr>
                <w:rFonts w:hint="eastAsia" w:ascii="宋体" w:hAnsi="宋体" w:eastAsia="宋体" w:cs="宋体"/>
                <w:color w:val="auto"/>
                <w:sz w:val="22"/>
                <w:szCs w:val="22"/>
                <w:highlight w:val="none"/>
              </w:rPr>
              <w:t>及应对措施</w:t>
            </w:r>
          </w:p>
        </w:tc>
        <w:tc>
          <w:tcPr>
            <w:tcW w:w="6278" w:type="dxa"/>
            <w:vAlign w:val="center"/>
          </w:tcPr>
          <w:p w14:paraId="7AA156EE">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根据供应商</w:t>
            </w:r>
            <w:r>
              <w:rPr>
                <w:rFonts w:hint="eastAsia" w:ascii="宋体" w:hAnsi="宋体" w:eastAsia="宋体" w:cs="宋体"/>
                <w:color w:val="auto"/>
                <w:sz w:val="22"/>
                <w:szCs w:val="22"/>
                <w:highlight w:val="none"/>
              </w:rPr>
              <w:t>对本项目工作内容</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了解程度</w:t>
            </w:r>
            <w:r>
              <w:rPr>
                <w:rFonts w:hint="eastAsia" w:ascii="宋体" w:hAnsi="宋体" w:eastAsia="宋体" w:cs="宋体"/>
                <w:color w:val="auto"/>
                <w:sz w:val="22"/>
                <w:szCs w:val="22"/>
                <w:highlight w:val="none"/>
              </w:rPr>
              <w:t>，提出项目当前存在的主要问题，并对存在的问题，提出确实可行的解决方案及应对措施，</w:t>
            </w:r>
            <w:r>
              <w:rPr>
                <w:rFonts w:hint="eastAsia" w:ascii="宋体" w:hAnsi="宋体" w:eastAsia="宋体" w:cs="宋体"/>
                <w:color w:val="auto"/>
                <w:sz w:val="22"/>
                <w:szCs w:val="22"/>
                <w:highlight w:val="none"/>
                <w:lang w:eastAsia="zh-CN"/>
              </w:rPr>
              <w:t>进行打分：</w:t>
            </w:r>
          </w:p>
          <w:p w14:paraId="6611E806">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现状调查</w:t>
            </w:r>
            <w:r>
              <w:rPr>
                <w:rFonts w:hint="eastAsia" w:ascii="宋体" w:hAnsi="宋体" w:eastAsia="宋体" w:cs="宋体"/>
                <w:color w:val="auto"/>
                <w:sz w:val="22"/>
                <w:szCs w:val="22"/>
                <w:highlight w:val="none"/>
                <w:lang w:eastAsia="zh-CN"/>
              </w:rPr>
              <w:t>符合实际情况，并提出具体可行的</w:t>
            </w:r>
            <w:r>
              <w:rPr>
                <w:rFonts w:hint="eastAsia" w:ascii="宋体" w:hAnsi="宋体" w:eastAsia="宋体" w:cs="宋体"/>
                <w:color w:val="auto"/>
                <w:sz w:val="22"/>
                <w:szCs w:val="22"/>
                <w:highlight w:val="none"/>
              </w:rPr>
              <w:t>解决方案及应对措施</w:t>
            </w:r>
            <w:r>
              <w:rPr>
                <w:rFonts w:hint="eastAsia" w:ascii="宋体" w:hAnsi="宋体" w:eastAsia="宋体" w:cs="宋体"/>
                <w:color w:val="auto"/>
                <w:sz w:val="22"/>
                <w:szCs w:val="22"/>
                <w:highlight w:val="none"/>
                <w:lang w:eastAsia="zh-CN"/>
              </w:rPr>
              <w:t>的得</w:t>
            </w:r>
            <w:r>
              <w:rPr>
                <w:rFonts w:hint="eastAsia" w:ascii="宋体" w:hAnsi="宋体" w:eastAsia="宋体" w:cs="宋体"/>
                <w:color w:val="auto"/>
                <w:sz w:val="22"/>
                <w:szCs w:val="22"/>
                <w:highlight w:val="none"/>
                <w:lang w:val="en-US" w:eastAsia="zh-CN"/>
              </w:rPr>
              <w:t>4</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p w14:paraId="1DB96ECD">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现状调查</w:t>
            </w:r>
            <w:r>
              <w:rPr>
                <w:rFonts w:hint="eastAsia" w:ascii="宋体" w:hAnsi="宋体" w:eastAsia="宋体" w:cs="宋体"/>
                <w:color w:val="auto"/>
                <w:sz w:val="22"/>
                <w:szCs w:val="22"/>
                <w:highlight w:val="none"/>
                <w:lang w:eastAsia="zh-CN"/>
              </w:rPr>
              <w:t>较符合实际情况，提出</w:t>
            </w:r>
            <w:r>
              <w:rPr>
                <w:rFonts w:hint="eastAsia" w:ascii="宋体" w:hAnsi="宋体" w:eastAsia="宋体" w:cs="宋体"/>
                <w:color w:val="auto"/>
                <w:sz w:val="22"/>
                <w:szCs w:val="22"/>
                <w:highlight w:val="none"/>
              </w:rPr>
              <w:t>解决方案及应对措施</w:t>
            </w:r>
            <w:r>
              <w:rPr>
                <w:rFonts w:hint="eastAsia" w:ascii="宋体" w:hAnsi="宋体" w:eastAsia="宋体" w:cs="宋体"/>
                <w:color w:val="auto"/>
                <w:sz w:val="22"/>
                <w:szCs w:val="22"/>
                <w:highlight w:val="none"/>
                <w:lang w:eastAsia="zh-CN"/>
              </w:rPr>
              <w:t>较为具体可行的得</w:t>
            </w:r>
            <w:r>
              <w:rPr>
                <w:rFonts w:hint="eastAsia" w:ascii="宋体" w:hAnsi="宋体" w:eastAsia="宋体" w:cs="宋体"/>
                <w:color w:val="auto"/>
                <w:sz w:val="22"/>
                <w:szCs w:val="22"/>
                <w:highlight w:val="none"/>
                <w:lang w:val="en-US" w:eastAsia="zh-CN"/>
              </w:rPr>
              <w:t>3</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p>
          <w:p w14:paraId="7D196060">
            <w:pPr>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现状调查</w:t>
            </w:r>
            <w:r>
              <w:rPr>
                <w:rFonts w:hint="eastAsia" w:ascii="宋体" w:hAnsi="宋体" w:eastAsia="宋体" w:cs="宋体"/>
                <w:color w:val="auto"/>
                <w:sz w:val="22"/>
                <w:szCs w:val="22"/>
                <w:highlight w:val="none"/>
                <w:lang w:eastAsia="zh-CN"/>
              </w:rPr>
              <w:t>较符合实际情况，提出</w:t>
            </w:r>
            <w:r>
              <w:rPr>
                <w:rFonts w:hint="eastAsia" w:ascii="宋体" w:hAnsi="宋体" w:eastAsia="宋体" w:cs="宋体"/>
                <w:color w:val="auto"/>
                <w:sz w:val="22"/>
                <w:szCs w:val="22"/>
                <w:highlight w:val="none"/>
              </w:rPr>
              <w:t>解决方案及应对措施</w:t>
            </w:r>
            <w:r>
              <w:rPr>
                <w:rFonts w:hint="eastAsia" w:ascii="宋体" w:hAnsi="宋体" w:eastAsia="宋体" w:cs="宋体"/>
                <w:color w:val="auto"/>
                <w:sz w:val="22"/>
                <w:szCs w:val="22"/>
                <w:highlight w:val="none"/>
                <w:lang w:eastAsia="zh-CN"/>
              </w:rPr>
              <w:t>较为实施性较弱的得</w:t>
            </w: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分。</w:t>
            </w:r>
          </w:p>
        </w:tc>
        <w:tc>
          <w:tcPr>
            <w:tcW w:w="985" w:type="dxa"/>
            <w:vAlign w:val="center"/>
          </w:tcPr>
          <w:p w14:paraId="2A0FCE53">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tc>
      </w:tr>
      <w:tr w14:paraId="6023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9" w:hRule="atLeast"/>
          <w:jc w:val="center"/>
        </w:trPr>
        <w:tc>
          <w:tcPr>
            <w:tcW w:w="644" w:type="dxa"/>
            <w:vMerge w:val="restart"/>
            <w:vAlign w:val="center"/>
          </w:tcPr>
          <w:p w14:paraId="4B6FBF29">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1661" w:type="dxa"/>
            <w:vMerge w:val="restart"/>
            <w:vAlign w:val="center"/>
          </w:tcPr>
          <w:p w14:paraId="15A7A78E">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垃圾分类方案</w:t>
            </w:r>
          </w:p>
        </w:tc>
        <w:tc>
          <w:tcPr>
            <w:tcW w:w="6278" w:type="dxa"/>
            <w:vAlign w:val="center"/>
          </w:tcPr>
          <w:p w14:paraId="06443973">
            <w:pPr>
              <w:numPr>
                <w:ilvl w:val="0"/>
                <w:numId w:val="10"/>
              </w:num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针对本项目的实际情况和特点，依据供应商提供的垃圾分类方案（包括垃圾分类宣传活动及宣传方式），具体实施方案评分：方案合理、贴合项目需求的得4-3分；</w:t>
            </w:r>
          </w:p>
          <w:p w14:paraId="423C56CF">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eastAsia="en-US"/>
              </w:rPr>
              <w:t>基本合理、符合项目需求的</w:t>
            </w:r>
            <w:r>
              <w:rPr>
                <w:rFonts w:hint="eastAsia" w:ascii="宋体" w:hAnsi="宋体" w:eastAsia="宋体" w:cs="宋体"/>
                <w:snapToGrid w:val="0"/>
                <w:color w:val="auto"/>
                <w:kern w:val="0"/>
                <w:sz w:val="22"/>
                <w:szCs w:val="22"/>
                <w:highlight w:val="none"/>
                <w:lang w:val="en-US" w:eastAsia="zh-CN"/>
              </w:rPr>
              <w:t>得</w:t>
            </w:r>
            <w:r>
              <w:rPr>
                <w:rFonts w:hint="eastAsia" w:ascii="宋体" w:hAnsi="宋体" w:eastAsia="宋体" w:cs="宋体"/>
                <w:color w:val="auto"/>
                <w:sz w:val="22"/>
                <w:szCs w:val="22"/>
                <w:highlight w:val="none"/>
                <w:lang w:val="en-US" w:eastAsia="zh-CN"/>
              </w:rPr>
              <w:t>3-2分；</w:t>
            </w:r>
          </w:p>
          <w:p w14:paraId="28D14EB6">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方案存可实施性弱的得</w:t>
            </w:r>
            <w:r>
              <w:rPr>
                <w:rFonts w:hint="eastAsia" w:ascii="宋体" w:hAnsi="宋体" w:eastAsia="宋体" w:cs="宋体"/>
                <w:color w:val="auto"/>
                <w:sz w:val="22"/>
                <w:szCs w:val="22"/>
                <w:highlight w:val="none"/>
                <w:lang w:val="en-US" w:eastAsia="zh-CN"/>
              </w:rPr>
              <w:t>2-0分</w:t>
            </w:r>
            <w:r>
              <w:rPr>
                <w:rFonts w:hint="eastAsia" w:ascii="宋体" w:hAnsi="宋体" w:eastAsia="宋体" w:cs="宋体"/>
                <w:color w:val="auto"/>
                <w:sz w:val="22"/>
                <w:szCs w:val="22"/>
                <w:highlight w:val="none"/>
              </w:rPr>
              <w:t>。</w:t>
            </w:r>
          </w:p>
          <w:p w14:paraId="315547A5">
            <w:pPr>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val="en-US" w:eastAsia="zh-CN"/>
              </w:rPr>
              <w:t>注：需提供垃圾分类宣传方式及证明材料，如网络采访、报道，公众号，短视频等</w:t>
            </w:r>
          </w:p>
        </w:tc>
        <w:tc>
          <w:tcPr>
            <w:tcW w:w="985" w:type="dxa"/>
            <w:vAlign w:val="center"/>
          </w:tcPr>
          <w:p w14:paraId="739BE0D3">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r>
      <w:tr w14:paraId="33498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9" w:hRule="atLeast"/>
          <w:jc w:val="center"/>
        </w:trPr>
        <w:tc>
          <w:tcPr>
            <w:tcW w:w="644" w:type="dxa"/>
            <w:vMerge w:val="continue"/>
            <w:vAlign w:val="center"/>
          </w:tcPr>
          <w:p w14:paraId="023282B4">
            <w:pPr>
              <w:rPr>
                <w:color w:val="auto"/>
                <w:highlight w:val="none"/>
              </w:rPr>
            </w:pPr>
          </w:p>
        </w:tc>
        <w:tc>
          <w:tcPr>
            <w:tcW w:w="1661" w:type="dxa"/>
            <w:vMerge w:val="continue"/>
            <w:vAlign w:val="center"/>
          </w:tcPr>
          <w:p w14:paraId="1F7A2283">
            <w:pPr>
              <w:rPr>
                <w:color w:val="auto"/>
                <w:highlight w:val="none"/>
              </w:rPr>
            </w:pPr>
          </w:p>
        </w:tc>
        <w:tc>
          <w:tcPr>
            <w:tcW w:w="6278" w:type="dxa"/>
            <w:vAlign w:val="center"/>
          </w:tcPr>
          <w:p w14:paraId="51AB0416">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2.供应商投入垃圾分类回收软件平台的得2分（软件平台使用费包含在本项目中，供应商今后不得以任何理由收取该部分费用），本项最高2分；</w:t>
            </w:r>
          </w:p>
          <w:p w14:paraId="5647B570">
            <w:pPr>
              <w:numPr>
                <w:ilvl w:val="0"/>
                <w:numId w:val="0"/>
              </w:numP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注：需提供承诺函相关证明材料（证明材料包括：①</w:t>
            </w:r>
            <w:r>
              <w:rPr>
                <w:rFonts w:hint="eastAsia" w:ascii="宋体" w:hAnsi="宋体" w:eastAsia="宋体" w:cs="宋体"/>
                <w:b/>
                <w:bCs/>
                <w:color w:val="auto"/>
                <w:sz w:val="22"/>
                <w:szCs w:val="22"/>
                <w:highlight w:val="none"/>
                <w:lang w:val="zh-CN" w:eastAsia="zh-CN"/>
              </w:rPr>
              <w:t>用户</w:t>
            </w:r>
            <w:r>
              <w:rPr>
                <w:rFonts w:hint="eastAsia" w:ascii="宋体" w:hAnsi="宋体" w:eastAsia="宋体" w:cs="宋体"/>
                <w:b/>
                <w:bCs/>
                <w:color w:val="auto"/>
                <w:sz w:val="22"/>
                <w:szCs w:val="22"/>
                <w:highlight w:val="none"/>
                <w:lang w:val="en-US" w:eastAsia="zh-CN"/>
              </w:rPr>
              <w:t>手机预约下单界面</w:t>
            </w:r>
            <w:r>
              <w:rPr>
                <w:rFonts w:hint="eastAsia" w:ascii="宋体" w:hAnsi="宋体" w:eastAsia="宋体" w:cs="宋体"/>
                <w:b/>
                <w:bCs/>
                <w:color w:val="auto"/>
                <w:sz w:val="22"/>
                <w:szCs w:val="22"/>
                <w:highlight w:val="none"/>
                <w:lang w:val="zh-CN" w:eastAsia="zh-CN"/>
              </w:rPr>
              <w:t>，</w:t>
            </w:r>
            <w:r>
              <w:rPr>
                <w:rFonts w:hint="eastAsia" w:ascii="宋体" w:hAnsi="宋体" w:eastAsia="宋体" w:cs="宋体"/>
                <w:b/>
                <w:bCs/>
                <w:color w:val="auto"/>
                <w:sz w:val="22"/>
                <w:szCs w:val="22"/>
                <w:highlight w:val="none"/>
                <w:lang w:val="en-US" w:eastAsia="zh-CN"/>
              </w:rPr>
              <w:t>②免费预约</w:t>
            </w:r>
            <w:r>
              <w:rPr>
                <w:rFonts w:hint="eastAsia" w:ascii="宋体" w:hAnsi="宋体" w:eastAsia="宋体" w:cs="宋体"/>
                <w:b/>
                <w:bCs/>
                <w:color w:val="auto"/>
                <w:sz w:val="22"/>
                <w:szCs w:val="22"/>
                <w:highlight w:val="none"/>
                <w:lang w:val="zh-CN" w:eastAsia="zh-CN"/>
              </w:rPr>
              <w:t>上门</w:t>
            </w:r>
            <w:r>
              <w:rPr>
                <w:rFonts w:hint="eastAsia" w:ascii="宋体" w:hAnsi="宋体" w:eastAsia="宋体" w:cs="宋体"/>
                <w:b/>
                <w:bCs/>
                <w:color w:val="auto"/>
                <w:sz w:val="22"/>
                <w:szCs w:val="22"/>
                <w:highlight w:val="none"/>
                <w:lang w:val="en-US" w:eastAsia="zh-CN"/>
              </w:rPr>
              <w:t>服务界面</w:t>
            </w:r>
            <w:r>
              <w:rPr>
                <w:rFonts w:hint="eastAsia" w:ascii="宋体" w:hAnsi="宋体" w:eastAsia="宋体" w:cs="宋体"/>
                <w:b/>
                <w:bCs/>
                <w:color w:val="auto"/>
                <w:sz w:val="22"/>
                <w:szCs w:val="22"/>
                <w:highlight w:val="none"/>
                <w:lang w:val="zh-CN" w:eastAsia="zh-CN"/>
              </w:rPr>
              <w:t>，</w:t>
            </w:r>
            <w:r>
              <w:rPr>
                <w:rFonts w:hint="eastAsia" w:ascii="宋体" w:hAnsi="宋体" w:eastAsia="宋体" w:cs="宋体"/>
                <w:b/>
                <w:bCs/>
                <w:color w:val="auto"/>
                <w:sz w:val="22"/>
                <w:szCs w:val="22"/>
                <w:highlight w:val="none"/>
                <w:lang w:val="en-US" w:eastAsia="zh-CN"/>
              </w:rPr>
              <w:t>③用户端可实时查看订单状态及相关数据界面，④平台垃圾</w:t>
            </w:r>
            <w:r>
              <w:rPr>
                <w:rFonts w:hint="eastAsia" w:ascii="宋体" w:hAnsi="宋体" w:eastAsia="宋体" w:cs="宋体"/>
                <w:b/>
                <w:bCs/>
                <w:color w:val="auto"/>
                <w:sz w:val="22"/>
                <w:szCs w:val="22"/>
                <w:highlight w:val="none"/>
                <w:lang w:val="zh-CN" w:eastAsia="zh-CN"/>
              </w:rPr>
              <w:t>分类方法</w:t>
            </w:r>
            <w:r>
              <w:rPr>
                <w:rFonts w:hint="eastAsia" w:ascii="宋体" w:hAnsi="宋体" w:eastAsia="宋体" w:cs="宋体"/>
                <w:b/>
                <w:bCs/>
                <w:color w:val="auto"/>
                <w:sz w:val="22"/>
                <w:szCs w:val="22"/>
                <w:highlight w:val="none"/>
                <w:lang w:val="en-US" w:eastAsia="zh-CN"/>
              </w:rPr>
              <w:t>及积分兑换方式）界面或提供承诺函加盖公章，否则不得分。</w:t>
            </w:r>
          </w:p>
        </w:tc>
        <w:tc>
          <w:tcPr>
            <w:tcW w:w="985" w:type="dxa"/>
            <w:vAlign w:val="center"/>
          </w:tcPr>
          <w:p w14:paraId="58BC3CF5">
            <w:pPr>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2分</w:t>
            </w:r>
          </w:p>
        </w:tc>
      </w:tr>
      <w:tr w14:paraId="75458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644" w:type="dxa"/>
            <w:vMerge w:val="restart"/>
            <w:vAlign w:val="center"/>
          </w:tcPr>
          <w:p w14:paraId="305533A9">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p>
        </w:tc>
        <w:tc>
          <w:tcPr>
            <w:tcW w:w="1661" w:type="dxa"/>
            <w:vMerge w:val="restart"/>
            <w:vAlign w:val="center"/>
          </w:tcPr>
          <w:p w14:paraId="50FF3F70">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日常保洁、清扫方案</w:t>
            </w:r>
          </w:p>
        </w:tc>
        <w:tc>
          <w:tcPr>
            <w:tcW w:w="6278" w:type="dxa"/>
            <w:vAlign w:val="center"/>
          </w:tcPr>
          <w:p w14:paraId="4CA28AFC">
            <w:pPr>
              <w:numPr>
                <w:ilvl w:val="0"/>
                <w:numId w:val="11"/>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公厕保洁及河道保洁实施方案：作业计划、排班情况、操作可行性</w:t>
            </w:r>
            <w:r>
              <w:rPr>
                <w:rFonts w:hint="eastAsia" w:ascii="宋体" w:hAnsi="宋体" w:eastAsia="宋体" w:cs="宋体"/>
                <w:color w:val="auto"/>
                <w:sz w:val="22"/>
                <w:szCs w:val="22"/>
                <w:highlight w:val="none"/>
                <w:lang w:eastAsia="zh-CN"/>
              </w:rPr>
              <w:t>进行打分：</w:t>
            </w:r>
          </w:p>
          <w:p w14:paraId="58BCCCCA">
            <w:pPr>
              <w:numPr>
                <w:ilvl w:val="0"/>
                <w:numId w:val="0"/>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方案合理、贴合项目需求的得</w:t>
            </w:r>
            <w:r>
              <w:rPr>
                <w:rFonts w:hint="eastAsia" w:ascii="宋体" w:hAnsi="宋体" w:eastAsia="宋体" w:cs="宋体"/>
                <w:color w:val="auto"/>
                <w:sz w:val="22"/>
                <w:szCs w:val="22"/>
                <w:highlight w:val="none"/>
                <w:lang w:val="en-US" w:eastAsia="zh-CN"/>
              </w:rPr>
              <w:t>5-3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0ACD94E0">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eastAsia="en-US"/>
              </w:rPr>
              <w:t>基本合理、符合项目需求的</w:t>
            </w:r>
            <w:r>
              <w:rPr>
                <w:rFonts w:hint="eastAsia" w:ascii="宋体" w:hAnsi="宋体" w:eastAsia="宋体" w:cs="宋体"/>
                <w:snapToGrid w:val="0"/>
                <w:color w:val="auto"/>
                <w:kern w:val="0"/>
                <w:sz w:val="22"/>
                <w:szCs w:val="22"/>
                <w:highlight w:val="none"/>
                <w:lang w:val="en-US" w:eastAsia="zh-CN"/>
              </w:rPr>
              <w:t>得</w:t>
            </w:r>
            <w:r>
              <w:rPr>
                <w:rFonts w:hint="eastAsia" w:ascii="宋体" w:hAnsi="宋体" w:eastAsia="宋体" w:cs="宋体"/>
                <w:color w:val="auto"/>
                <w:sz w:val="22"/>
                <w:szCs w:val="22"/>
                <w:highlight w:val="none"/>
                <w:lang w:val="en-US" w:eastAsia="zh-CN"/>
              </w:rPr>
              <w:t>3-2分；</w:t>
            </w:r>
          </w:p>
          <w:p w14:paraId="0ADE5FE6">
            <w:pPr>
              <w:numPr>
                <w:ilvl w:val="0"/>
                <w:numId w:val="0"/>
              </w:num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方案存可实施性弱的得</w:t>
            </w:r>
            <w:r>
              <w:rPr>
                <w:rFonts w:hint="eastAsia" w:ascii="宋体" w:hAnsi="宋体" w:eastAsia="宋体" w:cs="宋体"/>
                <w:color w:val="auto"/>
                <w:sz w:val="22"/>
                <w:szCs w:val="22"/>
                <w:highlight w:val="none"/>
                <w:lang w:val="en-US" w:eastAsia="zh-CN"/>
              </w:rPr>
              <w:t>2-0分</w:t>
            </w:r>
            <w:r>
              <w:rPr>
                <w:rFonts w:hint="eastAsia" w:ascii="宋体" w:hAnsi="宋体" w:eastAsia="宋体" w:cs="宋体"/>
                <w:color w:val="auto"/>
                <w:sz w:val="22"/>
                <w:szCs w:val="22"/>
                <w:highlight w:val="none"/>
              </w:rPr>
              <w:t>。</w:t>
            </w:r>
          </w:p>
        </w:tc>
        <w:tc>
          <w:tcPr>
            <w:tcW w:w="985" w:type="dxa"/>
            <w:vAlign w:val="center"/>
          </w:tcPr>
          <w:p w14:paraId="6B3D13BD">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5分</w:t>
            </w:r>
          </w:p>
        </w:tc>
      </w:tr>
      <w:tr w14:paraId="1E45E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jc w:val="center"/>
        </w:trPr>
        <w:tc>
          <w:tcPr>
            <w:tcW w:w="644" w:type="dxa"/>
            <w:vMerge w:val="continue"/>
            <w:vAlign w:val="center"/>
          </w:tcPr>
          <w:p w14:paraId="56921F87">
            <w:pPr>
              <w:jc w:val="center"/>
              <w:rPr>
                <w:rFonts w:ascii="宋体" w:hAnsi="宋体" w:eastAsia="宋体" w:cs="宋体"/>
                <w:color w:val="auto"/>
                <w:sz w:val="22"/>
                <w:szCs w:val="22"/>
                <w:highlight w:val="none"/>
              </w:rPr>
            </w:pPr>
          </w:p>
        </w:tc>
        <w:tc>
          <w:tcPr>
            <w:tcW w:w="1661" w:type="dxa"/>
            <w:vMerge w:val="continue"/>
            <w:vAlign w:val="center"/>
          </w:tcPr>
          <w:p w14:paraId="12306257">
            <w:pPr>
              <w:jc w:val="center"/>
              <w:rPr>
                <w:rFonts w:ascii="宋体" w:hAnsi="宋体" w:eastAsia="宋体" w:cs="宋体"/>
                <w:color w:val="auto"/>
                <w:sz w:val="22"/>
                <w:szCs w:val="22"/>
                <w:highlight w:val="none"/>
              </w:rPr>
            </w:pPr>
          </w:p>
        </w:tc>
        <w:tc>
          <w:tcPr>
            <w:tcW w:w="6278" w:type="dxa"/>
            <w:vAlign w:val="center"/>
          </w:tcPr>
          <w:p w14:paraId="787C5368">
            <w:pPr>
              <w:numPr>
                <w:ilvl w:val="0"/>
                <w:numId w:val="11"/>
              </w:numPr>
              <w:ind w:left="0" w:leftChars="0" w:firstLine="0" w:firstLine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道路保洁方案及垃圾桶清洁措施：作业计划、排班情况、操作可行性</w:t>
            </w:r>
            <w:r>
              <w:rPr>
                <w:rFonts w:hint="eastAsia" w:ascii="宋体" w:hAnsi="宋体" w:eastAsia="宋体" w:cs="宋体"/>
                <w:color w:val="auto"/>
                <w:sz w:val="22"/>
                <w:szCs w:val="22"/>
                <w:highlight w:val="none"/>
                <w:lang w:eastAsia="zh-CN"/>
              </w:rPr>
              <w:t>进行打分：</w:t>
            </w:r>
          </w:p>
          <w:p w14:paraId="5CEC94E9">
            <w:pPr>
              <w:numPr>
                <w:ilvl w:val="0"/>
                <w:numId w:val="0"/>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方案合理、贴合项目需求的得</w:t>
            </w:r>
            <w:r>
              <w:rPr>
                <w:rFonts w:hint="eastAsia" w:ascii="宋体" w:hAnsi="宋体" w:eastAsia="宋体" w:cs="宋体"/>
                <w:color w:val="auto"/>
                <w:sz w:val="22"/>
                <w:szCs w:val="22"/>
                <w:highlight w:val="none"/>
                <w:lang w:val="en-US" w:eastAsia="zh-CN"/>
              </w:rPr>
              <w:t>4-3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22BEB26C">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eastAsia="en-US"/>
              </w:rPr>
              <w:t>基本合理、符合项目需求的</w:t>
            </w:r>
            <w:r>
              <w:rPr>
                <w:rFonts w:hint="eastAsia" w:ascii="宋体" w:hAnsi="宋体" w:eastAsia="宋体" w:cs="宋体"/>
                <w:snapToGrid w:val="0"/>
                <w:color w:val="auto"/>
                <w:kern w:val="0"/>
                <w:sz w:val="22"/>
                <w:szCs w:val="22"/>
                <w:highlight w:val="none"/>
                <w:lang w:val="en-US" w:eastAsia="zh-CN"/>
              </w:rPr>
              <w:t>得</w:t>
            </w:r>
            <w:r>
              <w:rPr>
                <w:rFonts w:hint="eastAsia" w:ascii="宋体" w:hAnsi="宋体" w:eastAsia="宋体" w:cs="宋体"/>
                <w:color w:val="auto"/>
                <w:sz w:val="22"/>
                <w:szCs w:val="22"/>
                <w:highlight w:val="none"/>
                <w:lang w:val="en-US" w:eastAsia="zh-CN"/>
              </w:rPr>
              <w:t>3-2分；</w:t>
            </w:r>
          </w:p>
          <w:p w14:paraId="56B64AED">
            <w:pPr>
              <w:numPr>
                <w:ilvl w:val="0"/>
                <w:numId w:val="0"/>
              </w:numPr>
              <w:ind w:lef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方案存可实施性弱的得</w:t>
            </w:r>
            <w:r>
              <w:rPr>
                <w:rFonts w:hint="eastAsia" w:ascii="宋体" w:hAnsi="宋体" w:eastAsia="宋体" w:cs="宋体"/>
                <w:color w:val="auto"/>
                <w:sz w:val="22"/>
                <w:szCs w:val="22"/>
                <w:highlight w:val="none"/>
                <w:lang w:val="en-US" w:eastAsia="zh-CN"/>
              </w:rPr>
              <w:t>2-0分</w:t>
            </w:r>
            <w:r>
              <w:rPr>
                <w:rFonts w:hint="eastAsia" w:ascii="宋体" w:hAnsi="宋体" w:eastAsia="宋体" w:cs="宋体"/>
                <w:color w:val="auto"/>
                <w:sz w:val="22"/>
                <w:szCs w:val="22"/>
                <w:highlight w:val="none"/>
              </w:rPr>
              <w:t>。</w:t>
            </w:r>
          </w:p>
        </w:tc>
        <w:tc>
          <w:tcPr>
            <w:tcW w:w="985" w:type="dxa"/>
            <w:vAlign w:val="center"/>
          </w:tcPr>
          <w:p w14:paraId="15876508">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4分</w:t>
            </w:r>
          </w:p>
        </w:tc>
      </w:tr>
      <w:tr w14:paraId="1D67D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644" w:type="dxa"/>
            <w:vMerge w:val="continue"/>
            <w:vAlign w:val="center"/>
          </w:tcPr>
          <w:p w14:paraId="1BA503B2">
            <w:pPr>
              <w:jc w:val="center"/>
              <w:rPr>
                <w:rFonts w:ascii="宋体" w:hAnsi="宋体" w:eastAsia="宋体" w:cs="宋体"/>
                <w:color w:val="auto"/>
                <w:sz w:val="22"/>
                <w:szCs w:val="22"/>
                <w:highlight w:val="none"/>
              </w:rPr>
            </w:pPr>
          </w:p>
        </w:tc>
        <w:tc>
          <w:tcPr>
            <w:tcW w:w="1661" w:type="dxa"/>
            <w:vMerge w:val="continue"/>
            <w:vAlign w:val="center"/>
          </w:tcPr>
          <w:p w14:paraId="6A8A2FE2">
            <w:pPr>
              <w:jc w:val="center"/>
              <w:rPr>
                <w:rFonts w:ascii="宋体" w:hAnsi="宋体" w:eastAsia="宋体" w:cs="宋体"/>
                <w:color w:val="auto"/>
                <w:sz w:val="22"/>
                <w:szCs w:val="22"/>
                <w:highlight w:val="none"/>
              </w:rPr>
            </w:pPr>
          </w:p>
        </w:tc>
        <w:tc>
          <w:tcPr>
            <w:tcW w:w="6278" w:type="dxa"/>
            <w:vAlign w:val="center"/>
          </w:tcPr>
          <w:p w14:paraId="1683C091">
            <w:pPr>
              <w:numPr>
                <w:ilvl w:val="0"/>
                <w:numId w:val="11"/>
              </w:numPr>
              <w:ind w:left="0" w:leftChars="0" w:firstLine="0" w:firstLine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绿化带保洁与中转站保洁方案：作业计划、排班情况、操作可行性</w:t>
            </w:r>
            <w:r>
              <w:rPr>
                <w:rFonts w:hint="eastAsia" w:ascii="宋体" w:hAnsi="宋体" w:eastAsia="宋体" w:cs="宋体"/>
                <w:color w:val="auto"/>
                <w:sz w:val="22"/>
                <w:szCs w:val="22"/>
                <w:highlight w:val="none"/>
                <w:lang w:eastAsia="zh-CN"/>
              </w:rPr>
              <w:t>进行打分：</w:t>
            </w:r>
          </w:p>
          <w:p w14:paraId="3ABB794C">
            <w:pPr>
              <w:numPr>
                <w:ilvl w:val="0"/>
                <w:numId w:val="0"/>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方案合理、贴合项目需求的得</w:t>
            </w:r>
            <w:r>
              <w:rPr>
                <w:rFonts w:hint="eastAsia" w:ascii="宋体" w:hAnsi="宋体" w:eastAsia="宋体" w:cs="宋体"/>
                <w:color w:val="auto"/>
                <w:sz w:val="22"/>
                <w:szCs w:val="22"/>
                <w:highlight w:val="none"/>
                <w:lang w:val="en-US" w:eastAsia="zh-CN"/>
              </w:rPr>
              <w:t>4-3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34C91267">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eastAsia="en-US"/>
              </w:rPr>
              <w:t>基本合理、符合项目需求的</w:t>
            </w:r>
            <w:r>
              <w:rPr>
                <w:rFonts w:hint="eastAsia" w:ascii="宋体" w:hAnsi="宋体" w:eastAsia="宋体" w:cs="宋体"/>
                <w:snapToGrid w:val="0"/>
                <w:color w:val="auto"/>
                <w:kern w:val="0"/>
                <w:sz w:val="22"/>
                <w:szCs w:val="22"/>
                <w:highlight w:val="none"/>
                <w:lang w:val="en-US" w:eastAsia="zh-CN"/>
              </w:rPr>
              <w:t>得</w:t>
            </w:r>
            <w:r>
              <w:rPr>
                <w:rFonts w:hint="eastAsia" w:ascii="宋体" w:hAnsi="宋体" w:eastAsia="宋体" w:cs="宋体"/>
                <w:color w:val="auto"/>
                <w:sz w:val="22"/>
                <w:szCs w:val="22"/>
                <w:highlight w:val="none"/>
                <w:lang w:val="en-US" w:eastAsia="zh-CN"/>
              </w:rPr>
              <w:t>3-2分；</w:t>
            </w:r>
          </w:p>
          <w:p w14:paraId="6D4BF4BF">
            <w:pPr>
              <w:pStyle w:val="2"/>
              <w:numPr>
                <w:ilvl w:val="0"/>
                <w:numId w:val="0"/>
              </w:numPr>
              <w:ind w:leftChars="0"/>
              <w:rPr>
                <w:color w:val="auto"/>
                <w:highlight w:val="none"/>
              </w:rPr>
            </w:pPr>
            <w:r>
              <w:rPr>
                <w:rFonts w:hint="eastAsia" w:ascii="宋体" w:hAnsi="宋体" w:eastAsia="宋体" w:cs="宋体"/>
                <w:color w:val="auto"/>
                <w:sz w:val="22"/>
                <w:szCs w:val="22"/>
                <w:highlight w:val="none"/>
                <w:lang w:eastAsia="zh-CN"/>
              </w:rPr>
              <w:t>方案存可实施性弱的得</w:t>
            </w:r>
            <w:r>
              <w:rPr>
                <w:rFonts w:hint="eastAsia" w:ascii="宋体" w:hAnsi="宋体" w:eastAsia="宋体" w:cs="宋体"/>
                <w:color w:val="auto"/>
                <w:sz w:val="22"/>
                <w:szCs w:val="22"/>
                <w:highlight w:val="none"/>
                <w:lang w:val="en-US" w:eastAsia="zh-CN"/>
              </w:rPr>
              <w:t>2-0分</w:t>
            </w:r>
            <w:r>
              <w:rPr>
                <w:rFonts w:hint="eastAsia" w:ascii="宋体" w:hAnsi="宋体" w:eastAsia="宋体" w:cs="宋体"/>
                <w:color w:val="auto"/>
                <w:sz w:val="22"/>
                <w:szCs w:val="22"/>
                <w:highlight w:val="none"/>
              </w:rPr>
              <w:t>。</w:t>
            </w:r>
          </w:p>
        </w:tc>
        <w:tc>
          <w:tcPr>
            <w:tcW w:w="985" w:type="dxa"/>
            <w:vAlign w:val="center"/>
          </w:tcPr>
          <w:p w14:paraId="65733019">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4分</w:t>
            </w:r>
          </w:p>
        </w:tc>
      </w:tr>
      <w:tr w14:paraId="02602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644" w:type="dxa"/>
            <w:vMerge w:val="continue"/>
            <w:vAlign w:val="center"/>
          </w:tcPr>
          <w:p w14:paraId="4FDA1F32">
            <w:pPr>
              <w:jc w:val="center"/>
              <w:rPr>
                <w:rFonts w:ascii="宋体" w:hAnsi="宋体" w:eastAsia="宋体" w:cs="宋体"/>
                <w:color w:val="auto"/>
                <w:sz w:val="22"/>
                <w:szCs w:val="22"/>
                <w:highlight w:val="none"/>
              </w:rPr>
            </w:pPr>
          </w:p>
        </w:tc>
        <w:tc>
          <w:tcPr>
            <w:tcW w:w="1661" w:type="dxa"/>
            <w:vMerge w:val="continue"/>
            <w:vAlign w:val="center"/>
          </w:tcPr>
          <w:p w14:paraId="13C442B3">
            <w:pPr>
              <w:jc w:val="center"/>
              <w:rPr>
                <w:rFonts w:ascii="宋体" w:hAnsi="宋体" w:eastAsia="宋体" w:cs="宋体"/>
                <w:color w:val="auto"/>
                <w:sz w:val="22"/>
                <w:szCs w:val="22"/>
                <w:highlight w:val="none"/>
              </w:rPr>
            </w:pPr>
          </w:p>
        </w:tc>
        <w:tc>
          <w:tcPr>
            <w:tcW w:w="6278" w:type="dxa"/>
            <w:vAlign w:val="center"/>
          </w:tcPr>
          <w:p w14:paraId="07A20055">
            <w:pPr>
              <w:numPr>
                <w:ilvl w:val="0"/>
                <w:numId w:val="11"/>
              </w:numPr>
              <w:ind w:left="0" w:leftChars="0" w:firstLine="0" w:firstLine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阴沟及保洁方案及牛皮藓解决措施：作业计划、排班情况、操作可行性</w:t>
            </w:r>
            <w:r>
              <w:rPr>
                <w:rFonts w:hint="eastAsia" w:ascii="宋体" w:hAnsi="宋体" w:eastAsia="宋体" w:cs="宋体"/>
                <w:color w:val="auto"/>
                <w:sz w:val="22"/>
                <w:szCs w:val="22"/>
                <w:highlight w:val="none"/>
                <w:lang w:eastAsia="zh-CN"/>
              </w:rPr>
              <w:t>进行打分：</w:t>
            </w:r>
          </w:p>
          <w:p w14:paraId="662406EC">
            <w:pPr>
              <w:numPr>
                <w:ilvl w:val="0"/>
                <w:numId w:val="0"/>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方案合理、贴合项目需求的得</w:t>
            </w:r>
            <w:r>
              <w:rPr>
                <w:rFonts w:hint="eastAsia" w:ascii="宋体" w:hAnsi="宋体" w:eastAsia="宋体" w:cs="宋体"/>
                <w:color w:val="auto"/>
                <w:sz w:val="22"/>
                <w:szCs w:val="22"/>
                <w:highlight w:val="none"/>
                <w:lang w:val="en-US" w:eastAsia="zh-CN"/>
              </w:rPr>
              <w:t>4-3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1D49C4B1">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eastAsia="en-US"/>
              </w:rPr>
              <w:t>基本合理、符合项目需求的</w:t>
            </w:r>
            <w:r>
              <w:rPr>
                <w:rFonts w:hint="eastAsia" w:ascii="宋体" w:hAnsi="宋体" w:eastAsia="宋体" w:cs="宋体"/>
                <w:snapToGrid w:val="0"/>
                <w:color w:val="auto"/>
                <w:kern w:val="0"/>
                <w:sz w:val="22"/>
                <w:szCs w:val="22"/>
                <w:highlight w:val="none"/>
                <w:lang w:val="en-US" w:eastAsia="zh-CN"/>
              </w:rPr>
              <w:t>得</w:t>
            </w:r>
            <w:r>
              <w:rPr>
                <w:rFonts w:hint="eastAsia" w:ascii="宋体" w:hAnsi="宋体" w:eastAsia="宋体" w:cs="宋体"/>
                <w:color w:val="auto"/>
                <w:sz w:val="22"/>
                <w:szCs w:val="22"/>
                <w:highlight w:val="none"/>
                <w:lang w:val="en-US" w:eastAsia="zh-CN"/>
              </w:rPr>
              <w:t>3-2分；</w:t>
            </w:r>
          </w:p>
          <w:p w14:paraId="11C9E591">
            <w:pPr>
              <w:pStyle w:val="2"/>
              <w:numPr>
                <w:ilvl w:val="0"/>
                <w:numId w:val="0"/>
              </w:numPr>
              <w:ind w:leftChars="0"/>
              <w:rPr>
                <w:color w:val="auto"/>
                <w:highlight w:val="none"/>
              </w:rPr>
            </w:pPr>
            <w:r>
              <w:rPr>
                <w:rFonts w:hint="eastAsia" w:ascii="宋体" w:hAnsi="宋体" w:eastAsia="宋体" w:cs="宋体"/>
                <w:color w:val="auto"/>
                <w:sz w:val="22"/>
                <w:szCs w:val="22"/>
                <w:highlight w:val="none"/>
                <w:lang w:eastAsia="zh-CN"/>
              </w:rPr>
              <w:t>方案存可实施性弱的得</w:t>
            </w:r>
            <w:r>
              <w:rPr>
                <w:rFonts w:hint="eastAsia" w:ascii="宋体" w:hAnsi="宋体" w:eastAsia="宋体" w:cs="宋体"/>
                <w:color w:val="auto"/>
                <w:sz w:val="22"/>
                <w:szCs w:val="22"/>
                <w:highlight w:val="none"/>
                <w:lang w:val="en-US" w:eastAsia="zh-CN"/>
              </w:rPr>
              <w:t>2-0分</w:t>
            </w:r>
            <w:r>
              <w:rPr>
                <w:rFonts w:hint="eastAsia" w:ascii="宋体" w:hAnsi="宋体" w:eastAsia="宋体" w:cs="宋体"/>
                <w:color w:val="auto"/>
                <w:sz w:val="22"/>
                <w:szCs w:val="22"/>
                <w:highlight w:val="none"/>
              </w:rPr>
              <w:t>。</w:t>
            </w:r>
          </w:p>
        </w:tc>
        <w:tc>
          <w:tcPr>
            <w:tcW w:w="985" w:type="dxa"/>
            <w:vAlign w:val="center"/>
          </w:tcPr>
          <w:p w14:paraId="26C62BA2">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4分</w:t>
            </w:r>
          </w:p>
        </w:tc>
      </w:tr>
      <w:tr w14:paraId="6C26D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644" w:type="dxa"/>
            <w:vMerge w:val="continue"/>
            <w:vAlign w:val="center"/>
          </w:tcPr>
          <w:p w14:paraId="3614CA65">
            <w:pPr>
              <w:jc w:val="center"/>
              <w:rPr>
                <w:rFonts w:ascii="宋体" w:hAnsi="宋体" w:eastAsia="宋体" w:cs="宋体"/>
                <w:color w:val="auto"/>
                <w:sz w:val="22"/>
                <w:szCs w:val="22"/>
                <w:highlight w:val="none"/>
              </w:rPr>
            </w:pPr>
          </w:p>
        </w:tc>
        <w:tc>
          <w:tcPr>
            <w:tcW w:w="1661" w:type="dxa"/>
            <w:vMerge w:val="continue"/>
            <w:vAlign w:val="center"/>
          </w:tcPr>
          <w:p w14:paraId="639464DF">
            <w:pPr>
              <w:jc w:val="center"/>
              <w:rPr>
                <w:rFonts w:ascii="宋体" w:hAnsi="宋体" w:eastAsia="宋体" w:cs="宋体"/>
                <w:color w:val="auto"/>
                <w:sz w:val="22"/>
                <w:szCs w:val="22"/>
                <w:highlight w:val="none"/>
              </w:rPr>
            </w:pPr>
          </w:p>
        </w:tc>
        <w:tc>
          <w:tcPr>
            <w:tcW w:w="6278" w:type="dxa"/>
            <w:vAlign w:val="center"/>
          </w:tcPr>
          <w:p w14:paraId="0DA6ED43">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5.供应商提供垃圾收运方案（至少包含生活垃圾、大件垃圾、建筑垃圾清运）</w:t>
            </w:r>
            <w:r>
              <w:rPr>
                <w:rFonts w:hint="eastAsia" w:ascii="宋体" w:hAnsi="宋体" w:eastAsia="宋体" w:cs="宋体"/>
                <w:color w:val="auto"/>
                <w:sz w:val="22"/>
                <w:szCs w:val="22"/>
                <w:highlight w:val="none"/>
                <w:lang w:eastAsia="zh-CN"/>
              </w:rPr>
              <w:t>进行打分</w:t>
            </w:r>
            <w:r>
              <w:rPr>
                <w:rFonts w:hint="eastAsia" w:ascii="宋体" w:hAnsi="宋体" w:eastAsia="宋体" w:cs="宋体"/>
                <w:color w:val="auto"/>
                <w:sz w:val="22"/>
                <w:szCs w:val="22"/>
                <w:highlight w:val="none"/>
                <w:lang w:val="en-US" w:eastAsia="zh-CN"/>
              </w:rPr>
              <w:t>：</w:t>
            </w:r>
          </w:p>
          <w:p w14:paraId="24C0AC41">
            <w:pPr>
              <w:numPr>
                <w:ilvl w:val="0"/>
                <w:numId w:val="0"/>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方案合理、贴合项目需求的得</w:t>
            </w:r>
            <w:r>
              <w:rPr>
                <w:rFonts w:hint="eastAsia" w:ascii="宋体" w:hAnsi="宋体" w:eastAsia="宋体" w:cs="宋体"/>
                <w:color w:val="auto"/>
                <w:sz w:val="22"/>
                <w:szCs w:val="22"/>
                <w:highlight w:val="none"/>
                <w:lang w:val="en-US" w:eastAsia="zh-CN"/>
              </w:rPr>
              <w:t>5-3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0B243344">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eastAsia="en-US"/>
              </w:rPr>
              <w:t>基本合理、符合项目需求的</w:t>
            </w:r>
            <w:r>
              <w:rPr>
                <w:rFonts w:hint="eastAsia" w:ascii="宋体" w:hAnsi="宋体" w:eastAsia="宋体" w:cs="宋体"/>
                <w:snapToGrid w:val="0"/>
                <w:color w:val="auto"/>
                <w:kern w:val="0"/>
                <w:sz w:val="22"/>
                <w:szCs w:val="22"/>
                <w:highlight w:val="none"/>
                <w:lang w:val="en-US" w:eastAsia="zh-CN"/>
              </w:rPr>
              <w:t>得</w:t>
            </w:r>
            <w:r>
              <w:rPr>
                <w:rFonts w:hint="eastAsia" w:ascii="宋体" w:hAnsi="宋体" w:eastAsia="宋体" w:cs="宋体"/>
                <w:color w:val="auto"/>
                <w:sz w:val="22"/>
                <w:szCs w:val="22"/>
                <w:highlight w:val="none"/>
                <w:lang w:val="en-US" w:eastAsia="zh-CN"/>
              </w:rPr>
              <w:t>3-2分；</w:t>
            </w:r>
          </w:p>
          <w:p w14:paraId="74F94EE7">
            <w:pP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方案存可实施性弱的得</w:t>
            </w:r>
            <w:r>
              <w:rPr>
                <w:rFonts w:hint="eastAsia" w:ascii="宋体" w:hAnsi="宋体" w:eastAsia="宋体" w:cs="宋体"/>
                <w:color w:val="auto"/>
                <w:sz w:val="22"/>
                <w:szCs w:val="22"/>
                <w:highlight w:val="none"/>
                <w:lang w:val="en-US" w:eastAsia="zh-CN"/>
              </w:rPr>
              <w:t>2-0分</w:t>
            </w:r>
            <w:r>
              <w:rPr>
                <w:rFonts w:hint="eastAsia" w:ascii="宋体" w:hAnsi="宋体" w:eastAsia="宋体" w:cs="宋体"/>
                <w:color w:val="auto"/>
                <w:sz w:val="22"/>
                <w:szCs w:val="22"/>
                <w:highlight w:val="none"/>
              </w:rPr>
              <w:t>。</w:t>
            </w:r>
          </w:p>
        </w:tc>
        <w:tc>
          <w:tcPr>
            <w:tcW w:w="985" w:type="dxa"/>
            <w:vAlign w:val="center"/>
          </w:tcPr>
          <w:p w14:paraId="2574F7C5">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r>
      <w:tr w14:paraId="727DE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3" w:hRule="atLeast"/>
          <w:jc w:val="center"/>
        </w:trPr>
        <w:tc>
          <w:tcPr>
            <w:tcW w:w="644" w:type="dxa"/>
            <w:vAlign w:val="center"/>
          </w:tcPr>
          <w:p w14:paraId="05B8D1B7">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661" w:type="dxa"/>
            <w:vAlign w:val="center"/>
          </w:tcPr>
          <w:p w14:paraId="4483EC49">
            <w:pPr>
              <w:jc w:val="center"/>
              <w:rPr>
                <w:rFonts w:ascii="宋体" w:hAnsi="宋体" w:eastAsia="宋体" w:cs="宋体"/>
                <w:color w:val="auto"/>
                <w:sz w:val="22"/>
                <w:szCs w:val="22"/>
                <w:highlight w:val="none"/>
              </w:rPr>
            </w:pPr>
            <w:r>
              <w:rPr>
                <w:rFonts w:hint="eastAsia" w:ascii="宋体" w:hAnsi="宋体"/>
                <w:bCs/>
                <w:color w:val="auto"/>
                <w:kern w:val="0"/>
                <w:sz w:val="22"/>
                <w:szCs w:val="22"/>
                <w:highlight w:val="none"/>
              </w:rPr>
              <w:t>安全保障方案及措施</w:t>
            </w:r>
          </w:p>
        </w:tc>
        <w:tc>
          <w:tcPr>
            <w:tcW w:w="6278" w:type="dxa"/>
            <w:vAlign w:val="center"/>
          </w:tcPr>
          <w:p w14:paraId="4F33C974">
            <w:pPr>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根据投标单位提供的安全保障方案及措施进行打分</w:t>
            </w:r>
            <w:r>
              <w:rPr>
                <w:rFonts w:hint="eastAsia" w:ascii="宋体" w:hAnsi="宋体" w:cs="宋体"/>
                <w:color w:val="auto"/>
                <w:sz w:val="22"/>
                <w:szCs w:val="22"/>
                <w:highlight w:val="none"/>
                <w:lang w:eastAsia="zh-CN"/>
              </w:rPr>
              <w:t>：</w:t>
            </w:r>
          </w:p>
          <w:p w14:paraId="4B8D5883">
            <w:pPr>
              <w:numPr>
                <w:ilvl w:val="0"/>
                <w:numId w:val="0"/>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方案合理、贴合项目需求的得</w:t>
            </w:r>
            <w:r>
              <w:rPr>
                <w:rFonts w:hint="eastAsia" w:ascii="宋体" w:hAnsi="宋体" w:eastAsia="宋体" w:cs="宋体"/>
                <w:color w:val="auto"/>
                <w:sz w:val="22"/>
                <w:szCs w:val="22"/>
                <w:highlight w:val="none"/>
                <w:lang w:val="en-US" w:eastAsia="zh-CN"/>
              </w:rPr>
              <w:t>5-3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6FDCA4EC">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eastAsia="en-US"/>
              </w:rPr>
              <w:t>基本合理、符合项目需求的</w:t>
            </w:r>
            <w:r>
              <w:rPr>
                <w:rFonts w:hint="eastAsia" w:ascii="宋体" w:hAnsi="宋体" w:eastAsia="宋体" w:cs="宋体"/>
                <w:snapToGrid w:val="0"/>
                <w:color w:val="auto"/>
                <w:kern w:val="0"/>
                <w:sz w:val="22"/>
                <w:szCs w:val="22"/>
                <w:highlight w:val="none"/>
                <w:lang w:val="en-US" w:eastAsia="zh-CN"/>
              </w:rPr>
              <w:t>得</w:t>
            </w:r>
            <w:r>
              <w:rPr>
                <w:rFonts w:hint="eastAsia" w:ascii="宋体" w:hAnsi="宋体" w:eastAsia="宋体" w:cs="宋体"/>
                <w:color w:val="auto"/>
                <w:sz w:val="22"/>
                <w:szCs w:val="22"/>
                <w:highlight w:val="none"/>
                <w:lang w:val="en-US" w:eastAsia="zh-CN"/>
              </w:rPr>
              <w:t>3-2分；</w:t>
            </w:r>
          </w:p>
          <w:p w14:paraId="57A8B61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方案存可实施性弱的得</w:t>
            </w:r>
            <w:r>
              <w:rPr>
                <w:rFonts w:hint="eastAsia" w:ascii="宋体" w:hAnsi="宋体" w:eastAsia="宋体" w:cs="宋体"/>
                <w:color w:val="auto"/>
                <w:sz w:val="22"/>
                <w:szCs w:val="22"/>
                <w:highlight w:val="none"/>
                <w:lang w:val="en-US" w:eastAsia="zh-CN"/>
              </w:rPr>
              <w:t>2-0分</w:t>
            </w:r>
            <w:r>
              <w:rPr>
                <w:rFonts w:hint="eastAsia" w:ascii="宋体" w:hAnsi="宋体" w:eastAsia="宋体" w:cs="宋体"/>
                <w:color w:val="auto"/>
                <w:sz w:val="22"/>
                <w:szCs w:val="22"/>
                <w:highlight w:val="none"/>
              </w:rPr>
              <w:t>。</w:t>
            </w:r>
          </w:p>
        </w:tc>
        <w:tc>
          <w:tcPr>
            <w:tcW w:w="985" w:type="dxa"/>
            <w:vAlign w:val="center"/>
          </w:tcPr>
          <w:p w14:paraId="71C0EAA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r>
      <w:tr w14:paraId="4B5B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2" w:hRule="atLeast"/>
          <w:jc w:val="center"/>
        </w:trPr>
        <w:tc>
          <w:tcPr>
            <w:tcW w:w="644" w:type="dxa"/>
            <w:vMerge w:val="restart"/>
            <w:vAlign w:val="center"/>
          </w:tcPr>
          <w:p w14:paraId="0A606D8D">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661" w:type="dxa"/>
            <w:vMerge w:val="restart"/>
            <w:vAlign w:val="center"/>
          </w:tcPr>
          <w:p w14:paraId="67B7836B">
            <w:pPr>
              <w:spacing w:line="276" w:lineRule="auto"/>
              <w:jc w:val="center"/>
              <w:rPr>
                <w:rFonts w:ascii="宋体" w:hAnsi="宋体" w:eastAsia="宋体" w:cs="宋体"/>
                <w:color w:val="auto"/>
                <w:sz w:val="22"/>
                <w:szCs w:val="22"/>
                <w:highlight w:val="none"/>
              </w:rPr>
            </w:pPr>
            <w:r>
              <w:rPr>
                <w:rFonts w:hint="eastAsia" w:ascii="宋体" w:hAnsi="宋体" w:cs="宋体"/>
                <w:color w:val="auto"/>
                <w:sz w:val="22"/>
                <w:szCs w:val="22"/>
                <w:highlight w:val="none"/>
              </w:rPr>
              <w:t>特殊作业响应及处理预案</w:t>
            </w:r>
          </w:p>
        </w:tc>
        <w:tc>
          <w:tcPr>
            <w:tcW w:w="6278" w:type="dxa"/>
            <w:vAlign w:val="center"/>
          </w:tcPr>
          <w:p w14:paraId="39D92CF6">
            <w:pPr>
              <w:rPr>
                <w:color w:val="auto"/>
                <w:sz w:val="22"/>
                <w:szCs w:val="22"/>
                <w:highlight w:val="none"/>
              </w:rPr>
            </w:pPr>
            <w:r>
              <w:rPr>
                <w:rFonts w:hint="eastAsia"/>
                <w:color w:val="auto"/>
                <w:sz w:val="22"/>
                <w:szCs w:val="22"/>
                <w:highlight w:val="none"/>
              </w:rPr>
              <w:t>1.应急处置预案：</w:t>
            </w:r>
          </w:p>
          <w:p w14:paraId="43E39E92">
            <w:pPr>
              <w:numPr>
                <w:ilvl w:val="0"/>
                <w:numId w:val="0"/>
              </w:numPr>
              <w:rPr>
                <w:rFonts w:hint="eastAsia"/>
                <w:color w:val="auto"/>
                <w:sz w:val="22"/>
                <w:szCs w:val="22"/>
                <w:highlight w:val="none"/>
                <w:lang w:val="en-US" w:eastAsia="zh-CN"/>
              </w:rPr>
            </w:pPr>
            <w:r>
              <w:rPr>
                <w:rFonts w:hint="eastAsia"/>
                <w:color w:val="auto"/>
                <w:sz w:val="22"/>
                <w:szCs w:val="22"/>
                <w:highlight w:val="none"/>
              </w:rPr>
              <w:t>针对应急（抗雪防冻、防台防汛、高温防暑）、突发事件处理预案</w:t>
            </w:r>
            <w:r>
              <w:rPr>
                <w:rFonts w:hint="eastAsia" w:ascii="宋体" w:hAnsi="宋体" w:eastAsia="宋体" w:cs="宋体"/>
                <w:color w:val="auto"/>
                <w:sz w:val="22"/>
                <w:szCs w:val="22"/>
                <w:highlight w:val="none"/>
                <w:lang w:eastAsia="zh-CN"/>
              </w:rPr>
              <w:t>进行打分</w:t>
            </w:r>
            <w:r>
              <w:rPr>
                <w:rFonts w:hint="eastAsia"/>
                <w:color w:val="auto"/>
                <w:sz w:val="22"/>
                <w:szCs w:val="22"/>
                <w:highlight w:val="none"/>
                <w:lang w:val="en-US" w:eastAsia="zh-CN"/>
              </w:rPr>
              <w:t>：</w:t>
            </w:r>
          </w:p>
          <w:p w14:paraId="6D436E9D">
            <w:pPr>
              <w:numPr>
                <w:ilvl w:val="0"/>
                <w:numId w:val="0"/>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方案合理、贴合项目需求的得</w:t>
            </w: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0BC94492">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eastAsia="en-US"/>
              </w:rPr>
              <w:t>基本合理、符合项目需求的</w:t>
            </w:r>
            <w:r>
              <w:rPr>
                <w:rFonts w:hint="eastAsia" w:ascii="宋体" w:hAnsi="宋体" w:eastAsia="宋体" w:cs="宋体"/>
                <w:snapToGrid w:val="0"/>
                <w:color w:val="auto"/>
                <w:kern w:val="0"/>
                <w:sz w:val="22"/>
                <w:szCs w:val="22"/>
                <w:highlight w:val="none"/>
                <w:lang w:val="en-US" w:eastAsia="zh-CN"/>
              </w:rPr>
              <w:t>得</w:t>
            </w:r>
            <w:r>
              <w:rPr>
                <w:rFonts w:hint="eastAsia" w:ascii="宋体" w:hAnsi="宋体" w:eastAsia="宋体" w:cs="宋体"/>
                <w:color w:val="auto"/>
                <w:sz w:val="22"/>
                <w:szCs w:val="22"/>
                <w:highlight w:val="none"/>
                <w:lang w:val="en-US" w:eastAsia="zh-CN"/>
              </w:rPr>
              <w:t>2-1分；</w:t>
            </w:r>
          </w:p>
          <w:p w14:paraId="5E9A96B0">
            <w:pP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方案存可实施性弱的得</w:t>
            </w:r>
            <w:r>
              <w:rPr>
                <w:rFonts w:hint="eastAsia" w:ascii="宋体" w:hAnsi="宋体" w:eastAsia="宋体" w:cs="宋体"/>
                <w:color w:val="auto"/>
                <w:sz w:val="22"/>
                <w:szCs w:val="22"/>
                <w:highlight w:val="none"/>
                <w:lang w:val="en-US" w:eastAsia="zh-CN"/>
              </w:rPr>
              <w:t>1-0分</w:t>
            </w:r>
            <w:r>
              <w:rPr>
                <w:rFonts w:hint="eastAsia" w:ascii="宋体" w:hAnsi="宋体" w:eastAsia="宋体" w:cs="宋体"/>
                <w:color w:val="auto"/>
                <w:sz w:val="22"/>
                <w:szCs w:val="22"/>
                <w:highlight w:val="none"/>
              </w:rPr>
              <w:t>。</w:t>
            </w:r>
          </w:p>
        </w:tc>
        <w:tc>
          <w:tcPr>
            <w:tcW w:w="985" w:type="dxa"/>
            <w:vAlign w:val="center"/>
          </w:tcPr>
          <w:p w14:paraId="2C72AC4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79F41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jc w:val="center"/>
        </w:trPr>
        <w:tc>
          <w:tcPr>
            <w:tcW w:w="644" w:type="dxa"/>
            <w:vMerge w:val="continue"/>
            <w:vAlign w:val="center"/>
          </w:tcPr>
          <w:p w14:paraId="0E8C2F48">
            <w:pPr>
              <w:rPr>
                <w:color w:val="auto"/>
                <w:highlight w:val="none"/>
              </w:rPr>
            </w:pPr>
          </w:p>
        </w:tc>
        <w:tc>
          <w:tcPr>
            <w:tcW w:w="1661" w:type="dxa"/>
            <w:vMerge w:val="continue"/>
            <w:vAlign w:val="center"/>
          </w:tcPr>
          <w:p w14:paraId="0CDD12BF">
            <w:pPr>
              <w:rPr>
                <w:color w:val="auto"/>
                <w:highlight w:val="none"/>
              </w:rPr>
            </w:pPr>
          </w:p>
        </w:tc>
        <w:tc>
          <w:tcPr>
            <w:tcW w:w="6278" w:type="dxa"/>
            <w:vAlign w:val="center"/>
          </w:tcPr>
          <w:p w14:paraId="3A1868EC">
            <w:pPr>
              <w:rPr>
                <w:color w:val="auto"/>
                <w:sz w:val="22"/>
                <w:szCs w:val="22"/>
                <w:highlight w:val="none"/>
              </w:rPr>
            </w:pPr>
            <w:r>
              <w:rPr>
                <w:rFonts w:hint="eastAsia"/>
                <w:color w:val="auto"/>
                <w:sz w:val="22"/>
                <w:szCs w:val="22"/>
                <w:highlight w:val="none"/>
              </w:rPr>
              <w:t>2.重大节日与活动具体作业实施方案：</w:t>
            </w:r>
          </w:p>
          <w:p w14:paraId="406A4FC5">
            <w:pPr>
              <w:numPr>
                <w:ilvl w:val="0"/>
                <w:numId w:val="0"/>
              </w:numPr>
              <w:rPr>
                <w:rFonts w:hint="eastAsia"/>
                <w:color w:val="auto"/>
                <w:sz w:val="22"/>
                <w:szCs w:val="22"/>
                <w:highlight w:val="none"/>
                <w:lang w:eastAsia="zh-CN"/>
              </w:rPr>
            </w:pPr>
            <w:r>
              <w:rPr>
                <w:rFonts w:hint="eastAsia"/>
                <w:color w:val="auto"/>
                <w:sz w:val="22"/>
                <w:szCs w:val="22"/>
                <w:highlight w:val="none"/>
              </w:rPr>
              <w:t>根据投标人提供的重大节日与活动具体作业实施方案</w:t>
            </w:r>
            <w:r>
              <w:rPr>
                <w:rFonts w:hint="eastAsia" w:ascii="宋体" w:hAnsi="宋体" w:eastAsia="宋体" w:cs="宋体"/>
                <w:color w:val="auto"/>
                <w:sz w:val="22"/>
                <w:szCs w:val="22"/>
                <w:highlight w:val="none"/>
                <w:lang w:eastAsia="zh-CN"/>
              </w:rPr>
              <w:t>进行打分</w:t>
            </w:r>
            <w:r>
              <w:rPr>
                <w:rFonts w:hint="eastAsia" w:eastAsiaTheme="minorEastAsia"/>
                <w:color w:val="auto"/>
                <w:sz w:val="22"/>
                <w:szCs w:val="22"/>
                <w:highlight w:val="none"/>
                <w:lang w:eastAsia="zh-CN"/>
              </w:rPr>
              <w:t>：</w:t>
            </w:r>
          </w:p>
          <w:p w14:paraId="0F979925">
            <w:pPr>
              <w:numPr>
                <w:ilvl w:val="0"/>
                <w:numId w:val="0"/>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方案合理、贴合项目需求的得</w:t>
            </w: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7B2B2FFF">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eastAsia="en-US"/>
              </w:rPr>
              <w:t>基本合理、符合项目需求的</w:t>
            </w:r>
            <w:r>
              <w:rPr>
                <w:rFonts w:hint="eastAsia" w:ascii="宋体" w:hAnsi="宋体" w:eastAsia="宋体" w:cs="宋体"/>
                <w:snapToGrid w:val="0"/>
                <w:color w:val="auto"/>
                <w:kern w:val="0"/>
                <w:sz w:val="22"/>
                <w:szCs w:val="22"/>
                <w:highlight w:val="none"/>
                <w:lang w:val="en-US" w:eastAsia="zh-CN"/>
              </w:rPr>
              <w:t>得</w:t>
            </w:r>
            <w:r>
              <w:rPr>
                <w:rFonts w:hint="eastAsia" w:ascii="宋体" w:hAnsi="宋体" w:eastAsia="宋体" w:cs="宋体"/>
                <w:color w:val="auto"/>
                <w:sz w:val="22"/>
                <w:szCs w:val="22"/>
                <w:highlight w:val="none"/>
                <w:lang w:val="en-US" w:eastAsia="zh-CN"/>
              </w:rPr>
              <w:t>2-1分；</w:t>
            </w:r>
          </w:p>
          <w:p w14:paraId="6241AE6C">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方案存可实施性弱的得</w:t>
            </w:r>
            <w:r>
              <w:rPr>
                <w:rFonts w:hint="eastAsia" w:ascii="宋体" w:hAnsi="宋体" w:eastAsia="宋体" w:cs="宋体"/>
                <w:color w:val="auto"/>
                <w:sz w:val="22"/>
                <w:szCs w:val="22"/>
                <w:highlight w:val="none"/>
                <w:lang w:val="en-US" w:eastAsia="zh-CN"/>
              </w:rPr>
              <w:t>1-0分</w:t>
            </w:r>
            <w:r>
              <w:rPr>
                <w:rFonts w:hint="eastAsia" w:ascii="宋体" w:hAnsi="宋体" w:eastAsia="宋体" w:cs="宋体"/>
                <w:color w:val="auto"/>
                <w:sz w:val="22"/>
                <w:szCs w:val="22"/>
                <w:highlight w:val="none"/>
              </w:rPr>
              <w:t>。</w:t>
            </w:r>
          </w:p>
        </w:tc>
        <w:tc>
          <w:tcPr>
            <w:tcW w:w="985" w:type="dxa"/>
            <w:vAlign w:val="center"/>
          </w:tcPr>
          <w:p w14:paraId="142D2AD2">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13A82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644" w:type="dxa"/>
            <w:vMerge w:val="continue"/>
            <w:vAlign w:val="center"/>
          </w:tcPr>
          <w:p w14:paraId="4B7C6DF2">
            <w:pPr>
              <w:rPr>
                <w:rFonts w:hint="eastAsia" w:ascii="宋体" w:hAnsi="宋体" w:eastAsia="宋体" w:cs="宋体"/>
                <w:color w:val="auto"/>
                <w:sz w:val="22"/>
                <w:szCs w:val="22"/>
                <w:highlight w:val="none"/>
                <w:lang w:val="en-US" w:eastAsia="zh-CN"/>
              </w:rPr>
            </w:pPr>
          </w:p>
        </w:tc>
        <w:tc>
          <w:tcPr>
            <w:tcW w:w="1661" w:type="dxa"/>
            <w:vMerge w:val="continue"/>
            <w:vAlign w:val="center"/>
          </w:tcPr>
          <w:p w14:paraId="4708F982">
            <w:pPr>
              <w:rPr>
                <w:rFonts w:hint="eastAsia" w:ascii="宋体" w:hAnsi="宋体" w:eastAsia="宋体" w:cs="宋体"/>
                <w:color w:val="auto"/>
                <w:sz w:val="22"/>
                <w:szCs w:val="22"/>
                <w:highlight w:val="none"/>
                <w:lang w:val="en-US" w:eastAsia="zh-CN"/>
              </w:rPr>
            </w:pPr>
          </w:p>
        </w:tc>
        <w:tc>
          <w:tcPr>
            <w:tcW w:w="6278" w:type="dxa"/>
            <w:vAlign w:val="center"/>
          </w:tcPr>
          <w:p w14:paraId="51323F0E">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eastAsia="宋体"/>
                <w:b w:val="0"/>
                <w:bCs w:val="0"/>
                <w:color w:val="auto"/>
                <w:sz w:val="22"/>
                <w:szCs w:val="22"/>
                <w:highlight w:val="none"/>
                <w:lang w:eastAsia="zh-CN"/>
              </w:rPr>
              <w:t>在满足招标文件要求下，承诺每增加一个</w:t>
            </w:r>
            <w:r>
              <w:rPr>
                <w:rFonts w:hint="eastAsia" w:ascii="宋体" w:hAnsi="宋体" w:cs="宋体"/>
                <w:b w:val="0"/>
                <w:bCs w:val="0"/>
                <w:color w:val="auto"/>
                <w:sz w:val="22"/>
                <w:szCs w:val="22"/>
                <w:highlight w:val="none"/>
              </w:rPr>
              <w:t>特殊作业响应</w:t>
            </w:r>
            <w:r>
              <w:rPr>
                <w:rFonts w:hint="eastAsia" w:ascii="宋体" w:hAnsi="宋体" w:cs="宋体"/>
                <w:b w:val="0"/>
                <w:bCs w:val="0"/>
                <w:color w:val="auto"/>
                <w:sz w:val="22"/>
                <w:szCs w:val="22"/>
                <w:highlight w:val="none"/>
                <w:lang w:eastAsia="zh-CN"/>
              </w:rPr>
              <w:t>人员（如</w:t>
            </w:r>
            <w:r>
              <w:rPr>
                <w:rFonts w:hint="eastAsia"/>
                <w:color w:val="auto"/>
                <w:sz w:val="22"/>
                <w:szCs w:val="22"/>
                <w:highlight w:val="none"/>
              </w:rPr>
              <w:t>抗雪防冻、防台防汛、高温防暑、突发事件处理</w:t>
            </w:r>
            <w:r>
              <w:rPr>
                <w:rFonts w:hint="eastAsia" w:eastAsia="宋体"/>
                <w:color w:val="auto"/>
                <w:sz w:val="22"/>
                <w:szCs w:val="22"/>
                <w:highlight w:val="none"/>
                <w:lang w:eastAsia="zh-CN"/>
              </w:rPr>
              <w:t>、</w:t>
            </w:r>
            <w:r>
              <w:rPr>
                <w:rFonts w:hint="eastAsia"/>
                <w:color w:val="auto"/>
                <w:sz w:val="22"/>
                <w:szCs w:val="22"/>
                <w:highlight w:val="none"/>
              </w:rPr>
              <w:t>重大节日与活动</w:t>
            </w:r>
            <w:r>
              <w:rPr>
                <w:rFonts w:hint="eastAsia" w:ascii="宋体" w:hAnsi="宋体" w:cs="宋体"/>
                <w:b w:val="0"/>
                <w:bCs w:val="0"/>
                <w:color w:val="auto"/>
                <w:sz w:val="22"/>
                <w:szCs w:val="22"/>
                <w:highlight w:val="none"/>
                <w:lang w:eastAsia="zh-CN"/>
              </w:rPr>
              <w:t>）得</w:t>
            </w:r>
            <w:r>
              <w:rPr>
                <w:rFonts w:hint="eastAsia" w:ascii="宋体" w:hAnsi="宋体" w:cs="宋体"/>
                <w:b w:val="0"/>
                <w:bCs w:val="0"/>
                <w:color w:val="auto"/>
                <w:sz w:val="22"/>
                <w:szCs w:val="22"/>
                <w:highlight w:val="none"/>
                <w:lang w:val="en-US" w:eastAsia="zh-CN"/>
              </w:rPr>
              <w:t>1分，最高得3分。</w:t>
            </w:r>
          </w:p>
        </w:tc>
        <w:tc>
          <w:tcPr>
            <w:tcW w:w="985" w:type="dxa"/>
            <w:vAlign w:val="center"/>
          </w:tcPr>
          <w:p w14:paraId="435C1DF1">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216B9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7" w:hRule="atLeast"/>
          <w:jc w:val="center"/>
        </w:trPr>
        <w:tc>
          <w:tcPr>
            <w:tcW w:w="644" w:type="dxa"/>
            <w:vAlign w:val="center"/>
          </w:tcPr>
          <w:p w14:paraId="365D2F98">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1661" w:type="dxa"/>
            <w:vAlign w:val="center"/>
          </w:tcPr>
          <w:p w14:paraId="14CF4B49">
            <w:pPr>
              <w:spacing w:line="276" w:lineRule="auto"/>
              <w:jc w:val="center"/>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进场及移交方案</w:t>
            </w:r>
          </w:p>
        </w:tc>
        <w:tc>
          <w:tcPr>
            <w:tcW w:w="6278" w:type="dxa"/>
            <w:vAlign w:val="center"/>
          </w:tcPr>
          <w:p w14:paraId="7D5101FF">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供应商针对本项目的实际情况，为保障项目顺利交接和及时进场所制定的交接落实计划</w:t>
            </w:r>
            <w:r>
              <w:rPr>
                <w:rFonts w:hint="eastAsia" w:ascii="宋体" w:hAnsi="宋体" w:eastAsia="宋体" w:cs="宋体"/>
                <w:color w:val="auto"/>
                <w:sz w:val="22"/>
                <w:szCs w:val="22"/>
                <w:highlight w:val="none"/>
                <w:lang w:eastAsia="zh-CN"/>
              </w:rPr>
              <w:t>（含与采购单位及原运营单位的交接）</w:t>
            </w:r>
            <w:r>
              <w:rPr>
                <w:rFonts w:hint="eastAsia" w:ascii="宋体" w:hAnsi="宋体" w:eastAsia="宋体" w:cs="宋体"/>
                <w:color w:val="auto"/>
                <w:sz w:val="22"/>
                <w:szCs w:val="22"/>
                <w:highlight w:val="none"/>
              </w:rPr>
              <w:t>的合理性、科学性</w:t>
            </w:r>
            <w:r>
              <w:rPr>
                <w:rFonts w:hint="eastAsia" w:ascii="宋体" w:hAnsi="宋体" w:eastAsia="宋体" w:cs="宋体"/>
                <w:color w:val="auto"/>
                <w:sz w:val="22"/>
                <w:szCs w:val="22"/>
                <w:highlight w:val="none"/>
                <w:lang w:eastAsia="zh-CN"/>
              </w:rPr>
              <w:t>进行打分：</w:t>
            </w:r>
          </w:p>
          <w:p w14:paraId="56BB4995">
            <w:pPr>
              <w:numPr>
                <w:ilvl w:val="0"/>
                <w:numId w:val="0"/>
              </w:num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方案合理、贴合项目需求的得</w:t>
            </w:r>
            <w:r>
              <w:rPr>
                <w:rFonts w:hint="eastAsia" w:ascii="宋体" w:hAnsi="宋体" w:eastAsia="宋体" w:cs="宋体"/>
                <w:color w:val="auto"/>
                <w:sz w:val="22"/>
                <w:szCs w:val="22"/>
                <w:highlight w:val="none"/>
                <w:lang w:val="en-US" w:eastAsia="zh-CN"/>
              </w:rPr>
              <w:t>4-3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4A7F4C18">
            <w:pPr>
              <w:numPr>
                <w:ilvl w:val="0"/>
                <w:numId w:val="0"/>
              </w:numPr>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eastAsia="en-US"/>
              </w:rPr>
              <w:t>基本合理、符合项目需求的</w:t>
            </w:r>
            <w:r>
              <w:rPr>
                <w:rFonts w:hint="eastAsia" w:ascii="宋体" w:hAnsi="宋体" w:eastAsia="宋体" w:cs="宋体"/>
                <w:snapToGrid w:val="0"/>
                <w:color w:val="auto"/>
                <w:kern w:val="0"/>
                <w:sz w:val="22"/>
                <w:szCs w:val="22"/>
                <w:highlight w:val="none"/>
                <w:lang w:val="en-US" w:eastAsia="zh-CN"/>
              </w:rPr>
              <w:t>得</w:t>
            </w:r>
            <w:r>
              <w:rPr>
                <w:rFonts w:hint="eastAsia" w:ascii="宋体" w:hAnsi="宋体" w:eastAsia="宋体" w:cs="宋体"/>
                <w:color w:val="auto"/>
                <w:sz w:val="22"/>
                <w:szCs w:val="22"/>
                <w:highlight w:val="none"/>
                <w:lang w:val="en-US" w:eastAsia="zh-CN"/>
              </w:rPr>
              <w:t>3-2分；</w:t>
            </w:r>
          </w:p>
          <w:p w14:paraId="25B49AAB">
            <w:pPr>
              <w:rPr>
                <w:rFonts w:hint="eastAsia"/>
                <w:color w:val="auto"/>
                <w:highlight w:val="none"/>
                <w:lang w:val="en-US" w:eastAsia="zh-CN"/>
              </w:rPr>
            </w:pPr>
            <w:r>
              <w:rPr>
                <w:rFonts w:hint="eastAsia" w:ascii="宋体" w:hAnsi="宋体" w:eastAsia="宋体" w:cs="宋体"/>
                <w:color w:val="auto"/>
                <w:sz w:val="22"/>
                <w:szCs w:val="22"/>
                <w:highlight w:val="none"/>
                <w:lang w:eastAsia="zh-CN"/>
              </w:rPr>
              <w:t>方案存可实施性弱的得</w:t>
            </w:r>
            <w:r>
              <w:rPr>
                <w:rFonts w:hint="eastAsia" w:ascii="宋体" w:hAnsi="宋体" w:eastAsia="宋体" w:cs="宋体"/>
                <w:color w:val="auto"/>
                <w:sz w:val="22"/>
                <w:szCs w:val="22"/>
                <w:highlight w:val="none"/>
                <w:lang w:val="en-US" w:eastAsia="zh-CN"/>
              </w:rPr>
              <w:t>2-0分</w:t>
            </w:r>
            <w:r>
              <w:rPr>
                <w:rFonts w:hint="eastAsia" w:ascii="宋体" w:hAnsi="宋体" w:eastAsia="宋体" w:cs="宋体"/>
                <w:color w:val="auto"/>
                <w:sz w:val="22"/>
                <w:szCs w:val="22"/>
                <w:highlight w:val="none"/>
              </w:rPr>
              <w:t>。</w:t>
            </w:r>
          </w:p>
        </w:tc>
        <w:tc>
          <w:tcPr>
            <w:tcW w:w="985" w:type="dxa"/>
            <w:vAlign w:val="center"/>
          </w:tcPr>
          <w:p w14:paraId="2C237EDC">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4分</w:t>
            </w:r>
          </w:p>
        </w:tc>
      </w:tr>
      <w:tr w14:paraId="15F2A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568" w:type="dxa"/>
            <w:gridSpan w:val="4"/>
            <w:vAlign w:val="center"/>
          </w:tcPr>
          <w:p w14:paraId="62E19A28">
            <w:pPr>
              <w:jc w:val="left"/>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注：以上评分细则未提供的不得分。</w:t>
            </w:r>
          </w:p>
        </w:tc>
      </w:tr>
    </w:tbl>
    <w:p w14:paraId="4892BE35">
      <w:pPr>
        <w:widowControl/>
        <w:spacing w:line="400" w:lineRule="exact"/>
        <w:ind w:firstLine="440"/>
        <w:rPr>
          <w:color w:val="auto"/>
          <w:highlight w:val="none"/>
        </w:rPr>
      </w:pPr>
      <w:r>
        <w:rPr>
          <w:rFonts w:hint="eastAsia" w:ascii="宋体" w:hAnsi="宋体" w:cs="Arial"/>
          <w:color w:val="auto"/>
          <w:kern w:val="0"/>
          <w:sz w:val="22"/>
          <w:highlight w:val="none"/>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2位）。</w:t>
      </w:r>
    </w:p>
    <w:p w14:paraId="588A06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五、说明</w:t>
      </w:r>
    </w:p>
    <w:p w14:paraId="7525335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1、竞争性磋商小组推荐综合得分第一名的供应商为成交供应商，（如果得分相同，以报价低的优先；报价也相同，以抽签决定，并编写采购报告。）</w:t>
      </w:r>
    </w:p>
    <w:p w14:paraId="2E612A5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2、所有分值计算保留小数点后二位，小数点后三位四舍五入。</w:t>
      </w:r>
    </w:p>
    <w:p w14:paraId="773FD2B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3、最终得分为技术及资信分与商务分之和。</w:t>
      </w:r>
    </w:p>
    <w:p w14:paraId="71F89527">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参见本竞争性磋商文件第三部分：“供应商须知”中的相关内容，未尽事宜按有关法律规定处理。</w:t>
      </w:r>
    </w:p>
    <w:p w14:paraId="06DAF8B0">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br w:type="page"/>
      </w:r>
    </w:p>
    <w:p w14:paraId="612159C0">
      <w:pPr>
        <w:spacing w:line="360" w:lineRule="auto"/>
        <w:rPr>
          <w:rFonts w:asci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60B9E976">
      <w:pPr>
        <w:spacing w:line="400" w:lineRule="exact"/>
        <w:jc w:val="center"/>
        <w:rPr>
          <w:rFonts w:ascii="宋体" w:hAnsi="宋体" w:eastAsia="宋体" w:cs="宋体"/>
          <w:b/>
          <w:color w:val="auto"/>
          <w:kern w:val="0"/>
          <w:sz w:val="28"/>
          <w:szCs w:val="28"/>
          <w:highlight w:val="none"/>
        </w:rPr>
      </w:pPr>
    </w:p>
    <w:p w14:paraId="0C9D44B6">
      <w:pPr>
        <w:spacing w:line="400" w:lineRule="exact"/>
        <w:jc w:val="center"/>
        <w:rPr>
          <w:rFonts w:ascii="宋体" w:hAnsi="宋体" w:eastAsia="宋体" w:cs="宋体"/>
          <w:color w:val="auto"/>
          <w:kern w:val="0"/>
          <w:sz w:val="22"/>
          <w:szCs w:val="22"/>
          <w:highlight w:val="none"/>
        </w:rPr>
      </w:pPr>
      <w:r>
        <w:rPr>
          <w:rFonts w:hint="eastAsia" w:ascii="宋体" w:hAnsi="宋体" w:eastAsia="宋体" w:cs="Times New Roman"/>
          <w:b/>
          <w:bCs/>
          <w:color w:val="auto"/>
          <w:sz w:val="30"/>
          <w:szCs w:val="30"/>
          <w:highlight w:val="none"/>
          <w:lang w:eastAsia="zh-CN"/>
        </w:rPr>
        <w:t>2025-2026泰顺县大安乡环卫保洁服务</w:t>
      </w:r>
      <w:r>
        <w:rPr>
          <w:rFonts w:hint="eastAsia" w:ascii="宋体" w:hAnsi="宋体" w:eastAsia="宋体" w:cs="Times New Roman"/>
          <w:b/>
          <w:bCs/>
          <w:color w:val="auto"/>
          <w:sz w:val="30"/>
          <w:szCs w:val="30"/>
          <w:highlight w:val="none"/>
        </w:rPr>
        <w:t>及垃圾分类一体化服务</w:t>
      </w:r>
      <w:r>
        <w:rPr>
          <w:rFonts w:hint="eastAsia" w:ascii="宋体" w:hAnsi="宋体" w:eastAsia="宋体" w:cs="宋体"/>
          <w:b/>
          <w:color w:val="auto"/>
          <w:kern w:val="0"/>
          <w:sz w:val="28"/>
          <w:szCs w:val="28"/>
          <w:highlight w:val="none"/>
        </w:rPr>
        <w:t>管理</w:t>
      </w:r>
      <w:r>
        <w:rPr>
          <w:rFonts w:hint="eastAsia" w:ascii="宋体" w:hAnsi="宋体" w:eastAsia="宋体" w:cs="宋体"/>
          <w:b/>
          <w:color w:val="auto"/>
          <w:kern w:val="0"/>
          <w:sz w:val="28"/>
          <w:szCs w:val="28"/>
          <w:highlight w:val="none"/>
          <w:lang w:eastAsia="zh-CN"/>
        </w:rPr>
        <w:t>及考核</w:t>
      </w:r>
      <w:r>
        <w:rPr>
          <w:rFonts w:hint="eastAsia" w:ascii="宋体" w:hAnsi="宋体" w:eastAsia="宋体" w:cs="宋体"/>
          <w:b/>
          <w:color w:val="auto"/>
          <w:kern w:val="0"/>
          <w:sz w:val="28"/>
          <w:szCs w:val="28"/>
          <w:highlight w:val="none"/>
        </w:rPr>
        <w:t>办法（试行）</w:t>
      </w:r>
    </w:p>
    <w:p w14:paraId="33BBD051">
      <w:pPr>
        <w:spacing w:line="400" w:lineRule="exact"/>
        <w:ind w:firstLine="44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为切实提高</w:t>
      </w:r>
      <w:r>
        <w:rPr>
          <w:rFonts w:hint="eastAsia" w:ascii="宋体" w:hAnsi="宋体" w:eastAsia="宋体" w:cs="宋体"/>
          <w:color w:val="auto"/>
          <w:kern w:val="0"/>
          <w:sz w:val="22"/>
          <w:szCs w:val="22"/>
          <w:highlight w:val="none"/>
          <w:lang w:eastAsia="zh-CN"/>
        </w:rPr>
        <w:t>2025-2026泰顺县大安乡环卫保洁服务</w:t>
      </w:r>
      <w:r>
        <w:rPr>
          <w:rFonts w:hint="eastAsia" w:ascii="宋体" w:hAnsi="宋体" w:eastAsia="宋体" w:cs="宋体"/>
          <w:color w:val="auto"/>
          <w:kern w:val="0"/>
          <w:sz w:val="22"/>
          <w:szCs w:val="22"/>
          <w:highlight w:val="none"/>
        </w:rPr>
        <w:t>及垃圾分类一体化服务管理质量，加强环境卫生保洁的长效管理机制，不断改善环境卫生，提升镇生态、人居，山清、水秀乡村环境品位，依据客观、公开、公平、公正的原则，结合实际情况，特制定本考核办法（试行）。</w:t>
      </w:r>
    </w:p>
    <w:p w14:paraId="278B47BF">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注：本项目的考核办法及细则的解释权归采购人所有；如有必要，采购人有权对考核办法及细则进行合理的修改并通知中标人，中标人必须无条件服从。</w:t>
      </w:r>
    </w:p>
    <w:p w14:paraId="3B3B27EB">
      <w:pPr>
        <w:spacing w:line="400" w:lineRule="exact"/>
        <w:ind w:firstLine="442"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一、考核对象：</w:t>
      </w:r>
      <w:r>
        <w:rPr>
          <w:rFonts w:hint="eastAsia" w:ascii="宋体" w:hAnsi="宋体" w:eastAsia="宋体" w:cs="宋体"/>
          <w:color w:val="auto"/>
          <w:kern w:val="0"/>
          <w:sz w:val="22"/>
          <w:szCs w:val="22"/>
          <w:highlight w:val="none"/>
        </w:rPr>
        <w:t>本次中标（成交）供应商。</w:t>
      </w:r>
    </w:p>
    <w:p w14:paraId="58BB9F8B">
      <w:pPr>
        <w:spacing w:line="400" w:lineRule="exact"/>
        <w:ind w:firstLine="442"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二、考核范围：</w:t>
      </w:r>
      <w:r>
        <w:rPr>
          <w:rFonts w:hint="eastAsia" w:ascii="宋体" w:hAnsi="宋体" w:eastAsia="宋体" w:cs="宋体"/>
          <w:color w:val="auto"/>
          <w:kern w:val="0"/>
          <w:sz w:val="22"/>
          <w:szCs w:val="22"/>
          <w:highlight w:val="none"/>
        </w:rPr>
        <w:t>合同约定的服务范围。</w:t>
      </w:r>
    </w:p>
    <w:p w14:paraId="48E4E52C">
      <w:pPr>
        <w:spacing w:line="400" w:lineRule="exact"/>
        <w:ind w:firstLine="442"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三、考核要求</w:t>
      </w:r>
    </w:p>
    <w:p w14:paraId="49B4ED7B">
      <w:pPr>
        <w:spacing w:line="400" w:lineRule="exact"/>
        <w:ind w:firstLine="442" w:firstLineChars="200"/>
        <w:jc w:val="left"/>
        <w:rPr>
          <w:rFonts w:ascii="宋体" w:cs="宋体"/>
          <w:b/>
          <w:bCs/>
          <w:color w:val="auto"/>
          <w:sz w:val="22"/>
          <w:highlight w:val="none"/>
        </w:rPr>
      </w:pPr>
      <w:r>
        <w:rPr>
          <w:rFonts w:hint="eastAsia" w:ascii="宋体" w:cs="宋体"/>
          <w:b/>
          <w:bCs/>
          <w:color w:val="auto"/>
          <w:sz w:val="22"/>
          <w:highlight w:val="none"/>
        </w:rPr>
        <w:t>（一）“道路洁净</w:t>
      </w:r>
      <w:r>
        <w:rPr>
          <w:rFonts w:ascii="宋体" w:cs="宋体"/>
          <w:b/>
          <w:bCs/>
          <w:color w:val="auto"/>
          <w:sz w:val="22"/>
          <w:highlight w:val="none"/>
        </w:rPr>
        <w:t>"</w:t>
      </w:r>
      <w:r>
        <w:rPr>
          <w:rFonts w:hint="eastAsia" w:ascii="宋体" w:cs="宋体"/>
          <w:b/>
          <w:bCs/>
          <w:color w:val="auto"/>
          <w:sz w:val="22"/>
          <w:highlight w:val="none"/>
        </w:rPr>
        <w:t>服务标准和质量要求</w:t>
      </w:r>
    </w:p>
    <w:p w14:paraId="15B0C172">
      <w:pPr>
        <w:widowControl/>
        <w:spacing w:line="400" w:lineRule="exact"/>
        <w:ind w:firstLine="440" w:firstLineChars="200"/>
        <w:rPr>
          <w:rFonts w:ascii="宋体" w:cs="宋体"/>
          <w:color w:val="auto"/>
          <w:sz w:val="22"/>
          <w:highlight w:val="none"/>
        </w:rPr>
      </w:pPr>
      <w:r>
        <w:rPr>
          <w:rFonts w:ascii="宋体" w:cs="宋体"/>
          <w:color w:val="auto"/>
          <w:sz w:val="22"/>
          <w:highlight w:val="none"/>
        </w:rPr>
        <w:t>1.</w:t>
      </w:r>
      <w:r>
        <w:rPr>
          <w:rFonts w:hint="eastAsia" w:ascii="宋体" w:cs="宋体"/>
          <w:color w:val="auto"/>
          <w:sz w:val="22"/>
          <w:highlight w:val="none"/>
        </w:rPr>
        <w:t>路面垃圾必须日产日清，不留卫生死角，做到“七无、五净、二保持、二不准”。</w:t>
      </w:r>
    </w:p>
    <w:p w14:paraId="18D99202">
      <w:pPr>
        <w:widowControl/>
        <w:spacing w:line="400" w:lineRule="exact"/>
        <w:ind w:firstLine="440" w:firstLineChars="200"/>
        <w:rPr>
          <w:rFonts w:ascii="宋体" w:cs="宋体"/>
          <w:color w:val="auto"/>
          <w:sz w:val="22"/>
          <w:highlight w:val="none"/>
        </w:rPr>
      </w:pPr>
      <w:r>
        <w:rPr>
          <w:rFonts w:hint="eastAsia" w:ascii="宋体" w:cs="宋体"/>
          <w:color w:val="auto"/>
          <w:sz w:val="22"/>
          <w:highlight w:val="none"/>
        </w:rPr>
        <w:t>“七无”包括：无杂物；无果皮壳；无纸屑、烟蒂、塑料袋；无淤泥积土；无污水；无堵塞窨井沟眼；无卫生死角。</w:t>
      </w:r>
    </w:p>
    <w:p w14:paraId="4FE08685">
      <w:pPr>
        <w:widowControl/>
        <w:spacing w:line="400" w:lineRule="exact"/>
        <w:ind w:firstLine="440" w:firstLineChars="200"/>
        <w:rPr>
          <w:rFonts w:ascii="宋体" w:cs="宋体"/>
          <w:color w:val="auto"/>
          <w:sz w:val="22"/>
          <w:highlight w:val="none"/>
        </w:rPr>
      </w:pPr>
      <w:r>
        <w:rPr>
          <w:rFonts w:hint="eastAsia" w:ascii="宋体" w:cs="宋体"/>
          <w:color w:val="auto"/>
          <w:sz w:val="22"/>
          <w:highlight w:val="none"/>
        </w:rPr>
        <w:t>“五净”包括：路面、路牙净，窨井沟眼净，树穴净，边角净，花坛周围净。</w:t>
      </w:r>
    </w:p>
    <w:p w14:paraId="689B99A6">
      <w:pPr>
        <w:widowControl/>
        <w:spacing w:line="400" w:lineRule="exact"/>
        <w:ind w:firstLine="440" w:firstLineChars="200"/>
        <w:rPr>
          <w:rFonts w:ascii="宋体" w:cs="宋体"/>
          <w:color w:val="auto"/>
          <w:sz w:val="22"/>
          <w:highlight w:val="none"/>
        </w:rPr>
      </w:pPr>
      <w:r>
        <w:rPr>
          <w:rFonts w:hint="eastAsia" w:ascii="宋体" w:cs="宋体"/>
          <w:color w:val="auto"/>
          <w:sz w:val="22"/>
          <w:highlight w:val="none"/>
        </w:rPr>
        <w:t>“二保持”包括：作业人员保持着装整齐（按省定标准），作业机具、道路两旁的果壳箱保持经常性整洁；</w:t>
      </w:r>
    </w:p>
    <w:p w14:paraId="28E27DCA">
      <w:pPr>
        <w:widowControl/>
        <w:spacing w:line="400" w:lineRule="exact"/>
        <w:ind w:firstLine="440" w:firstLineChars="200"/>
        <w:rPr>
          <w:rFonts w:ascii="宋体" w:cs="宋体"/>
          <w:color w:val="auto"/>
          <w:sz w:val="22"/>
          <w:highlight w:val="none"/>
        </w:rPr>
      </w:pPr>
      <w:r>
        <w:rPr>
          <w:rFonts w:hint="eastAsia" w:ascii="宋体" w:cs="宋体"/>
          <w:color w:val="auto"/>
          <w:sz w:val="22"/>
          <w:highlight w:val="none"/>
        </w:rPr>
        <w:t>“二不准”包括：不准在路旁或河旁乱倒垃圾、不准有垃圾在垃圾箱中过夜存放</w:t>
      </w:r>
      <w:r>
        <w:rPr>
          <w:rFonts w:ascii="宋体" w:cs="宋体"/>
          <w:color w:val="auto"/>
          <w:sz w:val="22"/>
          <w:highlight w:val="none"/>
        </w:rPr>
        <w:t>,</w:t>
      </w:r>
      <w:r>
        <w:rPr>
          <w:rFonts w:hint="eastAsia" w:ascii="宋体" w:cs="宋体"/>
          <w:color w:val="auto"/>
          <w:sz w:val="22"/>
          <w:highlight w:val="none"/>
        </w:rPr>
        <w:t>箱内的垃圾应日产日清。</w:t>
      </w:r>
    </w:p>
    <w:p w14:paraId="625934C3">
      <w:pPr>
        <w:spacing w:line="400" w:lineRule="exact"/>
        <w:ind w:firstLine="440" w:firstLineChars="200"/>
        <w:rPr>
          <w:rFonts w:ascii="宋体" w:cs="宋体"/>
          <w:color w:val="auto"/>
          <w:sz w:val="22"/>
          <w:highlight w:val="none"/>
        </w:rPr>
      </w:pPr>
      <w:r>
        <w:rPr>
          <w:rFonts w:ascii="宋体" w:cs="宋体"/>
          <w:color w:val="auto"/>
          <w:sz w:val="22"/>
          <w:highlight w:val="none"/>
        </w:rPr>
        <w:t>2.</w:t>
      </w:r>
      <w:r>
        <w:rPr>
          <w:rFonts w:hint="eastAsia" w:ascii="宋体" w:cs="宋体"/>
          <w:color w:val="auto"/>
          <w:sz w:val="22"/>
          <w:highlight w:val="none"/>
        </w:rPr>
        <w:t>所有区域每日实行普扫和保洁。</w:t>
      </w:r>
    </w:p>
    <w:p w14:paraId="32BE5154">
      <w:pPr>
        <w:tabs>
          <w:tab w:val="left" w:pos="360"/>
          <w:tab w:val="left" w:pos="3232"/>
          <w:tab w:val="center" w:pos="4153"/>
        </w:tabs>
        <w:adjustRightInd w:val="0"/>
        <w:snapToGrid w:val="0"/>
        <w:spacing w:line="400" w:lineRule="exact"/>
        <w:ind w:left="25" w:leftChars="12"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1</w:t>
      </w:r>
      <w:r>
        <w:rPr>
          <w:rFonts w:hint="eastAsia" w:ascii="宋体" w:cs="宋体"/>
          <w:color w:val="auto"/>
          <w:sz w:val="22"/>
          <w:highlight w:val="none"/>
        </w:rPr>
        <w:t>）片区可视范围内所有道路（包含辖区内公路）、民房周围（屋前屋后）公共区域、其他建筑物周围公共区域、开放式小区、菜市场、公共厕所、河道边上、村民居委会办公楼周围、学校周围等日常普扫每日两次，第一次普扫原则上在夏季</w:t>
      </w:r>
      <w:r>
        <w:rPr>
          <w:rFonts w:ascii="宋体" w:cs="宋体"/>
          <w:color w:val="auto"/>
          <w:sz w:val="22"/>
          <w:highlight w:val="none"/>
        </w:rPr>
        <w:t>7</w:t>
      </w:r>
      <w:r>
        <w:rPr>
          <w:rFonts w:hint="eastAsia" w:ascii="宋体" w:cs="宋体"/>
          <w:color w:val="auto"/>
          <w:sz w:val="22"/>
          <w:highlight w:val="none"/>
        </w:rPr>
        <w:t>时、冬季</w:t>
      </w:r>
      <w:r>
        <w:rPr>
          <w:rFonts w:ascii="宋体" w:cs="宋体"/>
          <w:color w:val="auto"/>
          <w:sz w:val="22"/>
          <w:highlight w:val="none"/>
        </w:rPr>
        <w:t>7</w:t>
      </w:r>
      <w:r>
        <w:rPr>
          <w:rFonts w:hint="eastAsia" w:ascii="宋体" w:cs="宋体"/>
          <w:color w:val="auto"/>
          <w:sz w:val="22"/>
          <w:highlight w:val="none"/>
        </w:rPr>
        <w:t>时</w:t>
      </w:r>
      <w:r>
        <w:rPr>
          <w:rFonts w:ascii="宋体" w:cs="宋体"/>
          <w:color w:val="auto"/>
          <w:sz w:val="22"/>
          <w:highlight w:val="none"/>
        </w:rPr>
        <w:t>30</w:t>
      </w:r>
      <w:r>
        <w:rPr>
          <w:rFonts w:hint="eastAsia" w:ascii="宋体" w:cs="宋体"/>
          <w:color w:val="auto"/>
          <w:sz w:val="22"/>
          <w:highlight w:val="none"/>
        </w:rPr>
        <w:t>分以前完成，第二次普扫原则上在</w:t>
      </w:r>
      <w:r>
        <w:rPr>
          <w:rFonts w:ascii="宋体" w:cs="宋体"/>
          <w:color w:val="auto"/>
          <w:sz w:val="22"/>
          <w:highlight w:val="none"/>
        </w:rPr>
        <w:t>16:30</w:t>
      </w:r>
      <w:r>
        <w:rPr>
          <w:rFonts w:hint="eastAsia" w:ascii="宋体" w:cs="宋体"/>
          <w:color w:val="auto"/>
          <w:sz w:val="22"/>
          <w:highlight w:val="none"/>
        </w:rPr>
        <w:t>时前完成；其中菜市场、村民居委会办公楼周围、学校周围等人员密集地要做好</w:t>
      </w:r>
      <w:r>
        <w:rPr>
          <w:rFonts w:ascii="宋体" w:cs="宋体"/>
          <w:color w:val="auto"/>
          <w:sz w:val="22"/>
          <w:highlight w:val="none"/>
        </w:rPr>
        <w:t>8</w:t>
      </w:r>
      <w:r>
        <w:rPr>
          <w:rFonts w:hint="eastAsia" w:ascii="宋体" w:cs="宋体"/>
          <w:color w:val="auto"/>
          <w:sz w:val="22"/>
          <w:highlight w:val="none"/>
        </w:rPr>
        <w:t>个小时清洁。特殊的时期（比如临时检查、节假日等）中标人要配合采购人按采购人要求进行清扫工作。</w:t>
      </w:r>
    </w:p>
    <w:p w14:paraId="7E679A55">
      <w:pPr>
        <w:tabs>
          <w:tab w:val="left" w:pos="360"/>
          <w:tab w:val="left" w:pos="3232"/>
          <w:tab w:val="center" w:pos="4153"/>
        </w:tabs>
        <w:adjustRightInd w:val="0"/>
        <w:snapToGrid w:val="0"/>
        <w:spacing w:line="400" w:lineRule="exact"/>
        <w:ind w:left="25" w:leftChars="12"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2</w:t>
      </w:r>
      <w:r>
        <w:rPr>
          <w:rFonts w:hint="eastAsia" w:ascii="宋体" w:cs="宋体"/>
          <w:color w:val="auto"/>
          <w:sz w:val="22"/>
          <w:highlight w:val="none"/>
        </w:rPr>
        <w:t>）普扫的卫生标准达到“五无”、“五净”的标准。即无果皮纸屑、无土石杂草、无积水积泥、无痰迹烟蒂、无堆积物，路面干净、道路绿地树圈干净、边角侧石干净、窨井盖沟槽畅通干净、果壳箱等环卫设施整齐干净。</w:t>
      </w:r>
    </w:p>
    <w:p w14:paraId="054DAC61">
      <w:pPr>
        <w:spacing w:line="400" w:lineRule="exact"/>
        <w:ind w:firstLine="440" w:firstLineChars="200"/>
        <w:rPr>
          <w:rFonts w:ascii="宋体" w:cs="宋体"/>
          <w:color w:val="auto"/>
          <w:sz w:val="22"/>
          <w:highlight w:val="none"/>
        </w:rPr>
      </w:pPr>
      <w:r>
        <w:rPr>
          <w:rFonts w:ascii="宋体" w:cs="宋体"/>
          <w:color w:val="auto"/>
          <w:sz w:val="22"/>
          <w:highlight w:val="none"/>
        </w:rPr>
        <w:t>3.</w:t>
      </w:r>
      <w:r>
        <w:rPr>
          <w:rFonts w:hint="eastAsia" w:ascii="宋体" w:cs="宋体"/>
          <w:color w:val="auto"/>
          <w:sz w:val="22"/>
          <w:highlight w:val="none"/>
        </w:rPr>
        <w:t>垃圾桶、清扫机具等环卫设施的清掏、清洗、防损、防盗和维护。</w:t>
      </w:r>
    </w:p>
    <w:p w14:paraId="541E714B">
      <w:pPr>
        <w:spacing w:line="400" w:lineRule="exact"/>
        <w:ind w:firstLine="440" w:firstLineChars="200"/>
        <w:rPr>
          <w:rFonts w:ascii="宋体" w:cs="宋体"/>
          <w:color w:val="auto"/>
          <w:sz w:val="22"/>
          <w:highlight w:val="none"/>
        </w:rPr>
      </w:pPr>
      <w:r>
        <w:rPr>
          <w:rFonts w:hint="eastAsia" w:ascii="宋体" w:cs="宋体"/>
          <w:color w:val="auto"/>
          <w:sz w:val="22"/>
          <w:highlight w:val="none"/>
        </w:rPr>
        <w:t>垃圾桶、果壳箱、垃圾收集车等环卫设施应每周至少清洗一次，</w:t>
      </w:r>
      <w:r>
        <w:rPr>
          <w:rFonts w:hint="eastAsia" w:ascii="宋体" w:cs="宋体"/>
          <w:color w:val="auto"/>
          <w:sz w:val="22"/>
          <w:highlight w:val="none"/>
          <w:lang w:eastAsia="zh-CN"/>
        </w:rPr>
        <w:t>每日保持外观整洁，无破损或磨损；字体标识不清应及时修补、更换</w:t>
      </w:r>
      <w:r>
        <w:rPr>
          <w:rFonts w:hint="eastAsia" w:ascii="宋体" w:cs="宋体"/>
          <w:color w:val="auto"/>
          <w:sz w:val="22"/>
          <w:highlight w:val="none"/>
        </w:rPr>
        <w:t>；所有垃圾容器应做到无敞门、无污垢，桶内垃圾日产日清，不过夜、不溢满，禁止环卫工人在桶内翻捡废品；</w:t>
      </w:r>
    </w:p>
    <w:p w14:paraId="16063DF1">
      <w:pPr>
        <w:spacing w:line="400" w:lineRule="exact"/>
        <w:ind w:firstLine="440" w:firstLineChars="200"/>
        <w:rPr>
          <w:rFonts w:ascii="宋体" w:cs="宋体"/>
          <w:color w:val="auto"/>
          <w:sz w:val="22"/>
          <w:highlight w:val="none"/>
        </w:rPr>
      </w:pPr>
      <w:r>
        <w:rPr>
          <w:rFonts w:ascii="宋体" w:cs="宋体"/>
          <w:color w:val="auto"/>
          <w:sz w:val="22"/>
          <w:highlight w:val="none"/>
        </w:rPr>
        <w:t>4.</w:t>
      </w:r>
      <w:r>
        <w:rPr>
          <w:rFonts w:hint="eastAsia" w:ascii="宋体" w:cs="宋体"/>
          <w:color w:val="auto"/>
          <w:sz w:val="22"/>
          <w:highlight w:val="none"/>
        </w:rPr>
        <w:t>主次道路（含车行道、人行道）高压冲洗每星期不少于</w:t>
      </w:r>
      <w:r>
        <w:rPr>
          <w:rFonts w:ascii="宋体" w:cs="宋体"/>
          <w:color w:val="auto"/>
          <w:sz w:val="22"/>
          <w:highlight w:val="none"/>
        </w:rPr>
        <w:t>1</w:t>
      </w:r>
      <w:r>
        <w:rPr>
          <w:rFonts w:hint="eastAsia" w:ascii="宋体" w:cs="宋体"/>
          <w:color w:val="auto"/>
          <w:sz w:val="22"/>
          <w:highlight w:val="none"/>
        </w:rPr>
        <w:t>次，作业时间为晚上或清晨。冲洗后由采购人进行验收（路面见本色），并无条件服从采购人整改要求；采购人要求冲洗市场等其他区域时中标方应无条件服从。</w:t>
      </w:r>
    </w:p>
    <w:p w14:paraId="0191AD43">
      <w:pPr>
        <w:spacing w:line="400" w:lineRule="exact"/>
        <w:ind w:firstLine="440" w:firstLineChars="200"/>
        <w:rPr>
          <w:rFonts w:hint="eastAsia" w:ascii="宋体" w:cs="宋体" w:eastAsiaTheme="minorEastAsia"/>
          <w:color w:val="auto"/>
          <w:sz w:val="22"/>
          <w:highlight w:val="none"/>
          <w:lang w:eastAsia="zh-CN"/>
        </w:rPr>
      </w:pPr>
      <w:r>
        <w:rPr>
          <w:rFonts w:hint="eastAsia" w:ascii="宋体" w:cs="宋体"/>
          <w:color w:val="auto"/>
          <w:sz w:val="22"/>
          <w:highlight w:val="none"/>
        </w:rPr>
        <w:t>5.洒水要求</w:t>
      </w:r>
    </w:p>
    <w:p w14:paraId="7242EE94">
      <w:pPr>
        <w:spacing w:line="400" w:lineRule="exact"/>
        <w:ind w:firstLine="440" w:firstLineChars="200"/>
        <w:rPr>
          <w:rFonts w:ascii="宋体" w:cs="宋体"/>
          <w:color w:val="auto"/>
          <w:sz w:val="22"/>
          <w:highlight w:val="none"/>
        </w:rPr>
      </w:pPr>
      <w:r>
        <w:rPr>
          <w:rFonts w:hint="eastAsia" w:ascii="宋体" w:cs="宋体"/>
          <w:color w:val="auto"/>
          <w:sz w:val="22"/>
          <w:highlight w:val="none"/>
        </w:rPr>
        <w:t>（1）气温</w:t>
      </w:r>
      <w:r>
        <w:rPr>
          <w:rFonts w:ascii="宋体" w:cs="宋体"/>
          <w:color w:val="auto"/>
          <w:sz w:val="22"/>
          <w:highlight w:val="none"/>
        </w:rPr>
        <w:t>3-30</w:t>
      </w:r>
      <w:r>
        <w:rPr>
          <w:rFonts w:hint="eastAsia" w:ascii="宋体" w:cs="宋体"/>
          <w:color w:val="auto"/>
          <w:sz w:val="22"/>
          <w:highlight w:val="none"/>
        </w:rPr>
        <w:t>℃，路面冲洗每周不少于</w:t>
      </w:r>
      <w:r>
        <w:rPr>
          <w:rFonts w:ascii="宋体" w:cs="宋体"/>
          <w:color w:val="auto"/>
          <w:sz w:val="22"/>
          <w:highlight w:val="none"/>
        </w:rPr>
        <w:t>2</w:t>
      </w:r>
      <w:r>
        <w:rPr>
          <w:rFonts w:hint="eastAsia" w:ascii="宋体" w:cs="宋体"/>
          <w:color w:val="auto"/>
          <w:sz w:val="22"/>
          <w:highlight w:val="none"/>
        </w:rPr>
        <w:t>次，路面洒水每天不少于</w:t>
      </w:r>
      <w:r>
        <w:rPr>
          <w:rFonts w:ascii="宋体" w:cs="宋体"/>
          <w:color w:val="auto"/>
          <w:sz w:val="22"/>
          <w:highlight w:val="none"/>
        </w:rPr>
        <w:t>2</w:t>
      </w:r>
      <w:r>
        <w:rPr>
          <w:rFonts w:hint="eastAsia" w:ascii="宋体" w:cs="宋体"/>
          <w:color w:val="auto"/>
          <w:sz w:val="22"/>
          <w:highlight w:val="none"/>
        </w:rPr>
        <w:t>次；气温</w:t>
      </w:r>
      <w:r>
        <w:rPr>
          <w:rFonts w:ascii="宋体" w:cs="宋体"/>
          <w:color w:val="auto"/>
          <w:sz w:val="22"/>
          <w:highlight w:val="none"/>
        </w:rPr>
        <w:t>30</w:t>
      </w:r>
      <w:r>
        <w:rPr>
          <w:rFonts w:hint="eastAsia" w:ascii="宋体" w:cs="宋体"/>
          <w:color w:val="auto"/>
          <w:sz w:val="22"/>
          <w:highlight w:val="none"/>
        </w:rPr>
        <w:t>℃以上时，路面洒水每天不少于</w:t>
      </w:r>
      <w:r>
        <w:rPr>
          <w:rFonts w:ascii="宋体" w:cs="宋体"/>
          <w:color w:val="auto"/>
          <w:sz w:val="22"/>
          <w:highlight w:val="none"/>
        </w:rPr>
        <w:t>3</w:t>
      </w:r>
      <w:r>
        <w:rPr>
          <w:rFonts w:hint="eastAsia" w:ascii="宋体" w:cs="宋体"/>
          <w:color w:val="auto"/>
          <w:sz w:val="22"/>
          <w:highlight w:val="none"/>
        </w:rPr>
        <w:t>次；气温低于</w:t>
      </w:r>
      <w:r>
        <w:rPr>
          <w:rFonts w:ascii="宋体" w:cs="宋体"/>
          <w:color w:val="auto"/>
          <w:sz w:val="22"/>
          <w:highlight w:val="none"/>
        </w:rPr>
        <w:t>3</w:t>
      </w:r>
      <w:r>
        <w:rPr>
          <w:rFonts w:hint="eastAsia" w:ascii="宋体" w:cs="宋体"/>
          <w:color w:val="auto"/>
          <w:sz w:val="22"/>
          <w:highlight w:val="none"/>
        </w:rPr>
        <w:t>℃停止冲洗和洒水；作业时间为晚上或清晨，冲洗后由采购人进行验收（路面见本色），并无条件服从采购人整改要求；采购人要求冲洗市场等其他区域时中标方应无条件服从。</w:t>
      </w:r>
    </w:p>
    <w:p w14:paraId="07C4732F">
      <w:pPr>
        <w:spacing w:line="400" w:lineRule="exact"/>
        <w:ind w:firstLine="440" w:firstLineChars="200"/>
        <w:rPr>
          <w:rFonts w:ascii="宋体" w:cs="宋体"/>
          <w:color w:val="auto"/>
          <w:sz w:val="22"/>
          <w:highlight w:val="none"/>
        </w:rPr>
      </w:pPr>
      <w:r>
        <w:rPr>
          <w:rFonts w:hint="eastAsia" w:ascii="宋体" w:cs="宋体"/>
          <w:color w:val="auto"/>
          <w:sz w:val="22"/>
          <w:highlight w:val="none"/>
        </w:rPr>
        <w:t>（2）交通早晚高峰期间禁止路面冲洗，洒水作业。</w:t>
      </w:r>
    </w:p>
    <w:p w14:paraId="748B1B64">
      <w:pPr>
        <w:spacing w:line="400" w:lineRule="exact"/>
        <w:ind w:firstLine="440" w:firstLineChars="200"/>
        <w:rPr>
          <w:color w:val="auto"/>
          <w:highlight w:val="none"/>
        </w:rPr>
      </w:pPr>
      <w:r>
        <w:rPr>
          <w:rFonts w:hint="eastAsia" w:ascii="宋体" w:cs="宋体"/>
          <w:color w:val="auto"/>
          <w:sz w:val="22"/>
          <w:highlight w:val="none"/>
        </w:rPr>
        <w:t>（3）出车前要进行检查后方可上路，禁止带故障运行。作业时应适当控制水压，行车速度最高不得超过</w:t>
      </w:r>
      <w:r>
        <w:rPr>
          <w:rFonts w:ascii="宋体" w:cs="宋体"/>
          <w:color w:val="auto"/>
          <w:sz w:val="22"/>
          <w:highlight w:val="none"/>
        </w:rPr>
        <w:t>20</w:t>
      </w:r>
      <w:r>
        <w:rPr>
          <w:rFonts w:hint="eastAsia" w:ascii="宋体" w:cs="宋体"/>
          <w:color w:val="auto"/>
          <w:sz w:val="22"/>
          <w:highlight w:val="none"/>
        </w:rPr>
        <w:t>公里</w:t>
      </w:r>
      <w:r>
        <w:rPr>
          <w:rFonts w:ascii="宋体" w:cs="宋体"/>
          <w:color w:val="auto"/>
          <w:sz w:val="22"/>
          <w:highlight w:val="none"/>
        </w:rPr>
        <w:t>/</w:t>
      </w:r>
      <w:r>
        <w:rPr>
          <w:rFonts w:hint="eastAsia" w:ascii="宋体" w:cs="宋体"/>
          <w:color w:val="auto"/>
          <w:sz w:val="22"/>
          <w:highlight w:val="none"/>
        </w:rPr>
        <w:t>小时，避免把水溅到路边的行人；上路作业时，必须打开警示灯；要遵守道路交通安全法规，礼让行车，注意行人的安全；严格按照范围、路线、时间、次数、车速进行作业，不得随意变更。作业车辆作业完毕后及时清洗干净入库，并做好行车、维修保养记录。</w:t>
      </w:r>
    </w:p>
    <w:p w14:paraId="7A615157">
      <w:pPr>
        <w:spacing w:line="400" w:lineRule="exact"/>
        <w:ind w:firstLine="442" w:firstLineChars="200"/>
        <w:rPr>
          <w:rFonts w:ascii="宋体" w:cs="宋体"/>
          <w:color w:val="auto"/>
          <w:sz w:val="22"/>
          <w:highlight w:val="none"/>
        </w:rPr>
      </w:pPr>
      <w:r>
        <w:rPr>
          <w:rFonts w:hint="eastAsia" w:ascii="宋体" w:cs="宋体"/>
          <w:b/>
          <w:bCs/>
          <w:color w:val="auto"/>
          <w:sz w:val="22"/>
          <w:highlight w:val="none"/>
        </w:rPr>
        <w:t>（二）</w:t>
      </w:r>
      <w:r>
        <w:rPr>
          <w:rFonts w:ascii="宋体" w:cs="宋体"/>
          <w:b/>
          <w:bCs/>
          <w:color w:val="auto"/>
          <w:sz w:val="22"/>
          <w:highlight w:val="none"/>
        </w:rPr>
        <w:t>"</w:t>
      </w:r>
      <w:r>
        <w:rPr>
          <w:rFonts w:hint="eastAsia" w:ascii="宋体" w:cs="宋体"/>
          <w:b/>
          <w:bCs/>
          <w:color w:val="auto"/>
          <w:sz w:val="22"/>
          <w:highlight w:val="none"/>
        </w:rPr>
        <w:t>垃圾清运</w:t>
      </w:r>
      <w:r>
        <w:rPr>
          <w:rFonts w:ascii="宋体" w:cs="宋体"/>
          <w:b/>
          <w:bCs/>
          <w:color w:val="auto"/>
          <w:sz w:val="22"/>
          <w:highlight w:val="none"/>
        </w:rPr>
        <w:t>"</w:t>
      </w:r>
      <w:r>
        <w:rPr>
          <w:rFonts w:hint="eastAsia" w:ascii="宋体" w:cs="宋体"/>
          <w:b/>
          <w:bCs/>
          <w:color w:val="auto"/>
          <w:sz w:val="22"/>
          <w:highlight w:val="none"/>
        </w:rPr>
        <w:t>服务标准和质量要求</w:t>
      </w:r>
    </w:p>
    <w:p w14:paraId="038CEE14">
      <w:pPr>
        <w:spacing w:line="400" w:lineRule="exact"/>
        <w:ind w:firstLine="440" w:firstLineChars="200"/>
        <w:rPr>
          <w:rFonts w:hint="eastAsia" w:ascii="宋体" w:cs="宋体" w:eastAsiaTheme="minorEastAsia"/>
          <w:color w:val="auto"/>
          <w:sz w:val="22"/>
          <w:highlight w:val="none"/>
          <w:lang w:eastAsia="zh-CN"/>
        </w:rPr>
      </w:pPr>
      <w:r>
        <w:rPr>
          <w:rFonts w:ascii="宋体" w:cs="宋体"/>
          <w:color w:val="auto"/>
          <w:sz w:val="22"/>
          <w:highlight w:val="none"/>
        </w:rPr>
        <w:t>1.</w:t>
      </w:r>
      <w:r>
        <w:rPr>
          <w:rFonts w:hint="eastAsia" w:ascii="宋体" w:cs="宋体"/>
          <w:color w:val="auto"/>
          <w:sz w:val="22"/>
          <w:highlight w:val="none"/>
        </w:rPr>
        <w:t>垃圾清运应符合下列质量要求：</w:t>
      </w:r>
    </w:p>
    <w:p w14:paraId="38ADF009">
      <w:pPr>
        <w:spacing w:line="400" w:lineRule="exact"/>
        <w:ind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1</w:t>
      </w:r>
      <w:r>
        <w:rPr>
          <w:rFonts w:hint="eastAsia" w:ascii="宋体" w:cs="宋体"/>
          <w:color w:val="auto"/>
          <w:sz w:val="22"/>
          <w:highlight w:val="none"/>
        </w:rPr>
        <w:t>）所有垃圾堆放点的垃圾每日早晚各清运一次，运至采购人指定垃圾中转站。上午须在</w:t>
      </w:r>
      <w:r>
        <w:rPr>
          <w:rFonts w:ascii="宋体" w:cs="宋体"/>
          <w:color w:val="auto"/>
          <w:sz w:val="22"/>
          <w:highlight w:val="none"/>
        </w:rPr>
        <w:t>6</w:t>
      </w:r>
      <w:r>
        <w:rPr>
          <w:rFonts w:hint="eastAsia" w:ascii="宋体" w:cs="宋体"/>
          <w:color w:val="auto"/>
          <w:sz w:val="22"/>
          <w:highlight w:val="none"/>
        </w:rPr>
        <w:t>时</w:t>
      </w:r>
      <w:r>
        <w:rPr>
          <w:rFonts w:ascii="宋体" w:cs="宋体"/>
          <w:color w:val="auto"/>
          <w:sz w:val="22"/>
          <w:highlight w:val="none"/>
        </w:rPr>
        <w:t>00</w:t>
      </w:r>
      <w:r>
        <w:rPr>
          <w:rFonts w:hint="eastAsia" w:ascii="宋体" w:cs="宋体"/>
          <w:color w:val="auto"/>
          <w:sz w:val="22"/>
          <w:highlight w:val="none"/>
        </w:rPr>
        <w:t>分前完成，下午须在</w:t>
      </w:r>
      <w:r>
        <w:rPr>
          <w:rFonts w:ascii="宋体" w:cs="宋体"/>
          <w:color w:val="auto"/>
          <w:sz w:val="22"/>
          <w:highlight w:val="none"/>
        </w:rPr>
        <w:t>18</w:t>
      </w:r>
      <w:r>
        <w:rPr>
          <w:rFonts w:hint="eastAsia" w:ascii="宋体" w:cs="宋体"/>
          <w:color w:val="auto"/>
          <w:sz w:val="22"/>
          <w:highlight w:val="none"/>
        </w:rPr>
        <w:t>时前完成。</w:t>
      </w:r>
    </w:p>
    <w:p w14:paraId="4A1BD69F">
      <w:pPr>
        <w:spacing w:line="400" w:lineRule="exact"/>
        <w:ind w:firstLine="440" w:firstLineChars="200"/>
        <w:rPr>
          <w:rFonts w:hint="eastAsia" w:ascii="宋体" w:cs="宋体" w:eastAsiaTheme="minorEastAsia"/>
          <w:color w:val="auto"/>
          <w:sz w:val="22"/>
          <w:highlight w:val="none"/>
          <w:lang w:eastAsia="zh-CN"/>
        </w:rPr>
      </w:pPr>
      <w:r>
        <w:rPr>
          <w:rFonts w:hint="eastAsia" w:ascii="宋体" w:cs="宋体"/>
          <w:color w:val="auto"/>
          <w:sz w:val="22"/>
          <w:highlight w:val="none"/>
        </w:rPr>
        <w:t>（</w:t>
      </w:r>
      <w:r>
        <w:rPr>
          <w:rFonts w:ascii="宋体" w:cs="宋体"/>
          <w:color w:val="auto"/>
          <w:sz w:val="22"/>
          <w:highlight w:val="none"/>
        </w:rPr>
        <w:t>2</w:t>
      </w:r>
      <w:r>
        <w:rPr>
          <w:rFonts w:hint="eastAsia" w:ascii="宋体" w:cs="宋体"/>
          <w:color w:val="auto"/>
          <w:sz w:val="22"/>
          <w:highlight w:val="none"/>
        </w:rPr>
        <w:t>）垃圾堆放点内外场地应整洁，无撒落垃圾和堆积杂物，无积留污水。</w:t>
      </w:r>
    </w:p>
    <w:p w14:paraId="7A97A883">
      <w:pPr>
        <w:spacing w:line="400" w:lineRule="exact"/>
        <w:ind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3</w:t>
      </w:r>
      <w:r>
        <w:rPr>
          <w:rFonts w:hint="eastAsia" w:ascii="宋体" w:cs="宋体"/>
          <w:color w:val="auto"/>
          <w:sz w:val="22"/>
          <w:highlight w:val="none"/>
        </w:rPr>
        <w:t>）垃圾堆放点内无恶臭，墙壁、窗户应无积尘、蛛网。</w:t>
      </w:r>
    </w:p>
    <w:p w14:paraId="6A677296">
      <w:pPr>
        <w:spacing w:line="400" w:lineRule="exact"/>
        <w:ind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4</w:t>
      </w:r>
      <w:r>
        <w:rPr>
          <w:rFonts w:hint="eastAsia" w:ascii="宋体" w:cs="宋体"/>
          <w:color w:val="auto"/>
          <w:sz w:val="22"/>
          <w:highlight w:val="none"/>
        </w:rPr>
        <w:t>）垃圾堆放点内垃圾装运容器应整洁，无积垢，无吊挂垃圾。</w:t>
      </w:r>
    </w:p>
    <w:p w14:paraId="7B03CE2C">
      <w:pPr>
        <w:spacing w:line="400" w:lineRule="exact"/>
        <w:ind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5</w:t>
      </w:r>
      <w:r>
        <w:rPr>
          <w:rFonts w:hint="eastAsia" w:ascii="宋体" w:cs="宋体"/>
          <w:color w:val="auto"/>
          <w:sz w:val="22"/>
          <w:highlight w:val="none"/>
        </w:rPr>
        <w:t>）蚊蝇孳生季节，应每天喷药灭蚊蝇，无恶臭。</w:t>
      </w:r>
    </w:p>
    <w:p w14:paraId="0CE56E2F">
      <w:pPr>
        <w:spacing w:line="400" w:lineRule="exact"/>
        <w:ind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6</w:t>
      </w:r>
      <w:r>
        <w:rPr>
          <w:rFonts w:hint="eastAsia" w:ascii="宋体" w:cs="宋体"/>
          <w:color w:val="auto"/>
          <w:sz w:val="22"/>
          <w:highlight w:val="none"/>
        </w:rPr>
        <w:t>）垃圾日产日清，垃圾桶和垃圾房内垃圾不得过夜搁置。</w:t>
      </w:r>
    </w:p>
    <w:p w14:paraId="5C5AECBB">
      <w:pPr>
        <w:spacing w:line="400" w:lineRule="exact"/>
        <w:ind w:firstLine="440" w:firstLineChars="200"/>
        <w:rPr>
          <w:rFonts w:ascii="宋体" w:cs="宋体"/>
          <w:color w:val="auto"/>
          <w:sz w:val="22"/>
          <w:highlight w:val="none"/>
        </w:rPr>
      </w:pPr>
      <w:r>
        <w:rPr>
          <w:rFonts w:ascii="宋体" w:cs="宋体"/>
          <w:color w:val="auto"/>
          <w:sz w:val="22"/>
          <w:highlight w:val="none"/>
        </w:rPr>
        <w:t>2.</w:t>
      </w:r>
      <w:r>
        <w:rPr>
          <w:rFonts w:hint="eastAsia" w:ascii="宋体" w:cs="宋体"/>
          <w:color w:val="auto"/>
          <w:sz w:val="22"/>
          <w:highlight w:val="none"/>
        </w:rPr>
        <w:t>垃圾收集清运车辆运输垃圾应符合下列质量要求：</w:t>
      </w:r>
    </w:p>
    <w:p w14:paraId="42C15C67">
      <w:pPr>
        <w:spacing w:line="400" w:lineRule="exact"/>
        <w:ind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1</w:t>
      </w:r>
      <w:r>
        <w:rPr>
          <w:rFonts w:hint="eastAsia" w:ascii="宋体" w:cs="宋体"/>
          <w:color w:val="auto"/>
          <w:sz w:val="22"/>
          <w:highlight w:val="none"/>
        </w:rPr>
        <w:t>）车容应整洁，车体外部无污物、灰垢，标志应清晰。</w:t>
      </w:r>
    </w:p>
    <w:p w14:paraId="15738E1B">
      <w:pPr>
        <w:spacing w:line="400" w:lineRule="exact"/>
        <w:ind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2</w:t>
      </w:r>
      <w:r>
        <w:rPr>
          <w:rFonts w:hint="eastAsia" w:ascii="宋体" w:cs="宋体"/>
          <w:color w:val="auto"/>
          <w:sz w:val="22"/>
          <w:highlight w:val="none"/>
        </w:rPr>
        <w:t>）运输垃圾应密闭，在运输过程中无垃圾扬、撒、拖挂和污水滴漏。</w:t>
      </w:r>
    </w:p>
    <w:p w14:paraId="0989992E">
      <w:pPr>
        <w:spacing w:line="400" w:lineRule="exact"/>
        <w:ind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3</w:t>
      </w:r>
      <w:r>
        <w:rPr>
          <w:rFonts w:hint="eastAsia" w:ascii="宋体" w:cs="宋体"/>
          <w:color w:val="auto"/>
          <w:sz w:val="22"/>
          <w:highlight w:val="none"/>
        </w:rPr>
        <w:t>）垃圾装运量应以车辆的额定荷载和有效容积为限，不得超重、超高运输。</w:t>
      </w:r>
    </w:p>
    <w:p w14:paraId="3AF74753">
      <w:pPr>
        <w:spacing w:line="400" w:lineRule="exact"/>
        <w:ind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4</w:t>
      </w:r>
      <w:r>
        <w:rPr>
          <w:rFonts w:hint="eastAsia" w:ascii="宋体" w:cs="宋体"/>
          <w:color w:val="auto"/>
          <w:sz w:val="22"/>
          <w:highlight w:val="none"/>
        </w:rPr>
        <w:t>）装卸垃圾应符合作业要求，不得乱倒、乱卸、乱抛垃圾。</w:t>
      </w:r>
    </w:p>
    <w:p w14:paraId="38D1DCBF">
      <w:pPr>
        <w:spacing w:line="400" w:lineRule="exact"/>
        <w:ind w:firstLine="440" w:firstLineChars="200"/>
        <w:rPr>
          <w:rFonts w:ascii="宋体" w:cs="宋体"/>
          <w:color w:val="auto"/>
          <w:sz w:val="22"/>
          <w:highlight w:val="none"/>
        </w:rPr>
      </w:pPr>
      <w:r>
        <w:rPr>
          <w:rFonts w:hint="eastAsia" w:ascii="宋体" w:cs="宋体"/>
          <w:color w:val="auto"/>
          <w:sz w:val="22"/>
          <w:highlight w:val="none"/>
        </w:rPr>
        <w:t>（</w:t>
      </w:r>
      <w:r>
        <w:rPr>
          <w:rFonts w:ascii="宋体" w:cs="宋体"/>
          <w:color w:val="auto"/>
          <w:sz w:val="22"/>
          <w:highlight w:val="none"/>
        </w:rPr>
        <w:t>5</w:t>
      </w:r>
      <w:r>
        <w:rPr>
          <w:rFonts w:hint="eastAsia" w:ascii="宋体" w:cs="宋体"/>
          <w:color w:val="auto"/>
          <w:sz w:val="22"/>
          <w:highlight w:val="none"/>
        </w:rPr>
        <w:t>）运输作业结束，应将车辆清洗干净。</w:t>
      </w:r>
    </w:p>
    <w:p w14:paraId="55B7A893">
      <w:pPr>
        <w:spacing w:line="400" w:lineRule="exact"/>
        <w:ind w:firstLine="442" w:firstLineChars="200"/>
        <w:rPr>
          <w:rFonts w:ascii="宋体" w:cs="宋体"/>
          <w:b/>
          <w:bCs/>
          <w:color w:val="auto"/>
          <w:sz w:val="22"/>
          <w:highlight w:val="none"/>
        </w:rPr>
      </w:pPr>
      <w:r>
        <w:rPr>
          <w:rFonts w:hint="eastAsia" w:ascii="宋体" w:cs="宋体"/>
          <w:b/>
          <w:bCs/>
          <w:color w:val="auto"/>
          <w:sz w:val="22"/>
          <w:highlight w:val="none"/>
        </w:rPr>
        <w:t>（三）规范作业</w:t>
      </w:r>
    </w:p>
    <w:p w14:paraId="3FC02BCF">
      <w:pPr>
        <w:spacing w:line="400" w:lineRule="exact"/>
        <w:ind w:firstLine="440" w:firstLineChars="200"/>
        <w:rPr>
          <w:rFonts w:ascii="宋体" w:cs="宋体"/>
          <w:color w:val="auto"/>
          <w:sz w:val="22"/>
          <w:highlight w:val="none"/>
        </w:rPr>
      </w:pPr>
      <w:r>
        <w:rPr>
          <w:rFonts w:ascii="宋体" w:cs="宋体"/>
          <w:color w:val="auto"/>
          <w:sz w:val="22"/>
          <w:highlight w:val="none"/>
        </w:rPr>
        <w:t>1.</w:t>
      </w:r>
      <w:r>
        <w:rPr>
          <w:rFonts w:hint="eastAsia" w:ascii="宋体" w:cs="宋体"/>
          <w:color w:val="auto"/>
          <w:sz w:val="22"/>
          <w:highlight w:val="none"/>
        </w:rPr>
        <w:t>环境卫生作业人员工作期间不得无故缺岗、离岗，不得迟到早退，不得消极怠工，不得酒后作业。不得捡拾、买卖废品；不得集聚闲聊，不做与作业无关的事。</w:t>
      </w:r>
    </w:p>
    <w:p w14:paraId="1A86102A">
      <w:pPr>
        <w:spacing w:line="400" w:lineRule="exact"/>
        <w:ind w:firstLine="440" w:firstLineChars="200"/>
        <w:rPr>
          <w:rFonts w:hint="eastAsia" w:ascii="宋体" w:cs="宋体" w:eastAsiaTheme="minorEastAsia"/>
          <w:color w:val="auto"/>
          <w:sz w:val="22"/>
          <w:highlight w:val="none"/>
          <w:lang w:eastAsia="zh-CN"/>
        </w:rPr>
      </w:pPr>
      <w:r>
        <w:rPr>
          <w:rFonts w:ascii="宋体" w:cs="宋体"/>
          <w:color w:val="auto"/>
          <w:sz w:val="22"/>
          <w:highlight w:val="none"/>
        </w:rPr>
        <w:t>2.</w:t>
      </w:r>
      <w:r>
        <w:rPr>
          <w:rFonts w:hint="eastAsia" w:ascii="宋体" w:cs="宋体"/>
          <w:color w:val="auto"/>
          <w:sz w:val="22"/>
          <w:highlight w:val="none"/>
        </w:rPr>
        <w:t>保洁人员应文明作业，不得将垃圾、污水扫到、溅到行人或乘客身上，不得将垃圾堆放或停留在路面上，不得将垃圾扫入或倒入窨井、绿地、河道等处，不得焚烧垃圾，必须运送至指定地点；清扫作业中不得漏扫、甩扫。</w:t>
      </w:r>
    </w:p>
    <w:p w14:paraId="2331E128">
      <w:pPr>
        <w:spacing w:line="400" w:lineRule="exact"/>
        <w:ind w:firstLine="440" w:firstLineChars="200"/>
        <w:rPr>
          <w:rFonts w:ascii="宋体" w:cs="宋体"/>
          <w:color w:val="auto"/>
          <w:sz w:val="22"/>
          <w:highlight w:val="none"/>
        </w:rPr>
      </w:pPr>
      <w:r>
        <w:rPr>
          <w:rFonts w:ascii="宋体" w:cs="宋体"/>
          <w:color w:val="auto"/>
          <w:sz w:val="22"/>
          <w:highlight w:val="none"/>
        </w:rPr>
        <w:t>3.</w:t>
      </w:r>
      <w:r>
        <w:rPr>
          <w:rFonts w:hint="eastAsia" w:ascii="宋体" w:cs="宋体"/>
          <w:color w:val="auto"/>
          <w:sz w:val="22"/>
          <w:highlight w:val="none"/>
        </w:rPr>
        <w:t>垃圾收集车标志应清晰，保持外观清洁，每日清洗后方可上路；垃圾装运量应以车辆的额定荷载和有效容积为限，不得超重、超高超速运输，不得悬挂杂物，装卸垃圾应符合作业要求，不得乱倒、乱卸、乱抛、焚烧垃圾。</w:t>
      </w:r>
    </w:p>
    <w:p w14:paraId="63560576">
      <w:pPr>
        <w:spacing w:line="400" w:lineRule="exact"/>
        <w:ind w:firstLine="440" w:firstLineChars="200"/>
        <w:rPr>
          <w:rFonts w:ascii="宋体" w:cs="宋体"/>
          <w:color w:val="auto"/>
          <w:sz w:val="22"/>
          <w:highlight w:val="none"/>
        </w:rPr>
      </w:pPr>
      <w:r>
        <w:rPr>
          <w:rFonts w:ascii="宋体" w:cs="宋体"/>
          <w:color w:val="auto"/>
          <w:sz w:val="22"/>
          <w:highlight w:val="none"/>
        </w:rPr>
        <w:t>4.</w:t>
      </w:r>
      <w:r>
        <w:rPr>
          <w:rFonts w:hint="eastAsia" w:ascii="宋体" w:cs="宋体"/>
          <w:color w:val="auto"/>
          <w:sz w:val="22"/>
          <w:highlight w:val="none"/>
        </w:rPr>
        <w:t>垃圾清运完毕，应打扫周边环境，做到人走地净。</w:t>
      </w:r>
    </w:p>
    <w:p w14:paraId="55DBFB65">
      <w:pPr>
        <w:spacing w:line="400" w:lineRule="exact"/>
        <w:ind w:firstLine="440" w:firstLineChars="200"/>
        <w:rPr>
          <w:rFonts w:ascii="宋体" w:cs="宋体"/>
          <w:color w:val="auto"/>
          <w:sz w:val="22"/>
          <w:highlight w:val="none"/>
        </w:rPr>
      </w:pPr>
      <w:r>
        <w:rPr>
          <w:rFonts w:ascii="宋体" w:cs="宋体"/>
          <w:color w:val="auto"/>
          <w:sz w:val="22"/>
          <w:highlight w:val="none"/>
        </w:rPr>
        <w:t>5.</w:t>
      </w:r>
      <w:r>
        <w:rPr>
          <w:rFonts w:hint="eastAsia" w:ascii="宋体" w:cs="宋体"/>
          <w:color w:val="auto"/>
          <w:sz w:val="22"/>
          <w:highlight w:val="none"/>
        </w:rPr>
        <w:t>垃圾收集车辆应经常检查，及时发现排除故障，不得带故障运行；所有车辆停放必须遵守交通法规。</w:t>
      </w:r>
    </w:p>
    <w:p w14:paraId="62B51167">
      <w:pPr>
        <w:spacing w:line="400" w:lineRule="exact"/>
        <w:ind w:firstLine="440" w:firstLineChars="200"/>
        <w:rPr>
          <w:rFonts w:ascii="宋体" w:cs="宋体"/>
          <w:color w:val="auto"/>
          <w:sz w:val="22"/>
          <w:highlight w:val="none"/>
        </w:rPr>
      </w:pPr>
      <w:r>
        <w:rPr>
          <w:rFonts w:ascii="宋体" w:cs="宋体"/>
          <w:color w:val="auto"/>
          <w:sz w:val="22"/>
          <w:highlight w:val="none"/>
        </w:rPr>
        <w:t>6.</w:t>
      </w:r>
      <w:r>
        <w:rPr>
          <w:rFonts w:hint="eastAsia" w:ascii="宋体" w:cs="宋体"/>
          <w:color w:val="auto"/>
          <w:sz w:val="22"/>
          <w:highlight w:val="none"/>
        </w:rPr>
        <w:t>清扫保洁应根据业主的要求和自身实际作业标准建立相关台账，做好车辆使用记录。</w:t>
      </w:r>
    </w:p>
    <w:p w14:paraId="2C190159">
      <w:pPr>
        <w:spacing w:line="400" w:lineRule="exact"/>
        <w:ind w:firstLine="440" w:firstLineChars="200"/>
        <w:rPr>
          <w:rFonts w:ascii="宋体" w:cs="宋体"/>
          <w:color w:val="auto"/>
          <w:sz w:val="22"/>
          <w:highlight w:val="none"/>
        </w:rPr>
      </w:pPr>
      <w:r>
        <w:rPr>
          <w:rFonts w:ascii="宋体" w:cs="宋体"/>
          <w:color w:val="auto"/>
          <w:sz w:val="22"/>
          <w:highlight w:val="none"/>
        </w:rPr>
        <w:t>7.</w:t>
      </w:r>
      <w:r>
        <w:rPr>
          <w:rFonts w:hint="eastAsia" w:ascii="宋体" w:cs="宋体"/>
          <w:color w:val="auto"/>
          <w:sz w:val="22"/>
          <w:highlight w:val="none"/>
        </w:rPr>
        <w:t>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02EBB8FF">
      <w:pPr>
        <w:spacing w:line="400" w:lineRule="exact"/>
        <w:ind w:firstLine="440" w:firstLineChars="200"/>
        <w:rPr>
          <w:rFonts w:ascii="宋体" w:cs="宋体"/>
          <w:color w:val="auto"/>
          <w:sz w:val="22"/>
          <w:highlight w:val="none"/>
        </w:rPr>
      </w:pPr>
      <w:r>
        <w:rPr>
          <w:rFonts w:ascii="宋体" w:cs="宋体"/>
          <w:color w:val="auto"/>
          <w:sz w:val="22"/>
          <w:highlight w:val="none"/>
        </w:rPr>
        <w:t>8.</w:t>
      </w:r>
      <w:r>
        <w:rPr>
          <w:rFonts w:hint="eastAsia" w:ascii="宋体" w:cs="宋体"/>
          <w:color w:val="auto"/>
          <w:sz w:val="22"/>
          <w:highlight w:val="none"/>
        </w:rPr>
        <w:t>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村居垃圾日产日清。</w:t>
      </w:r>
    </w:p>
    <w:p w14:paraId="0A95DDD0">
      <w:pPr>
        <w:spacing w:line="400" w:lineRule="exact"/>
        <w:ind w:firstLine="440" w:firstLineChars="200"/>
        <w:rPr>
          <w:rFonts w:ascii="宋体" w:cs="宋体"/>
          <w:color w:val="auto"/>
          <w:sz w:val="22"/>
          <w:highlight w:val="none"/>
        </w:rPr>
      </w:pPr>
      <w:r>
        <w:rPr>
          <w:rFonts w:ascii="宋体" w:cs="宋体"/>
          <w:color w:val="auto"/>
          <w:sz w:val="22"/>
          <w:highlight w:val="none"/>
        </w:rPr>
        <w:t>9.</w:t>
      </w:r>
      <w:r>
        <w:rPr>
          <w:rFonts w:hint="eastAsia" w:ascii="宋体" w:cs="宋体"/>
          <w:color w:val="auto"/>
          <w:sz w:val="22"/>
          <w:highlight w:val="none"/>
        </w:rPr>
        <w:t>其他要求：遇有重大活动或突发事件，及时组织力量做好清扫保洁等保障工作，及时听从业主的指挥和调度；遇有不可抗力因素，中标单位应无条件配合业主做好村居环境卫生保洁和垃圾清运工作。</w:t>
      </w:r>
    </w:p>
    <w:p w14:paraId="103D1884">
      <w:pPr>
        <w:spacing w:line="400" w:lineRule="exact"/>
        <w:ind w:firstLine="442" w:firstLineChars="200"/>
        <w:rPr>
          <w:rFonts w:ascii="宋体" w:cs="宋体"/>
          <w:b/>
          <w:bCs/>
          <w:color w:val="auto"/>
          <w:sz w:val="22"/>
          <w:highlight w:val="none"/>
        </w:rPr>
      </w:pPr>
      <w:r>
        <w:rPr>
          <w:rFonts w:hint="eastAsia" w:ascii="宋体" w:cs="宋体"/>
          <w:b/>
          <w:bCs/>
          <w:color w:val="auto"/>
          <w:sz w:val="22"/>
          <w:highlight w:val="none"/>
        </w:rPr>
        <w:t>（四）垃圾收集及分类管理要求:</w:t>
      </w:r>
    </w:p>
    <w:p w14:paraId="13065044">
      <w:pPr>
        <w:pStyle w:val="99"/>
        <w:spacing w:line="400" w:lineRule="exact"/>
        <w:ind w:firstLine="440" w:firstLineChars="200"/>
        <w:rPr>
          <w:rFonts w:ascii="宋体" w:eastAsia="宋体" w:cs="宋体"/>
          <w:b w:val="0"/>
          <w:color w:val="auto"/>
          <w:sz w:val="22"/>
          <w:szCs w:val="22"/>
          <w:highlight w:val="none"/>
        </w:rPr>
      </w:pPr>
      <w:r>
        <w:rPr>
          <w:rFonts w:hint="eastAsia" w:ascii="宋体" w:eastAsia="宋体" w:cs="宋体"/>
          <w:b w:val="0"/>
          <w:color w:val="auto"/>
          <w:sz w:val="22"/>
          <w:szCs w:val="22"/>
          <w:highlight w:val="none"/>
        </w:rPr>
        <w:t>垃圾收集车标志应清晰，保持外观清洁；遵守交通法规，不违章停放车辆，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35162441">
      <w:pPr>
        <w:pStyle w:val="99"/>
        <w:spacing w:line="400" w:lineRule="exact"/>
        <w:ind w:firstLine="440"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1</w:t>
      </w:r>
      <w:r>
        <w:rPr>
          <w:rFonts w:hint="eastAsia" w:ascii="宋体" w:eastAsia="宋体" w:cs="宋体"/>
          <w:b w:val="0"/>
          <w:color w:val="auto"/>
          <w:sz w:val="22"/>
          <w:szCs w:val="22"/>
          <w:highlight w:val="none"/>
        </w:rPr>
        <w:t>、做好入户宣传培训和户外宣传工作，投入智能积分系统，形成后台可视化可追踪溯源的数据系统；</w:t>
      </w:r>
    </w:p>
    <w:p w14:paraId="5F018821">
      <w:pPr>
        <w:pStyle w:val="99"/>
        <w:spacing w:line="400" w:lineRule="exact"/>
        <w:ind w:firstLine="440"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2</w:t>
      </w:r>
      <w:r>
        <w:rPr>
          <w:rFonts w:hint="eastAsia" w:ascii="宋体" w:eastAsia="宋体" w:cs="宋体"/>
          <w:b w:val="0"/>
          <w:color w:val="auto"/>
          <w:sz w:val="22"/>
          <w:szCs w:val="22"/>
          <w:highlight w:val="none"/>
        </w:rPr>
        <w:t>、垃圾分类知晓率和投放准确率达到各年度考核要求；</w:t>
      </w:r>
    </w:p>
    <w:p w14:paraId="4EBBA074">
      <w:pPr>
        <w:pStyle w:val="99"/>
        <w:spacing w:line="400" w:lineRule="exact"/>
        <w:ind w:firstLine="440"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3</w:t>
      </w:r>
      <w:r>
        <w:rPr>
          <w:rFonts w:hint="eastAsia" w:ascii="宋体" w:eastAsia="宋体" w:cs="宋体"/>
          <w:b w:val="0"/>
          <w:color w:val="auto"/>
          <w:sz w:val="22"/>
          <w:szCs w:val="22"/>
          <w:highlight w:val="none"/>
        </w:rPr>
        <w:t>、肩负起项目点老百姓垃圾分类工作的跟踪与反馈的义务；</w:t>
      </w:r>
    </w:p>
    <w:p w14:paraId="6E276334">
      <w:pPr>
        <w:pStyle w:val="99"/>
        <w:spacing w:line="400" w:lineRule="exact"/>
        <w:ind w:firstLine="440"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4</w:t>
      </w:r>
      <w:r>
        <w:rPr>
          <w:rFonts w:hint="eastAsia" w:ascii="宋体" w:eastAsia="宋体" w:cs="宋体"/>
          <w:b w:val="0"/>
          <w:color w:val="auto"/>
          <w:sz w:val="22"/>
          <w:szCs w:val="22"/>
          <w:highlight w:val="none"/>
        </w:rPr>
        <w:t>、对分类区域的垃圾进行分类运输，不得将垃圾进行混合收运；</w:t>
      </w:r>
    </w:p>
    <w:p w14:paraId="45799091">
      <w:pPr>
        <w:pStyle w:val="99"/>
        <w:spacing w:line="400" w:lineRule="exact"/>
        <w:ind w:firstLine="440"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5</w:t>
      </w:r>
      <w:r>
        <w:rPr>
          <w:rFonts w:hint="eastAsia" w:ascii="宋体" w:eastAsia="宋体" w:cs="宋体"/>
          <w:b w:val="0"/>
          <w:color w:val="auto"/>
          <w:sz w:val="22"/>
          <w:szCs w:val="22"/>
          <w:highlight w:val="none"/>
        </w:rPr>
        <w:t>、后端处理终端需要配备专业的处置员进行分类处置；</w:t>
      </w:r>
    </w:p>
    <w:p w14:paraId="2E6DE29E">
      <w:pPr>
        <w:pStyle w:val="99"/>
        <w:spacing w:line="400" w:lineRule="exact"/>
        <w:ind w:firstLine="440"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6</w:t>
      </w:r>
      <w:r>
        <w:rPr>
          <w:rFonts w:hint="eastAsia" w:ascii="宋体" w:eastAsia="宋体" w:cs="宋体"/>
          <w:b w:val="0"/>
          <w:color w:val="auto"/>
          <w:sz w:val="22"/>
          <w:szCs w:val="22"/>
          <w:highlight w:val="none"/>
        </w:rPr>
        <w:t>、投标人采取的垃圾分类收集方式对应的投入相关设备设施及车辆需要达到辐射面的基本要求；</w:t>
      </w:r>
    </w:p>
    <w:p w14:paraId="5FD5B738">
      <w:pPr>
        <w:pStyle w:val="99"/>
        <w:spacing w:line="400" w:lineRule="exact"/>
        <w:ind w:firstLine="440"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7</w:t>
      </w:r>
      <w:r>
        <w:rPr>
          <w:rFonts w:hint="eastAsia" w:ascii="宋体" w:eastAsia="宋体" w:cs="宋体"/>
          <w:b w:val="0"/>
          <w:color w:val="auto"/>
          <w:sz w:val="22"/>
          <w:szCs w:val="22"/>
          <w:highlight w:val="none"/>
        </w:rPr>
        <w:t>、可回收垃圾需按市价回收，不得擅自低价收集，并自行安排仓储。易腐垃圾与有害垃圾需按照积分兑换原则积极收取，及时汇报终端处置结果与方式；</w:t>
      </w:r>
    </w:p>
    <w:p w14:paraId="4FEB2F98">
      <w:pPr>
        <w:pStyle w:val="99"/>
        <w:spacing w:line="400" w:lineRule="exact"/>
        <w:ind w:firstLine="440" w:firstLineChars="200"/>
        <w:rPr>
          <w:rFonts w:ascii="宋体" w:eastAsia="宋体" w:cs="宋体"/>
          <w:b w:val="0"/>
          <w:color w:val="auto"/>
          <w:sz w:val="22"/>
          <w:szCs w:val="22"/>
          <w:highlight w:val="none"/>
        </w:rPr>
      </w:pPr>
      <w:r>
        <w:rPr>
          <w:rFonts w:ascii="宋体" w:eastAsia="宋体" w:cs="宋体"/>
          <w:b w:val="0"/>
          <w:color w:val="auto"/>
          <w:sz w:val="22"/>
          <w:szCs w:val="22"/>
          <w:highlight w:val="none"/>
        </w:rPr>
        <w:t>8</w:t>
      </w:r>
      <w:r>
        <w:rPr>
          <w:rFonts w:hint="eastAsia" w:ascii="宋体" w:eastAsia="宋体" w:cs="宋体"/>
          <w:b w:val="0"/>
          <w:color w:val="auto"/>
          <w:sz w:val="22"/>
          <w:szCs w:val="22"/>
          <w:highlight w:val="none"/>
        </w:rPr>
        <w:t>、垃圾分类积分兑换礼品需正规渠道采购，采购资金中标企业自行负责解决，兑换礼品价值与积分的比例需合理，积分累计方式采取线上线下相结合</w:t>
      </w:r>
      <w:r>
        <w:rPr>
          <w:rFonts w:ascii="宋体" w:eastAsia="宋体" w:cs="宋体"/>
          <w:b w:val="0"/>
          <w:color w:val="auto"/>
          <w:sz w:val="22"/>
          <w:szCs w:val="22"/>
          <w:highlight w:val="none"/>
        </w:rPr>
        <w:t>,</w:t>
      </w:r>
      <w:r>
        <w:rPr>
          <w:rFonts w:hint="eastAsia" w:ascii="宋体" w:eastAsia="宋体" w:cs="宋体"/>
          <w:b w:val="0"/>
          <w:color w:val="auto"/>
          <w:sz w:val="22"/>
          <w:szCs w:val="22"/>
          <w:highlight w:val="none"/>
        </w:rPr>
        <w:t>后台可控可视可管理。</w:t>
      </w:r>
    </w:p>
    <w:p w14:paraId="565180EA">
      <w:pPr>
        <w:spacing w:line="400" w:lineRule="exact"/>
        <w:ind w:firstLine="440" w:firstLineChars="200"/>
        <w:rPr>
          <w:rFonts w:hint="eastAsia" w:ascii="宋体" w:cs="宋体" w:eastAsiaTheme="minorEastAsia"/>
          <w:b w:val="0"/>
          <w:bCs w:val="0"/>
          <w:color w:val="auto"/>
          <w:sz w:val="22"/>
          <w:highlight w:val="none"/>
          <w:lang w:val="en-US" w:eastAsia="zh-CN"/>
        </w:rPr>
      </w:pPr>
      <w:r>
        <w:rPr>
          <w:rFonts w:hint="eastAsia" w:ascii="宋体" w:cs="宋体"/>
          <w:b w:val="0"/>
          <w:bCs w:val="0"/>
          <w:color w:val="auto"/>
          <w:sz w:val="22"/>
          <w:highlight w:val="none"/>
          <w:lang w:val="en-US" w:eastAsia="zh-CN"/>
        </w:rPr>
        <w:t>9、垃圾分类公共场所及及行业规范性建设</w:t>
      </w:r>
    </w:p>
    <w:p w14:paraId="24835FC3">
      <w:pPr>
        <w:spacing w:line="400" w:lineRule="exact"/>
        <w:ind w:firstLine="442" w:firstLineChars="200"/>
        <w:rPr>
          <w:rFonts w:ascii="宋体" w:cs="宋体"/>
          <w:b/>
          <w:bCs/>
          <w:color w:val="auto"/>
          <w:sz w:val="22"/>
          <w:highlight w:val="none"/>
        </w:rPr>
      </w:pPr>
      <w:r>
        <w:rPr>
          <w:rFonts w:hint="eastAsia" w:ascii="宋体" w:cs="宋体"/>
          <w:b/>
          <w:bCs/>
          <w:color w:val="auto"/>
          <w:sz w:val="22"/>
          <w:highlight w:val="none"/>
        </w:rPr>
        <w:t>（五）环境卫生规范管理要求</w:t>
      </w:r>
    </w:p>
    <w:p w14:paraId="1F30A6A5">
      <w:pPr>
        <w:spacing w:line="400" w:lineRule="exact"/>
        <w:ind w:firstLine="440" w:firstLineChars="200"/>
        <w:rPr>
          <w:rFonts w:ascii="宋体" w:cs="宋体"/>
          <w:color w:val="auto"/>
          <w:sz w:val="22"/>
          <w:highlight w:val="none"/>
        </w:rPr>
      </w:pPr>
      <w:r>
        <w:rPr>
          <w:rFonts w:ascii="宋体" w:cs="宋体"/>
          <w:color w:val="auto"/>
          <w:sz w:val="22"/>
          <w:highlight w:val="none"/>
        </w:rPr>
        <w:t>1.</w:t>
      </w:r>
      <w:r>
        <w:rPr>
          <w:rFonts w:hint="eastAsia" w:ascii="宋体" w:cs="宋体"/>
          <w:color w:val="auto"/>
          <w:sz w:val="22"/>
          <w:highlight w:val="none"/>
        </w:rPr>
        <w:t>规范作业人员岗位职责管理，与作业人员签订岗位职责承诺书，制作作业人员花名册，标明人员姓名（照片）、岗位、负责区域、工作时段等信息，花名册彩色刊印提交采购人考核时核对。</w:t>
      </w:r>
    </w:p>
    <w:p w14:paraId="09EAC802">
      <w:pPr>
        <w:spacing w:line="400" w:lineRule="exact"/>
        <w:ind w:firstLine="440" w:firstLineChars="200"/>
        <w:rPr>
          <w:rFonts w:ascii="宋体" w:cs="宋体"/>
          <w:color w:val="auto"/>
          <w:sz w:val="22"/>
          <w:highlight w:val="none"/>
        </w:rPr>
      </w:pPr>
      <w:r>
        <w:rPr>
          <w:rFonts w:ascii="宋体" w:cs="宋体"/>
          <w:color w:val="auto"/>
          <w:sz w:val="22"/>
          <w:highlight w:val="none"/>
        </w:rPr>
        <w:t>2.</w:t>
      </w:r>
      <w:r>
        <w:rPr>
          <w:rFonts w:hint="eastAsia" w:ascii="宋体" w:cs="宋体"/>
          <w:color w:val="auto"/>
          <w:sz w:val="22"/>
          <w:highlight w:val="none"/>
        </w:rPr>
        <w:t>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0D03ED25">
      <w:pPr>
        <w:spacing w:line="400" w:lineRule="exact"/>
        <w:ind w:firstLine="440" w:firstLineChars="200"/>
        <w:rPr>
          <w:rFonts w:ascii="宋体" w:cs="宋体"/>
          <w:color w:val="auto"/>
          <w:sz w:val="22"/>
          <w:highlight w:val="none"/>
        </w:rPr>
      </w:pPr>
      <w:r>
        <w:rPr>
          <w:rFonts w:ascii="宋体" w:cs="宋体"/>
          <w:color w:val="auto"/>
          <w:sz w:val="22"/>
          <w:highlight w:val="none"/>
        </w:rPr>
        <w:t>3.</w:t>
      </w:r>
      <w:r>
        <w:rPr>
          <w:rFonts w:hint="eastAsia" w:ascii="宋体" w:cs="宋体"/>
          <w:color w:val="auto"/>
          <w:sz w:val="22"/>
          <w:highlight w:val="none"/>
        </w:rPr>
        <w:t>加强内部作业管理，合同期内中标单位应加强作业管理，加强安全作业控制，项目管理人员应跟班作业，加强各村居内保洁巡视，做好巡视记录，每天检查员工清扫保洁及垃圾清运的时间、任务量等日常工作。</w:t>
      </w:r>
    </w:p>
    <w:p w14:paraId="0420400D">
      <w:pPr>
        <w:spacing w:line="400" w:lineRule="exact"/>
        <w:ind w:firstLine="440" w:firstLineChars="200"/>
        <w:rPr>
          <w:rFonts w:ascii="宋体" w:cs="宋体"/>
          <w:color w:val="auto"/>
          <w:sz w:val="22"/>
          <w:highlight w:val="none"/>
        </w:rPr>
      </w:pPr>
      <w:r>
        <w:rPr>
          <w:rFonts w:ascii="宋体" w:cs="宋体"/>
          <w:color w:val="auto"/>
          <w:sz w:val="22"/>
          <w:highlight w:val="none"/>
        </w:rPr>
        <w:t>4.</w:t>
      </w:r>
      <w:r>
        <w:rPr>
          <w:rFonts w:hint="eastAsia" w:ascii="宋体" w:cs="宋体"/>
          <w:color w:val="auto"/>
          <w:sz w:val="22"/>
          <w:highlight w:val="none"/>
        </w:rPr>
        <w:t>建立并规范作业台账，按规定建立规范、详细的养护作业台帐，做好养护工作量日报、月报及年报，按时上报各类报表并协助调查、解决来电来信来访等问题。</w:t>
      </w:r>
    </w:p>
    <w:p w14:paraId="2F084B82">
      <w:pPr>
        <w:spacing w:line="400" w:lineRule="exact"/>
        <w:ind w:firstLine="440" w:firstLineChars="200"/>
        <w:rPr>
          <w:rFonts w:ascii="宋体" w:cs="宋体"/>
          <w:color w:val="auto"/>
          <w:sz w:val="22"/>
          <w:highlight w:val="none"/>
        </w:rPr>
      </w:pPr>
      <w:r>
        <w:rPr>
          <w:rFonts w:ascii="宋体" w:cs="宋体"/>
          <w:color w:val="auto"/>
          <w:sz w:val="22"/>
          <w:highlight w:val="none"/>
        </w:rPr>
        <w:t>5.</w:t>
      </w:r>
      <w:r>
        <w:rPr>
          <w:rFonts w:hint="eastAsia" w:ascii="宋体" w:cs="宋体"/>
          <w:color w:val="auto"/>
          <w:sz w:val="22"/>
          <w:highlight w:val="none"/>
        </w:rPr>
        <w:t>严格落实一线作业人员年龄结构，提升服务质量，本次项目所需的作业人员均由中标单位招聘，所招聘的人员必须在合理年龄以内，优化作业人员年龄结构。</w:t>
      </w:r>
    </w:p>
    <w:p w14:paraId="4788CE1A">
      <w:pPr>
        <w:spacing w:line="400" w:lineRule="exact"/>
        <w:ind w:firstLine="440" w:firstLineChars="200"/>
        <w:rPr>
          <w:rFonts w:ascii="宋体" w:cs="宋体"/>
          <w:color w:val="auto"/>
          <w:sz w:val="22"/>
          <w:highlight w:val="none"/>
        </w:rPr>
      </w:pPr>
      <w:r>
        <w:rPr>
          <w:rFonts w:ascii="宋体" w:cs="宋体"/>
          <w:color w:val="auto"/>
          <w:sz w:val="22"/>
          <w:highlight w:val="none"/>
        </w:rPr>
        <w:t>6.</w:t>
      </w:r>
      <w:r>
        <w:rPr>
          <w:rFonts w:hint="eastAsia" w:ascii="宋体" w:cs="宋体"/>
          <w:color w:val="auto"/>
          <w:sz w:val="22"/>
          <w:highlight w:val="none"/>
        </w:rPr>
        <w:t>加强作业人员安全作业、文明作业教育。中标单位应定期组织所有一线作业人员进行安全文明作业教育，不断提升一线作业人员的业务能力。新入作业人员应安排合理的培训，以确保每个投入一线工作的作业人员具备合格的作业能力。</w:t>
      </w:r>
    </w:p>
    <w:p w14:paraId="38D3A610">
      <w:pPr>
        <w:spacing w:line="400" w:lineRule="exact"/>
        <w:ind w:firstLine="440" w:firstLineChars="200"/>
        <w:rPr>
          <w:rFonts w:ascii="宋体" w:cs="宋体"/>
          <w:color w:val="auto"/>
          <w:sz w:val="22"/>
          <w:highlight w:val="none"/>
        </w:rPr>
      </w:pPr>
      <w:r>
        <w:rPr>
          <w:rFonts w:ascii="宋体" w:cs="宋体"/>
          <w:color w:val="auto"/>
          <w:sz w:val="22"/>
          <w:highlight w:val="none"/>
        </w:rPr>
        <w:t>7.</w:t>
      </w:r>
      <w:r>
        <w:rPr>
          <w:rFonts w:hint="eastAsia" w:ascii="宋体" w:cs="宋体"/>
          <w:color w:val="auto"/>
          <w:sz w:val="22"/>
          <w:highlight w:val="none"/>
        </w:rPr>
        <w:t>加强作业车辆管理，中标单位应加强作业车辆的日常管理，确保专车专用，遵守交通规则，文明行驶，安全行驶。</w:t>
      </w:r>
    </w:p>
    <w:p w14:paraId="62923096">
      <w:pPr>
        <w:spacing w:line="400" w:lineRule="exact"/>
        <w:ind w:firstLine="442" w:firstLineChars="200"/>
        <w:rPr>
          <w:rFonts w:hint="eastAsia"/>
          <w:b/>
          <w:bCs/>
          <w:color w:val="auto"/>
          <w:highlight w:val="none"/>
          <w:lang w:val="en-US" w:eastAsia="zh-CN"/>
        </w:rPr>
      </w:pPr>
      <w:r>
        <w:rPr>
          <w:rFonts w:hint="eastAsia" w:ascii="宋体" w:cs="宋体"/>
          <w:b/>
          <w:bCs/>
          <w:color w:val="auto"/>
          <w:sz w:val="22"/>
          <w:highlight w:val="none"/>
          <w:lang w:eastAsia="zh-CN"/>
        </w:rPr>
        <w:t>（六）公厕保洁</w:t>
      </w:r>
      <w:r>
        <w:rPr>
          <w:rFonts w:hint="eastAsia" w:ascii="宋体" w:cs="宋体"/>
          <w:b/>
          <w:bCs/>
          <w:color w:val="auto"/>
          <w:sz w:val="22"/>
          <w:highlight w:val="none"/>
        </w:rPr>
        <w:t>服务标准和质量要求</w:t>
      </w:r>
      <w:r>
        <w:rPr>
          <w:rFonts w:hint="eastAsia" w:ascii="宋体" w:hAnsi="宋体"/>
          <w:b/>
          <w:bCs/>
          <w:color w:val="auto"/>
          <w:kern w:val="0"/>
          <w:sz w:val="22"/>
          <w:highlight w:val="none"/>
          <w:lang w:val="en-US" w:eastAsia="zh-CN"/>
        </w:rPr>
        <w:t>具体保洁标准根据温州市综合行政执法局印发的《温州市城镇公告厕所保洁与服务管理标准（试行）》其中部分保洁要求如下：</w:t>
      </w:r>
    </w:p>
    <w:p w14:paraId="40C684DF">
      <w:pPr>
        <w:spacing w:line="400" w:lineRule="exact"/>
        <w:rPr>
          <w:rFonts w:hint="eastAsia" w:ascii="宋体" w:hAnsi="宋体"/>
          <w:b w:val="0"/>
          <w:bCs w:val="0"/>
          <w:color w:val="auto"/>
          <w:kern w:val="0"/>
          <w:sz w:val="22"/>
          <w:highlight w:val="none"/>
        </w:rPr>
      </w:pPr>
      <w:r>
        <w:rPr>
          <w:rFonts w:hint="eastAsia" w:ascii="宋体" w:hAnsi="宋体"/>
          <w:b w:val="0"/>
          <w:bCs w:val="0"/>
          <w:color w:val="auto"/>
          <w:kern w:val="0"/>
          <w:sz w:val="22"/>
          <w:highlight w:val="none"/>
          <w:lang w:val="en-US" w:eastAsia="zh-CN"/>
        </w:rPr>
        <w:t>1</w:t>
      </w:r>
      <w:r>
        <w:rPr>
          <w:rFonts w:hint="eastAsia" w:ascii="宋体" w:hAnsi="宋体"/>
          <w:b w:val="0"/>
          <w:bCs w:val="0"/>
          <w:color w:val="auto"/>
          <w:kern w:val="0"/>
          <w:sz w:val="22"/>
          <w:highlight w:val="none"/>
        </w:rPr>
        <w:t>、通用要求</w:t>
      </w:r>
    </w:p>
    <w:p w14:paraId="1B8A70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b w:val="0"/>
          <w:bCs w:val="0"/>
          <w:color w:val="auto"/>
          <w:kern w:val="0"/>
          <w:sz w:val="22"/>
          <w:highlight w:val="none"/>
        </w:rPr>
      </w:pPr>
      <w:r>
        <w:rPr>
          <w:rFonts w:hint="eastAsia" w:ascii="宋体" w:hAnsi="宋体"/>
          <w:b w:val="0"/>
          <w:bCs w:val="0"/>
          <w:color w:val="auto"/>
          <w:kern w:val="0"/>
          <w:sz w:val="22"/>
          <w:highlight w:val="none"/>
          <w:lang w:val="en-US" w:eastAsia="zh-CN"/>
        </w:rPr>
        <w:t>1.</w:t>
      </w:r>
      <w:r>
        <w:rPr>
          <w:rFonts w:hint="eastAsia" w:ascii="宋体" w:hAnsi="宋体"/>
          <w:b w:val="0"/>
          <w:bCs w:val="0"/>
          <w:color w:val="auto"/>
          <w:kern w:val="0"/>
          <w:sz w:val="22"/>
          <w:highlight w:val="none"/>
        </w:rPr>
        <w:t>1公共厕所应做到干净、方便、文明、卫生。</w:t>
      </w:r>
    </w:p>
    <w:p w14:paraId="45D344A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b w:val="0"/>
          <w:bCs w:val="0"/>
          <w:color w:val="auto"/>
          <w:kern w:val="0"/>
          <w:sz w:val="22"/>
          <w:highlight w:val="none"/>
        </w:rPr>
      </w:pPr>
      <w:r>
        <w:rPr>
          <w:rFonts w:hint="eastAsia" w:ascii="宋体" w:hAnsi="宋体"/>
          <w:b w:val="0"/>
          <w:bCs w:val="0"/>
          <w:color w:val="auto"/>
          <w:kern w:val="0"/>
          <w:sz w:val="22"/>
          <w:highlight w:val="none"/>
          <w:lang w:val="en-US" w:eastAsia="zh-CN"/>
        </w:rPr>
        <w:t>1</w:t>
      </w:r>
      <w:r>
        <w:rPr>
          <w:rFonts w:hint="eastAsia" w:ascii="宋体" w:hAnsi="宋体"/>
          <w:b w:val="0"/>
          <w:bCs w:val="0"/>
          <w:color w:val="auto"/>
          <w:kern w:val="0"/>
          <w:sz w:val="22"/>
          <w:highlight w:val="none"/>
        </w:rPr>
        <w:t>.2公共厕所的保洁质量满足本环境卫生控制指标的规定。</w:t>
      </w:r>
    </w:p>
    <w:p w14:paraId="46357B0B">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b w:val="0"/>
          <w:bCs w:val="0"/>
          <w:color w:val="auto"/>
          <w:kern w:val="0"/>
          <w:sz w:val="22"/>
          <w:highlight w:val="none"/>
        </w:rPr>
      </w:pPr>
      <w:r>
        <w:rPr>
          <w:rFonts w:hint="eastAsia" w:ascii="宋体" w:hAnsi="宋体"/>
          <w:b w:val="0"/>
          <w:bCs w:val="0"/>
          <w:color w:val="auto"/>
          <w:kern w:val="0"/>
          <w:sz w:val="22"/>
          <w:highlight w:val="none"/>
          <w:lang w:val="en-US" w:eastAsia="zh-CN"/>
        </w:rPr>
        <w:t>1</w:t>
      </w:r>
      <w:r>
        <w:rPr>
          <w:rFonts w:hint="eastAsia" w:ascii="宋体" w:hAnsi="宋体"/>
          <w:b w:val="0"/>
          <w:bCs w:val="0"/>
          <w:color w:val="auto"/>
          <w:kern w:val="0"/>
          <w:sz w:val="22"/>
          <w:highlight w:val="none"/>
        </w:rPr>
        <w:t>.3公共厕所主体建筑、内部设施、给排水、化粪池、无障碍设施、各类标识及导向牌等各类硬件设施应保持完好，无破损和缺失问题，各项功能应满足使用要求。</w:t>
      </w:r>
    </w:p>
    <w:p w14:paraId="4765095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olor w:val="auto"/>
          <w:kern w:val="0"/>
          <w:sz w:val="22"/>
          <w:highlight w:val="none"/>
        </w:rPr>
      </w:pPr>
      <w:r>
        <w:rPr>
          <w:rFonts w:hint="eastAsia" w:ascii="宋体" w:hAnsi="宋体"/>
          <w:color w:val="auto"/>
          <w:kern w:val="0"/>
          <w:sz w:val="22"/>
          <w:highlight w:val="none"/>
          <w:lang w:val="en-US" w:eastAsia="zh-CN"/>
        </w:rPr>
        <w:t>2、</w:t>
      </w:r>
      <w:r>
        <w:rPr>
          <w:rFonts w:hint="eastAsia" w:ascii="宋体" w:hAnsi="宋体"/>
          <w:color w:val="auto"/>
          <w:kern w:val="0"/>
          <w:sz w:val="22"/>
          <w:highlight w:val="none"/>
        </w:rPr>
        <w:t>管理要求</w:t>
      </w:r>
    </w:p>
    <w:p w14:paraId="5F70FC2F">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val="en-US" w:eastAsia="zh-CN"/>
        </w:rPr>
        <w:t>2</w:t>
      </w:r>
      <w:r>
        <w:rPr>
          <w:rFonts w:hint="eastAsia" w:ascii="宋体" w:hAnsi="宋体"/>
          <w:color w:val="auto"/>
          <w:kern w:val="0"/>
          <w:sz w:val="22"/>
          <w:highlight w:val="none"/>
        </w:rPr>
        <w:t>.1开放时间</w:t>
      </w:r>
    </w:p>
    <w:p w14:paraId="29DE92D1">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rPr>
        <w:t>除特殊情形(改造提升、拆除重建等其他)外，必须施行24小时免费对外开放。</w:t>
      </w:r>
    </w:p>
    <w:p w14:paraId="219C5EE2">
      <w:pPr>
        <w:spacing w:line="400" w:lineRule="exact"/>
        <w:ind w:firstLine="440" w:firstLineChars="200"/>
        <w:rPr>
          <w:rFonts w:hint="eastAsia" w:ascii="宋体" w:hAnsi="宋体" w:eastAsia="宋体"/>
          <w:color w:val="auto"/>
          <w:kern w:val="0"/>
          <w:sz w:val="22"/>
          <w:highlight w:val="none"/>
          <w:lang w:val="en-US" w:eastAsia="zh-CN"/>
        </w:rPr>
      </w:pPr>
      <w:r>
        <w:rPr>
          <w:rFonts w:hint="eastAsia" w:ascii="宋体" w:hAnsi="宋体"/>
          <w:color w:val="auto"/>
          <w:kern w:val="0"/>
          <w:sz w:val="22"/>
          <w:highlight w:val="none"/>
          <w:lang w:val="en-US" w:eastAsia="zh-CN"/>
        </w:rPr>
        <w:t>2.2人员要求</w:t>
      </w:r>
    </w:p>
    <w:p w14:paraId="36D2E90F">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①</w:t>
      </w:r>
      <w:r>
        <w:rPr>
          <w:rFonts w:hint="eastAsia" w:ascii="宋体" w:hAnsi="宋体"/>
          <w:color w:val="auto"/>
          <w:kern w:val="0"/>
          <w:sz w:val="22"/>
          <w:highlight w:val="none"/>
        </w:rPr>
        <w:t>保洁实施单位统一配发保洁员着装、上岗证件。保洁员需文明用语、礼貌待人。在需要时，应对老弱病残幼等特殊人群提供如厕帮助。</w:t>
      </w:r>
    </w:p>
    <w:p w14:paraId="49024778">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②</w:t>
      </w:r>
      <w:r>
        <w:rPr>
          <w:rFonts w:hint="eastAsia" w:ascii="宋体" w:hAnsi="宋体"/>
          <w:color w:val="auto"/>
          <w:kern w:val="0"/>
          <w:sz w:val="22"/>
          <w:highlight w:val="none"/>
        </w:rPr>
        <w:t>保洁员应熟悉公共厕所设施设备的使用，做好日常维护和保养，发现设施破损的，应及时报修。如厕市民有需要时，应向其介绍公共厕所设备的正确使用方法。</w:t>
      </w:r>
    </w:p>
    <w:p w14:paraId="072EB7AA">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③</w:t>
      </w:r>
      <w:r>
        <w:rPr>
          <w:rFonts w:hint="eastAsia" w:ascii="宋体" w:hAnsi="宋体"/>
          <w:color w:val="auto"/>
          <w:kern w:val="0"/>
          <w:sz w:val="22"/>
          <w:highlight w:val="none"/>
        </w:rPr>
        <w:t>保洁员不得擅自离岗，如有特殊原因需安排人员代岗。</w:t>
      </w:r>
    </w:p>
    <w:p w14:paraId="555D0F6F">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val="en-US" w:eastAsia="zh-CN"/>
        </w:rPr>
        <w:t>2</w:t>
      </w:r>
      <w:r>
        <w:rPr>
          <w:rFonts w:hint="eastAsia" w:ascii="宋体" w:hAnsi="宋体"/>
          <w:color w:val="auto"/>
          <w:kern w:val="0"/>
          <w:sz w:val="22"/>
          <w:highlight w:val="none"/>
        </w:rPr>
        <w:t>.</w:t>
      </w:r>
      <w:r>
        <w:rPr>
          <w:rFonts w:hint="eastAsia" w:ascii="宋体" w:hAnsi="宋体"/>
          <w:color w:val="auto"/>
          <w:kern w:val="0"/>
          <w:sz w:val="22"/>
          <w:highlight w:val="none"/>
          <w:lang w:val="en-US" w:eastAsia="zh-CN"/>
        </w:rPr>
        <w:t>3</w:t>
      </w:r>
      <w:r>
        <w:rPr>
          <w:rFonts w:hint="eastAsia" w:ascii="宋体" w:hAnsi="宋体"/>
          <w:color w:val="auto"/>
          <w:kern w:val="0"/>
          <w:sz w:val="22"/>
          <w:highlight w:val="none"/>
        </w:rPr>
        <w:t>水电设施</w:t>
      </w:r>
    </w:p>
    <w:p w14:paraId="2371991C">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①</w:t>
      </w:r>
      <w:r>
        <w:rPr>
          <w:rFonts w:hint="eastAsia" w:ascii="宋体" w:hAnsi="宋体"/>
          <w:color w:val="auto"/>
          <w:kern w:val="0"/>
          <w:sz w:val="22"/>
          <w:highlight w:val="none"/>
        </w:rPr>
        <w:t>确保公共厕所供水和供电设施的正常使用，不得无故关闭公共厕所内外照明和供水。</w:t>
      </w:r>
    </w:p>
    <w:p w14:paraId="422B74E4">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②</w:t>
      </w:r>
      <w:r>
        <w:rPr>
          <w:rFonts w:hint="eastAsia" w:ascii="宋体" w:hAnsi="宋体"/>
          <w:color w:val="auto"/>
          <w:kern w:val="0"/>
          <w:sz w:val="22"/>
          <w:highlight w:val="none"/>
        </w:rPr>
        <w:t>无障碍间(厕位)的紧急呼叫装置应确保正常使用。</w:t>
      </w:r>
    </w:p>
    <w:p w14:paraId="523276D2">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val="en-US" w:eastAsia="zh-CN"/>
        </w:rPr>
        <w:t>2</w:t>
      </w:r>
      <w:r>
        <w:rPr>
          <w:rFonts w:hint="eastAsia" w:ascii="宋体" w:hAnsi="宋体"/>
          <w:color w:val="auto"/>
          <w:kern w:val="0"/>
          <w:sz w:val="22"/>
          <w:highlight w:val="none"/>
        </w:rPr>
        <w:t>.</w:t>
      </w:r>
      <w:r>
        <w:rPr>
          <w:rFonts w:hint="eastAsia" w:ascii="宋体" w:hAnsi="宋体"/>
          <w:color w:val="auto"/>
          <w:kern w:val="0"/>
          <w:sz w:val="22"/>
          <w:highlight w:val="none"/>
          <w:lang w:val="en-US" w:eastAsia="zh-CN"/>
        </w:rPr>
        <w:t>4</w:t>
      </w:r>
      <w:r>
        <w:rPr>
          <w:rFonts w:hint="eastAsia" w:ascii="宋体" w:hAnsi="宋体"/>
          <w:color w:val="auto"/>
          <w:kern w:val="0"/>
          <w:sz w:val="22"/>
          <w:highlight w:val="none"/>
        </w:rPr>
        <w:t>应急处置</w:t>
      </w:r>
    </w:p>
    <w:p w14:paraId="49E04A9C">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rPr>
        <w:t>当遇到恶劣天气、停水停电、管道堵塞、人流量剧增等突发事件时，应采取应急服务保障措施，确保公共厕所服务功能的持续、正常。</w:t>
      </w:r>
    </w:p>
    <w:p w14:paraId="67F03B56">
      <w:pPr>
        <w:numPr>
          <w:ilvl w:val="0"/>
          <w:numId w:val="12"/>
        </w:numPr>
        <w:spacing w:line="400" w:lineRule="exact"/>
        <w:rPr>
          <w:rFonts w:hint="eastAsia" w:ascii="宋体" w:hAnsi="宋体"/>
          <w:color w:val="auto"/>
          <w:kern w:val="0"/>
          <w:sz w:val="22"/>
          <w:highlight w:val="none"/>
          <w:lang w:val="en-US" w:eastAsia="zh-CN"/>
        </w:rPr>
      </w:pPr>
      <w:r>
        <w:rPr>
          <w:rFonts w:hint="eastAsia" w:ascii="宋体" w:hAnsi="宋体"/>
          <w:color w:val="auto"/>
          <w:kern w:val="0"/>
          <w:sz w:val="22"/>
          <w:highlight w:val="none"/>
          <w:lang w:val="en-US" w:eastAsia="zh-CN"/>
        </w:rPr>
        <w:t>标识标牌使用维护</w:t>
      </w:r>
    </w:p>
    <w:p w14:paraId="7C0725FB">
      <w:pPr>
        <w:spacing w:line="400" w:lineRule="exact"/>
        <w:ind w:firstLine="440" w:firstLineChars="200"/>
        <w:rPr>
          <w:rFonts w:hint="eastAsia" w:ascii="宋体" w:hAnsi="宋体"/>
          <w:color w:val="auto"/>
          <w:kern w:val="0"/>
          <w:sz w:val="22"/>
          <w:highlight w:val="none"/>
          <w:lang w:val="en-US" w:eastAsia="zh-CN"/>
        </w:rPr>
      </w:pPr>
      <w:r>
        <w:rPr>
          <w:rFonts w:hint="eastAsia" w:ascii="宋体" w:hAnsi="宋体"/>
          <w:color w:val="auto"/>
          <w:kern w:val="0"/>
          <w:sz w:val="22"/>
          <w:highlight w:val="none"/>
          <w:lang w:val="en-US" w:eastAsia="zh-CN"/>
        </w:rPr>
        <w:t>3.1厕所内部不得出现任何带有小广告类型的张贴标语和影响环境整洁的涂鸦广告。</w:t>
      </w:r>
    </w:p>
    <w:p w14:paraId="2B78C858">
      <w:pPr>
        <w:spacing w:line="400" w:lineRule="exact"/>
        <w:ind w:firstLine="440" w:firstLineChars="200"/>
        <w:rPr>
          <w:rFonts w:hint="eastAsia" w:ascii="宋体" w:hAnsi="宋体" w:eastAsia="宋体"/>
          <w:color w:val="auto"/>
          <w:kern w:val="0"/>
          <w:sz w:val="22"/>
          <w:highlight w:val="none"/>
          <w:lang w:val="en-US" w:eastAsia="zh-CN"/>
        </w:rPr>
      </w:pPr>
      <w:r>
        <w:rPr>
          <w:rFonts w:hint="eastAsia" w:ascii="宋体" w:hAnsi="宋体"/>
          <w:color w:val="auto"/>
          <w:kern w:val="0"/>
          <w:sz w:val="22"/>
          <w:highlight w:val="none"/>
          <w:lang w:val="en-US" w:eastAsia="zh-CN"/>
        </w:rPr>
        <w:t>3.2公共厕所标识标牌应保持清洁，无残缺、锈迹、歪斜或脱落。</w:t>
      </w:r>
    </w:p>
    <w:p w14:paraId="119A61AB">
      <w:pPr>
        <w:spacing w:line="400" w:lineRule="exact"/>
        <w:rPr>
          <w:rFonts w:hint="eastAsia" w:ascii="宋体" w:hAnsi="宋体"/>
          <w:color w:val="auto"/>
          <w:kern w:val="0"/>
          <w:sz w:val="22"/>
          <w:highlight w:val="none"/>
        </w:rPr>
      </w:pPr>
      <w:r>
        <w:rPr>
          <w:rFonts w:hint="eastAsia" w:ascii="宋体" w:hAnsi="宋体"/>
          <w:color w:val="auto"/>
          <w:kern w:val="0"/>
          <w:sz w:val="22"/>
          <w:highlight w:val="none"/>
          <w:lang w:val="en-US" w:eastAsia="zh-CN"/>
        </w:rPr>
        <w:t>4、</w:t>
      </w:r>
      <w:r>
        <w:rPr>
          <w:rFonts w:hint="eastAsia" w:ascii="宋体" w:hAnsi="宋体"/>
          <w:color w:val="auto"/>
          <w:kern w:val="0"/>
          <w:sz w:val="22"/>
          <w:highlight w:val="none"/>
        </w:rPr>
        <w:t>保洁要求</w:t>
      </w:r>
    </w:p>
    <w:p w14:paraId="7543183C">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val="en-US" w:eastAsia="zh-CN"/>
        </w:rPr>
        <w:t>4</w:t>
      </w:r>
      <w:r>
        <w:rPr>
          <w:rFonts w:hint="eastAsia" w:ascii="宋体" w:hAnsi="宋体"/>
          <w:color w:val="auto"/>
          <w:kern w:val="0"/>
          <w:sz w:val="22"/>
          <w:highlight w:val="none"/>
        </w:rPr>
        <w:t>.1全面保洁和巡回保洁</w:t>
      </w:r>
    </w:p>
    <w:p w14:paraId="6B6B0591">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①</w:t>
      </w:r>
      <w:r>
        <w:rPr>
          <w:rFonts w:hint="eastAsia" w:ascii="宋体" w:hAnsi="宋体"/>
          <w:color w:val="auto"/>
          <w:kern w:val="0"/>
          <w:sz w:val="22"/>
          <w:highlight w:val="none"/>
        </w:rPr>
        <w:t>在保洁时间段内，施行一天两次全面清洁，并做好保洁记录。</w:t>
      </w:r>
    </w:p>
    <w:p w14:paraId="3AE35A3D">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②</w:t>
      </w:r>
      <w:r>
        <w:rPr>
          <w:rFonts w:hint="eastAsia" w:ascii="宋体" w:hAnsi="宋体"/>
          <w:color w:val="auto"/>
          <w:kern w:val="0"/>
          <w:sz w:val="22"/>
          <w:highlight w:val="none"/>
        </w:rPr>
        <w:t>在保洁时间段内，除去全面清洁的时间，其他时间段应不间断进行巡回保洁，并做好巡回保洁记录。</w:t>
      </w:r>
    </w:p>
    <w:p w14:paraId="60275909">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val="en-US" w:eastAsia="zh-CN"/>
        </w:rPr>
        <w:t>4</w:t>
      </w:r>
      <w:r>
        <w:rPr>
          <w:rFonts w:hint="eastAsia" w:ascii="宋体" w:hAnsi="宋体"/>
          <w:color w:val="auto"/>
          <w:kern w:val="0"/>
          <w:sz w:val="22"/>
          <w:highlight w:val="none"/>
        </w:rPr>
        <w:t>.2周边环境</w:t>
      </w:r>
    </w:p>
    <w:p w14:paraId="53F30C4F">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①根据采购单位要求，</w:t>
      </w:r>
      <w:r>
        <w:rPr>
          <w:rFonts w:hint="eastAsia" w:ascii="宋体" w:hAnsi="宋体"/>
          <w:color w:val="auto"/>
          <w:kern w:val="0"/>
          <w:sz w:val="22"/>
          <w:highlight w:val="none"/>
        </w:rPr>
        <w:t>公厕周边3米内根据环境需求应适当设置绿化带或</w:t>
      </w:r>
      <w:r>
        <w:rPr>
          <w:rFonts w:hint="eastAsia" w:ascii="宋体" w:hAnsi="宋体"/>
          <w:color w:val="auto"/>
          <w:kern w:val="0"/>
          <w:sz w:val="22"/>
          <w:highlight w:val="none"/>
          <w:lang w:eastAsia="zh-CN"/>
        </w:rPr>
        <w:t>摆放绿植</w:t>
      </w:r>
      <w:r>
        <w:rPr>
          <w:rFonts w:hint="eastAsia" w:ascii="宋体" w:hAnsi="宋体"/>
          <w:color w:val="auto"/>
          <w:kern w:val="0"/>
          <w:sz w:val="22"/>
          <w:highlight w:val="none"/>
        </w:rPr>
        <w:t>。</w:t>
      </w:r>
    </w:p>
    <w:p w14:paraId="6C783262">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②</w:t>
      </w:r>
      <w:r>
        <w:rPr>
          <w:rFonts w:hint="eastAsia" w:ascii="宋体" w:hAnsi="宋体"/>
          <w:color w:val="auto"/>
          <w:kern w:val="0"/>
          <w:sz w:val="22"/>
          <w:highlight w:val="none"/>
        </w:rPr>
        <w:t>公共厕所周边环境应整洁有序，无垃圾、粪便、污水、杂草、废土、乱堆乱挂杂物，无黄土裸露，无卫生死角。</w:t>
      </w:r>
    </w:p>
    <w:p w14:paraId="2B3300BD">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③</w:t>
      </w:r>
      <w:r>
        <w:rPr>
          <w:rFonts w:hint="eastAsia" w:ascii="宋体" w:hAnsi="宋体"/>
          <w:color w:val="auto"/>
          <w:kern w:val="0"/>
          <w:sz w:val="22"/>
          <w:highlight w:val="none"/>
        </w:rPr>
        <w:t>无障碍通道、台阶、扶手应保持干净整洁，无垃圾、杂物、吊挂，不得有障碍物。</w:t>
      </w:r>
    </w:p>
    <w:p w14:paraId="759C69E6">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④</w:t>
      </w:r>
      <w:r>
        <w:rPr>
          <w:rFonts w:hint="eastAsia" w:ascii="宋体" w:hAnsi="宋体"/>
          <w:color w:val="auto"/>
          <w:kern w:val="0"/>
          <w:sz w:val="22"/>
          <w:highlight w:val="none"/>
        </w:rPr>
        <w:t>化粪池、贮粪池周围场地应保持整洁、畅通，无垃圾、粪迹、污水，不得有恶臭、蝇蛆。化粪池、贮粪池不得满溢。</w:t>
      </w:r>
    </w:p>
    <w:p w14:paraId="67F00ADA">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val="en-US" w:eastAsia="zh-CN"/>
        </w:rPr>
        <w:t>4</w:t>
      </w:r>
      <w:r>
        <w:rPr>
          <w:rFonts w:hint="eastAsia" w:ascii="宋体" w:hAnsi="宋体"/>
          <w:color w:val="auto"/>
          <w:kern w:val="0"/>
          <w:sz w:val="22"/>
          <w:highlight w:val="none"/>
        </w:rPr>
        <w:t>.3内部环境</w:t>
      </w:r>
    </w:p>
    <w:p w14:paraId="62C03B21">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①</w:t>
      </w:r>
      <w:r>
        <w:rPr>
          <w:rFonts w:hint="eastAsia" w:ascii="宋体" w:hAnsi="宋体"/>
          <w:color w:val="auto"/>
          <w:kern w:val="0"/>
          <w:sz w:val="22"/>
          <w:highlight w:val="none"/>
        </w:rPr>
        <w:t>门窗</w:t>
      </w:r>
    </w:p>
    <w:p w14:paraId="719A7CA9">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w:t>
      </w:r>
      <w:r>
        <w:rPr>
          <w:rFonts w:hint="eastAsia" w:ascii="宋体" w:hAnsi="宋体"/>
          <w:color w:val="auto"/>
          <w:kern w:val="0"/>
          <w:sz w:val="22"/>
          <w:highlight w:val="none"/>
          <w:lang w:val="en-US" w:eastAsia="zh-CN"/>
        </w:rPr>
        <w:t>1</w:t>
      </w:r>
      <w:r>
        <w:rPr>
          <w:rFonts w:hint="eastAsia" w:ascii="宋体" w:hAnsi="宋体"/>
          <w:color w:val="auto"/>
          <w:kern w:val="0"/>
          <w:sz w:val="22"/>
          <w:highlight w:val="none"/>
          <w:lang w:eastAsia="zh-CN"/>
        </w:rPr>
        <w:t>）</w:t>
      </w:r>
      <w:r>
        <w:rPr>
          <w:rFonts w:hint="eastAsia" w:ascii="宋体" w:hAnsi="宋体"/>
          <w:color w:val="auto"/>
          <w:kern w:val="0"/>
          <w:sz w:val="22"/>
          <w:highlight w:val="none"/>
        </w:rPr>
        <w:t>门正、反面和门把手应洁净，无污迹和吊挂杂物；门缝及闭门器应无积灰、锈蚀。</w:t>
      </w:r>
    </w:p>
    <w:p w14:paraId="446AE177">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w:t>
      </w:r>
      <w:r>
        <w:rPr>
          <w:rFonts w:hint="eastAsia" w:ascii="宋体" w:hAnsi="宋体"/>
          <w:color w:val="auto"/>
          <w:kern w:val="0"/>
          <w:sz w:val="22"/>
          <w:highlight w:val="none"/>
        </w:rPr>
        <w:t>2</w:t>
      </w:r>
      <w:r>
        <w:rPr>
          <w:rFonts w:hint="eastAsia" w:ascii="宋体" w:hAnsi="宋体"/>
          <w:color w:val="auto"/>
          <w:kern w:val="0"/>
          <w:sz w:val="22"/>
          <w:highlight w:val="none"/>
          <w:lang w:eastAsia="zh-CN"/>
        </w:rPr>
        <w:t>）</w:t>
      </w:r>
      <w:r>
        <w:rPr>
          <w:rFonts w:hint="eastAsia" w:ascii="宋体" w:hAnsi="宋体"/>
          <w:color w:val="auto"/>
          <w:kern w:val="0"/>
          <w:sz w:val="22"/>
          <w:highlight w:val="none"/>
        </w:rPr>
        <w:t>窗户玻璃应干净明亮，窗台、窗框、窗纱、排风</w:t>
      </w:r>
    </w:p>
    <w:p w14:paraId="4A5F1BA0">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rPr>
        <w:t>扇等处应无垃圾、杂物、蛛网、积灰。</w:t>
      </w:r>
    </w:p>
    <w:p w14:paraId="06760880">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②</w:t>
      </w:r>
      <w:r>
        <w:rPr>
          <w:rFonts w:hint="eastAsia" w:ascii="宋体" w:hAnsi="宋体"/>
          <w:color w:val="auto"/>
          <w:kern w:val="0"/>
          <w:sz w:val="22"/>
          <w:highlight w:val="none"/>
        </w:rPr>
        <w:t>地面</w:t>
      </w:r>
    </w:p>
    <w:p w14:paraId="22FDA92D">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rPr>
        <w:t>地面应洁净，无垃圾、污迹、积水、杂物、烟蒂。</w:t>
      </w:r>
    </w:p>
    <w:p w14:paraId="015433CF">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③</w:t>
      </w:r>
      <w:r>
        <w:rPr>
          <w:rFonts w:hint="eastAsia" w:ascii="宋体" w:hAnsi="宋体"/>
          <w:color w:val="auto"/>
          <w:kern w:val="0"/>
          <w:sz w:val="22"/>
          <w:highlight w:val="none"/>
        </w:rPr>
        <w:t>厕位</w:t>
      </w:r>
    </w:p>
    <w:p w14:paraId="4170CD9F">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w:t>
      </w:r>
      <w:r>
        <w:rPr>
          <w:rFonts w:hint="eastAsia" w:ascii="宋体" w:hAnsi="宋体"/>
          <w:color w:val="auto"/>
          <w:kern w:val="0"/>
          <w:sz w:val="22"/>
          <w:highlight w:val="none"/>
          <w:lang w:val="en-US" w:eastAsia="zh-CN"/>
        </w:rPr>
        <w:t>1</w:t>
      </w:r>
      <w:r>
        <w:rPr>
          <w:rFonts w:hint="eastAsia" w:ascii="宋体" w:hAnsi="宋体"/>
          <w:color w:val="auto"/>
          <w:kern w:val="0"/>
          <w:sz w:val="22"/>
          <w:highlight w:val="none"/>
          <w:lang w:eastAsia="zh-CN"/>
        </w:rPr>
        <w:t>）</w:t>
      </w:r>
      <w:r>
        <w:rPr>
          <w:rFonts w:hint="eastAsia" w:ascii="宋体" w:hAnsi="宋体"/>
          <w:color w:val="auto"/>
          <w:kern w:val="0"/>
          <w:sz w:val="22"/>
          <w:highlight w:val="none"/>
        </w:rPr>
        <w:t>蹲便器、座便器外侧应无水锈、粪便、污物；蹲便器、座便器内应洁净，无积粪、堵塞。</w:t>
      </w:r>
    </w:p>
    <w:p w14:paraId="67BFAE09">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w:t>
      </w:r>
      <w:r>
        <w:rPr>
          <w:rFonts w:hint="eastAsia" w:ascii="宋体" w:hAnsi="宋体"/>
          <w:color w:val="auto"/>
          <w:kern w:val="0"/>
          <w:sz w:val="22"/>
          <w:highlight w:val="none"/>
          <w:lang w:val="en-US" w:eastAsia="zh-CN"/>
        </w:rPr>
        <w:t>2</w:t>
      </w:r>
      <w:r>
        <w:rPr>
          <w:rFonts w:hint="eastAsia" w:ascii="宋体" w:hAnsi="宋体"/>
          <w:color w:val="auto"/>
          <w:kern w:val="0"/>
          <w:sz w:val="22"/>
          <w:highlight w:val="none"/>
          <w:lang w:eastAsia="zh-CN"/>
        </w:rPr>
        <w:t>）</w:t>
      </w:r>
      <w:r>
        <w:rPr>
          <w:rFonts w:hint="eastAsia" w:ascii="宋体" w:hAnsi="宋体"/>
          <w:color w:val="auto"/>
          <w:kern w:val="0"/>
          <w:sz w:val="22"/>
          <w:highlight w:val="none"/>
        </w:rPr>
        <w:t>小便器（槽）洁净，无垃圾、尿垢、水锈、烟蒂，管道沟眼应保持畅通。</w:t>
      </w:r>
    </w:p>
    <w:p w14:paraId="2D16F2A5">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w:t>
      </w:r>
      <w:r>
        <w:rPr>
          <w:rFonts w:hint="eastAsia" w:ascii="宋体" w:hAnsi="宋体"/>
          <w:color w:val="auto"/>
          <w:kern w:val="0"/>
          <w:sz w:val="22"/>
          <w:highlight w:val="none"/>
          <w:lang w:val="en-US" w:eastAsia="zh-CN"/>
        </w:rPr>
        <w:t>3</w:t>
      </w:r>
      <w:r>
        <w:rPr>
          <w:rFonts w:hint="eastAsia" w:ascii="宋体" w:hAnsi="宋体"/>
          <w:color w:val="auto"/>
          <w:kern w:val="0"/>
          <w:sz w:val="22"/>
          <w:highlight w:val="none"/>
          <w:lang w:eastAsia="zh-CN"/>
        </w:rPr>
        <w:t>）</w:t>
      </w:r>
      <w:r>
        <w:rPr>
          <w:rFonts w:hint="eastAsia" w:ascii="宋体" w:hAnsi="宋体"/>
          <w:color w:val="auto"/>
          <w:kern w:val="0"/>
          <w:sz w:val="22"/>
          <w:highlight w:val="none"/>
        </w:rPr>
        <w:t>厕位隔断板应洁净，无积灰、污迹、蛛网、乱涂乱画、广告。</w:t>
      </w:r>
    </w:p>
    <w:p w14:paraId="2DE8553F">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val="en-US" w:eastAsia="zh-CN"/>
        </w:rPr>
        <w:t>4</w:t>
      </w:r>
      <w:r>
        <w:rPr>
          <w:rFonts w:hint="eastAsia" w:ascii="宋体" w:hAnsi="宋体"/>
          <w:color w:val="auto"/>
          <w:kern w:val="0"/>
          <w:sz w:val="22"/>
          <w:highlight w:val="none"/>
        </w:rPr>
        <w:t>.4其他设施</w:t>
      </w:r>
    </w:p>
    <w:p w14:paraId="2B29BEE9">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①</w:t>
      </w:r>
      <w:r>
        <w:rPr>
          <w:rFonts w:hint="eastAsia" w:ascii="宋体" w:hAnsi="宋体"/>
          <w:color w:val="auto"/>
          <w:kern w:val="0"/>
          <w:sz w:val="22"/>
          <w:highlight w:val="none"/>
        </w:rPr>
        <w:t>洗手池及台面、拖把池、搁物台、镜子完好，无积灰、污迹、蛛网、水垢、毛发、杂物、积水。</w:t>
      </w:r>
    </w:p>
    <w:p w14:paraId="553E9F55">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②</w:t>
      </w:r>
      <w:r>
        <w:rPr>
          <w:rFonts w:hint="eastAsia" w:ascii="宋体" w:hAnsi="宋体"/>
          <w:color w:val="auto"/>
          <w:kern w:val="0"/>
          <w:sz w:val="22"/>
          <w:highlight w:val="none"/>
        </w:rPr>
        <w:t>洗手液、烘手器、除臭设备、空调、灯具及开关、拖把架、手纸盒等设备应洁净、无积灰、污迹，使用标识应清晰、无污迹。</w:t>
      </w:r>
    </w:p>
    <w:p w14:paraId="7A4C33E4">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③</w:t>
      </w:r>
      <w:r>
        <w:rPr>
          <w:rFonts w:hint="eastAsia" w:ascii="宋体" w:hAnsi="宋体"/>
          <w:color w:val="auto"/>
          <w:kern w:val="0"/>
          <w:sz w:val="22"/>
          <w:highlight w:val="none"/>
        </w:rPr>
        <w:t>废物篓内废弃物不得超过废物篓的平口。</w:t>
      </w:r>
    </w:p>
    <w:p w14:paraId="6DFBBF7A">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val="en-US" w:eastAsia="zh-CN"/>
        </w:rPr>
        <w:t>4</w:t>
      </w:r>
      <w:r>
        <w:rPr>
          <w:rFonts w:hint="eastAsia" w:ascii="宋体" w:hAnsi="宋体"/>
          <w:color w:val="auto"/>
          <w:kern w:val="0"/>
          <w:sz w:val="22"/>
          <w:highlight w:val="none"/>
        </w:rPr>
        <w:t>.5管理房、工具房</w:t>
      </w:r>
    </w:p>
    <w:p w14:paraId="3E21F9AC">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①</w:t>
      </w:r>
      <w:r>
        <w:rPr>
          <w:rFonts w:hint="eastAsia" w:ascii="宋体" w:hAnsi="宋体"/>
          <w:color w:val="auto"/>
          <w:kern w:val="0"/>
          <w:sz w:val="22"/>
          <w:highlight w:val="none"/>
        </w:rPr>
        <w:t>公共厕所管理房、工具房由公厕的保洁员日常维护和管理，不应挪作他用，不得饲养宠物、不得有其他物品堆积占用和居住无关人员。</w:t>
      </w:r>
    </w:p>
    <w:p w14:paraId="5B7C4767">
      <w:pPr>
        <w:spacing w:line="400" w:lineRule="exact"/>
        <w:ind w:firstLine="440" w:firstLineChars="200"/>
        <w:rPr>
          <w:rFonts w:hint="eastAsia" w:ascii="宋体" w:hAnsi="宋体"/>
          <w:color w:val="auto"/>
          <w:kern w:val="0"/>
          <w:sz w:val="22"/>
          <w:highlight w:val="none"/>
          <w:lang w:eastAsia="zh-CN"/>
        </w:rPr>
      </w:pPr>
      <w:r>
        <w:rPr>
          <w:rFonts w:hint="eastAsia" w:ascii="宋体" w:hAnsi="宋体"/>
          <w:color w:val="auto"/>
          <w:kern w:val="0"/>
          <w:sz w:val="22"/>
          <w:highlight w:val="none"/>
          <w:lang w:eastAsia="zh-CN"/>
        </w:rPr>
        <w:t>②公共厕所管理间应保持整洁、卫生、有序；禁止住宿；不得有洗衣、做饭、用餐等与保洁工作无关的行为。</w:t>
      </w:r>
    </w:p>
    <w:p w14:paraId="759636BC">
      <w:pPr>
        <w:spacing w:line="400" w:lineRule="exact"/>
        <w:ind w:firstLine="440" w:firstLineChars="200"/>
        <w:rPr>
          <w:rFonts w:hint="eastAsia" w:ascii="宋体" w:hAnsi="宋体"/>
          <w:color w:val="auto"/>
          <w:kern w:val="0"/>
          <w:sz w:val="22"/>
          <w:highlight w:val="none"/>
          <w:lang w:eastAsia="zh-CN"/>
        </w:rPr>
      </w:pPr>
      <w:r>
        <w:rPr>
          <w:rFonts w:hint="eastAsia" w:ascii="宋体" w:hAnsi="宋体"/>
          <w:color w:val="auto"/>
          <w:kern w:val="0"/>
          <w:sz w:val="22"/>
          <w:highlight w:val="none"/>
          <w:lang w:eastAsia="zh-CN"/>
        </w:rPr>
        <w:t>③在条件允许的情况下允许保洁人员在管理房、工具房进行短暂休息。</w:t>
      </w:r>
    </w:p>
    <w:p w14:paraId="7B04AB91">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val="en-US" w:eastAsia="zh-CN"/>
        </w:rPr>
        <w:t>4</w:t>
      </w:r>
      <w:r>
        <w:rPr>
          <w:rFonts w:hint="eastAsia" w:ascii="宋体" w:hAnsi="宋体"/>
          <w:color w:val="auto"/>
          <w:kern w:val="0"/>
          <w:sz w:val="22"/>
          <w:highlight w:val="none"/>
        </w:rPr>
        <w:t>.6内外墙面及屋顶</w:t>
      </w:r>
    </w:p>
    <w:p w14:paraId="15382E00">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①</w:t>
      </w:r>
      <w:r>
        <w:rPr>
          <w:rFonts w:hint="eastAsia" w:ascii="宋体" w:hAnsi="宋体"/>
          <w:color w:val="auto"/>
          <w:kern w:val="0"/>
          <w:sz w:val="22"/>
          <w:highlight w:val="none"/>
        </w:rPr>
        <w:t>内外墙面和天花板应保持洁净，无积灰、污迹、渗漏、蛛网，无乱涂乱画、无张贴，不得安装或吊挂与公厕管理无关的杂物及任何附带商业性质物品。</w:t>
      </w:r>
    </w:p>
    <w:p w14:paraId="5F1FFEF3">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②</w:t>
      </w:r>
      <w:r>
        <w:rPr>
          <w:rFonts w:hint="eastAsia" w:ascii="宋体" w:hAnsi="宋体"/>
          <w:color w:val="auto"/>
          <w:kern w:val="0"/>
          <w:sz w:val="22"/>
          <w:highlight w:val="none"/>
        </w:rPr>
        <w:t>屋顶应无垃圾、无杂物并保持雨水管道的畅通，不得设置与公厕管理无关的物品和商业广告牌。</w:t>
      </w:r>
    </w:p>
    <w:p w14:paraId="10F89BA3">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val="en-US" w:eastAsia="zh-CN"/>
        </w:rPr>
        <w:t>4</w:t>
      </w:r>
      <w:r>
        <w:rPr>
          <w:rFonts w:hint="eastAsia" w:ascii="宋体" w:hAnsi="宋体"/>
          <w:color w:val="auto"/>
          <w:kern w:val="0"/>
          <w:sz w:val="22"/>
          <w:highlight w:val="none"/>
        </w:rPr>
        <w:t>.7作业和工具放置</w:t>
      </w:r>
    </w:p>
    <w:p w14:paraId="1C7889D7">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①</w:t>
      </w:r>
      <w:r>
        <w:rPr>
          <w:rFonts w:hint="eastAsia" w:ascii="宋体" w:hAnsi="宋体"/>
          <w:color w:val="auto"/>
          <w:kern w:val="0"/>
          <w:sz w:val="22"/>
          <w:highlight w:val="none"/>
        </w:rPr>
        <w:t>保洁作业时宜在入口处设置提示牌。雨天和地面拖洗时，应设置防滑标志和铺设防滑垫。</w:t>
      </w:r>
    </w:p>
    <w:p w14:paraId="1425BDED">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②</w:t>
      </w:r>
      <w:r>
        <w:rPr>
          <w:rFonts w:hint="eastAsia" w:ascii="宋体" w:hAnsi="宋体"/>
          <w:color w:val="auto"/>
          <w:kern w:val="0"/>
          <w:sz w:val="22"/>
          <w:highlight w:val="none"/>
        </w:rPr>
        <w:t>清洁大、小便洁具的拖把、抹布应与清洁其他设施的拖把、抹布区分使用。</w:t>
      </w:r>
    </w:p>
    <w:p w14:paraId="65318B50">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③</w:t>
      </w:r>
      <w:r>
        <w:rPr>
          <w:rFonts w:hint="eastAsia" w:ascii="宋体" w:hAnsi="宋体"/>
          <w:color w:val="auto"/>
          <w:kern w:val="0"/>
          <w:sz w:val="22"/>
          <w:highlight w:val="none"/>
        </w:rPr>
        <w:t>保洁作业完毕后，应将作业工具统一放置在工具间内，摆放整齐，拖把、扫把、抹布晾晒时应置于拖把架上。</w:t>
      </w:r>
    </w:p>
    <w:p w14:paraId="752A1529">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lang w:eastAsia="zh-CN"/>
        </w:rPr>
        <w:t>④</w:t>
      </w:r>
      <w:r>
        <w:rPr>
          <w:rFonts w:hint="eastAsia" w:ascii="宋体" w:hAnsi="宋体"/>
          <w:color w:val="auto"/>
          <w:kern w:val="0"/>
          <w:sz w:val="22"/>
          <w:highlight w:val="none"/>
        </w:rPr>
        <w:t>公共厕所内部通道、门口、洗手台不应放置拖把、水桶、抹布、扫把等作业工具和其他影响视觉观瞻及通行的物品。</w:t>
      </w:r>
    </w:p>
    <w:p w14:paraId="66E1BE00">
      <w:pPr>
        <w:spacing w:line="400" w:lineRule="exact"/>
        <w:ind w:firstLine="442" w:firstLineChars="200"/>
        <w:rPr>
          <w:rFonts w:hint="eastAsia" w:ascii="宋体" w:cs="宋体"/>
          <w:b/>
          <w:bCs/>
          <w:color w:val="auto"/>
          <w:sz w:val="22"/>
          <w:highlight w:val="none"/>
          <w:lang w:eastAsia="zh-CN"/>
        </w:rPr>
      </w:pPr>
      <w:r>
        <w:rPr>
          <w:rFonts w:hint="eastAsia" w:ascii="宋体" w:cs="宋体"/>
          <w:b/>
          <w:bCs/>
          <w:color w:val="auto"/>
          <w:sz w:val="22"/>
          <w:highlight w:val="none"/>
          <w:lang w:eastAsia="zh-CN"/>
        </w:rPr>
        <w:t>（七）河道及河道旁人行道保洁要求</w:t>
      </w:r>
    </w:p>
    <w:p w14:paraId="17E6C696">
      <w:pPr>
        <w:spacing w:line="400" w:lineRule="exact"/>
        <w:ind w:firstLine="440" w:firstLineChars="200"/>
        <w:rPr>
          <w:rFonts w:hint="eastAsia" w:ascii="宋体" w:hAnsi="宋体"/>
          <w:color w:val="auto"/>
          <w:kern w:val="0"/>
          <w:sz w:val="22"/>
          <w:highlight w:val="none"/>
          <w:lang w:eastAsia="zh-CN"/>
        </w:rPr>
      </w:pPr>
      <w:r>
        <w:rPr>
          <w:rFonts w:hint="eastAsia" w:ascii="宋体" w:hAnsi="宋体"/>
          <w:color w:val="auto"/>
          <w:kern w:val="0"/>
          <w:sz w:val="22"/>
          <w:highlight w:val="none"/>
          <w:lang w:eastAsia="zh-CN"/>
        </w:rPr>
        <w:t>打捞清理河道漂浮物、枯枝落叶、漂浮垃圾、浮萍浮藻，定期清理水域面上水草，清理岸边废弃物、暴露垃圾、病死动物，保持斜坡堤岸及河道旁人行道干净整洁、无杂物堆积，无青苔、无积水积泥。台风、暴雨及洪水过后，及时清理清除河面漂浮物，冲洗堤岸。收集垃圾日产日清，集中分类、清运至垃圾中转站，不得随意倾倒。</w:t>
      </w:r>
    </w:p>
    <w:p w14:paraId="618298B7">
      <w:pPr>
        <w:tabs>
          <w:tab w:val="left" w:pos="360"/>
          <w:tab w:val="left" w:pos="410"/>
        </w:tabs>
        <w:spacing w:line="460" w:lineRule="exact"/>
        <w:ind w:firstLine="440" w:firstLineChars="200"/>
        <w:rPr>
          <w:rFonts w:ascii="宋体" w:eastAsia="宋体" w:cs="Arial"/>
          <w:b w:val="0"/>
          <w:color w:val="auto"/>
          <w:sz w:val="22"/>
          <w:highlight w:val="none"/>
        </w:rPr>
      </w:pPr>
      <w:r>
        <w:rPr>
          <w:rFonts w:hint="eastAsia" w:ascii="宋体" w:eastAsia="宋体" w:cs="Arial"/>
          <w:b w:val="0"/>
          <w:color w:val="auto"/>
          <w:sz w:val="22"/>
          <w:highlight w:val="none"/>
        </w:rPr>
        <w:t>打捞物及动物尸体应采取无害化处理。</w:t>
      </w:r>
    </w:p>
    <w:p w14:paraId="5CCF0CFB">
      <w:pPr>
        <w:tabs>
          <w:tab w:val="left" w:pos="360"/>
        </w:tabs>
        <w:spacing w:line="460" w:lineRule="exact"/>
        <w:ind w:firstLine="440" w:firstLineChars="200"/>
        <w:rPr>
          <w:rFonts w:ascii="宋体" w:eastAsia="宋体" w:cs="Arial"/>
          <w:b w:val="0"/>
          <w:color w:val="auto"/>
          <w:sz w:val="22"/>
          <w:highlight w:val="none"/>
        </w:rPr>
      </w:pPr>
      <w:r>
        <w:rPr>
          <w:rFonts w:hint="eastAsia" w:ascii="宋体" w:eastAsia="宋体" w:cs="Arial"/>
          <w:b w:val="0"/>
          <w:color w:val="auto"/>
          <w:sz w:val="22"/>
          <w:highlight w:val="none"/>
        </w:rPr>
        <w:t>对保洁区域范围内打捞上船的垃圾进行消毒。</w:t>
      </w:r>
    </w:p>
    <w:p w14:paraId="09022048">
      <w:pPr>
        <w:spacing w:line="400" w:lineRule="exact"/>
        <w:ind w:firstLine="442" w:firstLineChars="200"/>
        <w:rPr>
          <w:rFonts w:hint="eastAsia" w:ascii="宋体" w:hAnsi="宋体" w:eastAsiaTheme="minorEastAsia"/>
          <w:b/>
          <w:bCs/>
          <w:color w:val="auto"/>
          <w:kern w:val="0"/>
          <w:sz w:val="22"/>
          <w:highlight w:val="none"/>
          <w:lang w:eastAsia="zh-CN"/>
        </w:rPr>
      </w:pPr>
      <w:r>
        <w:rPr>
          <w:rFonts w:hint="eastAsia" w:ascii="宋体" w:hAnsi="宋体"/>
          <w:b/>
          <w:bCs/>
          <w:color w:val="auto"/>
          <w:kern w:val="0"/>
          <w:sz w:val="22"/>
          <w:highlight w:val="none"/>
          <w:lang w:eastAsia="zh-CN"/>
        </w:rPr>
        <w:t>（八）绿化带保洁要求</w:t>
      </w:r>
    </w:p>
    <w:p w14:paraId="650B0B63">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rPr>
        <w:t>保证绿化带(包括公共绿地、路面及道路两侧绿化带的保洁)干净、无胶袋、烟头、纸屑等垃圾。</w:t>
      </w:r>
    </w:p>
    <w:p w14:paraId="6CECEF8E">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rPr>
        <w:t>人行道至围墙根杂草进行清理。</w:t>
      </w:r>
    </w:p>
    <w:p w14:paraId="3808F1CE">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rPr>
        <w:t>人行道树穴、绿化带无烟蒂、果皮、塑料袋、纸屑、杂草。</w:t>
      </w:r>
    </w:p>
    <w:p w14:paraId="509B56FE">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rPr>
        <w:t>不能把道路清扫出来的泥沙、落叶等垃圾随意扫入绿化带。</w:t>
      </w:r>
    </w:p>
    <w:p w14:paraId="7D23111F">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rPr>
        <w:t>保证各类树木及园林绿化设施上无吊挂、拴挂、晾晒物品，无乱贴、乱画、乱刻、乱涂画。</w:t>
      </w:r>
    </w:p>
    <w:p w14:paraId="66B52EE1">
      <w:pPr>
        <w:spacing w:line="400" w:lineRule="exact"/>
        <w:ind w:firstLine="440" w:firstLineChars="200"/>
        <w:rPr>
          <w:rFonts w:hint="eastAsia" w:ascii="宋体" w:hAnsi="宋体"/>
          <w:color w:val="auto"/>
          <w:kern w:val="0"/>
          <w:sz w:val="22"/>
          <w:highlight w:val="none"/>
        </w:rPr>
      </w:pPr>
      <w:r>
        <w:rPr>
          <w:rFonts w:hint="eastAsia" w:ascii="宋体" w:hAnsi="宋体"/>
          <w:color w:val="auto"/>
          <w:kern w:val="0"/>
          <w:sz w:val="22"/>
          <w:highlight w:val="none"/>
        </w:rPr>
        <w:t>养护管理范围清洁干净，绿坯每天要先清理垃圾再进行其它养护工作，保洁期间无垃圾、无枝叶草屑弃物堆积、无余泥、砖块杂物堆放，绿地内垃圾每日要专人清理。</w:t>
      </w:r>
    </w:p>
    <w:p w14:paraId="3AA4C892">
      <w:pP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br w:type="page"/>
      </w:r>
    </w:p>
    <w:p w14:paraId="02DBB576">
      <w:pPr>
        <w:numPr>
          <w:ilvl w:val="0"/>
          <w:numId w:val="7"/>
        </w:numPr>
        <w:ind w:left="210" w:leftChars="0" w:firstLine="0" w:firstLineChars="0"/>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考核</w:t>
      </w:r>
      <w:r>
        <w:rPr>
          <w:rFonts w:hint="eastAsia" w:ascii="宋体" w:hAnsi="宋体" w:eastAsia="宋体" w:cs="宋体"/>
          <w:b/>
          <w:color w:val="auto"/>
          <w:kern w:val="0"/>
          <w:sz w:val="22"/>
          <w:szCs w:val="22"/>
          <w:highlight w:val="none"/>
          <w:lang w:eastAsia="zh-CN"/>
        </w:rPr>
        <w:t>标准</w:t>
      </w:r>
    </w:p>
    <w:p w14:paraId="1CC63BFB">
      <w:pPr>
        <w:numPr>
          <w:ilvl w:val="0"/>
          <w:numId w:val="0"/>
        </w:numPr>
        <w:ind w:left="210" w:leftChars="0"/>
        <w:jc w:val="center"/>
        <w:rPr>
          <w:rFonts w:hint="eastAsia" w:ascii="宋体" w:eastAsiaTheme="minorEastAsia"/>
          <w:b/>
          <w:bCs/>
          <w:color w:val="auto"/>
          <w:sz w:val="32"/>
          <w:highlight w:val="none"/>
          <w:lang w:eastAsia="zh-CN"/>
        </w:rPr>
      </w:pPr>
      <w:r>
        <w:rPr>
          <w:rFonts w:hint="eastAsia" w:ascii="宋体" w:hAnsi="宋体"/>
          <w:b/>
          <w:bCs/>
          <w:color w:val="auto"/>
          <w:sz w:val="32"/>
          <w:highlight w:val="none"/>
          <w:lang w:val="en-US" w:eastAsia="zh-CN"/>
        </w:rPr>
        <w:t>大安乡</w:t>
      </w:r>
      <w:r>
        <w:rPr>
          <w:rFonts w:hint="eastAsia" w:ascii="宋体" w:hAnsi="宋体"/>
          <w:b/>
          <w:bCs/>
          <w:color w:val="auto"/>
          <w:sz w:val="32"/>
          <w:highlight w:val="none"/>
        </w:rPr>
        <w:t>环境卫生作业考核</w:t>
      </w:r>
      <w:r>
        <w:rPr>
          <w:rFonts w:hint="eastAsia" w:ascii="宋体" w:hAnsi="宋体"/>
          <w:b/>
          <w:bCs/>
          <w:color w:val="auto"/>
          <w:sz w:val="32"/>
          <w:highlight w:val="none"/>
          <w:lang w:eastAsia="zh-CN"/>
        </w:rPr>
        <w:t>标准</w:t>
      </w:r>
    </w:p>
    <w:p w14:paraId="1264BAF1">
      <w:pPr>
        <w:spacing w:line="400" w:lineRule="exact"/>
        <w:ind w:firstLine="440" w:firstLineChars="200"/>
        <w:rPr>
          <w:color w:val="auto"/>
          <w:highlight w:val="none"/>
        </w:rPr>
      </w:pPr>
      <w:r>
        <w:rPr>
          <w:rFonts w:hint="eastAsia" w:ascii="宋体" w:hAnsi="宋体" w:eastAsia="宋体" w:cs="宋体"/>
          <w:color w:val="auto"/>
          <w:kern w:val="0"/>
          <w:sz w:val="22"/>
          <w:szCs w:val="22"/>
          <w:highlight w:val="none"/>
        </w:rPr>
        <w:t>本考核办法为试行考核管理办法，详细考核管理细则将在合同签订前确定，合同执行期间采购人有权根据实际运行情况作出相应调整，承包单位应无条件服从。</w:t>
      </w:r>
    </w:p>
    <w:p w14:paraId="37881AA8">
      <w:pPr>
        <w:pStyle w:val="23"/>
        <w:rPr>
          <w:rFonts w:hint="eastAsia"/>
          <w:color w:val="auto"/>
          <w:highlight w:val="none"/>
        </w:rPr>
      </w:pPr>
    </w:p>
    <w:tbl>
      <w:tblPr>
        <w:tblStyle w:val="30"/>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24"/>
        <w:gridCol w:w="2768"/>
        <w:gridCol w:w="5146"/>
      </w:tblGrid>
      <w:tr w14:paraId="1881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ign w:val="center"/>
          </w:tcPr>
          <w:p w14:paraId="43E5388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检查</w:t>
            </w:r>
          </w:p>
          <w:p w14:paraId="086B9C5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w:t>
            </w:r>
          </w:p>
        </w:tc>
        <w:tc>
          <w:tcPr>
            <w:tcW w:w="824" w:type="dxa"/>
            <w:noWrap/>
            <w:vAlign w:val="center"/>
          </w:tcPr>
          <w:p w14:paraId="6626BDE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检查</w:t>
            </w:r>
          </w:p>
          <w:p w14:paraId="60B656D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方式</w:t>
            </w:r>
          </w:p>
        </w:tc>
        <w:tc>
          <w:tcPr>
            <w:tcW w:w="2768" w:type="dxa"/>
            <w:noWrap/>
            <w:vAlign w:val="center"/>
          </w:tcPr>
          <w:p w14:paraId="4D4EFEB0">
            <w:pPr>
              <w:keepNext w:val="0"/>
              <w:keepLines w:val="0"/>
              <w:pageBreakBefore w:val="0"/>
              <w:numPr>
                <w:ilvl w:val="0"/>
                <w:numId w:val="0"/>
              </w:numPr>
              <w:kinsoku/>
              <w:wordWrap/>
              <w:overflowPunct/>
              <w:topLinePunct w:val="0"/>
              <w:autoSpaceDE/>
              <w:autoSpaceDN/>
              <w:bidi w:val="0"/>
              <w:adjustRightInd w:val="0"/>
              <w:snapToGrid w:val="0"/>
              <w:spacing w:line="400" w:lineRule="exact"/>
              <w:ind w:left="420" w:left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管理作业标准</w:t>
            </w:r>
          </w:p>
        </w:tc>
        <w:tc>
          <w:tcPr>
            <w:tcW w:w="5146" w:type="dxa"/>
            <w:noWrap/>
            <w:vAlign w:val="center"/>
          </w:tcPr>
          <w:p w14:paraId="11119A22">
            <w:pPr>
              <w:keepNext w:val="0"/>
              <w:keepLines w:val="0"/>
              <w:pageBreakBefore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评分标准</w:t>
            </w:r>
          </w:p>
        </w:tc>
      </w:tr>
      <w:tr w14:paraId="0FAB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Merge w:val="restart"/>
            <w:noWrap/>
            <w:vAlign w:val="center"/>
          </w:tcPr>
          <w:p w14:paraId="20B303D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w:t>
            </w:r>
          </w:p>
          <w:p w14:paraId="669A487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作业</w:t>
            </w:r>
          </w:p>
          <w:p w14:paraId="3616E8B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规范</w:t>
            </w:r>
          </w:p>
          <w:p w14:paraId="23E2743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管理</w:t>
            </w:r>
          </w:p>
          <w:p w14:paraId="2AACFD4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落实</w:t>
            </w:r>
          </w:p>
          <w:p w14:paraId="4EB71A2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情况</w:t>
            </w:r>
          </w:p>
        </w:tc>
        <w:tc>
          <w:tcPr>
            <w:tcW w:w="824" w:type="dxa"/>
            <w:vMerge w:val="restart"/>
            <w:noWrap/>
            <w:vAlign w:val="center"/>
          </w:tcPr>
          <w:p w14:paraId="0472F46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台</w:t>
            </w:r>
          </w:p>
          <w:p w14:paraId="5FD05E3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帐</w:t>
            </w:r>
          </w:p>
          <w:p w14:paraId="4320D3F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检</w:t>
            </w:r>
          </w:p>
          <w:p w14:paraId="450DC3F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768" w:type="dxa"/>
            <w:noWrap/>
            <w:vAlign w:val="center"/>
          </w:tcPr>
          <w:p w14:paraId="6286FB00">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按照保洁分类管理指标要求配置设备。</w:t>
            </w:r>
          </w:p>
        </w:tc>
        <w:tc>
          <w:tcPr>
            <w:tcW w:w="5146" w:type="dxa"/>
            <w:noWrap/>
            <w:vAlign w:val="center"/>
          </w:tcPr>
          <w:p w14:paraId="3CF08D29">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在运维过程中，如第一次发现人员及设备未按照招标文件及投标承诺时投入的，扣押月度30%的运维费用，待运营期结束后核发。</w:t>
            </w:r>
          </w:p>
          <w:p w14:paraId="5E885C1F">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如第二次发现人员及设备未按照招标文件及投标承诺时投入的，直接扣除该月度10%的运维费用。</w:t>
            </w:r>
          </w:p>
          <w:p w14:paraId="1429207D">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如第三次发现人员及设备未按照招标文件及投标承诺时投入的，直接扣除该月度30%的运维费用。</w:t>
            </w:r>
          </w:p>
        </w:tc>
      </w:tr>
      <w:tr w14:paraId="5EEC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112BB36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01B5923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7C5AB418">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下个月</w:t>
            </w:r>
            <w:r>
              <w:rPr>
                <w:rFonts w:hint="eastAsia" w:ascii="宋体" w:hAnsi="宋体" w:eastAsia="宋体" w:cs="宋体"/>
                <w:color w:val="auto"/>
                <w:sz w:val="20"/>
                <w:szCs w:val="20"/>
                <w:highlight w:val="none"/>
                <w:lang w:val="en-US" w:eastAsia="zh-CN"/>
              </w:rPr>
              <w:t>10日前</w:t>
            </w:r>
            <w:r>
              <w:rPr>
                <w:rFonts w:hint="eastAsia" w:ascii="宋体" w:hAnsi="宋体" w:eastAsia="宋体" w:cs="宋体"/>
                <w:color w:val="auto"/>
                <w:sz w:val="20"/>
                <w:szCs w:val="20"/>
                <w:highlight w:val="none"/>
              </w:rPr>
              <w:t>以书面形式上报</w:t>
            </w:r>
            <w:r>
              <w:rPr>
                <w:rFonts w:hint="eastAsia" w:ascii="宋体" w:hAnsi="宋体" w:eastAsia="宋体" w:cs="宋体"/>
                <w:color w:val="auto"/>
                <w:sz w:val="20"/>
                <w:szCs w:val="20"/>
                <w:highlight w:val="none"/>
                <w:lang w:eastAsia="zh-CN"/>
              </w:rPr>
              <w:t>上</w:t>
            </w:r>
            <w:r>
              <w:rPr>
                <w:rFonts w:hint="eastAsia" w:ascii="宋体" w:hAnsi="宋体" w:eastAsia="宋体" w:cs="宋体"/>
                <w:color w:val="auto"/>
                <w:sz w:val="20"/>
                <w:szCs w:val="20"/>
                <w:highlight w:val="none"/>
              </w:rPr>
              <w:t>月作业计划、保洁、清运、机械化作业等数据台账。</w:t>
            </w:r>
          </w:p>
        </w:tc>
        <w:tc>
          <w:tcPr>
            <w:tcW w:w="5146" w:type="dxa"/>
            <w:noWrap/>
            <w:vAlign w:val="center"/>
          </w:tcPr>
          <w:p w14:paraId="0FD86A5D">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未及时上报作业计划、保洁、清运、机械化作业等数据台账及重大活动工作方案，每项每次扣0.5分，经督查还未上报的扣1分。扣分值作当月累加并给予警告。</w:t>
            </w:r>
          </w:p>
        </w:tc>
      </w:tr>
      <w:tr w14:paraId="5A1E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012AAB4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55275A6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09A4D19A">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保洁企事业安全生产工作落实，每季度要对一线道路保洁员进行安全生产全面轮训，新录用环卫工人应实施安全生产培训后方可上岗。</w:t>
            </w:r>
          </w:p>
        </w:tc>
        <w:tc>
          <w:tcPr>
            <w:tcW w:w="5146" w:type="dxa"/>
            <w:noWrap/>
            <w:vAlign w:val="center"/>
          </w:tcPr>
          <w:p w14:paraId="27181155">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未按规定时间完成一线道路保洁员安全生产全面轮训的每次扣3分，未按时上报轮训记录的每次扣1.5分，未对新录用环卫工人进行安全生产培训就安排上岗的每次扣1分，未按时上报培训情况的扣0.5分。</w:t>
            </w:r>
          </w:p>
        </w:tc>
      </w:tr>
      <w:tr w14:paraId="355D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4332CB0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23C464F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0610425D">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保洁企事业用工制度必须符合国家相关法律、法规及合同要求的规定。</w:t>
            </w:r>
          </w:p>
        </w:tc>
        <w:tc>
          <w:tcPr>
            <w:tcW w:w="5146" w:type="dxa"/>
            <w:noWrap/>
            <w:vAlign w:val="center"/>
          </w:tcPr>
          <w:p w14:paraId="047DF1AE">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未按要求跟标段内所有员工签订劳动合同的或发放员工工资低于本市区最低保障工资标准的，每发现一人次扣1分，扣分值作当月累加。经管理部门督查作业单位仍未改正的，终止合同没收履约保证金。</w:t>
            </w:r>
          </w:p>
        </w:tc>
      </w:tr>
      <w:tr w14:paraId="76F2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1" w:type="dxa"/>
            <w:vMerge w:val="restart"/>
            <w:noWrap/>
            <w:vAlign w:val="center"/>
          </w:tcPr>
          <w:p w14:paraId="480CC66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w:t>
            </w:r>
          </w:p>
          <w:p w14:paraId="277CE2F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环卫</w:t>
            </w:r>
          </w:p>
          <w:p w14:paraId="2247C5C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设施</w:t>
            </w:r>
          </w:p>
          <w:p w14:paraId="0018BF0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管理</w:t>
            </w:r>
          </w:p>
          <w:p w14:paraId="2418714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落实</w:t>
            </w:r>
          </w:p>
          <w:p w14:paraId="6940930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情况</w:t>
            </w:r>
          </w:p>
        </w:tc>
        <w:tc>
          <w:tcPr>
            <w:tcW w:w="824" w:type="dxa"/>
            <w:vMerge w:val="restart"/>
            <w:noWrap/>
            <w:vAlign w:val="center"/>
          </w:tcPr>
          <w:p w14:paraId="6561245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w:t>
            </w:r>
          </w:p>
          <w:p w14:paraId="20ACDB2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场</w:t>
            </w:r>
          </w:p>
          <w:p w14:paraId="04D0786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检</w:t>
            </w:r>
          </w:p>
          <w:p w14:paraId="1B39A06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768" w:type="dxa"/>
            <w:noWrap/>
            <w:vAlign w:val="center"/>
          </w:tcPr>
          <w:p w14:paraId="111E56A2">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果壳箱无歪斜，垃圾收集规范。</w:t>
            </w:r>
          </w:p>
        </w:tc>
        <w:tc>
          <w:tcPr>
            <w:tcW w:w="5146" w:type="dxa"/>
            <w:noWrap/>
            <w:vAlign w:val="center"/>
          </w:tcPr>
          <w:p w14:paraId="41D51C4C">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果壳箱倾斜的，每只扣0.5分，未按操作规范作业造成破损的扣1分。</w:t>
            </w:r>
          </w:p>
        </w:tc>
      </w:tr>
      <w:tr w14:paraId="3549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5C08344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7C61EC6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60D28C30">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垃圾容器摆放位置合理、整齐，随时保持整洁、无污垢及密闭。垃圾收集后环卫容器必须马上复位。</w:t>
            </w:r>
          </w:p>
        </w:tc>
        <w:tc>
          <w:tcPr>
            <w:tcW w:w="5146" w:type="dxa"/>
            <w:noWrap/>
            <w:vAlign w:val="center"/>
          </w:tcPr>
          <w:p w14:paraId="4BCB6766">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垃圾容器不整洁有污垢的，每处扣0.5分，环卫容器缺失、垃圾桶不入房，每处扣0.5分。果壳箱内胆、垃圾桶未摆放原位每处扣0.5分；果壳箱、垃圾桶、房未密闭，每处扣0.1分。</w:t>
            </w:r>
          </w:p>
        </w:tc>
      </w:tr>
      <w:tr w14:paraId="121A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36D30DB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477FD48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57B4A2D7">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保持垃圾容器齐全、完好。垃圾容器定期做好清洗、消杀。</w:t>
            </w:r>
          </w:p>
        </w:tc>
        <w:tc>
          <w:tcPr>
            <w:tcW w:w="5146" w:type="dxa"/>
            <w:noWrap/>
            <w:vAlign w:val="center"/>
          </w:tcPr>
          <w:p w14:paraId="348E0782">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垃圾容器损坏、丢失应在半个工作日之内，书面形式上报区环卫处进行更换、修复，未及时上报的，每处每次扣1分。未按要求定期做好清洗、消杀的，每处每次扣1分。</w:t>
            </w:r>
          </w:p>
        </w:tc>
      </w:tr>
      <w:tr w14:paraId="2D1B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2208470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0950B75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11787C46">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环卫作业车辆（含机动车、非机动车）保持完好整洁、无破损，有统一编号、监督电话、责任单位、车厢外无吊挂，并按规定进行停放。</w:t>
            </w:r>
          </w:p>
        </w:tc>
        <w:tc>
          <w:tcPr>
            <w:tcW w:w="5146" w:type="dxa"/>
            <w:noWrap/>
            <w:vAlign w:val="center"/>
          </w:tcPr>
          <w:p w14:paraId="783EEA89">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环卫专用车辆外观不洁、积尘、破损、车身油漆剥落（剥落面积大于15cm×15cm），每发现一次扣0.5分；环卫专用车辆无统一编号、监督电话、责任单位的，每发现一次扣0.5分；车厢外有吊挂的，每发现一次扣0.5分；未按规定进行停放的，每发现一次扣0.5分。</w:t>
            </w:r>
          </w:p>
        </w:tc>
      </w:tr>
      <w:tr w14:paraId="3117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45C0A38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4EC0B4F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53D49B8B">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清扫作业间隙，清扫工具要规范摆放。</w:t>
            </w:r>
          </w:p>
        </w:tc>
        <w:tc>
          <w:tcPr>
            <w:tcW w:w="5146" w:type="dxa"/>
            <w:noWrap/>
            <w:vAlign w:val="center"/>
          </w:tcPr>
          <w:p w14:paraId="6EA50A05">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摆放不规范、随意放置的，每发现一次扣0.2分。</w:t>
            </w:r>
          </w:p>
        </w:tc>
      </w:tr>
      <w:tr w14:paraId="5835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ign w:val="center"/>
          </w:tcPr>
          <w:p w14:paraId="72E0D6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p w14:paraId="1406DC3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三</w:t>
            </w:r>
            <w:r>
              <w:rPr>
                <w:rFonts w:hint="eastAsia" w:ascii="宋体" w:hAnsi="宋体" w:eastAsia="宋体" w:cs="宋体"/>
                <w:color w:val="auto"/>
                <w:sz w:val="20"/>
                <w:szCs w:val="20"/>
                <w:highlight w:val="none"/>
              </w:rPr>
              <w:t>）</w:t>
            </w:r>
          </w:p>
          <w:p w14:paraId="1616EFA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w:t>
            </w:r>
          </w:p>
          <w:p w14:paraId="7EB5A6F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清运</w:t>
            </w:r>
          </w:p>
          <w:p w14:paraId="11702BE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管理</w:t>
            </w:r>
          </w:p>
          <w:p w14:paraId="47D5320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指标</w:t>
            </w:r>
          </w:p>
          <w:p w14:paraId="0BD25F1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落实</w:t>
            </w:r>
          </w:p>
          <w:p w14:paraId="5158362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情况</w:t>
            </w:r>
          </w:p>
        </w:tc>
        <w:tc>
          <w:tcPr>
            <w:tcW w:w="824" w:type="dxa"/>
            <w:vMerge w:val="restart"/>
            <w:noWrap/>
            <w:vAlign w:val="center"/>
          </w:tcPr>
          <w:p w14:paraId="449CDE9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p w14:paraId="4857E5E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w:t>
            </w:r>
          </w:p>
          <w:p w14:paraId="20B919D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场</w:t>
            </w:r>
          </w:p>
          <w:p w14:paraId="6776EFB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检</w:t>
            </w:r>
          </w:p>
          <w:p w14:paraId="60A9B07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768" w:type="dxa"/>
            <w:noWrap/>
            <w:vAlign w:val="center"/>
          </w:tcPr>
          <w:p w14:paraId="2E663FBB">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严格按规定完成果壳箱、移动垃圾箱、固定垃圾房第一遍垃圾分类收集、清运,并清运彻底。</w:t>
            </w:r>
          </w:p>
        </w:tc>
        <w:tc>
          <w:tcPr>
            <w:tcW w:w="5146" w:type="dxa"/>
            <w:noWrap/>
            <w:vAlign w:val="center"/>
          </w:tcPr>
          <w:p w14:paraId="37DA4186">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未在规定时间内完成垃圾收集、清运的，每处果壳箱、移动垃圾箱、固定垃圾房扣1分。每处未分类收集、清运扣1分，清运不彻底的扣0.5分。</w:t>
            </w:r>
          </w:p>
        </w:tc>
      </w:tr>
      <w:tr w14:paraId="068D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2ED212D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5D081CD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714E4D48">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垃圾收集清运车实行密闭运输，无垃圾抛洒、无污水滴漏、车厢外无吊挂。</w:t>
            </w:r>
          </w:p>
        </w:tc>
        <w:tc>
          <w:tcPr>
            <w:tcW w:w="5146" w:type="dxa"/>
            <w:noWrap/>
            <w:vAlign w:val="center"/>
          </w:tcPr>
          <w:p w14:paraId="3EA5B3F3">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垃圾收集清运车未实行密闭运输，每发现一次，扣</w:t>
            </w:r>
            <w:r>
              <w:rPr>
                <w:rFonts w:hint="eastAsia" w:ascii="宋体" w:hAnsi="宋体" w:eastAsia="宋体" w:cs="宋体"/>
                <w:color w:val="auto"/>
                <w:sz w:val="20"/>
                <w:szCs w:val="20"/>
                <w:highlight w:val="none"/>
                <w:lang w:val="en-US" w:eastAsia="zh-CN"/>
              </w:rPr>
              <w:t>0.5</w:t>
            </w:r>
            <w:r>
              <w:rPr>
                <w:rFonts w:hint="eastAsia" w:ascii="宋体" w:hAnsi="宋体" w:eastAsia="宋体" w:cs="宋体"/>
                <w:color w:val="auto"/>
                <w:sz w:val="20"/>
                <w:szCs w:val="20"/>
                <w:highlight w:val="none"/>
              </w:rPr>
              <w:t>；发生抛洒滴漏污染路面、车厢外有吊挂的，每发生1次扣1分。</w:t>
            </w:r>
          </w:p>
        </w:tc>
      </w:tr>
      <w:tr w14:paraId="0B5E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2C1CE9F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65F8512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5F5B0DAA">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果壳箱、垃圾桶、垃圾房垃圾，做到日产日清。移动垃圾箱内的垃圾不得落地，必须配备专门车辆清洁直运。</w:t>
            </w:r>
          </w:p>
        </w:tc>
        <w:tc>
          <w:tcPr>
            <w:tcW w:w="5146" w:type="dxa"/>
            <w:noWrap/>
            <w:vAlign w:val="center"/>
          </w:tcPr>
          <w:p w14:paraId="495BD983">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未做到垃圾日产日清，晚上保洁结束前垃圾容器内垃圾超过50%的，每处扣0.5分；移动垃圾箱内的垃圾落地后再清理从而造成二次污染的每处每次扣1分。</w:t>
            </w:r>
          </w:p>
        </w:tc>
      </w:tr>
      <w:tr w14:paraId="078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7D98218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5D336A1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5662056F">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果壳箱、移动垃圾箱及垃圾房无垃圾满溢现象，周围保持整洁干净，无房外暴露垃圾。</w:t>
            </w:r>
          </w:p>
        </w:tc>
        <w:tc>
          <w:tcPr>
            <w:tcW w:w="5146" w:type="dxa"/>
            <w:noWrap/>
            <w:vAlign w:val="center"/>
          </w:tcPr>
          <w:p w14:paraId="7C7330C7">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果壳箱、移动垃圾箱、垃圾房道路清扫不及时，垃圾超出垃圾容器投放口平面的或满溢的每处扣0.5分，周围地面不洁有暴露垃圾、垃圾堆或污水的每处扣1分。</w:t>
            </w:r>
          </w:p>
        </w:tc>
      </w:tr>
      <w:tr w14:paraId="592F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74B99F5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07E93F4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1ED8A538">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清扫、清运收集的垃圾不应随意倾倒，必须按规定统一运至垃圾中转站进行垃圾处理。在垃圾中转站倾倒垃圾必须服从管理员调度、指挥。</w:t>
            </w:r>
          </w:p>
        </w:tc>
        <w:tc>
          <w:tcPr>
            <w:tcW w:w="5146" w:type="dxa"/>
            <w:noWrap/>
            <w:vAlign w:val="center"/>
          </w:tcPr>
          <w:p w14:paraId="2742EE7B">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焚烧垃圾、树叶、杂物的每次扣1分；垃圾收集车内的垃圾未直接运往垃圾中转站倾倒，随意倾倒的每次扣2分；在垃圾中转站倾倒垃圾不服从中转站管理员调度、指挥的，每次扣1分。</w:t>
            </w:r>
          </w:p>
        </w:tc>
      </w:tr>
      <w:tr w14:paraId="53F7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ign w:val="center"/>
          </w:tcPr>
          <w:p w14:paraId="1BBBCF0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四</w:t>
            </w:r>
            <w:r>
              <w:rPr>
                <w:rFonts w:hint="eastAsia" w:ascii="宋体" w:hAnsi="宋体" w:eastAsia="宋体" w:cs="宋体"/>
                <w:color w:val="auto"/>
                <w:sz w:val="20"/>
                <w:szCs w:val="20"/>
                <w:highlight w:val="none"/>
              </w:rPr>
              <w:t>）清扫</w:t>
            </w:r>
          </w:p>
          <w:p w14:paraId="393A909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管理</w:t>
            </w:r>
          </w:p>
          <w:p w14:paraId="4619E68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指标</w:t>
            </w:r>
          </w:p>
          <w:p w14:paraId="5DD4D8A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落实</w:t>
            </w:r>
          </w:p>
          <w:p w14:paraId="3CD650E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情况</w:t>
            </w:r>
          </w:p>
        </w:tc>
        <w:tc>
          <w:tcPr>
            <w:tcW w:w="824" w:type="dxa"/>
            <w:vMerge w:val="restart"/>
            <w:noWrap/>
            <w:vAlign w:val="center"/>
          </w:tcPr>
          <w:p w14:paraId="7DD0271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w:t>
            </w:r>
          </w:p>
          <w:p w14:paraId="4BED9C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场</w:t>
            </w:r>
          </w:p>
          <w:p w14:paraId="474BA35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检</w:t>
            </w:r>
          </w:p>
          <w:p w14:paraId="39C1286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768" w:type="dxa"/>
            <w:noWrap/>
            <w:vAlign w:val="center"/>
          </w:tcPr>
          <w:p w14:paraId="34D656E1">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按规定时间内完成统扫，</w:t>
            </w:r>
            <w:r>
              <w:rPr>
                <w:rFonts w:hint="eastAsia" w:ascii="宋体" w:hAnsi="宋体" w:eastAsia="宋体" w:cs="宋体"/>
                <w:color w:val="auto"/>
                <w:sz w:val="20"/>
                <w:szCs w:val="20"/>
                <w:highlight w:val="none"/>
                <w:lang w:eastAsia="zh-CN"/>
              </w:rPr>
              <w:t>夏季</w:t>
            </w:r>
            <w:r>
              <w:rPr>
                <w:rFonts w:hint="eastAsia" w:ascii="宋体" w:hAnsi="宋体" w:eastAsia="宋体" w:cs="宋体"/>
                <w:color w:val="auto"/>
                <w:sz w:val="20"/>
                <w:szCs w:val="20"/>
                <w:highlight w:val="none"/>
              </w:rPr>
              <w:t>每日上午7：30前完成普扫，其他月份每日上午7：00前完成普扫；第二遍统扫以</w:t>
            </w:r>
            <w:r>
              <w:rPr>
                <w:rFonts w:hint="eastAsia" w:ascii="宋体" w:hAnsi="宋体" w:eastAsia="宋体" w:cs="宋体"/>
                <w:color w:val="auto"/>
                <w:sz w:val="20"/>
                <w:szCs w:val="20"/>
                <w:highlight w:val="none"/>
                <w:lang w:val="en-US" w:eastAsia="zh-CN"/>
              </w:rPr>
              <w:t>16:30</w:t>
            </w:r>
            <w:r>
              <w:rPr>
                <w:rFonts w:hint="eastAsia" w:ascii="宋体" w:hAnsi="宋体" w:eastAsia="宋体" w:cs="宋体"/>
                <w:color w:val="auto"/>
                <w:sz w:val="20"/>
                <w:szCs w:val="20"/>
                <w:highlight w:val="none"/>
              </w:rPr>
              <w:t>前普扫完毕；结束后做好巡回保洁工作。</w:t>
            </w:r>
          </w:p>
        </w:tc>
        <w:tc>
          <w:tcPr>
            <w:tcW w:w="5146" w:type="dxa"/>
            <w:noWrap/>
            <w:vAlign w:val="center"/>
          </w:tcPr>
          <w:p w14:paraId="2BDA4FAC">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未在规定时间内完成普扫的，每岗位扣1分；未普扫的每岗位扣3分；经督查仍未按要求进行补扫的，扣5分并给予警告。</w:t>
            </w:r>
          </w:p>
        </w:tc>
      </w:tr>
      <w:tr w14:paraId="194A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3E58CAF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3BA7D65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7FB82764">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保洁作业时不得漏扫、甩扫，垃圾应归拢、归堆并清除彻底，垃圾不得扫入窨井、阴沟及道路两侧。</w:t>
            </w:r>
          </w:p>
        </w:tc>
        <w:tc>
          <w:tcPr>
            <w:tcW w:w="5146" w:type="dxa"/>
            <w:noWrap/>
            <w:vAlign w:val="center"/>
          </w:tcPr>
          <w:p w14:paraId="13D32E3A">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道路、人行道漏扫、甩扫的每岗位扣0.2分，垃圾归拢、归堆未清除的每岗位扣0.5分，清除不彻底的每处扣0.2分，垃圾扫入窨井、河道、道路两侧的每次扣0.5分。</w:t>
            </w:r>
          </w:p>
        </w:tc>
      </w:tr>
      <w:tr w14:paraId="741B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526D29E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0332118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0A251261">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清扫保洁人员将清扫收集的垃圾，运至垃圾中转站。</w:t>
            </w:r>
          </w:p>
        </w:tc>
        <w:tc>
          <w:tcPr>
            <w:tcW w:w="5146" w:type="dxa"/>
            <w:noWrap/>
            <w:vAlign w:val="center"/>
          </w:tcPr>
          <w:p w14:paraId="5FCEC863">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清扫保洁人员将清扫收集的垃圾倒入沿街果壳箱、移动垃圾桶、垃圾房内的，每发现一次扣0.5分。</w:t>
            </w:r>
          </w:p>
        </w:tc>
      </w:tr>
      <w:tr w14:paraId="335A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6D06578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4970D11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57BF855A">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做好路面及绿化带、绿地、空地的巡回保洁工作。做到路面无垃圾、无杂草、无积泥（沙石），晴天无积水。雨水井沟眼畅通干净，树穴清洁无垃圾、杂物，人行道板及各类井盖缝隙无垃圾、杂物。作业范围内无小广告、“牛皮癣”。</w:t>
            </w:r>
          </w:p>
        </w:tc>
        <w:tc>
          <w:tcPr>
            <w:tcW w:w="5146" w:type="dxa"/>
            <w:noWrap/>
            <w:vAlign w:val="center"/>
          </w:tcPr>
          <w:p w14:paraId="132F4E61">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巡回保洁未到位，绿化带有零星垃圾的每处扣0.5分，可视范围内有多处零星垃圾（≥5处）的扣1分；道路、树穴、空地路面＜3㎡内有零星垃圾、杂物的每处扣0.2分，可视范围内有多处零星垃圾（≥5处）的每处扣0.5分，有成堆暴露垃圾的每处扣1分；无主建筑道路清扫不及时，＜0.5立方米的每处扣0.5分，≥0.5立方米的每处扣1分；杂草每100㎡≥10株扣0.2分；碎石每100㎡≥0.5㎡或多于10处的，扣0.5分；路面道路积泥（沙石）长度＜2米的每处扣0.2分，≥2米的每处扣0.5分，≥10米的每处扣1分；道路晴天积水＜3㎡的每处扣0.2分，≥3㎡的每处扣0.5分，冬季路面积水导致路面结冰的每处扣1分，导致有责交通事故的每次扣2分；人行道板间、人行道各类井盖间的缝隙有垃圾、杂物的每处扣0.2分；交通隔离栏（墩）下有积尘＜5米的每处扣0.5分，≥5米的每处扣1分。小广告、“牛皮癣”每发现一处扣0.2分。</w:t>
            </w:r>
          </w:p>
        </w:tc>
      </w:tr>
      <w:tr w14:paraId="63C0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7471B8F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738199A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61F0B247">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建立健全马路市场</w:t>
            </w:r>
            <w:r>
              <w:rPr>
                <w:rFonts w:hint="eastAsia" w:ascii="宋体" w:hAnsi="宋体" w:eastAsia="宋体" w:cs="宋体"/>
                <w:color w:val="auto"/>
                <w:sz w:val="20"/>
                <w:szCs w:val="20"/>
                <w:highlight w:val="none"/>
                <w:lang w:eastAsia="zh-CN"/>
              </w:rPr>
              <w:t>（如赶集等）</w:t>
            </w:r>
            <w:r>
              <w:rPr>
                <w:rFonts w:hint="eastAsia" w:ascii="宋体" w:hAnsi="宋体" w:eastAsia="宋体" w:cs="宋体"/>
                <w:color w:val="auto"/>
                <w:sz w:val="20"/>
                <w:szCs w:val="20"/>
                <w:highlight w:val="none"/>
              </w:rPr>
              <w:t>长效保洁制度，在马路市场营业时间保洁工作落实，保洁人员、保洁机具、垃圾收集容器到位，垃圾桶不满溢，路面干净整洁。</w:t>
            </w:r>
          </w:p>
        </w:tc>
        <w:tc>
          <w:tcPr>
            <w:tcW w:w="5146" w:type="dxa"/>
            <w:noWrap/>
            <w:vAlign w:val="center"/>
          </w:tcPr>
          <w:p w14:paraId="4137C6E5">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马路市场保洁责任制不到位，环境卫生脏乱差的，每发生一次扣</w:t>
            </w:r>
            <w:r>
              <w:rPr>
                <w:rFonts w:hint="eastAsia" w:ascii="宋体" w:hAnsi="宋体" w:eastAsia="宋体" w:cs="宋体"/>
                <w:color w:val="auto"/>
                <w:sz w:val="20"/>
                <w:szCs w:val="20"/>
                <w:highlight w:val="none"/>
                <w:lang w:val="en-US" w:eastAsia="zh-CN"/>
              </w:rPr>
              <w:t>3-5</w:t>
            </w:r>
            <w:r>
              <w:rPr>
                <w:rFonts w:hint="eastAsia" w:ascii="宋体" w:hAnsi="宋体" w:eastAsia="宋体" w:cs="宋体"/>
                <w:color w:val="auto"/>
                <w:sz w:val="20"/>
                <w:szCs w:val="20"/>
                <w:highlight w:val="none"/>
              </w:rPr>
              <w:t>分。</w:t>
            </w:r>
          </w:p>
        </w:tc>
      </w:tr>
      <w:tr w14:paraId="2042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ign w:val="center"/>
          </w:tcPr>
          <w:p w14:paraId="37C160E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五</w:t>
            </w:r>
            <w:r>
              <w:rPr>
                <w:rFonts w:hint="eastAsia" w:ascii="宋体" w:hAnsi="宋体" w:eastAsia="宋体" w:cs="宋体"/>
                <w:color w:val="auto"/>
                <w:sz w:val="20"/>
                <w:szCs w:val="20"/>
                <w:highlight w:val="none"/>
              </w:rPr>
              <w:t>）机械化作业</w:t>
            </w:r>
          </w:p>
          <w:p w14:paraId="7CBB0F1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管理</w:t>
            </w:r>
          </w:p>
          <w:p w14:paraId="235D92A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指标</w:t>
            </w:r>
          </w:p>
          <w:p w14:paraId="1C7D7DB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落实</w:t>
            </w:r>
          </w:p>
          <w:p w14:paraId="3E2FEBD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情况</w:t>
            </w:r>
          </w:p>
        </w:tc>
        <w:tc>
          <w:tcPr>
            <w:tcW w:w="824" w:type="dxa"/>
            <w:vMerge w:val="restart"/>
            <w:noWrap/>
            <w:vAlign w:val="center"/>
          </w:tcPr>
          <w:p w14:paraId="63FA1BF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w:t>
            </w:r>
          </w:p>
          <w:p w14:paraId="41E7DCF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场</w:t>
            </w:r>
          </w:p>
          <w:p w14:paraId="2BA1C9F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检</w:t>
            </w:r>
          </w:p>
          <w:p w14:paraId="7BA322A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2768" w:type="dxa"/>
            <w:noWrap/>
            <w:vAlign w:val="center"/>
          </w:tcPr>
          <w:p w14:paraId="52EFA442">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道路机扫保洁作业做到不扬尘。在普扫前应做好道路洒水，保持车行道路面湿润，有效控制清扫时可能产生的扬尘；机扫质量达标；机扫车作业时车速≤10km/h。</w:t>
            </w:r>
          </w:p>
        </w:tc>
        <w:tc>
          <w:tcPr>
            <w:tcW w:w="5146" w:type="dxa"/>
            <w:noWrap/>
            <w:vAlign w:val="center"/>
          </w:tcPr>
          <w:p w14:paraId="7631E697">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机扫保洁作业不规范导致路面扬尘的，每次扣1分；机扫路面应干净,清扫后垃圾未吸净而有成条或小堆的，每处扣1分；机扫车作业超过规定车速的，每发生1次扣0.5分，</w:t>
            </w:r>
          </w:p>
        </w:tc>
      </w:tr>
      <w:tr w14:paraId="5066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5F3852E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4587BCA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4093BF01">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洒水、机扫频次需达到规定的要求。道路每日首次普扫采取机械化为主、人工清扫为辅的清扫方式。洒水车、扫路车按计划出车，出车台账资料齐全。</w:t>
            </w:r>
          </w:p>
        </w:tc>
        <w:tc>
          <w:tcPr>
            <w:tcW w:w="5146" w:type="dxa"/>
            <w:noWrap/>
            <w:vAlign w:val="center"/>
          </w:tcPr>
          <w:p w14:paraId="789A2538">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道路洒水、机扫频次未达到规定要求的，每少1次，扣1分，作业未完成整个频次或未覆盖全路段的，每发生1次，扣1分；道路机扫空驶的，每发生1次，扣1.5分。首次普扫未落实扫路车清扫的，每发生1次，扣0.5分。</w:t>
            </w:r>
          </w:p>
        </w:tc>
      </w:tr>
      <w:tr w14:paraId="33DA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1B152CF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079840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28E504FE">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交通早晚高峰期间（上午7:15－8:45，晚上17:30－18:45）,禁止洒水（有特殊情况除外）；</w:t>
            </w:r>
          </w:p>
          <w:p w14:paraId="348D8EEE">
            <w:pPr>
              <w:keepNext w:val="0"/>
              <w:keepLines w:val="0"/>
              <w:pageBreakBefore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洒水车应有提示音乐音量调节装置，警示灯完好，22：00-7：00期间洒水作业时不得播放提示音乐，应使用警示灯光。洒水车作业时车速≤25km/h，洒水车应洒水到边石，通过十字路口、人行横道、机动车道与非机动车道混行的路段时要控制好水幅，以防止将水洒到行人。气温低于2度时暂停洒水，冰冻天气禁止洒水。</w:t>
            </w:r>
          </w:p>
        </w:tc>
        <w:tc>
          <w:tcPr>
            <w:tcW w:w="5146" w:type="dxa"/>
            <w:noWrap/>
            <w:vAlign w:val="center"/>
          </w:tcPr>
          <w:p w14:paraId="59D9AC87">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交通高峰时期安排洒水作业的，每发生1次，扣1分；</w:t>
            </w:r>
          </w:p>
          <w:p w14:paraId="5B04E392">
            <w:pPr>
              <w:keepNext w:val="0"/>
              <w:keepLines w:val="0"/>
              <w:pageBreakBefore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洒水车未安装提示音乐音量调节装置或警示灯缺失、破损的，每车扣1分。在22:00-7:00期间洒水作业时仍播放大声提示音乐或未启用警示灯光的，每发生1次扣2分。洒水车作业超过规定车速的，每发生1次扣0.5分。车辆洒水不到边，每发现一次，扣0.5分；冬季洒水使路面结冰发生责任安全事故的，扣1分。</w:t>
            </w:r>
          </w:p>
        </w:tc>
      </w:tr>
      <w:tr w14:paraId="0208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771" w:type="dxa"/>
            <w:vMerge w:val="continue"/>
            <w:noWrap/>
            <w:vAlign w:val="center"/>
          </w:tcPr>
          <w:p w14:paraId="4B5EBAB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4B45A69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70BE5EBA">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道路清洗工作落实，清洗作业规范，清洗频次需达到规定的要求，清洗后路面无油污、无污垢、无积水，见本色。一、</w:t>
            </w:r>
            <w:r>
              <w:rPr>
                <w:rFonts w:hint="eastAsia" w:ascii="宋体" w:hAnsi="宋体" w:eastAsia="宋体" w:cs="宋体"/>
                <w:color w:val="auto"/>
                <w:sz w:val="20"/>
                <w:szCs w:val="20"/>
                <w:highlight w:val="none"/>
                <w:lang w:val="zh-CN"/>
              </w:rPr>
              <w:t>二类道路的人行道、车行道路面清洗每月清洗不少于一次；道路交通护栏、隔离墩每月清洗不少于一次，并保持随脏随洗。</w:t>
            </w:r>
          </w:p>
        </w:tc>
        <w:tc>
          <w:tcPr>
            <w:tcW w:w="5146" w:type="dxa"/>
            <w:noWrap/>
            <w:vAlign w:val="center"/>
          </w:tcPr>
          <w:p w14:paraId="262D2BEE">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道路及护栏清洗工作不落实，每发生一次扣3分扣分值作当月累加；道路及护栏清洗未覆盖全路段的，每发生1次，扣1分；清洗作业不规范，清洗质量不达标，清洗后路面有油污、污垢、积水的，每发生一处扣0.5分。清洗后护栏、隔离墩留有污垢的，≤10米的，每处扣0.2分；≥10米的，每处扣0.5分.</w:t>
            </w:r>
          </w:p>
        </w:tc>
      </w:tr>
      <w:tr w14:paraId="24BE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71" w:type="dxa"/>
            <w:vMerge w:val="restart"/>
            <w:noWrap/>
            <w:vAlign w:val="center"/>
          </w:tcPr>
          <w:p w14:paraId="2C6B125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六</w:t>
            </w:r>
            <w:r>
              <w:rPr>
                <w:rFonts w:hint="eastAsia" w:ascii="宋体" w:hAnsi="宋体" w:eastAsia="宋体" w:cs="宋体"/>
                <w:color w:val="auto"/>
                <w:sz w:val="20"/>
                <w:szCs w:val="20"/>
                <w:highlight w:val="none"/>
              </w:rPr>
              <w:t>）公厕卫生保洁</w:t>
            </w:r>
          </w:p>
        </w:tc>
        <w:tc>
          <w:tcPr>
            <w:tcW w:w="824" w:type="dxa"/>
            <w:vMerge w:val="restart"/>
            <w:noWrap/>
            <w:vAlign w:val="center"/>
          </w:tcPr>
          <w:p w14:paraId="0A9D4AD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台账现场检查</w:t>
            </w:r>
          </w:p>
        </w:tc>
        <w:tc>
          <w:tcPr>
            <w:tcW w:w="2768" w:type="dxa"/>
            <w:noWrap/>
            <w:vAlign w:val="center"/>
          </w:tcPr>
          <w:p w14:paraId="7F4E96E5">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厕保洁做到“十洁”，“六无”。“十洁”即：顶棚墙壁洁、门窗沙洁、地面蹲台、沟槽便坑洁、尿池洁、隔断板门洁、镜面、洗手盆、墩布池洁、手干器、挂衣钩洁，标牌灯具洁和厕所外部环境洁。“六无”即：无乱写乱画、无蚊蝇、无臭味</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无尿碱污物、无暴露保洁工具和便纸，厕内外地面无积尿、积水、结冰；</w:t>
            </w:r>
          </w:p>
        </w:tc>
        <w:tc>
          <w:tcPr>
            <w:tcW w:w="5146" w:type="dxa"/>
            <w:noWrap/>
            <w:vAlign w:val="center"/>
          </w:tcPr>
          <w:p w14:paraId="755AC5E0">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台、隔断板门、门窗上有积尘、积垢的，每发现一处扣0.2分；地面有痰涕、纸屑、烟头、污泥、积水、墙壁、房顶有蛛网，每发现一处扣0.2分；便池、池斗有严重便迹、尿渍，蹲位、挡墙（板）脏、厕内乱堆放杂物等，每发现一处扣0.5分；有乱涂画、张贴，每发现一处扣0.5分</w:t>
            </w:r>
          </w:p>
        </w:tc>
      </w:tr>
      <w:tr w14:paraId="3FF9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71" w:type="dxa"/>
            <w:vMerge w:val="continue"/>
            <w:noWrap/>
            <w:vAlign w:val="center"/>
          </w:tcPr>
          <w:p w14:paraId="605A2F3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18909B8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36D526C2">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保持公厕周围环境的卫生</w:t>
            </w:r>
          </w:p>
        </w:tc>
        <w:tc>
          <w:tcPr>
            <w:tcW w:w="5146" w:type="dxa"/>
            <w:noWrap/>
            <w:vAlign w:val="center"/>
          </w:tcPr>
          <w:p w14:paraId="36ECCAEB">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公厕周围绿化带或责任区内有纸屑、果皮烟蒂等垃圾的，每处扣0.2分；＞0.5㎡的每处扣0.5分；有乱放杂物、乱搭建、晾晒的，每处扣0.5分。</w:t>
            </w:r>
          </w:p>
        </w:tc>
      </w:tr>
      <w:tr w14:paraId="2916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71" w:type="dxa"/>
            <w:vMerge w:val="continue"/>
            <w:noWrap/>
            <w:vAlign w:val="center"/>
          </w:tcPr>
          <w:p w14:paraId="03E6CE5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75F86AE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20C7604E">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保持公厕垃圾容器的干净和整洁，并日产日清</w:t>
            </w:r>
          </w:p>
        </w:tc>
        <w:tc>
          <w:tcPr>
            <w:tcW w:w="5146" w:type="dxa"/>
            <w:noWrap/>
            <w:vAlign w:val="center"/>
          </w:tcPr>
          <w:p w14:paraId="07AC3B15">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公厕厕位无纸篓的，每一处扣0.2分；纸篓等垃圾容器没有套袋的，每发现一处扣0.1分；产生的垃圾未做到日产日清的，每发现一处扣0.2分；垃圾超出垃圾容器平面的，每发现一处扣0.2分。</w:t>
            </w:r>
          </w:p>
        </w:tc>
      </w:tr>
      <w:tr w14:paraId="6745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71" w:type="dxa"/>
            <w:vMerge w:val="continue"/>
            <w:noWrap/>
            <w:vAlign w:val="center"/>
          </w:tcPr>
          <w:p w14:paraId="7CF1C05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1F8719A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4C41CE72">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公厕有防蝇，防蚊和除臭设施或措施。定时喷洒除臭、除蚊蝇药剂。</w:t>
            </w:r>
          </w:p>
        </w:tc>
        <w:tc>
          <w:tcPr>
            <w:tcW w:w="5146" w:type="dxa"/>
            <w:noWrap/>
            <w:vAlign w:val="center"/>
          </w:tcPr>
          <w:p w14:paraId="1B6A50BC">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每天不少于一次做好所有公厕病媒生物消杀、清洁除臭，发生重大的卫生事件期间消杀频次增加一次。每个公厕发现少一次消杀、除臭的扣0.5分；每发现一个苍蝇或活蛆的扣0.2分；有明显臭味扣0.5分。</w:t>
            </w:r>
          </w:p>
        </w:tc>
      </w:tr>
      <w:tr w14:paraId="4349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Merge w:val="continue"/>
            <w:noWrap/>
            <w:vAlign w:val="center"/>
          </w:tcPr>
          <w:p w14:paraId="0DB5EBF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2593B9C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702EFDC3">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实行全天开放保洁，作</w:t>
            </w:r>
            <w:r>
              <w:rPr>
                <w:rFonts w:hint="eastAsia" w:ascii="宋体" w:hAnsi="宋体" w:eastAsia="宋体" w:cs="宋体"/>
                <w:color w:val="auto"/>
                <w:sz w:val="20"/>
                <w:szCs w:val="20"/>
                <w:highlight w:val="none"/>
                <w:lang w:val="zh-CN"/>
              </w:rPr>
              <w:t>业时须穿工作服，</w:t>
            </w:r>
            <w:r>
              <w:rPr>
                <w:rFonts w:hint="eastAsia" w:ascii="宋体" w:hAnsi="宋体" w:eastAsia="宋体" w:cs="宋体"/>
                <w:color w:val="auto"/>
                <w:sz w:val="20"/>
                <w:szCs w:val="20"/>
                <w:highlight w:val="none"/>
              </w:rPr>
              <w:t>随脏随保洁</w:t>
            </w:r>
          </w:p>
        </w:tc>
        <w:tc>
          <w:tcPr>
            <w:tcW w:w="5146" w:type="dxa"/>
            <w:noWrap/>
            <w:vAlign w:val="center"/>
          </w:tcPr>
          <w:p w14:paraId="35F58702">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未按规定要求落实公厕保洁时间，每发现一次扣0.2分；公厕保洁员未准时上岗或工作期间擅自离岗，每发现一次扣0.5分</w:t>
            </w:r>
          </w:p>
        </w:tc>
      </w:tr>
      <w:tr w14:paraId="3CB1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771" w:type="dxa"/>
            <w:vMerge w:val="continue"/>
            <w:noWrap/>
            <w:vAlign w:val="center"/>
          </w:tcPr>
          <w:p w14:paraId="6CF8D3A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1C13537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6F921301">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维持公厕内部工具的整洁，并做好除臭台账</w:t>
            </w:r>
          </w:p>
        </w:tc>
        <w:tc>
          <w:tcPr>
            <w:tcW w:w="5146" w:type="dxa"/>
            <w:noWrap/>
            <w:vAlign w:val="center"/>
          </w:tcPr>
          <w:p w14:paraId="5DA5129C">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厕内保洁工具未在指定位置摆放的，每发现一次扣0.2分；随时放置当日消杀、除臭台帐供现场检查，未到位的每发现一次扣0.5分；在公厕管理间、工具间、通道堆积杂物或货品的，每发现一次到扣0.2分；利用公厕管理间、通道经营、销售商品的扣0.5分；经督查，未在限时整改的扣1分</w:t>
            </w:r>
          </w:p>
        </w:tc>
      </w:tr>
      <w:tr w14:paraId="0ED3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71" w:type="dxa"/>
            <w:vMerge w:val="continue"/>
            <w:noWrap/>
            <w:vAlign w:val="center"/>
          </w:tcPr>
          <w:p w14:paraId="08D3284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04F6842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11649451">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作</w:t>
            </w:r>
            <w:r>
              <w:rPr>
                <w:rFonts w:hint="eastAsia" w:ascii="宋体" w:hAnsi="宋体" w:eastAsia="宋体" w:cs="宋体"/>
                <w:color w:val="auto"/>
                <w:sz w:val="20"/>
                <w:szCs w:val="20"/>
                <w:highlight w:val="none"/>
                <w:lang w:val="zh-CN"/>
              </w:rPr>
              <w:t>业时须穿工作服，</w:t>
            </w:r>
            <w:r>
              <w:rPr>
                <w:rFonts w:hint="eastAsia" w:ascii="宋体" w:hAnsi="宋体" w:eastAsia="宋体" w:cs="宋体"/>
                <w:color w:val="auto"/>
                <w:sz w:val="20"/>
                <w:szCs w:val="20"/>
                <w:highlight w:val="none"/>
              </w:rPr>
              <w:t>随脏随保洁，</w:t>
            </w:r>
          </w:p>
        </w:tc>
        <w:tc>
          <w:tcPr>
            <w:tcW w:w="5146" w:type="dxa"/>
            <w:noWrap/>
            <w:vAlign w:val="center"/>
          </w:tcPr>
          <w:p w14:paraId="058CD835">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未穿工作服或佩带上岗证，每发现一次扣0.2分；工作人员未按规范保洁，每发现一次扣0.2分；工作人员强行卖纸巾的扣0.5分；</w:t>
            </w:r>
          </w:p>
        </w:tc>
      </w:tr>
      <w:tr w14:paraId="34DB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71" w:type="dxa"/>
            <w:vMerge w:val="restart"/>
            <w:noWrap/>
            <w:vAlign w:val="center"/>
          </w:tcPr>
          <w:p w14:paraId="31A5501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七</w:t>
            </w:r>
            <w:r>
              <w:rPr>
                <w:rFonts w:hint="eastAsia" w:ascii="宋体" w:hAnsi="宋体" w:eastAsia="宋体" w:cs="宋体"/>
                <w:color w:val="auto"/>
                <w:sz w:val="20"/>
                <w:szCs w:val="20"/>
                <w:highlight w:val="none"/>
              </w:rPr>
              <w:t>）中转站</w:t>
            </w:r>
          </w:p>
          <w:p w14:paraId="4712D50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卫生</w:t>
            </w:r>
          </w:p>
          <w:p w14:paraId="75E33BF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保洁</w:t>
            </w:r>
          </w:p>
        </w:tc>
        <w:tc>
          <w:tcPr>
            <w:tcW w:w="824" w:type="dxa"/>
            <w:vMerge w:val="restart"/>
            <w:noWrap/>
            <w:vAlign w:val="center"/>
          </w:tcPr>
          <w:p w14:paraId="2AC1278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台账现场检查</w:t>
            </w:r>
          </w:p>
        </w:tc>
        <w:tc>
          <w:tcPr>
            <w:tcW w:w="2768" w:type="dxa"/>
            <w:noWrap/>
            <w:vAlign w:val="center"/>
          </w:tcPr>
          <w:p w14:paraId="759450DC">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垃圾压缩转运时日产日运不积存垃圾。</w:t>
            </w:r>
          </w:p>
        </w:tc>
        <w:tc>
          <w:tcPr>
            <w:tcW w:w="5146" w:type="dxa"/>
            <w:noWrap/>
            <w:vAlign w:val="center"/>
          </w:tcPr>
          <w:p w14:paraId="575CFFCD">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中转站﹙点﹚垃圾日产日清,清运率达100%。如垃圾未按时清运，每发现1次，扣0.5分。</w:t>
            </w:r>
          </w:p>
        </w:tc>
      </w:tr>
      <w:tr w14:paraId="0914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71" w:type="dxa"/>
            <w:vMerge w:val="continue"/>
            <w:noWrap/>
            <w:vAlign w:val="center"/>
          </w:tcPr>
          <w:p w14:paraId="7D80259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3017910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5D378281">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每日定时冲洗保洁，做到随脏随保、车走站净</w:t>
            </w:r>
          </w:p>
        </w:tc>
        <w:tc>
          <w:tcPr>
            <w:tcW w:w="5146" w:type="dxa"/>
            <w:noWrap/>
            <w:vAlign w:val="center"/>
          </w:tcPr>
          <w:p w14:paraId="6075B00A">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中转站﹙点﹚垃圾进口处平台卫生干净,各道排污口畅通,站内外整洁有序,每发现一处中转站有问题扣0.5分；</w:t>
            </w:r>
          </w:p>
        </w:tc>
      </w:tr>
      <w:tr w14:paraId="70E2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771" w:type="dxa"/>
            <w:vMerge w:val="continue"/>
            <w:noWrap/>
            <w:vAlign w:val="center"/>
          </w:tcPr>
          <w:p w14:paraId="220F993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6909F51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62F6FA96">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做好中转站周围的卫生保洁，不乱堆放杂物。</w:t>
            </w:r>
          </w:p>
        </w:tc>
        <w:tc>
          <w:tcPr>
            <w:tcW w:w="5146" w:type="dxa"/>
            <w:noWrap/>
            <w:vAlign w:val="center"/>
          </w:tcPr>
          <w:p w14:paraId="0768EACC">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中转站﹙点﹚及周围绿化带或责任区内有纸屑、果皮烟蒂等垃圾的，每处扣0.2分；＞0.5㎡的每处扣0.5分；有乱放杂物、乱搭建、晾晒的，每处扣0.5分。</w:t>
            </w:r>
          </w:p>
        </w:tc>
      </w:tr>
      <w:tr w14:paraId="7FD9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71" w:type="dxa"/>
            <w:vMerge w:val="continue"/>
            <w:noWrap/>
            <w:vAlign w:val="center"/>
          </w:tcPr>
          <w:p w14:paraId="5F003AD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47C789C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6D0F805B">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站内定期喷洒除臭剂、消毒剂，做到无臭味、无蚊蝇、无鼠害、无蜘蛛网等</w:t>
            </w:r>
          </w:p>
        </w:tc>
        <w:tc>
          <w:tcPr>
            <w:tcW w:w="5146" w:type="dxa"/>
            <w:noWrap/>
            <w:vAlign w:val="center"/>
          </w:tcPr>
          <w:p w14:paraId="2D61393A">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规定时间和标准及时做好灭鼠、灭蚊、灭蝇、灭蟑螂，消除臭气等工作。每天不少于两次做好所有中转站﹙点﹚病媒生物消杀、清洁除臭，发生重大的卫生事件期间消杀频次增加一次。每个中转站﹙点﹚发现少一次除“四害”工作、消杀、除臭的扣0.5分；每发现三个苍蝇或活蛆的扣0.2分；有明显臭味扣0.5分。</w:t>
            </w:r>
          </w:p>
        </w:tc>
      </w:tr>
      <w:tr w14:paraId="68A1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71" w:type="dxa"/>
            <w:vMerge w:val="continue"/>
            <w:noWrap/>
            <w:vAlign w:val="center"/>
          </w:tcPr>
          <w:p w14:paraId="5DFFF17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2339C09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41B442D5">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工具台账要在指定位置摆放，站内不许乱堆放杂物。</w:t>
            </w:r>
          </w:p>
        </w:tc>
        <w:tc>
          <w:tcPr>
            <w:tcW w:w="5146" w:type="dxa"/>
            <w:noWrap/>
            <w:vAlign w:val="center"/>
          </w:tcPr>
          <w:p w14:paraId="236D7936">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转站﹙点﹚内保洁工具未在指定位置摆放的，每发现一次扣0.2分；随时放置当日消杀、除臭台帐供现场检查，未到位的每发现一次扣0.5分；在中转站﹙点﹚管理间、操作区域、通道堆积杂物或货品的，每发现一次到扣0.2分；经督查，未在限时整改的扣1分。</w:t>
            </w:r>
          </w:p>
        </w:tc>
      </w:tr>
      <w:tr w14:paraId="032A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71" w:type="dxa"/>
            <w:vMerge w:val="continue"/>
            <w:noWrap/>
            <w:vAlign w:val="center"/>
          </w:tcPr>
          <w:p w14:paraId="50CA6A4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11F9564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61F23249">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建筑垃圾填埋以及覆土的</w:t>
            </w:r>
          </w:p>
        </w:tc>
        <w:tc>
          <w:tcPr>
            <w:tcW w:w="5146" w:type="dxa"/>
            <w:noWrap/>
            <w:vAlign w:val="center"/>
          </w:tcPr>
          <w:p w14:paraId="0293B0C6">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建筑垃圾填埋未及时覆土的扣1分</w:t>
            </w:r>
            <w:r>
              <w:rPr>
                <w:rFonts w:hint="eastAsia" w:ascii="宋体" w:hAnsi="宋体" w:eastAsia="宋体" w:cs="宋体"/>
                <w:color w:val="auto"/>
                <w:sz w:val="20"/>
                <w:szCs w:val="20"/>
                <w:highlight w:val="none"/>
              </w:rPr>
              <w:t>；经督查，未在限时整改的</w:t>
            </w:r>
            <w:r>
              <w:rPr>
                <w:rFonts w:hint="eastAsia" w:ascii="宋体" w:hAnsi="宋体" w:eastAsia="宋体" w:cs="宋体"/>
                <w:color w:val="auto"/>
                <w:sz w:val="20"/>
                <w:szCs w:val="20"/>
                <w:highlight w:val="none"/>
                <w:lang w:eastAsia="zh-CN"/>
              </w:rPr>
              <w:t>加</w:t>
            </w:r>
            <w:r>
              <w:rPr>
                <w:rFonts w:hint="eastAsia" w:ascii="宋体" w:hAnsi="宋体" w:eastAsia="宋体" w:cs="宋体"/>
                <w:color w:val="auto"/>
                <w:sz w:val="20"/>
                <w:szCs w:val="20"/>
                <w:highlight w:val="none"/>
              </w:rPr>
              <w:t>扣1分。</w:t>
            </w:r>
          </w:p>
        </w:tc>
      </w:tr>
      <w:tr w14:paraId="7015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71" w:type="dxa"/>
            <w:vMerge w:val="continue"/>
            <w:noWrap/>
            <w:vAlign w:val="center"/>
          </w:tcPr>
          <w:p w14:paraId="4642004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17DE69B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48D4659D">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太阳能堆肥房的日常管理</w:t>
            </w:r>
          </w:p>
        </w:tc>
        <w:tc>
          <w:tcPr>
            <w:tcW w:w="5146" w:type="dxa"/>
            <w:noWrap/>
            <w:vAlign w:val="center"/>
          </w:tcPr>
          <w:p w14:paraId="37590B88">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堆肥房附近有垃圾，堆肥过程中产生二次污染，堆肥房有恶臭逸出或苍蝇滋生，没发现一次扣2分</w:t>
            </w:r>
            <w:r>
              <w:rPr>
                <w:rFonts w:hint="eastAsia" w:ascii="宋体" w:hAnsi="宋体" w:eastAsia="宋体" w:cs="宋体"/>
                <w:color w:val="auto"/>
                <w:sz w:val="20"/>
                <w:szCs w:val="20"/>
                <w:highlight w:val="none"/>
              </w:rPr>
              <w:t>，未在限时整改的</w:t>
            </w:r>
            <w:r>
              <w:rPr>
                <w:rFonts w:hint="eastAsia" w:ascii="宋体" w:hAnsi="宋体" w:eastAsia="宋体" w:cs="宋体"/>
                <w:color w:val="auto"/>
                <w:sz w:val="20"/>
                <w:szCs w:val="20"/>
                <w:highlight w:val="none"/>
                <w:lang w:eastAsia="zh-CN"/>
              </w:rPr>
              <w:t>加</w:t>
            </w:r>
            <w:r>
              <w:rPr>
                <w:rFonts w:hint="eastAsia" w:ascii="宋体" w:hAnsi="宋体" w:eastAsia="宋体" w:cs="宋体"/>
                <w:color w:val="auto"/>
                <w:sz w:val="20"/>
                <w:szCs w:val="20"/>
                <w:highlight w:val="none"/>
              </w:rPr>
              <w:t>扣</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tc>
      </w:tr>
      <w:tr w14:paraId="240D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71" w:type="dxa"/>
            <w:vMerge w:val="continue"/>
            <w:noWrap/>
            <w:vAlign w:val="center"/>
          </w:tcPr>
          <w:p w14:paraId="032016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167ACE1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32983AC2">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做好每日垃圾的统计。</w:t>
            </w:r>
          </w:p>
        </w:tc>
        <w:tc>
          <w:tcPr>
            <w:tcW w:w="5146" w:type="dxa"/>
            <w:noWrap/>
            <w:vAlign w:val="center"/>
          </w:tcPr>
          <w:p w14:paraId="74833253">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中转站﹙点﹚要做好垃圾进出站量的统计。没有记录、记录不完整或记录不符实,，每发现一次到扣0.5分；经督查，未在限时整改的扣1分。</w:t>
            </w:r>
          </w:p>
        </w:tc>
      </w:tr>
      <w:tr w14:paraId="6B34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ign w:val="center"/>
          </w:tcPr>
          <w:p w14:paraId="44215E8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（八）河道保洁</w:t>
            </w:r>
          </w:p>
        </w:tc>
        <w:tc>
          <w:tcPr>
            <w:tcW w:w="824" w:type="dxa"/>
            <w:vMerge w:val="restart"/>
            <w:noWrap/>
            <w:vAlign w:val="center"/>
          </w:tcPr>
          <w:p w14:paraId="05EF093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台账现场检查</w:t>
            </w:r>
          </w:p>
        </w:tc>
        <w:tc>
          <w:tcPr>
            <w:tcW w:w="2768" w:type="dxa"/>
            <w:noWrap/>
            <w:vAlign w:val="top"/>
          </w:tcPr>
          <w:p w14:paraId="420B95F1">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河道通畅，河中无障碍物</w:t>
            </w:r>
          </w:p>
        </w:tc>
        <w:tc>
          <w:tcPr>
            <w:tcW w:w="5146" w:type="dxa"/>
            <w:noWrap/>
            <w:vAlign w:val="top"/>
          </w:tcPr>
          <w:p w14:paraId="53B96EAB">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如发现一处扣2分，发现有明显障碍物每处扣4分。</w:t>
            </w:r>
          </w:p>
        </w:tc>
      </w:tr>
      <w:tr w14:paraId="07AB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2796866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lang w:eastAsia="zh-CN"/>
              </w:rPr>
            </w:pPr>
          </w:p>
        </w:tc>
        <w:tc>
          <w:tcPr>
            <w:tcW w:w="824" w:type="dxa"/>
            <w:vMerge w:val="continue"/>
            <w:noWrap/>
            <w:vAlign w:val="center"/>
          </w:tcPr>
          <w:p w14:paraId="08DF37B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top"/>
          </w:tcPr>
          <w:p w14:paraId="794D2047">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河面无影响水生态的水葫芦、水草、水浮萍、水浮莲等水生植物和漂浮废弃物</w:t>
            </w:r>
          </w:p>
        </w:tc>
        <w:tc>
          <w:tcPr>
            <w:tcW w:w="5146" w:type="dxa"/>
            <w:noWrap/>
            <w:vAlign w:val="top"/>
          </w:tcPr>
          <w:p w14:paraId="0E5850F1">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每发现一处扣1分，发现有死亡动物的，每处扣3分。</w:t>
            </w:r>
          </w:p>
        </w:tc>
      </w:tr>
      <w:tr w14:paraId="67EA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3E4420E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lang w:eastAsia="zh-CN"/>
              </w:rPr>
            </w:pPr>
          </w:p>
        </w:tc>
        <w:tc>
          <w:tcPr>
            <w:tcW w:w="824" w:type="dxa"/>
            <w:vMerge w:val="continue"/>
            <w:noWrap/>
            <w:vAlign w:val="center"/>
          </w:tcPr>
          <w:p w14:paraId="1964E0C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top"/>
          </w:tcPr>
          <w:p w14:paraId="34B63B82">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妥善处理打捞物，清理的各种垃圾和废弃物不乱倒，及时运往中转站，避免二次污染</w:t>
            </w:r>
          </w:p>
        </w:tc>
        <w:tc>
          <w:tcPr>
            <w:tcW w:w="5146" w:type="dxa"/>
            <w:noWrap/>
            <w:vAlign w:val="top"/>
          </w:tcPr>
          <w:p w14:paraId="56DE7C3A">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如发现乱倒行为，每发现一例扣1分。</w:t>
            </w:r>
          </w:p>
        </w:tc>
      </w:tr>
      <w:tr w14:paraId="01BC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ign w:val="center"/>
          </w:tcPr>
          <w:p w14:paraId="51E021C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九</w:t>
            </w:r>
            <w:r>
              <w:rPr>
                <w:rFonts w:hint="eastAsia" w:ascii="宋体" w:hAnsi="宋体" w:eastAsia="宋体" w:cs="宋体"/>
                <w:color w:val="auto"/>
                <w:sz w:val="20"/>
                <w:szCs w:val="20"/>
                <w:highlight w:val="none"/>
              </w:rPr>
              <w:t>）安全</w:t>
            </w:r>
          </w:p>
          <w:p w14:paraId="7B923AF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生产</w:t>
            </w:r>
          </w:p>
          <w:p w14:paraId="0DCF6F2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管理</w:t>
            </w:r>
          </w:p>
          <w:p w14:paraId="0F805F1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落实</w:t>
            </w:r>
          </w:p>
          <w:p w14:paraId="0236C7B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情况</w:t>
            </w:r>
          </w:p>
        </w:tc>
        <w:tc>
          <w:tcPr>
            <w:tcW w:w="824" w:type="dxa"/>
            <w:vMerge w:val="restart"/>
            <w:noWrap/>
            <w:vAlign w:val="center"/>
          </w:tcPr>
          <w:p w14:paraId="7E82895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台账现场检查</w:t>
            </w:r>
          </w:p>
        </w:tc>
        <w:tc>
          <w:tcPr>
            <w:tcW w:w="2768" w:type="dxa"/>
            <w:noWrap/>
            <w:vAlign w:val="center"/>
          </w:tcPr>
          <w:p w14:paraId="3E926727">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落实安全生产工作，保洁人员在道路清扫保洁作业时须穿反光安全环卫工作服，并佩证上岗。环卫作业专用车的车厢后栏板处设置规范的荧光交通警示标志，发生环卫工人伤亡的交通事故应立即上报，妥善处理后事。</w:t>
            </w:r>
          </w:p>
        </w:tc>
        <w:tc>
          <w:tcPr>
            <w:tcW w:w="5146" w:type="dxa"/>
            <w:noWrap/>
            <w:vAlign w:val="center"/>
          </w:tcPr>
          <w:p w14:paraId="75BD62B6">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洁人员作业时未穿反光安全环卫工作服的每人次扣0.5分，未佩证上岗的每人次扣0.1分。环卫作业专用车辆的前部、后部、两侧处未设置规范的荧光交通警示标志的每车每次扣1分。每发生一起安全责任事故的扣3分；有人员伤亡事故扣5分；未及时（2小时内）上报安全责任事故原因的扣3分，不妥善处理事故，造成影响的扣5分，以上扣分值作当月累计。发生重大安全责任事故终止合同并没收履约保证金。</w:t>
            </w:r>
          </w:p>
        </w:tc>
      </w:tr>
      <w:tr w14:paraId="68EC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66492E5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560A006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63F0439E">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环卫作业单位安全生产工作落实，清除大片污染时，应做到有组织、有交通安全防护措施，并设置交通警示标志；做好防火灾、防台风、防暑降温等自然灾害的预案和预防。</w:t>
            </w:r>
          </w:p>
        </w:tc>
        <w:tc>
          <w:tcPr>
            <w:tcW w:w="5146" w:type="dxa"/>
            <w:noWrap/>
            <w:vAlign w:val="center"/>
          </w:tcPr>
          <w:p w14:paraId="1FD02A76">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清除大片污染时，组织不周密或交通安全防护措施不落实的，每发现1次扣2分。未做好防火灾、防台风、防暑降温等自然灾害的预案和预防工作，每发生一次扣2分；发生人员伤亡的每发生一次扣5分，扣分值作当月累计。</w:t>
            </w:r>
          </w:p>
        </w:tc>
      </w:tr>
      <w:tr w14:paraId="3117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ign w:val="center"/>
          </w:tcPr>
          <w:p w14:paraId="0743CB3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十</w:t>
            </w:r>
            <w:r>
              <w:rPr>
                <w:rFonts w:hint="eastAsia" w:ascii="宋体" w:hAnsi="宋体" w:eastAsia="宋体" w:cs="宋体"/>
                <w:color w:val="auto"/>
                <w:sz w:val="20"/>
                <w:szCs w:val="20"/>
                <w:highlight w:val="none"/>
              </w:rPr>
              <w:t>）监督</w:t>
            </w:r>
          </w:p>
          <w:p w14:paraId="048A91D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管理</w:t>
            </w:r>
          </w:p>
          <w:p w14:paraId="0A2101B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落实</w:t>
            </w:r>
          </w:p>
          <w:p w14:paraId="7BFA985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情况</w:t>
            </w:r>
          </w:p>
        </w:tc>
        <w:tc>
          <w:tcPr>
            <w:tcW w:w="824" w:type="dxa"/>
            <w:vMerge w:val="restart"/>
            <w:noWrap/>
            <w:vAlign w:val="center"/>
          </w:tcPr>
          <w:p w14:paraId="2E9AA8E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43F19E31">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严格履行招标文件承诺及附加服务项目。</w:t>
            </w:r>
          </w:p>
        </w:tc>
        <w:tc>
          <w:tcPr>
            <w:tcW w:w="5146" w:type="dxa"/>
            <w:noWrap/>
            <w:vAlign w:val="center"/>
          </w:tcPr>
          <w:p w14:paraId="125A5432">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未履行招标文件承诺及附加服务项目的，每次扣3分，扣分值作当月累计。</w:t>
            </w:r>
          </w:p>
        </w:tc>
      </w:tr>
      <w:tr w14:paraId="1E03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645D466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49DE353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0928BBC0">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无投诉（包括电话、信访等），有责投诉后处置及时。</w:t>
            </w:r>
          </w:p>
        </w:tc>
        <w:tc>
          <w:tcPr>
            <w:tcW w:w="5146" w:type="dxa"/>
            <w:noWrap/>
            <w:vAlign w:val="center"/>
          </w:tcPr>
          <w:p w14:paraId="4A1A30DF">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出现一次有责投诉扣2分，不及时处理的扣3分，扣分值作当月累计。</w:t>
            </w:r>
          </w:p>
        </w:tc>
      </w:tr>
      <w:tr w14:paraId="3162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7A3B24E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086A21D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7A740CC8">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无新闻媒体责任问题曝光。</w:t>
            </w:r>
          </w:p>
        </w:tc>
        <w:tc>
          <w:tcPr>
            <w:tcW w:w="5146" w:type="dxa"/>
            <w:noWrap/>
            <w:vAlign w:val="center"/>
          </w:tcPr>
          <w:p w14:paraId="773858EC">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新闻媒体曝光查实有责的每次扣2分，不及时处理的扣5分，扣分值作当月累计。</w:t>
            </w:r>
          </w:p>
        </w:tc>
      </w:tr>
      <w:tr w14:paraId="670D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31DAD9D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57B7B24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3D53CABF">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保洁公司应在法律法规和合同要求下规范管理，发生环卫工人群体性事件的，妥善解决，并及时上报至环卫处办公室。</w:t>
            </w:r>
          </w:p>
        </w:tc>
        <w:tc>
          <w:tcPr>
            <w:tcW w:w="5146" w:type="dxa"/>
            <w:noWrap/>
            <w:vAlign w:val="center"/>
          </w:tcPr>
          <w:p w14:paraId="24A20D01">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因管理不善、违反《劳动法》等法规，发生环卫工人群体性事件的，未及时上报的扣5分，扣分值作当月累计；造成恶劣影响的，终止合同并没收履约保证金。。</w:t>
            </w:r>
          </w:p>
        </w:tc>
      </w:tr>
      <w:tr w14:paraId="1029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6191BC4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512459D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07FA462B">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重大活动保障到位，检查不失责任分。突发事件应急处置及时妥当。</w:t>
            </w:r>
          </w:p>
        </w:tc>
        <w:tc>
          <w:tcPr>
            <w:tcW w:w="5146" w:type="dxa"/>
            <w:noWrap/>
            <w:vAlign w:val="center"/>
          </w:tcPr>
          <w:p w14:paraId="0FDB6871">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遇有重大活动或突发应急事件时，不服从统一指挥，保障不力的，扣5分并给予警告；</w:t>
            </w:r>
          </w:p>
          <w:p w14:paraId="57914B9E">
            <w:pPr>
              <w:keepNext w:val="0"/>
              <w:keepLines w:val="0"/>
              <w:pageBreakBefore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在创国卫等重大创建活动迎检过程中，因保障不力、责任失分，造成检查未通过的，终止合同并没收履约保证金。</w:t>
            </w:r>
          </w:p>
        </w:tc>
      </w:tr>
      <w:tr w14:paraId="3CF7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293EE7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45ED92E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18236731">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及时处理环卫处管理部门检查中要求整改、督办的问题。</w:t>
            </w:r>
          </w:p>
        </w:tc>
        <w:tc>
          <w:tcPr>
            <w:tcW w:w="5146" w:type="dxa"/>
            <w:noWrap/>
            <w:vAlign w:val="center"/>
          </w:tcPr>
          <w:p w14:paraId="57F3B3F9">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不及时处理的扣2分，督办后仍不处理的，扣5分（扣分值作当月累计）。</w:t>
            </w:r>
          </w:p>
        </w:tc>
      </w:tr>
      <w:tr w14:paraId="775D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0491C92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1A24C84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4D44B06D">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无条件接收新增保洁范围，并及时按保洁配置要求安排人员、机具。做好委托道路清扫服务单位的道路清扫工作。</w:t>
            </w:r>
          </w:p>
        </w:tc>
        <w:tc>
          <w:tcPr>
            <w:tcW w:w="5146" w:type="dxa"/>
            <w:noWrap/>
            <w:vAlign w:val="center"/>
          </w:tcPr>
          <w:p w14:paraId="353A7EB5">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新增保洁范围未按保洁配置要求安排人员的，每少一人扣1分；拒不接收新增保洁范围的，扣5分并给予警告。因工作不到位，造成委托道路清扫服务单位投诉的，每次扣1分；督办后仍不处理的，扣2分（扣分值作当月累计）；造成委托道路清扫服务单位终止协议的，扣3分（扣分值作当月累计），并按实际扣除损失经额。</w:t>
            </w:r>
          </w:p>
        </w:tc>
      </w:tr>
      <w:tr w14:paraId="68D0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ign w:val="center"/>
          </w:tcPr>
          <w:p w14:paraId="734176E7">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（十一）</w:t>
            </w:r>
            <w:r>
              <w:rPr>
                <w:rFonts w:hint="eastAsia" w:ascii="宋体" w:hAnsi="宋体" w:eastAsia="宋体" w:cs="宋体"/>
                <w:color w:val="auto"/>
                <w:sz w:val="20"/>
                <w:szCs w:val="20"/>
                <w:highlight w:val="none"/>
              </w:rPr>
              <w:t>其他</w:t>
            </w:r>
          </w:p>
        </w:tc>
        <w:tc>
          <w:tcPr>
            <w:tcW w:w="824" w:type="dxa"/>
            <w:vMerge w:val="restart"/>
            <w:noWrap/>
            <w:vAlign w:val="center"/>
          </w:tcPr>
          <w:p w14:paraId="7710B688">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其他</w:t>
            </w:r>
          </w:p>
        </w:tc>
        <w:tc>
          <w:tcPr>
            <w:tcW w:w="2768" w:type="dxa"/>
            <w:noWrap/>
            <w:vAlign w:val="center"/>
          </w:tcPr>
          <w:p w14:paraId="277C87DF">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不得焚烧垃圾</w:t>
            </w:r>
          </w:p>
        </w:tc>
        <w:tc>
          <w:tcPr>
            <w:tcW w:w="5146" w:type="dxa"/>
            <w:noWrap/>
            <w:vAlign w:val="center"/>
          </w:tcPr>
          <w:p w14:paraId="40529437">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发现焚烧垃圾的扣5分/次</w:t>
            </w:r>
          </w:p>
        </w:tc>
      </w:tr>
      <w:tr w14:paraId="5B89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0B70410B">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1CE96511">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38CA2425">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不得擅自收费</w:t>
            </w:r>
          </w:p>
        </w:tc>
        <w:tc>
          <w:tcPr>
            <w:tcW w:w="5146" w:type="dxa"/>
            <w:noWrap/>
            <w:vAlign w:val="center"/>
          </w:tcPr>
          <w:p w14:paraId="59A3D183">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发现擅自收费扣5分/次</w:t>
            </w:r>
          </w:p>
        </w:tc>
      </w:tr>
      <w:tr w14:paraId="2845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4E3D5342">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1C1FAA4C">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7D79853E">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服从环卫处业务指导，自觉接受</w:t>
            </w:r>
            <w:r>
              <w:rPr>
                <w:rFonts w:hint="eastAsia" w:ascii="宋体" w:hAnsi="宋体" w:eastAsia="宋体" w:cs="宋体"/>
                <w:color w:val="auto"/>
                <w:sz w:val="20"/>
                <w:szCs w:val="20"/>
                <w:highlight w:val="none"/>
                <w:lang w:val="en-US" w:eastAsia="zh-CN"/>
              </w:rPr>
              <w:t>县级以上部门</w:t>
            </w:r>
            <w:r>
              <w:rPr>
                <w:rFonts w:hint="eastAsia" w:ascii="宋体" w:hAnsi="宋体" w:eastAsia="宋体" w:cs="宋体"/>
                <w:color w:val="auto"/>
                <w:sz w:val="20"/>
                <w:szCs w:val="20"/>
                <w:highlight w:val="none"/>
              </w:rPr>
              <w:t>检查、督促和考核</w:t>
            </w:r>
          </w:p>
        </w:tc>
        <w:tc>
          <w:tcPr>
            <w:tcW w:w="5146" w:type="dxa"/>
            <w:noWrap/>
            <w:vAlign w:val="center"/>
          </w:tcPr>
          <w:p w14:paraId="64ABEB9A">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按照省市县下达的垃圾分类年度任务、《泰顺县城镇生活垃圾分类工作实施方案的通知》（泰政办［2018]59号）文件和《浙江省生活垃圾管理条例》明确的职责落实责任。月度和季度督察被发现问题单次扣5分，整改不到位和整改未反馈的单次加扣5分。</w:t>
            </w:r>
          </w:p>
        </w:tc>
      </w:tr>
      <w:tr w14:paraId="1AE9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278038EB">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52051AC5">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6D7F832B">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实垃圾分类桶边劝导制度</w:t>
            </w:r>
          </w:p>
        </w:tc>
        <w:tc>
          <w:tcPr>
            <w:tcW w:w="5146" w:type="dxa"/>
            <w:noWrap/>
            <w:vAlign w:val="center"/>
          </w:tcPr>
          <w:p w14:paraId="2B2DAEF6">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未组建劝导队伍，开展“定时定点定岗”劝导，劝导覆盖片区不足80%,扣10分；覆盖不足50%,扣20分；覆盖不足30%,扣30分。</w:t>
            </w:r>
          </w:p>
        </w:tc>
      </w:tr>
      <w:tr w14:paraId="6A50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4969AA03">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5E513300">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0629D063">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垃圾分类宣传报道</w:t>
            </w:r>
          </w:p>
        </w:tc>
        <w:tc>
          <w:tcPr>
            <w:tcW w:w="5146" w:type="dxa"/>
            <w:noWrap/>
            <w:vAlign w:val="center"/>
          </w:tcPr>
          <w:p w14:paraId="2A9B4DC5">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每年保底垃圾分类宣传报道被县级媒体录用4篇以上，第5篇以上（含）被县级被媒体录用抵扣1分／条，每年最高抵扣10分，被市级媒体录用抵扣5分／条，被省级媒体录用抵扣6分／条，被国家级媒体录用抵扣8分／条，同一条信息按照录用最高等级计算，不重复抵扣，所有信息抵扣合计最高抵扣50分，未完成保底宣传次数的扣100分。</w:t>
            </w:r>
          </w:p>
        </w:tc>
      </w:tr>
      <w:tr w14:paraId="03D1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42E9B9BF">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05FE9348">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058A7460">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开展每月“八进”宣传</w:t>
            </w:r>
          </w:p>
        </w:tc>
        <w:tc>
          <w:tcPr>
            <w:tcW w:w="5146" w:type="dxa"/>
            <w:noWrap/>
            <w:vAlign w:val="center"/>
          </w:tcPr>
          <w:p w14:paraId="49A290C4">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每少进一个场所扣1分，宣传结束后将照片报送至大安乡环卫办，未及时报送的扣2分。</w:t>
            </w:r>
          </w:p>
        </w:tc>
      </w:tr>
      <w:tr w14:paraId="0E1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ign w:val="center"/>
          </w:tcPr>
          <w:p w14:paraId="6D0AC70A">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824" w:type="dxa"/>
            <w:vMerge w:val="continue"/>
            <w:noWrap/>
            <w:vAlign w:val="center"/>
          </w:tcPr>
          <w:p w14:paraId="4B85796B">
            <w:pPr>
              <w:keepNext w:val="0"/>
              <w:keepLines w:val="0"/>
              <w:pageBreakBefore w:val="0"/>
              <w:widowControl/>
              <w:shd w:val="clear" w:color="auto" w:fill="FFFFFF"/>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2768" w:type="dxa"/>
            <w:noWrap/>
            <w:vAlign w:val="center"/>
          </w:tcPr>
          <w:p w14:paraId="6476FB19">
            <w:pPr>
              <w:keepNext w:val="0"/>
              <w:keepLines w:val="0"/>
              <w:pageBreakBefore w:val="0"/>
              <w:numPr>
                <w:ilvl w:val="0"/>
                <w:numId w:val="13"/>
              </w:numPr>
              <w:kinsoku/>
              <w:wordWrap/>
              <w:overflowPunct/>
              <w:topLinePunct w:val="0"/>
              <w:autoSpaceDE/>
              <w:autoSpaceDN/>
              <w:bidi w:val="0"/>
              <w:adjustRightInd w:val="0"/>
              <w:snapToGrid w:val="0"/>
              <w:spacing w:line="400" w:lineRule="exact"/>
              <w:ind w:left="20" w:leftChars="0" w:firstLine="400" w:firstLineChars="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上级部门督查</w:t>
            </w:r>
          </w:p>
        </w:tc>
        <w:tc>
          <w:tcPr>
            <w:tcW w:w="5146" w:type="dxa"/>
            <w:noWrap/>
            <w:vAlign w:val="center"/>
          </w:tcPr>
          <w:p w14:paraId="1A242C62">
            <w:pPr>
              <w:keepNext w:val="0"/>
              <w:keepLines w:val="0"/>
              <w:pageBreakBefore w:val="0"/>
              <w:numPr>
                <w:ilvl w:val="0"/>
                <w:numId w:val="14"/>
              </w:numPr>
              <w:kinsoku/>
              <w:wordWrap/>
              <w:overflowPunct/>
              <w:topLinePunct w:val="0"/>
              <w:autoSpaceDE/>
              <w:autoSpaceDN/>
              <w:bidi w:val="0"/>
              <w:adjustRightInd w:val="0"/>
              <w:snapToGrid w:val="0"/>
              <w:spacing w:line="400" w:lineRule="exact"/>
              <w:ind w:left="0" w:leftChars="0" w:firstLine="400" w:firstLineChars="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被县级部门督查的，每张照片扣2分；被市级部门督查的，每张照片扣3分；被省级部门督查的，每张照片扣5分；</w:t>
            </w:r>
          </w:p>
        </w:tc>
      </w:tr>
    </w:tbl>
    <w:p w14:paraId="1E5AA886">
      <w:pPr>
        <w:rPr>
          <w:rFonts w:hint="eastAsia"/>
          <w:color w:val="auto"/>
          <w:highlight w:val="none"/>
          <w:lang w:val="en-US" w:eastAsia="zh-CN"/>
        </w:rPr>
      </w:pPr>
    </w:p>
    <w:p w14:paraId="29F42460">
      <w:pPr>
        <w:rPr>
          <w:rFonts w:hint="eastAsia"/>
          <w:color w:val="auto"/>
          <w:highlight w:val="none"/>
          <w:lang w:val="en-US" w:eastAsia="zh-CN"/>
        </w:rPr>
      </w:pPr>
    </w:p>
    <w:sectPr>
      <w:headerReference r:id="rId10" w:type="default"/>
      <w:footerReference r:id="rId11"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D631">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B049">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C6B3">
    <w:pPr>
      <w:widowControl w:val="0"/>
      <w:snapToGrid w:val="0"/>
      <w:ind w:right="360" w:firstLine="36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DAA0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30</w:t>
                          </w:r>
                          <w:r>
                            <w:rPr>
                              <w:rFonts w:ascii="Times New Roman" w:hAnsi="Times New Roman" w:eastAsia="宋体" w:cs="Times New Roman"/>
                              <w:kern w:val="0"/>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F9DAA0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30</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D80F">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1ABF66E4">
                          <w:pPr>
                            <w:pStyle w:val="2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8yK4UDACAABTBAAADgAAAGRycy9lMm9Eb2MueG1srVTNjtMwEL4j&#10;8Q6W7zTttl1B1XRVtipCWrErFcTZdZwmkv9ku03KA8AbcOLCnefqc/DZabpo4bAHLu7EM/PNfJ9n&#10;Or9plSQH4XxtdE5HgyElQnNT1HqX008f169eU+ID0wWTRoucHoWnN4uXL+aNnYkrUxlZCEcAov2s&#10;sTmtQrCzLPO8Eor5gbFCw1kap1jAp9tlhWMN0JXMrobD66wxrrDOcOE9bledk54R3XMATVnWXKwM&#10;3yuhQ4fqhGQBlHxVW08XqduyFDzcl6UXgcicgmlIJ4rA3sYzW8zZbOeYrWp+boE9p4UnnBSrNYpe&#10;oFYsMLJ39V9QqubOeFOGATcq64gkRcBiNHyizaZiViQukNrbi+j+/8HyD4cHR+oip1NKNFN48NP3&#10;b6cfv04/v5JplKexfoaojUVcaN+aFkPT33tcRtZt6VT8BR8CP8Q9XsQVbSA8Jo0mb8YowuEajUeT&#10;SULPHpOt8+GdMIpEI6cOb5ckZYc7H9AIQvuQWEubdS1lej+pSZPT6/F0mBIuHmRIjcRIoWs1WqHd&#10;tmdeW1McQcuZbi685esaxe+YDw/MYRDABKsS7nGU0qCIOVuUVMZ9+dd9jMf7wEtJg8HKqcYeUSLf&#10;a7xbnMHecL2x7Q29V7cGkzrCClqeTCS4IHuzdEZ9xv4sYw24mOaolNPQm7ehG27sHxfLZQrCpFkW&#10;7vTG8ggdxfN2uQ8QMOkaRemUOGuFWUtyn/ciDvOf3ynq8b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8yK4UDACAABTBAAADgAAAAAAAAABACAAAAAhAQAAZHJzL2Uyb0RvYy54bWxQSwUG&#10;AAAAAAYABgBZAQAAwwUAAAAA&#10;">
              <v:fill on="f" focussize="0,0"/>
              <v:stroke on="f" weight="0.5pt"/>
              <v:imagedata o:title=""/>
              <o:lock v:ext="edit" aspectratio="f"/>
              <v:textbox inset="0mm,0mm,0mm,0mm" style="mso-fit-shape-to-text:t;">
                <w:txbxContent>
                  <w:p w14:paraId="1ABF66E4">
                    <w:pPr>
                      <w:pStyle w:val="2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29E6B">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C1132">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DC1132">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6DB22">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8945">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D3F6">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D71EB">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8EBE5"/>
    <w:multiLevelType w:val="singleLevel"/>
    <w:tmpl w:val="9298EBE5"/>
    <w:lvl w:ilvl="0" w:tentative="0">
      <w:start w:val="1"/>
      <w:numFmt w:val="decimal"/>
      <w:lvlText w:val="%1."/>
      <w:lvlJc w:val="left"/>
      <w:pPr>
        <w:ind w:left="425" w:hanging="425"/>
      </w:pPr>
      <w:rPr>
        <w:rFonts w:hint="default"/>
      </w:rPr>
    </w:lvl>
  </w:abstractNum>
  <w:abstractNum w:abstractNumId="1">
    <w:nsid w:val="B7FC6607"/>
    <w:multiLevelType w:val="singleLevel"/>
    <w:tmpl w:val="B7FC6607"/>
    <w:lvl w:ilvl="0" w:tentative="0">
      <w:start w:val="1"/>
      <w:numFmt w:val="decimal"/>
      <w:pStyle w:val="11"/>
      <w:lvlText w:val="%1."/>
      <w:lvlJc w:val="left"/>
      <w:pPr>
        <w:tabs>
          <w:tab w:val="left" w:pos="780"/>
        </w:tabs>
        <w:ind w:left="780" w:hanging="360"/>
      </w:pPr>
    </w:lvl>
  </w:abstractNum>
  <w:abstractNum w:abstractNumId="2">
    <w:nsid w:val="B9B2D97A"/>
    <w:multiLevelType w:val="singleLevel"/>
    <w:tmpl w:val="B9B2D97A"/>
    <w:lvl w:ilvl="0" w:tentative="0">
      <w:start w:val="1"/>
      <w:numFmt w:val="decimal"/>
      <w:lvlText w:val="%1."/>
      <w:lvlJc w:val="left"/>
      <w:pPr>
        <w:tabs>
          <w:tab w:val="left" w:pos="312"/>
        </w:tabs>
      </w:pPr>
    </w:lvl>
  </w:abstractNum>
  <w:abstractNum w:abstractNumId="3">
    <w:nsid w:val="C297864F"/>
    <w:multiLevelType w:val="singleLevel"/>
    <w:tmpl w:val="C297864F"/>
    <w:lvl w:ilvl="0" w:tentative="0">
      <w:start w:val="3"/>
      <w:numFmt w:val="decimal"/>
      <w:suff w:val="nothing"/>
      <w:lvlText w:val="%1、"/>
      <w:lvlJc w:val="left"/>
    </w:lvl>
  </w:abstractNum>
  <w:abstractNum w:abstractNumId="4">
    <w:nsid w:val="C59C1495"/>
    <w:multiLevelType w:val="multilevel"/>
    <w:tmpl w:val="C59C1495"/>
    <w:lvl w:ilvl="0" w:tentative="0">
      <w:start w:val="1"/>
      <w:numFmt w:val="decimal"/>
      <w:suff w:val="nothing"/>
      <w:lvlText w:val="%1．"/>
      <w:lvlJc w:val="left"/>
      <w:pPr>
        <w:ind w:left="20" w:firstLine="400"/>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5">
    <w:nsid w:val="CD557FAC"/>
    <w:multiLevelType w:val="singleLevel"/>
    <w:tmpl w:val="CD557FAC"/>
    <w:lvl w:ilvl="0" w:tentative="0">
      <w:start w:val="1"/>
      <w:numFmt w:val="decimal"/>
      <w:lvlText w:val="%1."/>
      <w:lvlJc w:val="left"/>
      <w:pPr>
        <w:tabs>
          <w:tab w:val="left" w:pos="312"/>
        </w:tabs>
      </w:pPr>
    </w:lvl>
  </w:abstractNum>
  <w:abstractNum w:abstractNumId="6">
    <w:nsid w:val="EEEC1E35"/>
    <w:multiLevelType w:val="singleLevel"/>
    <w:tmpl w:val="EEEC1E35"/>
    <w:lvl w:ilvl="0" w:tentative="0">
      <w:start w:val="1"/>
      <w:numFmt w:val="decimal"/>
      <w:suff w:val="nothing"/>
      <w:lvlText w:val="%1．"/>
      <w:lvlJc w:val="left"/>
      <w:pPr>
        <w:ind w:left="0" w:firstLine="400"/>
      </w:pPr>
      <w:rPr>
        <w:rFonts w:hint="default"/>
      </w:rPr>
    </w:lvl>
  </w:abstractNum>
  <w:abstractNum w:abstractNumId="7">
    <w:nsid w:val="299320C1"/>
    <w:multiLevelType w:val="multilevel"/>
    <w:tmpl w:val="299320C1"/>
    <w:lvl w:ilvl="0" w:tentative="0">
      <w:start w:val="1"/>
      <w:numFmt w:val="decimal"/>
      <w:pStyle w:val="93"/>
      <w:lvlText w:val="图%1"/>
      <w:lvlJc w:val="left"/>
      <w:pPr>
        <w:ind w:left="420" w:hanging="420"/>
      </w:pPr>
      <w:rPr>
        <w:rFonts w:hint="eastAsia" w:ascii="黑体" w:hAnsi="黑体" w:eastAsia="黑体"/>
        <w:b/>
        <w:bCs w:val="0"/>
        <w:i w:val="0"/>
        <w:iCs w:val="0"/>
        <w:caps w:val="0"/>
        <w:strike w:val="0"/>
        <w:dstrike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6F8A7F3"/>
    <w:multiLevelType w:val="singleLevel"/>
    <w:tmpl w:val="56F8A7F3"/>
    <w:lvl w:ilvl="0" w:tentative="0">
      <w:start w:val="1"/>
      <w:numFmt w:val="chineseCounting"/>
      <w:suff w:val="nothing"/>
      <w:lvlText w:val="%1、"/>
      <w:lvlJc w:val="left"/>
      <w:pPr>
        <w:ind w:left="210"/>
      </w:pPr>
    </w:lvl>
  </w:abstractNum>
  <w:abstractNum w:abstractNumId="10">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7"/>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6A4D50DB"/>
    <w:multiLevelType w:val="multilevel"/>
    <w:tmpl w:val="6A4D50DB"/>
    <w:lvl w:ilvl="0" w:tentative="0">
      <w:start w:val="1"/>
      <w:numFmt w:val="decimal"/>
      <w:pStyle w:val="96"/>
      <w:lvlText w:val="表%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FAF5237"/>
    <w:multiLevelType w:val="multilevel"/>
    <w:tmpl w:val="6FAF5237"/>
    <w:lvl w:ilvl="0" w:tentative="0">
      <w:start w:val="1"/>
      <w:numFmt w:val="decimal"/>
      <w:pStyle w:val="5"/>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3">
    <w:nsid w:val="7ABC4475"/>
    <w:multiLevelType w:val="multilevel"/>
    <w:tmpl w:val="7ABC447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12"/>
  </w:num>
  <w:num w:numId="2">
    <w:abstractNumId w:val="10"/>
  </w:num>
  <w:num w:numId="3">
    <w:abstractNumId w:val="1"/>
  </w:num>
  <w:num w:numId="4">
    <w:abstractNumId w:val="7"/>
  </w:num>
  <w:num w:numId="5">
    <w:abstractNumId w:val="11"/>
  </w:num>
  <w:num w:numId="6">
    <w:abstractNumId w:val="0"/>
  </w:num>
  <w:num w:numId="7">
    <w:abstractNumId w:val="9"/>
  </w:num>
  <w:num w:numId="8">
    <w:abstractNumId w:val="1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0Zjk1MTFjMjE2NmRkZmRiNWY1YmRlY2Q3YWU4ZTEifQ=="/>
  </w:docVars>
  <w:rsids>
    <w:rsidRoot w:val="00AD123C"/>
    <w:rsid w:val="00002479"/>
    <w:rsid w:val="00006656"/>
    <w:rsid w:val="00006E75"/>
    <w:rsid w:val="0001168D"/>
    <w:rsid w:val="00012FAF"/>
    <w:rsid w:val="00014C31"/>
    <w:rsid w:val="00015927"/>
    <w:rsid w:val="00016E85"/>
    <w:rsid w:val="00041696"/>
    <w:rsid w:val="000455BF"/>
    <w:rsid w:val="0004614B"/>
    <w:rsid w:val="0005282B"/>
    <w:rsid w:val="0005481F"/>
    <w:rsid w:val="000733A6"/>
    <w:rsid w:val="000748B8"/>
    <w:rsid w:val="00080857"/>
    <w:rsid w:val="000854B1"/>
    <w:rsid w:val="000859C4"/>
    <w:rsid w:val="000866F7"/>
    <w:rsid w:val="000A1DC7"/>
    <w:rsid w:val="000A6476"/>
    <w:rsid w:val="000B78EC"/>
    <w:rsid w:val="000D1F68"/>
    <w:rsid w:val="000D2A4E"/>
    <w:rsid w:val="000E116D"/>
    <w:rsid w:val="000E377B"/>
    <w:rsid w:val="000E65BE"/>
    <w:rsid w:val="000F5476"/>
    <w:rsid w:val="001028B3"/>
    <w:rsid w:val="00140E0E"/>
    <w:rsid w:val="00150CD0"/>
    <w:rsid w:val="00164AE8"/>
    <w:rsid w:val="00167C8F"/>
    <w:rsid w:val="00172B5C"/>
    <w:rsid w:val="0018710F"/>
    <w:rsid w:val="001939C9"/>
    <w:rsid w:val="00195D91"/>
    <w:rsid w:val="001A4185"/>
    <w:rsid w:val="001A63E6"/>
    <w:rsid w:val="001B07E2"/>
    <w:rsid w:val="001B26AA"/>
    <w:rsid w:val="001B693D"/>
    <w:rsid w:val="001C15EC"/>
    <w:rsid w:val="001D5555"/>
    <w:rsid w:val="001D5F83"/>
    <w:rsid w:val="001F5946"/>
    <w:rsid w:val="002042D8"/>
    <w:rsid w:val="00204811"/>
    <w:rsid w:val="00210514"/>
    <w:rsid w:val="0021226C"/>
    <w:rsid w:val="00212A0A"/>
    <w:rsid w:val="00216F0A"/>
    <w:rsid w:val="00237149"/>
    <w:rsid w:val="00254ED5"/>
    <w:rsid w:val="002562A8"/>
    <w:rsid w:val="00256365"/>
    <w:rsid w:val="0026382A"/>
    <w:rsid w:val="00271B5D"/>
    <w:rsid w:val="0028146F"/>
    <w:rsid w:val="002826A8"/>
    <w:rsid w:val="00295AB6"/>
    <w:rsid w:val="00297F4B"/>
    <w:rsid w:val="002A2186"/>
    <w:rsid w:val="002A35B3"/>
    <w:rsid w:val="002A5BE5"/>
    <w:rsid w:val="002A5E20"/>
    <w:rsid w:val="002B1359"/>
    <w:rsid w:val="002B1D1A"/>
    <w:rsid w:val="002C3ABC"/>
    <w:rsid w:val="002C7FCE"/>
    <w:rsid w:val="002D4910"/>
    <w:rsid w:val="002E30F7"/>
    <w:rsid w:val="003100E0"/>
    <w:rsid w:val="00310B37"/>
    <w:rsid w:val="0031268C"/>
    <w:rsid w:val="003144F5"/>
    <w:rsid w:val="00333B8F"/>
    <w:rsid w:val="003479AC"/>
    <w:rsid w:val="00355A35"/>
    <w:rsid w:val="0036769A"/>
    <w:rsid w:val="00374062"/>
    <w:rsid w:val="00376369"/>
    <w:rsid w:val="00377FB7"/>
    <w:rsid w:val="0039159D"/>
    <w:rsid w:val="003956EF"/>
    <w:rsid w:val="00396B27"/>
    <w:rsid w:val="003A2466"/>
    <w:rsid w:val="003B40A1"/>
    <w:rsid w:val="003B45B1"/>
    <w:rsid w:val="003C36D1"/>
    <w:rsid w:val="003E277A"/>
    <w:rsid w:val="003E2E64"/>
    <w:rsid w:val="003E5811"/>
    <w:rsid w:val="00400537"/>
    <w:rsid w:val="004005B7"/>
    <w:rsid w:val="00410DE6"/>
    <w:rsid w:val="00413BF1"/>
    <w:rsid w:val="00414010"/>
    <w:rsid w:val="004147CC"/>
    <w:rsid w:val="0041503D"/>
    <w:rsid w:val="004214C9"/>
    <w:rsid w:val="00430037"/>
    <w:rsid w:val="00431DF9"/>
    <w:rsid w:val="00432088"/>
    <w:rsid w:val="00435B13"/>
    <w:rsid w:val="00442E20"/>
    <w:rsid w:val="00444FD9"/>
    <w:rsid w:val="00452FE8"/>
    <w:rsid w:val="004541B6"/>
    <w:rsid w:val="00454B1B"/>
    <w:rsid w:val="00454FF9"/>
    <w:rsid w:val="00457FAF"/>
    <w:rsid w:val="00464EF5"/>
    <w:rsid w:val="004676EB"/>
    <w:rsid w:val="0047210E"/>
    <w:rsid w:val="00475399"/>
    <w:rsid w:val="00477B25"/>
    <w:rsid w:val="004851A8"/>
    <w:rsid w:val="00495314"/>
    <w:rsid w:val="004A7431"/>
    <w:rsid w:val="004B5C0A"/>
    <w:rsid w:val="004C7FDA"/>
    <w:rsid w:val="004D461D"/>
    <w:rsid w:val="004E2C49"/>
    <w:rsid w:val="004E495C"/>
    <w:rsid w:val="004F0CF2"/>
    <w:rsid w:val="004F2785"/>
    <w:rsid w:val="00500C8C"/>
    <w:rsid w:val="00503DD9"/>
    <w:rsid w:val="005108FC"/>
    <w:rsid w:val="0051583C"/>
    <w:rsid w:val="005266CB"/>
    <w:rsid w:val="00534C60"/>
    <w:rsid w:val="00534E15"/>
    <w:rsid w:val="00540CFA"/>
    <w:rsid w:val="0054589F"/>
    <w:rsid w:val="005512C8"/>
    <w:rsid w:val="00554F78"/>
    <w:rsid w:val="00555A7E"/>
    <w:rsid w:val="00562AE2"/>
    <w:rsid w:val="00567E9B"/>
    <w:rsid w:val="00572170"/>
    <w:rsid w:val="00573683"/>
    <w:rsid w:val="00581A22"/>
    <w:rsid w:val="00587E08"/>
    <w:rsid w:val="00591E24"/>
    <w:rsid w:val="00595CD3"/>
    <w:rsid w:val="005A2A9A"/>
    <w:rsid w:val="005A4ED6"/>
    <w:rsid w:val="005B354C"/>
    <w:rsid w:val="005B384D"/>
    <w:rsid w:val="005B3EF9"/>
    <w:rsid w:val="005B7647"/>
    <w:rsid w:val="005C0CA4"/>
    <w:rsid w:val="005C2268"/>
    <w:rsid w:val="005C3318"/>
    <w:rsid w:val="005D1474"/>
    <w:rsid w:val="005D1896"/>
    <w:rsid w:val="005D40E8"/>
    <w:rsid w:val="005D44F2"/>
    <w:rsid w:val="005D613F"/>
    <w:rsid w:val="005E12FE"/>
    <w:rsid w:val="005E28B7"/>
    <w:rsid w:val="005E489C"/>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6A"/>
    <w:rsid w:val="006517AB"/>
    <w:rsid w:val="006630C7"/>
    <w:rsid w:val="006677CE"/>
    <w:rsid w:val="006729B7"/>
    <w:rsid w:val="00675C81"/>
    <w:rsid w:val="006804B0"/>
    <w:rsid w:val="006836A3"/>
    <w:rsid w:val="0069058E"/>
    <w:rsid w:val="006A185F"/>
    <w:rsid w:val="006A1BC7"/>
    <w:rsid w:val="006A4F61"/>
    <w:rsid w:val="006A7B2B"/>
    <w:rsid w:val="006B0994"/>
    <w:rsid w:val="006B1740"/>
    <w:rsid w:val="006D0D40"/>
    <w:rsid w:val="006D4EB5"/>
    <w:rsid w:val="006D6CDF"/>
    <w:rsid w:val="006E51BD"/>
    <w:rsid w:val="006E5498"/>
    <w:rsid w:val="006F1027"/>
    <w:rsid w:val="006F63F9"/>
    <w:rsid w:val="00700B5E"/>
    <w:rsid w:val="00704D3D"/>
    <w:rsid w:val="007135C8"/>
    <w:rsid w:val="00717979"/>
    <w:rsid w:val="007211DA"/>
    <w:rsid w:val="0073240C"/>
    <w:rsid w:val="00740FC6"/>
    <w:rsid w:val="007419C8"/>
    <w:rsid w:val="00752CD4"/>
    <w:rsid w:val="00753DD1"/>
    <w:rsid w:val="00756DFA"/>
    <w:rsid w:val="00756DFD"/>
    <w:rsid w:val="00756E83"/>
    <w:rsid w:val="007640E4"/>
    <w:rsid w:val="0076451C"/>
    <w:rsid w:val="0079025D"/>
    <w:rsid w:val="007B2926"/>
    <w:rsid w:val="007B3D34"/>
    <w:rsid w:val="007B6AED"/>
    <w:rsid w:val="007C6EDD"/>
    <w:rsid w:val="007E6080"/>
    <w:rsid w:val="007E743B"/>
    <w:rsid w:val="008033A8"/>
    <w:rsid w:val="00810FDB"/>
    <w:rsid w:val="00812589"/>
    <w:rsid w:val="00813EC1"/>
    <w:rsid w:val="00817CD8"/>
    <w:rsid w:val="00817D84"/>
    <w:rsid w:val="008302B5"/>
    <w:rsid w:val="00830418"/>
    <w:rsid w:val="008326E6"/>
    <w:rsid w:val="00833906"/>
    <w:rsid w:val="00841F63"/>
    <w:rsid w:val="008451B8"/>
    <w:rsid w:val="00846168"/>
    <w:rsid w:val="00861570"/>
    <w:rsid w:val="00867E91"/>
    <w:rsid w:val="0087044E"/>
    <w:rsid w:val="0087139A"/>
    <w:rsid w:val="008726C7"/>
    <w:rsid w:val="00893AD8"/>
    <w:rsid w:val="00896358"/>
    <w:rsid w:val="008B7068"/>
    <w:rsid w:val="008C1F35"/>
    <w:rsid w:val="008C28FC"/>
    <w:rsid w:val="008C3A24"/>
    <w:rsid w:val="008C5C3B"/>
    <w:rsid w:val="008C7B03"/>
    <w:rsid w:val="008D3FE6"/>
    <w:rsid w:val="008D519A"/>
    <w:rsid w:val="008D547B"/>
    <w:rsid w:val="008F0330"/>
    <w:rsid w:val="008F786D"/>
    <w:rsid w:val="00916F6D"/>
    <w:rsid w:val="009237D6"/>
    <w:rsid w:val="00935391"/>
    <w:rsid w:val="0095158A"/>
    <w:rsid w:val="00962B28"/>
    <w:rsid w:val="009634A8"/>
    <w:rsid w:val="0099104D"/>
    <w:rsid w:val="0099384C"/>
    <w:rsid w:val="009945D5"/>
    <w:rsid w:val="009B30C5"/>
    <w:rsid w:val="009B38F5"/>
    <w:rsid w:val="009C1772"/>
    <w:rsid w:val="009D4C98"/>
    <w:rsid w:val="009D57BA"/>
    <w:rsid w:val="009D69F3"/>
    <w:rsid w:val="009D7949"/>
    <w:rsid w:val="009E31C0"/>
    <w:rsid w:val="009F662F"/>
    <w:rsid w:val="00A17EE1"/>
    <w:rsid w:val="00A2134A"/>
    <w:rsid w:val="00A215AB"/>
    <w:rsid w:val="00A21A4F"/>
    <w:rsid w:val="00A270F7"/>
    <w:rsid w:val="00A306D4"/>
    <w:rsid w:val="00A30D57"/>
    <w:rsid w:val="00A367AF"/>
    <w:rsid w:val="00A418EB"/>
    <w:rsid w:val="00A67E84"/>
    <w:rsid w:val="00A70820"/>
    <w:rsid w:val="00A83D4E"/>
    <w:rsid w:val="00A87F63"/>
    <w:rsid w:val="00A96B41"/>
    <w:rsid w:val="00AA561B"/>
    <w:rsid w:val="00AA57EA"/>
    <w:rsid w:val="00AA7982"/>
    <w:rsid w:val="00AA7D02"/>
    <w:rsid w:val="00AB06AB"/>
    <w:rsid w:val="00AD123C"/>
    <w:rsid w:val="00AD56FF"/>
    <w:rsid w:val="00AD783C"/>
    <w:rsid w:val="00AF061E"/>
    <w:rsid w:val="00AF1E6D"/>
    <w:rsid w:val="00AF5356"/>
    <w:rsid w:val="00AF7076"/>
    <w:rsid w:val="00B01117"/>
    <w:rsid w:val="00B058C9"/>
    <w:rsid w:val="00B172CF"/>
    <w:rsid w:val="00B21EB5"/>
    <w:rsid w:val="00B23CD9"/>
    <w:rsid w:val="00B24EA7"/>
    <w:rsid w:val="00B352F6"/>
    <w:rsid w:val="00B359F2"/>
    <w:rsid w:val="00B37447"/>
    <w:rsid w:val="00B414E3"/>
    <w:rsid w:val="00B42312"/>
    <w:rsid w:val="00B4701E"/>
    <w:rsid w:val="00B47ADF"/>
    <w:rsid w:val="00B64D90"/>
    <w:rsid w:val="00B71454"/>
    <w:rsid w:val="00B77137"/>
    <w:rsid w:val="00B80838"/>
    <w:rsid w:val="00B83D17"/>
    <w:rsid w:val="00B87AB7"/>
    <w:rsid w:val="00B90255"/>
    <w:rsid w:val="00B949D9"/>
    <w:rsid w:val="00BA7A2C"/>
    <w:rsid w:val="00BB2DD5"/>
    <w:rsid w:val="00BB3293"/>
    <w:rsid w:val="00BC4A7A"/>
    <w:rsid w:val="00BC5C88"/>
    <w:rsid w:val="00BD0F01"/>
    <w:rsid w:val="00BD6188"/>
    <w:rsid w:val="00BE30B7"/>
    <w:rsid w:val="00BE7BFE"/>
    <w:rsid w:val="00BF46B2"/>
    <w:rsid w:val="00C018A5"/>
    <w:rsid w:val="00C02BA8"/>
    <w:rsid w:val="00C03AF4"/>
    <w:rsid w:val="00C0742E"/>
    <w:rsid w:val="00C10E7A"/>
    <w:rsid w:val="00C114C4"/>
    <w:rsid w:val="00C12E72"/>
    <w:rsid w:val="00C137EF"/>
    <w:rsid w:val="00C13F39"/>
    <w:rsid w:val="00C26A70"/>
    <w:rsid w:val="00C43D34"/>
    <w:rsid w:val="00C4625E"/>
    <w:rsid w:val="00C87510"/>
    <w:rsid w:val="00C90EE7"/>
    <w:rsid w:val="00C93522"/>
    <w:rsid w:val="00CA0517"/>
    <w:rsid w:val="00CA1277"/>
    <w:rsid w:val="00CA46C2"/>
    <w:rsid w:val="00CB13E2"/>
    <w:rsid w:val="00CB336C"/>
    <w:rsid w:val="00CC1EFE"/>
    <w:rsid w:val="00CC447D"/>
    <w:rsid w:val="00CC487A"/>
    <w:rsid w:val="00CD0952"/>
    <w:rsid w:val="00CD23D9"/>
    <w:rsid w:val="00CD79BA"/>
    <w:rsid w:val="00CF0119"/>
    <w:rsid w:val="00CF4419"/>
    <w:rsid w:val="00CF4DE4"/>
    <w:rsid w:val="00CF64F0"/>
    <w:rsid w:val="00D05A88"/>
    <w:rsid w:val="00D06CF7"/>
    <w:rsid w:val="00D13E66"/>
    <w:rsid w:val="00D162CF"/>
    <w:rsid w:val="00D22AE0"/>
    <w:rsid w:val="00D26F90"/>
    <w:rsid w:val="00D27265"/>
    <w:rsid w:val="00D358AB"/>
    <w:rsid w:val="00D36C28"/>
    <w:rsid w:val="00D42264"/>
    <w:rsid w:val="00D46336"/>
    <w:rsid w:val="00D46B98"/>
    <w:rsid w:val="00D539ED"/>
    <w:rsid w:val="00D63185"/>
    <w:rsid w:val="00D742FE"/>
    <w:rsid w:val="00D74E69"/>
    <w:rsid w:val="00D83457"/>
    <w:rsid w:val="00D84E08"/>
    <w:rsid w:val="00D862FC"/>
    <w:rsid w:val="00D97C08"/>
    <w:rsid w:val="00DA1E5B"/>
    <w:rsid w:val="00DA2399"/>
    <w:rsid w:val="00DE25B0"/>
    <w:rsid w:val="00DF1CD0"/>
    <w:rsid w:val="00DF6F09"/>
    <w:rsid w:val="00E012AA"/>
    <w:rsid w:val="00E03307"/>
    <w:rsid w:val="00E2482A"/>
    <w:rsid w:val="00E307D9"/>
    <w:rsid w:val="00E3636F"/>
    <w:rsid w:val="00E4399C"/>
    <w:rsid w:val="00E46A16"/>
    <w:rsid w:val="00E46A4A"/>
    <w:rsid w:val="00E6139A"/>
    <w:rsid w:val="00E7430A"/>
    <w:rsid w:val="00E762B6"/>
    <w:rsid w:val="00E76B7C"/>
    <w:rsid w:val="00E80C6F"/>
    <w:rsid w:val="00E91D49"/>
    <w:rsid w:val="00E93DDA"/>
    <w:rsid w:val="00E93FDD"/>
    <w:rsid w:val="00EA6208"/>
    <w:rsid w:val="00ED04A5"/>
    <w:rsid w:val="00ED33BE"/>
    <w:rsid w:val="00ED4631"/>
    <w:rsid w:val="00ED697F"/>
    <w:rsid w:val="00EE0B12"/>
    <w:rsid w:val="00EF1725"/>
    <w:rsid w:val="00F108A2"/>
    <w:rsid w:val="00F11242"/>
    <w:rsid w:val="00F13B84"/>
    <w:rsid w:val="00F14725"/>
    <w:rsid w:val="00F15718"/>
    <w:rsid w:val="00F3112D"/>
    <w:rsid w:val="00F331C4"/>
    <w:rsid w:val="00F34C4C"/>
    <w:rsid w:val="00F3767E"/>
    <w:rsid w:val="00F37AA4"/>
    <w:rsid w:val="00F5364D"/>
    <w:rsid w:val="00F55A88"/>
    <w:rsid w:val="00F60542"/>
    <w:rsid w:val="00F614BD"/>
    <w:rsid w:val="00F7124E"/>
    <w:rsid w:val="00F72543"/>
    <w:rsid w:val="00F746E3"/>
    <w:rsid w:val="00F840E5"/>
    <w:rsid w:val="00F8466F"/>
    <w:rsid w:val="00F90FEA"/>
    <w:rsid w:val="00F916AA"/>
    <w:rsid w:val="00FB17FF"/>
    <w:rsid w:val="00FC1F2A"/>
    <w:rsid w:val="00FD116B"/>
    <w:rsid w:val="00FD19B5"/>
    <w:rsid w:val="00FD7754"/>
    <w:rsid w:val="00FF0FC7"/>
    <w:rsid w:val="00FF35B6"/>
    <w:rsid w:val="00FF5555"/>
    <w:rsid w:val="00FF6CF3"/>
    <w:rsid w:val="011661C8"/>
    <w:rsid w:val="01243755"/>
    <w:rsid w:val="0125460F"/>
    <w:rsid w:val="01293007"/>
    <w:rsid w:val="01294748"/>
    <w:rsid w:val="012D40FB"/>
    <w:rsid w:val="01466323"/>
    <w:rsid w:val="016A347B"/>
    <w:rsid w:val="018956BE"/>
    <w:rsid w:val="01AD6B33"/>
    <w:rsid w:val="01C21E02"/>
    <w:rsid w:val="01DE7BAE"/>
    <w:rsid w:val="02071FAC"/>
    <w:rsid w:val="020871DD"/>
    <w:rsid w:val="0210580B"/>
    <w:rsid w:val="023B1CCF"/>
    <w:rsid w:val="023B4DEC"/>
    <w:rsid w:val="024E6DB1"/>
    <w:rsid w:val="02507945"/>
    <w:rsid w:val="02510D8D"/>
    <w:rsid w:val="0254538A"/>
    <w:rsid w:val="02672FE9"/>
    <w:rsid w:val="026A1E41"/>
    <w:rsid w:val="027642BB"/>
    <w:rsid w:val="028E2EA4"/>
    <w:rsid w:val="02970D2B"/>
    <w:rsid w:val="02B44793"/>
    <w:rsid w:val="02E15B78"/>
    <w:rsid w:val="02E1742E"/>
    <w:rsid w:val="02EB5541"/>
    <w:rsid w:val="02F23FB1"/>
    <w:rsid w:val="03147485"/>
    <w:rsid w:val="03195159"/>
    <w:rsid w:val="031F63BF"/>
    <w:rsid w:val="03265180"/>
    <w:rsid w:val="03345AEF"/>
    <w:rsid w:val="03452566"/>
    <w:rsid w:val="034A5176"/>
    <w:rsid w:val="03724AB0"/>
    <w:rsid w:val="03764359"/>
    <w:rsid w:val="03774D25"/>
    <w:rsid w:val="03AB47B9"/>
    <w:rsid w:val="03B12173"/>
    <w:rsid w:val="03B46D44"/>
    <w:rsid w:val="03C81EB9"/>
    <w:rsid w:val="03D75F1C"/>
    <w:rsid w:val="03D9591F"/>
    <w:rsid w:val="03E2379C"/>
    <w:rsid w:val="03E34AEF"/>
    <w:rsid w:val="03F153F7"/>
    <w:rsid w:val="040408BE"/>
    <w:rsid w:val="04344B81"/>
    <w:rsid w:val="0463723E"/>
    <w:rsid w:val="046A3F2A"/>
    <w:rsid w:val="04A46316"/>
    <w:rsid w:val="04B14D67"/>
    <w:rsid w:val="04B31786"/>
    <w:rsid w:val="04BB46C6"/>
    <w:rsid w:val="04BD0DFC"/>
    <w:rsid w:val="04C91AEC"/>
    <w:rsid w:val="04DF1A8A"/>
    <w:rsid w:val="04E5578A"/>
    <w:rsid w:val="04E67A8F"/>
    <w:rsid w:val="04F432ED"/>
    <w:rsid w:val="04F512AE"/>
    <w:rsid w:val="04FA6940"/>
    <w:rsid w:val="0512539C"/>
    <w:rsid w:val="051D5B1F"/>
    <w:rsid w:val="052676B9"/>
    <w:rsid w:val="054371AB"/>
    <w:rsid w:val="05470C58"/>
    <w:rsid w:val="054A784B"/>
    <w:rsid w:val="054B2DFC"/>
    <w:rsid w:val="054B66BB"/>
    <w:rsid w:val="055A0FC0"/>
    <w:rsid w:val="0560458D"/>
    <w:rsid w:val="05690F54"/>
    <w:rsid w:val="05793C8D"/>
    <w:rsid w:val="057D2A61"/>
    <w:rsid w:val="057D7977"/>
    <w:rsid w:val="058546E3"/>
    <w:rsid w:val="058922BB"/>
    <w:rsid w:val="058A3138"/>
    <w:rsid w:val="05916E47"/>
    <w:rsid w:val="05932892"/>
    <w:rsid w:val="059573DB"/>
    <w:rsid w:val="05AA54F0"/>
    <w:rsid w:val="05B60993"/>
    <w:rsid w:val="05C217A3"/>
    <w:rsid w:val="05CA686F"/>
    <w:rsid w:val="05D53026"/>
    <w:rsid w:val="05D835C3"/>
    <w:rsid w:val="05DB4947"/>
    <w:rsid w:val="05DB6A9D"/>
    <w:rsid w:val="05DF4635"/>
    <w:rsid w:val="05E2242D"/>
    <w:rsid w:val="06040449"/>
    <w:rsid w:val="062067FE"/>
    <w:rsid w:val="062874C0"/>
    <w:rsid w:val="062C7D30"/>
    <w:rsid w:val="063517AC"/>
    <w:rsid w:val="064224FE"/>
    <w:rsid w:val="064C78AE"/>
    <w:rsid w:val="064F0456"/>
    <w:rsid w:val="06542C51"/>
    <w:rsid w:val="067601CC"/>
    <w:rsid w:val="0686195B"/>
    <w:rsid w:val="068D2959"/>
    <w:rsid w:val="06A40375"/>
    <w:rsid w:val="06A7157C"/>
    <w:rsid w:val="06A75CA3"/>
    <w:rsid w:val="06C96B53"/>
    <w:rsid w:val="06D21BAA"/>
    <w:rsid w:val="06DA76A6"/>
    <w:rsid w:val="06F85F55"/>
    <w:rsid w:val="070044A0"/>
    <w:rsid w:val="070D6523"/>
    <w:rsid w:val="071A1A15"/>
    <w:rsid w:val="072639A0"/>
    <w:rsid w:val="0736260C"/>
    <w:rsid w:val="073A4D43"/>
    <w:rsid w:val="07465C79"/>
    <w:rsid w:val="074E1FF0"/>
    <w:rsid w:val="079C0106"/>
    <w:rsid w:val="07A82060"/>
    <w:rsid w:val="07B151DF"/>
    <w:rsid w:val="07BD4721"/>
    <w:rsid w:val="07BE7067"/>
    <w:rsid w:val="07D000D6"/>
    <w:rsid w:val="07D164DC"/>
    <w:rsid w:val="07D90E3B"/>
    <w:rsid w:val="07DD49A7"/>
    <w:rsid w:val="07ED0F1B"/>
    <w:rsid w:val="07ED7B83"/>
    <w:rsid w:val="08177BFB"/>
    <w:rsid w:val="081927FC"/>
    <w:rsid w:val="082223BA"/>
    <w:rsid w:val="0848193D"/>
    <w:rsid w:val="085F5E6F"/>
    <w:rsid w:val="086D0C89"/>
    <w:rsid w:val="086F3C10"/>
    <w:rsid w:val="087A5675"/>
    <w:rsid w:val="087F4F63"/>
    <w:rsid w:val="088445CA"/>
    <w:rsid w:val="08854BC4"/>
    <w:rsid w:val="08AD3E7A"/>
    <w:rsid w:val="08C873E5"/>
    <w:rsid w:val="08D259A6"/>
    <w:rsid w:val="08DD09D6"/>
    <w:rsid w:val="09081661"/>
    <w:rsid w:val="09081819"/>
    <w:rsid w:val="091E4A80"/>
    <w:rsid w:val="091F194C"/>
    <w:rsid w:val="09256402"/>
    <w:rsid w:val="09347107"/>
    <w:rsid w:val="09492C72"/>
    <w:rsid w:val="09580489"/>
    <w:rsid w:val="0972268D"/>
    <w:rsid w:val="09745A6F"/>
    <w:rsid w:val="099A348C"/>
    <w:rsid w:val="09AB4B27"/>
    <w:rsid w:val="09B8779A"/>
    <w:rsid w:val="09BB6966"/>
    <w:rsid w:val="09CD7540"/>
    <w:rsid w:val="09E77C5F"/>
    <w:rsid w:val="09F00B1C"/>
    <w:rsid w:val="09F022C4"/>
    <w:rsid w:val="09F127BB"/>
    <w:rsid w:val="0A016221"/>
    <w:rsid w:val="0A0E5E60"/>
    <w:rsid w:val="0A1B2806"/>
    <w:rsid w:val="0A2A1557"/>
    <w:rsid w:val="0A39575A"/>
    <w:rsid w:val="0A3A7378"/>
    <w:rsid w:val="0A3C2C06"/>
    <w:rsid w:val="0A3C34DB"/>
    <w:rsid w:val="0A4B6BED"/>
    <w:rsid w:val="0A5B5145"/>
    <w:rsid w:val="0A815F93"/>
    <w:rsid w:val="0A820371"/>
    <w:rsid w:val="0A941A9B"/>
    <w:rsid w:val="0A9458FA"/>
    <w:rsid w:val="0AC92F16"/>
    <w:rsid w:val="0AD80FC2"/>
    <w:rsid w:val="0AE23FDD"/>
    <w:rsid w:val="0AEE1AA0"/>
    <w:rsid w:val="0AFD00AF"/>
    <w:rsid w:val="0B06722F"/>
    <w:rsid w:val="0B2A0ADC"/>
    <w:rsid w:val="0B2C47E2"/>
    <w:rsid w:val="0B425692"/>
    <w:rsid w:val="0B4D1E43"/>
    <w:rsid w:val="0B5D3FA7"/>
    <w:rsid w:val="0B663FE4"/>
    <w:rsid w:val="0B76526F"/>
    <w:rsid w:val="0B784B6C"/>
    <w:rsid w:val="0B8931A1"/>
    <w:rsid w:val="0B947B13"/>
    <w:rsid w:val="0BBF0626"/>
    <w:rsid w:val="0BC1013B"/>
    <w:rsid w:val="0BE75DFE"/>
    <w:rsid w:val="0BF51C5A"/>
    <w:rsid w:val="0BF916F0"/>
    <w:rsid w:val="0C210BDA"/>
    <w:rsid w:val="0C22507E"/>
    <w:rsid w:val="0C2A7A8F"/>
    <w:rsid w:val="0C2C0005"/>
    <w:rsid w:val="0C30706F"/>
    <w:rsid w:val="0C354746"/>
    <w:rsid w:val="0C434FF4"/>
    <w:rsid w:val="0C551044"/>
    <w:rsid w:val="0C574869"/>
    <w:rsid w:val="0C6D0CE8"/>
    <w:rsid w:val="0C796E65"/>
    <w:rsid w:val="0C9A1E39"/>
    <w:rsid w:val="0C9C2A71"/>
    <w:rsid w:val="0CA44A19"/>
    <w:rsid w:val="0CB845C4"/>
    <w:rsid w:val="0CCE2F16"/>
    <w:rsid w:val="0CD30297"/>
    <w:rsid w:val="0CE001F6"/>
    <w:rsid w:val="0CED42B7"/>
    <w:rsid w:val="0CF140FA"/>
    <w:rsid w:val="0CF31B3A"/>
    <w:rsid w:val="0D0D40E4"/>
    <w:rsid w:val="0D10175C"/>
    <w:rsid w:val="0D19146D"/>
    <w:rsid w:val="0D1C34D0"/>
    <w:rsid w:val="0D1D6FAA"/>
    <w:rsid w:val="0D2124C7"/>
    <w:rsid w:val="0D335085"/>
    <w:rsid w:val="0D3E0FA6"/>
    <w:rsid w:val="0D443E75"/>
    <w:rsid w:val="0D4B57BA"/>
    <w:rsid w:val="0D4F29F0"/>
    <w:rsid w:val="0D511A79"/>
    <w:rsid w:val="0D542171"/>
    <w:rsid w:val="0D543C87"/>
    <w:rsid w:val="0D584ACF"/>
    <w:rsid w:val="0D677097"/>
    <w:rsid w:val="0D6913B0"/>
    <w:rsid w:val="0D7336B7"/>
    <w:rsid w:val="0D9E73BE"/>
    <w:rsid w:val="0DB2420A"/>
    <w:rsid w:val="0DB81E51"/>
    <w:rsid w:val="0DD34156"/>
    <w:rsid w:val="0DD468DC"/>
    <w:rsid w:val="0DE325EB"/>
    <w:rsid w:val="0E011379"/>
    <w:rsid w:val="0E12064D"/>
    <w:rsid w:val="0E24055F"/>
    <w:rsid w:val="0E2664F1"/>
    <w:rsid w:val="0E2A1FC8"/>
    <w:rsid w:val="0E2A3239"/>
    <w:rsid w:val="0E3B2427"/>
    <w:rsid w:val="0E3C3443"/>
    <w:rsid w:val="0E4762DC"/>
    <w:rsid w:val="0E5D3441"/>
    <w:rsid w:val="0E6922A1"/>
    <w:rsid w:val="0E732BB9"/>
    <w:rsid w:val="0E74101E"/>
    <w:rsid w:val="0E8B043C"/>
    <w:rsid w:val="0EB62316"/>
    <w:rsid w:val="0EBA1BDF"/>
    <w:rsid w:val="0EDD4E1E"/>
    <w:rsid w:val="0EE619C8"/>
    <w:rsid w:val="0EE75620"/>
    <w:rsid w:val="0EED39AD"/>
    <w:rsid w:val="0EF45919"/>
    <w:rsid w:val="0F0A4F0B"/>
    <w:rsid w:val="0F3E6A4C"/>
    <w:rsid w:val="0F451CCF"/>
    <w:rsid w:val="0F5F2145"/>
    <w:rsid w:val="0F5F6058"/>
    <w:rsid w:val="0F68725A"/>
    <w:rsid w:val="0F734708"/>
    <w:rsid w:val="0F760441"/>
    <w:rsid w:val="0F866B6F"/>
    <w:rsid w:val="0F884120"/>
    <w:rsid w:val="0F88424E"/>
    <w:rsid w:val="0F9D0225"/>
    <w:rsid w:val="0FA05331"/>
    <w:rsid w:val="0FAD2FDB"/>
    <w:rsid w:val="0FBA0991"/>
    <w:rsid w:val="0FC17DB6"/>
    <w:rsid w:val="0FCF4323"/>
    <w:rsid w:val="0FD0377A"/>
    <w:rsid w:val="0FD850C3"/>
    <w:rsid w:val="0FE14061"/>
    <w:rsid w:val="0FF14FD3"/>
    <w:rsid w:val="0FF35410"/>
    <w:rsid w:val="0FF46D31"/>
    <w:rsid w:val="101161C0"/>
    <w:rsid w:val="101358F3"/>
    <w:rsid w:val="101F4C3F"/>
    <w:rsid w:val="102B1DDB"/>
    <w:rsid w:val="102C5EBC"/>
    <w:rsid w:val="102D26D6"/>
    <w:rsid w:val="10327322"/>
    <w:rsid w:val="10394D13"/>
    <w:rsid w:val="10463305"/>
    <w:rsid w:val="1057019A"/>
    <w:rsid w:val="108E7739"/>
    <w:rsid w:val="10925802"/>
    <w:rsid w:val="109F13C8"/>
    <w:rsid w:val="10A462FC"/>
    <w:rsid w:val="10A87933"/>
    <w:rsid w:val="10B93774"/>
    <w:rsid w:val="10BE6B38"/>
    <w:rsid w:val="10BF410A"/>
    <w:rsid w:val="10D67EA8"/>
    <w:rsid w:val="10F90377"/>
    <w:rsid w:val="10F974F3"/>
    <w:rsid w:val="111D4EA0"/>
    <w:rsid w:val="112A3887"/>
    <w:rsid w:val="1139537F"/>
    <w:rsid w:val="116F0DC7"/>
    <w:rsid w:val="11A4040E"/>
    <w:rsid w:val="11AA4801"/>
    <w:rsid w:val="11AC2AC8"/>
    <w:rsid w:val="11B60016"/>
    <w:rsid w:val="11BC43D5"/>
    <w:rsid w:val="11E17F41"/>
    <w:rsid w:val="11E20E4B"/>
    <w:rsid w:val="11F219C9"/>
    <w:rsid w:val="12373D7C"/>
    <w:rsid w:val="12380A2C"/>
    <w:rsid w:val="12415B32"/>
    <w:rsid w:val="12455C8F"/>
    <w:rsid w:val="12464881"/>
    <w:rsid w:val="12481006"/>
    <w:rsid w:val="12877198"/>
    <w:rsid w:val="128C6186"/>
    <w:rsid w:val="129C3353"/>
    <w:rsid w:val="12B8170E"/>
    <w:rsid w:val="12D40755"/>
    <w:rsid w:val="13091B16"/>
    <w:rsid w:val="131E6E81"/>
    <w:rsid w:val="13285E5F"/>
    <w:rsid w:val="13376915"/>
    <w:rsid w:val="133D4C4F"/>
    <w:rsid w:val="13424032"/>
    <w:rsid w:val="134D3A75"/>
    <w:rsid w:val="135D53D8"/>
    <w:rsid w:val="135F7841"/>
    <w:rsid w:val="13707D0F"/>
    <w:rsid w:val="13B266FA"/>
    <w:rsid w:val="13DF7E95"/>
    <w:rsid w:val="13EF483C"/>
    <w:rsid w:val="13F51833"/>
    <w:rsid w:val="13FA31A3"/>
    <w:rsid w:val="13FE0DE6"/>
    <w:rsid w:val="13FF2080"/>
    <w:rsid w:val="14246F26"/>
    <w:rsid w:val="142525F6"/>
    <w:rsid w:val="14262BBC"/>
    <w:rsid w:val="142851FC"/>
    <w:rsid w:val="143B6859"/>
    <w:rsid w:val="144D6507"/>
    <w:rsid w:val="14626397"/>
    <w:rsid w:val="14670D03"/>
    <w:rsid w:val="1470197E"/>
    <w:rsid w:val="14722D5A"/>
    <w:rsid w:val="147818BD"/>
    <w:rsid w:val="14864ED2"/>
    <w:rsid w:val="14A031F7"/>
    <w:rsid w:val="14AC75D1"/>
    <w:rsid w:val="14AF15CF"/>
    <w:rsid w:val="14C75E7F"/>
    <w:rsid w:val="14E50979"/>
    <w:rsid w:val="14EA44AE"/>
    <w:rsid w:val="14F84610"/>
    <w:rsid w:val="14FB33B0"/>
    <w:rsid w:val="15176E68"/>
    <w:rsid w:val="152E3299"/>
    <w:rsid w:val="15311E8E"/>
    <w:rsid w:val="15457079"/>
    <w:rsid w:val="1560004E"/>
    <w:rsid w:val="157978A7"/>
    <w:rsid w:val="158560F0"/>
    <w:rsid w:val="158D32A4"/>
    <w:rsid w:val="158E3B60"/>
    <w:rsid w:val="15C673AA"/>
    <w:rsid w:val="15DD6AE4"/>
    <w:rsid w:val="16007076"/>
    <w:rsid w:val="16081B79"/>
    <w:rsid w:val="160A1024"/>
    <w:rsid w:val="1618304E"/>
    <w:rsid w:val="1619180F"/>
    <w:rsid w:val="1619332D"/>
    <w:rsid w:val="162C3EA9"/>
    <w:rsid w:val="164200CB"/>
    <w:rsid w:val="16696C3A"/>
    <w:rsid w:val="168230EE"/>
    <w:rsid w:val="16B42C6D"/>
    <w:rsid w:val="16B44038"/>
    <w:rsid w:val="16B5089D"/>
    <w:rsid w:val="16C35476"/>
    <w:rsid w:val="16CA6421"/>
    <w:rsid w:val="16E3253A"/>
    <w:rsid w:val="16FF332A"/>
    <w:rsid w:val="170F2220"/>
    <w:rsid w:val="17190E2C"/>
    <w:rsid w:val="17277D08"/>
    <w:rsid w:val="173D7F05"/>
    <w:rsid w:val="17576637"/>
    <w:rsid w:val="1786162A"/>
    <w:rsid w:val="179B7A92"/>
    <w:rsid w:val="17A9546E"/>
    <w:rsid w:val="17BD5739"/>
    <w:rsid w:val="17D145A4"/>
    <w:rsid w:val="180C6776"/>
    <w:rsid w:val="182021D4"/>
    <w:rsid w:val="18220E96"/>
    <w:rsid w:val="182512BF"/>
    <w:rsid w:val="18482412"/>
    <w:rsid w:val="184B148E"/>
    <w:rsid w:val="1865122A"/>
    <w:rsid w:val="186B3909"/>
    <w:rsid w:val="186D2733"/>
    <w:rsid w:val="187A78B1"/>
    <w:rsid w:val="187C44DF"/>
    <w:rsid w:val="18B349D2"/>
    <w:rsid w:val="18CE4126"/>
    <w:rsid w:val="18F6152C"/>
    <w:rsid w:val="18F660E1"/>
    <w:rsid w:val="18FC27B3"/>
    <w:rsid w:val="190218BC"/>
    <w:rsid w:val="19044C8D"/>
    <w:rsid w:val="19095170"/>
    <w:rsid w:val="190B3EB3"/>
    <w:rsid w:val="191047E7"/>
    <w:rsid w:val="19137BB8"/>
    <w:rsid w:val="191B12AB"/>
    <w:rsid w:val="19225D94"/>
    <w:rsid w:val="192D42F3"/>
    <w:rsid w:val="193970B7"/>
    <w:rsid w:val="193F0E28"/>
    <w:rsid w:val="194505FE"/>
    <w:rsid w:val="19457F63"/>
    <w:rsid w:val="194D2C0B"/>
    <w:rsid w:val="19522332"/>
    <w:rsid w:val="19576828"/>
    <w:rsid w:val="197410CF"/>
    <w:rsid w:val="198852F8"/>
    <w:rsid w:val="198E3481"/>
    <w:rsid w:val="199A7C9F"/>
    <w:rsid w:val="19A810CA"/>
    <w:rsid w:val="19AA32E6"/>
    <w:rsid w:val="19C1779A"/>
    <w:rsid w:val="19D743D6"/>
    <w:rsid w:val="19DD1B54"/>
    <w:rsid w:val="19E41BC5"/>
    <w:rsid w:val="19E9387A"/>
    <w:rsid w:val="19EF40C6"/>
    <w:rsid w:val="19F8389D"/>
    <w:rsid w:val="1A126FFF"/>
    <w:rsid w:val="1A3A519A"/>
    <w:rsid w:val="1A6306AB"/>
    <w:rsid w:val="1A6F52BC"/>
    <w:rsid w:val="1A7E6AE3"/>
    <w:rsid w:val="1A805353"/>
    <w:rsid w:val="1A8104CE"/>
    <w:rsid w:val="1A917E97"/>
    <w:rsid w:val="1A962D35"/>
    <w:rsid w:val="1AA63E86"/>
    <w:rsid w:val="1AAC3715"/>
    <w:rsid w:val="1AB80C4F"/>
    <w:rsid w:val="1ABD2642"/>
    <w:rsid w:val="1AC014C6"/>
    <w:rsid w:val="1AC937CA"/>
    <w:rsid w:val="1AD5150D"/>
    <w:rsid w:val="1AF2282B"/>
    <w:rsid w:val="1B1562B0"/>
    <w:rsid w:val="1B2714BF"/>
    <w:rsid w:val="1B332452"/>
    <w:rsid w:val="1B3542FB"/>
    <w:rsid w:val="1B372BF3"/>
    <w:rsid w:val="1B4D0258"/>
    <w:rsid w:val="1B4F322C"/>
    <w:rsid w:val="1B526935"/>
    <w:rsid w:val="1B666C5A"/>
    <w:rsid w:val="1B72638E"/>
    <w:rsid w:val="1B88418F"/>
    <w:rsid w:val="1B8E7098"/>
    <w:rsid w:val="1B9334AB"/>
    <w:rsid w:val="1B95436C"/>
    <w:rsid w:val="1BAC5DF8"/>
    <w:rsid w:val="1BB630ED"/>
    <w:rsid w:val="1BC673F4"/>
    <w:rsid w:val="1BCA303C"/>
    <w:rsid w:val="1BE542F6"/>
    <w:rsid w:val="1BE61271"/>
    <w:rsid w:val="1C080823"/>
    <w:rsid w:val="1C0F3379"/>
    <w:rsid w:val="1C2A2148"/>
    <w:rsid w:val="1C3B1844"/>
    <w:rsid w:val="1C3F0B2B"/>
    <w:rsid w:val="1C3F5535"/>
    <w:rsid w:val="1C517832"/>
    <w:rsid w:val="1C5F5C93"/>
    <w:rsid w:val="1C6918C8"/>
    <w:rsid w:val="1C853160"/>
    <w:rsid w:val="1C8614EE"/>
    <w:rsid w:val="1CA94A00"/>
    <w:rsid w:val="1CA95FA5"/>
    <w:rsid w:val="1CDE50C9"/>
    <w:rsid w:val="1CDE6FC2"/>
    <w:rsid w:val="1D1F1816"/>
    <w:rsid w:val="1D241315"/>
    <w:rsid w:val="1D382D74"/>
    <w:rsid w:val="1D396C3A"/>
    <w:rsid w:val="1D5D6BFA"/>
    <w:rsid w:val="1D76469C"/>
    <w:rsid w:val="1D7A5A02"/>
    <w:rsid w:val="1D845DC6"/>
    <w:rsid w:val="1D903E12"/>
    <w:rsid w:val="1DC0717D"/>
    <w:rsid w:val="1DD40012"/>
    <w:rsid w:val="1DDC1F50"/>
    <w:rsid w:val="1DDC71C5"/>
    <w:rsid w:val="1DE85F85"/>
    <w:rsid w:val="1E0E694C"/>
    <w:rsid w:val="1E1C7DA0"/>
    <w:rsid w:val="1E2B70E6"/>
    <w:rsid w:val="1E334108"/>
    <w:rsid w:val="1E5109CC"/>
    <w:rsid w:val="1E52330B"/>
    <w:rsid w:val="1E544E3F"/>
    <w:rsid w:val="1E656D52"/>
    <w:rsid w:val="1E6C0F09"/>
    <w:rsid w:val="1E7E3659"/>
    <w:rsid w:val="1E8A6629"/>
    <w:rsid w:val="1E98461D"/>
    <w:rsid w:val="1EA67F90"/>
    <w:rsid w:val="1EB7274A"/>
    <w:rsid w:val="1ED72245"/>
    <w:rsid w:val="1EF34087"/>
    <w:rsid w:val="1EF61FE3"/>
    <w:rsid w:val="1F0D4270"/>
    <w:rsid w:val="1F165A39"/>
    <w:rsid w:val="1F22150E"/>
    <w:rsid w:val="1F2E4D87"/>
    <w:rsid w:val="1F370402"/>
    <w:rsid w:val="1F4965B4"/>
    <w:rsid w:val="1F5B1D47"/>
    <w:rsid w:val="1F657758"/>
    <w:rsid w:val="1F7A1381"/>
    <w:rsid w:val="1FA92E7A"/>
    <w:rsid w:val="1FB04EF2"/>
    <w:rsid w:val="1FC15ED6"/>
    <w:rsid w:val="1FDE3E7F"/>
    <w:rsid w:val="1FDF0BF0"/>
    <w:rsid w:val="1FF931A4"/>
    <w:rsid w:val="1FFB3074"/>
    <w:rsid w:val="200107FC"/>
    <w:rsid w:val="20216B08"/>
    <w:rsid w:val="20405B7F"/>
    <w:rsid w:val="204D10CE"/>
    <w:rsid w:val="20534194"/>
    <w:rsid w:val="20546C47"/>
    <w:rsid w:val="20572904"/>
    <w:rsid w:val="207260A6"/>
    <w:rsid w:val="20757E64"/>
    <w:rsid w:val="20801DCF"/>
    <w:rsid w:val="209B4C6C"/>
    <w:rsid w:val="209F4C92"/>
    <w:rsid w:val="20AC0D84"/>
    <w:rsid w:val="20BD2964"/>
    <w:rsid w:val="20BF1892"/>
    <w:rsid w:val="20BF1B00"/>
    <w:rsid w:val="20C646ED"/>
    <w:rsid w:val="20F054FC"/>
    <w:rsid w:val="20FD1BD5"/>
    <w:rsid w:val="211232C3"/>
    <w:rsid w:val="21220770"/>
    <w:rsid w:val="212E34D3"/>
    <w:rsid w:val="213F1DD6"/>
    <w:rsid w:val="2145492B"/>
    <w:rsid w:val="21493133"/>
    <w:rsid w:val="215754F9"/>
    <w:rsid w:val="215B2A68"/>
    <w:rsid w:val="217162CA"/>
    <w:rsid w:val="217429A0"/>
    <w:rsid w:val="21AB746C"/>
    <w:rsid w:val="21B453CD"/>
    <w:rsid w:val="21B65314"/>
    <w:rsid w:val="21BF4251"/>
    <w:rsid w:val="21CE7D40"/>
    <w:rsid w:val="21D40771"/>
    <w:rsid w:val="21D51C02"/>
    <w:rsid w:val="21DC7625"/>
    <w:rsid w:val="2204765C"/>
    <w:rsid w:val="220B4FC1"/>
    <w:rsid w:val="220E5787"/>
    <w:rsid w:val="221C40C8"/>
    <w:rsid w:val="22261B58"/>
    <w:rsid w:val="22363ABA"/>
    <w:rsid w:val="224145D9"/>
    <w:rsid w:val="22421B7E"/>
    <w:rsid w:val="22423D4D"/>
    <w:rsid w:val="225C52DB"/>
    <w:rsid w:val="22631143"/>
    <w:rsid w:val="22723E3F"/>
    <w:rsid w:val="22983240"/>
    <w:rsid w:val="22A273FF"/>
    <w:rsid w:val="22A46395"/>
    <w:rsid w:val="22C2587A"/>
    <w:rsid w:val="22CE1777"/>
    <w:rsid w:val="22D51980"/>
    <w:rsid w:val="22E449E3"/>
    <w:rsid w:val="22E471BA"/>
    <w:rsid w:val="2308424D"/>
    <w:rsid w:val="23201166"/>
    <w:rsid w:val="23220A0D"/>
    <w:rsid w:val="23251A6B"/>
    <w:rsid w:val="23340988"/>
    <w:rsid w:val="23345488"/>
    <w:rsid w:val="2337565A"/>
    <w:rsid w:val="233B20A7"/>
    <w:rsid w:val="233F3F0D"/>
    <w:rsid w:val="23431403"/>
    <w:rsid w:val="234E1DDC"/>
    <w:rsid w:val="236B3B35"/>
    <w:rsid w:val="239C0FFB"/>
    <w:rsid w:val="23A55ACB"/>
    <w:rsid w:val="23B54A00"/>
    <w:rsid w:val="23BF2D5B"/>
    <w:rsid w:val="23BF5B07"/>
    <w:rsid w:val="23C11C5C"/>
    <w:rsid w:val="23D44AB0"/>
    <w:rsid w:val="23D96090"/>
    <w:rsid w:val="23FA6623"/>
    <w:rsid w:val="24042E63"/>
    <w:rsid w:val="240A0711"/>
    <w:rsid w:val="24173CAA"/>
    <w:rsid w:val="24212C3A"/>
    <w:rsid w:val="24340889"/>
    <w:rsid w:val="24357CE6"/>
    <w:rsid w:val="244758B5"/>
    <w:rsid w:val="24677CF2"/>
    <w:rsid w:val="246D1F1E"/>
    <w:rsid w:val="24814E6B"/>
    <w:rsid w:val="248C507E"/>
    <w:rsid w:val="24997B76"/>
    <w:rsid w:val="24A51F50"/>
    <w:rsid w:val="24B214DF"/>
    <w:rsid w:val="24C55441"/>
    <w:rsid w:val="24CD25BB"/>
    <w:rsid w:val="24E3336C"/>
    <w:rsid w:val="24EA2442"/>
    <w:rsid w:val="24EF141E"/>
    <w:rsid w:val="250B023F"/>
    <w:rsid w:val="251972A9"/>
    <w:rsid w:val="25565941"/>
    <w:rsid w:val="25571864"/>
    <w:rsid w:val="256F3E21"/>
    <w:rsid w:val="25751D88"/>
    <w:rsid w:val="25831D72"/>
    <w:rsid w:val="258B2EE5"/>
    <w:rsid w:val="259F5720"/>
    <w:rsid w:val="25A5447F"/>
    <w:rsid w:val="25A617AE"/>
    <w:rsid w:val="25B814E1"/>
    <w:rsid w:val="25BA5ED0"/>
    <w:rsid w:val="25D7522B"/>
    <w:rsid w:val="25E178B5"/>
    <w:rsid w:val="25F0544D"/>
    <w:rsid w:val="26082254"/>
    <w:rsid w:val="261772AA"/>
    <w:rsid w:val="2639768F"/>
    <w:rsid w:val="263C0AC6"/>
    <w:rsid w:val="26541E80"/>
    <w:rsid w:val="26590D71"/>
    <w:rsid w:val="265B0FE1"/>
    <w:rsid w:val="26684443"/>
    <w:rsid w:val="26696967"/>
    <w:rsid w:val="266B0064"/>
    <w:rsid w:val="2671601B"/>
    <w:rsid w:val="268B074F"/>
    <w:rsid w:val="26910958"/>
    <w:rsid w:val="26946721"/>
    <w:rsid w:val="26BC42F5"/>
    <w:rsid w:val="26C51673"/>
    <w:rsid w:val="26EB3CF0"/>
    <w:rsid w:val="270E0153"/>
    <w:rsid w:val="270E40AA"/>
    <w:rsid w:val="27181169"/>
    <w:rsid w:val="271E6FB9"/>
    <w:rsid w:val="2737249E"/>
    <w:rsid w:val="27436E82"/>
    <w:rsid w:val="275A67FD"/>
    <w:rsid w:val="275F095E"/>
    <w:rsid w:val="27654608"/>
    <w:rsid w:val="27734588"/>
    <w:rsid w:val="27797AB1"/>
    <w:rsid w:val="278E13C2"/>
    <w:rsid w:val="279E6FF6"/>
    <w:rsid w:val="27B3359B"/>
    <w:rsid w:val="27CD1F3C"/>
    <w:rsid w:val="27CD689D"/>
    <w:rsid w:val="27E320D9"/>
    <w:rsid w:val="27E3760C"/>
    <w:rsid w:val="27EB6534"/>
    <w:rsid w:val="27EE36C4"/>
    <w:rsid w:val="27F1607E"/>
    <w:rsid w:val="280349D7"/>
    <w:rsid w:val="2817182A"/>
    <w:rsid w:val="28261BB8"/>
    <w:rsid w:val="28335EBE"/>
    <w:rsid w:val="28485A15"/>
    <w:rsid w:val="2853664C"/>
    <w:rsid w:val="28550493"/>
    <w:rsid w:val="28552D17"/>
    <w:rsid w:val="28601E8A"/>
    <w:rsid w:val="287E2C7B"/>
    <w:rsid w:val="288362E8"/>
    <w:rsid w:val="28896366"/>
    <w:rsid w:val="2895052E"/>
    <w:rsid w:val="289736D6"/>
    <w:rsid w:val="28985AC2"/>
    <w:rsid w:val="289C331B"/>
    <w:rsid w:val="28E43CDE"/>
    <w:rsid w:val="28E63CF2"/>
    <w:rsid w:val="28F5126C"/>
    <w:rsid w:val="29154883"/>
    <w:rsid w:val="292D7DCD"/>
    <w:rsid w:val="29381CE9"/>
    <w:rsid w:val="294E1229"/>
    <w:rsid w:val="29521386"/>
    <w:rsid w:val="29564161"/>
    <w:rsid w:val="2958769B"/>
    <w:rsid w:val="296F0ADB"/>
    <w:rsid w:val="297B758F"/>
    <w:rsid w:val="297C6FB2"/>
    <w:rsid w:val="29921C14"/>
    <w:rsid w:val="29986E09"/>
    <w:rsid w:val="299D5118"/>
    <w:rsid w:val="29BE47B1"/>
    <w:rsid w:val="29CA5A85"/>
    <w:rsid w:val="29CC67D1"/>
    <w:rsid w:val="29DA6910"/>
    <w:rsid w:val="29E30BDE"/>
    <w:rsid w:val="29F217F2"/>
    <w:rsid w:val="29F808E9"/>
    <w:rsid w:val="2A012A6E"/>
    <w:rsid w:val="2A0C5DDF"/>
    <w:rsid w:val="2A2B33FF"/>
    <w:rsid w:val="2A304FCF"/>
    <w:rsid w:val="2A541BFD"/>
    <w:rsid w:val="2A5E6C51"/>
    <w:rsid w:val="2A642483"/>
    <w:rsid w:val="2A691502"/>
    <w:rsid w:val="2A6C52BE"/>
    <w:rsid w:val="2A703001"/>
    <w:rsid w:val="2A8074A3"/>
    <w:rsid w:val="2A8517F1"/>
    <w:rsid w:val="2A9D30F3"/>
    <w:rsid w:val="2AC72F37"/>
    <w:rsid w:val="2ADC66BD"/>
    <w:rsid w:val="2AE829DE"/>
    <w:rsid w:val="2B151A29"/>
    <w:rsid w:val="2B193FC0"/>
    <w:rsid w:val="2B2A5BCC"/>
    <w:rsid w:val="2B3214D4"/>
    <w:rsid w:val="2B5D5522"/>
    <w:rsid w:val="2B6677EB"/>
    <w:rsid w:val="2B773505"/>
    <w:rsid w:val="2B7C7736"/>
    <w:rsid w:val="2BB1692C"/>
    <w:rsid w:val="2BB172BF"/>
    <w:rsid w:val="2BB67139"/>
    <w:rsid w:val="2BF37A45"/>
    <w:rsid w:val="2C053F31"/>
    <w:rsid w:val="2C3F64D6"/>
    <w:rsid w:val="2C48645E"/>
    <w:rsid w:val="2C5D5807"/>
    <w:rsid w:val="2C7C7A3B"/>
    <w:rsid w:val="2C85577B"/>
    <w:rsid w:val="2C8A3730"/>
    <w:rsid w:val="2C8E46BB"/>
    <w:rsid w:val="2CAD13E0"/>
    <w:rsid w:val="2CC42329"/>
    <w:rsid w:val="2CC45CC4"/>
    <w:rsid w:val="2CD51280"/>
    <w:rsid w:val="2CEE645F"/>
    <w:rsid w:val="2CFE588F"/>
    <w:rsid w:val="2CFF7734"/>
    <w:rsid w:val="2D2467C2"/>
    <w:rsid w:val="2D3C71CA"/>
    <w:rsid w:val="2D4744ED"/>
    <w:rsid w:val="2D5462C2"/>
    <w:rsid w:val="2D5F44D3"/>
    <w:rsid w:val="2D62568F"/>
    <w:rsid w:val="2D676C30"/>
    <w:rsid w:val="2D822A3D"/>
    <w:rsid w:val="2D951C26"/>
    <w:rsid w:val="2D993F70"/>
    <w:rsid w:val="2DA15059"/>
    <w:rsid w:val="2DA4078D"/>
    <w:rsid w:val="2DAB1B97"/>
    <w:rsid w:val="2DB31B82"/>
    <w:rsid w:val="2DB955A0"/>
    <w:rsid w:val="2DC053F7"/>
    <w:rsid w:val="2DC21CCF"/>
    <w:rsid w:val="2DC82EEC"/>
    <w:rsid w:val="2DD9710F"/>
    <w:rsid w:val="2DE169BE"/>
    <w:rsid w:val="2DEE7D7B"/>
    <w:rsid w:val="2DF03A2E"/>
    <w:rsid w:val="2E106AAA"/>
    <w:rsid w:val="2E1D524D"/>
    <w:rsid w:val="2E2C7F12"/>
    <w:rsid w:val="2E374561"/>
    <w:rsid w:val="2E440A2C"/>
    <w:rsid w:val="2E624ED5"/>
    <w:rsid w:val="2E6B5FB9"/>
    <w:rsid w:val="2E796377"/>
    <w:rsid w:val="2E7F4945"/>
    <w:rsid w:val="2E9B10FD"/>
    <w:rsid w:val="2EA0058E"/>
    <w:rsid w:val="2EA23E74"/>
    <w:rsid w:val="2ECA0B93"/>
    <w:rsid w:val="2EF667B7"/>
    <w:rsid w:val="2F0B01A9"/>
    <w:rsid w:val="2F102AEF"/>
    <w:rsid w:val="2F256289"/>
    <w:rsid w:val="2F277269"/>
    <w:rsid w:val="2F3D41D5"/>
    <w:rsid w:val="2F445100"/>
    <w:rsid w:val="2F4D2A21"/>
    <w:rsid w:val="2F6A0B86"/>
    <w:rsid w:val="2F6D2FFD"/>
    <w:rsid w:val="2F7C0DC0"/>
    <w:rsid w:val="2F8640AD"/>
    <w:rsid w:val="2F881D30"/>
    <w:rsid w:val="2F8A7474"/>
    <w:rsid w:val="2F8D7E33"/>
    <w:rsid w:val="2FA057DA"/>
    <w:rsid w:val="2FA22FDD"/>
    <w:rsid w:val="2FB238C3"/>
    <w:rsid w:val="2FD1710B"/>
    <w:rsid w:val="2FE504B7"/>
    <w:rsid w:val="2FEF2E6C"/>
    <w:rsid w:val="301816D1"/>
    <w:rsid w:val="302C3EDF"/>
    <w:rsid w:val="302E3742"/>
    <w:rsid w:val="30320F9B"/>
    <w:rsid w:val="303711F7"/>
    <w:rsid w:val="303A4ACA"/>
    <w:rsid w:val="305B1182"/>
    <w:rsid w:val="305D1CCE"/>
    <w:rsid w:val="305E4A0C"/>
    <w:rsid w:val="3067576B"/>
    <w:rsid w:val="30752DA6"/>
    <w:rsid w:val="30811F35"/>
    <w:rsid w:val="308710A4"/>
    <w:rsid w:val="30912A6D"/>
    <w:rsid w:val="30966CE7"/>
    <w:rsid w:val="30AD74CF"/>
    <w:rsid w:val="30B55DD1"/>
    <w:rsid w:val="30F027A5"/>
    <w:rsid w:val="30F02BD1"/>
    <w:rsid w:val="310C0AD0"/>
    <w:rsid w:val="3114789C"/>
    <w:rsid w:val="311722F5"/>
    <w:rsid w:val="311D76D2"/>
    <w:rsid w:val="311E4A7F"/>
    <w:rsid w:val="312E26C2"/>
    <w:rsid w:val="312F6DB8"/>
    <w:rsid w:val="31375428"/>
    <w:rsid w:val="31464C62"/>
    <w:rsid w:val="3154062A"/>
    <w:rsid w:val="315B4A26"/>
    <w:rsid w:val="315C7453"/>
    <w:rsid w:val="316505E8"/>
    <w:rsid w:val="316B5D6B"/>
    <w:rsid w:val="31707A72"/>
    <w:rsid w:val="3171622A"/>
    <w:rsid w:val="319F31B6"/>
    <w:rsid w:val="31A94482"/>
    <w:rsid w:val="31AB370F"/>
    <w:rsid w:val="31B609AA"/>
    <w:rsid w:val="31BD6EAD"/>
    <w:rsid w:val="31D2101F"/>
    <w:rsid w:val="31F94B6A"/>
    <w:rsid w:val="31FA63F4"/>
    <w:rsid w:val="324B17FE"/>
    <w:rsid w:val="324F7BB6"/>
    <w:rsid w:val="325565F0"/>
    <w:rsid w:val="32594346"/>
    <w:rsid w:val="32775632"/>
    <w:rsid w:val="3281224F"/>
    <w:rsid w:val="3283005E"/>
    <w:rsid w:val="32885138"/>
    <w:rsid w:val="32A3414C"/>
    <w:rsid w:val="32B34312"/>
    <w:rsid w:val="32B563C3"/>
    <w:rsid w:val="32D14858"/>
    <w:rsid w:val="32D3116D"/>
    <w:rsid w:val="32D46BDF"/>
    <w:rsid w:val="32DB1B8F"/>
    <w:rsid w:val="32F256B1"/>
    <w:rsid w:val="32F552E6"/>
    <w:rsid w:val="32F97CD5"/>
    <w:rsid w:val="32FA0C51"/>
    <w:rsid w:val="32FF4295"/>
    <w:rsid w:val="33101B57"/>
    <w:rsid w:val="33353669"/>
    <w:rsid w:val="334A2082"/>
    <w:rsid w:val="334D4B04"/>
    <w:rsid w:val="33521F74"/>
    <w:rsid w:val="335F1FA1"/>
    <w:rsid w:val="33634795"/>
    <w:rsid w:val="336F00EB"/>
    <w:rsid w:val="33711628"/>
    <w:rsid w:val="3394151E"/>
    <w:rsid w:val="33AB014B"/>
    <w:rsid w:val="33B230EA"/>
    <w:rsid w:val="33BE5AA6"/>
    <w:rsid w:val="33C06DA7"/>
    <w:rsid w:val="33C86452"/>
    <w:rsid w:val="33DB6CCF"/>
    <w:rsid w:val="34066E74"/>
    <w:rsid w:val="34081E12"/>
    <w:rsid w:val="340F2BDD"/>
    <w:rsid w:val="34190852"/>
    <w:rsid w:val="34311DD7"/>
    <w:rsid w:val="343A32E7"/>
    <w:rsid w:val="344A7E45"/>
    <w:rsid w:val="344D2F56"/>
    <w:rsid w:val="34587F41"/>
    <w:rsid w:val="345D2C7E"/>
    <w:rsid w:val="34640730"/>
    <w:rsid w:val="34665F56"/>
    <w:rsid w:val="346F257B"/>
    <w:rsid w:val="3476407B"/>
    <w:rsid w:val="348A3678"/>
    <w:rsid w:val="34924FC4"/>
    <w:rsid w:val="34A02734"/>
    <w:rsid w:val="34C13400"/>
    <w:rsid w:val="34C21B8F"/>
    <w:rsid w:val="34C5119C"/>
    <w:rsid w:val="34FF7ED1"/>
    <w:rsid w:val="35011425"/>
    <w:rsid w:val="35115864"/>
    <w:rsid w:val="352132A8"/>
    <w:rsid w:val="353A5EDD"/>
    <w:rsid w:val="353E145E"/>
    <w:rsid w:val="35583F76"/>
    <w:rsid w:val="356E7C5B"/>
    <w:rsid w:val="358F2980"/>
    <w:rsid w:val="35903655"/>
    <w:rsid w:val="35924F3A"/>
    <w:rsid w:val="35B939CB"/>
    <w:rsid w:val="35EC69C3"/>
    <w:rsid w:val="35F76384"/>
    <w:rsid w:val="35FD75B5"/>
    <w:rsid w:val="362A1D29"/>
    <w:rsid w:val="36432BB5"/>
    <w:rsid w:val="36446861"/>
    <w:rsid w:val="364B233B"/>
    <w:rsid w:val="365B3550"/>
    <w:rsid w:val="36725667"/>
    <w:rsid w:val="367F0C5B"/>
    <w:rsid w:val="36861FAD"/>
    <w:rsid w:val="369B7657"/>
    <w:rsid w:val="36AD7E4C"/>
    <w:rsid w:val="36AE490F"/>
    <w:rsid w:val="36AF3D05"/>
    <w:rsid w:val="36B95721"/>
    <w:rsid w:val="36D45A97"/>
    <w:rsid w:val="36E8727B"/>
    <w:rsid w:val="36ED73BD"/>
    <w:rsid w:val="36EE4479"/>
    <w:rsid w:val="36F30888"/>
    <w:rsid w:val="36FE64ED"/>
    <w:rsid w:val="371A4D75"/>
    <w:rsid w:val="373108D4"/>
    <w:rsid w:val="37421881"/>
    <w:rsid w:val="3762330F"/>
    <w:rsid w:val="37AE0570"/>
    <w:rsid w:val="37AE4516"/>
    <w:rsid w:val="37B879C4"/>
    <w:rsid w:val="37C80CBF"/>
    <w:rsid w:val="37CF0BB3"/>
    <w:rsid w:val="37D451C8"/>
    <w:rsid w:val="37D9089A"/>
    <w:rsid w:val="37E0537C"/>
    <w:rsid w:val="37E1079C"/>
    <w:rsid w:val="37F04D2F"/>
    <w:rsid w:val="37F30E4E"/>
    <w:rsid w:val="37F8487A"/>
    <w:rsid w:val="37F92887"/>
    <w:rsid w:val="37FD0952"/>
    <w:rsid w:val="37FE4B49"/>
    <w:rsid w:val="38143841"/>
    <w:rsid w:val="38274777"/>
    <w:rsid w:val="38280C55"/>
    <w:rsid w:val="38282D4D"/>
    <w:rsid w:val="38411385"/>
    <w:rsid w:val="384358B1"/>
    <w:rsid w:val="386259F6"/>
    <w:rsid w:val="3870629E"/>
    <w:rsid w:val="387D5F09"/>
    <w:rsid w:val="38972264"/>
    <w:rsid w:val="38B24BC5"/>
    <w:rsid w:val="38B94C45"/>
    <w:rsid w:val="38BC2C05"/>
    <w:rsid w:val="38D5699F"/>
    <w:rsid w:val="38D65704"/>
    <w:rsid w:val="38DC74A7"/>
    <w:rsid w:val="38E100C2"/>
    <w:rsid w:val="38E20D3F"/>
    <w:rsid w:val="390741F4"/>
    <w:rsid w:val="390A4620"/>
    <w:rsid w:val="39203F8F"/>
    <w:rsid w:val="39225E0E"/>
    <w:rsid w:val="392B4CC2"/>
    <w:rsid w:val="392C0A3B"/>
    <w:rsid w:val="39582851"/>
    <w:rsid w:val="397C648E"/>
    <w:rsid w:val="398259F2"/>
    <w:rsid w:val="39830F07"/>
    <w:rsid w:val="39905D4A"/>
    <w:rsid w:val="39A14F85"/>
    <w:rsid w:val="39D11041"/>
    <w:rsid w:val="39D91E06"/>
    <w:rsid w:val="39E34343"/>
    <w:rsid w:val="39F73541"/>
    <w:rsid w:val="3A016262"/>
    <w:rsid w:val="3A174DE2"/>
    <w:rsid w:val="3A3C3DC7"/>
    <w:rsid w:val="3A455717"/>
    <w:rsid w:val="3A4D3806"/>
    <w:rsid w:val="3A5E3E04"/>
    <w:rsid w:val="3A926509"/>
    <w:rsid w:val="3A9740AB"/>
    <w:rsid w:val="3A986FED"/>
    <w:rsid w:val="3AC727C9"/>
    <w:rsid w:val="3AE17456"/>
    <w:rsid w:val="3AE71281"/>
    <w:rsid w:val="3AEF0890"/>
    <w:rsid w:val="3AFE561F"/>
    <w:rsid w:val="3B200FE2"/>
    <w:rsid w:val="3B2C75A0"/>
    <w:rsid w:val="3B3F4A55"/>
    <w:rsid w:val="3B501A8F"/>
    <w:rsid w:val="3B657F1A"/>
    <w:rsid w:val="3B682D5E"/>
    <w:rsid w:val="3B847F01"/>
    <w:rsid w:val="3B866FF0"/>
    <w:rsid w:val="3B8A0E8C"/>
    <w:rsid w:val="3BBA28BA"/>
    <w:rsid w:val="3BBE7E61"/>
    <w:rsid w:val="3BD553B9"/>
    <w:rsid w:val="3BDF3B42"/>
    <w:rsid w:val="3C0123CD"/>
    <w:rsid w:val="3C0A1741"/>
    <w:rsid w:val="3C0C1C5B"/>
    <w:rsid w:val="3C2E4B74"/>
    <w:rsid w:val="3C333E8E"/>
    <w:rsid w:val="3C3514A7"/>
    <w:rsid w:val="3C394207"/>
    <w:rsid w:val="3C3C5CFE"/>
    <w:rsid w:val="3C4679CD"/>
    <w:rsid w:val="3C5357A3"/>
    <w:rsid w:val="3C586AFE"/>
    <w:rsid w:val="3C774586"/>
    <w:rsid w:val="3C8B5092"/>
    <w:rsid w:val="3C9E1CF4"/>
    <w:rsid w:val="3CC16A39"/>
    <w:rsid w:val="3CC80A7A"/>
    <w:rsid w:val="3CC90259"/>
    <w:rsid w:val="3CED598F"/>
    <w:rsid w:val="3CFB02FD"/>
    <w:rsid w:val="3D102D73"/>
    <w:rsid w:val="3D16557E"/>
    <w:rsid w:val="3D2008B6"/>
    <w:rsid w:val="3D25198E"/>
    <w:rsid w:val="3D2B3DE3"/>
    <w:rsid w:val="3D3E7E89"/>
    <w:rsid w:val="3D457D8D"/>
    <w:rsid w:val="3D493642"/>
    <w:rsid w:val="3D6E1622"/>
    <w:rsid w:val="3D793A53"/>
    <w:rsid w:val="3D8F1598"/>
    <w:rsid w:val="3D976558"/>
    <w:rsid w:val="3DBC7D0E"/>
    <w:rsid w:val="3DC76955"/>
    <w:rsid w:val="3DE0100D"/>
    <w:rsid w:val="3DE250CD"/>
    <w:rsid w:val="3DE8227C"/>
    <w:rsid w:val="3DF05082"/>
    <w:rsid w:val="3DF8596C"/>
    <w:rsid w:val="3E122CDE"/>
    <w:rsid w:val="3E3146F2"/>
    <w:rsid w:val="3E5566D4"/>
    <w:rsid w:val="3E5959DA"/>
    <w:rsid w:val="3E751487"/>
    <w:rsid w:val="3E86299B"/>
    <w:rsid w:val="3E8E68AE"/>
    <w:rsid w:val="3E8F07CB"/>
    <w:rsid w:val="3E90021E"/>
    <w:rsid w:val="3E941710"/>
    <w:rsid w:val="3EAE3AD2"/>
    <w:rsid w:val="3ECA2888"/>
    <w:rsid w:val="3ED53889"/>
    <w:rsid w:val="3EE94729"/>
    <w:rsid w:val="3F0044FB"/>
    <w:rsid w:val="3F18460B"/>
    <w:rsid w:val="3F19736B"/>
    <w:rsid w:val="3F265BE8"/>
    <w:rsid w:val="3F2D0E1A"/>
    <w:rsid w:val="3F361F2E"/>
    <w:rsid w:val="3F397A0D"/>
    <w:rsid w:val="3F3C08E5"/>
    <w:rsid w:val="3F4C71B5"/>
    <w:rsid w:val="3F5235EF"/>
    <w:rsid w:val="3F542A99"/>
    <w:rsid w:val="3FA41611"/>
    <w:rsid w:val="3FAB28A3"/>
    <w:rsid w:val="3FD37E62"/>
    <w:rsid w:val="3FDB6F47"/>
    <w:rsid w:val="3FDD0D6E"/>
    <w:rsid w:val="3FFF47B3"/>
    <w:rsid w:val="4024246B"/>
    <w:rsid w:val="4042124B"/>
    <w:rsid w:val="404653FF"/>
    <w:rsid w:val="40477F08"/>
    <w:rsid w:val="404A0617"/>
    <w:rsid w:val="404C1345"/>
    <w:rsid w:val="406202E6"/>
    <w:rsid w:val="407401D4"/>
    <w:rsid w:val="40773B80"/>
    <w:rsid w:val="407A6EF0"/>
    <w:rsid w:val="40876843"/>
    <w:rsid w:val="40896EEE"/>
    <w:rsid w:val="408F7CD8"/>
    <w:rsid w:val="409C4AF1"/>
    <w:rsid w:val="40A57752"/>
    <w:rsid w:val="40AA0BC3"/>
    <w:rsid w:val="40AB3DBD"/>
    <w:rsid w:val="40BB02E7"/>
    <w:rsid w:val="40CF4E36"/>
    <w:rsid w:val="40D02754"/>
    <w:rsid w:val="40DD5B87"/>
    <w:rsid w:val="410B53D9"/>
    <w:rsid w:val="410C54D9"/>
    <w:rsid w:val="41173547"/>
    <w:rsid w:val="415154E2"/>
    <w:rsid w:val="41693476"/>
    <w:rsid w:val="41811624"/>
    <w:rsid w:val="41847666"/>
    <w:rsid w:val="418E1F84"/>
    <w:rsid w:val="4198423B"/>
    <w:rsid w:val="419D7174"/>
    <w:rsid w:val="41A21455"/>
    <w:rsid w:val="41A5138A"/>
    <w:rsid w:val="41A77051"/>
    <w:rsid w:val="41B96BE3"/>
    <w:rsid w:val="41E80D0F"/>
    <w:rsid w:val="41F32E35"/>
    <w:rsid w:val="41FC26D8"/>
    <w:rsid w:val="42014067"/>
    <w:rsid w:val="420D11AC"/>
    <w:rsid w:val="421155A8"/>
    <w:rsid w:val="42257689"/>
    <w:rsid w:val="42362441"/>
    <w:rsid w:val="423E7F3E"/>
    <w:rsid w:val="42406199"/>
    <w:rsid w:val="424443C9"/>
    <w:rsid w:val="42864D18"/>
    <w:rsid w:val="42891AF3"/>
    <w:rsid w:val="42B8599B"/>
    <w:rsid w:val="42C11AE6"/>
    <w:rsid w:val="42C247A4"/>
    <w:rsid w:val="42C7679B"/>
    <w:rsid w:val="42E00F90"/>
    <w:rsid w:val="42E46F22"/>
    <w:rsid w:val="42F979F6"/>
    <w:rsid w:val="42FB6149"/>
    <w:rsid w:val="42FD12EF"/>
    <w:rsid w:val="43051503"/>
    <w:rsid w:val="43094E58"/>
    <w:rsid w:val="430B529D"/>
    <w:rsid w:val="431D23A7"/>
    <w:rsid w:val="433841C2"/>
    <w:rsid w:val="433A730B"/>
    <w:rsid w:val="434A043B"/>
    <w:rsid w:val="434A67A6"/>
    <w:rsid w:val="434F61BB"/>
    <w:rsid w:val="43820D0B"/>
    <w:rsid w:val="43824658"/>
    <w:rsid w:val="438837DF"/>
    <w:rsid w:val="438C0A54"/>
    <w:rsid w:val="439F39E9"/>
    <w:rsid w:val="43A975CD"/>
    <w:rsid w:val="43AD01AE"/>
    <w:rsid w:val="43AF0A03"/>
    <w:rsid w:val="43DB3F23"/>
    <w:rsid w:val="440B1E39"/>
    <w:rsid w:val="44160914"/>
    <w:rsid w:val="44221CA6"/>
    <w:rsid w:val="442272B0"/>
    <w:rsid w:val="44441C7E"/>
    <w:rsid w:val="444C63B2"/>
    <w:rsid w:val="44593733"/>
    <w:rsid w:val="44596B8C"/>
    <w:rsid w:val="445F2A31"/>
    <w:rsid w:val="44671DAC"/>
    <w:rsid w:val="44705E35"/>
    <w:rsid w:val="44927BB2"/>
    <w:rsid w:val="44AE3D02"/>
    <w:rsid w:val="44B65390"/>
    <w:rsid w:val="44BC2283"/>
    <w:rsid w:val="44BF2763"/>
    <w:rsid w:val="44D82741"/>
    <w:rsid w:val="44D96CE5"/>
    <w:rsid w:val="44E528CA"/>
    <w:rsid w:val="44EB16B7"/>
    <w:rsid w:val="44ED5C79"/>
    <w:rsid w:val="44F22646"/>
    <w:rsid w:val="44F95F4B"/>
    <w:rsid w:val="450734AC"/>
    <w:rsid w:val="45084CA0"/>
    <w:rsid w:val="451A0BA6"/>
    <w:rsid w:val="453A21AF"/>
    <w:rsid w:val="457156B7"/>
    <w:rsid w:val="457E572B"/>
    <w:rsid w:val="4586246A"/>
    <w:rsid w:val="45877724"/>
    <w:rsid w:val="458C4710"/>
    <w:rsid w:val="459201EB"/>
    <w:rsid w:val="459458FA"/>
    <w:rsid w:val="45A47F8C"/>
    <w:rsid w:val="45A53A2B"/>
    <w:rsid w:val="45AA3413"/>
    <w:rsid w:val="45C0656A"/>
    <w:rsid w:val="45C641DB"/>
    <w:rsid w:val="45D53394"/>
    <w:rsid w:val="45D554C1"/>
    <w:rsid w:val="45DB181E"/>
    <w:rsid w:val="45DD2C6A"/>
    <w:rsid w:val="45F27E71"/>
    <w:rsid w:val="46056C1B"/>
    <w:rsid w:val="46065148"/>
    <w:rsid w:val="460E3E5D"/>
    <w:rsid w:val="463B5D1A"/>
    <w:rsid w:val="46503583"/>
    <w:rsid w:val="465223F7"/>
    <w:rsid w:val="46550770"/>
    <w:rsid w:val="46633D18"/>
    <w:rsid w:val="466B3126"/>
    <w:rsid w:val="467001B9"/>
    <w:rsid w:val="46707A4B"/>
    <w:rsid w:val="4690077B"/>
    <w:rsid w:val="46967279"/>
    <w:rsid w:val="469B050A"/>
    <w:rsid w:val="46B138F5"/>
    <w:rsid w:val="46B522AF"/>
    <w:rsid w:val="46E7412F"/>
    <w:rsid w:val="46EA58B1"/>
    <w:rsid w:val="46F73840"/>
    <w:rsid w:val="47195A34"/>
    <w:rsid w:val="47412DD5"/>
    <w:rsid w:val="47600DBA"/>
    <w:rsid w:val="47675349"/>
    <w:rsid w:val="476A00DC"/>
    <w:rsid w:val="479617D9"/>
    <w:rsid w:val="479D43B4"/>
    <w:rsid w:val="47A02CBA"/>
    <w:rsid w:val="47A95B9D"/>
    <w:rsid w:val="47AA14A8"/>
    <w:rsid w:val="47BE4BB4"/>
    <w:rsid w:val="47CF57AA"/>
    <w:rsid w:val="47D80F2B"/>
    <w:rsid w:val="47E016ED"/>
    <w:rsid w:val="47FD07D6"/>
    <w:rsid w:val="48065BEB"/>
    <w:rsid w:val="482C011A"/>
    <w:rsid w:val="48303B9C"/>
    <w:rsid w:val="48477DBB"/>
    <w:rsid w:val="485779D7"/>
    <w:rsid w:val="48594C7C"/>
    <w:rsid w:val="48603449"/>
    <w:rsid w:val="486313D3"/>
    <w:rsid w:val="4865631E"/>
    <w:rsid w:val="48717A8C"/>
    <w:rsid w:val="48814B3B"/>
    <w:rsid w:val="488978EC"/>
    <w:rsid w:val="48904B42"/>
    <w:rsid w:val="48B75C12"/>
    <w:rsid w:val="48BF1A3C"/>
    <w:rsid w:val="48C14619"/>
    <w:rsid w:val="48C51A45"/>
    <w:rsid w:val="48C65B5D"/>
    <w:rsid w:val="48D367DD"/>
    <w:rsid w:val="48E531C2"/>
    <w:rsid w:val="48EA6EB5"/>
    <w:rsid w:val="492144FE"/>
    <w:rsid w:val="4922114E"/>
    <w:rsid w:val="49224E17"/>
    <w:rsid w:val="49255DFC"/>
    <w:rsid w:val="492F1D3A"/>
    <w:rsid w:val="493014BE"/>
    <w:rsid w:val="493B39E1"/>
    <w:rsid w:val="49570D63"/>
    <w:rsid w:val="4957194D"/>
    <w:rsid w:val="495866F2"/>
    <w:rsid w:val="49642047"/>
    <w:rsid w:val="498905A4"/>
    <w:rsid w:val="498D3578"/>
    <w:rsid w:val="499A42F0"/>
    <w:rsid w:val="499E651A"/>
    <w:rsid w:val="49BF04D0"/>
    <w:rsid w:val="49C44B93"/>
    <w:rsid w:val="49C53687"/>
    <w:rsid w:val="49DC5897"/>
    <w:rsid w:val="49E01E0C"/>
    <w:rsid w:val="49E04D5D"/>
    <w:rsid w:val="49F217E5"/>
    <w:rsid w:val="49F512FD"/>
    <w:rsid w:val="49FE0EDF"/>
    <w:rsid w:val="4A036BAE"/>
    <w:rsid w:val="4A0D5D17"/>
    <w:rsid w:val="4A243803"/>
    <w:rsid w:val="4A3115EB"/>
    <w:rsid w:val="4A474693"/>
    <w:rsid w:val="4A4D7B08"/>
    <w:rsid w:val="4A6F2535"/>
    <w:rsid w:val="4A803EAC"/>
    <w:rsid w:val="4A874012"/>
    <w:rsid w:val="4A8E4610"/>
    <w:rsid w:val="4A9401EE"/>
    <w:rsid w:val="4AA0783A"/>
    <w:rsid w:val="4AA46965"/>
    <w:rsid w:val="4AA71EC4"/>
    <w:rsid w:val="4AAE4FA0"/>
    <w:rsid w:val="4AAE7950"/>
    <w:rsid w:val="4AB22A8F"/>
    <w:rsid w:val="4AB83FB0"/>
    <w:rsid w:val="4ADD4540"/>
    <w:rsid w:val="4AE20F59"/>
    <w:rsid w:val="4AE44E4E"/>
    <w:rsid w:val="4AEE1091"/>
    <w:rsid w:val="4AEF6A17"/>
    <w:rsid w:val="4AFB281A"/>
    <w:rsid w:val="4B00250E"/>
    <w:rsid w:val="4B151BB4"/>
    <w:rsid w:val="4B4B0868"/>
    <w:rsid w:val="4B563D65"/>
    <w:rsid w:val="4B626E7F"/>
    <w:rsid w:val="4B6F13A9"/>
    <w:rsid w:val="4B7D6ED4"/>
    <w:rsid w:val="4B8951B5"/>
    <w:rsid w:val="4B8C0719"/>
    <w:rsid w:val="4B8C1BDC"/>
    <w:rsid w:val="4B8F29F3"/>
    <w:rsid w:val="4BA92F57"/>
    <w:rsid w:val="4BB328F5"/>
    <w:rsid w:val="4BCF0C76"/>
    <w:rsid w:val="4BE24406"/>
    <w:rsid w:val="4BEC10D6"/>
    <w:rsid w:val="4BF35B33"/>
    <w:rsid w:val="4C0364A2"/>
    <w:rsid w:val="4C083A6B"/>
    <w:rsid w:val="4C18585B"/>
    <w:rsid w:val="4C1C7E88"/>
    <w:rsid w:val="4C1D7300"/>
    <w:rsid w:val="4C26046F"/>
    <w:rsid w:val="4C28053F"/>
    <w:rsid w:val="4C4F1702"/>
    <w:rsid w:val="4C596AA6"/>
    <w:rsid w:val="4C6C11E2"/>
    <w:rsid w:val="4C870569"/>
    <w:rsid w:val="4C981FAF"/>
    <w:rsid w:val="4CAA3CF8"/>
    <w:rsid w:val="4CBF0B23"/>
    <w:rsid w:val="4CC91253"/>
    <w:rsid w:val="4CC95826"/>
    <w:rsid w:val="4CD72ECF"/>
    <w:rsid w:val="4CE80145"/>
    <w:rsid w:val="4CEB1D06"/>
    <w:rsid w:val="4CFC67ED"/>
    <w:rsid w:val="4CFD1026"/>
    <w:rsid w:val="4D1F4A55"/>
    <w:rsid w:val="4D20747A"/>
    <w:rsid w:val="4D2B3A0A"/>
    <w:rsid w:val="4D3460BC"/>
    <w:rsid w:val="4D3676B3"/>
    <w:rsid w:val="4D5161C7"/>
    <w:rsid w:val="4D5C0EC9"/>
    <w:rsid w:val="4D853C39"/>
    <w:rsid w:val="4DBC3DA8"/>
    <w:rsid w:val="4DBE1745"/>
    <w:rsid w:val="4DC94490"/>
    <w:rsid w:val="4DD17035"/>
    <w:rsid w:val="4DD94074"/>
    <w:rsid w:val="4DE51A95"/>
    <w:rsid w:val="4DF74D1B"/>
    <w:rsid w:val="4E0D09E3"/>
    <w:rsid w:val="4E1A470D"/>
    <w:rsid w:val="4E294D5A"/>
    <w:rsid w:val="4E463B41"/>
    <w:rsid w:val="4E68562C"/>
    <w:rsid w:val="4E7D7F22"/>
    <w:rsid w:val="4E861DDE"/>
    <w:rsid w:val="4E89337E"/>
    <w:rsid w:val="4E8B4500"/>
    <w:rsid w:val="4E8D7FB5"/>
    <w:rsid w:val="4E9F6920"/>
    <w:rsid w:val="4EAA5F5B"/>
    <w:rsid w:val="4EAC4F2B"/>
    <w:rsid w:val="4EBF104B"/>
    <w:rsid w:val="4EC27EAA"/>
    <w:rsid w:val="4ECE3734"/>
    <w:rsid w:val="4ED908C5"/>
    <w:rsid w:val="4EDA3A9C"/>
    <w:rsid w:val="4EEE4DAD"/>
    <w:rsid w:val="4EFA4478"/>
    <w:rsid w:val="4F056692"/>
    <w:rsid w:val="4F2754BC"/>
    <w:rsid w:val="4F2834D1"/>
    <w:rsid w:val="4F2B3870"/>
    <w:rsid w:val="4F341EEA"/>
    <w:rsid w:val="4F4E204A"/>
    <w:rsid w:val="4F7E7804"/>
    <w:rsid w:val="4F8D7062"/>
    <w:rsid w:val="4FB65CCD"/>
    <w:rsid w:val="4FB972A9"/>
    <w:rsid w:val="4FBD4E00"/>
    <w:rsid w:val="4FBF73EF"/>
    <w:rsid w:val="4FC765AD"/>
    <w:rsid w:val="4FDC241B"/>
    <w:rsid w:val="4FE87180"/>
    <w:rsid w:val="4FEA1474"/>
    <w:rsid w:val="4FEE4C58"/>
    <w:rsid w:val="4FF7503E"/>
    <w:rsid w:val="50065A15"/>
    <w:rsid w:val="500C2B1D"/>
    <w:rsid w:val="500E6291"/>
    <w:rsid w:val="50130B14"/>
    <w:rsid w:val="501D1B02"/>
    <w:rsid w:val="502B6D9B"/>
    <w:rsid w:val="503A58E8"/>
    <w:rsid w:val="50426F73"/>
    <w:rsid w:val="504C6E7E"/>
    <w:rsid w:val="505963C8"/>
    <w:rsid w:val="506444BC"/>
    <w:rsid w:val="50667122"/>
    <w:rsid w:val="506F336C"/>
    <w:rsid w:val="507D45CC"/>
    <w:rsid w:val="50852AB2"/>
    <w:rsid w:val="50AA556A"/>
    <w:rsid w:val="50AE34A0"/>
    <w:rsid w:val="50B045AB"/>
    <w:rsid w:val="50E20723"/>
    <w:rsid w:val="50EE17C7"/>
    <w:rsid w:val="512E3212"/>
    <w:rsid w:val="51343361"/>
    <w:rsid w:val="513A3F91"/>
    <w:rsid w:val="516516EA"/>
    <w:rsid w:val="516D78D9"/>
    <w:rsid w:val="51712F79"/>
    <w:rsid w:val="5171672E"/>
    <w:rsid w:val="51835E95"/>
    <w:rsid w:val="518439F6"/>
    <w:rsid w:val="518A1123"/>
    <w:rsid w:val="518D6E5A"/>
    <w:rsid w:val="51AE4F6C"/>
    <w:rsid w:val="51CE0489"/>
    <w:rsid w:val="51D830B6"/>
    <w:rsid w:val="51DD2D75"/>
    <w:rsid w:val="51E242A8"/>
    <w:rsid w:val="51E73F79"/>
    <w:rsid w:val="51EB4D3B"/>
    <w:rsid w:val="51F07536"/>
    <w:rsid w:val="52142B51"/>
    <w:rsid w:val="52391092"/>
    <w:rsid w:val="524C467F"/>
    <w:rsid w:val="524D493D"/>
    <w:rsid w:val="526A4BA2"/>
    <w:rsid w:val="52804F75"/>
    <w:rsid w:val="528B71DF"/>
    <w:rsid w:val="52943481"/>
    <w:rsid w:val="5297553C"/>
    <w:rsid w:val="52B8695C"/>
    <w:rsid w:val="52DE00A3"/>
    <w:rsid w:val="52DE26D4"/>
    <w:rsid w:val="52E11458"/>
    <w:rsid w:val="52E465D9"/>
    <w:rsid w:val="52E71655"/>
    <w:rsid w:val="52E7511B"/>
    <w:rsid w:val="5311687F"/>
    <w:rsid w:val="53122C69"/>
    <w:rsid w:val="53131A85"/>
    <w:rsid w:val="53182862"/>
    <w:rsid w:val="53221C47"/>
    <w:rsid w:val="532562F9"/>
    <w:rsid w:val="532E10FB"/>
    <w:rsid w:val="534E343B"/>
    <w:rsid w:val="537A08C9"/>
    <w:rsid w:val="53AB108E"/>
    <w:rsid w:val="53BF2F7A"/>
    <w:rsid w:val="53D02297"/>
    <w:rsid w:val="53DA5357"/>
    <w:rsid w:val="53E05450"/>
    <w:rsid w:val="53F8030D"/>
    <w:rsid w:val="53FD6839"/>
    <w:rsid w:val="54131AEA"/>
    <w:rsid w:val="54414D20"/>
    <w:rsid w:val="5449280C"/>
    <w:rsid w:val="54591907"/>
    <w:rsid w:val="546C5A12"/>
    <w:rsid w:val="548E2C25"/>
    <w:rsid w:val="54946172"/>
    <w:rsid w:val="54953710"/>
    <w:rsid w:val="54B06087"/>
    <w:rsid w:val="54C660D7"/>
    <w:rsid w:val="54F20E3F"/>
    <w:rsid w:val="54F773F9"/>
    <w:rsid w:val="55002C08"/>
    <w:rsid w:val="55132A8A"/>
    <w:rsid w:val="55171A95"/>
    <w:rsid w:val="55172147"/>
    <w:rsid w:val="551D2E67"/>
    <w:rsid w:val="55271C1F"/>
    <w:rsid w:val="554A6449"/>
    <w:rsid w:val="55626EC9"/>
    <w:rsid w:val="556D43E3"/>
    <w:rsid w:val="556D77A6"/>
    <w:rsid w:val="557A014E"/>
    <w:rsid w:val="55A30DB3"/>
    <w:rsid w:val="55A92894"/>
    <w:rsid w:val="55AC0995"/>
    <w:rsid w:val="55C638F9"/>
    <w:rsid w:val="55D35E71"/>
    <w:rsid w:val="55E14425"/>
    <w:rsid w:val="560209A1"/>
    <w:rsid w:val="560C5155"/>
    <w:rsid w:val="560F7511"/>
    <w:rsid w:val="56314C40"/>
    <w:rsid w:val="56330AF6"/>
    <w:rsid w:val="5637484F"/>
    <w:rsid w:val="563D2221"/>
    <w:rsid w:val="563F2BD8"/>
    <w:rsid w:val="564207ED"/>
    <w:rsid w:val="566409F3"/>
    <w:rsid w:val="56693B75"/>
    <w:rsid w:val="56720525"/>
    <w:rsid w:val="56721153"/>
    <w:rsid w:val="5679539B"/>
    <w:rsid w:val="567E2150"/>
    <w:rsid w:val="568A3244"/>
    <w:rsid w:val="568B06F7"/>
    <w:rsid w:val="56CB1014"/>
    <w:rsid w:val="56EC5CB9"/>
    <w:rsid w:val="56F1515A"/>
    <w:rsid w:val="56F651E7"/>
    <w:rsid w:val="57430DA8"/>
    <w:rsid w:val="57477DA6"/>
    <w:rsid w:val="57570875"/>
    <w:rsid w:val="57815C18"/>
    <w:rsid w:val="578F3442"/>
    <w:rsid w:val="57911D3D"/>
    <w:rsid w:val="57A3286D"/>
    <w:rsid w:val="57AD2F20"/>
    <w:rsid w:val="57C245EC"/>
    <w:rsid w:val="57CE79F7"/>
    <w:rsid w:val="57DF7856"/>
    <w:rsid w:val="57E14725"/>
    <w:rsid w:val="57E70D1E"/>
    <w:rsid w:val="57FB24E4"/>
    <w:rsid w:val="580805D6"/>
    <w:rsid w:val="5814296E"/>
    <w:rsid w:val="581C7EAE"/>
    <w:rsid w:val="58317531"/>
    <w:rsid w:val="584E295E"/>
    <w:rsid w:val="585A70CB"/>
    <w:rsid w:val="585C401C"/>
    <w:rsid w:val="58633250"/>
    <w:rsid w:val="5865477E"/>
    <w:rsid w:val="587D7954"/>
    <w:rsid w:val="588B432B"/>
    <w:rsid w:val="58A33730"/>
    <w:rsid w:val="58A673CC"/>
    <w:rsid w:val="58BC2BFA"/>
    <w:rsid w:val="58BD72A9"/>
    <w:rsid w:val="58BF7267"/>
    <w:rsid w:val="58C3414D"/>
    <w:rsid w:val="58E379E1"/>
    <w:rsid w:val="58F05189"/>
    <w:rsid w:val="58F93D12"/>
    <w:rsid w:val="590846E9"/>
    <w:rsid w:val="59131427"/>
    <w:rsid w:val="59377A33"/>
    <w:rsid w:val="593D3036"/>
    <w:rsid w:val="594576F1"/>
    <w:rsid w:val="595A3E8D"/>
    <w:rsid w:val="5978305E"/>
    <w:rsid w:val="597E0EEE"/>
    <w:rsid w:val="598E5973"/>
    <w:rsid w:val="5999290C"/>
    <w:rsid w:val="599A45D3"/>
    <w:rsid w:val="599C38A9"/>
    <w:rsid w:val="59AD11E3"/>
    <w:rsid w:val="59C208D3"/>
    <w:rsid w:val="59C42A07"/>
    <w:rsid w:val="5A127C5A"/>
    <w:rsid w:val="5A170778"/>
    <w:rsid w:val="5A257CEA"/>
    <w:rsid w:val="5A2B29EB"/>
    <w:rsid w:val="5A4B6B1B"/>
    <w:rsid w:val="5A551748"/>
    <w:rsid w:val="5A5578EB"/>
    <w:rsid w:val="5A647BDD"/>
    <w:rsid w:val="5A954F7C"/>
    <w:rsid w:val="5ABF2AEC"/>
    <w:rsid w:val="5ACA28A7"/>
    <w:rsid w:val="5ADC6441"/>
    <w:rsid w:val="5ADF1011"/>
    <w:rsid w:val="5AEF4B29"/>
    <w:rsid w:val="5AF81998"/>
    <w:rsid w:val="5AFA4394"/>
    <w:rsid w:val="5B072D7E"/>
    <w:rsid w:val="5B115AF1"/>
    <w:rsid w:val="5B2A3601"/>
    <w:rsid w:val="5B300758"/>
    <w:rsid w:val="5B3244A2"/>
    <w:rsid w:val="5B3E21DC"/>
    <w:rsid w:val="5B3F629A"/>
    <w:rsid w:val="5B411DB7"/>
    <w:rsid w:val="5B424FC7"/>
    <w:rsid w:val="5B45039B"/>
    <w:rsid w:val="5B61236E"/>
    <w:rsid w:val="5B6917BE"/>
    <w:rsid w:val="5B735C64"/>
    <w:rsid w:val="5B7841B7"/>
    <w:rsid w:val="5B8A5421"/>
    <w:rsid w:val="5B8A7735"/>
    <w:rsid w:val="5B9D2507"/>
    <w:rsid w:val="5BB54D8E"/>
    <w:rsid w:val="5BB81272"/>
    <w:rsid w:val="5BD41D4F"/>
    <w:rsid w:val="5BF572D1"/>
    <w:rsid w:val="5BFE5BD6"/>
    <w:rsid w:val="5C1358B5"/>
    <w:rsid w:val="5C1A183E"/>
    <w:rsid w:val="5C273FF1"/>
    <w:rsid w:val="5C280962"/>
    <w:rsid w:val="5C2B3E88"/>
    <w:rsid w:val="5C3013D7"/>
    <w:rsid w:val="5C4D2A65"/>
    <w:rsid w:val="5C73537A"/>
    <w:rsid w:val="5C754B8D"/>
    <w:rsid w:val="5C756E89"/>
    <w:rsid w:val="5C8B0840"/>
    <w:rsid w:val="5C964AD9"/>
    <w:rsid w:val="5C9E3C58"/>
    <w:rsid w:val="5CB63792"/>
    <w:rsid w:val="5CBD6CED"/>
    <w:rsid w:val="5CC64C09"/>
    <w:rsid w:val="5CD43B14"/>
    <w:rsid w:val="5CD517A8"/>
    <w:rsid w:val="5CDD1D84"/>
    <w:rsid w:val="5CEB3BD7"/>
    <w:rsid w:val="5CFC10D2"/>
    <w:rsid w:val="5D1042A4"/>
    <w:rsid w:val="5D145698"/>
    <w:rsid w:val="5D1523DC"/>
    <w:rsid w:val="5D276B29"/>
    <w:rsid w:val="5D2C76A8"/>
    <w:rsid w:val="5D326441"/>
    <w:rsid w:val="5D4171F3"/>
    <w:rsid w:val="5D4D2C30"/>
    <w:rsid w:val="5D4F4E2F"/>
    <w:rsid w:val="5D4F4F9F"/>
    <w:rsid w:val="5D4F601E"/>
    <w:rsid w:val="5D641565"/>
    <w:rsid w:val="5D785016"/>
    <w:rsid w:val="5D8004E5"/>
    <w:rsid w:val="5D841CBA"/>
    <w:rsid w:val="5D8A3A29"/>
    <w:rsid w:val="5D8C00F8"/>
    <w:rsid w:val="5D905553"/>
    <w:rsid w:val="5D920A56"/>
    <w:rsid w:val="5D9F5C95"/>
    <w:rsid w:val="5DA36C6E"/>
    <w:rsid w:val="5DAF6638"/>
    <w:rsid w:val="5DB65E37"/>
    <w:rsid w:val="5DB83B54"/>
    <w:rsid w:val="5DBA1B10"/>
    <w:rsid w:val="5DBB200B"/>
    <w:rsid w:val="5DC50E6F"/>
    <w:rsid w:val="5DC76DA7"/>
    <w:rsid w:val="5DD47E0A"/>
    <w:rsid w:val="5DF41277"/>
    <w:rsid w:val="5E017EE7"/>
    <w:rsid w:val="5E0A61E9"/>
    <w:rsid w:val="5E0C06DC"/>
    <w:rsid w:val="5E181564"/>
    <w:rsid w:val="5E313656"/>
    <w:rsid w:val="5E377DD2"/>
    <w:rsid w:val="5E393EDA"/>
    <w:rsid w:val="5E3E5BF0"/>
    <w:rsid w:val="5E3F64CF"/>
    <w:rsid w:val="5E53082D"/>
    <w:rsid w:val="5E6D1FB7"/>
    <w:rsid w:val="5E6E3C84"/>
    <w:rsid w:val="5E834491"/>
    <w:rsid w:val="5E8E6757"/>
    <w:rsid w:val="5EA12A5B"/>
    <w:rsid w:val="5EA67AA0"/>
    <w:rsid w:val="5EAA1E65"/>
    <w:rsid w:val="5EBA0657"/>
    <w:rsid w:val="5EC96260"/>
    <w:rsid w:val="5ECA0FB6"/>
    <w:rsid w:val="5ECE7DD0"/>
    <w:rsid w:val="5ED15AF4"/>
    <w:rsid w:val="5EE16876"/>
    <w:rsid w:val="5EE331B3"/>
    <w:rsid w:val="5EEA7216"/>
    <w:rsid w:val="5EF36C5E"/>
    <w:rsid w:val="5F057EA6"/>
    <w:rsid w:val="5F102188"/>
    <w:rsid w:val="5F106FD1"/>
    <w:rsid w:val="5F124EA1"/>
    <w:rsid w:val="5F170939"/>
    <w:rsid w:val="5F1D35EB"/>
    <w:rsid w:val="5F1E2FF7"/>
    <w:rsid w:val="5F221595"/>
    <w:rsid w:val="5F283117"/>
    <w:rsid w:val="5F2C52ED"/>
    <w:rsid w:val="5F4A6026"/>
    <w:rsid w:val="5F5441A0"/>
    <w:rsid w:val="5F6A464A"/>
    <w:rsid w:val="5F7637F7"/>
    <w:rsid w:val="5F836E49"/>
    <w:rsid w:val="5F87770F"/>
    <w:rsid w:val="5F8939B1"/>
    <w:rsid w:val="5F8D18E6"/>
    <w:rsid w:val="5F9A4D84"/>
    <w:rsid w:val="5FB0497B"/>
    <w:rsid w:val="5FCB425A"/>
    <w:rsid w:val="5FDB46B1"/>
    <w:rsid w:val="5FE0754C"/>
    <w:rsid w:val="5FF6601A"/>
    <w:rsid w:val="60147D37"/>
    <w:rsid w:val="604D64B1"/>
    <w:rsid w:val="60501329"/>
    <w:rsid w:val="6052350C"/>
    <w:rsid w:val="6057564A"/>
    <w:rsid w:val="605D2A22"/>
    <w:rsid w:val="606F55BD"/>
    <w:rsid w:val="607366D8"/>
    <w:rsid w:val="60841B82"/>
    <w:rsid w:val="60C92770"/>
    <w:rsid w:val="60C9425E"/>
    <w:rsid w:val="60D376BA"/>
    <w:rsid w:val="60DE6B61"/>
    <w:rsid w:val="60DF59BB"/>
    <w:rsid w:val="60E750C3"/>
    <w:rsid w:val="60ED1D05"/>
    <w:rsid w:val="60FF6129"/>
    <w:rsid w:val="61014D96"/>
    <w:rsid w:val="61061BA6"/>
    <w:rsid w:val="61176EE7"/>
    <w:rsid w:val="6130324B"/>
    <w:rsid w:val="614457D6"/>
    <w:rsid w:val="61471E39"/>
    <w:rsid w:val="61561BDD"/>
    <w:rsid w:val="61684063"/>
    <w:rsid w:val="61706C21"/>
    <w:rsid w:val="61736CA9"/>
    <w:rsid w:val="61813521"/>
    <w:rsid w:val="618970E5"/>
    <w:rsid w:val="618E7131"/>
    <w:rsid w:val="61A42FB4"/>
    <w:rsid w:val="61A8364C"/>
    <w:rsid w:val="61B3034C"/>
    <w:rsid w:val="61B32230"/>
    <w:rsid w:val="61DC0282"/>
    <w:rsid w:val="62031E6E"/>
    <w:rsid w:val="62356047"/>
    <w:rsid w:val="62395886"/>
    <w:rsid w:val="625F7EF3"/>
    <w:rsid w:val="6260107E"/>
    <w:rsid w:val="626C3AD2"/>
    <w:rsid w:val="62726C0F"/>
    <w:rsid w:val="627A10DE"/>
    <w:rsid w:val="627E2F39"/>
    <w:rsid w:val="627F48EE"/>
    <w:rsid w:val="62A36DC8"/>
    <w:rsid w:val="62A4151F"/>
    <w:rsid w:val="62AD2160"/>
    <w:rsid w:val="62AF07B1"/>
    <w:rsid w:val="62BD502E"/>
    <w:rsid w:val="62D056AB"/>
    <w:rsid w:val="62DF6F58"/>
    <w:rsid w:val="62DF7F84"/>
    <w:rsid w:val="62E17841"/>
    <w:rsid w:val="62E42B32"/>
    <w:rsid w:val="62F66C5A"/>
    <w:rsid w:val="62F93E29"/>
    <w:rsid w:val="63022E47"/>
    <w:rsid w:val="632C14B3"/>
    <w:rsid w:val="6331655A"/>
    <w:rsid w:val="63514256"/>
    <w:rsid w:val="63516234"/>
    <w:rsid w:val="63660AF8"/>
    <w:rsid w:val="63764F64"/>
    <w:rsid w:val="637E49AD"/>
    <w:rsid w:val="638569F4"/>
    <w:rsid w:val="638739F6"/>
    <w:rsid w:val="639F3732"/>
    <w:rsid w:val="63C0148B"/>
    <w:rsid w:val="63C93FBE"/>
    <w:rsid w:val="63CF5E53"/>
    <w:rsid w:val="63D72CBA"/>
    <w:rsid w:val="63DE69AC"/>
    <w:rsid w:val="63E02383"/>
    <w:rsid w:val="63FC3543"/>
    <w:rsid w:val="64177AD5"/>
    <w:rsid w:val="642148BB"/>
    <w:rsid w:val="643802EE"/>
    <w:rsid w:val="6448283B"/>
    <w:rsid w:val="64562104"/>
    <w:rsid w:val="64653759"/>
    <w:rsid w:val="646F05FD"/>
    <w:rsid w:val="64746749"/>
    <w:rsid w:val="647E0B22"/>
    <w:rsid w:val="64853361"/>
    <w:rsid w:val="648B0EAA"/>
    <w:rsid w:val="649B7207"/>
    <w:rsid w:val="64A07AA2"/>
    <w:rsid w:val="64A13643"/>
    <w:rsid w:val="64A335B4"/>
    <w:rsid w:val="64A50307"/>
    <w:rsid w:val="64A54380"/>
    <w:rsid w:val="64A55D36"/>
    <w:rsid w:val="64A66F47"/>
    <w:rsid w:val="64AC4D02"/>
    <w:rsid w:val="64CA49F3"/>
    <w:rsid w:val="64CB035E"/>
    <w:rsid w:val="64E22C89"/>
    <w:rsid w:val="64FE3ED8"/>
    <w:rsid w:val="65026BA0"/>
    <w:rsid w:val="65254B7D"/>
    <w:rsid w:val="65261425"/>
    <w:rsid w:val="65270A2D"/>
    <w:rsid w:val="653126DD"/>
    <w:rsid w:val="65500021"/>
    <w:rsid w:val="65554CF2"/>
    <w:rsid w:val="655B39D3"/>
    <w:rsid w:val="657751B4"/>
    <w:rsid w:val="657E6E81"/>
    <w:rsid w:val="658D448B"/>
    <w:rsid w:val="65954C67"/>
    <w:rsid w:val="65A84314"/>
    <w:rsid w:val="65AB24D7"/>
    <w:rsid w:val="65B20028"/>
    <w:rsid w:val="65C12BDE"/>
    <w:rsid w:val="65D324D6"/>
    <w:rsid w:val="65E40CA8"/>
    <w:rsid w:val="65E45739"/>
    <w:rsid w:val="65EF5CE1"/>
    <w:rsid w:val="660404C6"/>
    <w:rsid w:val="661904E0"/>
    <w:rsid w:val="66192421"/>
    <w:rsid w:val="661C7073"/>
    <w:rsid w:val="66310A20"/>
    <w:rsid w:val="66520752"/>
    <w:rsid w:val="6659462E"/>
    <w:rsid w:val="666D1E03"/>
    <w:rsid w:val="667967BE"/>
    <w:rsid w:val="66815672"/>
    <w:rsid w:val="66856BF5"/>
    <w:rsid w:val="66C10FAA"/>
    <w:rsid w:val="66C814F3"/>
    <w:rsid w:val="66C96E18"/>
    <w:rsid w:val="66DE03E4"/>
    <w:rsid w:val="66E67791"/>
    <w:rsid w:val="66FA2AD8"/>
    <w:rsid w:val="67145898"/>
    <w:rsid w:val="6729763B"/>
    <w:rsid w:val="672B6D3E"/>
    <w:rsid w:val="674A0FC0"/>
    <w:rsid w:val="6753700F"/>
    <w:rsid w:val="6755677A"/>
    <w:rsid w:val="675D568B"/>
    <w:rsid w:val="6777502A"/>
    <w:rsid w:val="678127D9"/>
    <w:rsid w:val="678131BA"/>
    <w:rsid w:val="678618E3"/>
    <w:rsid w:val="67894558"/>
    <w:rsid w:val="67A64922"/>
    <w:rsid w:val="67A94F4C"/>
    <w:rsid w:val="67BD3370"/>
    <w:rsid w:val="67CD752C"/>
    <w:rsid w:val="67D11217"/>
    <w:rsid w:val="67D751E9"/>
    <w:rsid w:val="67E0356A"/>
    <w:rsid w:val="67E870BE"/>
    <w:rsid w:val="67EE032A"/>
    <w:rsid w:val="67F23F9A"/>
    <w:rsid w:val="67F32432"/>
    <w:rsid w:val="68110987"/>
    <w:rsid w:val="682C260C"/>
    <w:rsid w:val="682C60B1"/>
    <w:rsid w:val="683F6A41"/>
    <w:rsid w:val="684F48FD"/>
    <w:rsid w:val="686F2762"/>
    <w:rsid w:val="687875DB"/>
    <w:rsid w:val="687B2025"/>
    <w:rsid w:val="68907DEF"/>
    <w:rsid w:val="68925915"/>
    <w:rsid w:val="68AE6D93"/>
    <w:rsid w:val="68B7230A"/>
    <w:rsid w:val="68D56032"/>
    <w:rsid w:val="68DA3579"/>
    <w:rsid w:val="68E80D06"/>
    <w:rsid w:val="68EB7ABC"/>
    <w:rsid w:val="68F3344C"/>
    <w:rsid w:val="68FA126D"/>
    <w:rsid w:val="68FE0797"/>
    <w:rsid w:val="69086D1C"/>
    <w:rsid w:val="69156B2E"/>
    <w:rsid w:val="691B39EB"/>
    <w:rsid w:val="69282F1F"/>
    <w:rsid w:val="694E3952"/>
    <w:rsid w:val="695A6EA6"/>
    <w:rsid w:val="69641195"/>
    <w:rsid w:val="696C260A"/>
    <w:rsid w:val="698A0D67"/>
    <w:rsid w:val="699636E2"/>
    <w:rsid w:val="69991952"/>
    <w:rsid w:val="69B32893"/>
    <w:rsid w:val="69C6464B"/>
    <w:rsid w:val="69E14647"/>
    <w:rsid w:val="69EC0E58"/>
    <w:rsid w:val="69F308DD"/>
    <w:rsid w:val="69F45014"/>
    <w:rsid w:val="6A1341FD"/>
    <w:rsid w:val="6A2D67DA"/>
    <w:rsid w:val="6A49294B"/>
    <w:rsid w:val="6A593682"/>
    <w:rsid w:val="6A5D6634"/>
    <w:rsid w:val="6A704F19"/>
    <w:rsid w:val="6A750417"/>
    <w:rsid w:val="6AB826E5"/>
    <w:rsid w:val="6ABC1B90"/>
    <w:rsid w:val="6AC66A6D"/>
    <w:rsid w:val="6AD57BEE"/>
    <w:rsid w:val="6AE73083"/>
    <w:rsid w:val="6AFB638B"/>
    <w:rsid w:val="6B005B4C"/>
    <w:rsid w:val="6B195F5E"/>
    <w:rsid w:val="6B1A1AC1"/>
    <w:rsid w:val="6B27024C"/>
    <w:rsid w:val="6B286E99"/>
    <w:rsid w:val="6B323514"/>
    <w:rsid w:val="6B3F3142"/>
    <w:rsid w:val="6B4A5CE7"/>
    <w:rsid w:val="6B4D2289"/>
    <w:rsid w:val="6B510BFA"/>
    <w:rsid w:val="6B5878BC"/>
    <w:rsid w:val="6B672E75"/>
    <w:rsid w:val="6B6C1C06"/>
    <w:rsid w:val="6B7063BA"/>
    <w:rsid w:val="6B822625"/>
    <w:rsid w:val="6B8A2D5E"/>
    <w:rsid w:val="6BCB7ABB"/>
    <w:rsid w:val="6C035EE4"/>
    <w:rsid w:val="6C0726FA"/>
    <w:rsid w:val="6C2017B1"/>
    <w:rsid w:val="6C216AE5"/>
    <w:rsid w:val="6C473C3C"/>
    <w:rsid w:val="6C474A32"/>
    <w:rsid w:val="6C495B03"/>
    <w:rsid w:val="6C4F762E"/>
    <w:rsid w:val="6C561048"/>
    <w:rsid w:val="6C8C190A"/>
    <w:rsid w:val="6C9872EB"/>
    <w:rsid w:val="6CAD2335"/>
    <w:rsid w:val="6CBB4393"/>
    <w:rsid w:val="6CBC5F45"/>
    <w:rsid w:val="6CC26A8C"/>
    <w:rsid w:val="6D02572A"/>
    <w:rsid w:val="6D135F70"/>
    <w:rsid w:val="6D1E4EB1"/>
    <w:rsid w:val="6D2D0346"/>
    <w:rsid w:val="6D2E23EC"/>
    <w:rsid w:val="6D443E48"/>
    <w:rsid w:val="6D453755"/>
    <w:rsid w:val="6D4B5932"/>
    <w:rsid w:val="6D80377B"/>
    <w:rsid w:val="6D8C327A"/>
    <w:rsid w:val="6D8F1E73"/>
    <w:rsid w:val="6DA92893"/>
    <w:rsid w:val="6DAB4392"/>
    <w:rsid w:val="6DB21CB6"/>
    <w:rsid w:val="6DC33DE6"/>
    <w:rsid w:val="6DC74F9B"/>
    <w:rsid w:val="6DD104F8"/>
    <w:rsid w:val="6DD421AE"/>
    <w:rsid w:val="6DE44A7F"/>
    <w:rsid w:val="6E054DDB"/>
    <w:rsid w:val="6E056B89"/>
    <w:rsid w:val="6E086B91"/>
    <w:rsid w:val="6E0A3A02"/>
    <w:rsid w:val="6E133DC7"/>
    <w:rsid w:val="6E34452A"/>
    <w:rsid w:val="6E360575"/>
    <w:rsid w:val="6E3E39E4"/>
    <w:rsid w:val="6E650C7A"/>
    <w:rsid w:val="6E7656F6"/>
    <w:rsid w:val="6E7C2320"/>
    <w:rsid w:val="6E865F1C"/>
    <w:rsid w:val="6E892CE9"/>
    <w:rsid w:val="6E9F4019"/>
    <w:rsid w:val="6EA760B2"/>
    <w:rsid w:val="6EB84D1B"/>
    <w:rsid w:val="6EC06D60"/>
    <w:rsid w:val="6ECE19F3"/>
    <w:rsid w:val="6ED00F12"/>
    <w:rsid w:val="6EDC5B3C"/>
    <w:rsid w:val="6EE82732"/>
    <w:rsid w:val="6EEC4A7D"/>
    <w:rsid w:val="6EFB226A"/>
    <w:rsid w:val="6F203155"/>
    <w:rsid w:val="6F4D24E7"/>
    <w:rsid w:val="6F4E701D"/>
    <w:rsid w:val="6F56531B"/>
    <w:rsid w:val="6FA97229"/>
    <w:rsid w:val="6FAC6952"/>
    <w:rsid w:val="6FAE5A25"/>
    <w:rsid w:val="6FB00B3E"/>
    <w:rsid w:val="6FB822FE"/>
    <w:rsid w:val="6FB96EE5"/>
    <w:rsid w:val="6FEE6B24"/>
    <w:rsid w:val="6FF06302"/>
    <w:rsid w:val="6FFC1E95"/>
    <w:rsid w:val="70004A37"/>
    <w:rsid w:val="70145815"/>
    <w:rsid w:val="7016507D"/>
    <w:rsid w:val="70193687"/>
    <w:rsid w:val="70224881"/>
    <w:rsid w:val="702E0619"/>
    <w:rsid w:val="70451769"/>
    <w:rsid w:val="70696B18"/>
    <w:rsid w:val="706B600D"/>
    <w:rsid w:val="706C1141"/>
    <w:rsid w:val="706F4FF5"/>
    <w:rsid w:val="707F6C32"/>
    <w:rsid w:val="709D1CA5"/>
    <w:rsid w:val="70BF1AFC"/>
    <w:rsid w:val="70DA523A"/>
    <w:rsid w:val="70DF1913"/>
    <w:rsid w:val="70F824DD"/>
    <w:rsid w:val="71066EA0"/>
    <w:rsid w:val="711204C3"/>
    <w:rsid w:val="71163705"/>
    <w:rsid w:val="71285DE2"/>
    <w:rsid w:val="712F63E6"/>
    <w:rsid w:val="71455D64"/>
    <w:rsid w:val="71595041"/>
    <w:rsid w:val="715B32AD"/>
    <w:rsid w:val="716464AF"/>
    <w:rsid w:val="716A5681"/>
    <w:rsid w:val="716B13F9"/>
    <w:rsid w:val="717604C9"/>
    <w:rsid w:val="71763D26"/>
    <w:rsid w:val="719B7F30"/>
    <w:rsid w:val="71A035E4"/>
    <w:rsid w:val="71AA7A2E"/>
    <w:rsid w:val="720F175F"/>
    <w:rsid w:val="722303A6"/>
    <w:rsid w:val="72644A41"/>
    <w:rsid w:val="726D024C"/>
    <w:rsid w:val="728C0282"/>
    <w:rsid w:val="728F7B9B"/>
    <w:rsid w:val="72992E34"/>
    <w:rsid w:val="729B3D29"/>
    <w:rsid w:val="72A1635F"/>
    <w:rsid w:val="72AE13F3"/>
    <w:rsid w:val="72B721FA"/>
    <w:rsid w:val="72C9287B"/>
    <w:rsid w:val="72C94DF5"/>
    <w:rsid w:val="72CC6D61"/>
    <w:rsid w:val="72CD6775"/>
    <w:rsid w:val="72D412E5"/>
    <w:rsid w:val="72DA63F8"/>
    <w:rsid w:val="72DF2BDC"/>
    <w:rsid w:val="72E54C89"/>
    <w:rsid w:val="72F06005"/>
    <w:rsid w:val="72FB0609"/>
    <w:rsid w:val="730A4ECD"/>
    <w:rsid w:val="731461E4"/>
    <w:rsid w:val="73190E04"/>
    <w:rsid w:val="734931B7"/>
    <w:rsid w:val="735633C3"/>
    <w:rsid w:val="735C21F1"/>
    <w:rsid w:val="735D6F11"/>
    <w:rsid w:val="737B7E1C"/>
    <w:rsid w:val="737E6143"/>
    <w:rsid w:val="73822284"/>
    <w:rsid w:val="7386464D"/>
    <w:rsid w:val="738E1CBC"/>
    <w:rsid w:val="739F08C2"/>
    <w:rsid w:val="73C80378"/>
    <w:rsid w:val="73DD3416"/>
    <w:rsid w:val="7404270E"/>
    <w:rsid w:val="740A778C"/>
    <w:rsid w:val="740B489F"/>
    <w:rsid w:val="741B7106"/>
    <w:rsid w:val="742449DF"/>
    <w:rsid w:val="74320F36"/>
    <w:rsid w:val="7433327B"/>
    <w:rsid w:val="74374FD2"/>
    <w:rsid w:val="743E6263"/>
    <w:rsid w:val="74471CA9"/>
    <w:rsid w:val="744828CF"/>
    <w:rsid w:val="745C74DD"/>
    <w:rsid w:val="74653C7B"/>
    <w:rsid w:val="746E6A74"/>
    <w:rsid w:val="747607E0"/>
    <w:rsid w:val="74872C81"/>
    <w:rsid w:val="7488077B"/>
    <w:rsid w:val="74946551"/>
    <w:rsid w:val="74AB4D71"/>
    <w:rsid w:val="74EF0C65"/>
    <w:rsid w:val="74F9415D"/>
    <w:rsid w:val="74FB44DA"/>
    <w:rsid w:val="75235CC8"/>
    <w:rsid w:val="753F3906"/>
    <w:rsid w:val="755C374C"/>
    <w:rsid w:val="75755E22"/>
    <w:rsid w:val="758B15F3"/>
    <w:rsid w:val="759A6122"/>
    <w:rsid w:val="75B855F0"/>
    <w:rsid w:val="75C82341"/>
    <w:rsid w:val="75D705D5"/>
    <w:rsid w:val="75DD2979"/>
    <w:rsid w:val="75DF329A"/>
    <w:rsid w:val="75E2004B"/>
    <w:rsid w:val="75E65C18"/>
    <w:rsid w:val="75E94149"/>
    <w:rsid w:val="75F4329D"/>
    <w:rsid w:val="761B2481"/>
    <w:rsid w:val="762C2C4A"/>
    <w:rsid w:val="7639113B"/>
    <w:rsid w:val="765B6C60"/>
    <w:rsid w:val="766E7396"/>
    <w:rsid w:val="768D4E38"/>
    <w:rsid w:val="76B17FF0"/>
    <w:rsid w:val="76BE528D"/>
    <w:rsid w:val="76C47EB6"/>
    <w:rsid w:val="76D47A4A"/>
    <w:rsid w:val="76ED76A8"/>
    <w:rsid w:val="77024A53"/>
    <w:rsid w:val="77075425"/>
    <w:rsid w:val="77185723"/>
    <w:rsid w:val="77185B7F"/>
    <w:rsid w:val="77242EBC"/>
    <w:rsid w:val="7730259A"/>
    <w:rsid w:val="776A7D31"/>
    <w:rsid w:val="7774123D"/>
    <w:rsid w:val="778D0717"/>
    <w:rsid w:val="77A13816"/>
    <w:rsid w:val="77A1509D"/>
    <w:rsid w:val="77AB455C"/>
    <w:rsid w:val="77C23303"/>
    <w:rsid w:val="77DC2E91"/>
    <w:rsid w:val="77EF1647"/>
    <w:rsid w:val="781804CC"/>
    <w:rsid w:val="7823463F"/>
    <w:rsid w:val="78774540"/>
    <w:rsid w:val="78961451"/>
    <w:rsid w:val="789D458E"/>
    <w:rsid w:val="78A22A5F"/>
    <w:rsid w:val="78C74A2E"/>
    <w:rsid w:val="78D50A4B"/>
    <w:rsid w:val="78EB2F2B"/>
    <w:rsid w:val="78ED7923"/>
    <w:rsid w:val="78EF2314"/>
    <w:rsid w:val="78FB431C"/>
    <w:rsid w:val="79167E9C"/>
    <w:rsid w:val="791D5C40"/>
    <w:rsid w:val="792C0E31"/>
    <w:rsid w:val="79303A24"/>
    <w:rsid w:val="79320EEB"/>
    <w:rsid w:val="79367CDE"/>
    <w:rsid w:val="79394779"/>
    <w:rsid w:val="793F6537"/>
    <w:rsid w:val="794709FB"/>
    <w:rsid w:val="794762A8"/>
    <w:rsid w:val="794F4132"/>
    <w:rsid w:val="79582DD5"/>
    <w:rsid w:val="795C3B14"/>
    <w:rsid w:val="795D7F6C"/>
    <w:rsid w:val="796324AB"/>
    <w:rsid w:val="797846B3"/>
    <w:rsid w:val="797D3399"/>
    <w:rsid w:val="79B6434A"/>
    <w:rsid w:val="79BF6679"/>
    <w:rsid w:val="79C0491A"/>
    <w:rsid w:val="79D8186D"/>
    <w:rsid w:val="79D85D05"/>
    <w:rsid w:val="7A002417"/>
    <w:rsid w:val="7A130D12"/>
    <w:rsid w:val="7A173ECC"/>
    <w:rsid w:val="7A296460"/>
    <w:rsid w:val="7A3E1684"/>
    <w:rsid w:val="7A4153ED"/>
    <w:rsid w:val="7A523156"/>
    <w:rsid w:val="7A8F1CF2"/>
    <w:rsid w:val="7AAB456B"/>
    <w:rsid w:val="7ABB2C6E"/>
    <w:rsid w:val="7ABB61CC"/>
    <w:rsid w:val="7ABD2CC5"/>
    <w:rsid w:val="7AC51B7A"/>
    <w:rsid w:val="7AE64082"/>
    <w:rsid w:val="7AE678F9"/>
    <w:rsid w:val="7AEC2086"/>
    <w:rsid w:val="7B15666E"/>
    <w:rsid w:val="7B18614D"/>
    <w:rsid w:val="7B1F6A9C"/>
    <w:rsid w:val="7B2B51A4"/>
    <w:rsid w:val="7B2D62A6"/>
    <w:rsid w:val="7B301819"/>
    <w:rsid w:val="7B3D3E06"/>
    <w:rsid w:val="7B4614CE"/>
    <w:rsid w:val="7B541D66"/>
    <w:rsid w:val="7B5B3330"/>
    <w:rsid w:val="7B605044"/>
    <w:rsid w:val="7B68051B"/>
    <w:rsid w:val="7B6D1DBE"/>
    <w:rsid w:val="7B950D1B"/>
    <w:rsid w:val="7BB82541"/>
    <w:rsid w:val="7BB93E9E"/>
    <w:rsid w:val="7BC9163E"/>
    <w:rsid w:val="7BCA3CA3"/>
    <w:rsid w:val="7BCE7A19"/>
    <w:rsid w:val="7BDE0FB9"/>
    <w:rsid w:val="7BE13F9D"/>
    <w:rsid w:val="7BE219A5"/>
    <w:rsid w:val="7BE67FFA"/>
    <w:rsid w:val="7BF66D82"/>
    <w:rsid w:val="7C0602AF"/>
    <w:rsid w:val="7C0A46A1"/>
    <w:rsid w:val="7C1E3C37"/>
    <w:rsid w:val="7C1F352E"/>
    <w:rsid w:val="7C220001"/>
    <w:rsid w:val="7C2A5990"/>
    <w:rsid w:val="7C396CCF"/>
    <w:rsid w:val="7C63789C"/>
    <w:rsid w:val="7C645794"/>
    <w:rsid w:val="7C85644F"/>
    <w:rsid w:val="7C9D5474"/>
    <w:rsid w:val="7C9E71B5"/>
    <w:rsid w:val="7CCB20BA"/>
    <w:rsid w:val="7CEC167B"/>
    <w:rsid w:val="7CF27A3E"/>
    <w:rsid w:val="7D0211AE"/>
    <w:rsid w:val="7D090B29"/>
    <w:rsid w:val="7D0A0B7B"/>
    <w:rsid w:val="7D1D60EA"/>
    <w:rsid w:val="7D3249D2"/>
    <w:rsid w:val="7D48334D"/>
    <w:rsid w:val="7D583FF4"/>
    <w:rsid w:val="7D6671F5"/>
    <w:rsid w:val="7D7C53CD"/>
    <w:rsid w:val="7D826FFC"/>
    <w:rsid w:val="7D831032"/>
    <w:rsid w:val="7D852672"/>
    <w:rsid w:val="7D8D44D5"/>
    <w:rsid w:val="7D9F2B56"/>
    <w:rsid w:val="7DB712AF"/>
    <w:rsid w:val="7DC0777E"/>
    <w:rsid w:val="7DDF4B26"/>
    <w:rsid w:val="7DE20C95"/>
    <w:rsid w:val="7E0D3734"/>
    <w:rsid w:val="7E195701"/>
    <w:rsid w:val="7E2331BA"/>
    <w:rsid w:val="7E2D46B0"/>
    <w:rsid w:val="7E37676D"/>
    <w:rsid w:val="7E416C4B"/>
    <w:rsid w:val="7E4A75BA"/>
    <w:rsid w:val="7E5A6A7D"/>
    <w:rsid w:val="7E5E42E0"/>
    <w:rsid w:val="7E5F0EBC"/>
    <w:rsid w:val="7E637C3B"/>
    <w:rsid w:val="7E6F1B20"/>
    <w:rsid w:val="7E81304E"/>
    <w:rsid w:val="7E873EFC"/>
    <w:rsid w:val="7E8915D1"/>
    <w:rsid w:val="7EA30424"/>
    <w:rsid w:val="7EA41C6D"/>
    <w:rsid w:val="7ECE6E95"/>
    <w:rsid w:val="7EFA2227"/>
    <w:rsid w:val="7F05783B"/>
    <w:rsid w:val="7F09178D"/>
    <w:rsid w:val="7F1628AB"/>
    <w:rsid w:val="7F17671C"/>
    <w:rsid w:val="7F7917BB"/>
    <w:rsid w:val="7F7E0444"/>
    <w:rsid w:val="7F7E54A5"/>
    <w:rsid w:val="7F84355C"/>
    <w:rsid w:val="7F91198B"/>
    <w:rsid w:val="7F971731"/>
    <w:rsid w:val="7F9C16E1"/>
    <w:rsid w:val="7FA0614C"/>
    <w:rsid w:val="7FB404FE"/>
    <w:rsid w:val="7FB90B63"/>
    <w:rsid w:val="7FBD3613"/>
    <w:rsid w:val="7FBE2E78"/>
    <w:rsid w:val="7FC95C80"/>
    <w:rsid w:val="7FEA2B76"/>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5">
    <w:name w:val="heading 1"/>
    <w:basedOn w:val="1"/>
    <w:next w:val="1"/>
    <w:qFormat/>
    <w:uiPriority w:val="99"/>
    <w:pPr>
      <w:keepNext/>
      <w:pageBreakBefore/>
      <w:widowControl/>
      <w:numPr>
        <w:ilvl w:val="0"/>
        <w:numId w:val="1"/>
      </w:numPr>
      <w:spacing w:before="240" w:after="120"/>
      <w:jc w:val="left"/>
      <w:outlineLvl w:val="0"/>
    </w:pPr>
    <w:rPr>
      <w:b/>
      <w:bCs/>
      <w:kern w:val="44"/>
      <w:sz w:val="44"/>
      <w:szCs w:val="44"/>
    </w:rPr>
  </w:style>
  <w:style w:type="paragraph" w:styleId="6">
    <w:name w:val="heading 2"/>
    <w:basedOn w:val="1"/>
    <w:next w:val="1"/>
    <w:autoRedefine/>
    <w:qFormat/>
    <w:uiPriority w:val="0"/>
    <w:pPr>
      <w:keepNext/>
      <w:keepLines/>
      <w:tabs>
        <w:tab w:val="left" w:pos="720"/>
      </w:tabs>
      <w:spacing w:before="260" w:after="260" w:line="415" w:lineRule="auto"/>
      <w:outlineLvl w:val="1"/>
    </w:pPr>
    <w:rPr>
      <w:rFonts w:ascii="Arial" w:hAnsi="Arial" w:eastAsia="黑体" w:cs="Arial"/>
      <w:sz w:val="32"/>
      <w:szCs w:val="32"/>
    </w:rPr>
  </w:style>
  <w:style w:type="paragraph" w:styleId="7">
    <w:name w:val="heading 3"/>
    <w:basedOn w:val="1"/>
    <w:next w:val="1"/>
    <w:link w:val="46"/>
    <w:autoRedefine/>
    <w:unhideWhenUsed/>
    <w:qFormat/>
    <w:uiPriority w:val="0"/>
    <w:pPr>
      <w:keepNext/>
      <w:keepLines/>
      <w:numPr>
        <w:ilvl w:val="2"/>
        <w:numId w:val="2"/>
      </w:numPr>
      <w:spacing w:line="416" w:lineRule="auto"/>
      <w:outlineLvl w:val="2"/>
    </w:pPr>
    <w:rPr>
      <w:b/>
      <w:bCs/>
      <w:sz w:val="32"/>
      <w:szCs w:val="32"/>
    </w:rPr>
  </w:style>
  <w:style w:type="paragraph" w:styleId="8">
    <w:name w:val="heading 4"/>
    <w:basedOn w:val="1"/>
    <w:next w:val="1"/>
    <w:autoRedefine/>
    <w:unhideWhenUsed/>
    <w:qFormat/>
    <w:uiPriority w:val="9"/>
    <w:pPr>
      <w:keepNext/>
      <w:keepLines/>
      <w:spacing w:before="120" w:after="120" w:line="360" w:lineRule="auto"/>
      <w:outlineLvl w:val="3"/>
    </w:pPr>
    <w:rPr>
      <w:rFonts w:eastAsia="宋体" w:asciiTheme="majorHAnsi" w:hAnsiTheme="majorHAnsi" w:cstheme="majorBidi"/>
      <w:b/>
      <w:bCs/>
      <w:sz w:val="28"/>
      <w:szCs w:val="28"/>
    </w:rPr>
  </w:style>
  <w:style w:type="paragraph" w:styleId="9">
    <w:name w:val="heading 5"/>
    <w:basedOn w:val="1"/>
    <w:next w:val="1"/>
    <w:autoRedefine/>
    <w:unhideWhenUsed/>
    <w:qFormat/>
    <w:uiPriority w:val="9"/>
    <w:pPr>
      <w:keepNext/>
      <w:keepLines/>
      <w:spacing w:line="360" w:lineRule="auto"/>
      <w:outlineLvl w:val="4"/>
    </w:pPr>
    <w:rPr>
      <w:rFonts w:eastAsia="宋体" w:asciiTheme="minorHAnsi" w:hAnsiTheme="minorHAnsi"/>
      <w:sz w:val="28"/>
    </w:rPr>
  </w:style>
  <w:style w:type="paragraph" w:styleId="10">
    <w:name w:val="heading 6"/>
    <w:basedOn w:val="1"/>
    <w:next w:val="1"/>
    <w:autoRedefine/>
    <w:semiHidden/>
    <w:unhideWhenUsed/>
    <w:qFormat/>
    <w:uiPriority w:val="0"/>
    <w:pPr>
      <w:spacing w:line="17" w:lineRule="atLeast"/>
      <w:jc w:val="left"/>
      <w:outlineLvl w:val="5"/>
    </w:pPr>
    <w:rPr>
      <w:rFonts w:hint="eastAsia" w:ascii="宋体" w:hAnsi="宋体" w:eastAsia="宋体" w:cs="Times New Roman"/>
      <w:b/>
      <w:color w:val="333333"/>
      <w:kern w:val="0"/>
      <w:sz w:val="18"/>
      <w:szCs w:val="1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Body Text First Indent"/>
    <w:basedOn w:val="2"/>
    <w:next w:val="4"/>
    <w:autoRedefine/>
    <w:qFormat/>
    <w:uiPriority w:val="0"/>
    <w:pPr>
      <w:spacing w:line="312" w:lineRule="auto"/>
      <w:ind w:firstLine="420"/>
    </w:pPr>
  </w:style>
  <w:style w:type="paragraph" w:styleId="4">
    <w:name w:val="toc 6"/>
    <w:basedOn w:val="1"/>
    <w:next w:val="1"/>
    <w:autoRedefine/>
    <w:qFormat/>
    <w:uiPriority w:val="0"/>
    <w:pPr>
      <w:ind w:left="1050"/>
      <w:jc w:val="left"/>
    </w:pPr>
    <w:rPr>
      <w:rFonts w:ascii="Century Gothic" w:hAnsi="Century Gothic"/>
      <w:sz w:val="18"/>
      <w:szCs w:val="18"/>
    </w:rPr>
  </w:style>
  <w:style w:type="paragraph" w:styleId="11">
    <w:name w:val="List Number 2"/>
    <w:basedOn w:val="1"/>
    <w:autoRedefine/>
    <w:semiHidden/>
    <w:unhideWhenUsed/>
    <w:qFormat/>
    <w:uiPriority w:val="0"/>
    <w:pPr>
      <w:numPr>
        <w:ilvl w:val="0"/>
        <w:numId w:val="3"/>
      </w:numPr>
    </w:pPr>
  </w:style>
  <w:style w:type="paragraph" w:styleId="12">
    <w:name w:val="table of authorities"/>
    <w:basedOn w:val="1"/>
    <w:next w:val="1"/>
    <w:autoRedefine/>
    <w:qFormat/>
    <w:uiPriority w:val="0"/>
    <w:pPr>
      <w:ind w:left="420" w:leftChars="200"/>
    </w:pPr>
  </w:style>
  <w:style w:type="paragraph" w:styleId="13">
    <w:name w:val="Normal Indent"/>
    <w:basedOn w:val="1"/>
    <w:next w:val="1"/>
    <w:autoRedefine/>
    <w:qFormat/>
    <w:uiPriority w:val="0"/>
    <w:pPr>
      <w:ind w:firstLine="420" w:firstLineChars="200"/>
    </w:pPr>
    <w:rPr>
      <w:rFonts w:ascii="Calibri" w:hAnsi="Calibri"/>
    </w:rPr>
  </w:style>
  <w:style w:type="paragraph" w:styleId="14">
    <w:name w:val="annotation text"/>
    <w:basedOn w:val="1"/>
    <w:link w:val="107"/>
    <w:autoRedefine/>
    <w:unhideWhenUsed/>
    <w:qFormat/>
    <w:uiPriority w:val="99"/>
    <w:pPr>
      <w:jc w:val="left"/>
    </w:pPr>
  </w:style>
  <w:style w:type="paragraph" w:styleId="15">
    <w:name w:val="Body Text Indent"/>
    <w:basedOn w:val="1"/>
    <w:autoRedefine/>
    <w:qFormat/>
    <w:uiPriority w:val="99"/>
    <w:pPr>
      <w:ind w:left="420" w:leftChars="200"/>
    </w:pPr>
    <w:rPr>
      <w:kern w:val="0"/>
      <w:sz w:val="20"/>
      <w:szCs w:val="20"/>
    </w:rPr>
  </w:style>
  <w:style w:type="paragraph" w:styleId="16">
    <w:name w:val="Plain Text"/>
    <w:basedOn w:val="1"/>
    <w:next w:val="1"/>
    <w:link w:val="59"/>
    <w:autoRedefine/>
    <w:qFormat/>
    <w:uiPriority w:val="0"/>
    <w:rPr>
      <w:rFonts w:ascii="宋体" w:hAnsi="Courier New"/>
      <w:szCs w:val="20"/>
    </w:rPr>
  </w:style>
  <w:style w:type="paragraph" w:styleId="17">
    <w:name w:val="Date"/>
    <w:basedOn w:val="1"/>
    <w:next w:val="1"/>
    <w:autoRedefine/>
    <w:qFormat/>
    <w:uiPriority w:val="0"/>
    <w:pPr>
      <w:ind w:left="100" w:leftChars="2500"/>
    </w:pPr>
    <w:rPr>
      <w:szCs w:val="20"/>
    </w:rPr>
  </w:style>
  <w:style w:type="paragraph" w:styleId="18">
    <w:name w:val="Body Text Indent 2"/>
    <w:basedOn w:val="1"/>
    <w:link w:val="60"/>
    <w:autoRedefine/>
    <w:qFormat/>
    <w:uiPriority w:val="0"/>
    <w:pPr>
      <w:widowControl/>
      <w:spacing w:line="480" w:lineRule="atLeast"/>
      <w:ind w:firstLine="480"/>
    </w:pPr>
    <w:rPr>
      <w:rFonts w:ascii="宋体" w:hAnsi="Calibri"/>
      <w:kern w:val="0"/>
      <w:sz w:val="24"/>
      <w:szCs w:val="20"/>
    </w:rPr>
  </w:style>
  <w:style w:type="paragraph" w:styleId="19">
    <w:name w:val="Balloon Text"/>
    <w:basedOn w:val="1"/>
    <w:link w:val="61"/>
    <w:autoRedefine/>
    <w:qFormat/>
    <w:uiPriority w:val="0"/>
    <w:rPr>
      <w:sz w:val="18"/>
      <w:szCs w:val="18"/>
    </w:rPr>
  </w:style>
  <w:style w:type="paragraph" w:styleId="20">
    <w:name w:val="footer"/>
    <w:basedOn w:val="1"/>
    <w:link w:val="58"/>
    <w:autoRedefine/>
    <w:unhideWhenUsed/>
    <w:qFormat/>
    <w:uiPriority w:val="0"/>
    <w:pPr>
      <w:tabs>
        <w:tab w:val="center" w:pos="4153"/>
        <w:tab w:val="right" w:pos="8306"/>
      </w:tabs>
      <w:snapToGrid w:val="0"/>
      <w:jc w:val="left"/>
    </w:pPr>
    <w:rPr>
      <w:sz w:val="18"/>
      <w:szCs w:val="18"/>
    </w:rPr>
  </w:style>
  <w:style w:type="paragraph" w:styleId="21">
    <w:name w:val="header"/>
    <w:basedOn w:val="1"/>
    <w:link w:val="5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pPr>
      <w:spacing w:before="120" w:after="120"/>
      <w:jc w:val="left"/>
    </w:pPr>
    <w:rPr>
      <w:rFonts w:ascii="Century Gothic" w:hAnsi="Century Gothic"/>
      <w:b/>
      <w:bCs/>
      <w:caps/>
      <w:sz w:val="20"/>
      <w:szCs w:val="20"/>
    </w:rPr>
  </w:style>
  <w:style w:type="paragraph" w:styleId="23">
    <w:name w:val="Body Text Indent 3"/>
    <w:basedOn w:val="1"/>
    <w:link w:val="62"/>
    <w:autoRedefine/>
    <w:qFormat/>
    <w:uiPriority w:val="0"/>
    <w:pPr>
      <w:autoSpaceDE w:val="0"/>
      <w:autoSpaceDN w:val="0"/>
      <w:spacing w:line="400" w:lineRule="atLeast"/>
      <w:ind w:firstLine="443" w:firstLineChars="200"/>
      <w:textAlignment w:val="bottom"/>
    </w:pPr>
    <w:rPr>
      <w:rFonts w:ascii="Calibri" w:hAnsi="Calibri" w:eastAsia="黑体"/>
      <w:color w:val="000000"/>
      <w:sz w:val="24"/>
    </w:rPr>
  </w:style>
  <w:style w:type="paragraph" w:styleId="24">
    <w:name w:val="toc 2"/>
    <w:basedOn w:val="1"/>
    <w:next w:val="1"/>
    <w:autoRedefine/>
    <w:qFormat/>
    <w:uiPriority w:val="0"/>
    <w:pPr>
      <w:ind w:left="210"/>
      <w:jc w:val="left"/>
    </w:pPr>
    <w:rPr>
      <w:rFonts w:ascii="Times New Roman" w:hAnsi="Times New Roman" w:eastAsia="宋体" w:cs="Times New Roman"/>
      <w:smallCaps/>
      <w:sz w:val="20"/>
    </w:rPr>
  </w:style>
  <w:style w:type="paragraph" w:styleId="25">
    <w:name w:val="Normal (Web)"/>
    <w:basedOn w:val="1"/>
    <w:autoRedefine/>
    <w:qFormat/>
    <w:uiPriority w:val="99"/>
    <w:pPr>
      <w:spacing w:beforeAutospacing="1" w:afterAutospacing="1"/>
      <w:jc w:val="left"/>
    </w:pPr>
    <w:rPr>
      <w:rFonts w:cs="Times New Roman"/>
      <w:kern w:val="0"/>
      <w:sz w:val="24"/>
    </w:rPr>
  </w:style>
  <w:style w:type="paragraph" w:styleId="26">
    <w:name w:val="index 1"/>
    <w:next w:val="1"/>
    <w:qFormat/>
    <w:uiPriority w:val="0"/>
    <w:pPr>
      <w:widowControl w:val="0"/>
      <w:spacing w:line="220" w:lineRule="exact"/>
      <w:jc w:val="center"/>
    </w:pPr>
    <w:rPr>
      <w:rFonts w:ascii="仿宋_GB2312" w:hAnsi="Times New Roman" w:eastAsia="仿宋_GB2312" w:cs="Times New Roman"/>
      <w:kern w:val="2"/>
      <w:sz w:val="21"/>
      <w:szCs w:val="21"/>
      <w:lang w:val="en-US" w:eastAsia="zh-CN" w:bidi="ar-SA"/>
    </w:rPr>
  </w:style>
  <w:style w:type="paragraph" w:styleId="27">
    <w:name w:val="Title"/>
    <w:basedOn w:val="1"/>
    <w:next w:val="1"/>
    <w:autoRedefine/>
    <w:qFormat/>
    <w:uiPriority w:val="0"/>
    <w:pPr>
      <w:jc w:val="center"/>
      <w:outlineLvl w:val="0"/>
    </w:pPr>
    <w:rPr>
      <w:rFonts w:ascii="Cambria" w:hAnsi="Cambria"/>
      <w:b/>
      <w:bCs/>
      <w:kern w:val="0"/>
      <w:sz w:val="32"/>
      <w:szCs w:val="32"/>
    </w:rPr>
  </w:style>
  <w:style w:type="paragraph" w:styleId="28">
    <w:name w:val="annotation subject"/>
    <w:basedOn w:val="14"/>
    <w:next w:val="14"/>
    <w:link w:val="108"/>
    <w:autoRedefine/>
    <w:semiHidden/>
    <w:unhideWhenUsed/>
    <w:qFormat/>
    <w:uiPriority w:val="0"/>
    <w:rPr>
      <w:b/>
      <w:bCs/>
    </w:rPr>
  </w:style>
  <w:style w:type="paragraph" w:styleId="29">
    <w:name w:val="Body Text First Indent 2"/>
    <w:basedOn w:val="15"/>
    <w:next w:val="1"/>
    <w:autoRedefine/>
    <w:unhideWhenUsed/>
    <w:qFormat/>
    <w:uiPriority w:val="99"/>
    <w:pPr>
      <w:ind w:firstLine="420" w:firstLineChars="200"/>
    </w:pPr>
  </w:style>
  <w:style w:type="table" w:styleId="31">
    <w:name w:val="Table Grid"/>
    <w:basedOn w:val="30"/>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style>
  <w:style w:type="character" w:styleId="34">
    <w:name w:val="FollowedHyperlink"/>
    <w:basedOn w:val="32"/>
    <w:autoRedefine/>
    <w:qFormat/>
    <w:uiPriority w:val="0"/>
    <w:rPr>
      <w:color w:val="4A4A4A"/>
      <w:u w:val="none"/>
    </w:rPr>
  </w:style>
  <w:style w:type="character" w:styleId="35">
    <w:name w:val="Emphasis"/>
    <w:basedOn w:val="32"/>
    <w:autoRedefine/>
    <w:qFormat/>
    <w:uiPriority w:val="0"/>
  </w:style>
  <w:style w:type="character" w:styleId="36">
    <w:name w:val="HTML Definition"/>
    <w:basedOn w:val="32"/>
    <w:autoRedefine/>
    <w:qFormat/>
    <w:uiPriority w:val="0"/>
  </w:style>
  <w:style w:type="character" w:styleId="37">
    <w:name w:val="HTML Typewriter"/>
    <w:basedOn w:val="32"/>
    <w:autoRedefine/>
    <w:qFormat/>
    <w:uiPriority w:val="0"/>
    <w:rPr>
      <w:rFonts w:hint="default" w:ascii="monospace" w:hAnsi="monospace" w:eastAsia="monospace" w:cs="monospace"/>
      <w:sz w:val="20"/>
    </w:rPr>
  </w:style>
  <w:style w:type="character" w:styleId="38">
    <w:name w:val="HTML Acronym"/>
    <w:basedOn w:val="32"/>
    <w:autoRedefine/>
    <w:qFormat/>
    <w:uiPriority w:val="0"/>
  </w:style>
  <w:style w:type="character" w:styleId="39">
    <w:name w:val="HTML Variable"/>
    <w:basedOn w:val="32"/>
    <w:autoRedefine/>
    <w:qFormat/>
    <w:uiPriority w:val="0"/>
  </w:style>
  <w:style w:type="character" w:styleId="40">
    <w:name w:val="Hyperlink"/>
    <w:basedOn w:val="32"/>
    <w:autoRedefine/>
    <w:qFormat/>
    <w:uiPriority w:val="99"/>
    <w:rPr>
      <w:rFonts w:cs="Times New Roman"/>
      <w:color w:val="0000FF"/>
      <w:u w:val="single"/>
    </w:rPr>
  </w:style>
  <w:style w:type="character" w:styleId="41">
    <w:name w:val="HTML Code"/>
    <w:basedOn w:val="32"/>
    <w:autoRedefine/>
    <w:qFormat/>
    <w:uiPriority w:val="0"/>
    <w:rPr>
      <w:rFonts w:hint="default" w:ascii="monospace" w:hAnsi="monospace" w:eastAsia="monospace" w:cs="monospace"/>
      <w:sz w:val="20"/>
    </w:rPr>
  </w:style>
  <w:style w:type="character" w:styleId="42">
    <w:name w:val="annotation reference"/>
    <w:basedOn w:val="32"/>
    <w:autoRedefine/>
    <w:semiHidden/>
    <w:unhideWhenUsed/>
    <w:qFormat/>
    <w:uiPriority w:val="0"/>
    <w:rPr>
      <w:sz w:val="21"/>
      <w:szCs w:val="21"/>
    </w:rPr>
  </w:style>
  <w:style w:type="character" w:styleId="43">
    <w:name w:val="HTML Cite"/>
    <w:basedOn w:val="32"/>
    <w:autoRedefine/>
    <w:qFormat/>
    <w:uiPriority w:val="0"/>
  </w:style>
  <w:style w:type="character" w:styleId="44">
    <w:name w:val="HTML Keyboard"/>
    <w:basedOn w:val="32"/>
    <w:autoRedefine/>
    <w:qFormat/>
    <w:uiPriority w:val="0"/>
    <w:rPr>
      <w:rFonts w:ascii="monospace" w:hAnsi="monospace" w:eastAsia="monospace" w:cs="monospace"/>
      <w:sz w:val="20"/>
    </w:rPr>
  </w:style>
  <w:style w:type="character" w:styleId="45">
    <w:name w:val="HTML Sample"/>
    <w:basedOn w:val="32"/>
    <w:autoRedefine/>
    <w:qFormat/>
    <w:uiPriority w:val="0"/>
    <w:rPr>
      <w:rFonts w:hint="default" w:ascii="monospace" w:hAnsi="monospace" w:eastAsia="monospace" w:cs="monospace"/>
    </w:rPr>
  </w:style>
  <w:style w:type="character" w:customStyle="1" w:styleId="46">
    <w:name w:val="标题 3 字符"/>
    <w:basedOn w:val="32"/>
    <w:link w:val="7"/>
    <w:autoRedefine/>
    <w:qFormat/>
    <w:uiPriority w:val="0"/>
    <w:rPr>
      <w:rFonts w:eastAsiaTheme="minorEastAsia" w:cstheme="minorBidi"/>
      <w:b/>
      <w:bCs/>
      <w:kern w:val="2"/>
      <w:sz w:val="32"/>
      <w:szCs w:val="32"/>
    </w:rPr>
  </w:style>
  <w:style w:type="paragraph" w:customStyle="1" w:styleId="47">
    <w:name w:val="表格文字"/>
    <w:basedOn w:val="16"/>
    <w:next w:val="2"/>
    <w:autoRedefine/>
    <w:qFormat/>
    <w:uiPriority w:val="0"/>
    <w:pPr>
      <w:jc w:val="left"/>
      <w:textAlignment w:val="top"/>
    </w:pPr>
    <w:rPr>
      <w:rFonts w:ascii="仿宋_GB2312" w:hAnsi="Calibri" w:eastAsia="宋体" w:cs="宋体"/>
      <w:b/>
      <w:color w:val="000000"/>
      <w:kern w:val="0"/>
      <w:sz w:val="18"/>
      <w:szCs w:val="21"/>
    </w:rPr>
  </w:style>
  <w:style w:type="paragraph" w:customStyle="1" w:styleId="48">
    <w:name w:val="样式 表格正文 + 两端对齐"/>
    <w:basedOn w:val="1"/>
    <w:next w:val="49"/>
    <w:autoRedefine/>
    <w:qFormat/>
    <w:uiPriority w:val="0"/>
    <w:pPr>
      <w:spacing w:line="300" w:lineRule="auto"/>
    </w:pPr>
  </w:style>
  <w:style w:type="paragraph" w:customStyle="1" w:styleId="49">
    <w:name w:val="正文1"/>
    <w:next w:val="50"/>
    <w:autoRedefine/>
    <w:qFormat/>
    <w:uiPriority w:val="0"/>
    <w:pPr>
      <w:jc w:val="both"/>
    </w:pPr>
    <w:rPr>
      <w:rFonts w:ascii="Calibri" w:hAnsi="Calibri" w:eastAsia="宋体" w:cs="宋体"/>
      <w:kern w:val="2"/>
      <w:sz w:val="21"/>
      <w:szCs w:val="21"/>
      <w:lang w:val="en-US" w:eastAsia="zh-CN" w:bidi="ar-SA"/>
    </w:rPr>
  </w:style>
  <w:style w:type="paragraph" w:customStyle="1" w:styleId="50">
    <w:name w:val="自动更正"/>
    <w:next w:val="5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xl39"/>
    <w:basedOn w:val="1"/>
    <w:next w:val="52"/>
    <w:autoRedefine/>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color w:val="000000"/>
      <w:sz w:val="18"/>
      <w:szCs w:val="18"/>
    </w:rPr>
  </w:style>
  <w:style w:type="paragraph" w:customStyle="1" w:styleId="52">
    <w:name w:val="分手多日，近况如何？"/>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53">
    <w:name w:val="_Style 3"/>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Fließtext"/>
    <w:basedOn w:val="1"/>
    <w:autoRedefine/>
    <w:qFormat/>
    <w:uiPriority w:val="0"/>
    <w:pPr>
      <w:overflowPunct w:val="0"/>
      <w:autoSpaceDE w:val="0"/>
      <w:autoSpaceDN w:val="0"/>
      <w:adjustRightInd w:val="0"/>
      <w:textAlignment w:val="baseline"/>
    </w:pPr>
    <w:rPr>
      <w:kern w:val="28"/>
    </w:rPr>
  </w:style>
  <w:style w:type="paragraph" w:customStyle="1" w:styleId="55">
    <w:name w:val="表格文字（两侧对齐）"/>
    <w:basedOn w:val="1"/>
    <w:autoRedefine/>
    <w:qFormat/>
    <w:uiPriority w:val="0"/>
    <w:pPr>
      <w:snapToGrid w:val="0"/>
    </w:pPr>
    <w:rPr>
      <w:rFonts w:cs="Times New Roman"/>
      <w:sz w:val="20"/>
      <w:szCs w:val="20"/>
    </w:rPr>
  </w:style>
  <w:style w:type="paragraph" w:customStyle="1" w:styleId="56">
    <w:name w:val="_Style 1"/>
    <w:autoRedefine/>
    <w:qFormat/>
    <w:uiPriority w:val="99"/>
    <w:rPr>
      <w:rFonts w:ascii="Calibri" w:hAnsi="Calibri" w:eastAsia="宋体" w:cs="Times New Roman"/>
      <w:kern w:val="2"/>
      <w:sz w:val="28"/>
      <w:szCs w:val="22"/>
      <w:lang w:val="en-US" w:eastAsia="zh-CN" w:bidi="ar-SA"/>
    </w:rPr>
  </w:style>
  <w:style w:type="character" w:customStyle="1" w:styleId="57">
    <w:name w:val="页眉 字符"/>
    <w:basedOn w:val="32"/>
    <w:link w:val="21"/>
    <w:autoRedefine/>
    <w:qFormat/>
    <w:uiPriority w:val="0"/>
    <w:rPr>
      <w:kern w:val="2"/>
      <w:sz w:val="18"/>
      <w:szCs w:val="18"/>
    </w:rPr>
  </w:style>
  <w:style w:type="character" w:customStyle="1" w:styleId="58">
    <w:name w:val="页脚 字符"/>
    <w:basedOn w:val="32"/>
    <w:link w:val="20"/>
    <w:autoRedefine/>
    <w:qFormat/>
    <w:uiPriority w:val="0"/>
    <w:rPr>
      <w:kern w:val="2"/>
      <w:sz w:val="18"/>
      <w:szCs w:val="18"/>
    </w:rPr>
  </w:style>
  <w:style w:type="character" w:customStyle="1" w:styleId="59">
    <w:name w:val="纯文本 字符"/>
    <w:basedOn w:val="32"/>
    <w:link w:val="16"/>
    <w:autoRedefine/>
    <w:qFormat/>
    <w:uiPriority w:val="0"/>
    <w:rPr>
      <w:rFonts w:ascii="宋体" w:hAnsi="Courier New" w:eastAsiaTheme="minorEastAsia" w:cstheme="minorBidi"/>
      <w:kern w:val="2"/>
      <w:sz w:val="21"/>
    </w:rPr>
  </w:style>
  <w:style w:type="character" w:customStyle="1" w:styleId="60">
    <w:name w:val="正文文本缩进 2 字符"/>
    <w:basedOn w:val="32"/>
    <w:link w:val="18"/>
    <w:autoRedefine/>
    <w:qFormat/>
    <w:uiPriority w:val="0"/>
    <w:rPr>
      <w:rFonts w:ascii="宋体" w:hAnsi="Calibri" w:eastAsiaTheme="minorEastAsia" w:cstheme="minorBidi"/>
      <w:sz w:val="24"/>
    </w:rPr>
  </w:style>
  <w:style w:type="character" w:customStyle="1" w:styleId="61">
    <w:name w:val="批注框文本 字符"/>
    <w:basedOn w:val="32"/>
    <w:link w:val="19"/>
    <w:autoRedefine/>
    <w:qFormat/>
    <w:uiPriority w:val="0"/>
    <w:rPr>
      <w:rFonts w:eastAsiaTheme="minorEastAsia" w:cstheme="minorBidi"/>
      <w:kern w:val="2"/>
      <w:sz w:val="18"/>
      <w:szCs w:val="18"/>
    </w:rPr>
  </w:style>
  <w:style w:type="character" w:customStyle="1" w:styleId="62">
    <w:name w:val="正文文本缩进 3 字符"/>
    <w:basedOn w:val="32"/>
    <w:link w:val="23"/>
    <w:autoRedefine/>
    <w:qFormat/>
    <w:uiPriority w:val="0"/>
    <w:rPr>
      <w:rFonts w:ascii="Calibri" w:hAnsi="Calibri" w:eastAsia="黑体" w:cstheme="minorBidi"/>
      <w:color w:val="000000"/>
      <w:kern w:val="2"/>
      <w:sz w:val="24"/>
      <w:szCs w:val="24"/>
    </w:rPr>
  </w:style>
  <w:style w:type="paragraph" w:customStyle="1" w:styleId="63">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4">
    <w:name w:val="样式 标题 3 + (中文) 黑体 小四 非加粗 段前: 7.8 磅 段后: 0 磅 行距: 固定值 20 磅"/>
    <w:basedOn w:val="7"/>
    <w:autoRedefine/>
    <w:qFormat/>
    <w:uiPriority w:val="0"/>
    <w:pPr>
      <w:numPr>
        <w:ilvl w:val="0"/>
        <w:numId w:val="0"/>
      </w:numPr>
      <w:tabs>
        <w:tab w:val="clear" w:pos="720"/>
      </w:tabs>
      <w:spacing w:line="400" w:lineRule="exact"/>
    </w:pPr>
    <w:rPr>
      <w:rFonts w:eastAsia="黑体" w:cs="宋体"/>
      <w:b w:val="0"/>
      <w:bCs w:val="0"/>
      <w:sz w:val="24"/>
      <w:szCs w:val="20"/>
    </w:rPr>
  </w:style>
  <w:style w:type="paragraph" w:styleId="65">
    <w:name w:val="List Paragraph"/>
    <w:basedOn w:val="1"/>
    <w:autoRedefine/>
    <w:unhideWhenUsed/>
    <w:qFormat/>
    <w:uiPriority w:val="99"/>
    <w:pPr>
      <w:ind w:firstLine="420" w:firstLineChars="200"/>
    </w:pPr>
  </w:style>
  <w:style w:type="paragraph" w:customStyle="1" w:styleId="66">
    <w:name w:val="表内文字"/>
    <w:basedOn w:val="1"/>
    <w:autoRedefine/>
    <w:qFormat/>
    <w:uiPriority w:val="0"/>
    <w:pPr>
      <w:spacing w:line="500" w:lineRule="atLeast"/>
      <w:jc w:val="center"/>
    </w:pPr>
    <w:rPr>
      <w:rFonts w:ascii="Arial" w:hAnsi="Arial" w:eastAsia="楷体_GB2312" w:cs="Arial"/>
      <w:sz w:val="28"/>
    </w:rPr>
  </w:style>
  <w:style w:type="character" w:customStyle="1" w:styleId="67">
    <w:name w:val="纯文本 字符1"/>
    <w:basedOn w:val="32"/>
    <w:autoRedefine/>
    <w:semiHidden/>
    <w:qFormat/>
    <w:locked/>
    <w:uiPriority w:val="0"/>
    <w:rPr>
      <w:rFonts w:ascii="宋体" w:hAnsi="Courier New" w:cs="Courier New"/>
      <w:szCs w:val="21"/>
    </w:rPr>
  </w:style>
  <w:style w:type="paragraph" w:customStyle="1" w:styleId="68">
    <w:name w:val="正文段"/>
    <w:basedOn w:val="1"/>
    <w:autoRedefine/>
    <w:qFormat/>
    <w:uiPriority w:val="0"/>
    <w:pPr>
      <w:widowControl/>
      <w:snapToGrid w:val="0"/>
      <w:spacing w:afterLines="50"/>
      <w:ind w:firstLine="200" w:firstLineChars="200"/>
    </w:pPr>
    <w:rPr>
      <w:kern w:val="0"/>
      <w:sz w:val="24"/>
      <w:szCs w:val="20"/>
    </w:rPr>
  </w:style>
  <w:style w:type="character" w:customStyle="1" w:styleId="69">
    <w:name w:val="hover4"/>
    <w:basedOn w:val="32"/>
    <w:autoRedefine/>
    <w:qFormat/>
    <w:uiPriority w:val="0"/>
    <w:rPr>
      <w:color w:val="999999"/>
    </w:rPr>
  </w:style>
  <w:style w:type="paragraph" w:customStyle="1" w:styleId="70">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71">
    <w:name w:val="Plain Text1"/>
    <w:basedOn w:val="1"/>
    <w:autoRedefine/>
    <w:qFormat/>
    <w:uiPriority w:val="0"/>
    <w:rPr>
      <w:rFonts w:ascii="宋体" w:hAnsi="Courier New"/>
      <w:szCs w:val="20"/>
    </w:rPr>
  </w:style>
  <w:style w:type="paragraph" w:customStyle="1" w:styleId="72">
    <w:name w:val="正文2"/>
    <w:basedOn w:val="1"/>
    <w:autoRedefine/>
    <w:qFormat/>
    <w:uiPriority w:val="0"/>
    <w:pPr>
      <w:spacing w:before="156" w:line="360" w:lineRule="auto"/>
      <w:ind w:firstLine="510" w:firstLineChars="200"/>
    </w:pPr>
    <w:rPr>
      <w:sz w:val="24"/>
      <w:szCs w:val="20"/>
    </w:rPr>
  </w:style>
  <w:style w:type="character" w:customStyle="1" w:styleId="73">
    <w:name w:val="font01"/>
    <w:basedOn w:val="32"/>
    <w:autoRedefine/>
    <w:qFormat/>
    <w:uiPriority w:val="0"/>
    <w:rPr>
      <w:rFonts w:hint="eastAsia" w:ascii="宋体" w:hAnsi="宋体" w:eastAsia="宋体" w:cs="宋体"/>
      <w:color w:val="000000"/>
      <w:sz w:val="22"/>
      <w:szCs w:val="22"/>
      <w:u w:val="none"/>
    </w:rPr>
  </w:style>
  <w:style w:type="paragraph" w:customStyle="1" w:styleId="74">
    <w:name w:val="[Normal]"/>
    <w:autoRedefine/>
    <w:qFormat/>
    <w:uiPriority w:val="0"/>
    <w:rPr>
      <w:rFonts w:ascii="宋体" w:hAnsi="宋体" w:eastAsia="Calibri" w:cs="Times New Roman"/>
      <w:sz w:val="24"/>
      <w:szCs w:val="22"/>
      <w:lang w:val="zh-CN" w:eastAsia="zh-CN" w:bidi="ar-SA"/>
    </w:rPr>
  </w:style>
  <w:style w:type="character" w:customStyle="1" w:styleId="75">
    <w:name w:val="font61"/>
    <w:basedOn w:val="32"/>
    <w:autoRedefine/>
    <w:qFormat/>
    <w:uiPriority w:val="0"/>
    <w:rPr>
      <w:rFonts w:ascii="Arial" w:hAnsi="Arial" w:cs="Arial"/>
      <w:color w:val="000000"/>
      <w:sz w:val="20"/>
      <w:szCs w:val="20"/>
      <w:u w:val="none"/>
    </w:rPr>
  </w:style>
  <w:style w:type="character" w:customStyle="1" w:styleId="76">
    <w:name w:val="font11"/>
    <w:basedOn w:val="32"/>
    <w:autoRedefine/>
    <w:qFormat/>
    <w:uiPriority w:val="0"/>
    <w:rPr>
      <w:rFonts w:hint="eastAsia" w:ascii="宋体" w:hAnsi="宋体" w:eastAsia="宋体" w:cs="宋体"/>
      <w:color w:val="000000"/>
      <w:sz w:val="20"/>
      <w:szCs w:val="20"/>
      <w:u w:val="none"/>
    </w:rPr>
  </w:style>
  <w:style w:type="paragraph" w:customStyle="1" w:styleId="77">
    <w:name w:val="纯文本1"/>
    <w:basedOn w:val="1"/>
    <w:autoRedefine/>
    <w:qFormat/>
    <w:uiPriority w:val="0"/>
    <w:pPr>
      <w:adjustRightInd w:val="0"/>
      <w:textAlignment w:val="baseline"/>
    </w:pPr>
    <w:rPr>
      <w:rFonts w:ascii="宋体" w:hAnsi="Courier New" w:eastAsia="楷体_GB2312"/>
      <w:sz w:val="28"/>
    </w:rPr>
  </w:style>
  <w:style w:type="character" w:customStyle="1" w:styleId="78">
    <w:name w:val="font191"/>
    <w:basedOn w:val="32"/>
    <w:autoRedefine/>
    <w:qFormat/>
    <w:uiPriority w:val="0"/>
    <w:rPr>
      <w:rFonts w:hint="eastAsia" w:ascii="宋体" w:hAnsi="宋体" w:eastAsia="宋体" w:cs="宋体"/>
      <w:color w:val="FF0000"/>
      <w:sz w:val="22"/>
      <w:szCs w:val="22"/>
      <w:u w:val="none"/>
    </w:rPr>
  </w:style>
  <w:style w:type="character" w:customStyle="1" w:styleId="79">
    <w:name w:val="font71"/>
    <w:basedOn w:val="32"/>
    <w:autoRedefine/>
    <w:qFormat/>
    <w:uiPriority w:val="0"/>
    <w:rPr>
      <w:rFonts w:hint="eastAsia" w:ascii="宋体" w:hAnsi="宋体" w:eastAsia="宋体" w:cs="宋体"/>
      <w:color w:val="000000"/>
      <w:sz w:val="22"/>
      <w:szCs w:val="22"/>
      <w:u w:val="none"/>
    </w:rPr>
  </w:style>
  <w:style w:type="character" w:customStyle="1" w:styleId="80">
    <w:name w:val="font41"/>
    <w:basedOn w:val="32"/>
    <w:autoRedefine/>
    <w:qFormat/>
    <w:uiPriority w:val="0"/>
    <w:rPr>
      <w:rFonts w:hint="eastAsia" w:ascii="宋体" w:hAnsi="宋体" w:eastAsia="宋体" w:cs="宋体"/>
      <w:color w:val="000000"/>
      <w:sz w:val="22"/>
      <w:szCs w:val="22"/>
      <w:u w:val="none"/>
    </w:rPr>
  </w:style>
  <w:style w:type="character" w:customStyle="1" w:styleId="81">
    <w:name w:val="font151"/>
    <w:basedOn w:val="32"/>
    <w:autoRedefine/>
    <w:qFormat/>
    <w:uiPriority w:val="0"/>
    <w:rPr>
      <w:rFonts w:hint="eastAsia" w:ascii="宋体" w:hAnsi="宋体" w:eastAsia="宋体" w:cs="宋体"/>
      <w:color w:val="FF0000"/>
      <w:sz w:val="22"/>
      <w:szCs w:val="22"/>
      <w:u w:val="none"/>
    </w:rPr>
  </w:style>
  <w:style w:type="character" w:customStyle="1" w:styleId="82">
    <w:name w:val="font21"/>
    <w:basedOn w:val="32"/>
    <w:autoRedefine/>
    <w:qFormat/>
    <w:uiPriority w:val="0"/>
    <w:rPr>
      <w:rFonts w:hint="eastAsia" w:ascii="宋体" w:hAnsi="宋体" w:eastAsia="宋体" w:cs="宋体"/>
      <w:color w:val="000000"/>
      <w:sz w:val="18"/>
      <w:szCs w:val="18"/>
      <w:u w:val="none"/>
    </w:rPr>
  </w:style>
  <w:style w:type="character" w:customStyle="1" w:styleId="83">
    <w:name w:val="font141"/>
    <w:basedOn w:val="32"/>
    <w:autoRedefine/>
    <w:qFormat/>
    <w:uiPriority w:val="0"/>
    <w:rPr>
      <w:rFonts w:hint="eastAsia" w:ascii="宋体" w:hAnsi="宋体" w:eastAsia="宋体" w:cs="宋体"/>
      <w:color w:val="FF0000"/>
      <w:sz w:val="18"/>
      <w:szCs w:val="18"/>
      <w:u w:val="none"/>
    </w:rPr>
  </w:style>
  <w:style w:type="character" w:customStyle="1" w:styleId="84">
    <w:name w:val="font31"/>
    <w:basedOn w:val="32"/>
    <w:autoRedefine/>
    <w:qFormat/>
    <w:uiPriority w:val="0"/>
    <w:rPr>
      <w:rFonts w:hint="eastAsia" w:ascii="宋体" w:hAnsi="宋体" w:eastAsia="宋体" w:cs="宋体"/>
      <w:color w:val="000000"/>
      <w:sz w:val="22"/>
      <w:szCs w:val="22"/>
      <w:u w:val="none"/>
    </w:rPr>
  </w:style>
  <w:style w:type="paragraph" w:customStyle="1" w:styleId="85">
    <w:name w:val="正文首行缩进 21"/>
    <w:basedOn w:val="86"/>
    <w:autoRedefine/>
    <w:qFormat/>
    <w:uiPriority w:val="0"/>
    <w:pPr>
      <w:ind w:firstLine="420"/>
    </w:pPr>
    <w:rPr>
      <w:rFonts w:eastAsia="宋体" w:cs="宋体"/>
    </w:rPr>
  </w:style>
  <w:style w:type="paragraph" w:customStyle="1" w:styleId="86">
    <w:name w:val="正文文本缩进1"/>
    <w:basedOn w:val="1"/>
    <w:next w:val="1"/>
    <w:autoRedefine/>
    <w:qFormat/>
    <w:uiPriority w:val="0"/>
    <w:pPr>
      <w:ind w:left="420" w:leftChars="200"/>
    </w:pPr>
    <w:rPr>
      <w:color w:val="000000"/>
      <w:szCs w:val="21"/>
    </w:rPr>
  </w:style>
  <w:style w:type="paragraph" w:customStyle="1" w:styleId="87">
    <w:name w:val="正文首行缩进 211"/>
    <w:basedOn w:val="1"/>
    <w:autoRedefine/>
    <w:qFormat/>
    <w:uiPriority w:val="0"/>
    <w:pPr>
      <w:spacing w:after="120"/>
      <w:ind w:left="420" w:leftChars="200" w:firstLine="420"/>
    </w:pPr>
    <w:rPr>
      <w:rFonts w:cs="宋体"/>
      <w:color w:val="000000"/>
      <w:szCs w:val="21"/>
    </w:rPr>
  </w:style>
  <w:style w:type="character" w:customStyle="1" w:styleId="88">
    <w:name w:val="font51"/>
    <w:basedOn w:val="32"/>
    <w:autoRedefine/>
    <w:qFormat/>
    <w:uiPriority w:val="0"/>
    <w:rPr>
      <w:rFonts w:ascii="宋体" w:hAnsi="宋体" w:eastAsia="宋体" w:cs="宋体"/>
      <w:color w:val="000000"/>
      <w:sz w:val="22"/>
      <w:szCs w:val="22"/>
      <w:u w:val="none"/>
    </w:rPr>
  </w:style>
  <w:style w:type="character" w:customStyle="1" w:styleId="89">
    <w:name w:val="font91"/>
    <w:basedOn w:val="32"/>
    <w:autoRedefine/>
    <w:qFormat/>
    <w:uiPriority w:val="0"/>
    <w:rPr>
      <w:rFonts w:ascii="Arial" w:hAnsi="Arial" w:cs="Arial"/>
      <w:color w:val="000000"/>
      <w:sz w:val="22"/>
      <w:szCs w:val="22"/>
      <w:u w:val="none"/>
    </w:rPr>
  </w:style>
  <w:style w:type="paragraph" w:customStyle="1" w:styleId="90">
    <w:name w:val="一级"/>
    <w:basedOn w:val="1"/>
    <w:next w:val="1"/>
    <w:autoRedefine/>
    <w:qFormat/>
    <w:uiPriority w:val="0"/>
    <w:pPr>
      <w:spacing w:before="360" w:after="360" w:line="400" w:lineRule="exact"/>
      <w:outlineLvl w:val="1"/>
    </w:pPr>
    <w:rPr>
      <w:rFonts w:eastAsia="黑体"/>
      <w:sz w:val="28"/>
      <w:szCs w:val="22"/>
    </w:rPr>
  </w:style>
  <w:style w:type="paragraph" w:customStyle="1" w:styleId="91">
    <w:name w:val="正文空格"/>
    <w:basedOn w:val="1"/>
    <w:next w:val="1"/>
    <w:autoRedefine/>
    <w:qFormat/>
    <w:uiPriority w:val="0"/>
    <w:pPr>
      <w:spacing w:line="400" w:lineRule="exact"/>
      <w:ind w:firstLine="200" w:firstLineChars="200"/>
    </w:pPr>
    <w:rPr>
      <w:sz w:val="24"/>
      <w:szCs w:val="22"/>
    </w:rPr>
  </w:style>
  <w:style w:type="paragraph" w:customStyle="1" w:styleId="92">
    <w:name w:val="图片"/>
    <w:basedOn w:val="1"/>
    <w:autoRedefine/>
    <w:qFormat/>
    <w:uiPriority w:val="0"/>
    <w:pPr>
      <w:spacing w:line="360" w:lineRule="auto"/>
      <w:jc w:val="center"/>
    </w:pPr>
    <w:rPr>
      <w:rFonts w:eastAsia="宋体" w:asciiTheme="minorEastAsia" w:hAnsiTheme="minorEastAsia"/>
      <w:sz w:val="24"/>
    </w:rPr>
  </w:style>
  <w:style w:type="paragraph" w:customStyle="1" w:styleId="93">
    <w:name w:val="图片标题"/>
    <w:basedOn w:val="94"/>
    <w:autoRedefine/>
    <w:qFormat/>
    <w:uiPriority w:val="0"/>
    <w:pPr>
      <w:numPr>
        <w:ilvl w:val="0"/>
        <w:numId w:val="4"/>
      </w:numPr>
      <w:spacing w:line="360" w:lineRule="auto"/>
      <w:jc w:val="center"/>
    </w:pPr>
    <w:rPr>
      <w:rFonts w:eastAsia="黑体"/>
      <w:b/>
    </w:rPr>
  </w:style>
  <w:style w:type="paragraph" w:customStyle="1" w:styleId="94">
    <w:name w:val="表格"/>
    <w:basedOn w:val="1"/>
    <w:autoRedefine/>
    <w:qFormat/>
    <w:uiPriority w:val="0"/>
    <w:rPr>
      <w:rFonts w:asciiTheme="minorEastAsia" w:hAnsiTheme="minorEastAsia"/>
      <w:szCs w:val="22"/>
    </w:rPr>
  </w:style>
  <w:style w:type="paragraph" w:customStyle="1" w:styleId="95">
    <w:name w:val="列表格式"/>
    <w:basedOn w:val="11"/>
    <w:autoRedefine/>
    <w:qFormat/>
    <w:uiPriority w:val="0"/>
    <w:pPr>
      <w:numPr>
        <w:numId w:val="0"/>
      </w:numPr>
      <w:tabs>
        <w:tab w:val="left" w:pos="360"/>
      </w:tabs>
      <w:spacing w:line="360" w:lineRule="auto"/>
      <w:jc w:val="left"/>
    </w:pPr>
    <w:rPr>
      <w:rFonts w:eastAsia="宋体" w:cs="Times New Roman"/>
      <w:sz w:val="24"/>
    </w:rPr>
  </w:style>
  <w:style w:type="paragraph" w:customStyle="1" w:styleId="96">
    <w:name w:val="表格标题"/>
    <w:basedOn w:val="1"/>
    <w:autoRedefine/>
    <w:qFormat/>
    <w:uiPriority w:val="0"/>
    <w:pPr>
      <w:numPr>
        <w:ilvl w:val="0"/>
        <w:numId w:val="5"/>
      </w:numPr>
      <w:ind w:left="0" w:firstLine="0"/>
      <w:jc w:val="center"/>
    </w:pPr>
    <w:rPr>
      <w:rFonts w:ascii="宋体" w:hAnsi="宋体" w:eastAsia="黑体" w:cs="Times New Roman"/>
      <w:b/>
    </w:rPr>
  </w:style>
  <w:style w:type="paragraph" w:customStyle="1" w:styleId="97">
    <w:name w:val="表格表头"/>
    <w:basedOn w:val="1"/>
    <w:autoRedefine/>
    <w:qFormat/>
    <w:uiPriority w:val="0"/>
    <w:pPr>
      <w:jc w:val="center"/>
    </w:pPr>
    <w:rPr>
      <w:rFonts w:ascii="宋体" w:hAnsi="宋体" w:eastAsia="黑体" w:cs="Times New Roman"/>
    </w:rPr>
  </w:style>
  <w:style w:type="paragraph" w:customStyle="1" w:styleId="98">
    <w:name w:val="表格正文"/>
    <w:basedOn w:val="1"/>
    <w:autoRedefine/>
    <w:qFormat/>
    <w:uiPriority w:val="0"/>
    <w:pPr>
      <w:jc w:val="left"/>
    </w:pPr>
    <w:rPr>
      <w:rFonts w:ascii="Arial" w:hAnsi="Arial" w:cs="宋体"/>
      <w:szCs w:val="20"/>
    </w:rPr>
  </w:style>
  <w:style w:type="paragraph" w:styleId="99">
    <w:name w:val="No Spacing"/>
    <w:autoRedefine/>
    <w:qFormat/>
    <w:uiPriority w:val="1"/>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customStyle="1" w:styleId="100">
    <w:name w:val="表格内容"/>
    <w:basedOn w:val="1"/>
    <w:autoRedefine/>
    <w:qFormat/>
    <w:uiPriority w:val="2"/>
    <w:pPr>
      <w:jc w:val="center"/>
    </w:pPr>
  </w:style>
  <w:style w:type="paragraph" w:customStyle="1" w:styleId="101">
    <w:name w:val="Body Text First Indent1"/>
    <w:basedOn w:val="2"/>
    <w:autoRedefine/>
    <w:qFormat/>
    <w:uiPriority w:val="0"/>
    <w:pPr>
      <w:ind w:firstLine="420" w:firstLineChars="100"/>
    </w:pPr>
    <w:rPr>
      <w:rFonts w:hint="eastAsia"/>
      <w:szCs w:val="22"/>
    </w:rPr>
  </w:style>
  <w:style w:type="paragraph" w:customStyle="1" w:styleId="102">
    <w:name w:val="普通(网站)_0"/>
    <w:basedOn w:val="103"/>
    <w:autoRedefine/>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10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wbt"/>
    <w:basedOn w:val="1"/>
    <w:autoRedefine/>
    <w:qFormat/>
    <w:uiPriority w:val="0"/>
    <w:pPr>
      <w:tabs>
        <w:tab w:val="left" w:pos="720"/>
      </w:tabs>
      <w:spacing w:line="360" w:lineRule="auto"/>
      <w:ind w:left="458" w:right="-76"/>
      <w:jc w:val="center"/>
    </w:pPr>
    <w:rPr>
      <w:rFonts w:ascii="黑体" w:hAnsi="宋体" w:eastAsia="黑体"/>
      <w:sz w:val="36"/>
    </w:rPr>
  </w:style>
  <w:style w:type="paragraph" w:customStyle="1" w:styleId="105">
    <w:name w:val="BodyText1I2"/>
    <w:basedOn w:val="1"/>
    <w:autoRedefine/>
    <w:qFormat/>
    <w:uiPriority w:val="0"/>
    <w:pPr>
      <w:spacing w:after="120"/>
      <w:ind w:left="420" w:leftChars="200" w:firstLine="420" w:firstLineChars="200"/>
      <w:textAlignment w:val="baseline"/>
    </w:pPr>
    <w:rPr>
      <w:color w:val="000000"/>
    </w:rPr>
  </w:style>
  <w:style w:type="paragraph" w:customStyle="1" w:styleId="106">
    <w:name w:val="Table Paragraph"/>
    <w:basedOn w:val="1"/>
    <w:autoRedefine/>
    <w:qFormat/>
    <w:uiPriority w:val="1"/>
    <w:rPr>
      <w:rFonts w:ascii="宋体" w:hAnsi="宋体" w:eastAsia="宋体" w:cs="宋体"/>
      <w:lang w:val="zh-CN" w:bidi="zh-CN"/>
    </w:rPr>
  </w:style>
  <w:style w:type="character" w:customStyle="1" w:styleId="107">
    <w:name w:val="批注文字 字符"/>
    <w:basedOn w:val="32"/>
    <w:link w:val="14"/>
    <w:autoRedefine/>
    <w:qFormat/>
    <w:uiPriority w:val="99"/>
    <w:rPr>
      <w:rFonts w:eastAsiaTheme="minorEastAsia" w:cstheme="minorBidi"/>
      <w:kern w:val="2"/>
      <w:sz w:val="21"/>
      <w:szCs w:val="24"/>
    </w:rPr>
  </w:style>
  <w:style w:type="character" w:customStyle="1" w:styleId="108">
    <w:name w:val="批注主题 字符"/>
    <w:basedOn w:val="107"/>
    <w:link w:val="28"/>
    <w:autoRedefine/>
    <w:qFormat/>
    <w:uiPriority w:val="0"/>
    <w:rPr>
      <w:rFonts w:eastAsiaTheme="minorEastAsia" w:cstheme="minorBidi"/>
      <w:kern w:val="2"/>
      <w:sz w:val="21"/>
      <w:szCs w:val="24"/>
    </w:rPr>
  </w:style>
  <w:style w:type="paragraph" w:customStyle="1" w:styleId="109">
    <w:name w:val="修订1"/>
    <w:autoRedefine/>
    <w:hidden/>
    <w:semiHidden/>
    <w:qFormat/>
    <w:uiPriority w:val="99"/>
    <w:rPr>
      <w:rFonts w:ascii="Times New Roman" w:hAnsi="Times New Roman" w:eastAsiaTheme="minorEastAsia" w:cstheme="minorBidi"/>
      <w:kern w:val="2"/>
      <w:sz w:val="21"/>
      <w:szCs w:val="24"/>
      <w:lang w:val="en-US" w:eastAsia="zh-CN" w:bidi="ar-SA"/>
    </w:rPr>
  </w:style>
  <w:style w:type="paragraph" w:customStyle="1" w:styleId="110">
    <w:name w:val="修订2"/>
    <w:autoRedefine/>
    <w:hidden/>
    <w:semiHidden/>
    <w:qFormat/>
    <w:uiPriority w:val="99"/>
    <w:rPr>
      <w:rFonts w:ascii="Times New Roman" w:hAnsi="Times New Roman" w:eastAsiaTheme="minorEastAsia" w:cstheme="minorBidi"/>
      <w:kern w:val="2"/>
      <w:sz w:val="21"/>
      <w:szCs w:val="24"/>
      <w:lang w:val="en-US" w:eastAsia="zh-CN" w:bidi="ar-SA"/>
    </w:rPr>
  </w:style>
  <w:style w:type="paragraph" w:customStyle="1" w:styleId="11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2">
    <w:name w:val="无"/>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Win7_64</Company>
  <Pages>75</Pages>
  <Words>22884</Words>
  <Characters>24244</Characters>
  <Lines>337</Lines>
  <Paragraphs>95</Paragraphs>
  <TotalTime>76</TotalTime>
  <ScaleCrop>false</ScaleCrop>
  <LinksUpToDate>false</LinksUpToDate>
  <CharactersWithSpaces>24335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2023-03-17T07:07:00Z</dcterms:created>
  <dc:creator>NTKO</dc:creator>
  <cp:lastModifiedBy>15888757905</cp:lastModifiedBy>
  <cp:lastPrinted>2024-04-25T06:29:00Z</cp:lastPrinted>
  <dcterms:modified xsi:type="dcterms:W3CDTF">2025-09-11T03:43:23Z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C1ABE9E104DD4064AB5A3D21E02566BE_13</vt:lpwstr>
  </property>
  <property fmtid="{D5CDD505-2E9C-101B-9397-08002B2CF9AE}" pid="4" name="KSOTemplateDocerSaveRecord">
    <vt:lpwstr>eyJoZGlkIjoiNTY1ODc0MDJlZTIzMDMyMjgwN2ExZGJjYjYwMjg1NjYiLCJ1c2VySWQiOiI2NDU1NzY2NTEifQ==</vt:lpwstr>
  </property>
</Properties>
</file>