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EAA34">
      <w:pPr>
        <w:jc w:val="center"/>
        <w:rPr>
          <w:rFonts w:ascii="宋体" w:hAnsi="宋体"/>
          <w:b/>
          <w:bCs/>
          <w:color w:val="auto"/>
          <w:spacing w:val="100"/>
          <w:sz w:val="72"/>
          <w:szCs w:val="72"/>
          <w:highlight w:val="none"/>
        </w:rPr>
      </w:pPr>
    </w:p>
    <w:p w14:paraId="4A8482DD">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589D4514">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24700694">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78B92E55">
      <w:pPr>
        <w:jc w:val="center"/>
        <w:rPr>
          <w:rFonts w:ascii="新宋体" w:hAnsi="新宋体" w:eastAsia="新宋体"/>
          <w:b/>
          <w:bCs/>
          <w:color w:val="auto"/>
          <w:spacing w:val="140"/>
          <w:sz w:val="72"/>
          <w:szCs w:val="72"/>
          <w:highlight w:val="none"/>
        </w:rPr>
      </w:pPr>
    </w:p>
    <w:p w14:paraId="73337986">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18C9F342">
      <w:pPr>
        <w:tabs>
          <w:tab w:val="left" w:pos="1069"/>
          <w:tab w:val="left" w:pos="2352"/>
        </w:tabs>
        <w:jc w:val="center"/>
        <w:rPr>
          <w:rFonts w:ascii="宋体" w:hAnsi="宋体" w:cs="宋体"/>
          <w:b/>
          <w:color w:val="auto"/>
          <w:sz w:val="36"/>
          <w:szCs w:val="36"/>
          <w:highlight w:val="none"/>
        </w:rPr>
      </w:pPr>
    </w:p>
    <w:p w14:paraId="1685DBE8">
      <w:pPr>
        <w:tabs>
          <w:tab w:val="left" w:pos="1069"/>
          <w:tab w:val="left" w:pos="2352"/>
        </w:tabs>
        <w:jc w:val="center"/>
        <w:rPr>
          <w:rFonts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28521E36">
      <w:pPr>
        <w:pStyle w:val="13"/>
        <w:rPr>
          <w:color w:val="auto"/>
          <w:highlight w:val="none"/>
        </w:rPr>
      </w:pPr>
    </w:p>
    <w:tbl>
      <w:tblPr>
        <w:tblStyle w:val="32"/>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6742FD0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15DC9AB">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360E8CF9">
            <w:pPr>
              <w:rPr>
                <w:rFonts w:ascii="宋体"/>
                <w:b/>
                <w:color w:val="auto"/>
                <w:sz w:val="30"/>
                <w:szCs w:val="30"/>
                <w:highlight w:val="none"/>
              </w:rPr>
            </w:pPr>
            <w:r>
              <w:rPr>
                <w:rFonts w:hint="eastAsia" w:ascii="宋体" w:hAnsi="宋体"/>
                <w:b/>
                <w:color w:val="auto"/>
                <w:sz w:val="30"/>
                <w:szCs w:val="30"/>
                <w:highlight w:val="none"/>
                <w:lang w:eastAsia="zh-CN"/>
              </w:rPr>
              <w:t xml:space="preserve">TSCG202511005 </w:t>
            </w:r>
            <w:r>
              <w:rPr>
                <w:rFonts w:hint="eastAsia" w:ascii="宋体" w:hAnsi="宋体"/>
                <w:b/>
                <w:color w:val="auto"/>
                <w:sz w:val="30"/>
                <w:szCs w:val="30"/>
                <w:highlight w:val="none"/>
              </w:rPr>
              <w:t xml:space="preserve"> </w:t>
            </w:r>
          </w:p>
        </w:tc>
      </w:tr>
      <w:tr w14:paraId="5F14E1F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FF0F352">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29B3501B">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便携式超声、麻醉工作站等</w:t>
            </w:r>
          </w:p>
        </w:tc>
      </w:tr>
      <w:tr w14:paraId="6DEB528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3F2CB4FD">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312830F7">
            <w:pPr>
              <w:rPr>
                <w:rFonts w:ascii="宋体"/>
                <w:b/>
                <w:color w:val="auto"/>
                <w:sz w:val="30"/>
                <w:szCs w:val="30"/>
                <w:highlight w:val="none"/>
              </w:rPr>
            </w:pPr>
            <w:r>
              <w:rPr>
                <w:rFonts w:hint="eastAsia" w:ascii="宋体" w:hAnsi="宋体"/>
                <w:b/>
                <w:color w:val="auto"/>
                <w:sz w:val="30"/>
                <w:szCs w:val="30"/>
                <w:highlight w:val="none"/>
              </w:rPr>
              <w:t>公开招标</w:t>
            </w:r>
          </w:p>
        </w:tc>
      </w:tr>
      <w:tr w14:paraId="71627CE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7C9632C">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03EE8B4B">
            <w:pPr>
              <w:snapToGrid w:val="0"/>
              <w:spacing w:line="500" w:lineRule="atLeast"/>
              <w:rPr>
                <w:rFonts w:ascii="宋体"/>
                <w:b/>
                <w:color w:val="auto"/>
                <w:sz w:val="30"/>
                <w:szCs w:val="30"/>
                <w:highlight w:val="none"/>
              </w:rPr>
            </w:pPr>
            <w:r>
              <w:rPr>
                <w:rFonts w:hint="eastAsia" w:ascii="宋体" w:hAnsi="宋体"/>
                <w:b/>
                <w:color w:val="auto"/>
                <w:sz w:val="30"/>
                <w:szCs w:val="30"/>
                <w:highlight w:val="none"/>
              </w:rPr>
              <w:t>泰顺县中医院（泰顺县中医院医共体）</w:t>
            </w:r>
          </w:p>
        </w:tc>
      </w:tr>
      <w:tr w14:paraId="7A59D5A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6A5EC71E">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5109A709">
            <w:pPr>
              <w:rPr>
                <w:rFonts w:ascii="宋体"/>
                <w:b/>
                <w:color w:val="auto"/>
                <w:sz w:val="30"/>
                <w:szCs w:val="30"/>
                <w:highlight w:val="none"/>
              </w:rPr>
            </w:pPr>
            <w:r>
              <w:rPr>
                <w:rFonts w:hint="eastAsia" w:ascii="宋体" w:hAnsi="宋体"/>
                <w:b/>
                <w:color w:val="auto"/>
                <w:sz w:val="30"/>
                <w:szCs w:val="30"/>
                <w:highlight w:val="none"/>
              </w:rPr>
              <w:t>杭州华旗招标代理有限公司</w:t>
            </w:r>
          </w:p>
        </w:tc>
      </w:tr>
      <w:tr w14:paraId="5BDBEB1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6365D875">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552DDF4A">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1ED740C1">
      <w:pPr>
        <w:snapToGrid w:val="0"/>
        <w:spacing w:line="500" w:lineRule="atLeast"/>
        <w:ind w:left="1220" w:leftChars="581" w:firstLine="741" w:firstLineChars="247"/>
        <w:rPr>
          <w:rFonts w:ascii="宋体"/>
          <w:b/>
          <w:color w:val="auto"/>
          <w:sz w:val="30"/>
          <w:szCs w:val="30"/>
          <w:highlight w:val="none"/>
        </w:rPr>
      </w:pPr>
    </w:p>
    <w:p w14:paraId="42DBECB4">
      <w:pPr>
        <w:jc w:val="center"/>
        <w:rPr>
          <w:rFonts w:ascii="宋体"/>
          <w:b/>
          <w:color w:val="auto"/>
          <w:sz w:val="30"/>
          <w:szCs w:val="30"/>
          <w:highlight w:val="none"/>
        </w:rPr>
      </w:pPr>
    </w:p>
    <w:p w14:paraId="0A147EE6">
      <w:pPr>
        <w:jc w:val="center"/>
        <w:rPr>
          <w:rFonts w:ascii="宋体"/>
          <w:color w:val="auto"/>
          <w:sz w:val="36"/>
          <w:szCs w:val="36"/>
          <w:highlight w:val="none"/>
        </w:rPr>
      </w:pPr>
      <w:r>
        <w:rPr>
          <w:rFonts w:hint="eastAsia" w:ascii="宋体" w:hAnsi="宋体"/>
          <w:b/>
          <w:color w:val="auto"/>
          <w:sz w:val="30"/>
          <w:szCs w:val="30"/>
          <w:highlight w:val="none"/>
        </w:rPr>
        <w:t>二○二五年十</w:t>
      </w:r>
      <w:r>
        <w:rPr>
          <w:rFonts w:hint="eastAsia" w:ascii="宋体" w:hAnsi="宋体"/>
          <w:b/>
          <w:color w:val="auto"/>
          <w:sz w:val="30"/>
          <w:szCs w:val="30"/>
          <w:highlight w:val="none"/>
          <w:lang w:val="en-US" w:eastAsia="zh-CN"/>
        </w:rPr>
        <w:t>一</w:t>
      </w:r>
      <w:r>
        <w:rPr>
          <w:rFonts w:hint="eastAsia" w:ascii="宋体" w:hAnsi="宋体"/>
          <w:b/>
          <w:color w:val="auto"/>
          <w:sz w:val="30"/>
          <w:szCs w:val="30"/>
          <w:highlight w:val="none"/>
        </w:rPr>
        <w:t>月</w:t>
      </w:r>
    </w:p>
    <w:p w14:paraId="4F54F84C">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NumType w:start="1"/>
          <w:cols w:space="720" w:num="1"/>
          <w:titlePg/>
          <w:docGrid w:type="linesAndChars" w:linePitch="312" w:charSpace="0"/>
        </w:sectPr>
      </w:pPr>
    </w:p>
    <w:p w14:paraId="09C6650A">
      <w:pPr>
        <w:autoSpaceDE w:val="0"/>
        <w:autoSpaceDN w:val="0"/>
        <w:spacing w:line="480" w:lineRule="exact"/>
        <w:jc w:val="center"/>
        <w:textAlignment w:val="bottom"/>
        <w:rPr>
          <w:rFonts w:ascii="楷体" w:hAnsi="楷体" w:eastAsia="楷体"/>
          <w:b/>
          <w:color w:val="auto"/>
          <w:sz w:val="44"/>
          <w:szCs w:val="44"/>
          <w:highlight w:val="none"/>
        </w:rPr>
      </w:pPr>
    </w:p>
    <w:p w14:paraId="1B1ED38D">
      <w:pPr>
        <w:autoSpaceDE w:val="0"/>
        <w:autoSpaceDN w:val="0"/>
        <w:spacing w:line="480" w:lineRule="exact"/>
        <w:jc w:val="center"/>
        <w:textAlignment w:val="bottom"/>
        <w:rPr>
          <w:rFonts w:ascii="楷体" w:hAnsi="楷体" w:eastAsia="楷体"/>
          <w:b/>
          <w:color w:val="auto"/>
          <w:sz w:val="44"/>
          <w:szCs w:val="44"/>
          <w:highlight w:val="none"/>
        </w:rPr>
      </w:pPr>
    </w:p>
    <w:p w14:paraId="08A6946E">
      <w:pPr>
        <w:autoSpaceDE w:val="0"/>
        <w:autoSpaceDN w:val="0"/>
        <w:spacing w:line="480" w:lineRule="exact"/>
        <w:jc w:val="center"/>
        <w:textAlignment w:val="bottom"/>
        <w:rPr>
          <w:rFonts w:ascii="楷体" w:hAnsi="楷体" w:eastAsia="楷体"/>
          <w:b/>
          <w:color w:val="auto"/>
          <w:sz w:val="44"/>
          <w:szCs w:val="44"/>
          <w:highlight w:val="none"/>
        </w:rPr>
      </w:pPr>
    </w:p>
    <w:p w14:paraId="7998E905">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7A305355">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2AF9E11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4F3CD08C">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6B19769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4AE7F9C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4066A05C">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3C22CB6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1DE304E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29406990">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271E8A03">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59A1609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1F046AD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07835AA1">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55387F85">
      <w:pPr>
        <w:snapToGrid w:val="0"/>
        <w:spacing w:line="440" w:lineRule="exact"/>
        <w:rPr>
          <w:rFonts w:ascii="宋体" w:hAnsi="宋体" w:cs="新宋体"/>
          <w:b/>
          <w:bCs/>
          <w:color w:val="auto"/>
          <w:sz w:val="22"/>
          <w:szCs w:val="22"/>
          <w:highlight w:val="none"/>
          <w:u w:val="single"/>
        </w:rPr>
      </w:pPr>
    </w:p>
    <w:p w14:paraId="7380F186">
      <w:pPr>
        <w:snapToGrid w:val="0"/>
        <w:spacing w:line="440" w:lineRule="exact"/>
        <w:ind w:firstLine="446" w:firstLineChars="200"/>
        <w:rPr>
          <w:rFonts w:ascii="楷体" w:hAnsi="楷体" w:eastAsia="楷体"/>
          <w:b/>
          <w:bCs/>
          <w:color w:val="auto"/>
          <w:sz w:val="22"/>
          <w:szCs w:val="22"/>
          <w:highlight w:val="none"/>
        </w:rPr>
      </w:pPr>
      <w:r>
        <w:rPr>
          <w:rFonts w:hint="eastAsia" w:ascii="宋体" w:hAnsi="宋体" w:cs="新宋体"/>
          <w:b/>
          <w:bCs/>
          <w:color w:val="auto"/>
          <w:sz w:val="22"/>
          <w:szCs w:val="22"/>
          <w:highlight w:val="none"/>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p w14:paraId="34BE8436">
      <w:pPr>
        <w:tabs>
          <w:tab w:val="left" w:pos="1080"/>
          <w:tab w:val="left" w:pos="1426"/>
          <w:tab w:val="center" w:pos="4768"/>
        </w:tabs>
        <w:autoSpaceDE w:val="0"/>
        <w:autoSpaceDN w:val="0"/>
        <w:adjustRightInd w:val="0"/>
        <w:spacing w:line="500" w:lineRule="atLeast"/>
        <w:jc w:val="left"/>
        <w:textAlignment w:val="baseline"/>
        <w:rPr>
          <w:rFonts w:ascii="宋体"/>
          <w:b/>
          <w:bCs/>
          <w:color w:val="auto"/>
          <w:sz w:val="32"/>
          <w:szCs w:val="32"/>
          <w:highlight w:val="none"/>
        </w:rPr>
      </w:pPr>
      <w:bookmarkStart w:id="1" w:name="_Toc483388386"/>
    </w:p>
    <w:p w14:paraId="0BE2E011">
      <w:pPr>
        <w:spacing w:line="400" w:lineRule="exact"/>
        <w:ind w:firstLine="501" w:firstLineChars="225"/>
        <w:rPr>
          <w:rFonts w:ascii="宋体" w:hAnsi="宋体" w:cs="宋体"/>
          <w:color w:val="auto"/>
          <w:sz w:val="22"/>
          <w:szCs w:val="22"/>
          <w:highlight w:val="none"/>
        </w:rPr>
      </w:pPr>
    </w:p>
    <w:p w14:paraId="19BA947D">
      <w:pPr>
        <w:pStyle w:val="13"/>
        <w:rPr>
          <w:rFonts w:ascii="宋体" w:hAnsi="宋体" w:cs="宋体"/>
          <w:color w:val="auto"/>
          <w:sz w:val="22"/>
          <w:szCs w:val="22"/>
          <w:highlight w:val="none"/>
        </w:rPr>
      </w:pPr>
    </w:p>
    <w:p w14:paraId="25DF4E9C">
      <w:pPr>
        <w:pStyle w:val="23"/>
        <w:rPr>
          <w:color w:val="auto"/>
          <w:highlight w:val="none"/>
        </w:rPr>
      </w:pPr>
    </w:p>
    <w:p w14:paraId="02D7904A">
      <w:pPr>
        <w:pStyle w:val="27"/>
        <w:widowControl/>
        <w:spacing w:before="75" w:beforeAutospacing="0" w:after="75" w:afterAutospacing="0"/>
        <w:jc w:val="center"/>
        <w:rPr>
          <w:rFonts w:ascii="宋体"/>
          <w:b/>
          <w:bCs/>
          <w:color w:val="auto"/>
          <w:sz w:val="32"/>
          <w:szCs w:val="32"/>
          <w:highlight w:val="none"/>
        </w:rPr>
      </w:pPr>
      <w:r>
        <w:rPr>
          <w:rFonts w:hint="eastAsia" w:ascii="宋体"/>
          <w:b/>
          <w:bCs/>
          <w:color w:val="auto"/>
          <w:sz w:val="32"/>
          <w:szCs w:val="32"/>
          <w:highlight w:val="none"/>
        </w:rPr>
        <w:t>关于便携式超声、麻醉工作站等的公开招标公告</w:t>
      </w:r>
    </w:p>
    <w:tbl>
      <w:tblPr>
        <w:tblStyle w:val="33"/>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035D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22C723A7">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项目概况</w:t>
            </w:r>
          </w:p>
          <w:p w14:paraId="4CAF7D0F">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便携式超声、麻醉工作站等招标项目的潜在供应商应在政采云平台（http://zfcg.czt.zj.gov.cn/） 获取（下载）采购文件，并于2025年</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24</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rPr>
              <w:t xml:space="preserve">:00（北京时间）前提交（上传）响应文件。    </w:t>
            </w:r>
          </w:p>
        </w:tc>
      </w:tr>
    </w:tbl>
    <w:p w14:paraId="36E5F0D6">
      <w:pPr>
        <w:pStyle w:val="27"/>
        <w:widowControl/>
        <w:spacing w:before="75" w:beforeAutospacing="0" w:after="75" w:afterAutospacing="0"/>
        <w:rPr>
          <w:color w:val="auto"/>
          <w:highlight w:val="none"/>
        </w:rPr>
      </w:pPr>
      <w:r>
        <w:rPr>
          <w:rFonts w:hint="eastAsia" w:ascii="仿宋" w:hAnsi="仿宋" w:eastAsia="仿宋" w:cs="仿宋"/>
          <w:color w:val="auto"/>
          <w:highlight w:val="none"/>
        </w:rPr>
        <w:t>                     </w:t>
      </w:r>
    </w:p>
    <w:p w14:paraId="2E5525FF">
      <w:pPr>
        <w:pStyle w:val="27"/>
        <w:widowControl/>
        <w:numPr>
          <w:ilvl w:val="0"/>
          <w:numId w:val="7"/>
        </w:numPr>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项目基本情况</w:t>
      </w:r>
      <w:r>
        <w:rPr>
          <w:rFonts w:ascii="黑体" w:hAnsi="宋体" w:eastAsia="黑体"/>
          <w:color w:val="auto"/>
          <w:highlight w:val="none"/>
        </w:rPr>
        <w:t xml:space="preserve">                                        </w:t>
      </w:r>
    </w:p>
    <w:p w14:paraId="139F82D4">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 xml:space="preserve">TSCG202511005 </w:t>
      </w:r>
      <w:r>
        <w:rPr>
          <w:rFonts w:hint="eastAsia" w:ascii="仿宋" w:hAnsi="仿宋" w:eastAsia="仿宋" w:cs="仿宋"/>
          <w:color w:val="auto"/>
          <w:highlight w:val="none"/>
        </w:rPr>
        <w:t> </w:t>
      </w:r>
    </w:p>
    <w:p w14:paraId="696AB4A9">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项目名称：便携式超声、麻醉工作站等</w:t>
      </w:r>
    </w:p>
    <w:p w14:paraId="3DA1B9B2">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预算金额（元）：1230000 </w:t>
      </w:r>
    </w:p>
    <w:p w14:paraId="005DB6A3">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最高限价（元）：1230000</w:t>
      </w:r>
    </w:p>
    <w:p w14:paraId="26343DF1">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采购需求：</w:t>
      </w:r>
    </w:p>
    <w:p w14:paraId="3D391F45">
      <w:pPr>
        <w:pStyle w:val="27"/>
        <w:widowControl/>
        <w:spacing w:before="75" w:beforeAutospacing="0" w:after="75" w:afterAutospacing="0" w:line="300" w:lineRule="atLeast"/>
        <w:ind w:firstLine="381"/>
        <w:rPr>
          <w:rFonts w:ascii="仿宋" w:hAnsi="仿宋" w:eastAsia="仿宋" w:cs="仿宋"/>
          <w:color w:val="auto"/>
          <w:highlight w:val="none"/>
        </w:rPr>
      </w:pPr>
    </w:p>
    <w:p w14:paraId="53715E53">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 xml:space="preserve">标项名称：便携式超声、麻醉工作站等 </w:t>
      </w:r>
    </w:p>
    <w:p w14:paraId="3F3C8233">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数量：1       </w:t>
      </w:r>
    </w:p>
    <w:p w14:paraId="0F5BB586">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预算金额（元）：1230000 </w:t>
      </w:r>
    </w:p>
    <w:p w14:paraId="4C4F84BC">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单位：套</w:t>
      </w:r>
    </w:p>
    <w:p w14:paraId="21A3FCD6">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简要规格描述：包含便携式彩色多普勒超声诊断仪、麻醉机、麻醉监护仪等设备 。</w:t>
      </w:r>
    </w:p>
    <w:p w14:paraId="2B275DBC">
      <w:pPr>
        <w:pStyle w:val="27"/>
        <w:widowControl/>
        <w:spacing w:before="75" w:beforeAutospacing="0" w:after="75" w:afterAutospacing="0" w:line="300" w:lineRule="atLeast"/>
        <w:ind w:firstLine="381"/>
        <w:rPr>
          <w:rFonts w:ascii="仿宋" w:hAnsi="仿宋" w:eastAsia="仿宋" w:cs="仿宋"/>
          <w:color w:val="auto"/>
          <w:highlight w:val="none"/>
        </w:rPr>
      </w:pPr>
    </w:p>
    <w:p w14:paraId="2043AD6C">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备注：  </w:t>
      </w:r>
    </w:p>
    <w:p w14:paraId="5F60BD95">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合同履约期限：标项 1：详见招标文件要求。</w:t>
      </w:r>
    </w:p>
    <w:p w14:paraId="1D55E38F">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本项目（否）接受联合体投标。</w:t>
      </w:r>
    </w:p>
    <w:p w14:paraId="0307A40B">
      <w:pPr>
        <w:pStyle w:val="27"/>
        <w:widowControl/>
        <w:spacing w:before="225" w:beforeAutospacing="0" w:after="225" w:afterAutospacing="0" w:line="300" w:lineRule="atLeast"/>
        <w:rPr>
          <w:color w:val="auto"/>
          <w:highlight w:val="none"/>
        </w:rPr>
      </w:pPr>
      <w:r>
        <w:rPr>
          <w:rStyle w:val="35"/>
          <w:rFonts w:ascii="黑体" w:hAnsi="宋体" w:eastAsia="黑体"/>
          <w:color w:val="auto"/>
          <w:highlight w:val="none"/>
        </w:rPr>
        <w:t>二、申请人的资格要求：</w:t>
      </w:r>
    </w:p>
    <w:p w14:paraId="572CEB39">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7148D082">
      <w:pPr>
        <w:pStyle w:val="27"/>
        <w:widowControl/>
        <w:spacing w:before="75" w:beforeAutospacing="0" w:after="75" w:afterAutospacing="0" w:line="300" w:lineRule="atLeast"/>
        <w:rPr>
          <w:rFonts w:eastAsia="仿宋"/>
          <w:color w:val="auto"/>
          <w:highlight w:val="none"/>
        </w:rPr>
      </w:pPr>
      <w:r>
        <w:rPr>
          <w:rFonts w:hint="eastAsia" w:ascii="仿宋" w:hAnsi="仿宋" w:eastAsia="仿宋" w:cs="仿宋"/>
          <w:color w:val="auto"/>
          <w:highlight w:val="none"/>
        </w:rPr>
        <w:t>    2.落实政府采购政策需满足的资格要求：无。</w:t>
      </w:r>
    </w:p>
    <w:p w14:paraId="1174042A">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3.本项目的特定资格要求：无。 </w:t>
      </w:r>
    </w:p>
    <w:p w14:paraId="2AD07954">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三、获取招标文件</w:t>
      </w:r>
      <w:r>
        <w:rPr>
          <w:rFonts w:ascii="黑体" w:hAnsi="宋体" w:eastAsia="黑体"/>
          <w:color w:val="auto"/>
          <w:highlight w:val="none"/>
        </w:rPr>
        <w:t> </w:t>
      </w:r>
    </w:p>
    <w:p w14:paraId="1ACB5C97">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时间：/至2025年</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24</w:t>
      </w:r>
      <w:r>
        <w:rPr>
          <w:rFonts w:hint="eastAsia" w:ascii="仿宋" w:hAnsi="仿宋" w:eastAsia="仿宋" w:cs="仿宋"/>
          <w:color w:val="auto"/>
          <w:highlight w:val="none"/>
        </w:rPr>
        <w:t>日  ，每天上午00:00至12:00 ，下午12:00至23:59（北京时间，线上获取法定节假日均可，线下获取文件法定节假日除外）</w:t>
      </w:r>
    </w:p>
    <w:p w14:paraId="06ABD4DE">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 xml:space="preserve">地点（网址）：政采云平台（http://zfcg.czt.zj.gov.cn/）     </w:t>
      </w:r>
    </w:p>
    <w:p w14:paraId="0911EB1E">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方式：供应商登录政采云平台（http://zfcg.czt.zj.gov.cn/） 在线申请获取采购文件（进入“项目采购”应用，在获取采购文件菜单中选择项目，申请获取采购文件） </w:t>
      </w:r>
    </w:p>
    <w:p w14:paraId="0F75A6A8">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售价（元）：0 </w:t>
      </w:r>
    </w:p>
    <w:p w14:paraId="2F873CD2">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四、提交投标文件截止时间、开标时间和地点</w:t>
      </w:r>
    </w:p>
    <w:p w14:paraId="72350A32">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提交投标文件截止时间：2025年</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24</w:t>
      </w:r>
      <w:r>
        <w:rPr>
          <w:rFonts w:hint="eastAsia" w:ascii="仿宋" w:hAnsi="仿宋" w:eastAsia="仿宋" w:cs="仿宋"/>
          <w:color w:val="auto"/>
          <w:highlight w:val="none"/>
        </w:rPr>
        <w:t xml:space="preserve">日 </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rPr>
        <w:t>:00（北京时间）</w:t>
      </w:r>
    </w:p>
    <w:p w14:paraId="77D50C0F">
      <w:pPr>
        <w:pStyle w:val="27"/>
        <w:widowControl/>
        <w:spacing w:before="75" w:beforeAutospacing="0" w:after="75" w:afterAutospacing="0" w:line="300" w:lineRule="atLeast"/>
        <w:ind w:firstLine="327"/>
        <w:rPr>
          <w:rFonts w:ascii="仿宋" w:hAnsi="仿宋" w:eastAsia="仿宋" w:cs="仿宋"/>
          <w:color w:val="auto"/>
          <w:highlight w:val="none"/>
        </w:rPr>
      </w:pPr>
      <w:r>
        <w:rPr>
          <w:rFonts w:hint="eastAsia" w:ascii="仿宋" w:hAnsi="仿宋" w:eastAsia="仿宋" w:cs="仿宋"/>
          <w:color w:val="auto"/>
          <w:highlight w:val="none"/>
        </w:rPr>
        <w:t>投标地点（网址）：“政府采购云平台（http://zfcg.czt.zj.gov.cn/）”在线递交 </w:t>
      </w:r>
    </w:p>
    <w:p w14:paraId="433C8ADE">
      <w:pPr>
        <w:pStyle w:val="27"/>
        <w:widowControl/>
        <w:spacing w:before="75" w:beforeAutospacing="0" w:after="75" w:afterAutospacing="0" w:line="300" w:lineRule="atLeast"/>
        <w:ind w:firstLine="327"/>
        <w:rPr>
          <w:rFonts w:ascii="仿宋" w:hAnsi="仿宋" w:eastAsia="仿宋" w:cs="仿宋"/>
          <w:color w:val="auto"/>
          <w:highlight w:val="none"/>
        </w:rPr>
      </w:pPr>
      <w:r>
        <w:rPr>
          <w:rFonts w:hint="eastAsia" w:ascii="仿宋" w:hAnsi="仿宋" w:eastAsia="仿宋" w:cs="仿宋"/>
          <w:color w:val="auto"/>
          <w:highlight w:val="none"/>
        </w:rPr>
        <w:t>开标时间：2025年</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24</w:t>
      </w:r>
      <w:r>
        <w:rPr>
          <w:rFonts w:hint="eastAsia" w:ascii="仿宋" w:hAnsi="仿宋" w:eastAsia="仿宋" w:cs="仿宋"/>
          <w:color w:val="auto"/>
          <w:highlight w:val="none"/>
        </w:rPr>
        <w:t xml:space="preserve">日 </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rPr>
        <w:t>:00</w:t>
      </w:r>
    </w:p>
    <w:p w14:paraId="04A84463">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开标地点（网址）：“政府采购云平台（http://zfcg.czt.zj.gov.cn/）”在线开标  </w:t>
      </w:r>
    </w:p>
    <w:p w14:paraId="4654465B">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五、公告期限</w:t>
      </w:r>
      <w:r>
        <w:rPr>
          <w:rFonts w:ascii="黑体" w:hAnsi="宋体" w:eastAsia="黑体"/>
          <w:color w:val="auto"/>
          <w:highlight w:val="none"/>
        </w:rPr>
        <w:t> </w:t>
      </w:r>
    </w:p>
    <w:p w14:paraId="2A1BFA56">
      <w:pPr>
        <w:pStyle w:val="27"/>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0E5F7097">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六、其他补充事宜</w:t>
      </w:r>
    </w:p>
    <w:p w14:paraId="7E6EFEEF">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03370BDE">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1CEECA2">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A58EA68">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4.其他事项：</w:t>
      </w:r>
    </w:p>
    <w:p w14:paraId="30256363">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4.1本项目采用政府采购电子化交易。</w:t>
      </w:r>
    </w:p>
    <w:p w14:paraId="25628B02">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4.2为确保网上操作合法、有效和安全，供应商应当在投标截止时间前，注册政府采购云平台（供应商注册页面：https://middle.zcygov.cn/settle-front/#/registry），完成电子交易平台上的CA数字证书办理（办理流程详见</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"http://zfcg.czt.zj.gov.cn/）。"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http://zfcg.czt.zj.gov.cn/）。</w:t>
      </w:r>
      <w:r>
        <w:rPr>
          <w:rFonts w:hint="eastAsia" w:ascii="仿宋" w:hAnsi="仿宋" w:eastAsia="仿宋" w:cs="仿宋"/>
          <w:color w:val="auto"/>
          <w:highlight w:val="none"/>
        </w:rPr>
        <w:fldChar w:fldCharType="end"/>
      </w:r>
    </w:p>
    <w:p w14:paraId="507B8E7D">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4.3投标供应商应安装“政采云投标客户端”，电子投标工具请投标供应商自行前往浙江政府采购网下载并安装，（下载网址：</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"http://zfcg.czt.zj.gov.cn/）。"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http://zfcg.czt.zj.gov.cn/）。</w:t>
      </w:r>
      <w:r>
        <w:rPr>
          <w:rFonts w:hint="eastAsia" w:ascii="仿宋" w:hAnsi="仿宋" w:eastAsia="仿宋" w:cs="仿宋"/>
          <w:color w:val="auto"/>
          <w:highlight w:val="none"/>
        </w:rPr>
        <w:fldChar w:fldCharType="end"/>
      </w:r>
    </w:p>
    <w:p w14:paraId="2F16252E">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4.4电子交易具体流程详见操作指南：登录政府采购云平台（http://zfcg.czt.zj.gov.cn/），从首页-服务中心-帮助文档-项目采购-电子招投标，查看文档和视频。</w:t>
      </w:r>
    </w:p>
    <w:p w14:paraId="7F9D3265">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4.5如有疑问，可致电政府采购云平台技术支持热线咨询，联系方式：95763。</w:t>
      </w:r>
    </w:p>
    <w:p w14:paraId="4CA340FB">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4.6供应商应当在投标截止时间前完成“电子加密响应文件”的在线提交，投标截止时间前可以补充、修改或者撤回电子加密响应文件。补充或者修改电子加密响应文件的，应当先行撤回原文件，补充、修改后重新上传提交。投标截止时间前未完成提交的，视为撤回响应文件。逾期递交的电子加密响应文件，将被政采云平台拒收。</w:t>
      </w:r>
    </w:p>
    <w:p w14:paraId="2E00B36D">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4.7中标人应在合同签订前完成政府采购云平台（http://zfcg.czt.zj.gov.cn/）全部注册步骤并成为正式注册入库供应商，否则将导致合同款无法正常支付，责任由中标人承担。  </w:t>
      </w:r>
    </w:p>
    <w:p w14:paraId="6BF0390F">
      <w:pPr>
        <w:pStyle w:val="27"/>
        <w:widowControl/>
        <w:spacing w:before="255" w:beforeAutospacing="0" w:after="255" w:afterAutospacing="0" w:line="480" w:lineRule="atLeast"/>
        <w:jc w:val="both"/>
        <w:rPr>
          <w:rFonts w:ascii="黑体" w:hAnsi="宋体" w:eastAsia="黑体"/>
          <w:color w:val="auto"/>
          <w:highlight w:val="none"/>
        </w:rPr>
      </w:pPr>
      <w:r>
        <w:rPr>
          <w:rStyle w:val="35"/>
          <w:rFonts w:ascii="黑体" w:hAnsi="宋体" w:eastAsia="黑体"/>
          <w:color w:val="auto"/>
          <w:highlight w:val="none"/>
        </w:rPr>
        <w:t>七、对本次采购提出询问、质疑、投诉，请按以下方式联系</w:t>
      </w:r>
    </w:p>
    <w:p w14:paraId="79C9D3D4">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 1.采购人信息</w:t>
      </w:r>
    </w:p>
    <w:p w14:paraId="4ED0750F">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名    称：泰顺县中医院（泰顺县中医院医共体） </w:t>
      </w:r>
    </w:p>
    <w:p w14:paraId="2E27A2D5">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地    址：温州市泰顺县罗阳镇爱民路168号</w:t>
      </w:r>
    </w:p>
    <w:p w14:paraId="419E8BD0">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传 真：</w:t>
      </w:r>
    </w:p>
    <w:p w14:paraId="7A667A82">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项目联系人（询问）：蓝亦杰</w:t>
      </w:r>
    </w:p>
    <w:p w14:paraId="4876C629">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项目联系方式（询问）：0577-59297587</w:t>
      </w:r>
    </w:p>
    <w:p w14:paraId="0F9CF355">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质疑联系人：邱鸿翊</w:t>
      </w:r>
    </w:p>
    <w:p w14:paraId="132FAE97">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质疑联系方式：0577-59287587</w:t>
      </w:r>
      <w:r>
        <w:rPr>
          <w:rFonts w:hint="eastAsia"/>
          <w:color w:val="auto"/>
          <w:highlight w:val="none"/>
        </w:rPr>
        <w:t>    </w:t>
      </w:r>
    </w:p>
    <w:p w14:paraId="27499EDD">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2.采购代理机构信息            </w:t>
      </w:r>
    </w:p>
    <w:p w14:paraId="4E604D1D">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名    称：杭州华旗招标代理有限公司             </w:t>
      </w:r>
    </w:p>
    <w:p w14:paraId="5F7B40A7">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地    址：温州市泰顺县罗阳镇文祥大道电网弄1号301（县交通运输管理中心隔壁） </w:t>
      </w:r>
    </w:p>
    <w:p w14:paraId="166C2ED2">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传    真：  </w:t>
      </w:r>
    </w:p>
    <w:p w14:paraId="4F4CF432">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项目联系人（询问）：翁爱霜 </w:t>
      </w:r>
    </w:p>
    <w:p w14:paraId="56410E0F">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项目联系方式（询问）：17858065131 </w:t>
      </w:r>
    </w:p>
    <w:p w14:paraId="18C544DF">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质疑联系人：苏红 </w:t>
      </w:r>
    </w:p>
    <w:p w14:paraId="62EFD64F">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质疑联系方式：15888799321 　　　　　　     </w:t>
      </w:r>
    </w:p>
    <w:p w14:paraId="25FD707D">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w:t>
      </w:r>
    </w:p>
    <w:p w14:paraId="06D13272">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3.同级政府采购监督管理部门            </w:t>
      </w:r>
    </w:p>
    <w:p w14:paraId="2288FA62">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名    称：泰顺县财政局（浙江省政府采购行政裁决服务中心（温州））</w:t>
      </w:r>
    </w:p>
    <w:p w14:paraId="7BFA5990">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地址：温州市鹿城区滨江街道瓯江路展银大厦1606室</w:t>
      </w:r>
    </w:p>
    <w:p w14:paraId="4E4AF2F5">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传真：</w:t>
      </w:r>
    </w:p>
    <w:p w14:paraId="2C576E68">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联系人：李老师、王老师</w:t>
      </w:r>
    </w:p>
    <w:p w14:paraId="3133579C">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监督投诉电话：0577-85501561，0577-85501562           </w:t>
      </w:r>
    </w:p>
    <w:p w14:paraId="19B4CE9F">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48676029">
      <w:pPr>
        <w:pStyle w:val="14"/>
        <w:ind w:left="0" w:right="-257"/>
        <w:rPr>
          <w:b/>
          <w:bCs/>
          <w:color w:val="auto"/>
          <w:sz w:val="32"/>
          <w:szCs w:val="32"/>
          <w:highlight w:val="none"/>
        </w:rPr>
      </w:pPr>
    </w:p>
    <w:p w14:paraId="40E0D9CA">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31904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0D0FEC82">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36F0EDB3">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53DBC7E3">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62CE3A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686F93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313FE6A">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3113E1E7">
            <w:pPr>
              <w:rPr>
                <w:rFonts w:ascii="宋体"/>
                <w:color w:val="auto"/>
                <w:sz w:val="22"/>
                <w:szCs w:val="22"/>
                <w:highlight w:val="none"/>
              </w:rPr>
            </w:pPr>
            <w:r>
              <w:rPr>
                <w:rFonts w:hint="eastAsia" w:ascii="宋体" w:cs="Arial"/>
                <w:color w:val="auto"/>
                <w:sz w:val="22"/>
                <w:szCs w:val="22"/>
                <w:highlight w:val="none"/>
              </w:rPr>
              <w:t>便携式超声、麻醉工作站等</w:t>
            </w:r>
          </w:p>
        </w:tc>
      </w:tr>
      <w:tr w14:paraId="2FA68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C94161A">
            <w:pPr>
              <w:widowControl/>
              <w:numPr>
                <w:ilvl w:val="0"/>
                <w:numId w:val="8"/>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78209FD6">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16A0BE05">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 xml:space="preserve">TSCG202511005 </w:t>
            </w:r>
          </w:p>
        </w:tc>
      </w:tr>
      <w:tr w14:paraId="1783A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1B8B63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633002C">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2D9A678F">
            <w:pPr>
              <w:rPr>
                <w:rFonts w:ascii="宋体" w:cs="Arial"/>
                <w:color w:val="auto"/>
                <w:sz w:val="22"/>
                <w:szCs w:val="22"/>
                <w:highlight w:val="none"/>
              </w:rPr>
            </w:pPr>
            <w:r>
              <w:rPr>
                <w:rFonts w:hint="eastAsia" w:ascii="宋体"/>
                <w:color w:val="auto"/>
                <w:sz w:val="22"/>
                <w:szCs w:val="22"/>
                <w:highlight w:val="none"/>
              </w:rPr>
              <w:t>财政性资金</w:t>
            </w:r>
          </w:p>
        </w:tc>
      </w:tr>
      <w:tr w14:paraId="329E7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1DF078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43060F1">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5F03DF68">
            <w:pPr>
              <w:rPr>
                <w:rFonts w:ascii="宋体" w:hAnsi="宋体" w:cs="宋体"/>
                <w:color w:val="auto"/>
                <w:sz w:val="22"/>
                <w:szCs w:val="22"/>
                <w:highlight w:val="none"/>
              </w:rPr>
            </w:pPr>
            <w:r>
              <w:rPr>
                <w:rFonts w:hint="eastAsia" w:ascii="宋体" w:hAnsi="宋体" w:cs="宋体"/>
                <w:color w:val="auto"/>
                <w:sz w:val="22"/>
                <w:szCs w:val="22"/>
                <w:highlight w:val="none"/>
              </w:rPr>
              <w:t>公开招标</w:t>
            </w:r>
          </w:p>
        </w:tc>
      </w:tr>
      <w:tr w14:paraId="32CDC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04E7C0B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9D81640">
            <w:pPr>
              <w:jc w:val="center"/>
              <w:rPr>
                <w:rFonts w:ascii="宋体" w:cs="宋体"/>
                <w:color w:val="auto"/>
                <w:sz w:val="22"/>
                <w:szCs w:val="22"/>
                <w:highlight w:val="none"/>
              </w:rPr>
            </w:pPr>
            <w:r>
              <w:rPr>
                <w:rFonts w:hint="eastAsia" w:ascii="宋体" w:hAnsi="宋体" w:cs="宋体"/>
                <w:color w:val="auto"/>
                <w:sz w:val="22"/>
                <w:szCs w:val="22"/>
                <w:highlight w:val="none"/>
              </w:rPr>
              <w:t>采购预算（最高限价）</w:t>
            </w:r>
          </w:p>
        </w:tc>
        <w:tc>
          <w:tcPr>
            <w:tcW w:w="7619" w:type="dxa"/>
            <w:vAlign w:val="center"/>
          </w:tcPr>
          <w:p w14:paraId="01DA67D3">
            <w:pPr>
              <w:rPr>
                <w:rFonts w:ascii="宋体" w:hAnsi="宋体" w:cs="宋体"/>
                <w:color w:val="auto"/>
                <w:sz w:val="22"/>
                <w:szCs w:val="22"/>
                <w:highlight w:val="none"/>
              </w:rPr>
            </w:pPr>
            <w:r>
              <w:rPr>
                <w:rFonts w:hint="eastAsia" w:ascii="宋体" w:hAnsi="宋体" w:cs="宋体"/>
                <w:color w:val="auto"/>
                <w:sz w:val="22"/>
                <w:szCs w:val="22"/>
                <w:highlight w:val="none"/>
              </w:rPr>
              <w:t>1230000人民币</w:t>
            </w:r>
          </w:p>
        </w:tc>
      </w:tr>
      <w:tr w14:paraId="267D53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AD4A18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A461262">
            <w:pPr>
              <w:tabs>
                <w:tab w:val="left" w:pos="1069"/>
              </w:tabs>
              <w:adjustRightInd w:val="0"/>
              <w:jc w:val="center"/>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1D3C1EFB">
            <w:pPr>
              <w:jc w:val="left"/>
              <w:rPr>
                <w:rFonts w:ascii="宋体" w:hAnsi="宋体" w:cs="宋体"/>
                <w:color w:val="auto"/>
                <w:sz w:val="22"/>
                <w:szCs w:val="22"/>
                <w:highlight w:val="none"/>
              </w:rPr>
            </w:pPr>
            <w:r>
              <w:rPr>
                <w:rFonts w:hint="eastAsia" w:ascii="宋体" w:hAnsi="宋体" w:cs="宋体"/>
                <w:color w:val="auto"/>
                <w:sz w:val="22"/>
                <w:szCs w:val="22"/>
                <w:highlight w:val="none"/>
              </w:rPr>
              <w:t>泰顺县中医院（泰顺县中医院医共体）</w:t>
            </w:r>
          </w:p>
        </w:tc>
      </w:tr>
      <w:tr w14:paraId="019330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104F0C3">
            <w:pPr>
              <w:widowControl/>
              <w:numPr>
                <w:ilvl w:val="0"/>
                <w:numId w:val="8"/>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25952409">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659433C6">
            <w:pPr>
              <w:tabs>
                <w:tab w:val="left" w:pos="1069"/>
              </w:tabs>
              <w:adjustRightInd w:val="0"/>
              <w:jc w:val="left"/>
              <w:rPr>
                <w:rFonts w:ascii="宋体"/>
                <w:color w:val="auto"/>
                <w:sz w:val="22"/>
                <w:szCs w:val="22"/>
                <w:highlight w:val="none"/>
              </w:rPr>
            </w:pPr>
            <w:r>
              <w:rPr>
                <w:rFonts w:hint="eastAsia" w:ascii="宋体"/>
                <w:color w:val="auto"/>
                <w:sz w:val="22"/>
                <w:szCs w:val="22"/>
                <w:highlight w:val="none"/>
              </w:rPr>
              <w:t>杭州华旗招标代理有限公司</w:t>
            </w:r>
          </w:p>
        </w:tc>
      </w:tr>
      <w:tr w14:paraId="478C28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6AD5612">
            <w:pPr>
              <w:widowControl/>
              <w:numPr>
                <w:ilvl w:val="0"/>
                <w:numId w:val="8"/>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42CBAAD6">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1A659EDC">
            <w:pPr>
              <w:adjustRightInd w:val="0"/>
              <w:rPr>
                <w:rFonts w:ascii="宋体"/>
                <w:color w:val="auto"/>
                <w:sz w:val="22"/>
                <w:szCs w:val="22"/>
                <w:highlight w:val="none"/>
              </w:rPr>
            </w:pPr>
            <w:r>
              <w:rPr>
                <w:rFonts w:hint="eastAsia" w:ascii="宋体"/>
                <w:color w:val="auto"/>
                <w:sz w:val="22"/>
                <w:szCs w:val="22"/>
                <w:highlight w:val="none"/>
              </w:rPr>
              <w:t>综合评分法</w:t>
            </w:r>
          </w:p>
        </w:tc>
      </w:tr>
      <w:tr w14:paraId="3A0F24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6F1004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6A4AC9D">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367ED070">
            <w:pPr>
              <w:adjustRightInd w:val="0"/>
              <w:rPr>
                <w:rFonts w:ascii="宋体"/>
                <w:color w:val="auto"/>
                <w:sz w:val="22"/>
                <w:szCs w:val="22"/>
                <w:highlight w:val="none"/>
              </w:rPr>
            </w:pPr>
            <w:r>
              <w:rPr>
                <w:rFonts w:hint="eastAsia" w:ascii="宋体"/>
                <w:color w:val="auto"/>
                <w:sz w:val="22"/>
                <w:szCs w:val="22"/>
                <w:highlight w:val="none"/>
              </w:rPr>
              <w:t>具体内容见招标文件。</w:t>
            </w:r>
          </w:p>
        </w:tc>
      </w:tr>
      <w:tr w14:paraId="5F27B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71F8AEE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C5A8A50">
            <w:pPr>
              <w:jc w:val="left"/>
              <w:rPr>
                <w:rFonts w:ascii="宋体"/>
                <w:color w:val="auto"/>
                <w:sz w:val="22"/>
                <w:szCs w:val="22"/>
                <w:highlight w:val="none"/>
              </w:rPr>
            </w:pPr>
            <w:r>
              <w:rPr>
                <w:rFonts w:hint="eastAsia" w:ascii="宋体"/>
                <w:color w:val="auto"/>
                <w:sz w:val="22"/>
                <w:szCs w:val="22"/>
                <w:highlight w:val="none"/>
              </w:rPr>
              <w:t>投标供应商</w:t>
            </w:r>
          </w:p>
          <w:p w14:paraId="68791A78">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08F94DBB">
            <w:pPr>
              <w:adjustRightInd w:val="0"/>
              <w:rPr>
                <w:rFonts w:ascii="宋体"/>
                <w:color w:val="auto"/>
                <w:sz w:val="22"/>
                <w:szCs w:val="22"/>
                <w:highlight w:val="none"/>
              </w:rPr>
            </w:pPr>
            <w:r>
              <w:rPr>
                <w:rFonts w:hint="eastAsia" w:ascii="宋体"/>
                <w:color w:val="auto"/>
                <w:sz w:val="22"/>
                <w:szCs w:val="22"/>
                <w:highlight w:val="none"/>
              </w:rPr>
              <w:t>详见招标公告</w:t>
            </w:r>
          </w:p>
        </w:tc>
      </w:tr>
      <w:tr w14:paraId="09B21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13654D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C61A9CC">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79BBF450">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3A988EFC">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58B52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15C51D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DBB7A59">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3C515D62">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18784328">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1EBDA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85D52E7">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F423671">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5A2F74A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699BF2C7">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61D1B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6C886D4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8D426F0">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0DE6943D">
            <w:pPr>
              <w:adjustRightInd w:val="0"/>
              <w:rPr>
                <w:rFonts w:ascii="宋体"/>
                <w:color w:val="auto"/>
                <w:sz w:val="22"/>
                <w:szCs w:val="22"/>
                <w:highlight w:val="none"/>
              </w:rPr>
            </w:pPr>
            <w:r>
              <w:rPr>
                <w:rFonts w:hint="eastAsia" w:ascii="宋体"/>
                <w:color w:val="auto"/>
                <w:sz w:val="22"/>
                <w:szCs w:val="22"/>
                <w:highlight w:val="none"/>
              </w:rPr>
              <w:t>人民币</w:t>
            </w:r>
          </w:p>
        </w:tc>
      </w:tr>
      <w:tr w14:paraId="3CE2AF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4ED041D">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3C3B18A">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157ECF48">
            <w:pPr>
              <w:adjustRightInd w:val="0"/>
              <w:rPr>
                <w:rFonts w:ascii="宋体"/>
                <w:color w:val="auto"/>
                <w:sz w:val="22"/>
                <w:szCs w:val="22"/>
                <w:highlight w:val="none"/>
              </w:rPr>
            </w:pPr>
            <w:r>
              <w:rPr>
                <w:rFonts w:hint="eastAsia" w:ascii="宋体"/>
                <w:color w:val="auto"/>
                <w:sz w:val="22"/>
                <w:szCs w:val="22"/>
                <w:highlight w:val="none"/>
              </w:rPr>
              <w:t>中文</w:t>
            </w:r>
          </w:p>
        </w:tc>
      </w:tr>
      <w:tr w14:paraId="18883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5F8529B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29D1D0E">
            <w:pPr>
              <w:tabs>
                <w:tab w:val="left" w:pos="1069"/>
                <w:tab w:val="left" w:pos="2352"/>
              </w:tabs>
              <w:jc w:val="center"/>
              <w:rPr>
                <w:rFonts w:ascii="宋体" w:cs="Arial"/>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30706CF1">
            <w:pPr>
              <w:jc w:val="left"/>
              <w:rPr>
                <w:rFonts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color w:val="auto"/>
                <w:sz w:val="22"/>
                <w:highlight w:val="none"/>
              </w:rPr>
              <w:t>.</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《资格文件》《商务技术文件》《报价文件》。</w:t>
            </w:r>
          </w:p>
          <w:p w14:paraId="64101EA2">
            <w:pPr>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597418D2">
            <w:pPr>
              <w:rPr>
                <w:rFonts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55E926AD">
            <w:pPr>
              <w:rPr>
                <w:rFonts w:ascii="宋体" w:hAnsi="宋体" w:cs="宋体"/>
                <w:color w:val="auto"/>
                <w:sz w:val="22"/>
                <w:highlight w:val="none"/>
                <w:lang w:bidi="ar"/>
              </w:rPr>
            </w:pPr>
            <w:r>
              <w:rPr>
                <w:rFonts w:hint="eastAsia" w:ascii="宋体" w:hAnsi="宋体" w:cs="宋体"/>
                <w:color w:val="auto"/>
                <w:sz w:val="22"/>
                <w:highlight w:val="none"/>
              </w:rPr>
              <w:t>4.</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w:t>
            </w:r>
            <w:r>
              <w:rPr>
                <w:rFonts w:hint="eastAsia" w:ascii="宋体" w:hAnsi="宋体" w:cs="宋体"/>
                <w:color w:val="auto"/>
                <w:sz w:val="22"/>
                <w:highlight w:val="none"/>
                <w:lang w:bidi="ar"/>
              </w:rPr>
              <w:t>电子加密投标文件”）；</w:t>
            </w:r>
          </w:p>
          <w:p w14:paraId="6C7D9462">
            <w:pPr>
              <w:rPr>
                <w:rFonts w:ascii="宋体" w:hAnsi="宋体" w:cs="宋体"/>
                <w:color w:val="auto"/>
                <w:sz w:val="22"/>
                <w:highlight w:val="none"/>
                <w:lang w:bidi="ar"/>
              </w:rPr>
            </w:pPr>
            <w:r>
              <w:rPr>
                <w:rFonts w:hint="eastAsia" w:ascii="宋体" w:hAnsi="宋体" w:cs="宋体"/>
                <w:color w:val="auto"/>
                <w:sz w:val="22"/>
                <w:highlight w:val="none"/>
                <w:lang w:bidi="ar"/>
              </w:rPr>
              <w:t>“电子加密投标文件”是指通过“政采云电子交易客户端”完成投标文件编制后生成并加密的数据电文形式的投标文件。</w:t>
            </w:r>
          </w:p>
          <w:p w14:paraId="28B27621">
            <w:pPr>
              <w:jc w:val="left"/>
              <w:rPr>
                <w:rFonts w:ascii="宋体" w:hAnsi="宋体" w:cs="宋体"/>
                <w:color w:val="auto"/>
                <w:sz w:val="22"/>
                <w:highlight w:val="none"/>
                <w:lang w:bidi="ar"/>
              </w:rPr>
            </w:pPr>
            <w:r>
              <w:rPr>
                <w:rFonts w:hint="eastAsia" w:ascii="宋体" w:hAnsi="宋体" w:cs="宋体"/>
                <w:b/>
                <w:bCs/>
                <w:color w:val="auto"/>
                <w:sz w:val="22"/>
                <w:highlight w:val="none"/>
                <w:lang w:bidi="ar"/>
              </w:rPr>
              <w:t>5.投标文件份数：</w:t>
            </w:r>
            <w:r>
              <w:rPr>
                <w:rFonts w:hint="eastAsia" w:ascii="宋体" w:hAnsi="宋体" w:cs="宋体"/>
                <w:color w:val="auto"/>
                <w:sz w:val="22"/>
                <w:highlight w:val="none"/>
                <w:lang w:bidi="ar"/>
              </w:rPr>
              <w:t>“电子加密投标文件”：在线上传递交。</w:t>
            </w:r>
          </w:p>
          <w:p w14:paraId="616A93A6">
            <w:pPr>
              <w:rPr>
                <w:rFonts w:ascii="宋体" w:hAnsi="宋体" w:cs="宋体"/>
                <w:b/>
                <w:bCs/>
                <w:color w:val="auto"/>
                <w:sz w:val="22"/>
                <w:highlight w:val="none"/>
                <w:lang w:bidi="ar"/>
              </w:rPr>
            </w:pPr>
            <w:r>
              <w:rPr>
                <w:rFonts w:hint="eastAsia" w:ascii="宋体" w:hAnsi="宋体" w:cs="宋体"/>
                <w:color w:val="auto"/>
                <w:sz w:val="22"/>
                <w:highlight w:val="none"/>
                <w:lang w:bidi="ar"/>
              </w:rPr>
              <w:t>6.</w:t>
            </w:r>
            <w:r>
              <w:rPr>
                <w:rFonts w:hint="eastAsia" w:ascii="宋体" w:hAnsi="宋体" w:cs="宋体"/>
                <w:b/>
                <w:bCs/>
                <w:color w:val="auto"/>
                <w:sz w:val="22"/>
                <w:highlight w:val="none"/>
                <w:lang w:bidi="ar"/>
              </w:rPr>
              <w:t>投标文件的上传和递交：</w:t>
            </w:r>
          </w:p>
          <w:p w14:paraId="50AF21F8">
            <w:pPr>
              <w:rPr>
                <w:rFonts w:ascii="宋体" w:hAnsi="宋体" w:cs="宋体"/>
                <w:color w:val="auto"/>
                <w:sz w:val="22"/>
                <w:highlight w:val="none"/>
                <w:lang w:bidi="ar"/>
              </w:rPr>
            </w:pPr>
            <w:r>
              <w:rPr>
                <w:rFonts w:hint="eastAsia" w:ascii="宋体" w:hAnsi="宋体" w:cs="宋体"/>
                <w:color w:val="auto"/>
                <w:sz w:val="22"/>
                <w:highlight w:val="none"/>
                <w:lang w:bidi="ar"/>
              </w:rPr>
              <w:t>“电子加密投标文件”的上传、递交：</w:t>
            </w:r>
          </w:p>
          <w:p w14:paraId="69B6F8B0">
            <w:pPr>
              <w:rPr>
                <w:rFonts w:ascii="宋体" w:hAnsi="宋体" w:cs="宋体"/>
                <w:color w:val="auto"/>
                <w:sz w:val="22"/>
                <w:highlight w:val="none"/>
                <w:lang w:bidi="ar"/>
              </w:rPr>
            </w:pPr>
            <w:r>
              <w:rPr>
                <w:rFonts w:hint="eastAsia" w:ascii="宋体" w:hAnsi="宋体" w:cs="宋体"/>
                <w:color w:val="auto"/>
                <w:sz w:val="22"/>
                <w:highlight w:val="none"/>
                <w:lang w:bidi="ar"/>
              </w:rPr>
              <w:t>a.供应商应在投标截止时间前将“电子加密投标文件”成功上传递交至“政府采购云平台”，否则投标无效。</w:t>
            </w:r>
          </w:p>
          <w:p w14:paraId="2B6F70B9">
            <w:pPr>
              <w:rPr>
                <w:rFonts w:ascii="宋体" w:hAnsi="宋体" w:cs="宋体"/>
                <w:color w:val="auto"/>
                <w:sz w:val="22"/>
                <w:highlight w:val="none"/>
                <w:lang w:bidi="ar"/>
              </w:rPr>
            </w:pPr>
            <w:r>
              <w:rPr>
                <w:rFonts w:hint="eastAsia" w:ascii="宋体" w:hAnsi="宋体" w:cs="宋体"/>
                <w:color w:val="auto"/>
                <w:sz w:val="22"/>
                <w:highlight w:val="none"/>
                <w:lang w:bidi="ar"/>
              </w:rPr>
              <w:t>b.“电子加密投标文件”成功上传递交后，供应商可自行打印投标文件接收回执。</w:t>
            </w:r>
          </w:p>
          <w:p w14:paraId="6D443B8D">
            <w:pPr>
              <w:rPr>
                <w:rFonts w:ascii="宋体" w:hAnsi="宋体" w:cs="宋体"/>
                <w:b/>
                <w:bCs/>
                <w:color w:val="auto"/>
                <w:sz w:val="22"/>
                <w:highlight w:val="none"/>
                <w:lang w:bidi="ar"/>
              </w:rPr>
            </w:pPr>
            <w:r>
              <w:rPr>
                <w:rFonts w:hint="eastAsia" w:ascii="宋体" w:hAnsi="宋体" w:cs="宋体"/>
                <w:b/>
                <w:bCs/>
                <w:color w:val="auto"/>
                <w:sz w:val="22"/>
                <w:highlight w:val="none"/>
                <w:lang w:bidi="ar"/>
              </w:rPr>
              <w:t>7.电子加密投标文件的解密：</w:t>
            </w:r>
          </w:p>
          <w:p w14:paraId="6DAD81F6">
            <w:pPr>
              <w:jc w:val="left"/>
              <w:rPr>
                <w:rFonts w:ascii="宋体" w:hAnsi="宋体" w:cs="宋体"/>
                <w:color w:val="auto"/>
                <w:sz w:val="22"/>
                <w:highlight w:val="none"/>
                <w:lang w:bidi="ar"/>
              </w:rPr>
            </w:pPr>
            <w:r>
              <w:rPr>
                <w:rFonts w:hint="eastAsia" w:ascii="宋体" w:hAns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345FB061">
            <w:pPr>
              <w:snapToGrid w:val="0"/>
              <w:rPr>
                <w:rFonts w:ascii="宋体" w:hAnsi="宋体" w:cs="宋体"/>
                <w:color w:val="auto"/>
                <w:sz w:val="22"/>
                <w:highlight w:val="none"/>
                <w:lang w:bidi="ar"/>
              </w:rPr>
            </w:pPr>
            <w:r>
              <w:rPr>
                <w:rFonts w:hint="eastAsia" w:ascii="宋体" w:hAnsi="宋体" w:cs="宋体"/>
                <w:color w:val="auto"/>
                <w:sz w:val="22"/>
                <w:highlight w:val="none"/>
                <w:lang w:bidi="ar"/>
              </w:rPr>
              <w:t>（2）通过“政府采购云平台”成功上传递交的“电子加密投标文件”无法按时解密的，其投标无效。</w:t>
            </w:r>
          </w:p>
          <w:p w14:paraId="55FE5660">
            <w:pPr>
              <w:snapToGrid w:val="0"/>
              <w:rPr>
                <w:rFonts w:ascii="宋体" w:hAnsi="宋体" w:cs="宋体"/>
                <w:color w:val="auto"/>
                <w:sz w:val="22"/>
                <w:highlight w:val="none"/>
                <w:lang w:bidi="ar"/>
              </w:rPr>
            </w:pPr>
            <w:r>
              <w:rPr>
                <w:rFonts w:hint="eastAsia" w:ascii="宋体" w:hAnsi="宋体" w:cs="宋体"/>
                <w:color w:val="auto"/>
                <w:sz w:val="22"/>
                <w:highlight w:val="none"/>
                <w:lang w:bidi="ar"/>
              </w:rPr>
              <w:t>8.投标截止后，在投标有效期内，供应商不能撤销投标文件。</w:t>
            </w:r>
          </w:p>
          <w:p w14:paraId="19447240">
            <w:pPr>
              <w:snapToGrid w:val="0"/>
              <w:rPr>
                <w:rFonts w:ascii="宋体" w:hAnsi="宋体" w:cs="宋体"/>
                <w:color w:val="auto"/>
                <w:sz w:val="22"/>
                <w:highlight w:val="none"/>
                <w:lang w:bidi="ar"/>
              </w:rPr>
            </w:pPr>
            <w:r>
              <w:rPr>
                <w:rFonts w:hint="eastAsia" w:ascii="宋体" w:hAnsi="宋体" w:cs="宋体"/>
                <w:color w:val="auto"/>
                <w:sz w:val="22"/>
                <w:highlight w:val="none"/>
                <w:lang w:bidi="ar"/>
              </w:rPr>
              <w:t>9.存在下列行为的，招标代理机构将其失信行为上报政府采购主管部门，由主管部门按有关规定对其违法失信行为记录进行公开：</w:t>
            </w:r>
          </w:p>
          <w:p w14:paraId="71DFBEC3">
            <w:pPr>
              <w:snapToGrid w:val="0"/>
              <w:rPr>
                <w:rFonts w:ascii="宋体" w:hAnsi="宋体" w:cs="宋体"/>
                <w:color w:val="auto"/>
                <w:sz w:val="22"/>
                <w:highlight w:val="none"/>
                <w:lang w:bidi="ar"/>
              </w:rPr>
            </w:pPr>
            <w:r>
              <w:rPr>
                <w:rFonts w:hint="eastAsia" w:ascii="宋体" w:hAnsi="宋体" w:cs="宋体"/>
                <w:color w:val="auto"/>
                <w:sz w:val="22"/>
                <w:highlight w:val="none"/>
                <w:lang w:bidi="ar"/>
              </w:rPr>
              <w:t>（1）中标或者成交后，拒绝签订政府采购合同的；</w:t>
            </w:r>
          </w:p>
          <w:p w14:paraId="2FA643EA">
            <w:pPr>
              <w:rPr>
                <w:rFonts w:eastAsiaTheme="majorEastAsia"/>
                <w:color w:val="auto"/>
                <w:sz w:val="22"/>
                <w:szCs w:val="22"/>
                <w:highlight w:val="none"/>
              </w:rPr>
            </w:pPr>
            <w:r>
              <w:rPr>
                <w:rFonts w:hint="eastAsia" w:ascii="宋体" w:hAnsi="宋体" w:cs="宋体"/>
                <w:color w:val="auto"/>
                <w:sz w:val="22"/>
                <w:highlight w:val="none"/>
                <w:lang w:bidi="ar"/>
              </w:rPr>
              <w:t>（2）投标有效期内撤销投标文件的。</w:t>
            </w:r>
          </w:p>
        </w:tc>
      </w:tr>
      <w:tr w14:paraId="2B43E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BFD0E67">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61E6BFE">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0821E2AB">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1701631C">
            <w:pPr>
              <w:adjustRightInd w:val="0"/>
              <w:rPr>
                <w:color w:val="auto"/>
                <w:highlight w:val="none"/>
              </w:rPr>
            </w:pPr>
            <w:r>
              <w:rPr>
                <w:rFonts w:hint="eastAsia"/>
                <w:color w:val="auto"/>
                <w:highlight w:val="none"/>
              </w:rPr>
              <w:sym w:font="Wingdings 2" w:char="00A3"/>
            </w:r>
            <w:r>
              <w:rPr>
                <w:rFonts w:hint="eastAsia"/>
                <w:color w:val="auto"/>
                <w:highlight w:val="none"/>
              </w:rPr>
              <w:t>需要</w:t>
            </w:r>
          </w:p>
        </w:tc>
      </w:tr>
      <w:tr w14:paraId="2126F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782A64F">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A330B34">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33418FF3">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753C30BF">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3ECFD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6ECDD0C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8CFFDD2">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0E4947B8">
            <w:pPr>
              <w:snapToGrid w:val="0"/>
              <w:rPr>
                <w:rFonts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2C511CEF">
            <w:pPr>
              <w:snapToGrid w:val="0"/>
              <w:rPr>
                <w:rFonts w:asciiTheme="majorEastAsia" w:hAnsiTheme="majorEastAsia" w:eastAsiaTheme="majorEastAsia" w:cstheme="majorEastAsia"/>
                <w:color w:val="auto"/>
                <w:sz w:val="22"/>
                <w:szCs w:val="22"/>
                <w:highlight w:val="none"/>
              </w:rPr>
            </w:pPr>
            <w:r>
              <w:rPr>
                <w:rFonts w:hint="eastAsia" w:ascii="宋体"/>
                <w:color w:val="auto"/>
                <w:sz w:val="22"/>
                <w:szCs w:val="22"/>
                <w:highlight w:val="none"/>
              </w:rPr>
              <w:sym w:font="Wingdings 2" w:char="00A3"/>
            </w:r>
            <w:r>
              <w:rPr>
                <w:rFonts w:hint="eastAsia" w:asciiTheme="majorEastAsia" w:hAnsiTheme="majorEastAsia" w:eastAsiaTheme="majorEastAsia" w:cstheme="majorEastAsia"/>
                <w:color w:val="auto"/>
                <w:sz w:val="22"/>
                <w:szCs w:val="22"/>
                <w:highlight w:val="none"/>
              </w:rPr>
              <w:t>需要 ：合同签订后5个工作日内中标供应商应提供合同总金额1%的履约保证金至采购单位指定账户，供应商可以银行、保险公司出具保函形式提交履约保证金</w:t>
            </w:r>
            <w:r>
              <w:rPr>
                <w:rFonts w:hint="eastAsia" w:ascii="宋体"/>
                <w:color w:val="auto"/>
                <w:sz w:val="22"/>
                <w:highlight w:val="none"/>
              </w:rPr>
              <w:t>。</w:t>
            </w:r>
            <w:r>
              <w:rPr>
                <w:rFonts w:hint="eastAsia" w:ascii="宋体" w:hAnsi="宋体" w:cs="宋体"/>
                <w:color w:val="auto"/>
                <w:sz w:val="22"/>
                <w:highlight w:val="none"/>
              </w:rPr>
              <w:t>履约保证金在服务期满后15日内退还（经采购人确认不存在扣除履约保证金的行为）</w:t>
            </w:r>
            <w:r>
              <w:rPr>
                <w:rFonts w:hint="eastAsia" w:asciiTheme="majorEastAsia" w:hAnsiTheme="majorEastAsia" w:eastAsiaTheme="majorEastAsia" w:cstheme="majorEastAsia"/>
                <w:color w:val="auto"/>
                <w:sz w:val="22"/>
                <w:szCs w:val="22"/>
                <w:highlight w:val="none"/>
              </w:rPr>
              <w:t>。</w:t>
            </w:r>
          </w:p>
        </w:tc>
      </w:tr>
      <w:tr w14:paraId="3AFAB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4614CD4F">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1531A2">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731DD6D6">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5AC7B86A">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13F78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3E6F7A1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5AB658C">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2B63979C">
            <w:pPr>
              <w:rPr>
                <w:rFonts w:ascii="宋体" w:hAnsi="宋体" w:cs="宋体"/>
                <w:color w:val="auto"/>
                <w:sz w:val="22"/>
                <w:highlight w:val="none"/>
              </w:rPr>
            </w:pPr>
            <w:r>
              <w:rPr>
                <w:rFonts w:hint="eastAsia" w:ascii="宋体" w:hAnsi="宋体" w:cs="宋体"/>
                <w:color w:val="auto"/>
                <w:sz w:val="22"/>
                <w:highlight w:val="none"/>
              </w:rPr>
              <w:t>2025年1</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24</w:t>
            </w:r>
            <w:r>
              <w:rPr>
                <w:rFonts w:hint="eastAsia" w:ascii="宋体" w:hAnsi="宋体" w:cs="宋体"/>
                <w:color w:val="auto"/>
                <w:sz w:val="22"/>
                <w:highlight w:val="none"/>
              </w:rPr>
              <w:t xml:space="preserve">日 </w:t>
            </w:r>
            <w:r>
              <w:rPr>
                <w:rFonts w:hint="eastAsia" w:ascii="宋体" w:hAnsi="宋体" w:cs="宋体"/>
                <w:color w:val="auto"/>
                <w:sz w:val="22"/>
                <w:highlight w:val="none"/>
                <w:lang w:val="en-US" w:eastAsia="zh-CN"/>
              </w:rPr>
              <w:t>15</w:t>
            </w:r>
            <w:r>
              <w:rPr>
                <w:rFonts w:hint="eastAsia" w:ascii="宋体" w:hAnsi="宋体" w:cs="宋体"/>
                <w:color w:val="auto"/>
                <w:sz w:val="22"/>
                <w:highlight w:val="none"/>
              </w:rPr>
              <w:t>:00（北京时间）</w:t>
            </w:r>
          </w:p>
          <w:p w14:paraId="26BBF6CB">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17666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A5A908F">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F688C07">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08D0A65D">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478AEBA4">
            <w:pPr>
              <w:rPr>
                <w:rFonts w:ascii="宋体" w:hAnsi="宋体" w:cs="宋体"/>
                <w:color w:val="auto"/>
                <w:sz w:val="22"/>
                <w:highlight w:val="none"/>
              </w:rPr>
            </w:pPr>
            <w:r>
              <w:rPr>
                <w:rFonts w:hint="eastAsia" w:ascii="宋体" w:hAnsi="宋体" w:cs="宋体"/>
                <w:color w:val="auto"/>
                <w:sz w:val="22"/>
                <w:highlight w:val="none"/>
              </w:rPr>
              <w:t>开标时间：2025年</w:t>
            </w:r>
            <w:r>
              <w:rPr>
                <w:rFonts w:hint="eastAsia" w:ascii="宋体" w:hAnsi="宋体" w:cs="宋体"/>
                <w:color w:val="auto"/>
                <w:sz w:val="22"/>
                <w:highlight w:val="none"/>
                <w:lang w:val="en-US" w:eastAsia="zh-CN"/>
              </w:rPr>
              <w:t>11</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24</w:t>
            </w:r>
            <w:r>
              <w:rPr>
                <w:rFonts w:hint="eastAsia" w:ascii="宋体" w:hAnsi="宋体" w:cs="宋体"/>
                <w:color w:val="auto"/>
                <w:sz w:val="22"/>
                <w:highlight w:val="none"/>
              </w:rPr>
              <w:t>日</w:t>
            </w:r>
            <w:r>
              <w:rPr>
                <w:rFonts w:hint="eastAsia" w:ascii="宋体" w:hAnsi="宋体" w:cs="宋体"/>
                <w:color w:val="auto"/>
                <w:sz w:val="22"/>
                <w:highlight w:val="none"/>
                <w:lang w:val="en-US" w:eastAsia="zh-CN"/>
              </w:rPr>
              <w:t>15</w:t>
            </w:r>
            <w:r>
              <w:rPr>
                <w:rFonts w:hint="eastAsia" w:ascii="宋体" w:hAnsi="宋体" w:cs="宋体"/>
                <w:color w:val="auto"/>
                <w:sz w:val="22"/>
                <w:highlight w:val="none"/>
              </w:rPr>
              <w:t>:00（北京时间）</w:t>
            </w:r>
          </w:p>
          <w:p w14:paraId="377ED2B6">
            <w:pPr>
              <w:rPr>
                <w:rFonts w:ascii="宋体" w:cs="Arial"/>
                <w:color w:val="auto"/>
                <w:sz w:val="22"/>
                <w:szCs w:val="22"/>
                <w:highlight w:val="none"/>
              </w:rPr>
            </w:pPr>
            <w:r>
              <w:rPr>
                <w:rFonts w:hint="eastAsia" w:ascii="宋体" w:hAnsi="宋体" w:cs="宋体"/>
                <w:color w:val="auto"/>
                <w:sz w:val="22"/>
                <w:highlight w:val="none"/>
              </w:rPr>
              <w:t>开标地点：“政府采购云平台（http://zfcg.czt.zj.gov.cn/）”在线开标</w:t>
            </w:r>
          </w:p>
        </w:tc>
      </w:tr>
      <w:tr w14:paraId="3925B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4F3DCAB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09622BA">
            <w:pPr>
              <w:jc w:val="center"/>
              <w:rPr>
                <w:rFonts w:ascii="宋体" w:hAnsi="宋体" w:cs="宋体"/>
                <w:color w:val="auto"/>
                <w:sz w:val="22"/>
                <w:highlight w:val="none"/>
              </w:rPr>
            </w:pPr>
            <w:r>
              <w:rPr>
                <w:rFonts w:hint="eastAsia" w:ascii="宋体" w:hAnsi="宋体" w:cs="宋体"/>
                <w:color w:val="auto"/>
                <w:sz w:val="22"/>
                <w:highlight w:val="none"/>
              </w:rPr>
              <w:t>评标地点</w:t>
            </w:r>
          </w:p>
        </w:tc>
        <w:tc>
          <w:tcPr>
            <w:tcW w:w="7619" w:type="dxa"/>
            <w:vAlign w:val="center"/>
          </w:tcPr>
          <w:p w14:paraId="6ABEEA0C">
            <w:pPr>
              <w:jc w:val="left"/>
              <w:rPr>
                <w:rFonts w:ascii="宋体" w:hAnsi="宋体" w:cs="宋体"/>
                <w:color w:val="auto"/>
                <w:sz w:val="22"/>
                <w:highlight w:val="none"/>
              </w:rPr>
            </w:pPr>
            <w:r>
              <w:rPr>
                <w:rFonts w:hint="eastAsia" w:ascii="宋体" w:hAnsi="宋体" w:cs="宋体"/>
                <w:color w:val="auto"/>
                <w:sz w:val="22"/>
                <w:highlight w:val="none"/>
              </w:rPr>
              <w:t>泰顺县公共资源交易中心5楼评标室（温州市泰顺县罗阳镇新城大道123号）</w:t>
            </w:r>
          </w:p>
        </w:tc>
      </w:tr>
      <w:tr w14:paraId="350FF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7B1FBA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210B4BA">
            <w:pPr>
              <w:jc w:val="center"/>
              <w:rPr>
                <w:rFonts w:ascii="宋体" w:cs="Arial"/>
                <w:color w:val="auto"/>
                <w:sz w:val="22"/>
                <w:szCs w:val="22"/>
                <w:highlight w:val="none"/>
              </w:rPr>
            </w:pPr>
            <w:r>
              <w:rPr>
                <w:rFonts w:hint="eastAsia" w:ascii="宋体" w:cs="Arial"/>
                <w:color w:val="auto"/>
                <w:sz w:val="22"/>
                <w:szCs w:val="22"/>
                <w:highlight w:val="none"/>
              </w:rPr>
              <w:t>评审委员会的</w:t>
            </w:r>
          </w:p>
          <w:p w14:paraId="55F202BC">
            <w:pPr>
              <w:jc w:val="center"/>
              <w:rPr>
                <w:rFonts w:ascii="宋体" w:cs="Arial"/>
                <w:color w:val="auto"/>
                <w:sz w:val="22"/>
                <w:szCs w:val="22"/>
                <w:highlight w:val="none"/>
              </w:rPr>
            </w:pPr>
            <w:r>
              <w:rPr>
                <w:rFonts w:hint="eastAsia" w:ascii="宋体" w:cs="Arial"/>
                <w:color w:val="auto"/>
                <w:sz w:val="22"/>
                <w:szCs w:val="22"/>
                <w:highlight w:val="none"/>
              </w:rPr>
              <w:t>组建</w:t>
            </w:r>
          </w:p>
        </w:tc>
        <w:tc>
          <w:tcPr>
            <w:tcW w:w="7619" w:type="dxa"/>
            <w:vAlign w:val="center"/>
          </w:tcPr>
          <w:p w14:paraId="405FC4DC">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5B9A24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1BFC6C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5390D7D">
            <w:pPr>
              <w:adjustRightInd w:val="0"/>
              <w:jc w:val="center"/>
              <w:rPr>
                <w:rFonts w:ascii="宋体"/>
                <w:color w:val="auto"/>
                <w:sz w:val="22"/>
                <w:highlight w:val="none"/>
              </w:rPr>
            </w:pPr>
            <w:r>
              <w:rPr>
                <w:rFonts w:hint="eastAsia" w:ascii="宋体"/>
                <w:color w:val="auto"/>
                <w:sz w:val="22"/>
                <w:highlight w:val="none"/>
              </w:rPr>
              <w:t>政府采购</w:t>
            </w:r>
          </w:p>
          <w:p w14:paraId="28C76EC5">
            <w:pPr>
              <w:adjustRightInd w:val="0"/>
              <w:jc w:val="center"/>
              <w:rPr>
                <w:rFonts w:ascii="宋体"/>
                <w:color w:val="auto"/>
                <w:sz w:val="22"/>
                <w:szCs w:val="22"/>
                <w:highlight w:val="none"/>
              </w:rPr>
            </w:pPr>
            <w:r>
              <w:rPr>
                <w:rFonts w:hint="eastAsia" w:ascii="宋体"/>
                <w:color w:val="auto"/>
                <w:sz w:val="22"/>
                <w:highlight w:val="none"/>
              </w:rPr>
              <w:t>扶持政策</w:t>
            </w:r>
          </w:p>
        </w:tc>
        <w:tc>
          <w:tcPr>
            <w:tcW w:w="7619" w:type="dxa"/>
            <w:vAlign w:val="center"/>
          </w:tcPr>
          <w:p w14:paraId="05F146E0">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rPr>
              <w:t>.</w:t>
            </w:r>
            <w:r>
              <w:rPr>
                <w:rFonts w:hint="eastAsia" w:ascii="宋体" w:hAnsi="宋体" w:cs="宋体"/>
                <w:color w:val="auto"/>
                <w:sz w:val="22"/>
                <w:highlight w:val="none"/>
              </w:rPr>
              <w:t>对符合财政扶持政策的小微企业（或监狱企业、或残疾人福利性单位）给予评标价格折扣。供应商企业属于以上多种性质的，不重复享受扶持政策</w:t>
            </w:r>
            <w:r>
              <w:rPr>
                <w:rFonts w:hint="eastAsia" w:ascii="宋体" w:cs="Arial"/>
                <w:color w:val="auto"/>
                <w:sz w:val="22"/>
                <w:highlight w:val="none"/>
              </w:rPr>
              <w:t>。</w:t>
            </w:r>
          </w:p>
          <w:p w14:paraId="1438A18C">
            <w:pPr>
              <w:rPr>
                <w:rFonts w:ascii="宋体"/>
                <w:color w:val="auto"/>
                <w:sz w:val="22"/>
                <w:szCs w:val="22"/>
                <w:highlight w:val="none"/>
              </w:rPr>
            </w:pPr>
            <w:r>
              <w:rPr>
                <w:rFonts w:ascii="宋体" w:cs="Arial"/>
                <w:color w:val="auto"/>
                <w:sz w:val="22"/>
                <w:highlight w:val="none"/>
              </w:rPr>
              <w:t>2</w:t>
            </w:r>
            <w:r>
              <w:rPr>
                <w:rFonts w:hint="eastAsia" w:ascii="宋体" w:cs="Arial"/>
                <w:color w:val="auto"/>
                <w:sz w:val="22"/>
                <w:highlight w:val="none"/>
              </w:rPr>
              <w:t>.对节能、环保产品优先采购。</w:t>
            </w:r>
          </w:p>
        </w:tc>
      </w:tr>
      <w:tr w14:paraId="1491D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43805F4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ED4AB05">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2FB1B270">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4F174170">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rPr>
              <w:t>.投标供应商信用信息查询截止时点：本项目投标截止时间。</w:t>
            </w:r>
          </w:p>
          <w:p w14:paraId="4A363BDB">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rPr>
              <w:t>.投标供应商信用信息查询记录和证据留存的具体方式：网页截图打印；</w:t>
            </w:r>
          </w:p>
          <w:p w14:paraId="1DA3160E">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.信用信息的使用规则：“信用中国”被列入失信被执行人名单、重大税收违法案件当事人名单的供应商，或“中国政府采购网”具有严重违法失信行为信息记录的供应商，其投标做无效投标处理。</w:t>
            </w:r>
          </w:p>
        </w:tc>
      </w:tr>
      <w:tr w14:paraId="34076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3987974D">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1C443D6">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016B1A93">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04E724DD">
            <w:pPr>
              <w:rPr>
                <w:rFonts w:ascii="宋体" w:cs="宋体"/>
                <w:color w:val="auto"/>
                <w:sz w:val="22"/>
                <w:highlight w:val="none"/>
              </w:rPr>
            </w:pPr>
            <w:r>
              <w:rPr>
                <w:rFonts w:hint="eastAsia" w:ascii="宋体" w:cs="宋体"/>
                <w:color w:val="auto"/>
                <w:sz w:val="22"/>
                <w:highlight w:val="none"/>
              </w:rPr>
              <w:t>采购人签订合同。</w:t>
            </w:r>
          </w:p>
          <w:p w14:paraId="327DF340">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24E9AFBB">
            <w:pPr>
              <w:rPr>
                <w:rFonts w:ascii="宋体" w:cs="Arial"/>
                <w:color w:val="auto"/>
                <w:sz w:val="22"/>
                <w:szCs w:val="22"/>
                <w:highlight w:val="none"/>
              </w:rPr>
            </w:pPr>
            <w:r>
              <w:rPr>
                <w:rFonts w:hint="eastAsia" w:ascii="宋体" w:cs="宋体"/>
                <w:color w:val="auto"/>
                <w:sz w:val="22"/>
                <w:highlight w:val="none"/>
              </w:rPr>
              <w:t>3.本项目政府采购合同按规定在杭州华旗招标代理有限公司网站（</w:t>
            </w:r>
            <w:r>
              <w:rPr>
                <w:rFonts w:ascii="宋体" w:cs="宋体"/>
                <w:color w:val="auto"/>
                <w:sz w:val="22"/>
                <w:highlight w:val="none"/>
              </w:rPr>
              <w:t>http://dzjy.ts.gov.cn/TPFront/</w:t>
            </w:r>
            <w:r>
              <w:rPr>
                <w:rFonts w:hint="eastAsia" w:ascii="宋体" w:cs="宋体"/>
                <w:color w:val="auto"/>
                <w:sz w:val="22"/>
                <w:highlight w:val="none"/>
              </w:rPr>
              <w:t>）、浙江政府采购网（http://www.zjzfcg.gov.cn）予以公告。</w:t>
            </w:r>
          </w:p>
        </w:tc>
      </w:tr>
      <w:tr w14:paraId="353F9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1BD8028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8E5E493">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367EB056">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合同签订后，采购人依法加强对合同履约进行管理，并在中标单位供货、项目验收等重要关节，如实填写《合同验收报告》（表附合同条款中），并及时向同级财政部门报告验收过程中遇到的问题。</w:t>
            </w:r>
          </w:p>
        </w:tc>
      </w:tr>
      <w:tr w14:paraId="60A8CF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635C18C7">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F2F7B95">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3BA4F58C">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426CBD59">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7EC22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7360EF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FE86E32">
            <w:pPr>
              <w:jc w:val="cente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12D85FEA">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11E44F47">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r w14:paraId="7C4DAA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78F63DD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vAlign w:val="center"/>
          </w:tcPr>
          <w:p w14:paraId="19B01630">
            <w:pPr>
              <w:tabs>
                <w:tab w:val="left" w:pos="1069"/>
                <w:tab w:val="left" w:pos="2352"/>
              </w:tabs>
              <w:jc w:val="left"/>
              <w:rPr>
                <w:rFonts w:ascii="宋体" w:hAnsi="宋体" w:cs="宋体"/>
                <w:color w:val="auto"/>
                <w:sz w:val="22"/>
                <w:szCs w:val="22"/>
                <w:highlight w:val="none"/>
              </w:rPr>
            </w:pPr>
            <w:r>
              <w:rPr>
                <w:rFonts w:hint="eastAsia" w:ascii="宋体" w:hAnsi="宋体" w:cs="宋体"/>
                <w:color w:val="auto"/>
                <w:sz w:val="22"/>
                <w:highlight w:val="none"/>
              </w:rPr>
              <w:t>纸质投标文件</w:t>
            </w:r>
          </w:p>
        </w:tc>
        <w:tc>
          <w:tcPr>
            <w:tcW w:w="7619" w:type="dxa"/>
            <w:tcBorders>
              <w:bottom w:val="single" w:color="auto" w:sz="12" w:space="0"/>
            </w:tcBorders>
            <w:vAlign w:val="center"/>
          </w:tcPr>
          <w:p w14:paraId="134FED42">
            <w:pPr>
              <w:tabs>
                <w:tab w:val="left" w:pos="1069"/>
                <w:tab w:val="left" w:pos="2352"/>
              </w:tabs>
              <w:rPr>
                <w:rFonts w:ascii="宋体" w:hAnsi="宋体" w:cs="宋体"/>
                <w:color w:val="auto"/>
                <w:sz w:val="22"/>
                <w:szCs w:val="22"/>
                <w:highlight w:val="none"/>
              </w:rPr>
            </w:pPr>
            <w:r>
              <w:rPr>
                <w:rFonts w:hint="eastAsia" w:ascii="宋体" w:hAnsi="宋体" w:cs="宋体"/>
                <w:color w:val="auto"/>
                <w:sz w:val="22"/>
                <w:highlight w:val="none"/>
                <w:lang w:bidi="ar"/>
              </w:rPr>
              <w:t>中标后，中标供应商须提供3份纸质投标文件至招标代理机构处作为纸质存档（正本一份，副本三份）邮寄至杭州华旗招标代理有限公司（邮寄信息：温州市泰顺县罗阳镇文祥大道电网弄1号301（县交通运输管理中心隔壁） ，翁女士，17858065131）。</w:t>
            </w:r>
          </w:p>
        </w:tc>
      </w:tr>
    </w:tbl>
    <w:p w14:paraId="4A9F8D83">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6604B63A">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5DCFAE87">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03675A9F">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F0C369E">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02980F5D">
      <w:pPr>
        <w:autoSpaceDE w:val="0"/>
        <w:autoSpaceDN w:val="0"/>
        <w:adjustRightInd w:val="0"/>
        <w:snapToGrid w:val="0"/>
        <w:spacing w:line="400" w:lineRule="atLeast"/>
        <w:textAlignment w:val="bottom"/>
        <w:rPr>
          <w:rFonts w:ascii="宋体" w:hAnsi="宋体"/>
          <w:b/>
          <w:color w:val="auto"/>
          <w:sz w:val="32"/>
          <w:szCs w:val="32"/>
          <w:highlight w:val="none"/>
        </w:rPr>
      </w:pPr>
    </w:p>
    <w:p w14:paraId="1E920C99">
      <w:pPr>
        <w:autoSpaceDE w:val="0"/>
        <w:autoSpaceDN w:val="0"/>
        <w:adjustRightInd w:val="0"/>
        <w:snapToGrid w:val="0"/>
        <w:spacing w:line="400" w:lineRule="atLeast"/>
        <w:textAlignment w:val="bottom"/>
        <w:rPr>
          <w:rFonts w:ascii="宋体" w:hAnsi="宋体"/>
          <w:b/>
          <w:color w:val="auto"/>
          <w:sz w:val="32"/>
          <w:szCs w:val="32"/>
          <w:highlight w:val="none"/>
        </w:rPr>
      </w:pPr>
    </w:p>
    <w:p w14:paraId="63FA0AB2">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0A793997">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67A3110C">
      <w:pPr>
        <w:autoSpaceDE w:val="0"/>
        <w:autoSpaceDN w:val="0"/>
        <w:adjustRightInd w:val="0"/>
        <w:snapToGrid w:val="0"/>
        <w:spacing w:line="400" w:lineRule="atLeast"/>
        <w:textAlignment w:val="bottom"/>
        <w:rPr>
          <w:rFonts w:ascii="宋体" w:hAnsi="宋体"/>
          <w:b/>
          <w:color w:val="auto"/>
          <w:sz w:val="32"/>
          <w:szCs w:val="32"/>
          <w:highlight w:val="none"/>
        </w:rPr>
      </w:pPr>
    </w:p>
    <w:p w14:paraId="75D1E63A">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107A3C5B">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3C6A1725">
      <w:pPr>
        <w:snapToGrid w:val="0"/>
        <w:spacing w:line="380" w:lineRule="exact"/>
        <w:ind w:left="443" w:leftChars="208"/>
        <w:rPr>
          <w:rFonts w:ascii="宋体" w:hAnsi="宋体" w:cs="宋体"/>
          <w:b/>
          <w:bCs/>
          <w:color w:val="auto"/>
          <w:sz w:val="22"/>
          <w:szCs w:val="22"/>
          <w:highlight w:val="none"/>
        </w:rPr>
      </w:pPr>
      <w:r>
        <w:rPr>
          <w:rFonts w:hint="eastAsia" w:ascii="宋体" w:hAnsi="宋体" w:cs="宋体"/>
          <w:b/>
          <w:bCs/>
          <w:color w:val="auto"/>
          <w:sz w:val="22"/>
          <w:szCs w:val="22"/>
          <w:highlight w:val="none"/>
        </w:rPr>
        <w:t>一、采购总说明</w:t>
      </w:r>
    </w:p>
    <w:p w14:paraId="4D06C719">
      <w:pPr>
        <w:widowControl/>
        <w:autoSpaceDE w:val="0"/>
        <w:autoSpaceDN w:val="0"/>
        <w:adjustRightInd w:val="0"/>
        <w:spacing w:line="380" w:lineRule="exact"/>
        <w:ind w:firstLine="446" w:firstLineChars="200"/>
        <w:textAlignment w:val="bottom"/>
        <w:rPr>
          <w:rFonts w:ascii="宋体" w:hAnsi="宋体" w:cs="宋体"/>
          <w:bCs/>
          <w:color w:val="auto"/>
          <w:sz w:val="22"/>
          <w:szCs w:val="22"/>
          <w:highlight w:val="none"/>
        </w:rPr>
      </w:pPr>
      <w:r>
        <w:rPr>
          <w:rFonts w:hint="eastAsia" w:ascii="宋体" w:hAnsi="宋体" w:cs="宋体"/>
          <w:bCs/>
          <w:color w:val="auto"/>
          <w:sz w:val="22"/>
          <w:szCs w:val="22"/>
          <w:highlight w:val="none"/>
        </w:rPr>
        <w:t>1.1 本技术规范要求提出的是最低限度的基本技术要求，并未对所有技术细节作出规定，供应商应提供符合本技术要求和国家标准、行业标准的优质产品。</w:t>
      </w:r>
    </w:p>
    <w:p w14:paraId="1810F010">
      <w:pPr>
        <w:widowControl/>
        <w:autoSpaceDE w:val="0"/>
        <w:autoSpaceDN w:val="0"/>
        <w:adjustRightInd w:val="0"/>
        <w:spacing w:line="380" w:lineRule="exact"/>
        <w:ind w:firstLine="446" w:firstLineChars="200"/>
        <w:textAlignment w:val="bottom"/>
        <w:rPr>
          <w:rFonts w:ascii="宋体" w:hAnsi="宋体" w:cs="宋体"/>
          <w:bCs/>
          <w:color w:val="auto"/>
          <w:sz w:val="22"/>
          <w:szCs w:val="22"/>
          <w:highlight w:val="none"/>
        </w:rPr>
      </w:pPr>
      <w:r>
        <w:rPr>
          <w:rFonts w:hint="eastAsia" w:ascii="宋体" w:hAnsi="宋体" w:cs="宋体"/>
          <w:bCs/>
          <w:color w:val="auto"/>
          <w:sz w:val="22"/>
          <w:szCs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5CD65174">
      <w:pPr>
        <w:widowControl/>
        <w:autoSpaceDE w:val="0"/>
        <w:autoSpaceDN w:val="0"/>
        <w:adjustRightInd w:val="0"/>
        <w:spacing w:line="380" w:lineRule="exact"/>
        <w:ind w:firstLine="446" w:firstLineChars="200"/>
        <w:textAlignment w:val="bottom"/>
        <w:rPr>
          <w:rFonts w:ascii="宋体" w:hAnsi="宋体" w:cs="宋体"/>
          <w:bCs/>
          <w:color w:val="auto"/>
          <w:sz w:val="22"/>
          <w:szCs w:val="22"/>
          <w:highlight w:val="none"/>
        </w:rPr>
      </w:pPr>
      <w:r>
        <w:rPr>
          <w:rFonts w:hint="eastAsia" w:ascii="宋体" w:hAnsi="宋体" w:cs="宋体"/>
          <w:bCs/>
          <w:color w:val="auto"/>
          <w:sz w:val="22"/>
          <w:szCs w:val="22"/>
          <w:highlight w:val="none"/>
        </w:rPr>
        <w:t>2.技术要求及标准的执行</w:t>
      </w:r>
    </w:p>
    <w:p w14:paraId="24FFBF76">
      <w:pPr>
        <w:widowControl/>
        <w:autoSpaceDE w:val="0"/>
        <w:autoSpaceDN w:val="0"/>
        <w:adjustRightInd w:val="0"/>
        <w:spacing w:line="380" w:lineRule="exact"/>
        <w:ind w:firstLine="446" w:firstLineChars="200"/>
        <w:textAlignment w:val="bottom"/>
        <w:rPr>
          <w:rFonts w:ascii="宋体" w:hAnsi="宋体" w:cs="宋体"/>
          <w:bCs/>
          <w:color w:val="auto"/>
          <w:sz w:val="22"/>
          <w:szCs w:val="22"/>
          <w:highlight w:val="none"/>
        </w:rPr>
      </w:pPr>
      <w:r>
        <w:rPr>
          <w:rFonts w:hint="eastAsia" w:ascii="宋体" w:hAnsi="宋体" w:cs="宋体"/>
          <w:bCs/>
          <w:color w:val="auto"/>
          <w:sz w:val="22"/>
          <w:szCs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0260D010">
      <w:pPr>
        <w:spacing w:line="400" w:lineRule="exact"/>
        <w:ind w:firstLine="446" w:firstLineChars="200"/>
        <w:rPr>
          <w:rFonts w:ascii="宋体" w:hAnsi="宋体" w:cs="宋体"/>
          <w:bCs/>
          <w:color w:val="auto"/>
          <w:szCs w:val="21"/>
          <w:highlight w:val="none"/>
        </w:rPr>
      </w:pPr>
      <w:r>
        <w:rPr>
          <w:rFonts w:hint="eastAsia" w:ascii="宋体" w:hAnsi="宋体" w:cs="宋体"/>
          <w:bCs/>
          <w:color w:val="auto"/>
          <w:sz w:val="22"/>
          <w:szCs w:val="22"/>
          <w:highlight w:val="none"/>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r>
        <w:rPr>
          <w:rFonts w:hint="eastAsia" w:ascii="宋体" w:hAnsi="宋体" w:cs="宋体"/>
          <w:bCs/>
          <w:color w:val="auto"/>
          <w:szCs w:val="21"/>
          <w:highlight w:val="none"/>
        </w:rPr>
        <w:t>。</w:t>
      </w:r>
    </w:p>
    <w:p w14:paraId="571AA025">
      <w:pPr>
        <w:spacing w:line="400" w:lineRule="exact"/>
        <w:ind w:firstLine="446"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二、采购清单</w:t>
      </w:r>
    </w:p>
    <w:tbl>
      <w:tblPr>
        <w:tblStyle w:val="32"/>
        <w:tblW w:w="4994"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96"/>
        <w:gridCol w:w="1470"/>
        <w:gridCol w:w="2598"/>
        <w:gridCol w:w="1045"/>
        <w:gridCol w:w="1226"/>
        <w:gridCol w:w="1153"/>
        <w:gridCol w:w="1528"/>
      </w:tblGrid>
      <w:tr w14:paraId="4587BA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310" w:type="pct"/>
            <w:vAlign w:val="center"/>
          </w:tcPr>
          <w:p w14:paraId="337E9D56">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序号</w:t>
            </w:r>
          </w:p>
        </w:tc>
        <w:tc>
          <w:tcPr>
            <w:tcW w:w="764" w:type="pct"/>
            <w:vAlign w:val="center"/>
          </w:tcPr>
          <w:p w14:paraId="1B66BA52">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内容</w:t>
            </w:r>
          </w:p>
        </w:tc>
        <w:tc>
          <w:tcPr>
            <w:tcW w:w="1350" w:type="pct"/>
            <w:vAlign w:val="center"/>
          </w:tcPr>
          <w:p w14:paraId="4F06999B">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货物名称</w:t>
            </w:r>
          </w:p>
        </w:tc>
        <w:tc>
          <w:tcPr>
            <w:tcW w:w="543" w:type="pct"/>
            <w:vAlign w:val="center"/>
          </w:tcPr>
          <w:p w14:paraId="4B3FA387">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数量</w:t>
            </w:r>
          </w:p>
        </w:tc>
        <w:tc>
          <w:tcPr>
            <w:tcW w:w="637" w:type="pct"/>
            <w:vAlign w:val="center"/>
          </w:tcPr>
          <w:p w14:paraId="61088A7F">
            <w:pPr>
              <w:jc w:val="center"/>
              <w:rPr>
                <w:rFonts w:hint="default" w:ascii="宋体" w:hAnsi="宋体" w:eastAsia="宋体" w:cs="宋体"/>
                <w:caps/>
                <w:color w:val="auto"/>
                <w:sz w:val="22"/>
                <w:szCs w:val="22"/>
                <w:highlight w:val="none"/>
                <w:lang w:val="en-US" w:eastAsia="zh-CN"/>
              </w:rPr>
            </w:pPr>
            <w:r>
              <w:rPr>
                <w:rFonts w:hint="eastAsia" w:ascii="宋体" w:hAnsi="宋体" w:cs="宋体"/>
                <w:caps/>
                <w:color w:val="auto"/>
                <w:sz w:val="22"/>
                <w:szCs w:val="22"/>
                <w:highlight w:val="none"/>
                <w:lang w:val="en-US" w:eastAsia="zh-CN"/>
              </w:rPr>
              <w:t>单价限价（元）</w:t>
            </w:r>
          </w:p>
        </w:tc>
        <w:tc>
          <w:tcPr>
            <w:tcW w:w="599" w:type="pct"/>
            <w:vAlign w:val="center"/>
          </w:tcPr>
          <w:p w14:paraId="6371522D">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交货期</w:t>
            </w:r>
          </w:p>
        </w:tc>
        <w:tc>
          <w:tcPr>
            <w:tcW w:w="794" w:type="pct"/>
            <w:vAlign w:val="center"/>
          </w:tcPr>
          <w:p w14:paraId="0D6A63EA">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目的地</w:t>
            </w:r>
          </w:p>
        </w:tc>
      </w:tr>
      <w:tr w14:paraId="3857D83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10" w:type="pct"/>
            <w:vMerge w:val="restart"/>
            <w:vAlign w:val="center"/>
          </w:tcPr>
          <w:p w14:paraId="02FC980D">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1</w:t>
            </w:r>
          </w:p>
        </w:tc>
        <w:tc>
          <w:tcPr>
            <w:tcW w:w="764" w:type="pct"/>
            <w:vMerge w:val="restart"/>
            <w:vAlign w:val="center"/>
          </w:tcPr>
          <w:p w14:paraId="2F61DB34">
            <w:pPr>
              <w:jc w:val="center"/>
              <w:rPr>
                <w:rFonts w:ascii="宋体" w:hAnsi="宋体" w:cs="宋体"/>
                <w:caps/>
                <w:color w:val="auto"/>
                <w:sz w:val="22"/>
                <w:szCs w:val="22"/>
                <w:highlight w:val="none"/>
              </w:rPr>
            </w:pPr>
            <w:r>
              <w:rPr>
                <w:rFonts w:hint="eastAsia" w:ascii="宋体" w:hAnsi="宋体" w:cs="宋体"/>
                <w:color w:val="auto"/>
                <w:kern w:val="0"/>
                <w:sz w:val="22"/>
                <w:szCs w:val="22"/>
                <w:highlight w:val="none"/>
              </w:rPr>
              <w:t xml:space="preserve">便携式彩色多普勒超声诊断仪 </w:t>
            </w:r>
          </w:p>
        </w:tc>
        <w:tc>
          <w:tcPr>
            <w:tcW w:w="1350" w:type="pct"/>
            <w:vAlign w:val="center"/>
          </w:tcPr>
          <w:p w14:paraId="58232160">
            <w:pPr>
              <w:jc w:val="center"/>
              <w:rPr>
                <w:color w:val="auto"/>
                <w:szCs w:val="21"/>
                <w:highlight w:val="none"/>
              </w:rPr>
            </w:pPr>
            <w:r>
              <w:rPr>
                <w:rFonts w:hint="eastAsia" w:ascii="宋体" w:hAnsi="宋体" w:cs="宋体"/>
                <w:color w:val="auto"/>
                <w:kern w:val="0"/>
                <w:sz w:val="22"/>
                <w:szCs w:val="22"/>
                <w:highlight w:val="none"/>
              </w:rPr>
              <w:t xml:space="preserve">便携式彩色多普勒超声诊断仪 </w:t>
            </w:r>
          </w:p>
        </w:tc>
        <w:tc>
          <w:tcPr>
            <w:tcW w:w="543" w:type="pct"/>
            <w:vAlign w:val="center"/>
          </w:tcPr>
          <w:p w14:paraId="56C4354B">
            <w:pPr>
              <w:jc w:val="center"/>
              <w:rPr>
                <w:color w:val="auto"/>
                <w:szCs w:val="21"/>
                <w:highlight w:val="none"/>
              </w:rPr>
            </w:pPr>
            <w:r>
              <w:rPr>
                <w:rFonts w:hint="eastAsia"/>
                <w:color w:val="auto"/>
                <w:szCs w:val="21"/>
                <w:highlight w:val="none"/>
              </w:rPr>
              <w:t>1套</w:t>
            </w:r>
          </w:p>
        </w:tc>
        <w:tc>
          <w:tcPr>
            <w:tcW w:w="637" w:type="pct"/>
            <w:vAlign w:val="center"/>
          </w:tcPr>
          <w:p w14:paraId="4E7F9CA5">
            <w:pPr>
              <w:jc w:val="center"/>
              <w:rPr>
                <w:rFonts w:hint="default" w:eastAsia="宋体"/>
                <w:color w:val="auto"/>
                <w:szCs w:val="21"/>
                <w:highlight w:val="none"/>
                <w:lang w:val="en-US" w:eastAsia="zh-CN"/>
              </w:rPr>
            </w:pPr>
            <w:bookmarkStart w:id="3" w:name="OLE_LINK7"/>
            <w:bookmarkStart w:id="4" w:name="OLE_LINK6"/>
            <w:r>
              <w:rPr>
                <w:rFonts w:hint="eastAsia"/>
                <w:color w:val="auto"/>
                <w:szCs w:val="21"/>
                <w:highlight w:val="none"/>
                <w:lang w:val="en-US" w:eastAsia="zh-CN"/>
              </w:rPr>
              <w:t>600000</w:t>
            </w:r>
          </w:p>
        </w:tc>
        <w:tc>
          <w:tcPr>
            <w:tcW w:w="599" w:type="pct"/>
            <w:vMerge w:val="restart"/>
            <w:vAlign w:val="center"/>
          </w:tcPr>
          <w:p w14:paraId="403D5AC8">
            <w:pPr>
              <w:jc w:val="center"/>
              <w:rPr>
                <w:rFonts w:ascii="宋体" w:hAnsi="宋体" w:cs="宋体"/>
                <w:color w:val="auto"/>
                <w:sz w:val="22"/>
                <w:szCs w:val="22"/>
                <w:highlight w:val="none"/>
              </w:rPr>
            </w:pPr>
            <w:r>
              <w:rPr>
                <w:rFonts w:hint="eastAsia" w:hAnsi="宋体"/>
                <w:color w:val="auto"/>
                <w:szCs w:val="21"/>
                <w:highlight w:val="none"/>
              </w:rPr>
              <w:t>合同签订之日起30日内</w:t>
            </w:r>
            <w:bookmarkEnd w:id="3"/>
            <w:bookmarkEnd w:id="4"/>
          </w:p>
        </w:tc>
        <w:tc>
          <w:tcPr>
            <w:tcW w:w="794" w:type="pct"/>
            <w:vMerge w:val="restart"/>
            <w:vAlign w:val="center"/>
          </w:tcPr>
          <w:p w14:paraId="0CD09103">
            <w:pPr>
              <w:jc w:val="center"/>
              <w:rPr>
                <w:rFonts w:ascii="宋体" w:hAnsi="宋体" w:cs="宋体"/>
                <w:caps/>
                <w:color w:val="auto"/>
                <w:sz w:val="22"/>
                <w:szCs w:val="22"/>
                <w:highlight w:val="none"/>
              </w:rPr>
            </w:pPr>
            <w:bookmarkStart w:id="5" w:name="OLE_LINK9"/>
            <w:bookmarkStart w:id="6" w:name="OLE_LINK8"/>
            <w:r>
              <w:rPr>
                <w:rFonts w:hint="eastAsia"/>
                <w:color w:val="auto"/>
                <w:szCs w:val="21"/>
                <w:highlight w:val="none"/>
              </w:rPr>
              <w:t>泰顺县中医院（泰顺县中医院医共体）</w:t>
            </w:r>
            <w:bookmarkEnd w:id="5"/>
            <w:bookmarkEnd w:id="6"/>
          </w:p>
        </w:tc>
      </w:tr>
      <w:tr w14:paraId="42BA28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10" w:type="pct"/>
            <w:vMerge w:val="continue"/>
            <w:vAlign w:val="center"/>
          </w:tcPr>
          <w:p w14:paraId="1D0E6B55">
            <w:pPr>
              <w:jc w:val="center"/>
              <w:rPr>
                <w:color w:val="auto"/>
                <w:highlight w:val="none"/>
              </w:rPr>
            </w:pPr>
          </w:p>
        </w:tc>
        <w:tc>
          <w:tcPr>
            <w:tcW w:w="764" w:type="pct"/>
            <w:vMerge w:val="continue"/>
            <w:vAlign w:val="center"/>
          </w:tcPr>
          <w:p w14:paraId="4D385BF1">
            <w:pPr>
              <w:jc w:val="center"/>
              <w:rPr>
                <w:color w:val="auto"/>
                <w:highlight w:val="none"/>
              </w:rPr>
            </w:pPr>
          </w:p>
        </w:tc>
        <w:tc>
          <w:tcPr>
            <w:tcW w:w="1350" w:type="pct"/>
            <w:vAlign w:val="center"/>
          </w:tcPr>
          <w:p w14:paraId="062C1202">
            <w:pPr>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技术资料</w:t>
            </w:r>
          </w:p>
        </w:tc>
        <w:tc>
          <w:tcPr>
            <w:tcW w:w="543" w:type="pct"/>
            <w:vAlign w:val="center"/>
          </w:tcPr>
          <w:p w14:paraId="63BB87F4">
            <w:pPr>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全套</w:t>
            </w:r>
          </w:p>
        </w:tc>
        <w:tc>
          <w:tcPr>
            <w:tcW w:w="637" w:type="pct"/>
            <w:vAlign w:val="center"/>
          </w:tcPr>
          <w:p w14:paraId="0CF7A7EF">
            <w:pPr>
              <w:jc w:val="center"/>
              <w:rPr>
                <w:rFonts w:hint="eastAsia" w:ascii="宋体" w:hAnsi="宋体" w:cs="宋体"/>
                <w:color w:val="auto"/>
                <w:kern w:val="0"/>
                <w:sz w:val="22"/>
                <w:szCs w:val="22"/>
                <w:highlight w:val="none"/>
              </w:rPr>
            </w:pPr>
          </w:p>
        </w:tc>
        <w:tc>
          <w:tcPr>
            <w:tcW w:w="599" w:type="pct"/>
            <w:vMerge w:val="continue"/>
            <w:vAlign w:val="center"/>
          </w:tcPr>
          <w:p w14:paraId="7A83FC5C">
            <w:pPr>
              <w:jc w:val="center"/>
              <w:rPr>
                <w:rFonts w:ascii="宋体" w:hAnsi="宋体" w:cs="宋体"/>
                <w:color w:val="auto"/>
                <w:kern w:val="0"/>
                <w:sz w:val="22"/>
                <w:szCs w:val="22"/>
                <w:highlight w:val="none"/>
              </w:rPr>
            </w:pPr>
          </w:p>
        </w:tc>
        <w:tc>
          <w:tcPr>
            <w:tcW w:w="794" w:type="pct"/>
            <w:vMerge w:val="continue"/>
            <w:vAlign w:val="center"/>
          </w:tcPr>
          <w:p w14:paraId="4DA80AFB">
            <w:pPr>
              <w:jc w:val="center"/>
              <w:rPr>
                <w:rFonts w:ascii="宋体" w:hAnsi="宋体" w:cs="宋体"/>
                <w:color w:val="auto"/>
                <w:kern w:val="0"/>
                <w:sz w:val="22"/>
                <w:szCs w:val="22"/>
                <w:highlight w:val="none"/>
              </w:rPr>
            </w:pPr>
          </w:p>
        </w:tc>
      </w:tr>
      <w:tr w14:paraId="6B99E7F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10" w:type="pct"/>
            <w:vMerge w:val="continue"/>
            <w:vAlign w:val="center"/>
          </w:tcPr>
          <w:p w14:paraId="7AB1D214">
            <w:pPr>
              <w:jc w:val="center"/>
              <w:rPr>
                <w:rFonts w:ascii="宋体" w:hAnsi="宋体" w:cs="宋体"/>
                <w:color w:val="auto"/>
                <w:kern w:val="0"/>
                <w:sz w:val="22"/>
                <w:szCs w:val="22"/>
                <w:highlight w:val="none"/>
              </w:rPr>
            </w:pPr>
          </w:p>
        </w:tc>
        <w:tc>
          <w:tcPr>
            <w:tcW w:w="764" w:type="pct"/>
            <w:vMerge w:val="continue"/>
            <w:vAlign w:val="center"/>
          </w:tcPr>
          <w:p w14:paraId="12D53FF5">
            <w:pPr>
              <w:jc w:val="center"/>
              <w:rPr>
                <w:rFonts w:ascii="宋体" w:hAnsi="宋体" w:cs="宋体"/>
                <w:color w:val="auto"/>
                <w:kern w:val="0"/>
                <w:sz w:val="22"/>
                <w:szCs w:val="22"/>
                <w:highlight w:val="none"/>
              </w:rPr>
            </w:pPr>
          </w:p>
        </w:tc>
        <w:tc>
          <w:tcPr>
            <w:tcW w:w="1350" w:type="pct"/>
            <w:vAlign w:val="center"/>
          </w:tcPr>
          <w:p w14:paraId="1A0342B1">
            <w:pPr>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投标商须提供的其他资料</w:t>
            </w:r>
          </w:p>
        </w:tc>
        <w:tc>
          <w:tcPr>
            <w:tcW w:w="543" w:type="pct"/>
            <w:vAlign w:val="center"/>
          </w:tcPr>
          <w:p w14:paraId="0A224BFB">
            <w:pPr>
              <w:jc w:val="center"/>
              <w:rPr>
                <w:rFonts w:ascii="宋体" w:hAnsi="宋体" w:cs="宋体"/>
                <w:color w:val="auto"/>
                <w:kern w:val="0"/>
                <w:sz w:val="22"/>
                <w:szCs w:val="22"/>
                <w:highlight w:val="none"/>
              </w:rPr>
            </w:pPr>
          </w:p>
        </w:tc>
        <w:tc>
          <w:tcPr>
            <w:tcW w:w="637" w:type="pct"/>
            <w:vAlign w:val="center"/>
          </w:tcPr>
          <w:p w14:paraId="365F24F1">
            <w:pPr>
              <w:jc w:val="center"/>
              <w:rPr>
                <w:rFonts w:ascii="宋体" w:hAnsi="宋体" w:cs="宋体"/>
                <w:color w:val="auto"/>
                <w:kern w:val="0"/>
                <w:sz w:val="22"/>
                <w:szCs w:val="22"/>
                <w:highlight w:val="none"/>
              </w:rPr>
            </w:pPr>
          </w:p>
        </w:tc>
        <w:tc>
          <w:tcPr>
            <w:tcW w:w="599" w:type="pct"/>
            <w:vMerge w:val="continue"/>
            <w:vAlign w:val="center"/>
          </w:tcPr>
          <w:p w14:paraId="69EA6967">
            <w:pPr>
              <w:jc w:val="center"/>
              <w:rPr>
                <w:rFonts w:ascii="宋体" w:hAnsi="宋体" w:cs="宋体"/>
                <w:color w:val="auto"/>
                <w:kern w:val="0"/>
                <w:sz w:val="22"/>
                <w:szCs w:val="22"/>
                <w:highlight w:val="none"/>
              </w:rPr>
            </w:pPr>
          </w:p>
        </w:tc>
        <w:tc>
          <w:tcPr>
            <w:tcW w:w="794" w:type="pct"/>
            <w:vMerge w:val="continue"/>
            <w:vAlign w:val="center"/>
          </w:tcPr>
          <w:p w14:paraId="3239B9CE">
            <w:pPr>
              <w:jc w:val="center"/>
              <w:rPr>
                <w:rFonts w:ascii="宋体" w:hAnsi="宋体" w:cs="宋体"/>
                <w:color w:val="auto"/>
                <w:kern w:val="0"/>
                <w:sz w:val="22"/>
                <w:szCs w:val="22"/>
                <w:highlight w:val="none"/>
              </w:rPr>
            </w:pPr>
          </w:p>
        </w:tc>
      </w:tr>
      <w:tr w14:paraId="0826DFA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7" w:hRule="atLeast"/>
          <w:jc w:val="center"/>
        </w:trPr>
        <w:tc>
          <w:tcPr>
            <w:tcW w:w="310" w:type="pct"/>
            <w:vMerge w:val="restart"/>
            <w:vAlign w:val="center"/>
          </w:tcPr>
          <w:p w14:paraId="0A65615A">
            <w:pPr>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764" w:type="pct"/>
            <w:vMerge w:val="restart"/>
            <w:vAlign w:val="center"/>
          </w:tcPr>
          <w:p w14:paraId="6E54732A">
            <w:pPr>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麻醉机</w:t>
            </w:r>
          </w:p>
        </w:tc>
        <w:tc>
          <w:tcPr>
            <w:tcW w:w="1350" w:type="pct"/>
            <w:vAlign w:val="center"/>
          </w:tcPr>
          <w:p w14:paraId="38D2F850">
            <w:pPr>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麻醉机</w:t>
            </w:r>
          </w:p>
        </w:tc>
        <w:tc>
          <w:tcPr>
            <w:tcW w:w="543" w:type="pct"/>
            <w:vAlign w:val="center"/>
          </w:tcPr>
          <w:p w14:paraId="108CD7D4">
            <w:pPr>
              <w:jc w:val="center"/>
              <w:rPr>
                <w:rFonts w:ascii="宋体" w:hAnsi="宋体" w:cs="宋体"/>
                <w:color w:val="auto"/>
                <w:kern w:val="0"/>
                <w:sz w:val="22"/>
                <w:szCs w:val="22"/>
                <w:highlight w:val="none"/>
              </w:rPr>
            </w:pPr>
            <w:r>
              <w:rPr>
                <w:rFonts w:hint="eastAsia"/>
                <w:color w:val="auto"/>
                <w:szCs w:val="21"/>
                <w:highlight w:val="none"/>
              </w:rPr>
              <w:t>1套</w:t>
            </w:r>
          </w:p>
        </w:tc>
        <w:tc>
          <w:tcPr>
            <w:tcW w:w="637" w:type="pct"/>
            <w:vAlign w:val="center"/>
          </w:tcPr>
          <w:p w14:paraId="0B030FB2">
            <w:pPr>
              <w:jc w:val="center"/>
              <w:rPr>
                <w:rFonts w:hint="default" w:eastAsia="宋体"/>
                <w:color w:val="auto"/>
                <w:szCs w:val="21"/>
                <w:highlight w:val="none"/>
                <w:lang w:val="en-US" w:eastAsia="zh-CN"/>
              </w:rPr>
            </w:pPr>
            <w:r>
              <w:rPr>
                <w:rFonts w:hint="eastAsia"/>
                <w:color w:val="auto"/>
                <w:szCs w:val="21"/>
                <w:highlight w:val="none"/>
                <w:lang w:val="en-US" w:eastAsia="zh-CN"/>
              </w:rPr>
              <w:t>400000</w:t>
            </w:r>
          </w:p>
        </w:tc>
        <w:tc>
          <w:tcPr>
            <w:tcW w:w="599" w:type="pct"/>
            <w:vMerge w:val="restart"/>
            <w:vAlign w:val="center"/>
          </w:tcPr>
          <w:p w14:paraId="06408D6D">
            <w:pPr>
              <w:jc w:val="center"/>
              <w:rPr>
                <w:rFonts w:ascii="宋体" w:hAnsi="宋体" w:cs="宋体"/>
                <w:color w:val="auto"/>
                <w:kern w:val="0"/>
                <w:sz w:val="22"/>
                <w:szCs w:val="22"/>
                <w:highlight w:val="none"/>
              </w:rPr>
            </w:pPr>
            <w:r>
              <w:rPr>
                <w:rFonts w:hint="eastAsia" w:hAnsi="宋体"/>
                <w:color w:val="auto"/>
                <w:szCs w:val="21"/>
                <w:highlight w:val="none"/>
              </w:rPr>
              <w:t>合同签订之日起30日内</w:t>
            </w:r>
          </w:p>
        </w:tc>
        <w:tc>
          <w:tcPr>
            <w:tcW w:w="794" w:type="pct"/>
            <w:vMerge w:val="restart"/>
            <w:vAlign w:val="center"/>
          </w:tcPr>
          <w:p w14:paraId="757E44EB">
            <w:pPr>
              <w:jc w:val="center"/>
              <w:rPr>
                <w:rFonts w:ascii="宋体" w:hAnsi="宋体" w:cs="宋体"/>
                <w:color w:val="auto"/>
                <w:kern w:val="0"/>
                <w:sz w:val="22"/>
                <w:szCs w:val="22"/>
                <w:highlight w:val="none"/>
              </w:rPr>
            </w:pPr>
            <w:r>
              <w:rPr>
                <w:rFonts w:hint="eastAsia"/>
                <w:color w:val="auto"/>
                <w:szCs w:val="21"/>
                <w:highlight w:val="none"/>
              </w:rPr>
              <w:t>泰顺县中医院（泰顺县中医院医共体）</w:t>
            </w:r>
          </w:p>
        </w:tc>
      </w:tr>
      <w:tr w14:paraId="699E42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7" w:hRule="atLeast"/>
          <w:jc w:val="center"/>
        </w:trPr>
        <w:tc>
          <w:tcPr>
            <w:tcW w:w="310" w:type="pct"/>
            <w:vMerge w:val="continue"/>
            <w:vAlign w:val="center"/>
          </w:tcPr>
          <w:p w14:paraId="76B6F9C2">
            <w:pPr>
              <w:jc w:val="center"/>
              <w:rPr>
                <w:color w:val="auto"/>
                <w:highlight w:val="none"/>
              </w:rPr>
            </w:pPr>
          </w:p>
        </w:tc>
        <w:tc>
          <w:tcPr>
            <w:tcW w:w="764" w:type="pct"/>
            <w:vMerge w:val="continue"/>
            <w:vAlign w:val="center"/>
          </w:tcPr>
          <w:p w14:paraId="649877A4">
            <w:pPr>
              <w:jc w:val="center"/>
              <w:rPr>
                <w:color w:val="auto"/>
                <w:highlight w:val="none"/>
              </w:rPr>
            </w:pPr>
          </w:p>
        </w:tc>
        <w:tc>
          <w:tcPr>
            <w:tcW w:w="1350" w:type="pct"/>
            <w:vAlign w:val="center"/>
          </w:tcPr>
          <w:p w14:paraId="4832CBA2">
            <w:pPr>
              <w:jc w:val="center"/>
              <w:rPr>
                <w:rFonts w:ascii="宋体" w:hAnsi="宋体" w:cs="宋体"/>
                <w:color w:val="auto"/>
                <w:sz w:val="22"/>
                <w:szCs w:val="22"/>
                <w:highlight w:val="none"/>
              </w:rPr>
            </w:pPr>
            <w:r>
              <w:rPr>
                <w:rFonts w:hint="eastAsia" w:ascii="宋体" w:hAnsi="宋体" w:cs="宋体"/>
                <w:color w:val="auto"/>
                <w:sz w:val="22"/>
                <w:szCs w:val="22"/>
                <w:highlight w:val="none"/>
              </w:rPr>
              <w:t>技术资料</w:t>
            </w:r>
          </w:p>
        </w:tc>
        <w:tc>
          <w:tcPr>
            <w:tcW w:w="543" w:type="pct"/>
            <w:vAlign w:val="center"/>
          </w:tcPr>
          <w:p w14:paraId="5FBAE5C2">
            <w:pPr>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全套</w:t>
            </w:r>
          </w:p>
        </w:tc>
        <w:tc>
          <w:tcPr>
            <w:tcW w:w="637" w:type="pct"/>
            <w:vAlign w:val="center"/>
          </w:tcPr>
          <w:p w14:paraId="03D45099">
            <w:pPr>
              <w:jc w:val="center"/>
              <w:rPr>
                <w:rFonts w:hint="eastAsia" w:ascii="宋体" w:hAnsi="宋体" w:cs="宋体"/>
                <w:color w:val="auto"/>
                <w:kern w:val="0"/>
                <w:sz w:val="22"/>
                <w:szCs w:val="22"/>
                <w:highlight w:val="none"/>
              </w:rPr>
            </w:pPr>
          </w:p>
        </w:tc>
        <w:tc>
          <w:tcPr>
            <w:tcW w:w="599" w:type="pct"/>
            <w:vMerge w:val="continue"/>
            <w:vAlign w:val="center"/>
          </w:tcPr>
          <w:p w14:paraId="3784F95D">
            <w:pPr>
              <w:jc w:val="center"/>
              <w:rPr>
                <w:rFonts w:ascii="宋体" w:hAnsi="宋体" w:cs="宋体"/>
                <w:color w:val="auto"/>
                <w:sz w:val="22"/>
                <w:szCs w:val="22"/>
                <w:highlight w:val="none"/>
              </w:rPr>
            </w:pPr>
          </w:p>
        </w:tc>
        <w:tc>
          <w:tcPr>
            <w:tcW w:w="794" w:type="pct"/>
            <w:vMerge w:val="continue"/>
            <w:vAlign w:val="center"/>
          </w:tcPr>
          <w:p w14:paraId="350A5CFE">
            <w:pPr>
              <w:jc w:val="center"/>
              <w:rPr>
                <w:rFonts w:ascii="宋体" w:hAnsi="宋体" w:cs="宋体"/>
                <w:color w:val="auto"/>
                <w:sz w:val="22"/>
                <w:szCs w:val="22"/>
                <w:highlight w:val="none"/>
              </w:rPr>
            </w:pPr>
          </w:p>
        </w:tc>
      </w:tr>
      <w:tr w14:paraId="48960E4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8" w:hRule="atLeast"/>
          <w:jc w:val="center"/>
        </w:trPr>
        <w:tc>
          <w:tcPr>
            <w:tcW w:w="310" w:type="pct"/>
            <w:vMerge w:val="continue"/>
            <w:vAlign w:val="center"/>
          </w:tcPr>
          <w:p w14:paraId="77694A16">
            <w:pPr>
              <w:jc w:val="center"/>
              <w:rPr>
                <w:rFonts w:ascii="宋体" w:hAnsi="宋体" w:cs="宋体"/>
                <w:color w:val="auto"/>
                <w:sz w:val="22"/>
                <w:szCs w:val="22"/>
                <w:highlight w:val="none"/>
              </w:rPr>
            </w:pPr>
          </w:p>
        </w:tc>
        <w:tc>
          <w:tcPr>
            <w:tcW w:w="764" w:type="pct"/>
            <w:vMerge w:val="continue"/>
            <w:vAlign w:val="center"/>
          </w:tcPr>
          <w:p w14:paraId="1D4C334B">
            <w:pPr>
              <w:jc w:val="center"/>
              <w:rPr>
                <w:rFonts w:ascii="宋体" w:hAnsi="宋体" w:cs="宋体"/>
                <w:color w:val="auto"/>
                <w:sz w:val="22"/>
                <w:szCs w:val="22"/>
                <w:highlight w:val="none"/>
              </w:rPr>
            </w:pPr>
          </w:p>
        </w:tc>
        <w:tc>
          <w:tcPr>
            <w:tcW w:w="1350" w:type="pct"/>
            <w:vAlign w:val="center"/>
          </w:tcPr>
          <w:p w14:paraId="0F587D1F">
            <w:pPr>
              <w:jc w:val="center"/>
              <w:rPr>
                <w:rFonts w:ascii="宋体" w:hAnsi="宋体" w:cs="宋体"/>
                <w:color w:val="auto"/>
                <w:sz w:val="22"/>
                <w:szCs w:val="22"/>
                <w:highlight w:val="none"/>
              </w:rPr>
            </w:pPr>
            <w:r>
              <w:rPr>
                <w:rFonts w:hint="eastAsia" w:ascii="宋体" w:hAnsi="宋体" w:cs="宋体"/>
                <w:color w:val="auto"/>
                <w:sz w:val="22"/>
                <w:szCs w:val="22"/>
                <w:highlight w:val="none"/>
              </w:rPr>
              <w:t>投标商须提供的其他资料</w:t>
            </w:r>
          </w:p>
        </w:tc>
        <w:tc>
          <w:tcPr>
            <w:tcW w:w="543" w:type="pct"/>
            <w:vAlign w:val="center"/>
          </w:tcPr>
          <w:p w14:paraId="50C4BC91">
            <w:pPr>
              <w:jc w:val="center"/>
              <w:rPr>
                <w:rFonts w:ascii="宋体" w:hAnsi="宋体" w:cs="宋体"/>
                <w:color w:val="auto"/>
                <w:sz w:val="22"/>
                <w:szCs w:val="22"/>
                <w:highlight w:val="none"/>
              </w:rPr>
            </w:pPr>
          </w:p>
        </w:tc>
        <w:tc>
          <w:tcPr>
            <w:tcW w:w="637" w:type="pct"/>
            <w:vAlign w:val="center"/>
          </w:tcPr>
          <w:p w14:paraId="23EEA19D">
            <w:pPr>
              <w:jc w:val="center"/>
              <w:rPr>
                <w:rFonts w:ascii="宋体" w:hAnsi="宋体" w:cs="宋体"/>
                <w:color w:val="auto"/>
                <w:sz w:val="22"/>
                <w:szCs w:val="22"/>
                <w:highlight w:val="none"/>
              </w:rPr>
            </w:pPr>
          </w:p>
        </w:tc>
        <w:tc>
          <w:tcPr>
            <w:tcW w:w="599" w:type="pct"/>
            <w:vMerge w:val="continue"/>
            <w:vAlign w:val="center"/>
          </w:tcPr>
          <w:p w14:paraId="2A3881DE">
            <w:pPr>
              <w:jc w:val="center"/>
              <w:rPr>
                <w:rFonts w:ascii="宋体" w:hAnsi="宋体" w:cs="宋体"/>
                <w:color w:val="auto"/>
                <w:sz w:val="22"/>
                <w:szCs w:val="22"/>
                <w:highlight w:val="none"/>
              </w:rPr>
            </w:pPr>
          </w:p>
        </w:tc>
        <w:tc>
          <w:tcPr>
            <w:tcW w:w="794" w:type="pct"/>
            <w:vMerge w:val="continue"/>
            <w:vAlign w:val="center"/>
          </w:tcPr>
          <w:p w14:paraId="0761A8D1">
            <w:pPr>
              <w:jc w:val="center"/>
              <w:rPr>
                <w:rFonts w:ascii="宋体" w:hAnsi="宋体" w:cs="宋体"/>
                <w:color w:val="auto"/>
                <w:sz w:val="22"/>
                <w:szCs w:val="22"/>
                <w:highlight w:val="none"/>
              </w:rPr>
            </w:pPr>
          </w:p>
        </w:tc>
      </w:tr>
      <w:tr w14:paraId="5710A3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9" w:hRule="atLeast"/>
          <w:jc w:val="center"/>
        </w:trPr>
        <w:tc>
          <w:tcPr>
            <w:tcW w:w="310" w:type="pct"/>
            <w:vMerge w:val="restart"/>
            <w:vAlign w:val="center"/>
          </w:tcPr>
          <w:p w14:paraId="3FAF788A">
            <w:pPr>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764" w:type="pct"/>
            <w:vMerge w:val="restart"/>
            <w:vAlign w:val="center"/>
          </w:tcPr>
          <w:p w14:paraId="49B0146F">
            <w:pPr>
              <w:jc w:val="center"/>
              <w:rPr>
                <w:rFonts w:ascii="宋体" w:hAnsi="宋体" w:cs="宋体"/>
                <w:color w:val="auto"/>
                <w:sz w:val="22"/>
                <w:szCs w:val="22"/>
                <w:highlight w:val="none"/>
              </w:rPr>
            </w:pPr>
            <w:r>
              <w:rPr>
                <w:rFonts w:hint="eastAsia" w:ascii="宋体" w:hAnsi="宋体" w:cs="宋体"/>
                <w:color w:val="auto"/>
                <w:sz w:val="22"/>
                <w:szCs w:val="22"/>
                <w:highlight w:val="none"/>
              </w:rPr>
              <w:t>麻醉监护仪</w:t>
            </w:r>
          </w:p>
        </w:tc>
        <w:tc>
          <w:tcPr>
            <w:tcW w:w="1350" w:type="pct"/>
            <w:vAlign w:val="center"/>
          </w:tcPr>
          <w:p w14:paraId="030CB90D">
            <w:pPr>
              <w:jc w:val="center"/>
              <w:rPr>
                <w:rFonts w:ascii="宋体" w:hAnsi="宋体" w:cs="宋体"/>
                <w:color w:val="auto"/>
                <w:sz w:val="22"/>
                <w:szCs w:val="22"/>
                <w:highlight w:val="none"/>
              </w:rPr>
            </w:pPr>
            <w:r>
              <w:rPr>
                <w:rFonts w:hint="eastAsia" w:ascii="宋体" w:hAnsi="宋体" w:cs="宋体"/>
                <w:color w:val="auto"/>
                <w:sz w:val="22"/>
                <w:szCs w:val="22"/>
                <w:highlight w:val="none"/>
              </w:rPr>
              <w:t>麻醉监护仪</w:t>
            </w:r>
          </w:p>
        </w:tc>
        <w:tc>
          <w:tcPr>
            <w:tcW w:w="543" w:type="pct"/>
            <w:vAlign w:val="center"/>
          </w:tcPr>
          <w:p w14:paraId="1A23C938">
            <w:pPr>
              <w:jc w:val="center"/>
              <w:rPr>
                <w:rFonts w:ascii="宋体" w:hAnsi="宋体" w:cs="宋体"/>
                <w:color w:val="auto"/>
                <w:sz w:val="22"/>
                <w:szCs w:val="22"/>
                <w:highlight w:val="none"/>
              </w:rPr>
            </w:pPr>
            <w:r>
              <w:rPr>
                <w:rFonts w:hint="eastAsia"/>
                <w:color w:val="auto"/>
                <w:szCs w:val="21"/>
                <w:highlight w:val="none"/>
              </w:rPr>
              <w:t>1套</w:t>
            </w:r>
          </w:p>
        </w:tc>
        <w:tc>
          <w:tcPr>
            <w:tcW w:w="637" w:type="pct"/>
            <w:vAlign w:val="center"/>
          </w:tcPr>
          <w:p w14:paraId="1C22D2E2">
            <w:pPr>
              <w:jc w:val="center"/>
              <w:rPr>
                <w:rFonts w:hint="default" w:eastAsia="宋体"/>
                <w:color w:val="auto"/>
                <w:szCs w:val="21"/>
                <w:highlight w:val="none"/>
                <w:lang w:val="en-US" w:eastAsia="zh-CN"/>
              </w:rPr>
            </w:pPr>
            <w:r>
              <w:rPr>
                <w:rFonts w:hint="eastAsia"/>
                <w:color w:val="auto"/>
                <w:szCs w:val="21"/>
                <w:highlight w:val="none"/>
                <w:lang w:val="en-US" w:eastAsia="zh-CN"/>
              </w:rPr>
              <w:t>150000</w:t>
            </w:r>
          </w:p>
        </w:tc>
        <w:tc>
          <w:tcPr>
            <w:tcW w:w="599" w:type="pct"/>
            <w:vMerge w:val="restart"/>
            <w:vAlign w:val="center"/>
          </w:tcPr>
          <w:p w14:paraId="69EB243D">
            <w:pPr>
              <w:jc w:val="center"/>
              <w:rPr>
                <w:rFonts w:ascii="宋体" w:hAnsi="宋体" w:cs="宋体"/>
                <w:color w:val="auto"/>
                <w:sz w:val="22"/>
                <w:szCs w:val="22"/>
                <w:highlight w:val="none"/>
              </w:rPr>
            </w:pPr>
            <w:r>
              <w:rPr>
                <w:rFonts w:hint="eastAsia" w:hAnsi="宋体"/>
                <w:color w:val="auto"/>
                <w:szCs w:val="21"/>
                <w:highlight w:val="none"/>
              </w:rPr>
              <w:t>合同签订之日起30日内</w:t>
            </w:r>
          </w:p>
        </w:tc>
        <w:tc>
          <w:tcPr>
            <w:tcW w:w="794" w:type="pct"/>
            <w:vMerge w:val="restart"/>
            <w:vAlign w:val="center"/>
          </w:tcPr>
          <w:p w14:paraId="7CDA2028">
            <w:pPr>
              <w:jc w:val="center"/>
              <w:rPr>
                <w:rFonts w:ascii="宋体" w:hAnsi="宋体" w:cs="宋体"/>
                <w:color w:val="auto"/>
                <w:sz w:val="22"/>
                <w:szCs w:val="22"/>
                <w:highlight w:val="none"/>
              </w:rPr>
            </w:pPr>
            <w:r>
              <w:rPr>
                <w:rFonts w:hint="eastAsia"/>
                <w:color w:val="auto"/>
                <w:szCs w:val="21"/>
                <w:highlight w:val="none"/>
              </w:rPr>
              <w:t>泰顺县中医院（泰顺县中医院医共体）</w:t>
            </w:r>
          </w:p>
        </w:tc>
      </w:tr>
      <w:tr w14:paraId="2C0A7E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9" w:hRule="atLeast"/>
          <w:jc w:val="center"/>
        </w:trPr>
        <w:tc>
          <w:tcPr>
            <w:tcW w:w="310" w:type="pct"/>
            <w:vMerge w:val="continue"/>
            <w:vAlign w:val="center"/>
          </w:tcPr>
          <w:p w14:paraId="3452DC49">
            <w:pPr>
              <w:jc w:val="center"/>
              <w:rPr>
                <w:color w:val="auto"/>
                <w:highlight w:val="none"/>
              </w:rPr>
            </w:pPr>
          </w:p>
        </w:tc>
        <w:tc>
          <w:tcPr>
            <w:tcW w:w="764" w:type="pct"/>
            <w:vMerge w:val="continue"/>
            <w:vAlign w:val="center"/>
          </w:tcPr>
          <w:p w14:paraId="69D9ABCB">
            <w:pPr>
              <w:jc w:val="center"/>
              <w:rPr>
                <w:color w:val="auto"/>
                <w:highlight w:val="none"/>
              </w:rPr>
            </w:pPr>
          </w:p>
        </w:tc>
        <w:tc>
          <w:tcPr>
            <w:tcW w:w="1350" w:type="pct"/>
            <w:vAlign w:val="center"/>
          </w:tcPr>
          <w:p w14:paraId="5EA06B54">
            <w:pPr>
              <w:jc w:val="center"/>
              <w:rPr>
                <w:rFonts w:ascii="宋体" w:hAnsi="宋体" w:cs="宋体"/>
                <w:color w:val="auto"/>
                <w:sz w:val="22"/>
                <w:szCs w:val="22"/>
                <w:highlight w:val="none"/>
              </w:rPr>
            </w:pPr>
            <w:r>
              <w:rPr>
                <w:rFonts w:hint="eastAsia" w:ascii="宋体" w:hAnsi="宋体" w:cs="宋体"/>
                <w:color w:val="auto"/>
                <w:sz w:val="22"/>
                <w:szCs w:val="22"/>
                <w:highlight w:val="none"/>
              </w:rPr>
              <w:t>技术资料</w:t>
            </w:r>
          </w:p>
        </w:tc>
        <w:tc>
          <w:tcPr>
            <w:tcW w:w="543" w:type="pct"/>
            <w:vAlign w:val="center"/>
          </w:tcPr>
          <w:p w14:paraId="4B425486">
            <w:pPr>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全套</w:t>
            </w:r>
          </w:p>
        </w:tc>
        <w:tc>
          <w:tcPr>
            <w:tcW w:w="637" w:type="pct"/>
            <w:vAlign w:val="center"/>
          </w:tcPr>
          <w:p w14:paraId="65637AE5">
            <w:pPr>
              <w:jc w:val="center"/>
              <w:rPr>
                <w:rFonts w:hint="eastAsia" w:ascii="宋体" w:hAnsi="宋体" w:cs="宋体"/>
                <w:color w:val="auto"/>
                <w:kern w:val="0"/>
                <w:sz w:val="22"/>
                <w:szCs w:val="22"/>
                <w:highlight w:val="none"/>
              </w:rPr>
            </w:pPr>
          </w:p>
        </w:tc>
        <w:tc>
          <w:tcPr>
            <w:tcW w:w="599" w:type="pct"/>
            <w:vMerge w:val="continue"/>
            <w:vAlign w:val="center"/>
          </w:tcPr>
          <w:p w14:paraId="1293817B">
            <w:pPr>
              <w:jc w:val="center"/>
              <w:rPr>
                <w:rFonts w:ascii="宋体" w:hAnsi="宋体" w:cs="宋体"/>
                <w:color w:val="auto"/>
                <w:sz w:val="22"/>
                <w:szCs w:val="22"/>
                <w:highlight w:val="none"/>
              </w:rPr>
            </w:pPr>
          </w:p>
        </w:tc>
        <w:tc>
          <w:tcPr>
            <w:tcW w:w="794" w:type="pct"/>
            <w:vMerge w:val="continue"/>
            <w:vAlign w:val="center"/>
          </w:tcPr>
          <w:p w14:paraId="165A94C8">
            <w:pPr>
              <w:jc w:val="center"/>
              <w:rPr>
                <w:rFonts w:ascii="宋体" w:hAnsi="宋体" w:cs="宋体"/>
                <w:color w:val="auto"/>
                <w:sz w:val="22"/>
                <w:szCs w:val="22"/>
                <w:highlight w:val="none"/>
              </w:rPr>
            </w:pPr>
          </w:p>
        </w:tc>
      </w:tr>
      <w:tr w14:paraId="3A3A20C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4" w:hRule="atLeast"/>
          <w:jc w:val="center"/>
        </w:trPr>
        <w:tc>
          <w:tcPr>
            <w:tcW w:w="310" w:type="pct"/>
            <w:vMerge w:val="continue"/>
            <w:vAlign w:val="center"/>
          </w:tcPr>
          <w:p w14:paraId="1DFC8766">
            <w:pPr>
              <w:jc w:val="center"/>
              <w:rPr>
                <w:rFonts w:ascii="宋体" w:hAnsi="宋体" w:cs="宋体"/>
                <w:color w:val="auto"/>
                <w:sz w:val="22"/>
                <w:szCs w:val="22"/>
                <w:highlight w:val="none"/>
              </w:rPr>
            </w:pPr>
          </w:p>
        </w:tc>
        <w:tc>
          <w:tcPr>
            <w:tcW w:w="764" w:type="pct"/>
            <w:vMerge w:val="continue"/>
            <w:vAlign w:val="center"/>
          </w:tcPr>
          <w:p w14:paraId="7BE3079A">
            <w:pPr>
              <w:jc w:val="center"/>
              <w:rPr>
                <w:rFonts w:ascii="宋体" w:hAnsi="宋体" w:cs="宋体"/>
                <w:color w:val="auto"/>
                <w:sz w:val="22"/>
                <w:szCs w:val="22"/>
                <w:highlight w:val="none"/>
              </w:rPr>
            </w:pPr>
          </w:p>
        </w:tc>
        <w:tc>
          <w:tcPr>
            <w:tcW w:w="1350" w:type="pct"/>
            <w:vAlign w:val="center"/>
          </w:tcPr>
          <w:p w14:paraId="4FA79DF3">
            <w:pPr>
              <w:jc w:val="center"/>
              <w:rPr>
                <w:rFonts w:ascii="宋体" w:hAnsi="宋体" w:cs="宋体"/>
                <w:color w:val="auto"/>
                <w:sz w:val="22"/>
                <w:szCs w:val="22"/>
                <w:highlight w:val="none"/>
              </w:rPr>
            </w:pPr>
            <w:bookmarkStart w:id="7" w:name="OLE_LINK10"/>
            <w:bookmarkStart w:id="8" w:name="OLE_LINK11"/>
            <w:r>
              <w:rPr>
                <w:rFonts w:hint="eastAsia" w:ascii="宋体" w:hAnsi="宋体" w:cs="宋体"/>
                <w:color w:val="auto"/>
                <w:sz w:val="22"/>
                <w:szCs w:val="22"/>
                <w:highlight w:val="none"/>
              </w:rPr>
              <w:t>投标商须提供的其他资料</w:t>
            </w:r>
            <w:bookmarkEnd w:id="7"/>
            <w:bookmarkEnd w:id="8"/>
          </w:p>
        </w:tc>
        <w:tc>
          <w:tcPr>
            <w:tcW w:w="543" w:type="pct"/>
            <w:vAlign w:val="center"/>
          </w:tcPr>
          <w:p w14:paraId="35D94AE9">
            <w:pPr>
              <w:jc w:val="center"/>
              <w:rPr>
                <w:rFonts w:hint="eastAsia" w:ascii="宋体" w:hAnsi="宋体" w:cs="宋体"/>
                <w:color w:val="auto"/>
                <w:sz w:val="22"/>
                <w:szCs w:val="22"/>
                <w:highlight w:val="none"/>
              </w:rPr>
            </w:pPr>
          </w:p>
          <w:p w14:paraId="6C63489E">
            <w:pPr>
              <w:jc w:val="center"/>
              <w:rPr>
                <w:rFonts w:ascii="宋体" w:hAnsi="宋体" w:cs="宋体"/>
                <w:color w:val="auto"/>
                <w:sz w:val="22"/>
                <w:szCs w:val="22"/>
                <w:highlight w:val="none"/>
              </w:rPr>
            </w:pPr>
          </w:p>
        </w:tc>
        <w:tc>
          <w:tcPr>
            <w:tcW w:w="637" w:type="pct"/>
            <w:vAlign w:val="center"/>
          </w:tcPr>
          <w:p w14:paraId="69575926">
            <w:pPr>
              <w:jc w:val="center"/>
              <w:rPr>
                <w:rFonts w:ascii="宋体" w:hAnsi="宋体" w:cs="宋体"/>
                <w:color w:val="auto"/>
                <w:sz w:val="22"/>
                <w:szCs w:val="22"/>
                <w:highlight w:val="none"/>
              </w:rPr>
            </w:pPr>
          </w:p>
        </w:tc>
        <w:tc>
          <w:tcPr>
            <w:tcW w:w="599" w:type="pct"/>
            <w:vAlign w:val="center"/>
          </w:tcPr>
          <w:p w14:paraId="2BBE4E5E">
            <w:pPr>
              <w:jc w:val="center"/>
              <w:rPr>
                <w:rFonts w:ascii="宋体" w:hAnsi="宋体" w:cs="宋体"/>
                <w:color w:val="auto"/>
                <w:sz w:val="22"/>
                <w:szCs w:val="22"/>
                <w:highlight w:val="none"/>
              </w:rPr>
            </w:pPr>
          </w:p>
        </w:tc>
        <w:tc>
          <w:tcPr>
            <w:tcW w:w="794" w:type="pct"/>
            <w:vAlign w:val="center"/>
          </w:tcPr>
          <w:p w14:paraId="069C6E24">
            <w:pPr>
              <w:jc w:val="center"/>
              <w:rPr>
                <w:rFonts w:ascii="宋体" w:hAnsi="宋体" w:cs="宋体"/>
                <w:color w:val="auto"/>
                <w:sz w:val="22"/>
                <w:szCs w:val="22"/>
                <w:highlight w:val="none"/>
              </w:rPr>
            </w:pPr>
          </w:p>
        </w:tc>
      </w:tr>
      <w:tr w14:paraId="073205E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4" w:hRule="atLeast"/>
          <w:jc w:val="center"/>
        </w:trPr>
        <w:tc>
          <w:tcPr>
            <w:tcW w:w="310" w:type="pct"/>
            <w:vMerge w:val="restart"/>
            <w:vAlign w:val="center"/>
          </w:tcPr>
          <w:p w14:paraId="30331300">
            <w:pPr>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764" w:type="pct"/>
            <w:vMerge w:val="restart"/>
            <w:vAlign w:val="center"/>
          </w:tcPr>
          <w:p w14:paraId="326CC02A">
            <w:pPr>
              <w:jc w:val="center"/>
              <w:rPr>
                <w:rFonts w:ascii="宋体" w:hAnsi="宋体" w:cs="宋体"/>
                <w:color w:val="auto"/>
                <w:sz w:val="22"/>
                <w:szCs w:val="22"/>
                <w:highlight w:val="none"/>
              </w:rPr>
            </w:pPr>
            <w:r>
              <w:rPr>
                <w:rFonts w:hint="eastAsia" w:ascii="宋体" w:hAnsi="宋体" w:cs="宋体"/>
                <w:color w:val="auto"/>
                <w:sz w:val="22"/>
                <w:szCs w:val="22"/>
                <w:highlight w:val="none"/>
              </w:rPr>
              <w:t>麻醉深度监测仪（BIS）</w:t>
            </w:r>
          </w:p>
        </w:tc>
        <w:tc>
          <w:tcPr>
            <w:tcW w:w="1350" w:type="pct"/>
            <w:vAlign w:val="center"/>
          </w:tcPr>
          <w:p w14:paraId="1114EAF2">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BIS模块</w:t>
            </w:r>
          </w:p>
        </w:tc>
        <w:tc>
          <w:tcPr>
            <w:tcW w:w="543" w:type="pct"/>
            <w:vAlign w:val="center"/>
          </w:tcPr>
          <w:p w14:paraId="6A85F7AA">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1套</w:t>
            </w:r>
          </w:p>
        </w:tc>
        <w:tc>
          <w:tcPr>
            <w:tcW w:w="637" w:type="pct"/>
            <w:vAlign w:val="center"/>
          </w:tcPr>
          <w:p w14:paraId="4877C91D">
            <w:pPr>
              <w:jc w:val="center"/>
              <w:rPr>
                <w:rFonts w:hint="default"/>
                <w:color w:val="auto"/>
                <w:szCs w:val="21"/>
                <w:highlight w:val="none"/>
                <w:lang w:val="en-US" w:eastAsia="zh-CN"/>
              </w:rPr>
            </w:pPr>
            <w:r>
              <w:rPr>
                <w:rFonts w:hint="eastAsia"/>
                <w:color w:val="auto"/>
                <w:szCs w:val="21"/>
                <w:highlight w:val="none"/>
                <w:lang w:val="en-US" w:eastAsia="zh-CN"/>
              </w:rPr>
              <w:t>80000</w:t>
            </w:r>
          </w:p>
        </w:tc>
        <w:tc>
          <w:tcPr>
            <w:tcW w:w="599" w:type="pct"/>
            <w:vMerge w:val="restart"/>
            <w:vAlign w:val="center"/>
          </w:tcPr>
          <w:p w14:paraId="307B25FA">
            <w:pPr>
              <w:jc w:val="center"/>
              <w:rPr>
                <w:rFonts w:ascii="宋体" w:hAnsi="宋体" w:cs="宋体"/>
                <w:color w:val="auto"/>
                <w:sz w:val="22"/>
                <w:szCs w:val="22"/>
                <w:highlight w:val="none"/>
              </w:rPr>
            </w:pPr>
            <w:r>
              <w:rPr>
                <w:rFonts w:hint="eastAsia" w:hAnsi="宋体"/>
                <w:color w:val="auto"/>
                <w:szCs w:val="21"/>
                <w:highlight w:val="none"/>
              </w:rPr>
              <w:t>合同签订之日起30日内</w:t>
            </w:r>
          </w:p>
        </w:tc>
        <w:tc>
          <w:tcPr>
            <w:tcW w:w="794" w:type="pct"/>
            <w:vMerge w:val="restart"/>
            <w:vAlign w:val="center"/>
          </w:tcPr>
          <w:p w14:paraId="7F6CACE7">
            <w:pPr>
              <w:jc w:val="center"/>
              <w:rPr>
                <w:rFonts w:ascii="宋体" w:hAnsi="宋体" w:cs="宋体"/>
                <w:color w:val="auto"/>
                <w:sz w:val="22"/>
                <w:szCs w:val="22"/>
                <w:highlight w:val="none"/>
              </w:rPr>
            </w:pPr>
            <w:r>
              <w:rPr>
                <w:rFonts w:hint="eastAsia"/>
                <w:color w:val="auto"/>
                <w:szCs w:val="21"/>
                <w:highlight w:val="none"/>
              </w:rPr>
              <w:t>泰顺县中医院（泰顺县中医院医共体）</w:t>
            </w:r>
          </w:p>
        </w:tc>
      </w:tr>
      <w:tr w14:paraId="17B01F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9" w:hRule="atLeast"/>
          <w:jc w:val="center"/>
        </w:trPr>
        <w:tc>
          <w:tcPr>
            <w:tcW w:w="310" w:type="pct"/>
            <w:vMerge w:val="continue"/>
            <w:vAlign w:val="center"/>
          </w:tcPr>
          <w:p w14:paraId="73941B75">
            <w:pPr>
              <w:jc w:val="center"/>
              <w:rPr>
                <w:rFonts w:hint="eastAsia" w:ascii="宋体" w:hAnsi="宋体" w:cs="宋体"/>
                <w:color w:val="auto"/>
                <w:sz w:val="22"/>
                <w:szCs w:val="22"/>
                <w:highlight w:val="none"/>
              </w:rPr>
            </w:pPr>
          </w:p>
        </w:tc>
        <w:tc>
          <w:tcPr>
            <w:tcW w:w="764" w:type="pct"/>
            <w:vMerge w:val="continue"/>
            <w:vAlign w:val="center"/>
          </w:tcPr>
          <w:p w14:paraId="13EE55C3">
            <w:pPr>
              <w:jc w:val="center"/>
              <w:rPr>
                <w:rFonts w:hint="eastAsia" w:ascii="宋体" w:hAnsi="宋体" w:cs="宋体"/>
                <w:color w:val="auto"/>
                <w:sz w:val="22"/>
                <w:szCs w:val="22"/>
                <w:highlight w:val="none"/>
              </w:rPr>
            </w:pPr>
          </w:p>
        </w:tc>
        <w:tc>
          <w:tcPr>
            <w:tcW w:w="1350" w:type="pct"/>
            <w:vAlign w:val="center"/>
          </w:tcPr>
          <w:p w14:paraId="395CCFDD">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技术资料</w:t>
            </w:r>
          </w:p>
        </w:tc>
        <w:tc>
          <w:tcPr>
            <w:tcW w:w="543" w:type="pct"/>
            <w:vMerge w:val="restart"/>
            <w:vAlign w:val="center"/>
          </w:tcPr>
          <w:p w14:paraId="389F29B4">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全套</w:t>
            </w:r>
          </w:p>
        </w:tc>
        <w:tc>
          <w:tcPr>
            <w:tcW w:w="637" w:type="pct"/>
            <w:vAlign w:val="center"/>
          </w:tcPr>
          <w:p w14:paraId="0CE9F6BB">
            <w:pPr>
              <w:jc w:val="center"/>
              <w:rPr>
                <w:rFonts w:hint="eastAsia"/>
                <w:color w:val="auto"/>
                <w:szCs w:val="21"/>
                <w:highlight w:val="none"/>
                <w:lang w:val="en-US" w:eastAsia="zh-CN"/>
              </w:rPr>
            </w:pPr>
          </w:p>
        </w:tc>
        <w:tc>
          <w:tcPr>
            <w:tcW w:w="599" w:type="pct"/>
            <w:vMerge w:val="continue"/>
            <w:vAlign w:val="center"/>
          </w:tcPr>
          <w:p w14:paraId="2C2BE11F">
            <w:pPr>
              <w:jc w:val="center"/>
              <w:rPr>
                <w:rFonts w:hint="eastAsia" w:hAnsi="宋体"/>
                <w:color w:val="auto"/>
                <w:szCs w:val="21"/>
                <w:highlight w:val="none"/>
              </w:rPr>
            </w:pPr>
          </w:p>
        </w:tc>
        <w:tc>
          <w:tcPr>
            <w:tcW w:w="794" w:type="pct"/>
            <w:vMerge w:val="continue"/>
            <w:vAlign w:val="center"/>
          </w:tcPr>
          <w:p w14:paraId="6B4A2D13">
            <w:pPr>
              <w:jc w:val="center"/>
              <w:rPr>
                <w:rFonts w:ascii="宋体" w:hAnsi="宋体" w:cs="宋体"/>
                <w:color w:val="auto"/>
                <w:sz w:val="22"/>
                <w:szCs w:val="22"/>
                <w:highlight w:val="none"/>
              </w:rPr>
            </w:pPr>
          </w:p>
        </w:tc>
      </w:tr>
      <w:tr w14:paraId="16D8BE4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310" w:type="pct"/>
            <w:vMerge w:val="continue"/>
            <w:vAlign w:val="center"/>
          </w:tcPr>
          <w:p w14:paraId="5833D9EE">
            <w:pPr>
              <w:jc w:val="center"/>
              <w:rPr>
                <w:rFonts w:hint="eastAsia" w:ascii="宋体" w:hAnsi="宋体" w:cs="宋体"/>
                <w:color w:val="auto"/>
                <w:sz w:val="22"/>
                <w:szCs w:val="22"/>
                <w:highlight w:val="none"/>
              </w:rPr>
            </w:pPr>
          </w:p>
        </w:tc>
        <w:tc>
          <w:tcPr>
            <w:tcW w:w="764" w:type="pct"/>
            <w:vMerge w:val="continue"/>
            <w:vAlign w:val="center"/>
          </w:tcPr>
          <w:p w14:paraId="583C66F0">
            <w:pPr>
              <w:jc w:val="center"/>
              <w:rPr>
                <w:rFonts w:hint="eastAsia" w:ascii="宋体" w:hAnsi="宋体" w:cs="宋体"/>
                <w:color w:val="auto"/>
                <w:sz w:val="22"/>
                <w:szCs w:val="22"/>
                <w:highlight w:val="none"/>
              </w:rPr>
            </w:pPr>
          </w:p>
        </w:tc>
        <w:tc>
          <w:tcPr>
            <w:tcW w:w="1350" w:type="pct"/>
            <w:vAlign w:val="center"/>
          </w:tcPr>
          <w:p w14:paraId="2045D91C">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投标商须提供的其他资料</w:t>
            </w:r>
          </w:p>
        </w:tc>
        <w:tc>
          <w:tcPr>
            <w:tcW w:w="543" w:type="pct"/>
            <w:vMerge w:val="continue"/>
            <w:vAlign w:val="center"/>
          </w:tcPr>
          <w:p w14:paraId="32A6CB6F">
            <w:pPr>
              <w:jc w:val="center"/>
              <w:rPr>
                <w:rFonts w:hint="eastAsia" w:ascii="宋体" w:hAnsi="宋体" w:cs="宋体"/>
                <w:color w:val="auto"/>
                <w:sz w:val="22"/>
                <w:szCs w:val="22"/>
                <w:highlight w:val="none"/>
              </w:rPr>
            </w:pPr>
          </w:p>
        </w:tc>
        <w:tc>
          <w:tcPr>
            <w:tcW w:w="637" w:type="pct"/>
            <w:vAlign w:val="center"/>
          </w:tcPr>
          <w:p w14:paraId="470810F4">
            <w:pPr>
              <w:jc w:val="center"/>
              <w:rPr>
                <w:rFonts w:hint="eastAsia" w:ascii="宋体" w:hAnsi="宋体" w:cs="宋体"/>
                <w:color w:val="auto"/>
                <w:sz w:val="22"/>
                <w:szCs w:val="22"/>
                <w:highlight w:val="none"/>
              </w:rPr>
            </w:pPr>
          </w:p>
        </w:tc>
        <w:tc>
          <w:tcPr>
            <w:tcW w:w="599" w:type="pct"/>
            <w:vMerge w:val="continue"/>
            <w:vAlign w:val="center"/>
          </w:tcPr>
          <w:p w14:paraId="578809A5">
            <w:pPr>
              <w:jc w:val="center"/>
              <w:rPr>
                <w:rFonts w:hint="eastAsia" w:hAnsi="宋体"/>
                <w:color w:val="auto"/>
                <w:szCs w:val="21"/>
                <w:highlight w:val="none"/>
              </w:rPr>
            </w:pPr>
          </w:p>
        </w:tc>
        <w:tc>
          <w:tcPr>
            <w:tcW w:w="794" w:type="pct"/>
            <w:vMerge w:val="continue"/>
            <w:vAlign w:val="center"/>
          </w:tcPr>
          <w:p w14:paraId="30004EB8">
            <w:pPr>
              <w:jc w:val="center"/>
              <w:rPr>
                <w:rFonts w:ascii="宋体" w:hAnsi="宋体" w:cs="宋体"/>
                <w:color w:val="auto"/>
                <w:sz w:val="22"/>
                <w:szCs w:val="22"/>
                <w:highlight w:val="none"/>
              </w:rPr>
            </w:pPr>
          </w:p>
        </w:tc>
      </w:tr>
    </w:tbl>
    <w:p w14:paraId="6307AFD4">
      <w:pPr>
        <w:adjustRightInd w:val="0"/>
        <w:snapToGrid w:val="0"/>
        <w:spacing w:line="454" w:lineRule="atLeast"/>
        <w:jc w:val="left"/>
        <w:rPr>
          <w:rFonts w:ascii="宋体" w:hAnsi="宋体" w:cs="宋体"/>
          <w:b/>
          <w:bCs/>
          <w:color w:val="auto"/>
          <w:sz w:val="22"/>
          <w:szCs w:val="22"/>
          <w:highlight w:val="none"/>
        </w:rPr>
      </w:pPr>
      <w:r>
        <w:rPr>
          <w:rFonts w:hint="eastAsia" w:ascii="宋体" w:hAnsi="宋体" w:cs="宋体"/>
          <w:b/>
          <w:bCs/>
          <w:color w:val="auto"/>
          <w:sz w:val="22"/>
          <w:szCs w:val="20"/>
          <w:highlight w:val="none"/>
        </w:rPr>
        <w:t>三、</w:t>
      </w:r>
      <w:r>
        <w:rPr>
          <w:rFonts w:hint="eastAsia" w:ascii="宋体" w:hAnsi="宋体" w:cs="宋体"/>
          <w:b/>
          <w:bCs/>
          <w:color w:val="auto"/>
          <w:sz w:val="22"/>
          <w:szCs w:val="22"/>
          <w:highlight w:val="none"/>
        </w:rPr>
        <w:t>技术参数</w:t>
      </w:r>
      <w:r>
        <w:rPr>
          <w:rFonts w:hint="eastAsia" w:ascii="宋体" w:hAnsi="宋体" w:cs="宋体"/>
          <w:b/>
          <w:bCs/>
          <w:color w:val="auto"/>
          <w:sz w:val="22"/>
          <w:szCs w:val="22"/>
          <w:highlight w:val="none"/>
        </w:rPr>
        <w:br w:type="textWrapping"/>
      </w:r>
      <w:r>
        <w:rPr>
          <w:rFonts w:hint="eastAsia" w:ascii="宋体" w:hAnsi="宋体" w:cs="宋体"/>
          <w:b/>
          <w:bCs/>
          <w:color w:val="auto"/>
          <w:sz w:val="22"/>
          <w:szCs w:val="22"/>
          <w:highlight w:val="none"/>
        </w:rPr>
        <w:t xml:space="preserve">1.便携式彩色多普勒超声诊断仪 </w:t>
      </w:r>
    </w:p>
    <w:tbl>
      <w:tblPr>
        <w:tblStyle w:val="3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8246"/>
      </w:tblGrid>
      <w:tr w14:paraId="3901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17" w:type="pct"/>
            <w:tcBorders>
              <w:top w:val="single" w:color="auto" w:sz="4" w:space="0"/>
              <w:left w:val="single" w:color="auto" w:sz="4" w:space="0"/>
              <w:bottom w:val="single" w:color="auto" w:sz="4" w:space="0"/>
              <w:right w:val="single" w:color="auto" w:sz="4" w:space="0"/>
            </w:tcBorders>
            <w:vAlign w:val="center"/>
          </w:tcPr>
          <w:p w14:paraId="38F153CC">
            <w:pPr>
              <w:spacing w:line="360" w:lineRule="exact"/>
              <w:jc w:val="center"/>
              <w:rPr>
                <w:rFonts w:ascii="宋体" w:hAnsi="宋体" w:cs="宋体"/>
                <w:bCs/>
                <w:color w:val="auto"/>
                <w:sz w:val="22"/>
                <w:szCs w:val="22"/>
                <w:highlight w:val="none"/>
              </w:rPr>
            </w:pPr>
            <w:r>
              <w:rPr>
                <w:rFonts w:hint="eastAsia" w:ascii="宋体" w:hAnsi="宋体" w:cs="宋体"/>
                <w:b/>
                <w:bCs/>
                <w:color w:val="auto"/>
                <w:sz w:val="22"/>
                <w:szCs w:val="22"/>
                <w:highlight w:val="none"/>
              </w:rPr>
              <w:t>序号</w:t>
            </w:r>
          </w:p>
        </w:tc>
        <w:tc>
          <w:tcPr>
            <w:tcW w:w="4283" w:type="pct"/>
            <w:tcBorders>
              <w:top w:val="single" w:color="auto" w:sz="4" w:space="0"/>
              <w:left w:val="single" w:color="auto" w:sz="4" w:space="0"/>
              <w:bottom w:val="single" w:color="auto" w:sz="4" w:space="0"/>
              <w:right w:val="single" w:color="auto" w:sz="4" w:space="0"/>
            </w:tcBorders>
            <w:vAlign w:val="center"/>
          </w:tcPr>
          <w:p w14:paraId="1D2895A6">
            <w:pPr>
              <w:spacing w:line="360" w:lineRule="exact"/>
              <w:jc w:val="center"/>
              <w:rPr>
                <w:rFonts w:ascii="宋体" w:hAnsi="宋体" w:cs="宋体"/>
                <w:color w:val="auto"/>
                <w:sz w:val="22"/>
                <w:szCs w:val="22"/>
                <w:highlight w:val="none"/>
              </w:rPr>
            </w:pPr>
            <w:r>
              <w:rPr>
                <w:rFonts w:hint="eastAsia" w:ascii="宋体" w:hAnsi="宋体" w:cs="宋体"/>
                <w:b/>
                <w:bCs/>
                <w:color w:val="auto"/>
                <w:sz w:val="22"/>
                <w:szCs w:val="22"/>
                <w:highlight w:val="none"/>
              </w:rPr>
              <w:t>参数</w:t>
            </w:r>
          </w:p>
        </w:tc>
      </w:tr>
      <w:tr w14:paraId="5012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136138BC">
            <w:pPr>
              <w:spacing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一</w:t>
            </w:r>
          </w:p>
        </w:tc>
        <w:tc>
          <w:tcPr>
            <w:tcW w:w="4283" w:type="pct"/>
            <w:tcBorders>
              <w:top w:val="single" w:color="auto" w:sz="4" w:space="0"/>
              <w:left w:val="single" w:color="auto" w:sz="4" w:space="0"/>
              <w:bottom w:val="single" w:color="auto" w:sz="4" w:space="0"/>
              <w:right w:val="single" w:color="auto" w:sz="4" w:space="0"/>
            </w:tcBorders>
            <w:vAlign w:val="center"/>
          </w:tcPr>
          <w:p w14:paraId="13CA39A6">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设备名称：便携式彩色多普勒超声诊断仪</w:t>
            </w:r>
          </w:p>
        </w:tc>
      </w:tr>
      <w:tr w14:paraId="3651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6A61DC99">
            <w:pPr>
              <w:spacing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二</w:t>
            </w:r>
          </w:p>
        </w:tc>
        <w:tc>
          <w:tcPr>
            <w:tcW w:w="4283" w:type="pct"/>
            <w:tcBorders>
              <w:top w:val="single" w:color="auto" w:sz="4" w:space="0"/>
              <w:left w:val="single" w:color="auto" w:sz="4" w:space="0"/>
              <w:bottom w:val="single" w:color="auto" w:sz="4" w:space="0"/>
              <w:right w:val="single" w:color="auto" w:sz="4" w:space="0"/>
            </w:tcBorders>
            <w:vAlign w:val="center"/>
          </w:tcPr>
          <w:p w14:paraId="4758D789">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设备用途：腹部、小器官、浅表、妇科、产科、心脏、血管、泌尿、急诊、介入其他等全身应用</w:t>
            </w:r>
          </w:p>
        </w:tc>
      </w:tr>
      <w:tr w14:paraId="4E44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711787F8">
            <w:pPr>
              <w:spacing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三</w:t>
            </w:r>
          </w:p>
        </w:tc>
        <w:tc>
          <w:tcPr>
            <w:tcW w:w="4283" w:type="pct"/>
            <w:tcBorders>
              <w:top w:val="single" w:color="auto" w:sz="4" w:space="0"/>
              <w:left w:val="single" w:color="auto" w:sz="4" w:space="0"/>
              <w:bottom w:val="single" w:color="auto" w:sz="4" w:space="0"/>
              <w:right w:val="single" w:color="auto" w:sz="4" w:space="0"/>
            </w:tcBorders>
            <w:vAlign w:val="center"/>
          </w:tcPr>
          <w:p w14:paraId="2EC81E72">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主要技术规格及系统概况：</w:t>
            </w:r>
          </w:p>
        </w:tc>
      </w:tr>
      <w:tr w14:paraId="6FB1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3E3518A3">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u w:color="000000"/>
                <w:lang w:val="zh-TW" w:eastAsia="zh-TW"/>
              </w:rPr>
              <w:t>△</w:t>
            </w:r>
            <w:r>
              <w:rPr>
                <w:rFonts w:hint="eastAsia" w:ascii="宋体" w:hAnsi="宋体" w:cs="宋体"/>
                <w:color w:val="auto"/>
                <w:sz w:val="22"/>
                <w:szCs w:val="22"/>
                <w:highlight w:val="none"/>
              </w:rPr>
              <w:t>3.1</w:t>
            </w:r>
          </w:p>
        </w:tc>
        <w:tc>
          <w:tcPr>
            <w:tcW w:w="4283" w:type="pct"/>
            <w:tcBorders>
              <w:top w:val="single" w:color="auto" w:sz="4" w:space="0"/>
              <w:left w:val="single" w:color="auto" w:sz="4" w:space="0"/>
              <w:bottom w:val="single" w:color="auto" w:sz="4" w:space="0"/>
              <w:right w:val="single" w:color="auto" w:sz="4" w:space="0"/>
            </w:tcBorders>
            <w:vAlign w:val="center"/>
          </w:tcPr>
          <w:p w14:paraId="15FEEC06">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≥21.5英寸无缝纯平投射式电容屏，电容式触摸屏，支持单点、多点、滑动、缩放操作</w:t>
            </w:r>
            <w:r>
              <w:rPr>
                <w:rFonts w:hint="eastAsia" w:ascii="宋体" w:hAnsi="宋体" w:cs="宋体"/>
                <w:b/>
                <w:bCs/>
                <w:color w:val="auto"/>
                <w:kern w:val="0"/>
                <w:sz w:val="22"/>
                <w:szCs w:val="22"/>
                <w:highlight w:val="none"/>
              </w:rPr>
              <w:t>（提供医疗器械注册时附件技术要求或由具有相应医疗器械检验资质的医疗器械检验机构出具的产品注册检验报告或产品说明书或原厂技术白皮书）</w:t>
            </w:r>
          </w:p>
        </w:tc>
      </w:tr>
      <w:tr w14:paraId="534E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04ED14A4">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u w:color="000000"/>
                <w:lang w:val="zh-TW" w:eastAsia="zh-TW"/>
              </w:rPr>
              <w:t>△</w:t>
            </w:r>
            <w:r>
              <w:rPr>
                <w:rFonts w:hint="eastAsia" w:ascii="宋体" w:hAnsi="宋体" w:cs="宋体"/>
                <w:color w:val="auto"/>
                <w:sz w:val="22"/>
                <w:szCs w:val="22"/>
                <w:highlight w:val="none"/>
              </w:rPr>
              <w:t>3.2</w:t>
            </w:r>
          </w:p>
        </w:tc>
        <w:tc>
          <w:tcPr>
            <w:tcW w:w="4283" w:type="pct"/>
            <w:tcBorders>
              <w:top w:val="single" w:color="auto" w:sz="4" w:space="0"/>
              <w:left w:val="single" w:color="auto" w:sz="4" w:space="0"/>
              <w:bottom w:val="single" w:color="auto" w:sz="4" w:space="0"/>
              <w:right w:val="single" w:color="auto" w:sz="4" w:space="0"/>
            </w:tcBorders>
            <w:vAlign w:val="center"/>
          </w:tcPr>
          <w:p w14:paraId="163D9373">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机器内置≥3个探头接口，可同时激活，同时主机内置锂电池，保证脱离台车也可单独使用</w:t>
            </w:r>
            <w:r>
              <w:rPr>
                <w:rFonts w:hint="eastAsia" w:ascii="宋体" w:hAnsi="宋体" w:cs="宋体"/>
                <w:b/>
                <w:bCs/>
                <w:color w:val="auto"/>
                <w:kern w:val="0"/>
                <w:sz w:val="22"/>
                <w:szCs w:val="22"/>
                <w:highlight w:val="none"/>
              </w:rPr>
              <w:t>（提供医疗器械注册时附件技术要求或由具有相应医疗器械检验资质的医疗器械检验机构出具的产品注册检验报告或产品说明书或原厂技术白皮书）</w:t>
            </w:r>
          </w:p>
        </w:tc>
      </w:tr>
      <w:tr w14:paraId="2AA3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001064A0">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3.3</w:t>
            </w:r>
          </w:p>
        </w:tc>
        <w:tc>
          <w:tcPr>
            <w:tcW w:w="4283" w:type="pct"/>
            <w:tcBorders>
              <w:top w:val="single" w:color="auto" w:sz="4" w:space="0"/>
              <w:left w:val="single" w:color="auto" w:sz="4" w:space="0"/>
              <w:bottom w:val="single" w:color="auto" w:sz="4" w:space="0"/>
              <w:right w:val="single" w:color="auto" w:sz="4" w:space="0"/>
            </w:tcBorders>
            <w:vAlign w:val="center"/>
          </w:tcPr>
          <w:p w14:paraId="0FF0F996">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≥4个USB3.0接口</w:t>
            </w:r>
          </w:p>
        </w:tc>
      </w:tr>
      <w:tr w14:paraId="4861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64B54C24">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3.4</w:t>
            </w:r>
          </w:p>
        </w:tc>
        <w:tc>
          <w:tcPr>
            <w:tcW w:w="4283" w:type="pct"/>
            <w:tcBorders>
              <w:top w:val="single" w:color="auto" w:sz="4" w:space="0"/>
              <w:left w:val="single" w:color="auto" w:sz="4" w:space="0"/>
              <w:bottom w:val="single" w:color="auto" w:sz="4" w:space="0"/>
              <w:right w:val="single" w:color="auto" w:sz="4" w:space="0"/>
            </w:tcBorders>
            <w:vAlign w:val="center"/>
          </w:tcPr>
          <w:p w14:paraId="1A36EE54">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屏幕分辨率≥1920*1070</w:t>
            </w:r>
          </w:p>
        </w:tc>
      </w:tr>
      <w:tr w14:paraId="28CB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68181011">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3.5</w:t>
            </w:r>
          </w:p>
        </w:tc>
        <w:tc>
          <w:tcPr>
            <w:tcW w:w="4283" w:type="pct"/>
            <w:tcBorders>
              <w:top w:val="single" w:color="auto" w:sz="4" w:space="0"/>
              <w:left w:val="single" w:color="auto" w:sz="4" w:space="0"/>
              <w:bottom w:val="single" w:color="auto" w:sz="4" w:space="0"/>
              <w:right w:val="single" w:color="auto" w:sz="4" w:space="0"/>
            </w:tcBorders>
            <w:vAlign w:val="center"/>
          </w:tcPr>
          <w:p w14:paraId="7E2D3EB4">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多倍波束合成</w:t>
            </w:r>
          </w:p>
        </w:tc>
      </w:tr>
      <w:tr w14:paraId="53E7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2118E57C">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3.6</w:t>
            </w:r>
          </w:p>
        </w:tc>
        <w:tc>
          <w:tcPr>
            <w:tcW w:w="4283" w:type="pct"/>
            <w:tcBorders>
              <w:top w:val="single" w:color="auto" w:sz="4" w:space="0"/>
              <w:left w:val="single" w:color="auto" w:sz="4" w:space="0"/>
              <w:bottom w:val="single" w:color="auto" w:sz="4" w:space="0"/>
              <w:right w:val="single" w:color="auto" w:sz="4" w:space="0"/>
            </w:tcBorders>
            <w:vAlign w:val="center"/>
          </w:tcPr>
          <w:p w14:paraId="532880F1">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二维灰阶模式</w:t>
            </w:r>
          </w:p>
        </w:tc>
      </w:tr>
      <w:tr w14:paraId="6137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7088D842">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3.7</w:t>
            </w:r>
          </w:p>
        </w:tc>
        <w:tc>
          <w:tcPr>
            <w:tcW w:w="4283" w:type="pct"/>
            <w:tcBorders>
              <w:top w:val="single" w:color="auto" w:sz="4" w:space="0"/>
              <w:left w:val="single" w:color="auto" w:sz="4" w:space="0"/>
              <w:bottom w:val="single" w:color="auto" w:sz="4" w:space="0"/>
              <w:right w:val="single" w:color="auto" w:sz="4" w:space="0"/>
            </w:tcBorders>
            <w:vAlign w:val="center"/>
          </w:tcPr>
          <w:p w14:paraId="4CDD4F4A">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组织谐波成像模式</w:t>
            </w:r>
          </w:p>
        </w:tc>
      </w:tr>
      <w:tr w14:paraId="6D1E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31B59DAB">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3.8</w:t>
            </w:r>
          </w:p>
        </w:tc>
        <w:tc>
          <w:tcPr>
            <w:tcW w:w="4283" w:type="pct"/>
            <w:tcBorders>
              <w:top w:val="single" w:color="auto" w:sz="4" w:space="0"/>
              <w:left w:val="single" w:color="auto" w:sz="4" w:space="0"/>
              <w:bottom w:val="single" w:color="auto" w:sz="4" w:space="0"/>
              <w:right w:val="single" w:color="auto" w:sz="4" w:space="0"/>
            </w:tcBorders>
            <w:vAlign w:val="center"/>
          </w:tcPr>
          <w:p w14:paraId="1F6E7F84">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宽带频移谐波</w:t>
            </w:r>
          </w:p>
        </w:tc>
      </w:tr>
      <w:tr w14:paraId="791A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4D2BF70D">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3.9</w:t>
            </w:r>
          </w:p>
        </w:tc>
        <w:tc>
          <w:tcPr>
            <w:tcW w:w="4283" w:type="pct"/>
            <w:tcBorders>
              <w:top w:val="single" w:color="auto" w:sz="4" w:space="0"/>
              <w:left w:val="single" w:color="auto" w:sz="4" w:space="0"/>
              <w:bottom w:val="single" w:color="auto" w:sz="4" w:space="0"/>
              <w:right w:val="single" w:color="auto" w:sz="4" w:space="0"/>
            </w:tcBorders>
            <w:vAlign w:val="center"/>
          </w:tcPr>
          <w:p w14:paraId="2AB19127">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组织特异性成像</w:t>
            </w:r>
          </w:p>
        </w:tc>
      </w:tr>
      <w:tr w14:paraId="733D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03F23EF2">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3.10</w:t>
            </w:r>
          </w:p>
        </w:tc>
        <w:tc>
          <w:tcPr>
            <w:tcW w:w="4283" w:type="pct"/>
            <w:tcBorders>
              <w:top w:val="single" w:color="auto" w:sz="4" w:space="0"/>
              <w:left w:val="single" w:color="auto" w:sz="4" w:space="0"/>
              <w:bottom w:val="single" w:color="auto" w:sz="4" w:space="0"/>
              <w:right w:val="single" w:color="auto" w:sz="4" w:space="0"/>
            </w:tcBorders>
            <w:vAlign w:val="center"/>
          </w:tcPr>
          <w:p w14:paraId="7F657B70">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频率复合成像</w:t>
            </w:r>
          </w:p>
        </w:tc>
      </w:tr>
      <w:tr w14:paraId="09CF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188C133C">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3.11</w:t>
            </w:r>
          </w:p>
        </w:tc>
        <w:tc>
          <w:tcPr>
            <w:tcW w:w="4283" w:type="pct"/>
            <w:tcBorders>
              <w:top w:val="single" w:color="auto" w:sz="4" w:space="0"/>
              <w:left w:val="single" w:color="auto" w:sz="4" w:space="0"/>
              <w:bottom w:val="single" w:color="auto" w:sz="4" w:space="0"/>
              <w:right w:val="single" w:color="auto" w:sz="4" w:space="0"/>
            </w:tcBorders>
            <w:vAlign w:val="center"/>
          </w:tcPr>
          <w:p w14:paraId="50CAA95B">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空间复合成像</w:t>
            </w:r>
          </w:p>
        </w:tc>
      </w:tr>
      <w:tr w14:paraId="3BFE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084218E9">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3.12</w:t>
            </w:r>
          </w:p>
        </w:tc>
        <w:tc>
          <w:tcPr>
            <w:tcW w:w="4283" w:type="pct"/>
            <w:tcBorders>
              <w:top w:val="single" w:color="auto" w:sz="4" w:space="0"/>
              <w:left w:val="single" w:color="auto" w:sz="4" w:space="0"/>
              <w:bottom w:val="single" w:color="auto" w:sz="4" w:space="0"/>
              <w:right w:val="single" w:color="auto" w:sz="4" w:space="0"/>
            </w:tcBorders>
            <w:vAlign w:val="center"/>
          </w:tcPr>
          <w:p w14:paraId="6AC25332">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斑点抑制成像</w:t>
            </w:r>
          </w:p>
        </w:tc>
      </w:tr>
      <w:tr w14:paraId="3282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3165EC7B">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3.13</w:t>
            </w:r>
          </w:p>
        </w:tc>
        <w:tc>
          <w:tcPr>
            <w:tcW w:w="4283" w:type="pct"/>
            <w:tcBorders>
              <w:top w:val="single" w:color="auto" w:sz="4" w:space="0"/>
              <w:left w:val="single" w:color="auto" w:sz="4" w:space="0"/>
              <w:bottom w:val="single" w:color="auto" w:sz="4" w:space="0"/>
              <w:right w:val="single" w:color="auto" w:sz="4" w:space="0"/>
            </w:tcBorders>
            <w:vAlign w:val="center"/>
          </w:tcPr>
          <w:p w14:paraId="2E2DEA4D">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彩色多普勒成像（包括彩色、能量、方向能量多普勒模式）</w:t>
            </w:r>
          </w:p>
        </w:tc>
      </w:tr>
      <w:tr w14:paraId="2B91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4B02425A">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3.14</w:t>
            </w:r>
          </w:p>
        </w:tc>
        <w:tc>
          <w:tcPr>
            <w:tcW w:w="4283" w:type="pct"/>
            <w:tcBorders>
              <w:top w:val="single" w:color="auto" w:sz="4" w:space="0"/>
              <w:left w:val="single" w:color="auto" w:sz="4" w:space="0"/>
              <w:bottom w:val="single" w:color="auto" w:sz="4" w:space="0"/>
              <w:right w:val="single" w:color="auto" w:sz="4" w:space="0"/>
            </w:tcBorders>
            <w:vAlign w:val="center"/>
          </w:tcPr>
          <w:p w14:paraId="30B85B40">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频谱多普勒成像：脉冲多普勒、高脉冲重复频率、连续多普勒成像</w:t>
            </w:r>
          </w:p>
        </w:tc>
      </w:tr>
      <w:tr w14:paraId="70AD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068D13CF">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3.15</w:t>
            </w:r>
          </w:p>
        </w:tc>
        <w:tc>
          <w:tcPr>
            <w:tcW w:w="4283" w:type="pct"/>
            <w:tcBorders>
              <w:top w:val="single" w:color="auto" w:sz="4" w:space="0"/>
              <w:left w:val="single" w:color="auto" w:sz="4" w:space="0"/>
              <w:bottom w:val="single" w:color="auto" w:sz="4" w:space="0"/>
              <w:right w:val="single" w:color="auto" w:sz="4" w:space="0"/>
            </w:tcBorders>
            <w:vAlign w:val="center"/>
          </w:tcPr>
          <w:p w14:paraId="6D3DA345">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支持全屏放大，≥2档可调</w:t>
            </w:r>
          </w:p>
        </w:tc>
      </w:tr>
      <w:tr w14:paraId="3D4D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4A607F9B">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shd w:val="clear" w:color="auto" w:fill="FFFFFF"/>
              </w:rPr>
              <w:t>▲3.16</w:t>
            </w:r>
          </w:p>
        </w:tc>
        <w:tc>
          <w:tcPr>
            <w:tcW w:w="4283" w:type="pct"/>
            <w:tcBorders>
              <w:top w:val="single" w:color="auto" w:sz="4" w:space="0"/>
              <w:left w:val="single" w:color="auto" w:sz="4" w:space="0"/>
              <w:bottom w:val="single" w:color="auto" w:sz="4" w:space="0"/>
              <w:right w:val="single" w:color="auto" w:sz="4" w:space="0"/>
            </w:tcBorders>
            <w:vAlign w:val="center"/>
          </w:tcPr>
          <w:p w14:paraId="730C4B86">
            <w:pPr>
              <w:spacing w:line="3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回波增强技术</w:t>
            </w:r>
          </w:p>
          <w:p w14:paraId="39BA5B4D">
            <w:pPr>
              <w:spacing w:line="360" w:lineRule="exact"/>
              <w:rPr>
                <w:rFonts w:ascii="宋体" w:hAnsi="宋体" w:cs="宋体"/>
                <w:color w:val="auto"/>
                <w:sz w:val="22"/>
                <w:szCs w:val="22"/>
                <w:highlight w:val="none"/>
              </w:rPr>
            </w:pPr>
            <w:r>
              <w:rPr>
                <w:rFonts w:hint="eastAsia" w:ascii="宋体" w:hAnsi="宋体" w:cs="宋体"/>
                <w:b/>
                <w:bCs/>
                <w:color w:val="auto"/>
                <w:kern w:val="0"/>
                <w:sz w:val="22"/>
                <w:szCs w:val="22"/>
                <w:highlight w:val="none"/>
              </w:rPr>
              <w:t>（提供医疗器械注册时附件技术要求或由具有相应医疗器械检验资质的医疗器械检验机构出具的产品注册检验报告或产品说明书或原厂技术白皮书）</w:t>
            </w:r>
          </w:p>
        </w:tc>
      </w:tr>
      <w:tr w14:paraId="6D3E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5DECF63C">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3.17</w:t>
            </w:r>
          </w:p>
        </w:tc>
        <w:tc>
          <w:tcPr>
            <w:tcW w:w="4283" w:type="pct"/>
            <w:tcBorders>
              <w:top w:val="single" w:color="auto" w:sz="4" w:space="0"/>
              <w:left w:val="single" w:color="auto" w:sz="4" w:space="0"/>
              <w:bottom w:val="single" w:color="auto" w:sz="4" w:space="0"/>
              <w:right w:val="single" w:color="auto" w:sz="4" w:space="0"/>
            </w:tcBorders>
            <w:vAlign w:val="center"/>
          </w:tcPr>
          <w:p w14:paraId="66AF46DE">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实时双幅对比成像</w:t>
            </w:r>
          </w:p>
        </w:tc>
      </w:tr>
      <w:tr w14:paraId="3658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16DF23B6">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3.18</w:t>
            </w:r>
          </w:p>
        </w:tc>
        <w:tc>
          <w:tcPr>
            <w:tcW w:w="4283" w:type="pct"/>
            <w:tcBorders>
              <w:top w:val="single" w:color="auto" w:sz="4" w:space="0"/>
              <w:left w:val="single" w:color="auto" w:sz="4" w:space="0"/>
              <w:bottom w:val="single" w:color="auto" w:sz="4" w:space="0"/>
              <w:right w:val="single" w:color="auto" w:sz="4" w:space="0"/>
            </w:tcBorders>
            <w:vAlign w:val="center"/>
          </w:tcPr>
          <w:p w14:paraId="0969AE80">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自动工作流协议，自动提示检查切面、自动激活彩色多普勒、PW模式，自动添加注释</w:t>
            </w:r>
          </w:p>
        </w:tc>
      </w:tr>
      <w:tr w14:paraId="3B13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6AE4D747">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u w:color="000000"/>
                <w:lang w:val="zh-TW" w:eastAsia="zh-TW"/>
              </w:rPr>
              <w:t>△</w:t>
            </w:r>
            <w:r>
              <w:rPr>
                <w:rFonts w:hint="eastAsia" w:ascii="宋体" w:hAnsi="宋体" w:cs="宋体"/>
                <w:color w:val="auto"/>
                <w:sz w:val="22"/>
                <w:szCs w:val="22"/>
                <w:highlight w:val="none"/>
              </w:rPr>
              <w:t>3.19</w:t>
            </w:r>
          </w:p>
        </w:tc>
        <w:tc>
          <w:tcPr>
            <w:tcW w:w="4283" w:type="pct"/>
            <w:tcBorders>
              <w:top w:val="single" w:color="auto" w:sz="4" w:space="0"/>
              <w:left w:val="single" w:color="auto" w:sz="4" w:space="0"/>
              <w:bottom w:val="single" w:color="auto" w:sz="4" w:space="0"/>
              <w:right w:val="single" w:color="auto" w:sz="4" w:space="0"/>
            </w:tcBorders>
            <w:vAlign w:val="center"/>
          </w:tcPr>
          <w:p w14:paraId="6823A8E4">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具备智能追踪探头信息功能，探头内置记忆芯片，可自动记录设备序列号等信息，自动写入病例，便于设备管理与追溯，有助于院感控制</w:t>
            </w:r>
            <w:r>
              <w:rPr>
                <w:rFonts w:hint="eastAsia" w:ascii="宋体" w:hAnsi="宋体" w:cs="宋体"/>
                <w:b/>
                <w:bCs/>
                <w:color w:val="auto"/>
                <w:kern w:val="0"/>
                <w:sz w:val="22"/>
                <w:szCs w:val="22"/>
                <w:highlight w:val="none"/>
              </w:rPr>
              <w:t>（提供医疗器械注册时附件技术要求或由具有相应医疗器械检验资质的医疗器械检验机构出具的产品注册检验报告或产品说明书或原厂技术白皮书）</w:t>
            </w:r>
          </w:p>
        </w:tc>
      </w:tr>
      <w:tr w14:paraId="2B63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6604C057">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3.20</w:t>
            </w:r>
          </w:p>
        </w:tc>
        <w:tc>
          <w:tcPr>
            <w:tcW w:w="4283" w:type="pct"/>
            <w:tcBorders>
              <w:top w:val="single" w:color="auto" w:sz="4" w:space="0"/>
              <w:left w:val="single" w:color="auto" w:sz="4" w:space="0"/>
              <w:bottom w:val="single" w:color="auto" w:sz="4" w:space="0"/>
              <w:right w:val="single" w:color="auto" w:sz="4" w:space="0"/>
            </w:tcBorders>
          </w:tcPr>
          <w:p w14:paraId="5F53C2C3">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支持自动锁屏功能</w:t>
            </w:r>
          </w:p>
        </w:tc>
      </w:tr>
      <w:tr w14:paraId="443F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2931F1AE">
            <w:pPr>
              <w:spacing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四</w:t>
            </w:r>
          </w:p>
        </w:tc>
        <w:tc>
          <w:tcPr>
            <w:tcW w:w="4283" w:type="pct"/>
            <w:tcBorders>
              <w:top w:val="single" w:color="auto" w:sz="4" w:space="0"/>
              <w:left w:val="single" w:color="auto" w:sz="4" w:space="0"/>
              <w:bottom w:val="single" w:color="auto" w:sz="4" w:space="0"/>
              <w:right w:val="single" w:color="auto" w:sz="4" w:space="0"/>
            </w:tcBorders>
          </w:tcPr>
          <w:p w14:paraId="7C117194">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技术参数及要求</w:t>
            </w:r>
          </w:p>
        </w:tc>
      </w:tr>
      <w:tr w14:paraId="741B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4A473C83">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4.1</w:t>
            </w:r>
          </w:p>
        </w:tc>
        <w:tc>
          <w:tcPr>
            <w:tcW w:w="4283" w:type="pct"/>
            <w:tcBorders>
              <w:top w:val="single" w:color="auto" w:sz="4" w:space="0"/>
              <w:left w:val="single" w:color="auto" w:sz="4" w:space="0"/>
              <w:bottom w:val="single" w:color="auto" w:sz="4" w:space="0"/>
              <w:right w:val="single" w:color="auto" w:sz="4" w:space="0"/>
            </w:tcBorders>
          </w:tcPr>
          <w:p w14:paraId="29E93ED0">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二维灰阶模式</w:t>
            </w:r>
          </w:p>
        </w:tc>
      </w:tr>
      <w:tr w14:paraId="2E09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5F2A46D0">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4.11</w:t>
            </w:r>
          </w:p>
        </w:tc>
        <w:tc>
          <w:tcPr>
            <w:tcW w:w="4283" w:type="pct"/>
            <w:tcBorders>
              <w:top w:val="single" w:color="auto" w:sz="4" w:space="0"/>
              <w:left w:val="single" w:color="auto" w:sz="4" w:space="0"/>
              <w:bottom w:val="single" w:color="auto" w:sz="4" w:space="0"/>
              <w:right w:val="single" w:color="auto" w:sz="4" w:space="0"/>
            </w:tcBorders>
          </w:tcPr>
          <w:p w14:paraId="73EB8994">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数字化声束形成器</w:t>
            </w:r>
          </w:p>
        </w:tc>
      </w:tr>
      <w:tr w14:paraId="4DE1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4C28A388">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4.12</w:t>
            </w:r>
          </w:p>
        </w:tc>
        <w:tc>
          <w:tcPr>
            <w:tcW w:w="4283" w:type="pct"/>
            <w:tcBorders>
              <w:top w:val="single" w:color="auto" w:sz="4" w:space="0"/>
              <w:left w:val="single" w:color="auto" w:sz="4" w:space="0"/>
              <w:bottom w:val="single" w:color="auto" w:sz="4" w:space="0"/>
              <w:right w:val="single" w:color="auto" w:sz="4" w:space="0"/>
            </w:tcBorders>
          </w:tcPr>
          <w:p w14:paraId="4E16705F">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数字化全程动态聚焦，数字化可变孔径及动态变迹，A/D≥12 bit</w:t>
            </w:r>
          </w:p>
        </w:tc>
      </w:tr>
      <w:tr w14:paraId="1249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6AED6C12">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4.13</w:t>
            </w:r>
          </w:p>
        </w:tc>
        <w:tc>
          <w:tcPr>
            <w:tcW w:w="4283" w:type="pct"/>
            <w:tcBorders>
              <w:top w:val="single" w:color="auto" w:sz="4" w:space="0"/>
              <w:left w:val="single" w:color="auto" w:sz="4" w:space="0"/>
              <w:bottom w:val="single" w:color="auto" w:sz="4" w:space="0"/>
              <w:right w:val="single" w:color="auto" w:sz="4" w:space="0"/>
            </w:tcBorders>
          </w:tcPr>
          <w:p w14:paraId="3157D9C3">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接收方式：发射、接收通道≥1024，多倍信号并行处理</w:t>
            </w:r>
          </w:p>
        </w:tc>
      </w:tr>
      <w:tr w14:paraId="144D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37E2548A">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4.14</w:t>
            </w:r>
          </w:p>
        </w:tc>
        <w:tc>
          <w:tcPr>
            <w:tcW w:w="4283" w:type="pct"/>
            <w:tcBorders>
              <w:top w:val="single" w:color="auto" w:sz="4" w:space="0"/>
              <w:left w:val="single" w:color="auto" w:sz="4" w:space="0"/>
              <w:bottom w:val="single" w:color="auto" w:sz="4" w:space="0"/>
              <w:right w:val="single" w:color="auto" w:sz="4" w:space="0"/>
            </w:tcBorders>
          </w:tcPr>
          <w:p w14:paraId="00D2066E">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扫描线：每帧线密度≥512超声线</w:t>
            </w:r>
          </w:p>
        </w:tc>
      </w:tr>
      <w:tr w14:paraId="397C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79032C77">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4.15</w:t>
            </w:r>
          </w:p>
        </w:tc>
        <w:tc>
          <w:tcPr>
            <w:tcW w:w="4283" w:type="pct"/>
            <w:tcBorders>
              <w:top w:val="single" w:color="auto" w:sz="4" w:space="0"/>
              <w:left w:val="single" w:color="auto" w:sz="4" w:space="0"/>
              <w:bottom w:val="single" w:color="auto" w:sz="4" w:space="0"/>
              <w:right w:val="single" w:color="auto" w:sz="4" w:space="0"/>
            </w:tcBorders>
          </w:tcPr>
          <w:p w14:paraId="09CDDBF7">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发射声束聚焦：发射≥8段</w:t>
            </w:r>
          </w:p>
        </w:tc>
      </w:tr>
      <w:tr w14:paraId="22EC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6E847D99">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4.16</w:t>
            </w:r>
          </w:p>
        </w:tc>
        <w:tc>
          <w:tcPr>
            <w:tcW w:w="4283" w:type="pct"/>
            <w:tcBorders>
              <w:top w:val="single" w:color="auto" w:sz="4" w:space="0"/>
              <w:left w:val="single" w:color="auto" w:sz="4" w:space="0"/>
              <w:bottom w:val="single" w:color="auto" w:sz="4" w:space="0"/>
              <w:right w:val="single" w:color="auto" w:sz="4" w:space="0"/>
            </w:tcBorders>
          </w:tcPr>
          <w:p w14:paraId="6BD34433">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最大扫描深度≥310mm</w:t>
            </w:r>
          </w:p>
        </w:tc>
      </w:tr>
      <w:tr w14:paraId="4B2B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5E9960C0">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4.17</w:t>
            </w:r>
          </w:p>
        </w:tc>
        <w:tc>
          <w:tcPr>
            <w:tcW w:w="4283" w:type="pct"/>
            <w:tcBorders>
              <w:top w:val="single" w:color="auto" w:sz="4" w:space="0"/>
              <w:left w:val="single" w:color="auto" w:sz="4" w:space="0"/>
              <w:bottom w:val="single" w:color="auto" w:sz="4" w:space="0"/>
              <w:right w:val="single" w:color="auto" w:sz="4" w:space="0"/>
            </w:tcBorders>
          </w:tcPr>
          <w:p w14:paraId="3D218D00">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最大帧率: ≥960帧/秒</w:t>
            </w:r>
          </w:p>
        </w:tc>
      </w:tr>
      <w:tr w14:paraId="0BD9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50393FDC">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4.18</w:t>
            </w:r>
          </w:p>
        </w:tc>
        <w:tc>
          <w:tcPr>
            <w:tcW w:w="4283" w:type="pct"/>
            <w:tcBorders>
              <w:top w:val="single" w:color="auto" w:sz="4" w:space="0"/>
              <w:left w:val="single" w:color="auto" w:sz="4" w:space="0"/>
              <w:bottom w:val="single" w:color="auto" w:sz="4" w:space="0"/>
              <w:right w:val="single" w:color="auto" w:sz="4" w:space="0"/>
            </w:tcBorders>
          </w:tcPr>
          <w:p w14:paraId="3F53C5D8">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增益调节：B/M/D可独立调节；TGC: ≥8段</w:t>
            </w:r>
          </w:p>
        </w:tc>
      </w:tr>
      <w:tr w14:paraId="2A85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3E34C00D">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4.19</w:t>
            </w:r>
          </w:p>
        </w:tc>
        <w:tc>
          <w:tcPr>
            <w:tcW w:w="4283" w:type="pct"/>
            <w:tcBorders>
              <w:top w:val="single" w:color="auto" w:sz="4" w:space="0"/>
              <w:left w:val="single" w:color="auto" w:sz="4" w:space="0"/>
              <w:bottom w:val="single" w:color="auto" w:sz="4" w:space="0"/>
              <w:right w:val="single" w:color="auto" w:sz="4" w:space="0"/>
            </w:tcBorders>
          </w:tcPr>
          <w:p w14:paraId="08B889A5">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二维灰阶：≥256</w:t>
            </w:r>
          </w:p>
        </w:tc>
      </w:tr>
      <w:tr w14:paraId="570C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51371833">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4.2</w:t>
            </w:r>
          </w:p>
        </w:tc>
        <w:tc>
          <w:tcPr>
            <w:tcW w:w="4283" w:type="pct"/>
            <w:tcBorders>
              <w:top w:val="single" w:color="auto" w:sz="4" w:space="0"/>
              <w:left w:val="single" w:color="auto" w:sz="4" w:space="0"/>
              <w:bottom w:val="single" w:color="auto" w:sz="4" w:space="0"/>
              <w:right w:val="single" w:color="auto" w:sz="4" w:space="0"/>
            </w:tcBorders>
          </w:tcPr>
          <w:p w14:paraId="49A84281">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频谱多普勒：</w:t>
            </w:r>
          </w:p>
        </w:tc>
      </w:tr>
      <w:tr w14:paraId="6D10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09BBA4F8">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4.2.1</w:t>
            </w:r>
          </w:p>
        </w:tc>
        <w:tc>
          <w:tcPr>
            <w:tcW w:w="4283" w:type="pct"/>
            <w:tcBorders>
              <w:top w:val="single" w:color="auto" w:sz="4" w:space="0"/>
              <w:left w:val="single" w:color="auto" w:sz="4" w:space="0"/>
              <w:bottom w:val="single" w:color="auto" w:sz="4" w:space="0"/>
              <w:right w:val="single" w:color="auto" w:sz="4" w:space="0"/>
            </w:tcBorders>
          </w:tcPr>
          <w:p w14:paraId="7EB47C48">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包括脉冲多普勒、高脉冲重复频率、连续多普勒</w:t>
            </w:r>
          </w:p>
        </w:tc>
      </w:tr>
      <w:tr w14:paraId="78B8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389DA8F2">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4.2.2</w:t>
            </w:r>
          </w:p>
        </w:tc>
        <w:tc>
          <w:tcPr>
            <w:tcW w:w="4283" w:type="pct"/>
            <w:tcBorders>
              <w:top w:val="single" w:color="auto" w:sz="4" w:space="0"/>
              <w:left w:val="single" w:color="auto" w:sz="4" w:space="0"/>
              <w:bottom w:val="single" w:color="auto" w:sz="4" w:space="0"/>
              <w:right w:val="single" w:color="auto" w:sz="4" w:space="0"/>
            </w:tcBorders>
          </w:tcPr>
          <w:p w14:paraId="13673065">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零位移动：≥6 级</w:t>
            </w:r>
          </w:p>
        </w:tc>
      </w:tr>
      <w:tr w14:paraId="5595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53BE6AE2">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4.2.3</w:t>
            </w:r>
          </w:p>
        </w:tc>
        <w:tc>
          <w:tcPr>
            <w:tcW w:w="4283" w:type="pct"/>
            <w:tcBorders>
              <w:top w:val="single" w:color="auto" w:sz="4" w:space="0"/>
              <w:left w:val="single" w:color="auto" w:sz="4" w:space="0"/>
              <w:bottom w:val="single" w:color="auto" w:sz="4" w:space="0"/>
              <w:right w:val="single" w:color="auto" w:sz="4" w:space="0"/>
            </w:tcBorders>
          </w:tcPr>
          <w:p w14:paraId="4B173D3D">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最小速度: ≤0.5mm /s</w:t>
            </w:r>
          </w:p>
        </w:tc>
      </w:tr>
      <w:tr w14:paraId="38DF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54C12B49">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4.3</w:t>
            </w:r>
          </w:p>
        </w:tc>
        <w:tc>
          <w:tcPr>
            <w:tcW w:w="4283" w:type="pct"/>
            <w:tcBorders>
              <w:top w:val="single" w:color="auto" w:sz="4" w:space="0"/>
              <w:left w:val="single" w:color="auto" w:sz="4" w:space="0"/>
              <w:bottom w:val="single" w:color="auto" w:sz="4" w:space="0"/>
              <w:right w:val="single" w:color="auto" w:sz="4" w:space="0"/>
            </w:tcBorders>
          </w:tcPr>
          <w:p w14:paraId="11A66E3B">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彩色多普勒：</w:t>
            </w:r>
          </w:p>
        </w:tc>
      </w:tr>
      <w:tr w14:paraId="25EB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74CB1500">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4.3.1</w:t>
            </w:r>
          </w:p>
        </w:tc>
        <w:tc>
          <w:tcPr>
            <w:tcW w:w="4283" w:type="pct"/>
            <w:tcBorders>
              <w:top w:val="single" w:color="auto" w:sz="4" w:space="0"/>
              <w:left w:val="single" w:color="auto" w:sz="4" w:space="0"/>
              <w:bottom w:val="single" w:color="auto" w:sz="4" w:space="0"/>
              <w:right w:val="single" w:color="auto" w:sz="4" w:space="0"/>
            </w:tcBorders>
          </w:tcPr>
          <w:p w14:paraId="2DF18794">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包括速度、速度方差、能量、方向能量显示等</w:t>
            </w:r>
          </w:p>
        </w:tc>
      </w:tr>
      <w:tr w14:paraId="2361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444CEBF7">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4.3.2</w:t>
            </w:r>
          </w:p>
        </w:tc>
        <w:tc>
          <w:tcPr>
            <w:tcW w:w="4283" w:type="pct"/>
            <w:tcBorders>
              <w:top w:val="single" w:color="auto" w:sz="4" w:space="0"/>
              <w:left w:val="single" w:color="auto" w:sz="4" w:space="0"/>
              <w:bottom w:val="single" w:color="auto" w:sz="4" w:space="0"/>
              <w:right w:val="single" w:color="auto" w:sz="4" w:space="0"/>
            </w:tcBorders>
          </w:tcPr>
          <w:p w14:paraId="56054629">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显示方式：B/C、B/C/M、B/POWER、B/C/PW</w:t>
            </w:r>
          </w:p>
        </w:tc>
      </w:tr>
      <w:tr w14:paraId="51A5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6BCBD782">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4.3.3</w:t>
            </w:r>
          </w:p>
        </w:tc>
        <w:tc>
          <w:tcPr>
            <w:tcW w:w="4283" w:type="pct"/>
            <w:tcBorders>
              <w:top w:val="single" w:color="auto" w:sz="4" w:space="0"/>
              <w:left w:val="single" w:color="auto" w:sz="4" w:space="0"/>
              <w:bottom w:val="single" w:color="auto" w:sz="4" w:space="0"/>
              <w:right w:val="single" w:color="auto" w:sz="4" w:space="0"/>
            </w:tcBorders>
          </w:tcPr>
          <w:p w14:paraId="06179469">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B/Color双幅实时显示</w:t>
            </w:r>
          </w:p>
        </w:tc>
      </w:tr>
      <w:tr w14:paraId="38E5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490DB431">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4.3.4</w:t>
            </w:r>
          </w:p>
        </w:tc>
        <w:tc>
          <w:tcPr>
            <w:tcW w:w="4283" w:type="pct"/>
            <w:tcBorders>
              <w:top w:val="single" w:color="auto" w:sz="4" w:space="0"/>
              <w:left w:val="single" w:color="auto" w:sz="4" w:space="0"/>
              <w:bottom w:val="single" w:color="auto" w:sz="4" w:space="0"/>
              <w:right w:val="single" w:color="auto" w:sz="4" w:space="0"/>
            </w:tcBorders>
          </w:tcPr>
          <w:p w14:paraId="2DC6A646">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扫描帧率最大帧频≥340帧/秒</w:t>
            </w:r>
          </w:p>
        </w:tc>
      </w:tr>
      <w:tr w14:paraId="0BA4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5DA5F25D">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4.4</w:t>
            </w:r>
          </w:p>
        </w:tc>
        <w:tc>
          <w:tcPr>
            <w:tcW w:w="4283" w:type="pct"/>
            <w:tcBorders>
              <w:top w:val="single" w:color="auto" w:sz="4" w:space="0"/>
              <w:left w:val="single" w:color="auto" w:sz="4" w:space="0"/>
              <w:bottom w:val="single" w:color="auto" w:sz="4" w:space="0"/>
              <w:right w:val="single" w:color="auto" w:sz="4" w:space="0"/>
            </w:tcBorders>
          </w:tcPr>
          <w:p w14:paraId="424FD4D1">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测量和分析：</w:t>
            </w:r>
          </w:p>
        </w:tc>
      </w:tr>
      <w:tr w14:paraId="1100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363EF310">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4.4.1</w:t>
            </w:r>
          </w:p>
        </w:tc>
        <w:tc>
          <w:tcPr>
            <w:tcW w:w="4283" w:type="pct"/>
            <w:tcBorders>
              <w:top w:val="single" w:color="auto" w:sz="4" w:space="0"/>
              <w:left w:val="single" w:color="auto" w:sz="4" w:space="0"/>
              <w:bottom w:val="single" w:color="auto" w:sz="4" w:space="0"/>
              <w:right w:val="single" w:color="auto" w:sz="4" w:space="0"/>
            </w:tcBorders>
          </w:tcPr>
          <w:p w14:paraId="27FF878D">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常规测量（距离测量、椭圆及描迹测量面积周长、体积测量）</w:t>
            </w:r>
          </w:p>
        </w:tc>
      </w:tr>
      <w:tr w14:paraId="3708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48C487AF">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4.4.2</w:t>
            </w:r>
          </w:p>
        </w:tc>
        <w:tc>
          <w:tcPr>
            <w:tcW w:w="4283" w:type="pct"/>
            <w:tcBorders>
              <w:top w:val="single" w:color="auto" w:sz="4" w:space="0"/>
              <w:left w:val="single" w:color="auto" w:sz="4" w:space="0"/>
              <w:bottom w:val="single" w:color="auto" w:sz="4" w:space="0"/>
              <w:right w:val="single" w:color="auto" w:sz="4" w:space="0"/>
            </w:tcBorders>
          </w:tcPr>
          <w:p w14:paraId="3696174C">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多普勒测量及分析（自动及手动包络测量，自动计算测量参数）</w:t>
            </w:r>
          </w:p>
        </w:tc>
      </w:tr>
      <w:tr w14:paraId="13AF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5D1B647C">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4.4.3</w:t>
            </w:r>
          </w:p>
        </w:tc>
        <w:tc>
          <w:tcPr>
            <w:tcW w:w="4283" w:type="pct"/>
            <w:tcBorders>
              <w:top w:val="single" w:color="auto" w:sz="4" w:space="0"/>
              <w:left w:val="single" w:color="auto" w:sz="4" w:space="0"/>
              <w:bottom w:val="single" w:color="auto" w:sz="4" w:space="0"/>
              <w:right w:val="single" w:color="auto" w:sz="4" w:space="0"/>
            </w:tcBorders>
          </w:tcPr>
          <w:p w14:paraId="7EEAE067">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全科测量包，自动生成报告</w:t>
            </w:r>
          </w:p>
        </w:tc>
      </w:tr>
      <w:tr w14:paraId="7BD2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5CC52106">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4.4.4</w:t>
            </w:r>
          </w:p>
        </w:tc>
        <w:tc>
          <w:tcPr>
            <w:tcW w:w="4283" w:type="pct"/>
            <w:tcBorders>
              <w:top w:val="single" w:color="auto" w:sz="4" w:space="0"/>
              <w:left w:val="single" w:color="auto" w:sz="4" w:space="0"/>
              <w:bottom w:val="single" w:color="auto" w:sz="4" w:space="0"/>
              <w:right w:val="single" w:color="auto" w:sz="4" w:space="0"/>
            </w:tcBorders>
          </w:tcPr>
          <w:p w14:paraId="1190D1ED">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心脏功能专用测量及分析</w:t>
            </w:r>
          </w:p>
        </w:tc>
      </w:tr>
      <w:tr w14:paraId="07F6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4A7E0E4B">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shd w:val="clear" w:color="auto" w:fill="FFFFFF"/>
              </w:rPr>
              <w:t>△</w:t>
            </w:r>
            <w:r>
              <w:rPr>
                <w:rFonts w:hint="eastAsia" w:ascii="宋体" w:hAnsi="宋体" w:cs="宋体"/>
                <w:color w:val="auto"/>
                <w:sz w:val="22"/>
                <w:szCs w:val="22"/>
                <w:highlight w:val="none"/>
              </w:rPr>
              <w:t>4.4.5</w:t>
            </w:r>
          </w:p>
        </w:tc>
        <w:tc>
          <w:tcPr>
            <w:tcW w:w="4283" w:type="pct"/>
            <w:tcBorders>
              <w:top w:val="single" w:color="auto" w:sz="4" w:space="0"/>
              <w:left w:val="single" w:color="auto" w:sz="4" w:space="0"/>
              <w:bottom w:val="single" w:color="auto" w:sz="4" w:space="0"/>
              <w:right w:val="single" w:color="auto" w:sz="4" w:space="0"/>
            </w:tcBorders>
          </w:tcPr>
          <w:p w14:paraId="60F73D45">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支持自动胃窦测量软件，自动识别胃窦特征，同时自动包络胃窦切面，提供面积及趋势测量图</w:t>
            </w:r>
            <w:r>
              <w:rPr>
                <w:rFonts w:hint="eastAsia" w:ascii="宋体" w:hAnsi="宋体" w:cs="宋体"/>
                <w:b/>
                <w:bCs/>
                <w:color w:val="auto"/>
                <w:kern w:val="0"/>
                <w:sz w:val="22"/>
                <w:szCs w:val="22"/>
                <w:highlight w:val="none"/>
              </w:rPr>
              <w:t>（提供医疗器械注册时附件技术要求或由具有相应医疗器械检验资质的医疗器械检验机构出具的产品注册检验报告或产品说明书或原厂技术白皮书）</w:t>
            </w:r>
          </w:p>
        </w:tc>
      </w:tr>
      <w:tr w14:paraId="12B9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11038989">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4.5</w:t>
            </w:r>
          </w:p>
        </w:tc>
        <w:tc>
          <w:tcPr>
            <w:tcW w:w="4283" w:type="pct"/>
            <w:tcBorders>
              <w:top w:val="single" w:color="auto" w:sz="4" w:space="0"/>
              <w:left w:val="single" w:color="auto" w:sz="4" w:space="0"/>
              <w:bottom w:val="single" w:color="auto" w:sz="4" w:space="0"/>
              <w:right w:val="single" w:color="auto" w:sz="4" w:space="0"/>
            </w:tcBorders>
          </w:tcPr>
          <w:p w14:paraId="4FBFF8D4">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探头频率：</w:t>
            </w:r>
          </w:p>
        </w:tc>
      </w:tr>
      <w:tr w14:paraId="7B5A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78894E29">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4.5.1</w:t>
            </w:r>
          </w:p>
        </w:tc>
        <w:tc>
          <w:tcPr>
            <w:tcW w:w="4283" w:type="pct"/>
            <w:tcBorders>
              <w:top w:val="single" w:color="auto" w:sz="4" w:space="0"/>
              <w:left w:val="single" w:color="auto" w:sz="4" w:space="0"/>
              <w:bottom w:val="single" w:color="auto" w:sz="4" w:space="0"/>
              <w:right w:val="single" w:color="auto" w:sz="4" w:space="0"/>
            </w:tcBorders>
          </w:tcPr>
          <w:p w14:paraId="468870C2">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相控阵探头频率范围：1.0- 5.0 MHz</w:t>
            </w:r>
          </w:p>
        </w:tc>
      </w:tr>
      <w:tr w14:paraId="5780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5C937376">
            <w:pPr>
              <w:spacing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4.5.2</w:t>
            </w:r>
          </w:p>
        </w:tc>
        <w:tc>
          <w:tcPr>
            <w:tcW w:w="4283" w:type="pct"/>
            <w:tcBorders>
              <w:top w:val="single" w:color="auto" w:sz="4" w:space="0"/>
              <w:left w:val="single" w:color="auto" w:sz="4" w:space="0"/>
              <w:bottom w:val="single" w:color="auto" w:sz="4" w:space="0"/>
              <w:right w:val="single" w:color="auto" w:sz="4" w:space="0"/>
            </w:tcBorders>
          </w:tcPr>
          <w:p w14:paraId="1FC15900">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线阵探头频率范围: 3.0-12.0MHz</w:t>
            </w:r>
          </w:p>
        </w:tc>
      </w:tr>
      <w:tr w14:paraId="5340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679B0D6D">
            <w:pPr>
              <w:spacing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4.5.3</w:t>
            </w:r>
          </w:p>
        </w:tc>
        <w:tc>
          <w:tcPr>
            <w:tcW w:w="4283" w:type="pct"/>
            <w:tcBorders>
              <w:top w:val="single" w:color="auto" w:sz="4" w:space="0"/>
              <w:left w:val="single" w:color="auto" w:sz="4" w:space="0"/>
              <w:bottom w:val="single" w:color="auto" w:sz="4" w:space="0"/>
              <w:right w:val="single" w:color="auto" w:sz="4" w:space="0"/>
            </w:tcBorders>
          </w:tcPr>
          <w:p w14:paraId="425F0B47">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凸阵探头频率范围：1.0- 5.0 MHz，扩展后最大角度可达100°</w:t>
            </w:r>
          </w:p>
        </w:tc>
      </w:tr>
      <w:tr w14:paraId="6FCD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6D6A13F8">
            <w:pPr>
              <w:spacing w:line="360" w:lineRule="exact"/>
              <w:jc w:val="center"/>
              <w:rPr>
                <w:rFonts w:ascii="宋体" w:hAnsi="宋体" w:cs="宋体"/>
                <w:b/>
                <w:bCs/>
                <w:color w:val="auto"/>
                <w:sz w:val="22"/>
                <w:szCs w:val="22"/>
                <w:highlight w:val="none"/>
              </w:rPr>
            </w:pPr>
            <w:bookmarkStart w:id="9" w:name="OLE_LINK3"/>
            <w:bookmarkStart w:id="10" w:name="OLE_LINK2"/>
            <w:r>
              <w:rPr>
                <w:rFonts w:hint="eastAsia" w:ascii="宋体" w:hAnsi="宋体" w:cs="宋体"/>
                <w:color w:val="auto"/>
                <w:sz w:val="22"/>
                <w:szCs w:val="22"/>
                <w:highlight w:val="none"/>
                <w:u w:color="000000"/>
                <w:lang w:val="zh-TW" w:eastAsia="zh-TW"/>
              </w:rPr>
              <w:t>△</w:t>
            </w:r>
            <w:bookmarkEnd w:id="9"/>
            <w:bookmarkEnd w:id="10"/>
            <w:r>
              <w:rPr>
                <w:rFonts w:hint="eastAsia" w:ascii="宋体" w:hAnsi="宋体" w:cs="宋体"/>
                <w:color w:val="auto"/>
                <w:sz w:val="22"/>
                <w:szCs w:val="22"/>
                <w:highlight w:val="none"/>
              </w:rPr>
              <w:t>4.6</w:t>
            </w:r>
          </w:p>
        </w:tc>
        <w:tc>
          <w:tcPr>
            <w:tcW w:w="4283" w:type="pct"/>
            <w:tcBorders>
              <w:top w:val="single" w:color="auto" w:sz="4" w:space="0"/>
              <w:left w:val="single" w:color="auto" w:sz="4" w:space="0"/>
              <w:bottom w:val="single" w:color="auto" w:sz="4" w:space="0"/>
              <w:right w:val="single" w:color="auto" w:sz="4" w:space="0"/>
            </w:tcBorders>
          </w:tcPr>
          <w:p w14:paraId="198CF414">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可支持升级线阵探头采用按键设计，探头上按键个数≥3个，具有防误触设计和盲点设计，操作简单，并可以自定义功能，如增益、冻结、解冻等功能；</w:t>
            </w:r>
          </w:p>
          <w:p w14:paraId="4F7C54CB">
            <w:pPr>
              <w:spacing w:line="360" w:lineRule="exact"/>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（提供医疗器械注册时附件技术要求或由具有相应医疗器械检验资质的医疗器械检验机构出具的产品注册检验报告或产品说明书或原厂技术白皮书）</w:t>
            </w:r>
          </w:p>
        </w:tc>
      </w:tr>
      <w:tr w14:paraId="662A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451A2CE5">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4.7</w:t>
            </w:r>
          </w:p>
        </w:tc>
        <w:tc>
          <w:tcPr>
            <w:tcW w:w="4283" w:type="pct"/>
            <w:tcBorders>
              <w:top w:val="single" w:color="auto" w:sz="4" w:space="0"/>
              <w:left w:val="single" w:color="auto" w:sz="4" w:space="0"/>
              <w:bottom w:val="single" w:color="auto" w:sz="4" w:space="0"/>
              <w:right w:val="single" w:color="auto" w:sz="4" w:space="0"/>
            </w:tcBorders>
          </w:tcPr>
          <w:p w14:paraId="1839381E">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穿刺针增强技术，可跟随进针角度随时改变声束偏转角度，支持双屏实时对比显示增强前后效果，支持线阵和凸阵探头</w:t>
            </w:r>
          </w:p>
        </w:tc>
      </w:tr>
      <w:tr w14:paraId="27ED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5203F378">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4.8</w:t>
            </w:r>
          </w:p>
        </w:tc>
        <w:tc>
          <w:tcPr>
            <w:tcW w:w="4283" w:type="pct"/>
            <w:tcBorders>
              <w:top w:val="single" w:color="auto" w:sz="4" w:space="0"/>
              <w:left w:val="single" w:color="auto" w:sz="4" w:space="0"/>
              <w:bottom w:val="single" w:color="auto" w:sz="4" w:space="0"/>
              <w:right w:val="single" w:color="auto" w:sz="4" w:space="0"/>
            </w:tcBorders>
          </w:tcPr>
          <w:p w14:paraId="7CA02D10">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支持组织多普勒成像</w:t>
            </w:r>
          </w:p>
        </w:tc>
      </w:tr>
      <w:tr w14:paraId="6439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3756F23D">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4.9</w:t>
            </w:r>
          </w:p>
        </w:tc>
        <w:tc>
          <w:tcPr>
            <w:tcW w:w="4283" w:type="pct"/>
            <w:tcBorders>
              <w:top w:val="single" w:color="auto" w:sz="4" w:space="0"/>
              <w:left w:val="single" w:color="auto" w:sz="4" w:space="0"/>
              <w:bottom w:val="single" w:color="auto" w:sz="4" w:space="0"/>
              <w:right w:val="single" w:color="auto" w:sz="4" w:space="0"/>
            </w:tcBorders>
          </w:tcPr>
          <w:p w14:paraId="1D97D100">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支持内中膜自动测量</w:t>
            </w:r>
          </w:p>
        </w:tc>
      </w:tr>
      <w:tr w14:paraId="71F1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0A33693B">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w:t>
            </w:r>
            <w:r>
              <w:rPr>
                <w:rFonts w:hint="eastAsia" w:ascii="宋体" w:hAnsi="宋体" w:cs="宋体"/>
                <w:b/>
                <w:bCs/>
                <w:color w:val="auto"/>
                <w:sz w:val="22"/>
                <w:szCs w:val="22"/>
                <w:highlight w:val="none"/>
              </w:rPr>
              <w:t>五</w:t>
            </w:r>
          </w:p>
        </w:tc>
        <w:tc>
          <w:tcPr>
            <w:tcW w:w="4283" w:type="pct"/>
            <w:tcBorders>
              <w:top w:val="single" w:color="auto" w:sz="4" w:space="0"/>
              <w:left w:val="single" w:color="auto" w:sz="4" w:space="0"/>
              <w:bottom w:val="single" w:color="auto" w:sz="4" w:space="0"/>
              <w:right w:val="single" w:color="auto" w:sz="4" w:space="0"/>
            </w:tcBorders>
          </w:tcPr>
          <w:p w14:paraId="7158ACFC">
            <w:pPr>
              <w:spacing w:line="360" w:lineRule="exact"/>
              <w:rPr>
                <w:rFonts w:ascii="宋体" w:hAnsi="宋体" w:cs="宋体"/>
                <w:b/>
                <w:bCs/>
                <w:color w:val="auto"/>
                <w:sz w:val="22"/>
                <w:szCs w:val="22"/>
                <w:highlight w:val="none"/>
              </w:rPr>
            </w:pPr>
            <w:r>
              <w:rPr>
                <w:rFonts w:hint="eastAsia" w:ascii="宋体" w:hAnsi="宋体" w:cs="宋体"/>
                <w:b/>
                <w:color w:val="auto"/>
                <w:sz w:val="22"/>
                <w:szCs w:val="22"/>
                <w:highlight w:val="none"/>
              </w:rPr>
              <w:t>配置清单：</w:t>
            </w:r>
          </w:p>
        </w:tc>
      </w:tr>
      <w:tr w14:paraId="0DEB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4D728E27">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5.1</w:t>
            </w:r>
          </w:p>
        </w:tc>
        <w:tc>
          <w:tcPr>
            <w:tcW w:w="4283" w:type="pct"/>
            <w:tcBorders>
              <w:top w:val="single" w:color="auto" w:sz="4" w:space="0"/>
              <w:left w:val="single" w:color="auto" w:sz="4" w:space="0"/>
              <w:bottom w:val="single" w:color="auto" w:sz="4" w:space="0"/>
              <w:right w:val="single" w:color="auto" w:sz="4" w:space="0"/>
            </w:tcBorders>
          </w:tcPr>
          <w:p w14:paraId="3EC45B30">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便携式彩超一台</w:t>
            </w:r>
          </w:p>
        </w:tc>
      </w:tr>
      <w:tr w14:paraId="29A3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11027475">
            <w:pPr>
              <w:spacing w:line="360" w:lineRule="exact"/>
              <w:jc w:val="center"/>
              <w:rPr>
                <w:rFonts w:ascii="宋体" w:hAnsi="宋体" w:cs="宋体"/>
                <w:b/>
                <w:bCs/>
                <w:color w:val="auto"/>
                <w:sz w:val="22"/>
                <w:szCs w:val="22"/>
                <w:highlight w:val="none"/>
              </w:rPr>
            </w:pPr>
            <w:r>
              <w:rPr>
                <w:rFonts w:hint="eastAsia" w:ascii="宋体" w:hAnsi="宋体" w:cs="宋体"/>
                <w:color w:val="auto"/>
                <w:kern w:val="0"/>
                <w:sz w:val="22"/>
                <w:szCs w:val="22"/>
                <w:highlight w:val="none"/>
              </w:rPr>
              <w:t>5.2</w:t>
            </w:r>
          </w:p>
        </w:tc>
        <w:tc>
          <w:tcPr>
            <w:tcW w:w="4283" w:type="pct"/>
            <w:tcBorders>
              <w:top w:val="single" w:color="auto" w:sz="4" w:space="0"/>
              <w:left w:val="single" w:color="auto" w:sz="4" w:space="0"/>
              <w:bottom w:val="single" w:color="auto" w:sz="4" w:space="0"/>
              <w:right w:val="single" w:color="auto" w:sz="4" w:space="0"/>
            </w:tcBorders>
          </w:tcPr>
          <w:p w14:paraId="263A678D">
            <w:pPr>
              <w:spacing w:line="3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单晶体心脏探头一把</w:t>
            </w:r>
          </w:p>
        </w:tc>
      </w:tr>
      <w:tr w14:paraId="74EF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7792FEE7">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5.3</w:t>
            </w:r>
          </w:p>
        </w:tc>
        <w:tc>
          <w:tcPr>
            <w:tcW w:w="4283" w:type="pct"/>
            <w:tcBorders>
              <w:top w:val="single" w:color="auto" w:sz="4" w:space="0"/>
              <w:left w:val="single" w:color="auto" w:sz="4" w:space="0"/>
              <w:bottom w:val="single" w:color="auto" w:sz="4" w:space="0"/>
              <w:right w:val="single" w:color="auto" w:sz="4" w:space="0"/>
            </w:tcBorders>
          </w:tcPr>
          <w:p w14:paraId="5D49D7FB">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线阵探头一把</w:t>
            </w:r>
          </w:p>
        </w:tc>
      </w:tr>
      <w:tr w14:paraId="5154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27D869CC">
            <w:pPr>
              <w:spacing w:line="3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5.4</w:t>
            </w:r>
          </w:p>
        </w:tc>
        <w:tc>
          <w:tcPr>
            <w:tcW w:w="4283" w:type="pct"/>
            <w:tcBorders>
              <w:top w:val="single" w:color="auto" w:sz="4" w:space="0"/>
              <w:left w:val="single" w:color="auto" w:sz="4" w:space="0"/>
              <w:bottom w:val="single" w:color="auto" w:sz="4" w:space="0"/>
              <w:right w:val="single" w:color="auto" w:sz="4" w:space="0"/>
            </w:tcBorders>
          </w:tcPr>
          <w:p w14:paraId="345F9140">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单晶体凸阵探头一把</w:t>
            </w:r>
          </w:p>
        </w:tc>
      </w:tr>
      <w:tr w14:paraId="500E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pct"/>
            <w:tcBorders>
              <w:top w:val="single" w:color="auto" w:sz="4" w:space="0"/>
              <w:left w:val="single" w:color="auto" w:sz="4" w:space="0"/>
              <w:bottom w:val="single" w:color="auto" w:sz="4" w:space="0"/>
              <w:right w:val="single" w:color="auto" w:sz="4" w:space="0"/>
            </w:tcBorders>
            <w:vAlign w:val="center"/>
          </w:tcPr>
          <w:p w14:paraId="20476A3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5.7</w:t>
            </w:r>
          </w:p>
        </w:tc>
        <w:tc>
          <w:tcPr>
            <w:tcW w:w="4283" w:type="pct"/>
            <w:tcBorders>
              <w:top w:val="single" w:color="auto" w:sz="4" w:space="0"/>
              <w:left w:val="single" w:color="auto" w:sz="4" w:space="0"/>
              <w:bottom w:val="single" w:color="auto" w:sz="4" w:space="0"/>
              <w:right w:val="single" w:color="auto" w:sz="4" w:space="0"/>
            </w:tcBorders>
          </w:tcPr>
          <w:p w14:paraId="6EC32928">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台车一台</w:t>
            </w:r>
          </w:p>
        </w:tc>
      </w:tr>
    </w:tbl>
    <w:p w14:paraId="620AA5AB">
      <w:pPr>
        <w:adjustRightInd w:val="0"/>
        <w:snapToGrid w:val="0"/>
        <w:spacing w:line="454" w:lineRule="atLeast"/>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2.麻醉机</w:t>
      </w:r>
    </w:p>
    <w:tbl>
      <w:tblPr>
        <w:tblStyle w:val="32"/>
        <w:tblW w:w="4999" w:type="pct"/>
        <w:tblInd w:w="0" w:type="dxa"/>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Layout w:type="autofit"/>
        <w:tblCellMar>
          <w:top w:w="0" w:type="dxa"/>
          <w:left w:w="108" w:type="dxa"/>
          <w:bottom w:w="0" w:type="dxa"/>
          <w:right w:w="108" w:type="dxa"/>
        </w:tblCellMar>
      </w:tblPr>
      <w:tblGrid>
        <w:gridCol w:w="1373"/>
        <w:gridCol w:w="8253"/>
      </w:tblGrid>
      <w:tr w14:paraId="36ACDCA5">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4D828077">
            <w:pPr>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4287" w:type="pct"/>
            <w:vAlign w:val="center"/>
          </w:tcPr>
          <w:p w14:paraId="22872BED">
            <w:pPr>
              <w:jc w:val="center"/>
              <w:rPr>
                <w:rFonts w:ascii="宋体" w:hAnsi="宋体" w:cs="宋体"/>
                <w:color w:val="auto"/>
                <w:sz w:val="22"/>
                <w:szCs w:val="22"/>
                <w:highlight w:val="none"/>
              </w:rPr>
            </w:pPr>
            <w:r>
              <w:rPr>
                <w:rFonts w:hint="eastAsia" w:ascii="宋体" w:hAnsi="宋体" w:cs="宋体"/>
                <w:b/>
                <w:bCs/>
                <w:color w:val="auto"/>
                <w:sz w:val="22"/>
                <w:szCs w:val="22"/>
                <w:highlight w:val="none"/>
              </w:rPr>
              <w:t>参数</w:t>
            </w:r>
          </w:p>
        </w:tc>
      </w:tr>
      <w:tr w14:paraId="397EA4E5">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20996C9A">
            <w:pPr>
              <w:jc w:val="center"/>
              <w:rPr>
                <w:rFonts w:ascii="宋体" w:hAnsi="宋体" w:cs="宋体"/>
                <w:color w:val="auto"/>
                <w:sz w:val="22"/>
                <w:szCs w:val="22"/>
                <w:highlight w:val="none"/>
              </w:rPr>
            </w:pPr>
            <w:r>
              <w:rPr>
                <w:rFonts w:hint="eastAsia" w:ascii="宋体" w:hAnsi="宋体" w:cs="宋体"/>
                <w:color w:val="auto"/>
                <w:sz w:val="22"/>
                <w:szCs w:val="22"/>
                <w:highlight w:val="none"/>
              </w:rPr>
              <w:t>一</w:t>
            </w:r>
          </w:p>
        </w:tc>
        <w:tc>
          <w:tcPr>
            <w:tcW w:w="4287" w:type="pct"/>
            <w:vAlign w:val="center"/>
          </w:tcPr>
          <w:p w14:paraId="38E80E70">
            <w:pPr>
              <w:rPr>
                <w:rFonts w:ascii="宋体" w:hAnsi="宋体" w:cs="宋体"/>
                <w:color w:val="auto"/>
                <w:sz w:val="22"/>
                <w:szCs w:val="22"/>
                <w:highlight w:val="none"/>
              </w:rPr>
            </w:pPr>
            <w:r>
              <w:rPr>
                <w:rFonts w:hint="eastAsia" w:ascii="宋体" w:hAnsi="宋体" w:cs="宋体"/>
                <w:color w:val="auto"/>
                <w:sz w:val="22"/>
                <w:szCs w:val="22"/>
                <w:highlight w:val="none"/>
              </w:rPr>
              <w:t>麻醉机</w:t>
            </w:r>
          </w:p>
        </w:tc>
      </w:tr>
      <w:tr w14:paraId="00FB391E">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4A88C699">
            <w:pPr>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4287" w:type="pct"/>
            <w:vAlign w:val="center"/>
          </w:tcPr>
          <w:p w14:paraId="7C37BA83">
            <w:pPr>
              <w:rPr>
                <w:rFonts w:ascii="宋体" w:hAnsi="宋体" w:cs="宋体"/>
                <w:color w:val="auto"/>
                <w:sz w:val="22"/>
                <w:szCs w:val="22"/>
                <w:highlight w:val="none"/>
              </w:rPr>
            </w:pPr>
            <w:r>
              <w:rPr>
                <w:rFonts w:hint="eastAsia" w:ascii="宋体" w:hAnsi="宋体" w:cs="宋体"/>
                <w:color w:val="auto"/>
                <w:sz w:val="22"/>
                <w:szCs w:val="22"/>
                <w:highlight w:val="none"/>
              </w:rPr>
              <w:t>设备用途：</w:t>
            </w:r>
          </w:p>
        </w:tc>
      </w:tr>
      <w:tr w14:paraId="1693F436">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40CADB63">
            <w:pPr>
              <w:jc w:val="center"/>
              <w:rPr>
                <w:rFonts w:ascii="宋体" w:hAnsi="宋体" w:cs="宋体"/>
                <w:color w:val="auto"/>
                <w:sz w:val="22"/>
                <w:szCs w:val="22"/>
                <w:highlight w:val="none"/>
              </w:rPr>
            </w:pPr>
            <w:r>
              <w:rPr>
                <w:rFonts w:hint="eastAsia" w:ascii="宋体" w:hAnsi="宋体" w:cs="宋体"/>
                <w:color w:val="auto"/>
                <w:sz w:val="22"/>
                <w:szCs w:val="22"/>
                <w:highlight w:val="none"/>
              </w:rPr>
              <w:t>1.1</w:t>
            </w:r>
          </w:p>
        </w:tc>
        <w:tc>
          <w:tcPr>
            <w:tcW w:w="4287" w:type="pct"/>
            <w:vAlign w:val="center"/>
          </w:tcPr>
          <w:p w14:paraId="414F343E">
            <w:pPr>
              <w:rPr>
                <w:rFonts w:ascii="宋体" w:hAnsi="宋体" w:cs="宋体"/>
                <w:color w:val="auto"/>
                <w:sz w:val="22"/>
                <w:szCs w:val="22"/>
                <w:highlight w:val="none"/>
              </w:rPr>
            </w:pPr>
            <w:r>
              <w:rPr>
                <w:rFonts w:hint="eastAsia" w:ascii="宋体" w:hAnsi="宋体" w:cs="宋体"/>
                <w:color w:val="auto"/>
                <w:sz w:val="22"/>
                <w:szCs w:val="22"/>
                <w:highlight w:val="none"/>
              </w:rPr>
              <w:t>用于对成人、儿童和新生儿的吸入麻醉及呼吸管理。</w:t>
            </w:r>
          </w:p>
        </w:tc>
      </w:tr>
      <w:tr w14:paraId="3710C6E0">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450C6C3F">
            <w:pPr>
              <w:jc w:val="center"/>
              <w:rPr>
                <w:rFonts w:ascii="宋体" w:hAnsi="宋体" w:cs="宋体"/>
                <w:color w:val="auto"/>
                <w:sz w:val="22"/>
                <w:szCs w:val="22"/>
                <w:highlight w:val="none"/>
              </w:rPr>
            </w:pPr>
            <w:r>
              <w:rPr>
                <w:rFonts w:hint="eastAsia" w:ascii="宋体" w:hAnsi="宋体" w:cs="宋体"/>
                <w:color w:val="auto"/>
                <w:sz w:val="22"/>
                <w:szCs w:val="22"/>
                <w:highlight w:val="none"/>
              </w:rPr>
              <w:t>1.2</w:t>
            </w:r>
          </w:p>
        </w:tc>
        <w:tc>
          <w:tcPr>
            <w:tcW w:w="4287" w:type="pct"/>
            <w:vAlign w:val="center"/>
          </w:tcPr>
          <w:p w14:paraId="08A1824F">
            <w:pPr>
              <w:rPr>
                <w:rFonts w:ascii="宋体" w:hAnsi="宋体" w:cs="宋体"/>
                <w:color w:val="auto"/>
                <w:sz w:val="22"/>
                <w:szCs w:val="22"/>
                <w:highlight w:val="none"/>
              </w:rPr>
            </w:pPr>
            <w:r>
              <w:rPr>
                <w:rFonts w:hint="eastAsia" w:ascii="宋体" w:hAnsi="宋体" w:cs="宋体"/>
                <w:color w:val="auto"/>
                <w:sz w:val="22"/>
                <w:szCs w:val="22"/>
                <w:highlight w:val="none"/>
              </w:rPr>
              <w:t>适合低流量、微流量麻醉</w:t>
            </w:r>
          </w:p>
        </w:tc>
      </w:tr>
      <w:tr w14:paraId="46967FC7">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19AA3F5E">
            <w:pPr>
              <w:jc w:val="center"/>
              <w:rPr>
                <w:rFonts w:ascii="宋体" w:hAnsi="宋体" w:cs="宋体"/>
                <w:color w:val="auto"/>
                <w:sz w:val="22"/>
                <w:szCs w:val="22"/>
                <w:highlight w:val="none"/>
              </w:rPr>
            </w:pPr>
            <w:r>
              <w:rPr>
                <w:rFonts w:hint="eastAsia" w:ascii="宋体" w:hAnsi="宋体" w:cs="宋体"/>
                <w:color w:val="auto"/>
                <w:sz w:val="22"/>
                <w:szCs w:val="22"/>
                <w:highlight w:val="none"/>
              </w:rPr>
              <w:t>1.3</w:t>
            </w:r>
          </w:p>
        </w:tc>
        <w:tc>
          <w:tcPr>
            <w:tcW w:w="4287" w:type="pct"/>
            <w:vAlign w:val="center"/>
          </w:tcPr>
          <w:p w14:paraId="334DB145">
            <w:pPr>
              <w:rPr>
                <w:rFonts w:ascii="宋体" w:hAnsi="宋体" w:cs="宋体"/>
                <w:color w:val="auto"/>
                <w:sz w:val="22"/>
                <w:szCs w:val="22"/>
                <w:highlight w:val="none"/>
              </w:rPr>
            </w:pPr>
            <w:r>
              <w:rPr>
                <w:rFonts w:hint="eastAsia" w:ascii="宋体" w:hAnsi="宋体" w:cs="宋体"/>
                <w:color w:val="auto"/>
                <w:sz w:val="22"/>
                <w:szCs w:val="22"/>
                <w:highlight w:val="none"/>
              </w:rPr>
              <w:t>适合内窥镜手术模式：具备顶光灯，能够在黑暗环境中提供麻醉机工作台面照明</w:t>
            </w:r>
          </w:p>
        </w:tc>
      </w:tr>
      <w:tr w14:paraId="4226C633">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16B0DBB9">
            <w:pPr>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4287" w:type="pct"/>
            <w:vAlign w:val="center"/>
          </w:tcPr>
          <w:p w14:paraId="19EA074D">
            <w:pPr>
              <w:rPr>
                <w:rFonts w:ascii="宋体" w:hAnsi="宋体" w:cs="宋体"/>
                <w:color w:val="auto"/>
                <w:sz w:val="22"/>
                <w:szCs w:val="22"/>
                <w:highlight w:val="none"/>
              </w:rPr>
            </w:pPr>
            <w:r>
              <w:rPr>
                <w:rFonts w:hint="eastAsia" w:ascii="宋体" w:hAnsi="宋体" w:cs="宋体"/>
                <w:color w:val="auto"/>
                <w:sz w:val="22"/>
                <w:szCs w:val="22"/>
                <w:highlight w:val="none"/>
              </w:rPr>
              <w:t>技术参数要求：</w:t>
            </w:r>
          </w:p>
        </w:tc>
      </w:tr>
      <w:tr w14:paraId="256097C4">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648E7954">
            <w:pPr>
              <w:jc w:val="center"/>
              <w:rPr>
                <w:rFonts w:ascii="宋体" w:hAnsi="宋体" w:cs="宋体"/>
                <w:color w:val="auto"/>
                <w:sz w:val="22"/>
                <w:szCs w:val="22"/>
                <w:highlight w:val="none"/>
              </w:rPr>
            </w:pPr>
            <w:r>
              <w:rPr>
                <w:rFonts w:hint="eastAsia" w:ascii="宋体" w:hAnsi="宋体" w:cs="宋体"/>
                <w:color w:val="auto"/>
                <w:sz w:val="22"/>
                <w:szCs w:val="22"/>
                <w:highlight w:val="none"/>
              </w:rPr>
              <w:t>2.1</w:t>
            </w:r>
          </w:p>
        </w:tc>
        <w:tc>
          <w:tcPr>
            <w:tcW w:w="4287" w:type="pct"/>
            <w:vAlign w:val="center"/>
          </w:tcPr>
          <w:p w14:paraId="48D16D72">
            <w:pPr>
              <w:rPr>
                <w:rFonts w:ascii="宋体" w:hAnsi="宋体" w:cs="宋体"/>
                <w:color w:val="auto"/>
                <w:sz w:val="22"/>
                <w:szCs w:val="22"/>
                <w:highlight w:val="none"/>
              </w:rPr>
            </w:pPr>
            <w:r>
              <w:rPr>
                <w:rFonts w:hint="eastAsia" w:ascii="宋体" w:hAnsi="宋体" w:cs="宋体"/>
                <w:color w:val="auto"/>
                <w:sz w:val="22"/>
                <w:szCs w:val="22"/>
                <w:highlight w:val="none"/>
              </w:rPr>
              <w:t>基本配件</w:t>
            </w:r>
          </w:p>
        </w:tc>
      </w:tr>
      <w:tr w14:paraId="7FCA86D7">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05AAFC85">
            <w:pPr>
              <w:jc w:val="center"/>
              <w:rPr>
                <w:rFonts w:ascii="宋体" w:hAnsi="宋体" w:cs="宋体"/>
                <w:color w:val="auto"/>
                <w:sz w:val="22"/>
                <w:szCs w:val="22"/>
                <w:highlight w:val="none"/>
              </w:rPr>
            </w:pPr>
            <w:r>
              <w:rPr>
                <w:rFonts w:hint="eastAsia" w:ascii="宋体" w:hAnsi="宋体" w:cs="宋体"/>
                <w:color w:val="auto"/>
                <w:sz w:val="22"/>
                <w:szCs w:val="22"/>
                <w:highlight w:val="none"/>
              </w:rPr>
              <w:t>2.1.1</w:t>
            </w:r>
          </w:p>
        </w:tc>
        <w:tc>
          <w:tcPr>
            <w:tcW w:w="4287" w:type="pct"/>
            <w:vAlign w:val="center"/>
          </w:tcPr>
          <w:p w14:paraId="0BA62448">
            <w:pPr>
              <w:rPr>
                <w:rFonts w:ascii="宋体" w:hAnsi="宋体" w:cs="宋体"/>
                <w:color w:val="auto"/>
                <w:sz w:val="22"/>
                <w:szCs w:val="22"/>
                <w:highlight w:val="none"/>
              </w:rPr>
            </w:pPr>
            <w:r>
              <w:rPr>
                <w:rFonts w:hint="eastAsia" w:ascii="宋体" w:hAnsi="宋体" w:cs="宋体"/>
                <w:color w:val="auto"/>
                <w:sz w:val="22"/>
                <w:szCs w:val="22"/>
                <w:highlight w:val="none"/>
              </w:rPr>
              <w:t>标配两节锂电子(非铅酸)后备电池，后备电池使用时间≥120分钟</w:t>
            </w:r>
          </w:p>
        </w:tc>
      </w:tr>
      <w:tr w14:paraId="5C87464E">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17A3D826">
            <w:pPr>
              <w:jc w:val="center"/>
              <w:rPr>
                <w:rFonts w:ascii="宋体" w:hAnsi="宋体" w:cs="宋体"/>
                <w:color w:val="auto"/>
                <w:sz w:val="22"/>
                <w:szCs w:val="22"/>
                <w:highlight w:val="none"/>
              </w:rPr>
            </w:pPr>
            <w:r>
              <w:rPr>
                <w:rFonts w:hint="eastAsia" w:ascii="宋体" w:hAnsi="宋体" w:cs="宋体"/>
                <w:color w:val="auto"/>
                <w:sz w:val="22"/>
                <w:szCs w:val="22"/>
                <w:highlight w:val="none"/>
              </w:rPr>
              <w:t>2.1.2</w:t>
            </w:r>
          </w:p>
        </w:tc>
        <w:tc>
          <w:tcPr>
            <w:tcW w:w="4287" w:type="pct"/>
            <w:vAlign w:val="center"/>
          </w:tcPr>
          <w:p w14:paraId="03A7EEF8">
            <w:pPr>
              <w:rPr>
                <w:rFonts w:ascii="宋体" w:hAnsi="宋体" w:cs="宋体"/>
                <w:color w:val="auto"/>
                <w:sz w:val="22"/>
                <w:szCs w:val="22"/>
                <w:highlight w:val="none"/>
              </w:rPr>
            </w:pPr>
            <w:r>
              <w:rPr>
                <w:rFonts w:hint="eastAsia" w:ascii="宋体" w:hAnsi="宋体" w:cs="宋体"/>
                <w:color w:val="auto"/>
                <w:sz w:val="22"/>
                <w:szCs w:val="22"/>
                <w:highlight w:val="none"/>
              </w:rPr>
              <w:t>具有RJ45接口、HL7、以太网连接功能</w:t>
            </w:r>
          </w:p>
        </w:tc>
      </w:tr>
      <w:tr w14:paraId="4FAE7990">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4CA1109A">
            <w:pPr>
              <w:jc w:val="center"/>
              <w:rPr>
                <w:rFonts w:ascii="宋体" w:hAnsi="宋体" w:cs="宋体"/>
                <w:color w:val="auto"/>
                <w:sz w:val="22"/>
                <w:szCs w:val="22"/>
                <w:highlight w:val="none"/>
              </w:rPr>
            </w:pPr>
            <w:r>
              <w:rPr>
                <w:rFonts w:hint="eastAsia" w:ascii="宋体" w:hAnsi="宋体" w:cs="宋体"/>
                <w:color w:val="auto"/>
                <w:sz w:val="22"/>
                <w:szCs w:val="22"/>
                <w:highlight w:val="none"/>
              </w:rPr>
              <w:t>2.1.3</w:t>
            </w:r>
          </w:p>
        </w:tc>
        <w:tc>
          <w:tcPr>
            <w:tcW w:w="4287" w:type="pct"/>
            <w:vAlign w:val="center"/>
          </w:tcPr>
          <w:p w14:paraId="5A06BDDC">
            <w:pPr>
              <w:rPr>
                <w:rFonts w:ascii="宋体" w:hAnsi="宋体" w:cs="宋体"/>
                <w:color w:val="auto"/>
                <w:sz w:val="22"/>
                <w:szCs w:val="22"/>
                <w:highlight w:val="none"/>
              </w:rPr>
            </w:pPr>
            <w:r>
              <w:rPr>
                <w:rFonts w:hint="eastAsia" w:ascii="宋体" w:hAnsi="宋体" w:cs="宋体"/>
                <w:color w:val="auto"/>
                <w:sz w:val="22"/>
                <w:szCs w:val="22"/>
                <w:highlight w:val="none"/>
              </w:rPr>
              <w:t>机架：带大工作台侧栏杆推车，≥3个抽屉，提供图片或相关证明材料</w:t>
            </w:r>
          </w:p>
        </w:tc>
      </w:tr>
      <w:tr w14:paraId="5271F63D">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737A5E94">
            <w:pPr>
              <w:jc w:val="center"/>
              <w:rPr>
                <w:rFonts w:ascii="宋体" w:hAnsi="宋体" w:cs="宋体"/>
                <w:color w:val="auto"/>
                <w:sz w:val="22"/>
                <w:szCs w:val="22"/>
                <w:highlight w:val="none"/>
              </w:rPr>
            </w:pPr>
            <w:r>
              <w:rPr>
                <w:rFonts w:hint="eastAsia" w:ascii="宋体" w:hAnsi="宋体" w:cs="宋体"/>
                <w:color w:val="auto"/>
                <w:sz w:val="22"/>
                <w:szCs w:val="22"/>
                <w:highlight w:val="none"/>
              </w:rPr>
              <w:t>△2.1.4</w:t>
            </w:r>
          </w:p>
        </w:tc>
        <w:tc>
          <w:tcPr>
            <w:tcW w:w="4287" w:type="pct"/>
            <w:vAlign w:val="center"/>
          </w:tcPr>
          <w:p w14:paraId="388B48BB">
            <w:pPr>
              <w:rPr>
                <w:rFonts w:ascii="宋体" w:hAnsi="宋体" w:cs="宋体"/>
                <w:color w:val="auto"/>
                <w:sz w:val="22"/>
                <w:szCs w:val="22"/>
                <w:highlight w:val="none"/>
              </w:rPr>
            </w:pPr>
            <w:r>
              <w:rPr>
                <w:rFonts w:hint="eastAsia" w:ascii="宋体" w:hAnsi="宋体" w:cs="宋体"/>
                <w:color w:val="auto"/>
                <w:sz w:val="22"/>
                <w:szCs w:val="22"/>
                <w:highlight w:val="none"/>
              </w:rPr>
              <w:t>可选配高流量给氧或提供单机</w:t>
            </w:r>
          </w:p>
        </w:tc>
      </w:tr>
      <w:tr w14:paraId="34EAC319">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790066DC">
            <w:pPr>
              <w:jc w:val="center"/>
              <w:rPr>
                <w:rFonts w:ascii="宋体" w:hAnsi="宋体" w:cs="宋体"/>
                <w:color w:val="auto"/>
                <w:sz w:val="22"/>
                <w:szCs w:val="22"/>
                <w:highlight w:val="none"/>
              </w:rPr>
            </w:pPr>
            <w:r>
              <w:rPr>
                <w:rFonts w:hint="eastAsia" w:ascii="宋体" w:hAnsi="宋体" w:cs="宋体"/>
                <w:color w:val="auto"/>
                <w:sz w:val="22"/>
                <w:szCs w:val="22"/>
                <w:highlight w:val="none"/>
              </w:rPr>
              <w:t>2.2</w:t>
            </w:r>
          </w:p>
        </w:tc>
        <w:tc>
          <w:tcPr>
            <w:tcW w:w="4287" w:type="pct"/>
            <w:vAlign w:val="center"/>
          </w:tcPr>
          <w:p w14:paraId="1F770AEC">
            <w:pPr>
              <w:rPr>
                <w:rFonts w:ascii="宋体" w:hAnsi="宋体" w:cs="宋体"/>
                <w:color w:val="auto"/>
                <w:sz w:val="22"/>
                <w:szCs w:val="22"/>
                <w:highlight w:val="none"/>
              </w:rPr>
            </w:pPr>
            <w:r>
              <w:rPr>
                <w:rFonts w:hint="eastAsia" w:ascii="宋体" w:hAnsi="宋体" w:cs="宋体"/>
                <w:color w:val="auto"/>
                <w:sz w:val="22"/>
                <w:szCs w:val="22"/>
                <w:highlight w:val="none"/>
              </w:rPr>
              <w:t>气源</w:t>
            </w:r>
          </w:p>
        </w:tc>
      </w:tr>
      <w:tr w14:paraId="337956A4">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2D4B54E0">
            <w:pPr>
              <w:jc w:val="center"/>
              <w:rPr>
                <w:rFonts w:ascii="宋体" w:hAnsi="宋体" w:cs="宋体"/>
                <w:color w:val="auto"/>
                <w:sz w:val="22"/>
                <w:szCs w:val="22"/>
                <w:highlight w:val="none"/>
              </w:rPr>
            </w:pPr>
            <w:r>
              <w:rPr>
                <w:rFonts w:hint="eastAsia" w:ascii="宋体" w:hAnsi="宋体" w:cs="宋体"/>
                <w:color w:val="auto"/>
                <w:sz w:val="22"/>
                <w:szCs w:val="22"/>
                <w:highlight w:val="none"/>
              </w:rPr>
              <w:t>2.2.1</w:t>
            </w:r>
          </w:p>
        </w:tc>
        <w:tc>
          <w:tcPr>
            <w:tcW w:w="4287" w:type="pct"/>
            <w:vAlign w:val="center"/>
          </w:tcPr>
          <w:p w14:paraId="3E03D118">
            <w:pPr>
              <w:rPr>
                <w:rFonts w:ascii="宋体" w:hAnsi="宋体" w:cs="宋体"/>
                <w:color w:val="auto"/>
                <w:sz w:val="22"/>
                <w:szCs w:val="22"/>
                <w:highlight w:val="none"/>
              </w:rPr>
            </w:pPr>
            <w:r>
              <w:rPr>
                <w:rFonts w:hint="eastAsia" w:ascii="宋体" w:hAnsi="宋体" w:cs="宋体"/>
                <w:color w:val="auto"/>
                <w:sz w:val="22"/>
                <w:szCs w:val="22"/>
                <w:highlight w:val="none"/>
              </w:rPr>
              <w:t>标配氧气、空气气源，可选笑气气源</w:t>
            </w:r>
          </w:p>
        </w:tc>
      </w:tr>
      <w:tr w14:paraId="18978944">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50FDB203">
            <w:pPr>
              <w:jc w:val="center"/>
              <w:rPr>
                <w:rFonts w:ascii="宋体" w:hAnsi="宋体" w:cs="宋体"/>
                <w:color w:val="auto"/>
                <w:sz w:val="22"/>
                <w:szCs w:val="22"/>
                <w:highlight w:val="none"/>
              </w:rPr>
            </w:pPr>
            <w:r>
              <w:rPr>
                <w:rFonts w:hint="eastAsia" w:ascii="宋体" w:hAnsi="宋体" w:cs="宋体"/>
                <w:color w:val="auto"/>
                <w:sz w:val="22"/>
                <w:szCs w:val="22"/>
                <w:highlight w:val="none"/>
              </w:rPr>
              <w:t>2.2.2</w:t>
            </w:r>
          </w:p>
        </w:tc>
        <w:tc>
          <w:tcPr>
            <w:tcW w:w="4287" w:type="pct"/>
            <w:vAlign w:val="center"/>
          </w:tcPr>
          <w:p w14:paraId="2FA2EE2A">
            <w:pPr>
              <w:rPr>
                <w:rFonts w:ascii="宋体" w:hAnsi="宋体" w:cs="宋体"/>
                <w:color w:val="auto"/>
                <w:sz w:val="22"/>
                <w:szCs w:val="22"/>
                <w:highlight w:val="none"/>
              </w:rPr>
            </w:pPr>
            <w:r>
              <w:rPr>
                <w:rFonts w:hint="eastAsia" w:ascii="宋体" w:hAnsi="宋体" w:cs="宋体"/>
                <w:color w:val="auto"/>
                <w:sz w:val="22"/>
                <w:szCs w:val="22"/>
                <w:highlight w:val="none"/>
              </w:rPr>
              <w:t>氧气：具备安全保护装置，在供氧压低于200Kpa时报警</w:t>
            </w:r>
          </w:p>
        </w:tc>
      </w:tr>
      <w:tr w14:paraId="32F73AD5">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0879BE8A">
            <w:pPr>
              <w:jc w:val="center"/>
              <w:rPr>
                <w:rFonts w:ascii="宋体" w:hAnsi="宋体" w:cs="宋体"/>
                <w:color w:val="auto"/>
                <w:sz w:val="22"/>
                <w:szCs w:val="22"/>
                <w:highlight w:val="none"/>
              </w:rPr>
            </w:pPr>
            <w:r>
              <w:rPr>
                <w:rFonts w:hint="eastAsia" w:ascii="宋体" w:hAnsi="宋体" w:cs="宋体"/>
                <w:color w:val="auto"/>
                <w:sz w:val="22"/>
                <w:szCs w:val="22"/>
                <w:highlight w:val="none"/>
              </w:rPr>
              <w:t>2.2.4</w:t>
            </w:r>
          </w:p>
        </w:tc>
        <w:tc>
          <w:tcPr>
            <w:tcW w:w="4287" w:type="pct"/>
            <w:vAlign w:val="center"/>
          </w:tcPr>
          <w:p w14:paraId="418F5686">
            <w:pPr>
              <w:rPr>
                <w:rFonts w:ascii="宋体" w:hAnsi="宋体" w:cs="宋体"/>
                <w:color w:val="auto"/>
                <w:sz w:val="22"/>
                <w:szCs w:val="22"/>
                <w:highlight w:val="none"/>
              </w:rPr>
            </w:pPr>
            <w:r>
              <w:rPr>
                <w:rFonts w:hint="eastAsia" w:ascii="宋体" w:hAnsi="宋体" w:cs="宋体"/>
                <w:color w:val="auto"/>
                <w:sz w:val="22"/>
                <w:szCs w:val="22"/>
                <w:highlight w:val="none"/>
              </w:rPr>
              <w:t>具备安全保护装置，在供氧压低于200Kpa时报警。具备笑、氧比例保护装置，不受停电影响，保证任何流量下氧浓度不低于25%</w:t>
            </w:r>
          </w:p>
        </w:tc>
      </w:tr>
      <w:tr w14:paraId="5357D8ED">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5198C349">
            <w:pPr>
              <w:jc w:val="center"/>
              <w:rPr>
                <w:rFonts w:ascii="宋体" w:hAnsi="宋体" w:cs="宋体"/>
                <w:color w:val="auto"/>
                <w:sz w:val="22"/>
                <w:szCs w:val="22"/>
                <w:highlight w:val="none"/>
              </w:rPr>
            </w:pPr>
            <w:r>
              <w:rPr>
                <w:rFonts w:hint="eastAsia" w:ascii="宋体" w:hAnsi="宋体" w:cs="宋体"/>
                <w:color w:val="auto"/>
                <w:sz w:val="22"/>
                <w:szCs w:val="22"/>
                <w:highlight w:val="none"/>
              </w:rPr>
              <w:t>2.2.5</w:t>
            </w:r>
          </w:p>
        </w:tc>
        <w:tc>
          <w:tcPr>
            <w:tcW w:w="4287" w:type="pct"/>
            <w:vAlign w:val="center"/>
          </w:tcPr>
          <w:p w14:paraId="6C88B36A">
            <w:pPr>
              <w:rPr>
                <w:rFonts w:ascii="宋体" w:hAnsi="宋体" w:cs="宋体"/>
                <w:color w:val="auto"/>
                <w:sz w:val="22"/>
                <w:szCs w:val="22"/>
                <w:highlight w:val="none"/>
              </w:rPr>
            </w:pPr>
            <w:r>
              <w:rPr>
                <w:rFonts w:hint="eastAsia" w:ascii="宋体" w:hAnsi="宋体" w:cs="宋体"/>
                <w:color w:val="auto"/>
                <w:sz w:val="22"/>
                <w:szCs w:val="22"/>
                <w:highlight w:val="none"/>
              </w:rPr>
              <w:t>快速充氧范围25 - 75 l/min</w:t>
            </w:r>
          </w:p>
        </w:tc>
      </w:tr>
      <w:tr w14:paraId="59FD38C6">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6C29D9D5">
            <w:pPr>
              <w:jc w:val="center"/>
              <w:rPr>
                <w:rFonts w:ascii="宋体" w:hAnsi="宋体" w:cs="宋体"/>
                <w:color w:val="auto"/>
                <w:sz w:val="22"/>
                <w:szCs w:val="22"/>
                <w:highlight w:val="none"/>
              </w:rPr>
            </w:pPr>
            <w:r>
              <w:rPr>
                <w:rFonts w:hint="eastAsia" w:ascii="宋体" w:hAnsi="宋体" w:cs="宋体"/>
                <w:color w:val="auto"/>
                <w:sz w:val="22"/>
                <w:szCs w:val="22"/>
                <w:highlight w:val="none"/>
              </w:rPr>
              <w:t>2.3</w:t>
            </w:r>
          </w:p>
        </w:tc>
        <w:tc>
          <w:tcPr>
            <w:tcW w:w="4287" w:type="pct"/>
            <w:vAlign w:val="center"/>
          </w:tcPr>
          <w:p w14:paraId="1C96A323">
            <w:pPr>
              <w:rPr>
                <w:rFonts w:ascii="宋体" w:hAnsi="宋体" w:cs="宋体"/>
                <w:color w:val="auto"/>
                <w:sz w:val="22"/>
                <w:szCs w:val="22"/>
                <w:highlight w:val="none"/>
              </w:rPr>
            </w:pPr>
            <w:r>
              <w:rPr>
                <w:rFonts w:hint="eastAsia" w:ascii="宋体" w:hAnsi="宋体" w:cs="宋体"/>
                <w:color w:val="auto"/>
                <w:sz w:val="22"/>
                <w:szCs w:val="22"/>
                <w:highlight w:val="none"/>
              </w:rPr>
              <w:t>流量计</w:t>
            </w:r>
          </w:p>
        </w:tc>
      </w:tr>
      <w:tr w14:paraId="4DB17BBB">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6277F392">
            <w:pPr>
              <w:jc w:val="center"/>
              <w:rPr>
                <w:rFonts w:ascii="宋体" w:hAnsi="宋体" w:cs="宋体"/>
                <w:color w:val="auto"/>
                <w:sz w:val="22"/>
                <w:szCs w:val="22"/>
                <w:highlight w:val="none"/>
              </w:rPr>
            </w:pPr>
            <w:r>
              <w:rPr>
                <w:rFonts w:hint="eastAsia" w:ascii="宋体" w:hAnsi="宋体" w:cs="宋体"/>
                <w:color w:val="auto"/>
                <w:sz w:val="22"/>
                <w:szCs w:val="22"/>
                <w:highlight w:val="none"/>
              </w:rPr>
              <w:t>△2.3.1</w:t>
            </w:r>
          </w:p>
        </w:tc>
        <w:tc>
          <w:tcPr>
            <w:tcW w:w="4287" w:type="pct"/>
            <w:vAlign w:val="center"/>
          </w:tcPr>
          <w:p w14:paraId="2EC81A9B">
            <w:pPr>
              <w:rPr>
                <w:rFonts w:ascii="宋体" w:hAnsi="宋体" w:cs="宋体"/>
                <w:color w:val="auto"/>
                <w:sz w:val="22"/>
                <w:szCs w:val="22"/>
                <w:highlight w:val="none"/>
              </w:rPr>
            </w:pPr>
            <w:r>
              <w:rPr>
                <w:rFonts w:hint="eastAsia" w:ascii="宋体" w:hAnsi="宋体" w:cs="宋体"/>
                <w:color w:val="auto"/>
                <w:sz w:val="22"/>
                <w:szCs w:val="22"/>
                <w:highlight w:val="none"/>
              </w:rPr>
              <w:t>配备全电子流量计，可直接通过软件设置新鲜气体氧浓度和总流量，支持适宜流量麻醉指示工具，适合低流量麻醉。</w:t>
            </w:r>
          </w:p>
        </w:tc>
      </w:tr>
      <w:tr w14:paraId="1A54FE29">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2CE4A374">
            <w:pPr>
              <w:jc w:val="center"/>
              <w:rPr>
                <w:rFonts w:ascii="宋体" w:hAnsi="宋体" w:cs="宋体"/>
                <w:color w:val="auto"/>
                <w:sz w:val="22"/>
                <w:szCs w:val="22"/>
                <w:highlight w:val="none"/>
              </w:rPr>
            </w:pPr>
            <w:r>
              <w:rPr>
                <w:rFonts w:hint="eastAsia" w:ascii="宋体" w:hAnsi="宋体" w:cs="宋体"/>
                <w:color w:val="auto"/>
                <w:sz w:val="22"/>
                <w:szCs w:val="22"/>
                <w:highlight w:val="none"/>
              </w:rPr>
              <w:t>2.3.2</w:t>
            </w:r>
          </w:p>
        </w:tc>
        <w:tc>
          <w:tcPr>
            <w:tcW w:w="4287" w:type="pct"/>
            <w:vAlign w:val="center"/>
          </w:tcPr>
          <w:p w14:paraId="5A5F6FE8">
            <w:pPr>
              <w:rPr>
                <w:rFonts w:ascii="宋体" w:hAnsi="宋体" w:cs="宋体"/>
                <w:color w:val="auto"/>
                <w:sz w:val="22"/>
                <w:szCs w:val="22"/>
                <w:highlight w:val="none"/>
              </w:rPr>
            </w:pPr>
            <w:r>
              <w:rPr>
                <w:rFonts w:hint="eastAsia" w:ascii="宋体" w:hAnsi="宋体" w:cs="宋体"/>
                <w:color w:val="auto"/>
                <w:sz w:val="22"/>
                <w:szCs w:val="22"/>
                <w:highlight w:val="none"/>
              </w:rPr>
              <w:t>全电子流量计可以设置成总流量模式，也可以设置成单管流量模式</w:t>
            </w:r>
          </w:p>
        </w:tc>
      </w:tr>
      <w:tr w14:paraId="24A1AC7D">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49A72D6E">
            <w:pPr>
              <w:jc w:val="center"/>
              <w:rPr>
                <w:rFonts w:ascii="宋体" w:hAnsi="宋体" w:cs="宋体"/>
                <w:color w:val="auto"/>
                <w:sz w:val="22"/>
                <w:szCs w:val="22"/>
                <w:highlight w:val="none"/>
              </w:rPr>
            </w:pPr>
            <w:r>
              <w:rPr>
                <w:rFonts w:hint="eastAsia" w:ascii="宋体" w:hAnsi="宋体" w:cs="宋体"/>
                <w:color w:val="auto"/>
                <w:sz w:val="22"/>
                <w:szCs w:val="22"/>
                <w:highlight w:val="none"/>
              </w:rPr>
              <w:t>2.3.3</w:t>
            </w:r>
          </w:p>
        </w:tc>
        <w:tc>
          <w:tcPr>
            <w:tcW w:w="4287" w:type="pct"/>
            <w:vAlign w:val="center"/>
          </w:tcPr>
          <w:p w14:paraId="2D86BA31">
            <w:pPr>
              <w:rPr>
                <w:rFonts w:ascii="宋体" w:hAnsi="宋体" w:cs="宋体"/>
                <w:color w:val="auto"/>
                <w:sz w:val="22"/>
                <w:szCs w:val="22"/>
                <w:highlight w:val="none"/>
              </w:rPr>
            </w:pPr>
            <w:r>
              <w:rPr>
                <w:rFonts w:hint="eastAsia" w:ascii="宋体" w:hAnsi="宋体" w:cs="宋体"/>
                <w:color w:val="auto"/>
                <w:sz w:val="22"/>
                <w:szCs w:val="22"/>
                <w:highlight w:val="none"/>
              </w:rPr>
              <w:t>可选配直观的适宜低流量麻醉的新鲜气体流量指示工具</w:t>
            </w:r>
          </w:p>
        </w:tc>
      </w:tr>
      <w:tr w14:paraId="633D5F26">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69630436">
            <w:pPr>
              <w:jc w:val="center"/>
              <w:rPr>
                <w:rFonts w:ascii="宋体" w:hAnsi="宋体" w:cs="宋体"/>
                <w:color w:val="auto"/>
                <w:sz w:val="22"/>
                <w:szCs w:val="22"/>
                <w:highlight w:val="none"/>
              </w:rPr>
            </w:pPr>
            <w:r>
              <w:rPr>
                <w:rFonts w:hint="eastAsia" w:ascii="宋体" w:hAnsi="宋体" w:cs="宋体"/>
                <w:color w:val="auto"/>
                <w:sz w:val="22"/>
                <w:szCs w:val="22"/>
                <w:highlight w:val="none"/>
              </w:rPr>
              <w:t>2.4</w:t>
            </w:r>
          </w:p>
        </w:tc>
        <w:tc>
          <w:tcPr>
            <w:tcW w:w="4287" w:type="pct"/>
            <w:vAlign w:val="center"/>
          </w:tcPr>
          <w:p w14:paraId="16A56C6D">
            <w:pPr>
              <w:rPr>
                <w:rFonts w:ascii="宋体" w:hAnsi="宋体" w:cs="宋体"/>
                <w:color w:val="auto"/>
                <w:sz w:val="22"/>
                <w:szCs w:val="22"/>
                <w:highlight w:val="none"/>
              </w:rPr>
            </w:pPr>
            <w:r>
              <w:rPr>
                <w:rFonts w:hint="eastAsia" w:ascii="宋体" w:hAnsi="宋体" w:cs="宋体"/>
                <w:color w:val="auto"/>
                <w:sz w:val="22"/>
                <w:szCs w:val="22"/>
                <w:highlight w:val="none"/>
              </w:rPr>
              <w:t>挥发罐</w:t>
            </w:r>
          </w:p>
        </w:tc>
      </w:tr>
      <w:tr w14:paraId="72BC7388">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44780E92">
            <w:pPr>
              <w:jc w:val="center"/>
              <w:rPr>
                <w:rFonts w:ascii="宋体" w:hAnsi="宋体" w:cs="宋体"/>
                <w:color w:val="auto"/>
                <w:sz w:val="22"/>
                <w:szCs w:val="22"/>
                <w:highlight w:val="none"/>
              </w:rPr>
            </w:pPr>
            <w:r>
              <w:rPr>
                <w:rFonts w:hint="eastAsia" w:ascii="宋体" w:hAnsi="宋体" w:cs="宋体"/>
                <w:color w:val="auto"/>
                <w:sz w:val="22"/>
                <w:szCs w:val="22"/>
                <w:highlight w:val="none"/>
              </w:rPr>
              <w:t>2.4.1</w:t>
            </w:r>
          </w:p>
        </w:tc>
        <w:tc>
          <w:tcPr>
            <w:tcW w:w="4287" w:type="pct"/>
            <w:vAlign w:val="center"/>
          </w:tcPr>
          <w:p w14:paraId="4CD3C1BE">
            <w:pPr>
              <w:rPr>
                <w:rFonts w:ascii="宋体" w:hAnsi="宋体" w:cs="宋体"/>
                <w:color w:val="auto"/>
                <w:sz w:val="22"/>
                <w:szCs w:val="22"/>
                <w:highlight w:val="none"/>
              </w:rPr>
            </w:pPr>
            <w:r>
              <w:rPr>
                <w:rFonts w:hint="eastAsia" w:ascii="宋体" w:hAnsi="宋体" w:cs="宋体"/>
                <w:color w:val="auto"/>
                <w:sz w:val="22"/>
                <w:szCs w:val="22"/>
                <w:highlight w:val="none"/>
              </w:rPr>
              <w:t>配备双麻醉罐位，可选配第三个麻醉罐位</w:t>
            </w:r>
          </w:p>
        </w:tc>
      </w:tr>
      <w:tr w14:paraId="7C054CB8">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42A91C9F">
            <w:pPr>
              <w:jc w:val="center"/>
              <w:rPr>
                <w:rFonts w:ascii="宋体" w:hAnsi="宋体" w:cs="宋体"/>
                <w:color w:val="auto"/>
                <w:sz w:val="22"/>
                <w:szCs w:val="22"/>
                <w:highlight w:val="none"/>
              </w:rPr>
            </w:pPr>
            <w:r>
              <w:rPr>
                <w:rFonts w:hint="eastAsia" w:ascii="宋体" w:hAnsi="宋体" w:cs="宋体"/>
                <w:color w:val="auto"/>
                <w:sz w:val="22"/>
                <w:szCs w:val="22"/>
                <w:highlight w:val="none"/>
              </w:rPr>
              <w:t>▲2.4.2</w:t>
            </w:r>
          </w:p>
        </w:tc>
        <w:tc>
          <w:tcPr>
            <w:tcW w:w="4287" w:type="pct"/>
            <w:vAlign w:val="center"/>
          </w:tcPr>
          <w:p w14:paraId="6CBBCF1C">
            <w:pPr>
              <w:rPr>
                <w:rFonts w:ascii="宋体" w:hAnsi="宋体" w:cs="宋体"/>
                <w:color w:val="auto"/>
                <w:sz w:val="22"/>
                <w:szCs w:val="22"/>
                <w:highlight w:val="none"/>
              </w:rPr>
            </w:pPr>
            <w:r>
              <w:rPr>
                <w:rFonts w:hint="eastAsia" w:ascii="宋体" w:hAnsi="宋体" w:cs="宋体"/>
                <w:color w:val="auto"/>
                <w:sz w:val="22"/>
                <w:szCs w:val="22"/>
                <w:highlight w:val="none"/>
              </w:rPr>
              <w:t>标配至少一个原厂（非OEM）挥发罐，具备压力、流速和温度补偿，可选双麻醉罐位，可选配升级同品牌的地氟醚麻醉罐</w:t>
            </w:r>
          </w:p>
        </w:tc>
      </w:tr>
      <w:tr w14:paraId="2717D77E">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725D303E">
            <w:pPr>
              <w:jc w:val="center"/>
              <w:rPr>
                <w:rFonts w:ascii="宋体" w:hAnsi="宋体" w:cs="宋体"/>
                <w:color w:val="auto"/>
                <w:sz w:val="22"/>
                <w:szCs w:val="22"/>
                <w:highlight w:val="none"/>
              </w:rPr>
            </w:pPr>
            <w:r>
              <w:rPr>
                <w:rFonts w:hint="eastAsia" w:ascii="宋体" w:hAnsi="宋体" w:cs="宋体"/>
                <w:color w:val="auto"/>
                <w:sz w:val="22"/>
                <w:szCs w:val="22"/>
                <w:highlight w:val="none"/>
              </w:rPr>
              <w:t>2.4.3</w:t>
            </w:r>
          </w:p>
        </w:tc>
        <w:tc>
          <w:tcPr>
            <w:tcW w:w="4287" w:type="pct"/>
            <w:vAlign w:val="center"/>
          </w:tcPr>
          <w:p w14:paraId="7C10AF09">
            <w:pPr>
              <w:rPr>
                <w:rFonts w:ascii="宋体" w:hAnsi="宋体" w:cs="宋体"/>
                <w:color w:val="auto"/>
                <w:sz w:val="22"/>
                <w:szCs w:val="22"/>
                <w:highlight w:val="none"/>
              </w:rPr>
            </w:pPr>
            <w:r>
              <w:rPr>
                <w:rFonts w:hint="eastAsia" w:ascii="宋体" w:hAnsi="宋体" w:cs="宋体"/>
                <w:color w:val="auto"/>
                <w:sz w:val="22"/>
                <w:szCs w:val="22"/>
                <w:highlight w:val="none"/>
              </w:rPr>
              <w:t>首次加药量(干药芯)≥350ml，再次加药量≥300ml</w:t>
            </w:r>
          </w:p>
        </w:tc>
      </w:tr>
      <w:tr w14:paraId="30ED1315">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58B2D3EA">
            <w:pPr>
              <w:jc w:val="center"/>
              <w:rPr>
                <w:rFonts w:ascii="宋体" w:hAnsi="宋体" w:cs="宋体"/>
                <w:color w:val="auto"/>
                <w:sz w:val="22"/>
                <w:szCs w:val="22"/>
                <w:highlight w:val="none"/>
              </w:rPr>
            </w:pPr>
            <w:r>
              <w:rPr>
                <w:rFonts w:hint="eastAsia" w:ascii="宋体" w:hAnsi="宋体" w:cs="宋体"/>
                <w:color w:val="auto"/>
                <w:sz w:val="22"/>
                <w:szCs w:val="22"/>
                <w:highlight w:val="none"/>
              </w:rPr>
              <w:t>2.5</w:t>
            </w:r>
          </w:p>
        </w:tc>
        <w:tc>
          <w:tcPr>
            <w:tcW w:w="4287" w:type="pct"/>
            <w:vAlign w:val="center"/>
          </w:tcPr>
          <w:p w14:paraId="5F789B5C">
            <w:pPr>
              <w:rPr>
                <w:rFonts w:ascii="宋体" w:hAnsi="宋体" w:cs="宋体"/>
                <w:color w:val="auto"/>
                <w:sz w:val="22"/>
                <w:szCs w:val="22"/>
                <w:highlight w:val="none"/>
              </w:rPr>
            </w:pPr>
            <w:r>
              <w:rPr>
                <w:rFonts w:hint="eastAsia" w:ascii="宋体" w:hAnsi="宋体" w:cs="宋体"/>
                <w:color w:val="auto"/>
                <w:sz w:val="22"/>
                <w:szCs w:val="22"/>
                <w:highlight w:val="none"/>
              </w:rPr>
              <w:t>呼吸回路</w:t>
            </w:r>
          </w:p>
        </w:tc>
      </w:tr>
      <w:tr w14:paraId="5DDC87B8">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1201CD5F">
            <w:pPr>
              <w:jc w:val="center"/>
              <w:rPr>
                <w:rFonts w:ascii="宋体" w:hAnsi="宋体" w:cs="宋体"/>
                <w:color w:val="auto"/>
                <w:sz w:val="22"/>
                <w:szCs w:val="22"/>
                <w:highlight w:val="none"/>
              </w:rPr>
            </w:pPr>
            <w:r>
              <w:rPr>
                <w:rFonts w:hint="eastAsia" w:ascii="宋体" w:hAnsi="宋体" w:cs="宋体"/>
                <w:color w:val="auto"/>
                <w:sz w:val="22"/>
                <w:szCs w:val="22"/>
                <w:highlight w:val="none"/>
              </w:rPr>
              <w:t>2.5.1</w:t>
            </w:r>
          </w:p>
        </w:tc>
        <w:tc>
          <w:tcPr>
            <w:tcW w:w="4287" w:type="pct"/>
            <w:vAlign w:val="center"/>
          </w:tcPr>
          <w:p w14:paraId="6A306696">
            <w:pPr>
              <w:rPr>
                <w:rFonts w:ascii="宋体" w:hAnsi="宋体" w:cs="宋体"/>
                <w:color w:val="auto"/>
                <w:sz w:val="22"/>
                <w:szCs w:val="22"/>
                <w:highlight w:val="none"/>
              </w:rPr>
            </w:pPr>
            <w:r>
              <w:rPr>
                <w:rFonts w:hint="eastAsia" w:ascii="宋体" w:hAnsi="宋体" w:cs="宋体"/>
                <w:color w:val="auto"/>
                <w:sz w:val="22"/>
                <w:szCs w:val="22"/>
                <w:highlight w:val="none"/>
              </w:rPr>
              <w:t>回路整体可徒手拆卸，一体化回路，回路整体可旋转≥30°，以满足不同手术无需移动麻醉机的要求</w:t>
            </w:r>
          </w:p>
        </w:tc>
      </w:tr>
      <w:tr w14:paraId="4E1CE471">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704F8804">
            <w:pPr>
              <w:jc w:val="center"/>
              <w:rPr>
                <w:rFonts w:ascii="宋体" w:hAnsi="宋体" w:cs="宋体"/>
                <w:color w:val="auto"/>
                <w:sz w:val="22"/>
                <w:szCs w:val="22"/>
                <w:highlight w:val="none"/>
              </w:rPr>
            </w:pPr>
            <w:r>
              <w:rPr>
                <w:rFonts w:hint="eastAsia" w:ascii="宋体" w:hAnsi="宋体" w:cs="宋体"/>
                <w:color w:val="auto"/>
                <w:sz w:val="22"/>
                <w:szCs w:val="22"/>
                <w:highlight w:val="none"/>
              </w:rPr>
              <w:t>△2.5.2</w:t>
            </w:r>
          </w:p>
        </w:tc>
        <w:tc>
          <w:tcPr>
            <w:tcW w:w="4287" w:type="pct"/>
            <w:vAlign w:val="center"/>
          </w:tcPr>
          <w:p w14:paraId="3621EA0E">
            <w:pPr>
              <w:rPr>
                <w:rFonts w:ascii="宋体" w:hAnsi="宋体" w:cs="宋体"/>
                <w:color w:val="auto"/>
                <w:sz w:val="22"/>
                <w:szCs w:val="22"/>
                <w:highlight w:val="none"/>
              </w:rPr>
            </w:pPr>
            <w:r>
              <w:rPr>
                <w:rFonts w:hint="eastAsia" w:ascii="宋体" w:hAnsi="宋体" w:cs="宋体"/>
                <w:color w:val="auto"/>
                <w:sz w:val="22"/>
                <w:szCs w:val="22"/>
                <w:highlight w:val="none"/>
              </w:rPr>
              <w:t>回路部件可以耐受134℃高温高压消毒以避免院内交叉感染，一体化回路，具备机械式气道压力表，便于屏幕失效情况下观察患者气道压力。</w:t>
            </w:r>
          </w:p>
        </w:tc>
      </w:tr>
      <w:tr w14:paraId="21D93F9F">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45749639">
            <w:pPr>
              <w:jc w:val="center"/>
              <w:rPr>
                <w:rFonts w:ascii="宋体" w:hAnsi="宋体" w:cs="宋体"/>
                <w:color w:val="auto"/>
                <w:sz w:val="22"/>
                <w:szCs w:val="22"/>
                <w:highlight w:val="none"/>
              </w:rPr>
            </w:pPr>
            <w:r>
              <w:rPr>
                <w:rFonts w:hint="eastAsia" w:ascii="宋体" w:hAnsi="宋体" w:cs="宋体"/>
                <w:color w:val="auto"/>
                <w:sz w:val="22"/>
                <w:szCs w:val="22"/>
                <w:highlight w:val="none"/>
              </w:rPr>
              <w:t>△2.5.3</w:t>
            </w:r>
          </w:p>
        </w:tc>
        <w:tc>
          <w:tcPr>
            <w:tcW w:w="4287" w:type="pct"/>
            <w:vAlign w:val="center"/>
          </w:tcPr>
          <w:p w14:paraId="24B3D403">
            <w:pPr>
              <w:rPr>
                <w:rFonts w:ascii="宋体" w:hAnsi="宋体" w:cs="宋体"/>
                <w:color w:val="auto"/>
                <w:sz w:val="22"/>
                <w:szCs w:val="22"/>
                <w:highlight w:val="none"/>
              </w:rPr>
            </w:pPr>
            <w:r>
              <w:rPr>
                <w:rFonts w:hint="eastAsia" w:ascii="宋体" w:hAnsi="宋体" w:cs="宋体"/>
                <w:color w:val="auto"/>
                <w:sz w:val="22"/>
                <w:szCs w:val="22"/>
                <w:highlight w:val="none"/>
              </w:rPr>
              <w:t>二氧化碳吸收器（钠石灰罐）容量≤1500ml，快速响应新鲜气体流量改变，适用于低微流量麻醉应用。</w:t>
            </w:r>
          </w:p>
        </w:tc>
      </w:tr>
      <w:tr w14:paraId="28F36169">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266A8A02">
            <w:pPr>
              <w:jc w:val="center"/>
              <w:rPr>
                <w:rFonts w:ascii="宋体" w:hAnsi="宋体" w:cs="宋体"/>
                <w:color w:val="auto"/>
                <w:sz w:val="22"/>
                <w:szCs w:val="22"/>
                <w:highlight w:val="none"/>
              </w:rPr>
            </w:pPr>
            <w:r>
              <w:rPr>
                <w:rFonts w:hint="eastAsia" w:ascii="宋体" w:hAnsi="宋体" w:cs="宋体"/>
                <w:color w:val="auto"/>
                <w:sz w:val="22"/>
                <w:szCs w:val="22"/>
                <w:highlight w:val="none"/>
              </w:rPr>
              <w:t>△2.5.4</w:t>
            </w:r>
          </w:p>
        </w:tc>
        <w:tc>
          <w:tcPr>
            <w:tcW w:w="4287" w:type="pct"/>
            <w:vAlign w:val="center"/>
          </w:tcPr>
          <w:p w14:paraId="603D40FF">
            <w:pPr>
              <w:rPr>
                <w:rFonts w:ascii="宋体" w:hAnsi="宋体" w:cs="宋体"/>
                <w:color w:val="auto"/>
                <w:sz w:val="22"/>
                <w:szCs w:val="22"/>
                <w:highlight w:val="none"/>
              </w:rPr>
            </w:pPr>
            <w:r>
              <w:rPr>
                <w:rFonts w:hint="eastAsia" w:ascii="宋体" w:hAnsi="宋体" w:cs="宋体"/>
                <w:color w:val="auto"/>
                <w:sz w:val="22"/>
                <w:szCs w:val="22"/>
                <w:highlight w:val="none"/>
              </w:rPr>
              <w:t>内置双流量传感器，分别在吸入端，呼出端。</w:t>
            </w:r>
          </w:p>
        </w:tc>
      </w:tr>
      <w:tr w14:paraId="2FB9EBCF">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1BECCCC4">
            <w:pPr>
              <w:jc w:val="center"/>
              <w:rPr>
                <w:rFonts w:ascii="宋体" w:hAnsi="宋体" w:cs="宋体"/>
                <w:color w:val="auto"/>
                <w:sz w:val="22"/>
                <w:szCs w:val="22"/>
                <w:highlight w:val="none"/>
              </w:rPr>
            </w:pPr>
            <w:r>
              <w:rPr>
                <w:rFonts w:hint="eastAsia" w:ascii="宋体" w:hAnsi="宋体" w:cs="宋体"/>
                <w:color w:val="auto"/>
                <w:sz w:val="22"/>
                <w:szCs w:val="22"/>
                <w:highlight w:val="none"/>
              </w:rPr>
              <w:t>2.5.5</w:t>
            </w:r>
          </w:p>
        </w:tc>
        <w:tc>
          <w:tcPr>
            <w:tcW w:w="4287" w:type="pct"/>
            <w:vAlign w:val="center"/>
          </w:tcPr>
          <w:p w14:paraId="667849F3">
            <w:pPr>
              <w:rPr>
                <w:rFonts w:ascii="宋体" w:hAnsi="宋体" w:cs="宋体"/>
                <w:color w:val="auto"/>
                <w:sz w:val="22"/>
                <w:szCs w:val="22"/>
                <w:highlight w:val="none"/>
              </w:rPr>
            </w:pPr>
            <w:r>
              <w:rPr>
                <w:rFonts w:hint="eastAsia" w:ascii="宋体" w:hAnsi="宋体" w:cs="宋体"/>
                <w:color w:val="auto"/>
                <w:sz w:val="22"/>
                <w:szCs w:val="22"/>
                <w:highlight w:val="none"/>
              </w:rPr>
              <w:t>具有回路加温功能，保证回路不受积水影响及向病人提供温暖气体，避免对呼吸道的刺激</w:t>
            </w:r>
          </w:p>
        </w:tc>
      </w:tr>
      <w:tr w14:paraId="0CACA712">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0A9839B2">
            <w:pPr>
              <w:jc w:val="center"/>
              <w:rPr>
                <w:rFonts w:ascii="宋体" w:hAnsi="宋体" w:cs="宋体"/>
                <w:color w:val="auto"/>
                <w:sz w:val="22"/>
                <w:szCs w:val="22"/>
                <w:highlight w:val="none"/>
              </w:rPr>
            </w:pPr>
            <w:r>
              <w:rPr>
                <w:rFonts w:hint="eastAsia" w:ascii="宋体" w:hAnsi="宋体" w:cs="宋体"/>
                <w:color w:val="auto"/>
                <w:sz w:val="22"/>
                <w:szCs w:val="22"/>
                <w:highlight w:val="none"/>
              </w:rPr>
              <w:t>2.5.6</w:t>
            </w:r>
          </w:p>
        </w:tc>
        <w:tc>
          <w:tcPr>
            <w:tcW w:w="4287" w:type="pct"/>
            <w:vAlign w:val="center"/>
          </w:tcPr>
          <w:p w14:paraId="0CEA1ECF">
            <w:pPr>
              <w:rPr>
                <w:rFonts w:ascii="宋体" w:hAnsi="宋体" w:cs="宋体"/>
                <w:color w:val="auto"/>
                <w:sz w:val="22"/>
                <w:szCs w:val="22"/>
                <w:highlight w:val="none"/>
              </w:rPr>
            </w:pPr>
            <w:r>
              <w:rPr>
                <w:rFonts w:hint="eastAsia" w:ascii="宋体" w:hAnsi="宋体" w:cs="宋体"/>
                <w:color w:val="auto"/>
                <w:sz w:val="22"/>
                <w:szCs w:val="22"/>
                <w:highlight w:val="none"/>
              </w:rPr>
              <w:t>具备智能回路识别报警系统，当钠石灰罐未安装到位时，机器能智能识别，并报警提示。</w:t>
            </w:r>
          </w:p>
        </w:tc>
      </w:tr>
      <w:tr w14:paraId="477D93B0">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56921609">
            <w:pPr>
              <w:jc w:val="center"/>
              <w:rPr>
                <w:rFonts w:ascii="宋体" w:hAnsi="宋体" w:cs="宋体"/>
                <w:color w:val="auto"/>
                <w:sz w:val="22"/>
                <w:szCs w:val="22"/>
                <w:highlight w:val="none"/>
              </w:rPr>
            </w:pPr>
            <w:r>
              <w:rPr>
                <w:rFonts w:hint="eastAsia" w:ascii="宋体" w:hAnsi="宋体" w:cs="宋体"/>
                <w:color w:val="auto"/>
                <w:sz w:val="22"/>
                <w:szCs w:val="22"/>
                <w:highlight w:val="none"/>
              </w:rPr>
              <w:t>2.6</w:t>
            </w:r>
          </w:p>
        </w:tc>
        <w:tc>
          <w:tcPr>
            <w:tcW w:w="4287" w:type="pct"/>
            <w:vAlign w:val="center"/>
          </w:tcPr>
          <w:p w14:paraId="3D642F76">
            <w:pPr>
              <w:rPr>
                <w:rFonts w:ascii="宋体" w:hAnsi="宋体" w:cs="宋体"/>
                <w:color w:val="auto"/>
                <w:sz w:val="22"/>
                <w:szCs w:val="22"/>
                <w:highlight w:val="none"/>
              </w:rPr>
            </w:pPr>
            <w:r>
              <w:rPr>
                <w:rFonts w:hint="eastAsia" w:ascii="宋体" w:hAnsi="宋体" w:cs="宋体"/>
                <w:color w:val="auto"/>
                <w:sz w:val="22"/>
                <w:szCs w:val="22"/>
                <w:highlight w:val="none"/>
              </w:rPr>
              <w:t>呼吸机</w:t>
            </w:r>
          </w:p>
        </w:tc>
      </w:tr>
      <w:tr w14:paraId="4E902870">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3797AE44">
            <w:pPr>
              <w:jc w:val="center"/>
              <w:rPr>
                <w:rFonts w:ascii="宋体" w:hAnsi="宋体" w:cs="宋体"/>
                <w:color w:val="auto"/>
                <w:sz w:val="22"/>
                <w:szCs w:val="22"/>
                <w:highlight w:val="none"/>
              </w:rPr>
            </w:pPr>
            <w:r>
              <w:rPr>
                <w:rFonts w:hint="eastAsia" w:ascii="宋体" w:hAnsi="宋体" w:cs="宋体"/>
                <w:color w:val="auto"/>
                <w:sz w:val="22"/>
                <w:szCs w:val="22"/>
                <w:highlight w:val="none"/>
              </w:rPr>
              <w:t>2.6.1</w:t>
            </w:r>
          </w:p>
        </w:tc>
        <w:tc>
          <w:tcPr>
            <w:tcW w:w="4287" w:type="pct"/>
            <w:vAlign w:val="center"/>
          </w:tcPr>
          <w:p w14:paraId="51052CAF">
            <w:pPr>
              <w:rPr>
                <w:rFonts w:ascii="宋体" w:hAnsi="宋体" w:cs="宋体"/>
                <w:color w:val="auto"/>
                <w:sz w:val="22"/>
                <w:szCs w:val="22"/>
                <w:highlight w:val="none"/>
              </w:rPr>
            </w:pPr>
            <w:r>
              <w:rPr>
                <w:rFonts w:hint="eastAsia" w:ascii="宋体" w:hAnsi="宋体" w:cs="宋体"/>
                <w:color w:val="auto"/>
                <w:sz w:val="22"/>
                <w:szCs w:val="22"/>
                <w:highlight w:val="none"/>
              </w:rPr>
              <w:t>气动电控呼吸机，全中文操作和显示</w:t>
            </w:r>
          </w:p>
        </w:tc>
      </w:tr>
      <w:tr w14:paraId="64F6FC64">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0B6C3BFD">
            <w:pPr>
              <w:jc w:val="center"/>
              <w:rPr>
                <w:rFonts w:ascii="宋体" w:hAnsi="宋体" w:cs="宋体"/>
                <w:color w:val="auto"/>
                <w:sz w:val="22"/>
                <w:szCs w:val="22"/>
                <w:highlight w:val="none"/>
              </w:rPr>
            </w:pPr>
            <w:r>
              <w:rPr>
                <w:rFonts w:hint="eastAsia" w:ascii="宋体" w:hAnsi="宋体" w:cs="宋体"/>
                <w:color w:val="auto"/>
                <w:sz w:val="22"/>
                <w:szCs w:val="22"/>
                <w:highlight w:val="none"/>
              </w:rPr>
              <w:t>2.6.2</w:t>
            </w:r>
          </w:p>
        </w:tc>
        <w:tc>
          <w:tcPr>
            <w:tcW w:w="4287" w:type="pct"/>
            <w:vAlign w:val="center"/>
          </w:tcPr>
          <w:p w14:paraId="52461095">
            <w:pPr>
              <w:rPr>
                <w:rFonts w:ascii="宋体" w:hAnsi="宋体" w:cs="宋体"/>
                <w:color w:val="auto"/>
                <w:sz w:val="22"/>
                <w:szCs w:val="22"/>
                <w:highlight w:val="none"/>
              </w:rPr>
            </w:pPr>
            <w:r>
              <w:rPr>
                <w:rFonts w:hint="eastAsia" w:ascii="宋体" w:hAnsi="宋体" w:cs="宋体"/>
                <w:color w:val="auto"/>
                <w:sz w:val="22"/>
                <w:szCs w:val="22"/>
                <w:highlight w:val="none"/>
              </w:rPr>
              <w:t>提供辅助/控制通气，标配通气模式：容量控制通气、压力控制通气、手动通气、电子PEEP、PCV-VG通气模式、SIMV通气模式</w:t>
            </w:r>
          </w:p>
        </w:tc>
      </w:tr>
      <w:tr w14:paraId="738F5D2F">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723D877B">
            <w:pPr>
              <w:jc w:val="center"/>
              <w:rPr>
                <w:rFonts w:ascii="宋体" w:hAnsi="宋体" w:cs="宋体"/>
                <w:color w:val="auto"/>
                <w:sz w:val="22"/>
                <w:szCs w:val="22"/>
                <w:highlight w:val="none"/>
              </w:rPr>
            </w:pPr>
            <w:r>
              <w:rPr>
                <w:rFonts w:hint="eastAsia" w:ascii="宋体" w:hAnsi="宋体" w:cs="宋体"/>
                <w:color w:val="auto"/>
                <w:sz w:val="22"/>
                <w:szCs w:val="22"/>
                <w:highlight w:val="none"/>
              </w:rPr>
              <w:t>△2.6.3</w:t>
            </w:r>
          </w:p>
        </w:tc>
        <w:tc>
          <w:tcPr>
            <w:tcW w:w="4287" w:type="pct"/>
            <w:vAlign w:val="center"/>
          </w:tcPr>
          <w:p w14:paraId="3D835CE4">
            <w:pPr>
              <w:rPr>
                <w:rFonts w:ascii="宋体" w:hAnsi="宋体" w:cs="宋体"/>
                <w:color w:val="auto"/>
                <w:sz w:val="22"/>
                <w:szCs w:val="22"/>
                <w:highlight w:val="none"/>
              </w:rPr>
            </w:pPr>
            <w:r>
              <w:rPr>
                <w:rFonts w:hint="eastAsia" w:ascii="宋体" w:hAnsi="宋体" w:cs="宋体"/>
                <w:color w:val="auto"/>
                <w:sz w:val="22"/>
                <w:szCs w:val="22"/>
                <w:highlight w:val="none"/>
              </w:rPr>
              <w:t>潮气量（VCV模式下）设置范围：10ml-1500ml。</w:t>
            </w:r>
          </w:p>
        </w:tc>
      </w:tr>
      <w:tr w14:paraId="2F7551F7">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5DF6C36B">
            <w:pPr>
              <w:jc w:val="center"/>
              <w:rPr>
                <w:rFonts w:ascii="宋体" w:hAnsi="宋体" w:cs="宋体"/>
                <w:color w:val="auto"/>
                <w:sz w:val="22"/>
                <w:szCs w:val="22"/>
                <w:highlight w:val="none"/>
              </w:rPr>
            </w:pPr>
            <w:r>
              <w:rPr>
                <w:rFonts w:hint="eastAsia" w:ascii="宋体" w:hAnsi="宋体" w:cs="宋体"/>
                <w:color w:val="auto"/>
                <w:sz w:val="22"/>
                <w:szCs w:val="22"/>
                <w:highlight w:val="none"/>
              </w:rPr>
              <w:t>2.6.4</w:t>
            </w:r>
          </w:p>
        </w:tc>
        <w:tc>
          <w:tcPr>
            <w:tcW w:w="4287" w:type="pct"/>
            <w:vAlign w:val="center"/>
          </w:tcPr>
          <w:p w14:paraId="5EB3B6B6">
            <w:pPr>
              <w:rPr>
                <w:rFonts w:ascii="宋体" w:hAnsi="宋体" w:cs="宋体"/>
                <w:color w:val="auto"/>
                <w:sz w:val="22"/>
                <w:szCs w:val="22"/>
                <w:highlight w:val="none"/>
              </w:rPr>
            </w:pPr>
            <w:r>
              <w:rPr>
                <w:rFonts w:hint="eastAsia" w:ascii="宋体" w:hAnsi="宋体" w:cs="宋体"/>
                <w:color w:val="auto"/>
                <w:sz w:val="22"/>
                <w:szCs w:val="22"/>
                <w:highlight w:val="none"/>
              </w:rPr>
              <w:t>吸气压力设置范围：PEEP+5～70 cmH2O</w:t>
            </w:r>
          </w:p>
        </w:tc>
      </w:tr>
      <w:tr w14:paraId="59657F86">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42D62F25">
            <w:pPr>
              <w:jc w:val="center"/>
              <w:rPr>
                <w:rFonts w:ascii="宋体" w:hAnsi="宋体" w:cs="宋体"/>
                <w:color w:val="auto"/>
                <w:sz w:val="22"/>
                <w:szCs w:val="22"/>
                <w:highlight w:val="none"/>
              </w:rPr>
            </w:pPr>
            <w:r>
              <w:rPr>
                <w:rFonts w:hint="eastAsia" w:ascii="宋体" w:hAnsi="宋体" w:cs="宋体"/>
                <w:color w:val="auto"/>
                <w:sz w:val="22"/>
                <w:szCs w:val="22"/>
                <w:highlight w:val="none"/>
              </w:rPr>
              <w:t>2.6.5</w:t>
            </w:r>
          </w:p>
        </w:tc>
        <w:tc>
          <w:tcPr>
            <w:tcW w:w="4287" w:type="pct"/>
            <w:vAlign w:val="center"/>
          </w:tcPr>
          <w:p w14:paraId="2DDB840C">
            <w:pPr>
              <w:rPr>
                <w:rFonts w:ascii="宋体" w:hAnsi="宋体" w:cs="宋体"/>
                <w:color w:val="auto"/>
                <w:sz w:val="22"/>
                <w:szCs w:val="22"/>
                <w:highlight w:val="none"/>
              </w:rPr>
            </w:pPr>
            <w:r>
              <w:rPr>
                <w:rFonts w:hint="eastAsia" w:ascii="宋体" w:hAnsi="宋体" w:cs="宋体"/>
                <w:color w:val="auto"/>
                <w:sz w:val="22"/>
                <w:szCs w:val="22"/>
                <w:highlight w:val="none"/>
              </w:rPr>
              <w:t>呼吸频率：4-100 次/分钟</w:t>
            </w:r>
          </w:p>
        </w:tc>
      </w:tr>
      <w:tr w14:paraId="5B8A8E69">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25DA163E">
            <w:pPr>
              <w:jc w:val="center"/>
              <w:rPr>
                <w:rFonts w:ascii="宋体" w:hAnsi="宋体" w:cs="宋体"/>
                <w:color w:val="auto"/>
                <w:sz w:val="22"/>
                <w:szCs w:val="22"/>
                <w:highlight w:val="none"/>
              </w:rPr>
            </w:pPr>
            <w:r>
              <w:rPr>
                <w:rFonts w:hint="eastAsia" w:ascii="宋体" w:hAnsi="宋体" w:cs="宋体"/>
                <w:color w:val="auto"/>
                <w:sz w:val="22"/>
                <w:szCs w:val="22"/>
                <w:highlight w:val="none"/>
              </w:rPr>
              <w:t>2.6.6</w:t>
            </w:r>
          </w:p>
        </w:tc>
        <w:tc>
          <w:tcPr>
            <w:tcW w:w="4287" w:type="pct"/>
            <w:vAlign w:val="center"/>
          </w:tcPr>
          <w:p w14:paraId="3A9404D7">
            <w:pPr>
              <w:rPr>
                <w:rFonts w:ascii="宋体" w:hAnsi="宋体" w:cs="宋体"/>
                <w:color w:val="auto"/>
                <w:sz w:val="22"/>
                <w:szCs w:val="22"/>
                <w:highlight w:val="none"/>
              </w:rPr>
            </w:pPr>
            <w:r>
              <w:rPr>
                <w:rFonts w:hint="eastAsia" w:ascii="宋体" w:hAnsi="宋体" w:cs="宋体"/>
                <w:color w:val="auto"/>
                <w:sz w:val="22"/>
                <w:szCs w:val="22"/>
                <w:highlight w:val="none"/>
              </w:rPr>
              <w:t>吸呼比：4:1到1:8</w:t>
            </w:r>
          </w:p>
        </w:tc>
      </w:tr>
      <w:tr w14:paraId="0BAC5065">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6D8637F8">
            <w:pPr>
              <w:jc w:val="center"/>
              <w:rPr>
                <w:rFonts w:ascii="宋体" w:hAnsi="宋体" w:cs="宋体"/>
                <w:color w:val="auto"/>
                <w:sz w:val="22"/>
                <w:szCs w:val="22"/>
                <w:highlight w:val="none"/>
              </w:rPr>
            </w:pPr>
            <w:r>
              <w:rPr>
                <w:rFonts w:hint="eastAsia" w:ascii="宋体" w:hAnsi="宋体" w:cs="宋体"/>
                <w:color w:val="auto"/>
                <w:sz w:val="22"/>
                <w:szCs w:val="22"/>
                <w:highlight w:val="none"/>
              </w:rPr>
              <w:t>2.6.7</w:t>
            </w:r>
          </w:p>
        </w:tc>
        <w:tc>
          <w:tcPr>
            <w:tcW w:w="4287" w:type="pct"/>
            <w:vAlign w:val="center"/>
          </w:tcPr>
          <w:p w14:paraId="511E1F87">
            <w:pPr>
              <w:rPr>
                <w:rFonts w:ascii="宋体" w:hAnsi="宋体" w:cs="宋体"/>
                <w:color w:val="auto"/>
                <w:sz w:val="22"/>
                <w:szCs w:val="22"/>
                <w:highlight w:val="none"/>
              </w:rPr>
            </w:pPr>
            <w:r>
              <w:rPr>
                <w:rFonts w:hint="eastAsia" w:ascii="宋体" w:hAnsi="宋体" w:cs="宋体"/>
                <w:color w:val="auto"/>
                <w:sz w:val="22"/>
                <w:szCs w:val="22"/>
                <w:highlight w:val="none"/>
              </w:rPr>
              <w:t>压力限制范围：10到 100 cmH2O</w:t>
            </w:r>
          </w:p>
        </w:tc>
      </w:tr>
      <w:tr w14:paraId="72AA2ECF">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6C94D7B4">
            <w:pPr>
              <w:jc w:val="center"/>
              <w:rPr>
                <w:rFonts w:ascii="宋体" w:hAnsi="宋体" w:cs="宋体"/>
                <w:color w:val="auto"/>
                <w:sz w:val="22"/>
                <w:szCs w:val="22"/>
                <w:highlight w:val="none"/>
              </w:rPr>
            </w:pPr>
            <w:r>
              <w:rPr>
                <w:rFonts w:hint="eastAsia" w:ascii="宋体" w:hAnsi="宋体" w:cs="宋体"/>
                <w:color w:val="auto"/>
                <w:sz w:val="22"/>
                <w:szCs w:val="22"/>
                <w:highlight w:val="none"/>
              </w:rPr>
              <w:t>2.6.8</w:t>
            </w:r>
          </w:p>
        </w:tc>
        <w:tc>
          <w:tcPr>
            <w:tcW w:w="4287" w:type="pct"/>
            <w:vAlign w:val="center"/>
          </w:tcPr>
          <w:p w14:paraId="25240A41">
            <w:pPr>
              <w:rPr>
                <w:rFonts w:ascii="宋体" w:hAnsi="宋体" w:cs="宋体"/>
                <w:color w:val="auto"/>
                <w:sz w:val="22"/>
                <w:szCs w:val="22"/>
                <w:highlight w:val="none"/>
              </w:rPr>
            </w:pPr>
            <w:r>
              <w:rPr>
                <w:rFonts w:hint="eastAsia" w:ascii="宋体" w:hAnsi="宋体" w:cs="宋体"/>
                <w:color w:val="auto"/>
                <w:sz w:val="22"/>
                <w:szCs w:val="22"/>
                <w:highlight w:val="none"/>
              </w:rPr>
              <w:t>电子呼气终末正压PEEP，显示屏设置，范围：OFF，4 到 30 cmH2O</w:t>
            </w:r>
          </w:p>
        </w:tc>
      </w:tr>
      <w:tr w14:paraId="06AA7E14">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05D2BB2E">
            <w:pPr>
              <w:jc w:val="center"/>
              <w:rPr>
                <w:rFonts w:ascii="宋体" w:hAnsi="宋体" w:cs="宋体"/>
                <w:color w:val="auto"/>
                <w:sz w:val="22"/>
                <w:szCs w:val="22"/>
                <w:highlight w:val="none"/>
              </w:rPr>
            </w:pPr>
            <w:r>
              <w:rPr>
                <w:rFonts w:hint="eastAsia" w:ascii="宋体" w:hAnsi="宋体" w:cs="宋体"/>
                <w:color w:val="auto"/>
                <w:sz w:val="22"/>
                <w:szCs w:val="22"/>
                <w:highlight w:val="none"/>
              </w:rPr>
              <w:t>2.6.9</w:t>
            </w:r>
          </w:p>
        </w:tc>
        <w:tc>
          <w:tcPr>
            <w:tcW w:w="4287" w:type="pct"/>
            <w:vAlign w:val="center"/>
          </w:tcPr>
          <w:p w14:paraId="0063907B">
            <w:pPr>
              <w:rPr>
                <w:rFonts w:ascii="宋体" w:hAnsi="宋体" w:cs="宋体"/>
                <w:color w:val="auto"/>
                <w:sz w:val="22"/>
                <w:szCs w:val="22"/>
                <w:highlight w:val="none"/>
              </w:rPr>
            </w:pPr>
            <w:r>
              <w:rPr>
                <w:rFonts w:hint="eastAsia" w:ascii="宋体" w:hAnsi="宋体" w:cs="宋体"/>
                <w:color w:val="auto"/>
                <w:sz w:val="22"/>
                <w:szCs w:val="22"/>
                <w:highlight w:val="none"/>
              </w:rPr>
              <w:t>吸气暂停：OFF，5%-60%吸气时间</w:t>
            </w:r>
          </w:p>
        </w:tc>
      </w:tr>
      <w:tr w14:paraId="3309ABDE">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55B36C01">
            <w:pPr>
              <w:jc w:val="center"/>
              <w:rPr>
                <w:rFonts w:ascii="宋体" w:hAnsi="宋体" w:cs="宋体"/>
                <w:color w:val="auto"/>
                <w:sz w:val="22"/>
                <w:szCs w:val="22"/>
                <w:highlight w:val="none"/>
              </w:rPr>
            </w:pPr>
            <w:r>
              <w:rPr>
                <w:rFonts w:hint="eastAsia" w:ascii="宋体" w:hAnsi="宋体" w:cs="宋体"/>
                <w:color w:val="auto"/>
                <w:sz w:val="22"/>
                <w:szCs w:val="22"/>
                <w:highlight w:val="none"/>
              </w:rPr>
              <w:t>2.6.10</w:t>
            </w:r>
          </w:p>
        </w:tc>
        <w:tc>
          <w:tcPr>
            <w:tcW w:w="4287" w:type="pct"/>
            <w:vAlign w:val="center"/>
          </w:tcPr>
          <w:p w14:paraId="5F43470D">
            <w:pPr>
              <w:rPr>
                <w:rFonts w:ascii="宋体" w:hAnsi="宋体" w:cs="宋体"/>
                <w:color w:val="auto"/>
                <w:sz w:val="22"/>
                <w:szCs w:val="22"/>
                <w:highlight w:val="none"/>
              </w:rPr>
            </w:pPr>
            <w:r>
              <w:rPr>
                <w:rFonts w:hint="eastAsia" w:ascii="宋体" w:hAnsi="宋体" w:cs="宋体"/>
                <w:color w:val="auto"/>
                <w:sz w:val="22"/>
                <w:szCs w:val="22"/>
                <w:highlight w:val="none"/>
              </w:rPr>
              <w:t>呼吸机吸气阀峰值流速≥160 L/min；</w:t>
            </w:r>
          </w:p>
        </w:tc>
      </w:tr>
      <w:tr w14:paraId="7D3E985C">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15133DF1">
            <w:pPr>
              <w:jc w:val="center"/>
              <w:rPr>
                <w:rFonts w:ascii="宋体" w:hAnsi="宋体" w:cs="宋体"/>
                <w:color w:val="auto"/>
                <w:sz w:val="22"/>
                <w:szCs w:val="22"/>
                <w:highlight w:val="none"/>
              </w:rPr>
            </w:pPr>
            <w:r>
              <w:rPr>
                <w:rFonts w:hint="eastAsia" w:ascii="宋体" w:hAnsi="宋体" w:cs="宋体"/>
                <w:color w:val="auto"/>
                <w:sz w:val="22"/>
                <w:szCs w:val="22"/>
                <w:highlight w:val="none"/>
              </w:rPr>
              <w:t>2.6.11</w:t>
            </w:r>
          </w:p>
        </w:tc>
        <w:tc>
          <w:tcPr>
            <w:tcW w:w="4287" w:type="pct"/>
            <w:vAlign w:val="center"/>
          </w:tcPr>
          <w:p w14:paraId="1E3BF54F">
            <w:pPr>
              <w:rPr>
                <w:rFonts w:ascii="宋体" w:hAnsi="宋体" w:cs="宋体"/>
                <w:color w:val="auto"/>
                <w:sz w:val="22"/>
                <w:szCs w:val="22"/>
                <w:highlight w:val="none"/>
              </w:rPr>
            </w:pPr>
            <w:r>
              <w:rPr>
                <w:rFonts w:hint="eastAsia" w:ascii="宋体" w:hAnsi="宋体" w:cs="宋体"/>
                <w:color w:val="auto"/>
                <w:sz w:val="22"/>
                <w:szCs w:val="22"/>
                <w:highlight w:val="none"/>
              </w:rPr>
              <w:t>上升式风箱，可以直接观察病人实际呼吸状态，保证安全。小儿手术无需更换风箱。</w:t>
            </w:r>
          </w:p>
        </w:tc>
      </w:tr>
      <w:tr w14:paraId="3BB4FEE8">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6567F842">
            <w:pPr>
              <w:jc w:val="center"/>
              <w:rPr>
                <w:rFonts w:ascii="宋体" w:hAnsi="宋体" w:cs="宋体"/>
                <w:color w:val="auto"/>
                <w:sz w:val="22"/>
                <w:szCs w:val="22"/>
                <w:highlight w:val="none"/>
              </w:rPr>
            </w:pPr>
            <w:r>
              <w:rPr>
                <w:rFonts w:hint="eastAsia" w:ascii="宋体" w:hAnsi="宋体" w:cs="宋体"/>
                <w:color w:val="auto"/>
                <w:sz w:val="22"/>
                <w:szCs w:val="22"/>
                <w:highlight w:val="none"/>
              </w:rPr>
              <w:t>2.6.12</w:t>
            </w:r>
          </w:p>
        </w:tc>
        <w:tc>
          <w:tcPr>
            <w:tcW w:w="4287" w:type="pct"/>
            <w:vAlign w:val="center"/>
          </w:tcPr>
          <w:p w14:paraId="60ABD91C">
            <w:pPr>
              <w:rPr>
                <w:rFonts w:ascii="宋体" w:hAnsi="宋体" w:cs="宋体"/>
                <w:color w:val="auto"/>
                <w:sz w:val="22"/>
                <w:szCs w:val="22"/>
                <w:highlight w:val="none"/>
              </w:rPr>
            </w:pPr>
            <w:r>
              <w:rPr>
                <w:rFonts w:hint="eastAsia" w:ascii="宋体" w:hAnsi="宋体" w:cs="宋体"/>
                <w:color w:val="auto"/>
                <w:sz w:val="22"/>
                <w:szCs w:val="22"/>
                <w:highlight w:val="none"/>
              </w:rPr>
              <w:t>具备吸入端，呼出端双流量传感器，实现动态潮气量实时自动补偿功能，补偿新鲜气体变化、气体压缩、回路顺应性变化以及小的回路泄漏造成的吸入潮气量和设置潮气量的误差</w:t>
            </w:r>
          </w:p>
        </w:tc>
      </w:tr>
      <w:tr w14:paraId="0DE9F991">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29A3EE2A">
            <w:pPr>
              <w:jc w:val="center"/>
              <w:rPr>
                <w:rFonts w:ascii="宋体" w:hAnsi="宋体" w:cs="宋体"/>
                <w:color w:val="auto"/>
                <w:sz w:val="22"/>
                <w:szCs w:val="22"/>
                <w:highlight w:val="none"/>
              </w:rPr>
            </w:pPr>
            <w:r>
              <w:rPr>
                <w:rFonts w:hint="eastAsia" w:ascii="宋体" w:hAnsi="宋体" w:cs="宋体"/>
                <w:color w:val="auto"/>
                <w:sz w:val="22"/>
                <w:szCs w:val="22"/>
                <w:highlight w:val="none"/>
              </w:rPr>
              <w:t>2.6.13</w:t>
            </w:r>
          </w:p>
        </w:tc>
        <w:tc>
          <w:tcPr>
            <w:tcW w:w="4287" w:type="pct"/>
            <w:vAlign w:val="center"/>
          </w:tcPr>
          <w:p w14:paraId="10F4799B">
            <w:pPr>
              <w:rPr>
                <w:rFonts w:ascii="宋体" w:hAnsi="宋体" w:cs="宋体"/>
                <w:color w:val="auto"/>
                <w:sz w:val="22"/>
                <w:szCs w:val="22"/>
                <w:highlight w:val="none"/>
              </w:rPr>
            </w:pPr>
            <w:r>
              <w:rPr>
                <w:rFonts w:hint="eastAsia" w:ascii="宋体" w:hAnsi="宋体" w:cs="宋体"/>
                <w:color w:val="auto"/>
                <w:sz w:val="22"/>
                <w:szCs w:val="22"/>
                <w:highlight w:val="none"/>
              </w:rPr>
              <w:t>智能化呼吸机，有防止错误设置功能</w:t>
            </w:r>
          </w:p>
        </w:tc>
      </w:tr>
      <w:tr w14:paraId="1735EF2B">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6417E360">
            <w:pPr>
              <w:jc w:val="center"/>
              <w:rPr>
                <w:rFonts w:ascii="宋体" w:hAnsi="宋体" w:cs="宋体"/>
                <w:color w:val="auto"/>
                <w:sz w:val="22"/>
                <w:szCs w:val="22"/>
                <w:highlight w:val="none"/>
              </w:rPr>
            </w:pPr>
            <w:r>
              <w:rPr>
                <w:rFonts w:hint="eastAsia" w:ascii="宋体" w:hAnsi="宋体" w:cs="宋体"/>
                <w:color w:val="auto"/>
                <w:sz w:val="22"/>
                <w:szCs w:val="22"/>
                <w:highlight w:val="none"/>
              </w:rPr>
              <w:t>△2.6.14</w:t>
            </w:r>
          </w:p>
        </w:tc>
        <w:tc>
          <w:tcPr>
            <w:tcW w:w="4287" w:type="pct"/>
            <w:vAlign w:val="center"/>
          </w:tcPr>
          <w:p w14:paraId="037AC075">
            <w:pPr>
              <w:rPr>
                <w:rFonts w:ascii="宋体" w:hAnsi="宋体" w:cs="宋体"/>
                <w:color w:val="auto"/>
                <w:sz w:val="22"/>
                <w:szCs w:val="22"/>
                <w:highlight w:val="none"/>
              </w:rPr>
            </w:pPr>
            <w:r>
              <w:rPr>
                <w:rFonts w:hint="eastAsia" w:ascii="宋体" w:hAnsi="宋体" w:cs="宋体"/>
                <w:color w:val="auto"/>
                <w:sz w:val="22"/>
                <w:szCs w:val="22"/>
                <w:highlight w:val="none"/>
              </w:rPr>
              <w:t>肺保护工具：支持两种复张手法——单周期和多周期；</w:t>
            </w:r>
          </w:p>
        </w:tc>
      </w:tr>
      <w:tr w14:paraId="36FEACD5">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0B2513F9">
            <w:pPr>
              <w:jc w:val="center"/>
              <w:rPr>
                <w:rFonts w:ascii="宋体" w:hAnsi="宋体" w:cs="宋体"/>
                <w:color w:val="auto"/>
                <w:sz w:val="22"/>
                <w:szCs w:val="22"/>
                <w:highlight w:val="none"/>
              </w:rPr>
            </w:pPr>
            <w:r>
              <w:rPr>
                <w:rFonts w:hint="eastAsia" w:ascii="宋体" w:hAnsi="宋体" w:cs="宋体"/>
                <w:color w:val="auto"/>
                <w:sz w:val="22"/>
                <w:szCs w:val="22"/>
                <w:highlight w:val="none"/>
              </w:rPr>
              <w:t>2.7</w:t>
            </w:r>
          </w:p>
        </w:tc>
        <w:tc>
          <w:tcPr>
            <w:tcW w:w="4287" w:type="pct"/>
            <w:vAlign w:val="center"/>
          </w:tcPr>
          <w:p w14:paraId="287BF8A5">
            <w:pPr>
              <w:rPr>
                <w:rFonts w:ascii="宋体" w:hAnsi="宋体" w:cs="宋体"/>
                <w:color w:val="auto"/>
                <w:sz w:val="22"/>
                <w:szCs w:val="22"/>
                <w:highlight w:val="none"/>
              </w:rPr>
            </w:pPr>
            <w:r>
              <w:rPr>
                <w:rFonts w:hint="eastAsia" w:ascii="宋体" w:hAnsi="宋体" w:cs="宋体"/>
                <w:color w:val="auto"/>
                <w:sz w:val="22"/>
                <w:szCs w:val="22"/>
                <w:highlight w:val="none"/>
              </w:rPr>
              <w:t>数字和波形监测</w:t>
            </w:r>
          </w:p>
        </w:tc>
      </w:tr>
      <w:tr w14:paraId="035F3959">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63392784">
            <w:pPr>
              <w:jc w:val="center"/>
              <w:rPr>
                <w:rFonts w:ascii="宋体" w:hAnsi="宋体" w:cs="宋体"/>
                <w:color w:val="auto"/>
                <w:sz w:val="22"/>
                <w:szCs w:val="22"/>
                <w:highlight w:val="none"/>
              </w:rPr>
            </w:pPr>
            <w:r>
              <w:rPr>
                <w:rFonts w:hint="eastAsia" w:ascii="宋体" w:hAnsi="宋体" w:cs="宋体"/>
                <w:color w:val="auto"/>
                <w:sz w:val="22"/>
                <w:szCs w:val="22"/>
                <w:highlight w:val="none"/>
              </w:rPr>
              <w:t>2.7.1</w:t>
            </w:r>
          </w:p>
        </w:tc>
        <w:tc>
          <w:tcPr>
            <w:tcW w:w="4287" w:type="pct"/>
            <w:vAlign w:val="center"/>
          </w:tcPr>
          <w:p w14:paraId="22ADDF60">
            <w:pPr>
              <w:rPr>
                <w:rFonts w:ascii="宋体" w:hAnsi="宋体" w:cs="宋体"/>
                <w:color w:val="auto"/>
                <w:sz w:val="22"/>
                <w:szCs w:val="22"/>
                <w:highlight w:val="none"/>
              </w:rPr>
            </w:pPr>
            <w:r>
              <w:rPr>
                <w:rFonts w:hint="eastAsia" w:ascii="宋体" w:hAnsi="宋体" w:cs="宋体"/>
                <w:color w:val="auto"/>
                <w:sz w:val="22"/>
                <w:szCs w:val="22"/>
                <w:highlight w:val="none"/>
              </w:rPr>
              <w:t>具备三级声光报警功能，有独立红黄报警灯显示</w:t>
            </w:r>
          </w:p>
        </w:tc>
      </w:tr>
      <w:tr w14:paraId="504ED0F0">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7727CC24">
            <w:pPr>
              <w:jc w:val="center"/>
              <w:rPr>
                <w:rFonts w:ascii="宋体" w:hAnsi="宋体" w:cs="宋体"/>
                <w:color w:val="auto"/>
                <w:sz w:val="22"/>
                <w:szCs w:val="22"/>
                <w:highlight w:val="none"/>
              </w:rPr>
            </w:pPr>
            <w:r>
              <w:rPr>
                <w:rFonts w:hint="eastAsia" w:ascii="宋体" w:hAnsi="宋体" w:cs="宋体"/>
                <w:color w:val="auto"/>
                <w:sz w:val="22"/>
                <w:szCs w:val="22"/>
                <w:highlight w:val="none"/>
              </w:rPr>
              <w:t>2.7.2</w:t>
            </w:r>
          </w:p>
        </w:tc>
        <w:tc>
          <w:tcPr>
            <w:tcW w:w="4287" w:type="pct"/>
            <w:vAlign w:val="center"/>
          </w:tcPr>
          <w:p w14:paraId="4CCF85DA">
            <w:pPr>
              <w:rPr>
                <w:rFonts w:ascii="宋体" w:hAnsi="宋体" w:cs="宋体"/>
                <w:color w:val="auto"/>
                <w:sz w:val="22"/>
                <w:szCs w:val="22"/>
                <w:highlight w:val="none"/>
              </w:rPr>
            </w:pPr>
            <w:r>
              <w:rPr>
                <w:rFonts w:hint="eastAsia" w:ascii="宋体" w:hAnsi="宋体" w:cs="宋体"/>
                <w:color w:val="auto"/>
                <w:sz w:val="22"/>
                <w:szCs w:val="22"/>
                <w:highlight w:val="none"/>
              </w:rPr>
              <w:t>彩色触摸屏≥15英寸，可同屏显示3通道波形，屏幕与麻醉机一体化且为内嵌式，提供彩页或实物图片证明；</w:t>
            </w:r>
          </w:p>
        </w:tc>
      </w:tr>
      <w:tr w14:paraId="7414240F">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7AB271BB">
            <w:pPr>
              <w:jc w:val="center"/>
              <w:rPr>
                <w:rFonts w:ascii="宋体" w:hAnsi="宋体" w:cs="宋体"/>
                <w:color w:val="auto"/>
                <w:sz w:val="22"/>
                <w:szCs w:val="22"/>
                <w:highlight w:val="none"/>
              </w:rPr>
            </w:pPr>
            <w:r>
              <w:rPr>
                <w:rFonts w:hint="eastAsia" w:ascii="宋体" w:hAnsi="宋体" w:cs="宋体"/>
                <w:color w:val="auto"/>
                <w:sz w:val="22"/>
                <w:szCs w:val="22"/>
                <w:highlight w:val="none"/>
              </w:rPr>
              <w:t>2.7.3</w:t>
            </w:r>
          </w:p>
        </w:tc>
        <w:tc>
          <w:tcPr>
            <w:tcW w:w="4287" w:type="pct"/>
            <w:vAlign w:val="center"/>
          </w:tcPr>
          <w:p w14:paraId="2AC21E60">
            <w:pPr>
              <w:rPr>
                <w:rFonts w:ascii="宋体" w:hAnsi="宋体" w:cs="宋体"/>
                <w:color w:val="auto"/>
                <w:sz w:val="22"/>
                <w:szCs w:val="22"/>
                <w:highlight w:val="none"/>
              </w:rPr>
            </w:pPr>
            <w:r>
              <w:rPr>
                <w:rFonts w:hint="eastAsia" w:ascii="宋体" w:hAnsi="宋体" w:cs="宋体"/>
                <w:color w:val="auto"/>
                <w:sz w:val="22"/>
                <w:szCs w:val="22"/>
                <w:highlight w:val="none"/>
              </w:rPr>
              <w:t>内置≥3插件槽，可直接热插拔插件</w:t>
            </w:r>
          </w:p>
        </w:tc>
      </w:tr>
      <w:tr w14:paraId="41E384D3">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43B855D3">
            <w:pPr>
              <w:jc w:val="center"/>
              <w:rPr>
                <w:rFonts w:ascii="宋体" w:hAnsi="宋体" w:cs="宋体"/>
                <w:color w:val="auto"/>
                <w:sz w:val="22"/>
                <w:szCs w:val="22"/>
                <w:highlight w:val="none"/>
              </w:rPr>
            </w:pPr>
            <w:r>
              <w:rPr>
                <w:rFonts w:hint="eastAsia" w:ascii="宋体" w:hAnsi="宋体" w:cs="宋体"/>
                <w:color w:val="auto"/>
                <w:sz w:val="22"/>
                <w:szCs w:val="22"/>
                <w:highlight w:val="none"/>
              </w:rPr>
              <w:t>2.7.4</w:t>
            </w:r>
          </w:p>
        </w:tc>
        <w:tc>
          <w:tcPr>
            <w:tcW w:w="4287" w:type="pct"/>
            <w:vAlign w:val="center"/>
          </w:tcPr>
          <w:p w14:paraId="11C15B98">
            <w:pPr>
              <w:rPr>
                <w:rFonts w:ascii="宋体" w:hAnsi="宋体" w:cs="宋体"/>
                <w:color w:val="auto"/>
                <w:sz w:val="22"/>
                <w:szCs w:val="22"/>
                <w:highlight w:val="none"/>
              </w:rPr>
            </w:pPr>
            <w:r>
              <w:rPr>
                <w:rFonts w:hint="eastAsia" w:ascii="宋体" w:hAnsi="宋体" w:cs="宋体"/>
                <w:color w:val="auto"/>
                <w:sz w:val="22"/>
                <w:szCs w:val="22"/>
                <w:highlight w:val="none"/>
              </w:rPr>
              <w:t>插件可在监护仪和麻醉机之间通用</w:t>
            </w:r>
          </w:p>
        </w:tc>
      </w:tr>
      <w:tr w14:paraId="62879EE5">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506B6BBE">
            <w:pPr>
              <w:jc w:val="center"/>
              <w:rPr>
                <w:rFonts w:ascii="宋体" w:hAnsi="宋体" w:cs="宋体"/>
                <w:color w:val="auto"/>
                <w:sz w:val="22"/>
                <w:szCs w:val="22"/>
                <w:highlight w:val="none"/>
              </w:rPr>
            </w:pPr>
            <w:r>
              <w:rPr>
                <w:rFonts w:hint="eastAsia" w:ascii="宋体" w:hAnsi="宋体" w:cs="宋体"/>
                <w:color w:val="auto"/>
                <w:sz w:val="22"/>
                <w:szCs w:val="22"/>
                <w:highlight w:val="none"/>
              </w:rPr>
              <w:t>2.7.5</w:t>
            </w:r>
          </w:p>
        </w:tc>
        <w:tc>
          <w:tcPr>
            <w:tcW w:w="4287" w:type="pct"/>
            <w:vAlign w:val="center"/>
          </w:tcPr>
          <w:p w14:paraId="441130BD">
            <w:pPr>
              <w:rPr>
                <w:rFonts w:ascii="宋体" w:hAnsi="宋体" w:cs="宋体"/>
                <w:color w:val="auto"/>
                <w:sz w:val="22"/>
                <w:szCs w:val="22"/>
                <w:highlight w:val="none"/>
              </w:rPr>
            </w:pPr>
            <w:r>
              <w:rPr>
                <w:rFonts w:hint="eastAsia" w:ascii="宋体" w:hAnsi="宋体" w:cs="宋体"/>
                <w:color w:val="auto"/>
                <w:sz w:val="22"/>
                <w:szCs w:val="22"/>
                <w:highlight w:val="none"/>
              </w:rPr>
              <w:t>监测参数：呼吸频率、潮气量、分钟通气量、吸呼比、气道压（峰压、平台压、平均压、PEEP）、气道阻力、顺应性；可选配氧电池吸入氧浓度监测，呼末CO2监测，麻醉气体浓度（顺磁氧浓度，N2O，ETCO2,五种麻醉气体），呼吸环（P-V,P-F）监测</w:t>
            </w:r>
          </w:p>
        </w:tc>
      </w:tr>
      <w:tr w14:paraId="1C215097">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07E7A80A">
            <w:pPr>
              <w:jc w:val="center"/>
              <w:rPr>
                <w:rFonts w:ascii="宋体" w:hAnsi="宋体" w:cs="宋体"/>
                <w:color w:val="auto"/>
                <w:sz w:val="22"/>
                <w:szCs w:val="22"/>
                <w:highlight w:val="none"/>
              </w:rPr>
            </w:pPr>
            <w:r>
              <w:rPr>
                <w:rFonts w:hint="eastAsia" w:ascii="宋体" w:hAnsi="宋体" w:cs="宋体"/>
                <w:color w:val="auto"/>
                <w:sz w:val="22"/>
                <w:szCs w:val="22"/>
                <w:highlight w:val="none"/>
              </w:rPr>
              <w:t>2.7.6</w:t>
            </w:r>
          </w:p>
        </w:tc>
        <w:tc>
          <w:tcPr>
            <w:tcW w:w="4287" w:type="pct"/>
            <w:vAlign w:val="center"/>
          </w:tcPr>
          <w:p w14:paraId="5D2629E0">
            <w:pPr>
              <w:rPr>
                <w:rFonts w:ascii="宋体" w:hAnsi="宋体" w:cs="宋体"/>
                <w:color w:val="auto"/>
                <w:sz w:val="22"/>
                <w:szCs w:val="22"/>
                <w:highlight w:val="none"/>
              </w:rPr>
            </w:pPr>
            <w:r>
              <w:rPr>
                <w:rFonts w:hint="eastAsia" w:ascii="宋体" w:hAnsi="宋体" w:cs="宋体"/>
                <w:color w:val="auto"/>
                <w:sz w:val="22"/>
                <w:szCs w:val="22"/>
                <w:highlight w:val="none"/>
              </w:rPr>
              <w:t>同屏幕3通道任意波形显示（压力时间波形，流速时间波形，容量时间波形，可选呼末CO2波形）</w:t>
            </w:r>
          </w:p>
        </w:tc>
      </w:tr>
      <w:tr w14:paraId="2B5155B1">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451D7F01">
            <w:pPr>
              <w:jc w:val="center"/>
              <w:rPr>
                <w:rFonts w:ascii="宋体" w:hAnsi="宋体" w:cs="宋体"/>
                <w:color w:val="auto"/>
                <w:sz w:val="22"/>
                <w:szCs w:val="22"/>
                <w:highlight w:val="none"/>
              </w:rPr>
            </w:pPr>
            <w:r>
              <w:rPr>
                <w:rFonts w:hint="eastAsia" w:ascii="宋体" w:hAnsi="宋体" w:cs="宋体"/>
                <w:color w:val="auto"/>
                <w:sz w:val="22"/>
                <w:szCs w:val="22"/>
                <w:highlight w:val="none"/>
              </w:rPr>
              <w:t>2.7.7</w:t>
            </w:r>
          </w:p>
        </w:tc>
        <w:tc>
          <w:tcPr>
            <w:tcW w:w="4287" w:type="pct"/>
            <w:vAlign w:val="center"/>
          </w:tcPr>
          <w:p w14:paraId="179E3483">
            <w:pPr>
              <w:rPr>
                <w:rFonts w:ascii="宋体" w:hAnsi="宋体" w:cs="宋体"/>
                <w:color w:val="auto"/>
                <w:sz w:val="22"/>
                <w:szCs w:val="22"/>
                <w:highlight w:val="none"/>
              </w:rPr>
            </w:pPr>
            <w:r>
              <w:rPr>
                <w:rFonts w:hint="eastAsia" w:ascii="宋体" w:hAnsi="宋体" w:cs="宋体"/>
                <w:color w:val="auto"/>
                <w:sz w:val="22"/>
                <w:szCs w:val="22"/>
                <w:highlight w:val="none"/>
              </w:rPr>
              <w:t>潮气量监测范围：0 到2500ml</w:t>
            </w:r>
          </w:p>
        </w:tc>
      </w:tr>
      <w:tr w14:paraId="643B4E63">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6A512171">
            <w:pPr>
              <w:jc w:val="center"/>
              <w:rPr>
                <w:rFonts w:ascii="宋体" w:hAnsi="宋体" w:cs="宋体"/>
                <w:color w:val="auto"/>
                <w:sz w:val="22"/>
                <w:szCs w:val="22"/>
                <w:highlight w:val="none"/>
              </w:rPr>
            </w:pPr>
            <w:r>
              <w:rPr>
                <w:rFonts w:hint="eastAsia" w:ascii="宋体" w:hAnsi="宋体" w:cs="宋体"/>
                <w:color w:val="auto"/>
                <w:sz w:val="22"/>
                <w:szCs w:val="22"/>
                <w:highlight w:val="none"/>
              </w:rPr>
              <w:t>2.7.8</w:t>
            </w:r>
          </w:p>
        </w:tc>
        <w:tc>
          <w:tcPr>
            <w:tcW w:w="4287" w:type="pct"/>
            <w:vAlign w:val="center"/>
          </w:tcPr>
          <w:p w14:paraId="457CEA74">
            <w:pPr>
              <w:rPr>
                <w:rFonts w:ascii="宋体" w:hAnsi="宋体" w:cs="宋体"/>
                <w:color w:val="auto"/>
                <w:sz w:val="22"/>
                <w:szCs w:val="22"/>
                <w:highlight w:val="none"/>
              </w:rPr>
            </w:pPr>
            <w:r>
              <w:rPr>
                <w:rFonts w:hint="eastAsia" w:ascii="宋体" w:hAnsi="宋体" w:cs="宋体"/>
                <w:color w:val="auto"/>
                <w:sz w:val="22"/>
                <w:szCs w:val="22"/>
                <w:highlight w:val="none"/>
              </w:rPr>
              <w:t>分钟通气量监测范围：0L/min 到100L/min</w:t>
            </w:r>
          </w:p>
        </w:tc>
      </w:tr>
      <w:tr w14:paraId="3FEB25E9">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523B1B88">
            <w:pPr>
              <w:jc w:val="center"/>
              <w:rPr>
                <w:rFonts w:ascii="宋体" w:hAnsi="宋体" w:cs="宋体"/>
                <w:color w:val="auto"/>
                <w:sz w:val="22"/>
                <w:szCs w:val="22"/>
                <w:highlight w:val="none"/>
              </w:rPr>
            </w:pPr>
            <w:r>
              <w:rPr>
                <w:rFonts w:hint="eastAsia" w:ascii="宋体" w:hAnsi="宋体" w:cs="宋体"/>
                <w:color w:val="auto"/>
                <w:sz w:val="22"/>
                <w:szCs w:val="22"/>
                <w:highlight w:val="none"/>
              </w:rPr>
              <w:t>三</w:t>
            </w:r>
          </w:p>
        </w:tc>
        <w:tc>
          <w:tcPr>
            <w:tcW w:w="4287" w:type="pct"/>
            <w:vAlign w:val="center"/>
          </w:tcPr>
          <w:p w14:paraId="409C1C01">
            <w:pPr>
              <w:rPr>
                <w:rFonts w:ascii="宋体" w:hAnsi="宋体" w:cs="宋体"/>
                <w:color w:val="auto"/>
                <w:sz w:val="22"/>
                <w:szCs w:val="22"/>
                <w:highlight w:val="none"/>
              </w:rPr>
            </w:pPr>
            <w:r>
              <w:rPr>
                <w:rFonts w:hint="eastAsia" w:ascii="宋体" w:hAnsi="宋体" w:cs="宋体"/>
                <w:color w:val="auto"/>
                <w:sz w:val="22"/>
                <w:szCs w:val="22"/>
                <w:highlight w:val="none"/>
              </w:rPr>
              <w:t>配置要求：</w:t>
            </w:r>
          </w:p>
        </w:tc>
      </w:tr>
      <w:tr w14:paraId="1A1F6796">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3B1A236D">
            <w:pPr>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4287" w:type="pct"/>
            <w:vAlign w:val="center"/>
          </w:tcPr>
          <w:p w14:paraId="74CDE6E2">
            <w:pPr>
              <w:rPr>
                <w:rFonts w:ascii="宋体" w:hAnsi="宋体" w:cs="宋体"/>
                <w:color w:val="auto"/>
                <w:sz w:val="22"/>
                <w:szCs w:val="22"/>
                <w:highlight w:val="none"/>
              </w:rPr>
            </w:pPr>
            <w:r>
              <w:rPr>
                <w:rFonts w:hint="eastAsia" w:ascii="宋体" w:hAnsi="宋体" w:cs="宋体"/>
                <w:color w:val="auto"/>
                <w:sz w:val="22"/>
                <w:szCs w:val="22"/>
                <w:highlight w:val="none"/>
              </w:rPr>
              <w:t>麻醉机1台</w:t>
            </w:r>
          </w:p>
        </w:tc>
      </w:tr>
      <w:tr w14:paraId="01E98C5A">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41D5A628">
            <w:pPr>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4287" w:type="pct"/>
            <w:vAlign w:val="center"/>
          </w:tcPr>
          <w:p w14:paraId="3C541D01">
            <w:pPr>
              <w:rPr>
                <w:rFonts w:ascii="宋体" w:hAnsi="宋体" w:cs="宋体"/>
                <w:color w:val="auto"/>
                <w:sz w:val="22"/>
                <w:szCs w:val="22"/>
                <w:highlight w:val="none"/>
              </w:rPr>
            </w:pPr>
            <w:r>
              <w:rPr>
                <w:rFonts w:hint="eastAsia" w:ascii="宋体" w:hAnsi="宋体" w:cs="宋体"/>
                <w:color w:val="auto"/>
                <w:sz w:val="22"/>
                <w:szCs w:val="22"/>
                <w:highlight w:val="none"/>
              </w:rPr>
              <w:t>AG模块1个</w:t>
            </w:r>
          </w:p>
        </w:tc>
      </w:tr>
      <w:tr w14:paraId="634EC922">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3" w:type="pct"/>
            <w:vAlign w:val="center"/>
          </w:tcPr>
          <w:p w14:paraId="77BA1C21">
            <w:pPr>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4287" w:type="pct"/>
            <w:vAlign w:val="center"/>
          </w:tcPr>
          <w:p w14:paraId="39D60A1D">
            <w:pPr>
              <w:rPr>
                <w:rFonts w:ascii="宋体" w:hAnsi="宋体" w:cs="宋体"/>
                <w:color w:val="auto"/>
                <w:sz w:val="22"/>
                <w:szCs w:val="22"/>
                <w:highlight w:val="none"/>
              </w:rPr>
            </w:pPr>
            <w:bookmarkStart w:id="11" w:name="OLE_LINK4"/>
            <w:bookmarkStart w:id="12" w:name="OLE_LINK5"/>
            <w:r>
              <w:rPr>
                <w:rFonts w:hint="eastAsia" w:ascii="宋体" w:hAnsi="宋体" w:cs="宋体"/>
                <w:color w:val="auto"/>
                <w:sz w:val="22"/>
                <w:szCs w:val="22"/>
                <w:highlight w:val="none"/>
              </w:rPr>
              <w:t>BIS模块1个</w:t>
            </w:r>
            <w:bookmarkEnd w:id="11"/>
            <w:bookmarkEnd w:id="12"/>
          </w:p>
        </w:tc>
      </w:tr>
    </w:tbl>
    <w:p w14:paraId="180CFF55">
      <w:pPr>
        <w:pStyle w:val="17"/>
        <w:ind w:firstLine="0"/>
        <w:rPr>
          <w:color w:val="auto"/>
          <w:sz w:val="22"/>
          <w:szCs w:val="22"/>
          <w:highlight w:val="none"/>
        </w:rPr>
      </w:pPr>
      <w:r>
        <w:rPr>
          <w:rFonts w:hint="eastAsia"/>
          <w:color w:val="auto"/>
          <w:sz w:val="22"/>
          <w:szCs w:val="22"/>
          <w:highlight w:val="none"/>
        </w:rPr>
        <w:t>3.麻醉监护仪</w:t>
      </w:r>
    </w:p>
    <w:tbl>
      <w:tblPr>
        <w:tblStyle w:val="32"/>
        <w:tblW w:w="4999"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8340"/>
      </w:tblGrid>
      <w:tr w14:paraId="425E3F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45AC0F9C">
            <w:pPr>
              <w:spacing w:line="360" w:lineRule="auto"/>
              <w:jc w:val="center"/>
              <w:rPr>
                <w:rFonts w:asciiTheme="majorEastAsia" w:hAnsiTheme="majorEastAsia" w:eastAsiaTheme="majorEastAsia" w:cstheme="majorEastAsia"/>
                <w:b/>
                <w:bCs/>
                <w:color w:val="auto"/>
                <w:sz w:val="22"/>
                <w:szCs w:val="22"/>
                <w:highlight w:val="none"/>
              </w:rPr>
            </w:pPr>
            <w:r>
              <w:rPr>
                <w:rFonts w:hint="eastAsia" w:asciiTheme="majorEastAsia" w:hAnsiTheme="majorEastAsia" w:eastAsiaTheme="majorEastAsia" w:cstheme="majorEastAsia"/>
                <w:b/>
                <w:bCs/>
                <w:color w:val="auto"/>
                <w:sz w:val="22"/>
                <w:szCs w:val="22"/>
                <w:highlight w:val="none"/>
              </w:rPr>
              <w:t>序号</w:t>
            </w:r>
          </w:p>
        </w:tc>
        <w:tc>
          <w:tcPr>
            <w:tcW w:w="4332" w:type="pct"/>
            <w:vAlign w:val="center"/>
          </w:tcPr>
          <w:p w14:paraId="74DFA232">
            <w:pPr>
              <w:spacing w:line="360" w:lineRule="auto"/>
              <w:ind w:firstLine="3568" w:firstLineChars="1600"/>
              <w:jc w:val="left"/>
              <w:rPr>
                <w:rFonts w:asciiTheme="majorEastAsia" w:hAnsiTheme="majorEastAsia" w:eastAsiaTheme="majorEastAsia" w:cstheme="majorEastAsia"/>
                <w:b/>
                <w:bCs/>
                <w:color w:val="auto"/>
                <w:sz w:val="22"/>
                <w:szCs w:val="22"/>
                <w:highlight w:val="none"/>
              </w:rPr>
            </w:pPr>
            <w:r>
              <w:rPr>
                <w:rFonts w:hint="eastAsia" w:asciiTheme="majorEastAsia" w:hAnsiTheme="majorEastAsia" w:eastAsiaTheme="majorEastAsia" w:cstheme="majorEastAsia"/>
                <w:b/>
                <w:bCs/>
                <w:color w:val="auto"/>
                <w:sz w:val="22"/>
                <w:szCs w:val="22"/>
                <w:highlight w:val="none"/>
              </w:rPr>
              <w:t>参数</w:t>
            </w:r>
          </w:p>
        </w:tc>
      </w:tr>
      <w:tr w14:paraId="49080C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34C20A51">
            <w:pPr>
              <w:spacing w:line="360" w:lineRule="auto"/>
              <w:jc w:val="center"/>
              <w:rPr>
                <w:rFonts w:asciiTheme="majorEastAsia" w:hAnsiTheme="majorEastAsia" w:eastAsiaTheme="majorEastAsia" w:cstheme="majorEastAsia"/>
                <w:b/>
                <w:bCs/>
                <w:color w:val="auto"/>
                <w:sz w:val="22"/>
                <w:szCs w:val="22"/>
                <w:highlight w:val="none"/>
              </w:rPr>
            </w:pPr>
            <w:r>
              <w:rPr>
                <w:rFonts w:hint="eastAsia" w:asciiTheme="majorEastAsia" w:hAnsiTheme="majorEastAsia" w:eastAsiaTheme="majorEastAsia" w:cstheme="majorEastAsia"/>
                <w:b/>
                <w:bCs/>
                <w:color w:val="auto"/>
                <w:sz w:val="22"/>
                <w:szCs w:val="22"/>
                <w:highlight w:val="none"/>
              </w:rPr>
              <w:t>2.1</w:t>
            </w:r>
          </w:p>
        </w:tc>
        <w:tc>
          <w:tcPr>
            <w:tcW w:w="4332" w:type="pct"/>
            <w:vAlign w:val="center"/>
          </w:tcPr>
          <w:p w14:paraId="1312886A">
            <w:pPr>
              <w:spacing w:line="360" w:lineRule="auto"/>
              <w:jc w:val="left"/>
              <w:rPr>
                <w:rFonts w:asciiTheme="majorEastAsia" w:hAnsiTheme="majorEastAsia" w:eastAsiaTheme="majorEastAsia" w:cstheme="majorEastAsia"/>
                <w:b/>
                <w:bCs/>
                <w:color w:val="auto"/>
                <w:sz w:val="22"/>
                <w:szCs w:val="22"/>
                <w:highlight w:val="none"/>
              </w:rPr>
            </w:pPr>
            <w:r>
              <w:rPr>
                <w:rFonts w:hint="eastAsia" w:asciiTheme="majorEastAsia" w:hAnsiTheme="majorEastAsia" w:eastAsiaTheme="majorEastAsia" w:cstheme="majorEastAsia"/>
                <w:b/>
                <w:bCs/>
                <w:color w:val="auto"/>
                <w:sz w:val="22"/>
                <w:szCs w:val="22"/>
                <w:highlight w:val="none"/>
              </w:rPr>
              <w:t>监护仪结构</w:t>
            </w:r>
          </w:p>
        </w:tc>
      </w:tr>
      <w:tr w14:paraId="357C19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54E0A49C">
            <w:pPr>
              <w:spacing w:line="360" w:lineRule="auto"/>
              <w:jc w:val="center"/>
              <w:rPr>
                <w:rFonts w:asciiTheme="majorEastAsia" w:hAnsiTheme="majorEastAsia" w:eastAsiaTheme="majorEastAsia" w:cstheme="majorEastAsia"/>
                <w:color w:val="auto"/>
                <w:sz w:val="22"/>
                <w:szCs w:val="22"/>
                <w:highlight w:val="none"/>
              </w:rPr>
            </w:pPr>
            <w:r>
              <w:rPr>
                <w:rFonts w:hint="eastAsia" w:ascii="宋体" w:hAnsi="宋体" w:cs="宋体"/>
                <w:color w:val="auto"/>
                <w:sz w:val="22"/>
                <w:szCs w:val="22"/>
                <w:highlight w:val="none"/>
                <w:u w:color="000000"/>
                <w:lang w:val="zh-TW" w:eastAsia="zh-TW"/>
              </w:rPr>
              <w:t>△</w:t>
            </w:r>
            <w:r>
              <w:rPr>
                <w:rFonts w:hint="eastAsia" w:asciiTheme="majorEastAsia" w:hAnsiTheme="majorEastAsia" w:eastAsiaTheme="majorEastAsia" w:cstheme="majorEastAsia"/>
                <w:color w:val="auto"/>
                <w:sz w:val="22"/>
                <w:szCs w:val="22"/>
                <w:highlight w:val="none"/>
              </w:rPr>
              <w:t>2.1.1</w:t>
            </w:r>
          </w:p>
        </w:tc>
        <w:tc>
          <w:tcPr>
            <w:tcW w:w="4332" w:type="pct"/>
            <w:vAlign w:val="center"/>
          </w:tcPr>
          <w:p w14:paraId="4917EA16">
            <w:pPr>
              <w:rPr>
                <w:rFonts w:ascii="宋体" w:hAnsi="宋体" w:cs="宋体"/>
                <w:color w:val="auto"/>
                <w:sz w:val="22"/>
                <w:szCs w:val="22"/>
                <w:highlight w:val="none"/>
              </w:rPr>
            </w:pPr>
            <w:r>
              <w:rPr>
                <w:rFonts w:hint="eastAsia" w:ascii="宋体" w:hAnsi="宋体" w:cs="宋体"/>
                <w:color w:val="auto"/>
                <w:sz w:val="22"/>
                <w:szCs w:val="22"/>
                <w:highlight w:val="none"/>
              </w:rPr>
              <w:t>模块化插件式床边监护仪，主机、显示屏和插件槽一体化设计，主机模块插槽数≥6个，（提供医疗器械注册时具有CMA认证的第三方机构检测报告或者产品说明书或者技术规格或者产品照片）</w:t>
            </w:r>
          </w:p>
        </w:tc>
      </w:tr>
      <w:tr w14:paraId="41F034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74F1A07E">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2.1.2</w:t>
            </w:r>
          </w:p>
        </w:tc>
        <w:tc>
          <w:tcPr>
            <w:tcW w:w="4332" w:type="pct"/>
            <w:vAlign w:val="center"/>
          </w:tcPr>
          <w:p w14:paraId="74A6E6C6">
            <w:pPr>
              <w:rPr>
                <w:rFonts w:ascii="宋体" w:hAnsi="宋体" w:cs="宋体"/>
                <w:color w:val="auto"/>
                <w:sz w:val="22"/>
                <w:szCs w:val="22"/>
                <w:highlight w:val="none"/>
              </w:rPr>
            </w:pPr>
            <w:r>
              <w:rPr>
                <w:rFonts w:hint="eastAsia" w:ascii="宋体" w:hAnsi="宋体" w:cs="宋体"/>
                <w:color w:val="auto"/>
                <w:sz w:val="22"/>
                <w:szCs w:val="22"/>
                <w:highlight w:val="none"/>
              </w:rPr>
              <w:t>监护仪主机（非辅助插件箱）每个槽位均具备插件模块红外通讯接口以及金属硬件通讯接口（非供电接口），保证模块通讯速率及稳定性</w:t>
            </w:r>
          </w:p>
        </w:tc>
      </w:tr>
      <w:tr w14:paraId="42ED88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371885EE">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2.1.3</w:t>
            </w:r>
          </w:p>
        </w:tc>
        <w:tc>
          <w:tcPr>
            <w:tcW w:w="4332" w:type="pct"/>
            <w:vAlign w:val="center"/>
          </w:tcPr>
          <w:p w14:paraId="42D6BBC0">
            <w:pPr>
              <w:rPr>
                <w:rFonts w:ascii="宋体" w:hAnsi="宋体" w:cs="宋体"/>
                <w:color w:val="auto"/>
                <w:sz w:val="22"/>
                <w:szCs w:val="22"/>
                <w:highlight w:val="none"/>
              </w:rPr>
            </w:pPr>
            <w:r>
              <w:rPr>
                <w:rFonts w:hint="eastAsia" w:ascii="宋体" w:hAnsi="宋体" w:cs="宋体"/>
                <w:color w:val="auto"/>
                <w:sz w:val="22"/>
                <w:szCs w:val="22"/>
                <w:highlight w:val="none"/>
              </w:rPr>
              <w:t>≥15英寸彩色电容触摸屏，高分辨率≥1280×800像素，≥10通道显示，显示屏亮度自动调节，屏幕支持手势滑动操作，支持穿戴医用防护手套操作</w:t>
            </w:r>
          </w:p>
        </w:tc>
      </w:tr>
      <w:tr w14:paraId="556B8C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2DA3D29E">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2.1.4</w:t>
            </w:r>
          </w:p>
        </w:tc>
        <w:tc>
          <w:tcPr>
            <w:tcW w:w="4332" w:type="pct"/>
            <w:vAlign w:val="center"/>
          </w:tcPr>
          <w:p w14:paraId="00D3B8F7">
            <w:pPr>
              <w:rPr>
                <w:rFonts w:ascii="宋体" w:hAnsi="宋体" w:cs="宋体"/>
                <w:color w:val="auto"/>
                <w:sz w:val="22"/>
                <w:szCs w:val="22"/>
                <w:highlight w:val="none"/>
              </w:rPr>
            </w:pPr>
            <w:r>
              <w:rPr>
                <w:rFonts w:hint="eastAsia" w:ascii="宋体" w:hAnsi="宋体" w:cs="宋体"/>
                <w:color w:val="auto"/>
                <w:sz w:val="22"/>
                <w:szCs w:val="22"/>
                <w:highlight w:val="none"/>
              </w:rPr>
              <w:t>可选配内置高能锂电池，供电时间≥4小时</w:t>
            </w:r>
          </w:p>
        </w:tc>
      </w:tr>
      <w:tr w14:paraId="22B8E5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1A02DA33">
            <w:pPr>
              <w:spacing w:line="360" w:lineRule="auto"/>
              <w:jc w:val="center"/>
              <w:rPr>
                <w:rFonts w:asciiTheme="majorEastAsia" w:hAnsiTheme="majorEastAsia" w:eastAsiaTheme="majorEastAsia" w:cstheme="majorEastAsia"/>
                <w:color w:val="auto"/>
                <w:sz w:val="22"/>
                <w:szCs w:val="22"/>
                <w:highlight w:val="none"/>
              </w:rPr>
            </w:pPr>
            <w:r>
              <w:rPr>
                <w:rFonts w:hint="eastAsia" w:ascii="宋体" w:hAnsi="宋体" w:cs="宋体"/>
                <w:color w:val="auto"/>
                <w:sz w:val="22"/>
                <w:szCs w:val="22"/>
                <w:highlight w:val="none"/>
                <w:u w:color="000000"/>
                <w:lang w:val="zh-TW" w:eastAsia="zh-TW"/>
              </w:rPr>
              <w:t>△</w:t>
            </w:r>
            <w:r>
              <w:rPr>
                <w:rFonts w:hint="eastAsia" w:asciiTheme="majorEastAsia" w:hAnsiTheme="majorEastAsia" w:eastAsiaTheme="majorEastAsia" w:cstheme="majorEastAsia"/>
                <w:color w:val="auto"/>
                <w:sz w:val="22"/>
                <w:szCs w:val="22"/>
                <w:highlight w:val="none"/>
              </w:rPr>
              <w:t>2.1.5</w:t>
            </w:r>
          </w:p>
        </w:tc>
        <w:tc>
          <w:tcPr>
            <w:tcW w:w="4332" w:type="pct"/>
            <w:vAlign w:val="center"/>
          </w:tcPr>
          <w:p w14:paraId="7A79838E">
            <w:pPr>
              <w:rPr>
                <w:rFonts w:ascii="宋体" w:hAnsi="宋体" w:cs="宋体"/>
                <w:color w:val="auto"/>
                <w:sz w:val="22"/>
                <w:szCs w:val="22"/>
                <w:highlight w:val="none"/>
              </w:rPr>
            </w:pPr>
            <w:r>
              <w:rPr>
                <w:rFonts w:hint="eastAsia" w:ascii="宋体" w:hAnsi="宋体" w:cs="宋体"/>
                <w:color w:val="auto"/>
                <w:sz w:val="22"/>
                <w:szCs w:val="22"/>
                <w:highlight w:val="none"/>
              </w:rPr>
              <w:t>配置≥4个USB接口，支持连接鼠标、键盘、条码扫描枪和遥控器等USB设备，（提供医疗器械注册时具有CMA认证的第三方机构检测报告或者产品说明书或者技术规格或者产品照片）</w:t>
            </w:r>
          </w:p>
        </w:tc>
      </w:tr>
      <w:tr w14:paraId="22AC06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2A3C1210">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2.1.6</w:t>
            </w:r>
          </w:p>
        </w:tc>
        <w:tc>
          <w:tcPr>
            <w:tcW w:w="4332" w:type="pct"/>
            <w:vAlign w:val="center"/>
          </w:tcPr>
          <w:p w14:paraId="5D8DC42E">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监护仪主机工作温度环境范围：0～40°C，提供说明书证明材料</w:t>
            </w:r>
          </w:p>
        </w:tc>
      </w:tr>
      <w:tr w14:paraId="59BAB7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3C8CF9FA">
            <w:pPr>
              <w:spacing w:line="360" w:lineRule="auto"/>
              <w:jc w:val="center"/>
              <w:rPr>
                <w:rFonts w:asciiTheme="majorEastAsia" w:hAnsiTheme="majorEastAsia" w:eastAsiaTheme="majorEastAsia" w:cstheme="majorEastAsia"/>
                <w:color w:val="auto"/>
                <w:sz w:val="22"/>
                <w:szCs w:val="22"/>
                <w:highlight w:val="none"/>
              </w:rPr>
            </w:pPr>
            <w:r>
              <w:rPr>
                <w:rFonts w:hint="eastAsia" w:ascii="宋体" w:hAnsi="宋体" w:cs="宋体"/>
                <w:color w:val="auto"/>
                <w:sz w:val="22"/>
                <w:szCs w:val="22"/>
                <w:highlight w:val="none"/>
                <w:u w:color="000000"/>
                <w:lang w:val="zh-TW" w:eastAsia="zh-TW"/>
              </w:rPr>
              <w:t>△</w:t>
            </w:r>
            <w:r>
              <w:rPr>
                <w:rFonts w:hint="eastAsia" w:asciiTheme="majorEastAsia" w:hAnsiTheme="majorEastAsia" w:eastAsiaTheme="majorEastAsia" w:cstheme="majorEastAsia"/>
                <w:color w:val="auto"/>
                <w:sz w:val="22"/>
                <w:szCs w:val="22"/>
                <w:highlight w:val="none"/>
              </w:rPr>
              <w:t>2.1.7</w:t>
            </w:r>
          </w:p>
        </w:tc>
        <w:tc>
          <w:tcPr>
            <w:tcW w:w="4332" w:type="pct"/>
            <w:vAlign w:val="center"/>
          </w:tcPr>
          <w:p w14:paraId="075EC510">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监护仪清洁消毒维护支持的消毒剂≥40种，在厂家手册中清晰列举消毒剂的种类</w:t>
            </w:r>
          </w:p>
        </w:tc>
      </w:tr>
      <w:tr w14:paraId="72D3F1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6B0F3470">
            <w:pPr>
              <w:spacing w:line="360" w:lineRule="auto"/>
              <w:jc w:val="center"/>
              <w:rPr>
                <w:rFonts w:asciiTheme="majorEastAsia" w:hAnsiTheme="majorEastAsia" w:eastAsiaTheme="majorEastAsia" w:cstheme="majorEastAsia"/>
                <w:b/>
                <w:bCs/>
                <w:color w:val="auto"/>
                <w:sz w:val="22"/>
                <w:szCs w:val="22"/>
                <w:highlight w:val="none"/>
              </w:rPr>
            </w:pPr>
            <w:r>
              <w:rPr>
                <w:rFonts w:hint="eastAsia" w:asciiTheme="majorEastAsia" w:hAnsiTheme="majorEastAsia" w:eastAsiaTheme="majorEastAsia" w:cstheme="majorEastAsia"/>
                <w:b/>
                <w:bCs/>
                <w:color w:val="auto"/>
                <w:sz w:val="22"/>
                <w:szCs w:val="22"/>
                <w:highlight w:val="none"/>
              </w:rPr>
              <w:t>2.2</w:t>
            </w:r>
          </w:p>
        </w:tc>
        <w:tc>
          <w:tcPr>
            <w:tcW w:w="4332" w:type="pct"/>
            <w:vAlign w:val="center"/>
          </w:tcPr>
          <w:p w14:paraId="415B9E47">
            <w:pPr>
              <w:spacing w:line="360" w:lineRule="auto"/>
              <w:jc w:val="left"/>
              <w:rPr>
                <w:rFonts w:asciiTheme="majorEastAsia" w:hAnsiTheme="majorEastAsia" w:eastAsiaTheme="majorEastAsia" w:cstheme="majorEastAsia"/>
                <w:b/>
                <w:bCs/>
                <w:color w:val="auto"/>
                <w:sz w:val="22"/>
                <w:szCs w:val="22"/>
                <w:highlight w:val="none"/>
              </w:rPr>
            </w:pPr>
            <w:r>
              <w:rPr>
                <w:rFonts w:hint="eastAsia" w:asciiTheme="majorEastAsia" w:hAnsiTheme="majorEastAsia" w:eastAsiaTheme="majorEastAsia" w:cstheme="majorEastAsia"/>
                <w:b/>
                <w:bCs/>
                <w:color w:val="auto"/>
                <w:sz w:val="22"/>
                <w:szCs w:val="22"/>
                <w:highlight w:val="none"/>
              </w:rPr>
              <w:t>监测参数</w:t>
            </w:r>
          </w:p>
        </w:tc>
      </w:tr>
      <w:tr w14:paraId="40BDE3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47ECF736">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2.2.1</w:t>
            </w:r>
          </w:p>
        </w:tc>
        <w:tc>
          <w:tcPr>
            <w:tcW w:w="4332" w:type="pct"/>
            <w:vAlign w:val="center"/>
          </w:tcPr>
          <w:p w14:paraId="68D4A4A9">
            <w:pPr>
              <w:rPr>
                <w:rFonts w:ascii="宋体" w:hAnsi="宋体" w:cs="宋体"/>
                <w:color w:val="auto"/>
                <w:sz w:val="22"/>
                <w:szCs w:val="22"/>
                <w:highlight w:val="none"/>
              </w:rPr>
            </w:pPr>
            <w:r>
              <w:rPr>
                <w:rFonts w:hint="eastAsia" w:ascii="宋体" w:hAnsi="宋体" w:cs="宋体"/>
                <w:color w:val="auto"/>
                <w:sz w:val="22"/>
                <w:szCs w:val="22"/>
                <w:highlight w:val="none"/>
              </w:rPr>
              <w:t>基本功能模块支持心电，呼吸，心率，无创血压，血氧饱和度，脉搏，双通道体温和双通道有创血压的同时监测</w:t>
            </w:r>
          </w:p>
        </w:tc>
      </w:tr>
      <w:tr w14:paraId="5720AE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4FD2511C">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2.2.2</w:t>
            </w:r>
          </w:p>
        </w:tc>
        <w:tc>
          <w:tcPr>
            <w:tcW w:w="4332" w:type="pct"/>
            <w:vAlign w:val="center"/>
          </w:tcPr>
          <w:p w14:paraId="527E6CCC">
            <w:pPr>
              <w:rPr>
                <w:rFonts w:ascii="宋体" w:hAnsi="宋体" w:cs="宋体"/>
                <w:color w:val="auto"/>
                <w:sz w:val="22"/>
                <w:szCs w:val="22"/>
                <w:highlight w:val="none"/>
              </w:rPr>
            </w:pPr>
            <w:r>
              <w:rPr>
                <w:rFonts w:hint="eastAsia" w:ascii="宋体" w:hAnsi="宋体" w:cs="宋体"/>
                <w:color w:val="auto"/>
                <w:sz w:val="22"/>
                <w:szCs w:val="22"/>
                <w:highlight w:val="none"/>
              </w:rPr>
              <w:t>基本功能模块支持升级从监护仪拔出后作为一个独立的监护仪支持病人的无缝转移，插入监护仪模块插槽作为主机模块，具有独立操作显示屏，屏幕尺寸≥5.5英寸，内置锂电池供电≥4小时，无风扇设计</w:t>
            </w:r>
          </w:p>
        </w:tc>
      </w:tr>
      <w:tr w14:paraId="0DBC2E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1BE05B0E">
            <w:pPr>
              <w:spacing w:line="360" w:lineRule="auto"/>
              <w:jc w:val="center"/>
              <w:rPr>
                <w:rFonts w:asciiTheme="majorEastAsia" w:hAnsiTheme="majorEastAsia" w:eastAsiaTheme="majorEastAsia" w:cstheme="majorEastAsia"/>
                <w:b/>
                <w:bCs/>
                <w:color w:val="auto"/>
                <w:sz w:val="22"/>
                <w:szCs w:val="22"/>
                <w:highlight w:val="none"/>
              </w:rPr>
            </w:pPr>
            <w:r>
              <w:rPr>
                <w:rFonts w:hint="eastAsia" w:ascii="宋体" w:hAnsi="宋体" w:cs="宋体"/>
                <w:color w:val="auto"/>
                <w:sz w:val="22"/>
                <w:szCs w:val="22"/>
                <w:highlight w:val="none"/>
                <w:u w:color="000000"/>
                <w:lang w:val="zh-TW" w:eastAsia="zh-TW"/>
              </w:rPr>
              <w:t>△</w:t>
            </w:r>
            <w:r>
              <w:rPr>
                <w:rFonts w:hint="eastAsia" w:asciiTheme="majorEastAsia" w:hAnsiTheme="majorEastAsia" w:eastAsiaTheme="majorEastAsia" w:cstheme="majorEastAsia"/>
                <w:b/>
                <w:bCs/>
                <w:color w:val="auto"/>
                <w:sz w:val="22"/>
                <w:szCs w:val="22"/>
                <w:highlight w:val="none"/>
              </w:rPr>
              <w:t>2.2.3</w:t>
            </w:r>
          </w:p>
        </w:tc>
        <w:tc>
          <w:tcPr>
            <w:tcW w:w="4332" w:type="pct"/>
            <w:vAlign w:val="center"/>
          </w:tcPr>
          <w:p w14:paraId="0911DF9D">
            <w:pPr>
              <w:rPr>
                <w:rFonts w:ascii="宋体" w:hAnsi="宋体" w:cs="宋体"/>
                <w:color w:val="auto"/>
                <w:sz w:val="22"/>
                <w:szCs w:val="22"/>
                <w:highlight w:val="none"/>
              </w:rPr>
            </w:pPr>
            <w:r>
              <w:rPr>
                <w:rFonts w:hint="eastAsia" w:ascii="宋体" w:hAnsi="宋体" w:cs="宋体"/>
                <w:color w:val="auto"/>
                <w:sz w:val="22"/>
                <w:szCs w:val="22"/>
                <w:highlight w:val="none"/>
              </w:rPr>
              <w:t>可升级的转运监护仪可以实现插入监护仪主机的任意插槽，并提供说明书、监护仪图片证明</w:t>
            </w:r>
          </w:p>
        </w:tc>
      </w:tr>
      <w:tr w14:paraId="572CED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073D9709">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2.2.4</w:t>
            </w:r>
          </w:p>
        </w:tc>
        <w:tc>
          <w:tcPr>
            <w:tcW w:w="4332" w:type="pct"/>
            <w:vAlign w:val="center"/>
          </w:tcPr>
          <w:p w14:paraId="60D7F05C">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ECG支持3/5导心电监测，可选配6/12导联心电监测</w:t>
            </w:r>
          </w:p>
        </w:tc>
      </w:tr>
      <w:tr w14:paraId="48771A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71941643">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2.2.5</w:t>
            </w:r>
          </w:p>
        </w:tc>
        <w:tc>
          <w:tcPr>
            <w:tcW w:w="4332" w:type="pct"/>
            <w:vAlign w:val="center"/>
          </w:tcPr>
          <w:p w14:paraId="592701A6">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支持室上性心动过速和SVCs/min等室上性心律失常分析，提供产品说明书证明材料</w:t>
            </w:r>
          </w:p>
        </w:tc>
      </w:tr>
      <w:tr w14:paraId="1E011F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1C32B2F1">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2.2.6</w:t>
            </w:r>
          </w:p>
        </w:tc>
        <w:tc>
          <w:tcPr>
            <w:tcW w:w="4332" w:type="pct"/>
            <w:vAlign w:val="center"/>
          </w:tcPr>
          <w:p w14:paraId="6007958D">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心电支持≥3个分析导联实时动态同步分析，并非多个导联波形同屏显示及12导联静息分析</w:t>
            </w:r>
          </w:p>
        </w:tc>
      </w:tr>
      <w:tr w14:paraId="3FB961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2C1FBDAB">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2.2.7</w:t>
            </w:r>
          </w:p>
        </w:tc>
        <w:tc>
          <w:tcPr>
            <w:tcW w:w="4332" w:type="pct"/>
            <w:vAlign w:val="center"/>
          </w:tcPr>
          <w:p w14:paraId="58BC0284">
            <w:pPr>
              <w:rPr>
                <w:rFonts w:ascii="宋体" w:hAnsi="宋体" w:cs="宋体"/>
                <w:color w:val="auto"/>
                <w:sz w:val="22"/>
                <w:szCs w:val="22"/>
                <w:highlight w:val="none"/>
              </w:rPr>
            </w:pPr>
            <w:r>
              <w:rPr>
                <w:rFonts w:hint="eastAsia" w:ascii="宋体" w:hAnsi="宋体" w:cs="宋体"/>
                <w:color w:val="auto"/>
                <w:sz w:val="22"/>
                <w:szCs w:val="22"/>
                <w:highlight w:val="none"/>
              </w:rPr>
              <w:t xml:space="preserve">提供ST段分析功能，适用于成人，小儿和新生儿，支持在专门的窗口中分组显示心脏前壁，下壁和侧壁的ST实时片段和参考片段 </w:t>
            </w:r>
          </w:p>
        </w:tc>
      </w:tr>
      <w:tr w14:paraId="77B18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45CC835D">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2.2.8</w:t>
            </w:r>
          </w:p>
        </w:tc>
        <w:tc>
          <w:tcPr>
            <w:tcW w:w="4332" w:type="pct"/>
            <w:vAlign w:val="center"/>
          </w:tcPr>
          <w:p w14:paraId="51D8729B">
            <w:pPr>
              <w:rPr>
                <w:rFonts w:ascii="宋体" w:hAnsi="宋体" w:cs="宋体"/>
                <w:color w:val="auto"/>
                <w:sz w:val="22"/>
                <w:szCs w:val="22"/>
                <w:highlight w:val="none"/>
              </w:rPr>
            </w:pPr>
            <w:r>
              <w:rPr>
                <w:rFonts w:hint="eastAsia" w:ascii="宋体" w:hAnsi="宋体" w:cs="宋体"/>
                <w:color w:val="auto"/>
                <w:sz w:val="22"/>
                <w:szCs w:val="22"/>
                <w:highlight w:val="none"/>
              </w:rPr>
              <w:t>支持RR呼吸率测量，测量范围：1～200rpm</w:t>
            </w:r>
          </w:p>
        </w:tc>
      </w:tr>
      <w:tr w14:paraId="1BA859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7171D041">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2.2.9</w:t>
            </w:r>
          </w:p>
        </w:tc>
        <w:tc>
          <w:tcPr>
            <w:tcW w:w="4332" w:type="pct"/>
            <w:vAlign w:val="center"/>
          </w:tcPr>
          <w:p w14:paraId="364F4F77">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QT和QTc实时监测参数测量范围：200～800 ms</w:t>
            </w:r>
          </w:p>
        </w:tc>
      </w:tr>
      <w:tr w14:paraId="2F20BF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248AEC70">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2.2.10</w:t>
            </w:r>
          </w:p>
        </w:tc>
        <w:tc>
          <w:tcPr>
            <w:tcW w:w="4332" w:type="pct"/>
            <w:vAlign w:val="center"/>
          </w:tcPr>
          <w:p w14:paraId="009D570A">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无创血压提供手动、自动间隔、连续、序列、整点五种测量模式</w:t>
            </w:r>
          </w:p>
        </w:tc>
      </w:tr>
      <w:tr w14:paraId="191BE7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166512CF">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2.2.11</w:t>
            </w:r>
          </w:p>
        </w:tc>
        <w:tc>
          <w:tcPr>
            <w:tcW w:w="4332" w:type="pct"/>
            <w:vAlign w:val="center"/>
          </w:tcPr>
          <w:p w14:paraId="3E8F4376">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NIBP 成人病人类型收缩压测量：25～290mmHg</w:t>
            </w:r>
          </w:p>
        </w:tc>
      </w:tr>
      <w:tr w14:paraId="37F963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5E7FF798">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2.2.12</w:t>
            </w:r>
          </w:p>
        </w:tc>
        <w:tc>
          <w:tcPr>
            <w:tcW w:w="4332" w:type="pct"/>
            <w:vAlign w:val="center"/>
          </w:tcPr>
          <w:p w14:paraId="6E4A6B0A">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配置指套式血氧探头，支持浸泡清洁与消毒，防水等级IPX7</w:t>
            </w:r>
          </w:p>
        </w:tc>
      </w:tr>
      <w:tr w14:paraId="11A895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7561A1EE">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2.2.13</w:t>
            </w:r>
          </w:p>
        </w:tc>
        <w:tc>
          <w:tcPr>
            <w:tcW w:w="4332" w:type="pct"/>
            <w:vAlign w:val="center"/>
          </w:tcPr>
          <w:p w14:paraId="3D8E2830">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支持双通道有创压IBP监测，支持升级多达6通道有创压监测</w:t>
            </w:r>
          </w:p>
        </w:tc>
      </w:tr>
      <w:tr w14:paraId="02969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0B82D854">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2.2.14</w:t>
            </w:r>
          </w:p>
        </w:tc>
        <w:tc>
          <w:tcPr>
            <w:tcW w:w="4332" w:type="pct"/>
            <w:vAlign w:val="center"/>
          </w:tcPr>
          <w:p w14:paraId="35B1D71F">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有创压适用于成人，小儿和新生儿，有创压测量范围：-50～360mmHg</w:t>
            </w:r>
          </w:p>
        </w:tc>
      </w:tr>
      <w:tr w14:paraId="576E36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66B10878">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2.2.15</w:t>
            </w:r>
          </w:p>
        </w:tc>
        <w:tc>
          <w:tcPr>
            <w:tcW w:w="4332" w:type="pct"/>
            <w:vAlign w:val="center"/>
          </w:tcPr>
          <w:p w14:paraId="309ECEBF">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可选配多达6道IBP波形叠加显示，满足临床对比查看和节约显示空间的需求</w:t>
            </w:r>
          </w:p>
        </w:tc>
      </w:tr>
      <w:tr w14:paraId="6D2B23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3A1F4111">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2.2.16</w:t>
            </w:r>
          </w:p>
        </w:tc>
        <w:tc>
          <w:tcPr>
            <w:tcW w:w="4332" w:type="pct"/>
            <w:vAlign w:val="center"/>
          </w:tcPr>
          <w:p w14:paraId="5C10020A">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可选配主流、旁流、微流EtCO2监测模块，旁流EtCO2监测模块支持升级顺磁氧监测技术进行氧气监测，水槽要求易用快速更换</w:t>
            </w:r>
          </w:p>
        </w:tc>
      </w:tr>
      <w:tr w14:paraId="26F271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2B097E70">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2.2.17</w:t>
            </w:r>
          </w:p>
        </w:tc>
        <w:tc>
          <w:tcPr>
            <w:tcW w:w="4332" w:type="pct"/>
            <w:vAlign w:val="center"/>
          </w:tcPr>
          <w:p w14:paraId="2644580B">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可选配心肺复苏质量指数或EtCO2监测模块，实现评估人工心肺复苏质量</w:t>
            </w:r>
          </w:p>
        </w:tc>
      </w:tr>
      <w:tr w14:paraId="2E62E0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3DEC49ED">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2.2.19</w:t>
            </w:r>
          </w:p>
        </w:tc>
        <w:tc>
          <w:tcPr>
            <w:tcW w:w="4332" w:type="pct"/>
            <w:vAlign w:val="center"/>
          </w:tcPr>
          <w:p w14:paraId="2CDCD1A1">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可选配肌松NMT模块，采用三轴加速度传感器技术，须提供所售监护仪注册证和说明书证明已具备该功能</w:t>
            </w:r>
          </w:p>
        </w:tc>
      </w:tr>
      <w:tr w14:paraId="7AD5C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22545E92">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2.2.20</w:t>
            </w:r>
          </w:p>
        </w:tc>
        <w:tc>
          <w:tcPr>
            <w:tcW w:w="4332" w:type="pct"/>
            <w:vAlign w:val="center"/>
          </w:tcPr>
          <w:p w14:paraId="19BCCB74">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可选配麻醉深度BIS或脑电麻醉深度指数ESI，实现患者麻醉深度的监测</w:t>
            </w:r>
          </w:p>
        </w:tc>
      </w:tr>
      <w:tr w14:paraId="5EF4B1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775BEDCD">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2.2.21</w:t>
            </w:r>
          </w:p>
        </w:tc>
        <w:tc>
          <w:tcPr>
            <w:tcW w:w="4332" w:type="pct"/>
            <w:vAlign w:val="center"/>
          </w:tcPr>
          <w:p w14:paraId="1CBECE15">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可选配脑电图EEG，振幅整合脑电图aEEG监测模块，可提供4通道脑电图以及DSA致密频谱密度查看，须提供所售监护仪注册证和说明书证明已具备该功能</w:t>
            </w:r>
          </w:p>
        </w:tc>
      </w:tr>
      <w:tr w14:paraId="67BE06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6C55EBD3">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▲2.2.22</w:t>
            </w:r>
          </w:p>
        </w:tc>
        <w:tc>
          <w:tcPr>
            <w:tcW w:w="4332" w:type="pct"/>
            <w:vAlign w:val="center"/>
          </w:tcPr>
          <w:p w14:paraId="3744DC23">
            <w:pPr>
              <w:rPr>
                <w:rFonts w:ascii="宋体" w:hAnsi="宋体" w:cs="宋体"/>
                <w:color w:val="auto"/>
                <w:sz w:val="22"/>
                <w:szCs w:val="22"/>
                <w:highlight w:val="none"/>
              </w:rPr>
            </w:pPr>
            <w:r>
              <w:rPr>
                <w:rFonts w:hint="eastAsia" w:ascii="宋体" w:hAnsi="宋体" w:cs="宋体"/>
                <w:color w:val="auto"/>
                <w:sz w:val="22"/>
                <w:szCs w:val="22"/>
                <w:highlight w:val="none"/>
              </w:rPr>
              <w:t>可选配微创连续血流动力学监测模块，非无创电阻抗法，具有更好的监测准确性，可采用PiCCO或类似技术，实现CCO连续心排量、SVV每搏变异量等血液动力学监测参数，直观观察病人的变化情况，须提供所售监护仪注册证和说明书证明已具备该功能。（提供医疗器械注册时具有CMA认证的第三方机构检测报告或者产品说明书或者技术规格或者产品照片）</w:t>
            </w:r>
          </w:p>
        </w:tc>
      </w:tr>
      <w:tr w14:paraId="0F3C67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000C49E6">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2.2.23</w:t>
            </w:r>
          </w:p>
        </w:tc>
        <w:tc>
          <w:tcPr>
            <w:tcW w:w="4332" w:type="pct"/>
            <w:vAlign w:val="center"/>
          </w:tcPr>
          <w:p w14:paraId="727BB785">
            <w:pPr>
              <w:rPr>
                <w:rFonts w:ascii="宋体" w:hAnsi="宋体" w:cs="宋体"/>
                <w:color w:val="auto"/>
                <w:sz w:val="22"/>
                <w:szCs w:val="22"/>
                <w:highlight w:val="none"/>
              </w:rPr>
            </w:pPr>
            <w:r>
              <w:rPr>
                <w:rFonts w:hint="eastAsia" w:ascii="宋体" w:hAnsi="宋体" w:cs="宋体"/>
                <w:color w:val="auto"/>
                <w:sz w:val="22"/>
                <w:szCs w:val="22"/>
                <w:highlight w:val="none"/>
              </w:rPr>
              <w:t>可选配FloTrac监测功能模块或可实现FloTrac技术单机产品，非漂浮导管热稀释法或无创阻抗法，可通过监测桡动脉压力提供连续心排量（CCO），每搏量变异（SVV），实时外周血管阻力（SVR）等监测参数，满足连续血流动力学监测需求</w:t>
            </w:r>
          </w:p>
        </w:tc>
      </w:tr>
      <w:tr w14:paraId="79927A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1B611603">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2.24</w:t>
            </w:r>
          </w:p>
        </w:tc>
        <w:tc>
          <w:tcPr>
            <w:tcW w:w="4332" w:type="pct"/>
            <w:vAlign w:val="center"/>
          </w:tcPr>
          <w:p w14:paraId="7696283C">
            <w:pPr>
              <w:rPr>
                <w:rFonts w:ascii="宋体" w:hAnsi="宋体" w:cs="宋体"/>
                <w:color w:val="auto"/>
                <w:sz w:val="22"/>
                <w:szCs w:val="22"/>
                <w:highlight w:val="none"/>
              </w:rPr>
            </w:pPr>
            <w:r>
              <w:rPr>
                <w:rFonts w:hint="eastAsia" w:ascii="宋体" w:hAnsi="宋体" w:cs="宋体"/>
                <w:color w:val="auto"/>
                <w:sz w:val="22"/>
                <w:szCs w:val="22"/>
                <w:highlight w:val="none"/>
              </w:rPr>
              <w:t>可选配RM模块，进行RM呼吸力学监测，提供≥18项呼吸力学参数参数指标，可监测包括： PIF峰值吸气流量，PEF峰值呼气流量， WOB病人呼吸功，NIF负吸入压力，RSBI浅呼吸指数</w:t>
            </w:r>
          </w:p>
        </w:tc>
      </w:tr>
      <w:tr w14:paraId="7F5102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035F9471">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2.2.25</w:t>
            </w:r>
          </w:p>
        </w:tc>
        <w:tc>
          <w:tcPr>
            <w:tcW w:w="4332" w:type="pct"/>
            <w:vAlign w:val="center"/>
          </w:tcPr>
          <w:p w14:paraId="04CE7451">
            <w:pPr>
              <w:rPr>
                <w:rFonts w:ascii="宋体" w:hAnsi="宋体" w:cs="宋体"/>
                <w:color w:val="auto"/>
                <w:sz w:val="22"/>
                <w:szCs w:val="22"/>
                <w:highlight w:val="none"/>
              </w:rPr>
            </w:pPr>
            <w:r>
              <w:rPr>
                <w:rFonts w:hint="eastAsia" w:ascii="宋体" w:hAnsi="宋体" w:cs="宋体"/>
                <w:color w:val="auto"/>
                <w:sz w:val="22"/>
                <w:szCs w:val="22"/>
                <w:highlight w:val="none"/>
              </w:rPr>
              <w:t>可选配rSO2模块实现脑部与区域血氧饱和度监测，适用于重量大于 2.5kg 的成人、小儿和新生儿，最多支持四通道的 rSO2 测量。</w:t>
            </w:r>
          </w:p>
        </w:tc>
      </w:tr>
      <w:tr w14:paraId="1813FF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61E9D3C0">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2.2.26</w:t>
            </w:r>
          </w:p>
        </w:tc>
        <w:tc>
          <w:tcPr>
            <w:tcW w:w="4332" w:type="pct"/>
            <w:vAlign w:val="center"/>
          </w:tcPr>
          <w:p w14:paraId="626D599E">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可选配ICG模块，进行ICG参数监测，可无创监测患者连续心排量</w:t>
            </w:r>
          </w:p>
        </w:tc>
      </w:tr>
      <w:tr w14:paraId="4CE760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40" w:hRule="atLeast"/>
        </w:trPr>
        <w:tc>
          <w:tcPr>
            <w:tcW w:w="668" w:type="pct"/>
            <w:vAlign w:val="center"/>
          </w:tcPr>
          <w:p w14:paraId="524484A9">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2.2.27</w:t>
            </w:r>
          </w:p>
        </w:tc>
        <w:tc>
          <w:tcPr>
            <w:tcW w:w="4332" w:type="pct"/>
            <w:vAlign w:val="center"/>
          </w:tcPr>
          <w:p w14:paraId="29A2280E">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可选配与红外耳温计的配对使用功能，使用红外耳温计测量病人耳温后，将测量结果上传至本监护仪，提供说明书证明文件。</w:t>
            </w:r>
          </w:p>
        </w:tc>
      </w:tr>
      <w:tr w14:paraId="19BD23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63759508">
            <w:pPr>
              <w:spacing w:line="360" w:lineRule="auto"/>
              <w:jc w:val="center"/>
              <w:rPr>
                <w:rFonts w:asciiTheme="majorEastAsia" w:hAnsiTheme="majorEastAsia" w:eastAsiaTheme="majorEastAsia" w:cstheme="majorEastAsia"/>
                <w:color w:val="auto"/>
                <w:sz w:val="22"/>
                <w:szCs w:val="22"/>
                <w:highlight w:val="none"/>
              </w:rPr>
            </w:pPr>
            <w:r>
              <w:rPr>
                <w:rFonts w:hint="eastAsia" w:ascii="宋体" w:hAnsi="宋体" w:cs="宋体"/>
                <w:color w:val="auto"/>
                <w:sz w:val="22"/>
                <w:szCs w:val="22"/>
                <w:highlight w:val="none"/>
                <w:u w:color="000000"/>
                <w:lang w:val="zh-TW" w:eastAsia="zh-TW"/>
              </w:rPr>
              <w:t>△</w:t>
            </w:r>
            <w:r>
              <w:rPr>
                <w:rFonts w:hint="eastAsia" w:asciiTheme="majorEastAsia" w:hAnsiTheme="majorEastAsia" w:eastAsiaTheme="majorEastAsia" w:cstheme="majorEastAsia"/>
                <w:color w:val="auto"/>
                <w:sz w:val="22"/>
                <w:szCs w:val="22"/>
                <w:highlight w:val="none"/>
              </w:rPr>
              <w:t>2.2.28</w:t>
            </w:r>
          </w:p>
        </w:tc>
        <w:tc>
          <w:tcPr>
            <w:tcW w:w="4332" w:type="pct"/>
            <w:vAlign w:val="center"/>
          </w:tcPr>
          <w:p w14:paraId="30E3443A">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可选配功能模块，可与主流品牌的呼吸机、输注泵产品相连，实现呼吸机、输注泵设备的信息在监护仪上显示、存储、记录、打印或者用于参与计算。</w:t>
            </w:r>
          </w:p>
        </w:tc>
      </w:tr>
      <w:tr w14:paraId="3510E3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07FE920B">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2.3</w:t>
            </w:r>
          </w:p>
        </w:tc>
        <w:tc>
          <w:tcPr>
            <w:tcW w:w="4332" w:type="pct"/>
            <w:vAlign w:val="center"/>
          </w:tcPr>
          <w:p w14:paraId="4C355529">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系统功能</w:t>
            </w:r>
          </w:p>
        </w:tc>
      </w:tr>
      <w:tr w14:paraId="648F84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63EDFAC2">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2.3.1</w:t>
            </w:r>
          </w:p>
        </w:tc>
        <w:tc>
          <w:tcPr>
            <w:tcW w:w="4332" w:type="pct"/>
            <w:vAlign w:val="center"/>
          </w:tcPr>
          <w:p w14:paraId="3BB9DE3C">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具有图形化报警指示功能，帮助医护团队快速识别报警来源</w:t>
            </w:r>
          </w:p>
        </w:tc>
      </w:tr>
      <w:tr w14:paraId="30D1A9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70C7FCE4">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2.3.2</w:t>
            </w:r>
          </w:p>
        </w:tc>
        <w:tc>
          <w:tcPr>
            <w:tcW w:w="4332" w:type="pct"/>
            <w:vAlign w:val="center"/>
          </w:tcPr>
          <w:p w14:paraId="433DB190">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可选配报警升级功能，当参数报警经过一定的时间未被处理或伴发了其他报警，就会升级到更高一个级别</w:t>
            </w:r>
          </w:p>
        </w:tc>
      </w:tr>
      <w:tr w14:paraId="22162A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7653B7E0">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2.3.3</w:t>
            </w:r>
          </w:p>
        </w:tc>
        <w:tc>
          <w:tcPr>
            <w:tcW w:w="4332" w:type="pct"/>
            <w:vAlign w:val="center"/>
          </w:tcPr>
          <w:p w14:paraId="04C203BD">
            <w:pPr>
              <w:rPr>
                <w:rFonts w:ascii="宋体" w:hAnsi="宋体" w:cs="宋体"/>
                <w:color w:val="auto"/>
                <w:sz w:val="22"/>
                <w:szCs w:val="22"/>
                <w:highlight w:val="none"/>
              </w:rPr>
            </w:pPr>
            <w:r>
              <w:rPr>
                <w:rFonts w:hint="eastAsia" w:ascii="宋体" w:hAnsi="宋体" w:cs="宋体"/>
                <w:color w:val="auto"/>
                <w:sz w:val="22"/>
                <w:szCs w:val="22"/>
                <w:highlight w:val="none"/>
              </w:rPr>
              <w:t>具有特殊报警音，当监护仪在病人发生致命性参数报警时，发出特殊的报警音进行提示病人处于危急状态</w:t>
            </w:r>
          </w:p>
        </w:tc>
      </w:tr>
      <w:tr w14:paraId="47792A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4773C1D9">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2.3.4</w:t>
            </w:r>
          </w:p>
        </w:tc>
        <w:tc>
          <w:tcPr>
            <w:tcW w:w="4332" w:type="pct"/>
            <w:vAlign w:val="center"/>
          </w:tcPr>
          <w:p w14:paraId="3EE08C75">
            <w:pPr>
              <w:rPr>
                <w:rFonts w:ascii="宋体" w:hAnsi="宋体" w:cs="宋体"/>
                <w:color w:val="auto"/>
                <w:sz w:val="22"/>
                <w:szCs w:val="22"/>
                <w:highlight w:val="none"/>
              </w:rPr>
            </w:pPr>
            <w:r>
              <w:rPr>
                <w:rFonts w:hint="eastAsia" w:ascii="宋体" w:hAnsi="宋体" w:cs="宋体"/>
                <w:color w:val="auto"/>
                <w:sz w:val="22"/>
                <w:szCs w:val="22"/>
                <w:highlight w:val="none"/>
              </w:rPr>
              <w:t>支持根据病人的参数趋势变化，自动推送推荐报警限</w:t>
            </w:r>
          </w:p>
        </w:tc>
      </w:tr>
      <w:tr w14:paraId="7F97EC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0E544A6F">
            <w:pPr>
              <w:spacing w:line="360" w:lineRule="auto"/>
              <w:jc w:val="center"/>
              <w:rPr>
                <w:rFonts w:asciiTheme="majorEastAsia" w:hAnsiTheme="majorEastAsia" w:eastAsiaTheme="majorEastAsia" w:cstheme="majorEastAsia"/>
                <w:color w:val="auto"/>
                <w:sz w:val="22"/>
                <w:szCs w:val="22"/>
                <w:highlight w:val="none"/>
              </w:rPr>
            </w:pPr>
            <w:r>
              <w:rPr>
                <w:rFonts w:hint="eastAsia" w:ascii="宋体" w:hAnsi="宋体" w:cs="宋体"/>
                <w:color w:val="auto"/>
                <w:sz w:val="22"/>
                <w:szCs w:val="22"/>
                <w:highlight w:val="none"/>
                <w:u w:color="000000"/>
                <w:lang w:val="zh-TW" w:eastAsia="zh-TW"/>
              </w:rPr>
              <w:t>△</w:t>
            </w:r>
            <w:r>
              <w:rPr>
                <w:rFonts w:hint="eastAsia" w:asciiTheme="majorEastAsia" w:hAnsiTheme="majorEastAsia" w:eastAsiaTheme="majorEastAsia" w:cstheme="majorEastAsia"/>
                <w:color w:val="auto"/>
                <w:sz w:val="22"/>
                <w:szCs w:val="22"/>
                <w:highlight w:val="none"/>
              </w:rPr>
              <w:t>2.3.5</w:t>
            </w:r>
          </w:p>
        </w:tc>
        <w:tc>
          <w:tcPr>
            <w:tcW w:w="4332" w:type="pct"/>
            <w:vAlign w:val="center"/>
          </w:tcPr>
          <w:p w14:paraId="52B83361">
            <w:pPr>
              <w:rPr>
                <w:rFonts w:ascii="宋体" w:hAnsi="宋体" w:cs="宋体"/>
                <w:color w:val="auto"/>
                <w:sz w:val="22"/>
                <w:szCs w:val="22"/>
                <w:highlight w:val="none"/>
              </w:rPr>
            </w:pPr>
            <w:r>
              <w:rPr>
                <w:rFonts w:hint="eastAsia" w:ascii="宋体" w:hAnsi="宋体" w:cs="宋体"/>
                <w:color w:val="auto"/>
                <w:sz w:val="22"/>
                <w:szCs w:val="22"/>
                <w:highlight w:val="none"/>
              </w:rPr>
              <w:t>具备参数组合报警功能（并非早期预警评分EWS），可对患者同时多个参数变化给出统一报警提示，预示病人不同生理系统状态改变，提供≥10个预设组合报警，并允许自定义≥10个组合报警</w:t>
            </w:r>
          </w:p>
        </w:tc>
      </w:tr>
      <w:tr w14:paraId="584175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02634E49">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2.3.6</w:t>
            </w:r>
          </w:p>
        </w:tc>
        <w:tc>
          <w:tcPr>
            <w:tcW w:w="4332" w:type="pct"/>
            <w:vAlign w:val="center"/>
          </w:tcPr>
          <w:p w14:paraId="36BEFECB">
            <w:pPr>
              <w:rPr>
                <w:rFonts w:ascii="宋体" w:hAnsi="宋体" w:cs="宋体"/>
                <w:color w:val="auto"/>
                <w:sz w:val="22"/>
                <w:szCs w:val="22"/>
                <w:highlight w:val="none"/>
              </w:rPr>
            </w:pPr>
            <w:r>
              <w:rPr>
                <w:rFonts w:hint="eastAsia" w:ascii="宋体" w:hAnsi="宋体" w:cs="宋体"/>
                <w:color w:val="auto"/>
                <w:sz w:val="22"/>
                <w:szCs w:val="22"/>
                <w:highlight w:val="none"/>
              </w:rPr>
              <w:t>标配具备血流动力学，药物计算，氧合计算，通气计算和肾功能计算功能。</w:t>
            </w:r>
          </w:p>
        </w:tc>
      </w:tr>
      <w:tr w14:paraId="36DAD4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6233A918">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2.3.7</w:t>
            </w:r>
          </w:p>
        </w:tc>
        <w:tc>
          <w:tcPr>
            <w:tcW w:w="4332" w:type="pct"/>
            <w:vAlign w:val="center"/>
          </w:tcPr>
          <w:p w14:paraId="72EADADA">
            <w:pPr>
              <w:rPr>
                <w:rFonts w:ascii="宋体" w:hAnsi="宋体" w:cs="宋体"/>
                <w:color w:val="auto"/>
                <w:sz w:val="22"/>
                <w:szCs w:val="22"/>
                <w:highlight w:val="none"/>
              </w:rPr>
            </w:pPr>
            <w:r>
              <w:rPr>
                <w:rFonts w:hint="eastAsia" w:ascii="宋体" w:hAnsi="宋体" w:cs="宋体"/>
                <w:color w:val="auto"/>
                <w:sz w:val="22"/>
                <w:szCs w:val="22"/>
                <w:highlight w:val="none"/>
              </w:rPr>
              <w:t>可选配血流动力学软件工具，显示完整血流动力学参数，并以图形化界面显示病人心脏收缩力，外周血管阻力等状态，提供电子化血流动力学实验记录，重点参数蛛网图显示评估病人相关参数变化。</w:t>
            </w:r>
          </w:p>
        </w:tc>
      </w:tr>
      <w:tr w14:paraId="105AAB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0427927F">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2.3.8</w:t>
            </w:r>
          </w:p>
        </w:tc>
        <w:tc>
          <w:tcPr>
            <w:tcW w:w="4332" w:type="pct"/>
            <w:vAlign w:val="center"/>
          </w:tcPr>
          <w:p w14:paraId="7D2BB20E">
            <w:pPr>
              <w:rPr>
                <w:rFonts w:ascii="宋体" w:hAnsi="宋体" w:cs="宋体"/>
                <w:color w:val="auto"/>
                <w:sz w:val="22"/>
                <w:szCs w:val="22"/>
                <w:highlight w:val="none"/>
              </w:rPr>
            </w:pPr>
            <w:r>
              <w:rPr>
                <w:rFonts w:hint="eastAsia" w:ascii="宋体" w:hAnsi="宋体" w:cs="宋体"/>
                <w:color w:val="auto"/>
                <w:sz w:val="22"/>
                <w:szCs w:val="22"/>
                <w:highlight w:val="none"/>
              </w:rPr>
              <w:t>可选配麻醉平衡指引显示功能，在同一个界面显示麻醉状态、大脑功能状态和相关参数的动态趋势，麻醉状态包含数字化和图形化显示病人意识、疼痛、肌松三方面麻醉状态；大脑功能状态可以图形化显示病人脑状态，并显示大脑状态相关的参数。可进行Aldrete复苏评分，满足临床对病人复苏拔管的评估。</w:t>
            </w:r>
          </w:p>
        </w:tc>
      </w:tr>
      <w:tr w14:paraId="53FDA5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0170A8C2">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2.3.9</w:t>
            </w:r>
          </w:p>
        </w:tc>
        <w:tc>
          <w:tcPr>
            <w:tcW w:w="4332" w:type="pct"/>
            <w:vAlign w:val="center"/>
          </w:tcPr>
          <w:p w14:paraId="5A06DA9D">
            <w:pPr>
              <w:rPr>
                <w:rFonts w:ascii="宋体" w:hAnsi="宋体" w:cs="宋体"/>
                <w:color w:val="auto"/>
                <w:sz w:val="22"/>
                <w:szCs w:val="22"/>
                <w:highlight w:val="none"/>
              </w:rPr>
            </w:pPr>
            <w:r>
              <w:rPr>
                <w:rFonts w:hint="eastAsia" w:ascii="宋体" w:hAnsi="宋体" w:cs="宋体"/>
                <w:color w:val="auto"/>
                <w:sz w:val="22"/>
                <w:szCs w:val="22"/>
                <w:highlight w:val="none"/>
              </w:rPr>
              <w:t>提供CCHD新生儿先心病筛查工具，并可以支持美标法及双标法筛查流程，双标法筛查流程复合《全国新生儿先天性心脏病筛查手册》（2018版）</w:t>
            </w:r>
          </w:p>
        </w:tc>
      </w:tr>
      <w:tr w14:paraId="3D8315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44C15870">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2.3.10</w:t>
            </w:r>
          </w:p>
        </w:tc>
        <w:tc>
          <w:tcPr>
            <w:tcW w:w="4332" w:type="pct"/>
            <w:vAlign w:val="center"/>
          </w:tcPr>
          <w:p w14:paraId="486A9FD9">
            <w:pPr>
              <w:rPr>
                <w:rFonts w:ascii="宋体" w:hAnsi="宋体" w:cs="宋体"/>
                <w:color w:val="auto"/>
                <w:sz w:val="22"/>
                <w:szCs w:val="22"/>
                <w:highlight w:val="none"/>
              </w:rPr>
            </w:pPr>
            <w:r>
              <w:rPr>
                <w:rFonts w:hint="eastAsia" w:ascii="宋体" w:hAnsi="宋体" w:cs="宋体"/>
                <w:color w:val="auto"/>
                <w:sz w:val="22"/>
                <w:szCs w:val="22"/>
                <w:highlight w:val="none"/>
              </w:rPr>
              <w:t>可选配输注泵用药信息回顾工具，可同时间轴显示病人生命体征参数及用药信息回顾，呈现病人生命体征变化趋势与药物输注流速变化之间的关系</w:t>
            </w:r>
          </w:p>
        </w:tc>
      </w:tr>
      <w:tr w14:paraId="368483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68DDEA1B">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2.3.11</w:t>
            </w:r>
          </w:p>
        </w:tc>
        <w:tc>
          <w:tcPr>
            <w:tcW w:w="4332" w:type="pct"/>
            <w:vAlign w:val="center"/>
          </w:tcPr>
          <w:p w14:paraId="246AF6A3">
            <w:pPr>
              <w:rPr>
                <w:rFonts w:ascii="宋体" w:hAnsi="宋体" w:cs="宋体"/>
                <w:color w:val="auto"/>
                <w:sz w:val="22"/>
                <w:szCs w:val="22"/>
                <w:highlight w:val="none"/>
              </w:rPr>
            </w:pPr>
            <w:r>
              <w:rPr>
                <w:rFonts w:hint="eastAsia" w:ascii="宋体" w:hAnsi="宋体" w:cs="宋体"/>
                <w:color w:val="auto"/>
                <w:sz w:val="22"/>
                <w:szCs w:val="22"/>
                <w:highlight w:val="none"/>
              </w:rPr>
              <w:t>支持≥100小时趋势表和趋势图回顾，最小分辨率1分钟</w:t>
            </w:r>
          </w:p>
        </w:tc>
      </w:tr>
      <w:tr w14:paraId="643779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14A6B658">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2.3.12</w:t>
            </w:r>
          </w:p>
        </w:tc>
        <w:tc>
          <w:tcPr>
            <w:tcW w:w="4332" w:type="pct"/>
            <w:vAlign w:val="center"/>
          </w:tcPr>
          <w:p w14:paraId="5AAE1A65">
            <w:pPr>
              <w:rPr>
                <w:rFonts w:ascii="宋体" w:hAnsi="宋体" w:cs="宋体"/>
                <w:color w:val="auto"/>
                <w:sz w:val="22"/>
                <w:szCs w:val="22"/>
                <w:highlight w:val="none"/>
              </w:rPr>
            </w:pPr>
            <w:r>
              <w:rPr>
                <w:rFonts w:hint="eastAsia" w:ascii="宋体" w:hAnsi="宋体" w:cs="宋体"/>
                <w:color w:val="auto"/>
                <w:sz w:val="22"/>
                <w:szCs w:val="22"/>
                <w:highlight w:val="none"/>
              </w:rPr>
              <w:t>支持≥800条事件回顾。每条报警事件至少能够存储32秒三道相关波形，以及报警触发时所有测量参数值</w:t>
            </w:r>
          </w:p>
        </w:tc>
      </w:tr>
      <w:tr w14:paraId="617080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3F2A96F9">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2.3.13</w:t>
            </w:r>
          </w:p>
        </w:tc>
        <w:tc>
          <w:tcPr>
            <w:tcW w:w="4332" w:type="pct"/>
            <w:vAlign w:val="center"/>
          </w:tcPr>
          <w:p w14:paraId="5FEEA659">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具备≥40小时全息波形的存储与回顾功能</w:t>
            </w:r>
          </w:p>
        </w:tc>
      </w:tr>
      <w:tr w14:paraId="1B0C69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34040B64">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2.3.14</w:t>
            </w:r>
          </w:p>
        </w:tc>
        <w:tc>
          <w:tcPr>
            <w:tcW w:w="4332" w:type="pct"/>
            <w:vAlign w:val="center"/>
          </w:tcPr>
          <w:p w14:paraId="1A35BFD1">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支持≥120小时（分辨率1分钟）ST模板存储与回顾</w:t>
            </w:r>
          </w:p>
        </w:tc>
      </w:tr>
      <w:tr w14:paraId="10DBDF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462AC7CC">
            <w:pPr>
              <w:spacing w:line="360" w:lineRule="auto"/>
              <w:jc w:val="center"/>
              <w:rPr>
                <w:rFonts w:asciiTheme="majorEastAsia" w:hAnsiTheme="majorEastAsia" w:eastAsiaTheme="majorEastAsia" w:cstheme="majorEastAsia"/>
                <w:color w:val="auto"/>
                <w:sz w:val="22"/>
                <w:szCs w:val="22"/>
                <w:highlight w:val="none"/>
              </w:rPr>
            </w:pPr>
            <w:r>
              <w:rPr>
                <w:rFonts w:hint="eastAsia" w:ascii="宋体" w:hAnsi="宋体" w:cs="宋体"/>
                <w:color w:val="auto"/>
                <w:sz w:val="22"/>
                <w:szCs w:val="22"/>
                <w:highlight w:val="none"/>
                <w:u w:color="000000"/>
                <w:lang w:val="zh-TW" w:eastAsia="zh-TW"/>
              </w:rPr>
              <w:t>△</w:t>
            </w:r>
            <w:r>
              <w:rPr>
                <w:rFonts w:hint="eastAsia" w:asciiTheme="majorEastAsia" w:hAnsiTheme="majorEastAsia" w:eastAsiaTheme="majorEastAsia" w:cstheme="majorEastAsia"/>
                <w:color w:val="auto"/>
                <w:sz w:val="22"/>
                <w:szCs w:val="22"/>
                <w:highlight w:val="none"/>
              </w:rPr>
              <w:t>2.3.15</w:t>
            </w:r>
          </w:p>
        </w:tc>
        <w:tc>
          <w:tcPr>
            <w:tcW w:w="4332" w:type="pct"/>
            <w:vAlign w:val="center"/>
          </w:tcPr>
          <w:p w14:paraId="723FB3A6">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支持与除颤监护仪，遥测混合联通至中心监护系统，实现护士站的集中管理</w:t>
            </w:r>
          </w:p>
        </w:tc>
      </w:tr>
      <w:tr w14:paraId="61BC3F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5E1F65A0">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2.3.16</w:t>
            </w:r>
          </w:p>
        </w:tc>
        <w:tc>
          <w:tcPr>
            <w:tcW w:w="4332" w:type="pct"/>
            <w:vAlign w:val="center"/>
          </w:tcPr>
          <w:p w14:paraId="758A9D2A">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监护仪的报警可升级通过手表实时分发给医护人员，保障患者安全</w:t>
            </w:r>
          </w:p>
        </w:tc>
      </w:tr>
      <w:tr w14:paraId="5F8063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0DE1E892">
            <w:pPr>
              <w:spacing w:line="360" w:lineRule="auto"/>
              <w:jc w:val="center"/>
              <w:rPr>
                <w:rFonts w:asciiTheme="majorEastAsia" w:hAnsiTheme="majorEastAsia" w:eastAsiaTheme="majorEastAsia" w:cstheme="majorEastAsia"/>
                <w:color w:val="auto"/>
                <w:sz w:val="22"/>
                <w:szCs w:val="22"/>
                <w:highlight w:val="none"/>
              </w:rPr>
            </w:pPr>
            <w:r>
              <w:rPr>
                <w:rFonts w:hint="eastAsia" w:ascii="宋体" w:hAnsi="宋体" w:cs="宋体"/>
                <w:color w:val="auto"/>
                <w:sz w:val="22"/>
                <w:szCs w:val="22"/>
                <w:highlight w:val="none"/>
                <w:u w:color="000000"/>
                <w:lang w:val="zh-TW" w:eastAsia="zh-TW"/>
              </w:rPr>
              <w:t>△</w:t>
            </w:r>
            <w:r>
              <w:rPr>
                <w:rFonts w:hint="eastAsia" w:asciiTheme="majorEastAsia" w:hAnsiTheme="majorEastAsia" w:eastAsiaTheme="majorEastAsia" w:cstheme="majorEastAsia"/>
                <w:color w:val="auto"/>
                <w:sz w:val="22"/>
                <w:szCs w:val="22"/>
                <w:highlight w:val="none"/>
              </w:rPr>
              <w:t>2.3.17</w:t>
            </w:r>
          </w:p>
        </w:tc>
        <w:tc>
          <w:tcPr>
            <w:tcW w:w="4332" w:type="pct"/>
            <w:vAlign w:val="center"/>
          </w:tcPr>
          <w:p w14:paraId="2EA3DDCA">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监护仪可与同品牌呼吸机以及非同品牌输注泵通过无线方式融合显示在中央站界面</w:t>
            </w:r>
          </w:p>
        </w:tc>
      </w:tr>
      <w:tr w14:paraId="4502BF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5B732CA8">
            <w:pPr>
              <w:spacing w:line="360" w:lineRule="auto"/>
              <w:jc w:val="center"/>
              <w:rPr>
                <w:rFonts w:asciiTheme="majorEastAsia" w:hAnsiTheme="majorEastAsia" w:eastAsiaTheme="majorEastAsia" w:cstheme="majorEastAsia"/>
                <w:b/>
                <w:bCs/>
                <w:color w:val="auto"/>
                <w:sz w:val="22"/>
                <w:szCs w:val="22"/>
                <w:highlight w:val="none"/>
              </w:rPr>
            </w:pPr>
            <w:r>
              <w:rPr>
                <w:rFonts w:hint="eastAsia" w:asciiTheme="majorEastAsia" w:hAnsiTheme="majorEastAsia" w:eastAsiaTheme="majorEastAsia" w:cstheme="majorEastAsia"/>
                <w:b/>
                <w:bCs/>
                <w:color w:val="auto"/>
                <w:sz w:val="22"/>
                <w:szCs w:val="22"/>
                <w:highlight w:val="none"/>
              </w:rPr>
              <w:t>三</w:t>
            </w:r>
          </w:p>
        </w:tc>
        <w:tc>
          <w:tcPr>
            <w:tcW w:w="4332" w:type="pct"/>
            <w:vAlign w:val="center"/>
          </w:tcPr>
          <w:p w14:paraId="6C84FD9F">
            <w:pPr>
              <w:spacing w:line="360" w:lineRule="auto"/>
              <w:jc w:val="left"/>
              <w:rPr>
                <w:rFonts w:asciiTheme="majorEastAsia" w:hAnsiTheme="majorEastAsia" w:eastAsiaTheme="majorEastAsia" w:cstheme="majorEastAsia"/>
                <w:b/>
                <w:bCs/>
                <w:color w:val="auto"/>
                <w:sz w:val="22"/>
                <w:szCs w:val="22"/>
                <w:highlight w:val="none"/>
              </w:rPr>
            </w:pPr>
            <w:r>
              <w:rPr>
                <w:rFonts w:hint="eastAsia" w:asciiTheme="majorEastAsia" w:hAnsiTheme="majorEastAsia" w:eastAsiaTheme="majorEastAsia" w:cstheme="majorEastAsia"/>
                <w:b/>
                <w:bCs/>
                <w:color w:val="auto"/>
                <w:sz w:val="22"/>
                <w:szCs w:val="22"/>
                <w:highlight w:val="none"/>
              </w:rPr>
              <w:t>产品设计与认证</w:t>
            </w:r>
          </w:p>
        </w:tc>
      </w:tr>
      <w:tr w14:paraId="20787B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15827C9F">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3.1</w:t>
            </w:r>
          </w:p>
        </w:tc>
        <w:tc>
          <w:tcPr>
            <w:tcW w:w="4332" w:type="pct"/>
            <w:vAlign w:val="center"/>
          </w:tcPr>
          <w:p w14:paraId="49F393C3">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产品通过国家III类注册</w:t>
            </w:r>
          </w:p>
        </w:tc>
      </w:tr>
      <w:tr w14:paraId="6CF2F2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49371601">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3.2</w:t>
            </w:r>
          </w:p>
        </w:tc>
        <w:tc>
          <w:tcPr>
            <w:tcW w:w="4332" w:type="pct"/>
            <w:vAlign w:val="center"/>
          </w:tcPr>
          <w:p w14:paraId="6153F536">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产品设计使用年限≥10年</w:t>
            </w:r>
            <w:bookmarkStart w:id="13" w:name="OLE_LINK1"/>
            <w:r>
              <w:rPr>
                <w:rFonts w:hint="eastAsia" w:asciiTheme="majorEastAsia" w:hAnsiTheme="majorEastAsia" w:eastAsiaTheme="majorEastAsia" w:cstheme="majorEastAsia"/>
                <w:color w:val="auto"/>
                <w:kern w:val="0"/>
                <w:sz w:val="22"/>
                <w:szCs w:val="22"/>
                <w:highlight w:val="none"/>
              </w:rPr>
              <w:t>（提供设备铭牌或使用手册证明）</w:t>
            </w:r>
            <w:bookmarkEnd w:id="13"/>
          </w:p>
        </w:tc>
      </w:tr>
      <w:tr w14:paraId="064BAE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3F3DE4D3">
            <w:pPr>
              <w:spacing w:line="360" w:lineRule="auto"/>
              <w:jc w:val="cente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3.3</w:t>
            </w:r>
          </w:p>
        </w:tc>
        <w:tc>
          <w:tcPr>
            <w:tcW w:w="4332" w:type="pct"/>
            <w:vAlign w:val="center"/>
          </w:tcPr>
          <w:p w14:paraId="44803A5C">
            <w:pPr>
              <w:spacing w:line="360" w:lineRule="auto"/>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产品型号入选优秀国产医疗设备产品目录，提供证明材料。</w:t>
            </w:r>
          </w:p>
        </w:tc>
      </w:tr>
      <w:tr w14:paraId="068DDC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vAlign w:val="center"/>
          </w:tcPr>
          <w:p w14:paraId="207B8844">
            <w:pPr>
              <w:spacing w:line="360" w:lineRule="auto"/>
              <w:jc w:val="center"/>
              <w:rPr>
                <w:rFonts w:asciiTheme="majorEastAsia" w:hAnsiTheme="majorEastAsia" w:eastAsiaTheme="majorEastAsia" w:cstheme="majorEastAsia"/>
                <w:b/>
                <w:bCs/>
                <w:color w:val="auto"/>
                <w:sz w:val="22"/>
                <w:szCs w:val="22"/>
                <w:highlight w:val="none"/>
              </w:rPr>
            </w:pPr>
            <w:r>
              <w:rPr>
                <w:rFonts w:hint="eastAsia" w:asciiTheme="majorEastAsia" w:hAnsiTheme="majorEastAsia" w:eastAsiaTheme="majorEastAsia" w:cstheme="majorEastAsia"/>
                <w:b/>
                <w:bCs/>
                <w:color w:val="auto"/>
                <w:sz w:val="22"/>
                <w:szCs w:val="22"/>
                <w:highlight w:val="none"/>
              </w:rPr>
              <w:t>四</w:t>
            </w:r>
          </w:p>
        </w:tc>
        <w:tc>
          <w:tcPr>
            <w:tcW w:w="4332" w:type="pct"/>
            <w:vAlign w:val="center"/>
          </w:tcPr>
          <w:p w14:paraId="3E2758FE">
            <w:pPr>
              <w:spacing w:line="360" w:lineRule="auto"/>
              <w:jc w:val="left"/>
              <w:rPr>
                <w:rFonts w:asciiTheme="majorEastAsia" w:hAnsiTheme="majorEastAsia" w:eastAsiaTheme="majorEastAsia" w:cstheme="majorEastAsia"/>
                <w:b/>
                <w:bCs/>
                <w:color w:val="auto"/>
                <w:sz w:val="22"/>
                <w:szCs w:val="22"/>
                <w:highlight w:val="none"/>
              </w:rPr>
            </w:pPr>
            <w:r>
              <w:rPr>
                <w:rFonts w:hint="eastAsia" w:asciiTheme="majorEastAsia" w:hAnsiTheme="majorEastAsia" w:eastAsiaTheme="majorEastAsia" w:cstheme="majorEastAsia"/>
                <w:b/>
                <w:bCs/>
                <w:color w:val="auto"/>
                <w:sz w:val="22"/>
                <w:szCs w:val="22"/>
                <w:highlight w:val="none"/>
              </w:rPr>
              <w:t>配置</w:t>
            </w:r>
          </w:p>
        </w:tc>
      </w:tr>
      <w:tr w14:paraId="083FDE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8" w:type="pct"/>
          </w:tcPr>
          <w:p w14:paraId="0B480E4C">
            <w:pPr>
              <w:spacing w:line="360" w:lineRule="auto"/>
              <w:jc w:val="center"/>
              <w:rPr>
                <w:rFonts w:asciiTheme="majorEastAsia" w:hAnsiTheme="majorEastAsia" w:eastAsiaTheme="majorEastAsia" w:cstheme="majorEastAsia"/>
                <w:color w:val="auto"/>
                <w:sz w:val="22"/>
                <w:szCs w:val="22"/>
                <w:highlight w:val="none"/>
              </w:rPr>
            </w:pPr>
            <w:r>
              <w:rPr>
                <w:rFonts w:hint="eastAsia" w:eastAsiaTheme="majorEastAsia"/>
                <w:color w:val="auto"/>
                <w:highlight w:val="none"/>
              </w:rPr>
              <w:t>1</w:t>
            </w:r>
          </w:p>
        </w:tc>
        <w:tc>
          <w:tcPr>
            <w:tcW w:w="4332" w:type="pct"/>
          </w:tcPr>
          <w:p w14:paraId="66593B2B">
            <w:pPr>
              <w:spacing w:line="360" w:lineRule="auto"/>
              <w:jc w:val="left"/>
              <w:rPr>
                <w:rFonts w:asciiTheme="majorEastAsia" w:hAnsiTheme="majorEastAsia" w:eastAsiaTheme="majorEastAsia" w:cstheme="majorEastAsia"/>
                <w:color w:val="auto"/>
                <w:sz w:val="22"/>
                <w:szCs w:val="22"/>
                <w:highlight w:val="none"/>
              </w:rPr>
            </w:pPr>
            <w:r>
              <w:rPr>
                <w:rFonts w:hint="eastAsia"/>
                <w:color w:val="auto"/>
                <w:highlight w:val="none"/>
              </w:rPr>
              <w:t>麻醉监护仪1台（内置转运）</w:t>
            </w:r>
          </w:p>
        </w:tc>
      </w:tr>
    </w:tbl>
    <w:p w14:paraId="1541F498">
      <w:pPr>
        <w:adjustRightInd w:val="0"/>
        <w:spacing w:line="400" w:lineRule="exact"/>
        <w:rPr>
          <w:rFonts w:ascii="宋体" w:hAnsi="宋体" w:cs="宋体"/>
          <w:b/>
          <w:bCs/>
          <w:color w:val="auto"/>
          <w:sz w:val="22"/>
          <w:szCs w:val="22"/>
          <w:highlight w:val="none"/>
        </w:rPr>
      </w:pPr>
    </w:p>
    <w:p w14:paraId="1E513327">
      <w:pPr>
        <w:adjustRightInd w:val="0"/>
        <w:spacing w:line="400" w:lineRule="exact"/>
        <w:ind w:firstLine="223" w:firstLineChars="100"/>
        <w:rPr>
          <w:rFonts w:ascii="宋体" w:hAnsi="宋体" w:cs="宋体"/>
          <w:b/>
          <w:bCs/>
          <w:color w:val="auto"/>
          <w:sz w:val="22"/>
          <w:szCs w:val="22"/>
          <w:highlight w:val="none"/>
        </w:rPr>
      </w:pPr>
      <w:r>
        <w:rPr>
          <w:rFonts w:hint="eastAsia" w:ascii="宋体" w:hAnsi="宋体" w:cs="宋体"/>
          <w:b/>
          <w:bCs/>
          <w:color w:val="auto"/>
          <w:sz w:val="22"/>
          <w:szCs w:val="22"/>
          <w:highlight w:val="none"/>
        </w:rPr>
        <w:t>四、项目商务条款</w:t>
      </w:r>
    </w:p>
    <w:p w14:paraId="2C242108">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1.售后服务</w:t>
      </w:r>
    </w:p>
    <w:p w14:paraId="0113FCC9">
      <w:pPr>
        <w:spacing w:line="400" w:lineRule="exact"/>
        <w:ind w:firstLine="446" w:firstLineChars="200"/>
        <w:rPr>
          <w:rFonts w:ascii="Times New Roman" w:hAnsi="Times New Roman" w:cs="Times New Roman"/>
          <w:color w:val="auto"/>
          <w:sz w:val="22"/>
          <w:szCs w:val="22"/>
          <w:highlight w:val="none"/>
        </w:rPr>
      </w:pPr>
      <w:r>
        <w:rPr>
          <w:rFonts w:ascii="宋体"/>
          <w:color w:val="auto"/>
          <w:sz w:val="22"/>
          <w:szCs w:val="22"/>
          <w:highlight w:val="none"/>
        </w:rPr>
        <w:t>▲1.</w:t>
      </w:r>
      <w:r>
        <w:rPr>
          <w:rFonts w:hint="eastAsia" w:ascii="Times New Roman" w:hAnsi="Times New Roman" w:cs="Times New Roman"/>
          <w:color w:val="auto"/>
          <w:sz w:val="22"/>
          <w:szCs w:val="22"/>
          <w:highlight w:val="none"/>
        </w:rPr>
        <w:t>设备验收合格后，整机免费保修要求如下：</w:t>
      </w:r>
      <w:r>
        <w:rPr>
          <w:rFonts w:hint="eastAsia" w:ascii="Times New Roman" w:hAnsi="Times New Roman" w:cs="Times New Roman"/>
          <w:color w:val="auto"/>
          <w:sz w:val="22"/>
          <w:szCs w:val="22"/>
          <w:highlight w:val="none"/>
        </w:rPr>
        <w:br w:type="textWrapping"/>
      </w:r>
    </w:p>
    <w:tbl>
      <w:tblPr>
        <w:tblStyle w:val="32"/>
        <w:tblW w:w="4993"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83"/>
        <w:gridCol w:w="1921"/>
        <w:gridCol w:w="3611"/>
        <w:gridCol w:w="3000"/>
      </w:tblGrid>
      <w:tr w14:paraId="1C269B0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563" w:type="pct"/>
            <w:vAlign w:val="center"/>
          </w:tcPr>
          <w:p w14:paraId="76D56C6E">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序号</w:t>
            </w:r>
          </w:p>
        </w:tc>
        <w:tc>
          <w:tcPr>
            <w:tcW w:w="999" w:type="pct"/>
            <w:vAlign w:val="center"/>
          </w:tcPr>
          <w:p w14:paraId="74ADA7C1">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内容</w:t>
            </w:r>
          </w:p>
        </w:tc>
        <w:tc>
          <w:tcPr>
            <w:tcW w:w="1878" w:type="pct"/>
            <w:vAlign w:val="center"/>
          </w:tcPr>
          <w:p w14:paraId="45097CCA">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货物名称</w:t>
            </w:r>
          </w:p>
        </w:tc>
        <w:tc>
          <w:tcPr>
            <w:tcW w:w="1560" w:type="pct"/>
            <w:vAlign w:val="center"/>
          </w:tcPr>
          <w:p w14:paraId="18053DF5">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质保要求</w:t>
            </w:r>
          </w:p>
        </w:tc>
      </w:tr>
      <w:tr w14:paraId="4A5337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563" w:type="pct"/>
            <w:vAlign w:val="center"/>
          </w:tcPr>
          <w:p w14:paraId="1016FA4C">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1</w:t>
            </w:r>
          </w:p>
        </w:tc>
        <w:tc>
          <w:tcPr>
            <w:tcW w:w="999" w:type="pct"/>
            <w:vAlign w:val="center"/>
          </w:tcPr>
          <w:p w14:paraId="5C8CEE67">
            <w:pPr>
              <w:jc w:val="center"/>
              <w:rPr>
                <w:rFonts w:ascii="宋体" w:hAnsi="宋体" w:cs="宋体"/>
                <w:caps/>
                <w:color w:val="auto"/>
                <w:sz w:val="22"/>
                <w:szCs w:val="22"/>
                <w:highlight w:val="none"/>
              </w:rPr>
            </w:pPr>
            <w:r>
              <w:rPr>
                <w:rFonts w:hint="eastAsia" w:ascii="宋体" w:hAnsi="宋体" w:cs="宋体"/>
                <w:color w:val="auto"/>
                <w:kern w:val="0"/>
                <w:sz w:val="22"/>
                <w:szCs w:val="22"/>
                <w:highlight w:val="none"/>
              </w:rPr>
              <w:t xml:space="preserve">便携式彩色多普勒超声诊断仪 </w:t>
            </w:r>
          </w:p>
        </w:tc>
        <w:tc>
          <w:tcPr>
            <w:tcW w:w="1878" w:type="pct"/>
            <w:vAlign w:val="center"/>
          </w:tcPr>
          <w:p w14:paraId="25A2D97C">
            <w:pPr>
              <w:jc w:val="center"/>
              <w:rPr>
                <w:color w:val="auto"/>
                <w:szCs w:val="21"/>
                <w:highlight w:val="none"/>
              </w:rPr>
            </w:pPr>
            <w:r>
              <w:rPr>
                <w:rFonts w:hint="eastAsia" w:ascii="宋体" w:hAnsi="宋体" w:cs="宋体"/>
                <w:color w:val="auto"/>
                <w:kern w:val="0"/>
                <w:sz w:val="22"/>
                <w:szCs w:val="22"/>
                <w:highlight w:val="none"/>
              </w:rPr>
              <w:t xml:space="preserve">便携式彩色多普勒超声诊断仪 </w:t>
            </w:r>
          </w:p>
        </w:tc>
        <w:tc>
          <w:tcPr>
            <w:tcW w:w="1560" w:type="pct"/>
            <w:vAlign w:val="center"/>
          </w:tcPr>
          <w:p w14:paraId="737E2B62">
            <w:pPr>
              <w:jc w:val="center"/>
              <w:rPr>
                <w:color w:val="auto"/>
                <w:szCs w:val="21"/>
                <w:highlight w:val="none"/>
              </w:rPr>
            </w:pPr>
            <w:r>
              <w:rPr>
                <w:rFonts w:hint="eastAsia"/>
                <w:color w:val="auto"/>
                <w:szCs w:val="21"/>
                <w:highlight w:val="none"/>
              </w:rPr>
              <w:t>整机及3把探头为5年质保</w:t>
            </w:r>
          </w:p>
        </w:tc>
      </w:tr>
      <w:tr w14:paraId="5EEB520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71" w:hRule="atLeast"/>
          <w:jc w:val="center"/>
        </w:trPr>
        <w:tc>
          <w:tcPr>
            <w:tcW w:w="563" w:type="pct"/>
            <w:vAlign w:val="center"/>
          </w:tcPr>
          <w:p w14:paraId="75822EEE">
            <w:pPr>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999" w:type="pct"/>
            <w:vAlign w:val="center"/>
          </w:tcPr>
          <w:p w14:paraId="1E4F549A">
            <w:pPr>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麻醉机</w:t>
            </w:r>
          </w:p>
        </w:tc>
        <w:tc>
          <w:tcPr>
            <w:tcW w:w="1878" w:type="pct"/>
            <w:vAlign w:val="center"/>
          </w:tcPr>
          <w:p w14:paraId="646D6066">
            <w:pPr>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麻醉机</w:t>
            </w:r>
          </w:p>
        </w:tc>
        <w:tc>
          <w:tcPr>
            <w:tcW w:w="1560" w:type="pct"/>
            <w:vAlign w:val="center"/>
          </w:tcPr>
          <w:p w14:paraId="53181BB2">
            <w:pPr>
              <w:jc w:val="center"/>
              <w:rPr>
                <w:rFonts w:ascii="宋体" w:hAnsi="宋体" w:cs="宋体"/>
                <w:color w:val="auto"/>
                <w:kern w:val="0"/>
                <w:sz w:val="22"/>
                <w:szCs w:val="22"/>
                <w:highlight w:val="none"/>
              </w:rPr>
            </w:pPr>
            <w:r>
              <w:rPr>
                <w:rFonts w:hint="eastAsia"/>
                <w:color w:val="auto"/>
                <w:szCs w:val="21"/>
                <w:highlight w:val="none"/>
              </w:rPr>
              <w:t>主机5年，附件半年</w:t>
            </w:r>
          </w:p>
        </w:tc>
      </w:tr>
      <w:tr w14:paraId="6C52D3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9" w:hRule="atLeast"/>
          <w:jc w:val="center"/>
        </w:trPr>
        <w:tc>
          <w:tcPr>
            <w:tcW w:w="563" w:type="pct"/>
            <w:vAlign w:val="center"/>
          </w:tcPr>
          <w:p w14:paraId="04B7CD7D">
            <w:pPr>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999" w:type="pct"/>
            <w:vAlign w:val="center"/>
          </w:tcPr>
          <w:p w14:paraId="1A52E531">
            <w:pPr>
              <w:jc w:val="center"/>
              <w:rPr>
                <w:rFonts w:ascii="宋体" w:hAnsi="宋体" w:cs="宋体"/>
                <w:color w:val="auto"/>
                <w:sz w:val="22"/>
                <w:szCs w:val="22"/>
                <w:highlight w:val="none"/>
              </w:rPr>
            </w:pPr>
            <w:r>
              <w:rPr>
                <w:rFonts w:hint="eastAsia" w:ascii="宋体" w:hAnsi="宋体" w:cs="宋体"/>
                <w:color w:val="auto"/>
                <w:sz w:val="22"/>
                <w:szCs w:val="22"/>
                <w:highlight w:val="none"/>
              </w:rPr>
              <w:t>麻醉监护仪</w:t>
            </w:r>
          </w:p>
        </w:tc>
        <w:tc>
          <w:tcPr>
            <w:tcW w:w="1878" w:type="pct"/>
            <w:vAlign w:val="center"/>
          </w:tcPr>
          <w:p w14:paraId="792F45CA">
            <w:pPr>
              <w:jc w:val="center"/>
              <w:rPr>
                <w:rFonts w:ascii="宋体" w:hAnsi="宋体" w:cs="宋体"/>
                <w:color w:val="auto"/>
                <w:sz w:val="22"/>
                <w:szCs w:val="22"/>
                <w:highlight w:val="none"/>
              </w:rPr>
            </w:pPr>
            <w:r>
              <w:rPr>
                <w:rFonts w:hint="eastAsia" w:ascii="宋体" w:hAnsi="宋体" w:cs="宋体"/>
                <w:color w:val="auto"/>
                <w:sz w:val="22"/>
                <w:szCs w:val="22"/>
                <w:highlight w:val="none"/>
              </w:rPr>
              <w:t>麻醉监护仪</w:t>
            </w:r>
          </w:p>
        </w:tc>
        <w:tc>
          <w:tcPr>
            <w:tcW w:w="1560" w:type="pct"/>
            <w:vAlign w:val="center"/>
          </w:tcPr>
          <w:p w14:paraId="2595510B">
            <w:pPr>
              <w:jc w:val="center"/>
              <w:rPr>
                <w:rFonts w:ascii="宋体" w:hAnsi="宋体" w:cs="宋体"/>
                <w:color w:val="auto"/>
                <w:sz w:val="22"/>
                <w:szCs w:val="22"/>
                <w:highlight w:val="none"/>
              </w:rPr>
            </w:pPr>
            <w:bookmarkStart w:id="14" w:name="OLE_LINK12"/>
            <w:bookmarkStart w:id="15" w:name="OLE_LINK13"/>
            <w:r>
              <w:rPr>
                <w:rFonts w:hint="eastAsia"/>
                <w:color w:val="auto"/>
                <w:szCs w:val="21"/>
                <w:highlight w:val="none"/>
              </w:rPr>
              <w:t>主机5年，附件半年</w:t>
            </w:r>
            <w:bookmarkEnd w:id="14"/>
            <w:bookmarkEnd w:id="15"/>
          </w:p>
        </w:tc>
      </w:tr>
      <w:tr w14:paraId="6B7B95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9" w:hRule="atLeast"/>
          <w:jc w:val="center"/>
        </w:trPr>
        <w:tc>
          <w:tcPr>
            <w:tcW w:w="563" w:type="pct"/>
            <w:vAlign w:val="center"/>
          </w:tcPr>
          <w:p w14:paraId="28ED8518">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4</w:t>
            </w:r>
          </w:p>
        </w:tc>
        <w:tc>
          <w:tcPr>
            <w:tcW w:w="999" w:type="pct"/>
            <w:vAlign w:val="center"/>
          </w:tcPr>
          <w:p w14:paraId="3B17B7CB">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麻醉深度监测仪（BIS）</w:t>
            </w:r>
          </w:p>
        </w:tc>
        <w:tc>
          <w:tcPr>
            <w:tcW w:w="1878" w:type="pct"/>
            <w:vAlign w:val="center"/>
          </w:tcPr>
          <w:p w14:paraId="17F2CAEE">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BIS模块</w:t>
            </w:r>
            <w:bookmarkStart w:id="55" w:name="_GoBack"/>
            <w:bookmarkEnd w:id="55"/>
          </w:p>
        </w:tc>
        <w:tc>
          <w:tcPr>
            <w:tcW w:w="1560" w:type="pct"/>
            <w:vAlign w:val="center"/>
          </w:tcPr>
          <w:p w14:paraId="585FBA51">
            <w:pPr>
              <w:jc w:val="center"/>
              <w:rPr>
                <w:rFonts w:hint="eastAsia"/>
                <w:color w:val="auto"/>
                <w:szCs w:val="21"/>
                <w:highlight w:val="none"/>
              </w:rPr>
            </w:pPr>
            <w:r>
              <w:rPr>
                <w:rFonts w:hint="eastAsia"/>
                <w:color w:val="auto"/>
                <w:szCs w:val="21"/>
                <w:highlight w:val="none"/>
              </w:rPr>
              <w:t>主机5年</w:t>
            </w:r>
          </w:p>
        </w:tc>
      </w:tr>
    </w:tbl>
    <w:p w14:paraId="40948A9C">
      <w:pPr>
        <w:spacing w:line="400" w:lineRule="exact"/>
        <w:ind w:firstLine="446" w:firstLineChars="200"/>
        <w:rPr>
          <w:rFonts w:ascii="Times New Roman" w:hAnsi="Times New Roman" w:cs="Times New Roman"/>
          <w:color w:val="auto"/>
          <w:sz w:val="22"/>
          <w:szCs w:val="22"/>
          <w:highlight w:val="none"/>
        </w:rPr>
      </w:pPr>
    </w:p>
    <w:p w14:paraId="1D96576B">
      <w:pPr>
        <w:spacing w:line="400" w:lineRule="exact"/>
        <w:ind w:firstLine="446" w:firstLineChars="200"/>
        <w:rPr>
          <w:rFonts w:ascii="宋体" w:hAnsi="宋体" w:cs="宋体"/>
          <w:bCs/>
          <w:color w:val="auto"/>
          <w:sz w:val="22"/>
          <w:szCs w:val="22"/>
          <w:highlight w:val="none"/>
        </w:rPr>
      </w:pPr>
      <w:r>
        <w:rPr>
          <w:rFonts w:hint="eastAsia" w:ascii="Times New Roman" w:hAnsi="Times New Roman" w:cs="Times New Roman"/>
          <w:color w:val="auto"/>
          <w:sz w:val="22"/>
          <w:szCs w:val="22"/>
          <w:highlight w:val="none"/>
        </w:rPr>
        <w:t>（提供原厂售后承诺需加盖原厂公章，同时可在原厂保修系统内查询到该设备保修范围及保修年限，与投标文件相符），终身维修，保修期内不收取任何费用，保修期外仅收取配件成本费。</w:t>
      </w:r>
    </w:p>
    <w:p w14:paraId="2BA4680F">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1.2</w:t>
      </w:r>
      <w:r>
        <w:rPr>
          <w:rFonts w:hint="eastAsia" w:ascii="宋体"/>
          <w:color w:val="auto"/>
          <w:sz w:val="22"/>
          <w:szCs w:val="22"/>
          <w:highlight w:val="none"/>
        </w:rPr>
        <w:t xml:space="preserve"> 保修期内，承诺人要确保设备正常运行，设备的功能和技术指标达到投标文件和国家相关标准。</w:t>
      </w:r>
    </w:p>
    <w:p w14:paraId="5D38C62A">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1.3</w:t>
      </w:r>
      <w:r>
        <w:rPr>
          <w:rFonts w:ascii="宋体"/>
          <w:color w:val="auto"/>
          <w:sz w:val="22"/>
          <w:szCs w:val="22"/>
          <w:highlight w:val="none"/>
        </w:rPr>
        <w:tab/>
      </w:r>
      <w:r>
        <w:rPr>
          <w:rFonts w:hint="eastAsia" w:ascii="宋体"/>
          <w:color w:val="auto"/>
          <w:sz w:val="22"/>
          <w:szCs w:val="22"/>
          <w:highlight w:val="none"/>
        </w:rPr>
        <w:t>保修期内，因设备任何配件出现故障或性能无法达到要求，须免费更换新配件，医院无需支付任何费用。每年免费校准1次，出具符合国家认证部门认可的校准证书，如果投标商所投的某类设备国家没有相关的校准要求，需要该类产品的厂家进行校准并出具厂家的校准报告；每半年免费按说明书要求进行维护保养1次，并保存相关文档记录。故障响应时间为2小时，故障到位时间为12小时，故障期间外送标本费用由中标人承担。</w:t>
      </w:r>
    </w:p>
    <w:p w14:paraId="6617145E">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1.4 自设备安装验收合格日起，每台设备每年故障停机不得大于12天（含节假日），如果超出每天罚款1万元，从试剂款中扣除。单台设备年故障停机超过30天，采购人有权终止部分或全部合同，并按每天1万元进行索赔。</w:t>
      </w:r>
    </w:p>
    <w:p w14:paraId="1E75558F">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1.5 每次维修前保证将采购人存储的数据备份，维修结束后恢复原状。遵守采购人机房管理制度。每次完成设备维修或保养后，提供维修及保养的验收报告。</w:t>
      </w:r>
    </w:p>
    <w:p w14:paraId="166008A6">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1.6免费提供仪器的升级和置换（厂方升级或更新仪器设备，予以升级或更换）。</w:t>
      </w:r>
    </w:p>
    <w:p w14:paraId="7D387688">
      <w:pPr>
        <w:numPr>
          <w:ilvl w:val="0"/>
          <w:numId w:val="9"/>
        </w:num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付款方式</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523"/>
        <w:gridCol w:w="7193"/>
      </w:tblGrid>
      <w:tr w14:paraId="6246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71" w:type="pct"/>
          </w:tcPr>
          <w:p w14:paraId="7A284261">
            <w:pPr>
              <w:jc w:val="center"/>
              <w:rPr>
                <w:rFonts w:cs="Times New Roman"/>
                <w:b/>
                <w:bCs/>
                <w:color w:val="auto"/>
                <w:highlight w:val="none"/>
              </w:rPr>
            </w:pPr>
            <w:r>
              <w:rPr>
                <w:rFonts w:hint="eastAsia" w:ascii="宋体" w:hAnsi="宋体" w:cs="宋体"/>
                <w:b/>
                <w:bCs/>
                <w:caps/>
                <w:color w:val="auto"/>
                <w:sz w:val="22"/>
                <w:szCs w:val="22"/>
                <w:highlight w:val="none"/>
              </w:rPr>
              <w:t>标项</w:t>
            </w:r>
          </w:p>
        </w:tc>
        <w:tc>
          <w:tcPr>
            <w:tcW w:w="791" w:type="pct"/>
          </w:tcPr>
          <w:p w14:paraId="7587708E">
            <w:pPr>
              <w:jc w:val="center"/>
              <w:rPr>
                <w:rFonts w:cs="Times New Roman"/>
                <w:b/>
                <w:bCs/>
                <w:color w:val="auto"/>
                <w:highlight w:val="none"/>
              </w:rPr>
            </w:pPr>
            <w:r>
              <w:rPr>
                <w:rFonts w:hint="eastAsia" w:ascii="宋体" w:hAnsi="宋体" w:cs="宋体"/>
                <w:b/>
                <w:bCs/>
                <w:caps/>
                <w:color w:val="auto"/>
                <w:sz w:val="22"/>
                <w:szCs w:val="22"/>
                <w:highlight w:val="none"/>
              </w:rPr>
              <w:t>标项名称</w:t>
            </w:r>
          </w:p>
        </w:tc>
        <w:tc>
          <w:tcPr>
            <w:tcW w:w="3737" w:type="pct"/>
          </w:tcPr>
          <w:p w14:paraId="67F5F863">
            <w:pPr>
              <w:jc w:val="center"/>
              <w:rPr>
                <w:rFonts w:cs="Times New Roman"/>
                <w:b/>
                <w:bCs/>
                <w:color w:val="auto"/>
                <w:highlight w:val="none"/>
              </w:rPr>
            </w:pPr>
            <w:r>
              <w:rPr>
                <w:rFonts w:hint="eastAsia" w:cs="Times New Roman"/>
                <w:b/>
                <w:bCs/>
                <w:color w:val="auto"/>
                <w:highlight w:val="none"/>
              </w:rPr>
              <w:t>付款方式</w:t>
            </w:r>
          </w:p>
        </w:tc>
      </w:tr>
      <w:tr w14:paraId="012A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71" w:type="pct"/>
            <w:vAlign w:val="center"/>
          </w:tcPr>
          <w:p w14:paraId="51D06B78">
            <w:pPr>
              <w:spacing w:line="400" w:lineRule="exact"/>
              <w:jc w:val="center"/>
              <w:rPr>
                <w:rFonts w:ascii="宋体" w:hAnsi="宋体" w:cs="宋体"/>
                <w:bCs/>
                <w:color w:val="auto"/>
                <w:sz w:val="22"/>
                <w:highlight w:val="none"/>
              </w:rPr>
            </w:pPr>
            <w:r>
              <w:rPr>
                <w:rFonts w:hint="eastAsia" w:ascii="宋体" w:hAnsi="宋体" w:cs="宋体"/>
                <w:bCs/>
                <w:color w:val="auto"/>
                <w:sz w:val="22"/>
                <w:highlight w:val="none"/>
              </w:rPr>
              <w:t>一</w:t>
            </w:r>
          </w:p>
        </w:tc>
        <w:tc>
          <w:tcPr>
            <w:tcW w:w="791" w:type="pct"/>
            <w:vAlign w:val="center"/>
          </w:tcPr>
          <w:p w14:paraId="43B7CE0F">
            <w:pPr>
              <w:spacing w:line="400" w:lineRule="exact"/>
              <w:jc w:val="center"/>
              <w:rPr>
                <w:rFonts w:ascii="宋体" w:hAnsi="宋体" w:cs="宋体"/>
                <w:bCs/>
                <w:color w:val="auto"/>
                <w:sz w:val="22"/>
                <w:highlight w:val="none"/>
              </w:rPr>
            </w:pPr>
            <w:r>
              <w:rPr>
                <w:rFonts w:hint="eastAsia" w:ascii="宋体" w:hAnsi="宋体" w:cs="宋体"/>
                <w:bCs/>
                <w:color w:val="auto"/>
                <w:sz w:val="22"/>
                <w:highlight w:val="none"/>
              </w:rPr>
              <w:t>便携式超声、麻醉工作站等</w:t>
            </w:r>
          </w:p>
        </w:tc>
        <w:tc>
          <w:tcPr>
            <w:tcW w:w="3737" w:type="pct"/>
          </w:tcPr>
          <w:p w14:paraId="7D68EBC3">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中标人若为中小企业，采购人在合同生效且项目具备实施条件后7个工作日内，向中标人支付合同总额的40%的预付款，预付款在后续货款中作相应抵扣。其余合同款项在安装验收合格后支付，采购人自收到发票后7个工作日内将货款支付给中标人。在签订合同时，中标人明确表示无需预付款的，合同款项在安装验收合格后支付，采购人自收到发票后7个工作日内将货款支付给中标人。</w:t>
            </w:r>
          </w:p>
          <w:p w14:paraId="3D29A1A2">
            <w:pPr>
              <w:adjustRightInd w:val="0"/>
              <w:spacing w:line="400" w:lineRule="atLeast"/>
              <w:ind w:firstLine="436" w:firstLineChars="196"/>
              <w:rPr>
                <w:rFonts w:cs="Times New Roman"/>
                <w:color w:val="auto"/>
                <w:highlight w:val="none"/>
              </w:rPr>
            </w:pPr>
            <w:r>
              <w:rPr>
                <w:rFonts w:hint="eastAsia" w:ascii="宋体" w:hAnsi="宋体" w:cs="宋体"/>
                <w:bCs/>
                <w:color w:val="auto"/>
                <w:sz w:val="22"/>
                <w:highlight w:val="none"/>
              </w:rPr>
              <w:t>中标人若为大型企业，合同款项在安装验收合格后支付。</w:t>
            </w:r>
          </w:p>
        </w:tc>
      </w:tr>
    </w:tbl>
    <w:p w14:paraId="5B29DE63">
      <w:pPr>
        <w:adjustRightInd w:val="0"/>
        <w:spacing w:line="400" w:lineRule="atLeast"/>
        <w:ind w:firstLine="436" w:firstLineChars="196"/>
        <w:rPr>
          <w:rFonts w:ascii="宋体"/>
          <w:b/>
          <w:bCs/>
          <w:color w:val="auto"/>
          <w:sz w:val="22"/>
          <w:szCs w:val="22"/>
          <w:highlight w:val="none"/>
        </w:rPr>
      </w:pPr>
    </w:p>
    <w:p w14:paraId="70454FA9">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3</w:t>
      </w:r>
      <w:r>
        <w:rPr>
          <w:rFonts w:ascii="宋体"/>
          <w:b/>
          <w:bCs/>
          <w:color w:val="auto"/>
          <w:sz w:val="22"/>
          <w:szCs w:val="22"/>
          <w:highlight w:val="none"/>
        </w:rPr>
        <w:t>.技术支持</w:t>
      </w:r>
    </w:p>
    <w:p w14:paraId="2E0DE794">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3</w:t>
      </w:r>
      <w:r>
        <w:rPr>
          <w:rFonts w:ascii="宋体"/>
          <w:color w:val="auto"/>
          <w:sz w:val="22"/>
          <w:szCs w:val="22"/>
          <w:highlight w:val="none"/>
        </w:rPr>
        <w:t>.1</w:t>
      </w:r>
      <w:r>
        <w:rPr>
          <w:rFonts w:hint="eastAsia" w:ascii="宋体" w:hAnsi="宋体" w:cs="宋体"/>
          <w:bCs/>
          <w:color w:val="auto"/>
          <w:sz w:val="22"/>
          <w:highlight w:val="none"/>
        </w:rPr>
        <w:t>中标商应提供免费软件升级，并及时提供设备新功能和临床应用的资料</w:t>
      </w:r>
      <w:r>
        <w:rPr>
          <w:rFonts w:hint="eastAsia" w:ascii="宋体"/>
          <w:color w:val="auto"/>
          <w:sz w:val="22"/>
          <w:szCs w:val="22"/>
          <w:highlight w:val="none"/>
        </w:rPr>
        <w:t>。</w:t>
      </w:r>
    </w:p>
    <w:p w14:paraId="6679E2DE">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4</w:t>
      </w:r>
      <w:r>
        <w:rPr>
          <w:rFonts w:ascii="宋体"/>
          <w:b/>
          <w:bCs/>
          <w:color w:val="auto"/>
          <w:sz w:val="22"/>
          <w:szCs w:val="22"/>
          <w:highlight w:val="none"/>
        </w:rPr>
        <w:t>.</w:t>
      </w:r>
      <w:r>
        <w:rPr>
          <w:rFonts w:ascii="宋体"/>
          <w:b/>
          <w:bCs/>
          <w:color w:val="auto"/>
          <w:sz w:val="22"/>
          <w:szCs w:val="22"/>
          <w:highlight w:val="none"/>
        </w:rPr>
        <w:tab/>
      </w:r>
      <w:r>
        <w:rPr>
          <w:rFonts w:ascii="宋体"/>
          <w:b/>
          <w:bCs/>
          <w:color w:val="auto"/>
          <w:sz w:val="22"/>
          <w:szCs w:val="22"/>
          <w:highlight w:val="none"/>
        </w:rPr>
        <w:t>培训</w:t>
      </w:r>
    </w:p>
    <w:p w14:paraId="6D015123">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4.1 投标商应按维修手册对用户的医学工程人员进行设备预防性维护，质量检测等培训，使用户的医学工程人员能熟练的掌握设备预防性维护，质量检测。必须提供详细的培训记录。</w:t>
      </w:r>
    </w:p>
    <w:p w14:paraId="66929A88">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4</w:t>
      </w:r>
      <w:r>
        <w:rPr>
          <w:rFonts w:ascii="宋体"/>
          <w:color w:val="auto"/>
          <w:sz w:val="22"/>
          <w:szCs w:val="22"/>
          <w:highlight w:val="none"/>
        </w:rPr>
        <w:t xml:space="preserve">.2 </w:t>
      </w:r>
      <w:r>
        <w:rPr>
          <w:rFonts w:hint="eastAsia" w:ascii="宋体"/>
          <w:color w:val="auto"/>
          <w:sz w:val="22"/>
          <w:szCs w:val="22"/>
          <w:highlight w:val="none"/>
        </w:rPr>
        <w:t>投标商应按操作手册对用户的操作人员进行操作培训，和日常保养培训。提供设备的操作规程，使其能对设备进行熟练的操作。要求提供详细的培训记录，培训完后需由投标商提供仪器的培训试题进行考核。</w:t>
      </w:r>
    </w:p>
    <w:p w14:paraId="213F4620">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4</w:t>
      </w:r>
      <w:r>
        <w:rPr>
          <w:rFonts w:ascii="宋体"/>
          <w:color w:val="auto"/>
          <w:sz w:val="22"/>
          <w:szCs w:val="22"/>
          <w:highlight w:val="none"/>
        </w:rPr>
        <w:t xml:space="preserve">.3 </w:t>
      </w:r>
      <w:r>
        <w:rPr>
          <w:rFonts w:hint="eastAsia" w:ascii="宋体"/>
          <w:color w:val="auto"/>
          <w:sz w:val="22"/>
          <w:szCs w:val="22"/>
          <w:highlight w:val="none"/>
        </w:rPr>
        <w:t>投标商在所提供的设备配套中应包括完整的操作手册二套，完整的维修手册一套和详细的维修图纸一套以及维修密码。</w:t>
      </w:r>
    </w:p>
    <w:p w14:paraId="1371F0A0">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4</w:t>
      </w:r>
      <w:r>
        <w:rPr>
          <w:rFonts w:ascii="宋体"/>
          <w:color w:val="auto"/>
          <w:sz w:val="22"/>
          <w:szCs w:val="22"/>
          <w:highlight w:val="none"/>
        </w:rPr>
        <w:t xml:space="preserve">.4 </w:t>
      </w:r>
      <w:r>
        <w:rPr>
          <w:rFonts w:hint="eastAsia" w:ascii="宋体"/>
          <w:color w:val="auto"/>
          <w:sz w:val="22"/>
          <w:szCs w:val="22"/>
          <w:highlight w:val="none"/>
        </w:rPr>
        <w:t>上述培训所需的所有费用包含在投标总价中。</w:t>
      </w:r>
    </w:p>
    <w:p w14:paraId="1528EA0B">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 xml:space="preserve">5. </w:t>
      </w:r>
      <w:r>
        <w:rPr>
          <w:rFonts w:ascii="宋体"/>
          <w:b/>
          <w:bCs/>
          <w:color w:val="auto"/>
          <w:sz w:val="22"/>
          <w:szCs w:val="22"/>
          <w:highlight w:val="none"/>
        </w:rPr>
        <w:t>安装调试</w:t>
      </w:r>
    </w:p>
    <w:p w14:paraId="5DA75926">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5.1 </w:t>
      </w:r>
      <w:r>
        <w:rPr>
          <w:rFonts w:ascii="宋体"/>
          <w:color w:val="auto"/>
          <w:sz w:val="22"/>
          <w:szCs w:val="22"/>
          <w:highlight w:val="none"/>
        </w:rPr>
        <w:t>安装地点：</w:t>
      </w:r>
      <w:r>
        <w:rPr>
          <w:rFonts w:hint="eastAsia" w:ascii="宋体"/>
          <w:color w:val="auto"/>
          <w:sz w:val="22"/>
          <w:szCs w:val="22"/>
          <w:highlight w:val="none"/>
        </w:rPr>
        <w:t>泰顺县中医院（泰顺县中医院医共体）指定地点。</w:t>
      </w:r>
    </w:p>
    <w:p w14:paraId="7813E6A3">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5.2 </w:t>
      </w:r>
      <w:r>
        <w:rPr>
          <w:rFonts w:ascii="宋体"/>
          <w:color w:val="auto"/>
          <w:sz w:val="22"/>
          <w:szCs w:val="22"/>
          <w:highlight w:val="none"/>
        </w:rPr>
        <w:t>安装完成时间：</w:t>
      </w:r>
      <w:r>
        <w:rPr>
          <w:rFonts w:hint="eastAsia" w:ascii="宋体"/>
          <w:color w:val="auto"/>
          <w:sz w:val="22"/>
          <w:szCs w:val="22"/>
          <w:highlight w:val="none"/>
        </w:rPr>
        <w:t>仪器到货后，接到用户通知后3天内完成安装和调试。</w:t>
      </w:r>
      <w:r>
        <w:rPr>
          <w:rFonts w:ascii="宋体"/>
          <w:color w:val="auto"/>
          <w:sz w:val="22"/>
          <w:szCs w:val="22"/>
          <w:highlight w:val="none"/>
        </w:rPr>
        <w:t>如在规定的时间内由于</w:t>
      </w:r>
      <w:r>
        <w:rPr>
          <w:rFonts w:hint="eastAsia" w:ascii="宋体"/>
          <w:color w:val="auto"/>
          <w:sz w:val="22"/>
          <w:szCs w:val="22"/>
          <w:highlight w:val="none"/>
        </w:rPr>
        <w:t>中标方</w:t>
      </w:r>
      <w:r>
        <w:rPr>
          <w:rFonts w:ascii="宋体"/>
          <w:color w:val="auto"/>
          <w:sz w:val="22"/>
          <w:szCs w:val="22"/>
          <w:highlight w:val="none"/>
        </w:rPr>
        <w:t>的原因不能完成安装和调试，投标方应承担由此给用户造成的损失</w:t>
      </w:r>
      <w:r>
        <w:rPr>
          <w:rFonts w:hint="eastAsia" w:ascii="宋体"/>
          <w:color w:val="auto"/>
          <w:sz w:val="22"/>
          <w:szCs w:val="22"/>
          <w:highlight w:val="none"/>
        </w:rPr>
        <w:t>。</w:t>
      </w:r>
    </w:p>
    <w:p w14:paraId="2E83E145">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5.3 </w:t>
      </w:r>
      <w:r>
        <w:rPr>
          <w:rFonts w:ascii="宋体"/>
          <w:color w:val="auto"/>
          <w:sz w:val="22"/>
          <w:szCs w:val="22"/>
          <w:highlight w:val="none"/>
        </w:rPr>
        <w:t>安装标准：符合我国国家有关技术规范要求和技术标准。</w:t>
      </w:r>
    </w:p>
    <w:p w14:paraId="1465D6D5">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5.4 </w:t>
      </w:r>
      <w:r>
        <w:rPr>
          <w:rFonts w:ascii="宋体"/>
          <w:color w:val="auto"/>
          <w:sz w:val="22"/>
          <w:szCs w:val="22"/>
          <w:highlight w:val="none"/>
        </w:rPr>
        <w:t>安装过程中发生的</w:t>
      </w:r>
      <w:r>
        <w:rPr>
          <w:rFonts w:hint="eastAsia" w:ascii="宋体"/>
          <w:color w:val="auto"/>
          <w:sz w:val="22"/>
          <w:szCs w:val="22"/>
          <w:highlight w:val="none"/>
        </w:rPr>
        <w:t>包括但不限于装卸、搬运和设备保险等</w:t>
      </w:r>
      <w:r>
        <w:rPr>
          <w:rFonts w:ascii="宋体"/>
          <w:color w:val="auto"/>
          <w:sz w:val="22"/>
          <w:szCs w:val="22"/>
          <w:highlight w:val="none"/>
        </w:rPr>
        <w:t>费用由</w:t>
      </w:r>
      <w:r>
        <w:rPr>
          <w:rFonts w:hint="eastAsia" w:ascii="宋体"/>
          <w:color w:val="auto"/>
          <w:sz w:val="22"/>
          <w:szCs w:val="22"/>
          <w:highlight w:val="none"/>
        </w:rPr>
        <w:t>中标方</w:t>
      </w:r>
      <w:r>
        <w:rPr>
          <w:rFonts w:ascii="宋体"/>
          <w:color w:val="auto"/>
          <w:sz w:val="22"/>
          <w:szCs w:val="22"/>
          <w:highlight w:val="none"/>
        </w:rPr>
        <w:t>负责。</w:t>
      </w:r>
    </w:p>
    <w:p w14:paraId="21EF56CA">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5.5</w:t>
      </w:r>
      <w:r>
        <w:rPr>
          <w:rFonts w:ascii="宋体"/>
          <w:color w:val="auto"/>
          <w:sz w:val="22"/>
          <w:szCs w:val="22"/>
          <w:highlight w:val="none"/>
        </w:rPr>
        <w:t xml:space="preserve"> 投标商应在投标文件中提供其安装调试过程中医院需配合的内容。</w:t>
      </w:r>
    </w:p>
    <w:p w14:paraId="75E139B4">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6</w:t>
      </w:r>
      <w:r>
        <w:rPr>
          <w:rFonts w:ascii="宋体"/>
          <w:b/>
          <w:bCs/>
          <w:color w:val="auto"/>
          <w:sz w:val="22"/>
          <w:szCs w:val="22"/>
          <w:highlight w:val="none"/>
        </w:rPr>
        <w:t>.</w:t>
      </w:r>
      <w:r>
        <w:rPr>
          <w:rFonts w:ascii="宋体"/>
          <w:b/>
          <w:bCs/>
          <w:color w:val="auto"/>
          <w:sz w:val="22"/>
          <w:szCs w:val="22"/>
          <w:highlight w:val="none"/>
        </w:rPr>
        <w:tab/>
      </w:r>
      <w:r>
        <w:rPr>
          <w:rFonts w:ascii="宋体"/>
          <w:b/>
          <w:bCs/>
          <w:color w:val="auto"/>
          <w:sz w:val="22"/>
          <w:szCs w:val="22"/>
          <w:highlight w:val="none"/>
        </w:rPr>
        <w:t>验收</w:t>
      </w:r>
    </w:p>
    <w:p w14:paraId="5C6FA2AE">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6.1 </w:t>
      </w:r>
      <w:r>
        <w:rPr>
          <w:rFonts w:ascii="宋体"/>
          <w:color w:val="auto"/>
          <w:sz w:val="22"/>
          <w:szCs w:val="22"/>
          <w:highlight w:val="none"/>
        </w:rPr>
        <w:t>供货方应提供设备的有效检验文件，经</w:t>
      </w:r>
      <w:r>
        <w:rPr>
          <w:rFonts w:hint="eastAsia" w:ascii="宋体"/>
          <w:color w:val="auto"/>
          <w:sz w:val="22"/>
          <w:szCs w:val="22"/>
          <w:highlight w:val="none"/>
        </w:rPr>
        <w:t>采购人</w:t>
      </w:r>
      <w:r>
        <w:rPr>
          <w:rFonts w:ascii="宋体"/>
          <w:color w:val="auto"/>
          <w:sz w:val="22"/>
          <w:szCs w:val="22"/>
          <w:highlight w:val="none"/>
        </w:rPr>
        <w:t>认可后，与设备性能指标、合同内容一起作为设备验收标准。</w:t>
      </w:r>
      <w:r>
        <w:rPr>
          <w:rFonts w:hint="eastAsia" w:ascii="宋体"/>
          <w:color w:val="auto"/>
          <w:sz w:val="22"/>
          <w:szCs w:val="22"/>
          <w:highlight w:val="none"/>
        </w:rPr>
        <w:t>采购人</w:t>
      </w:r>
      <w:r>
        <w:rPr>
          <w:rFonts w:ascii="宋体"/>
          <w:color w:val="auto"/>
          <w:sz w:val="22"/>
          <w:szCs w:val="22"/>
          <w:highlight w:val="none"/>
        </w:rPr>
        <w:t>对设备验收合格后，双方共同签署验收合格证书并加盖公章。验收中发现设备达不到验收标准或合同规定的性能指标，</w:t>
      </w:r>
      <w:r>
        <w:rPr>
          <w:rFonts w:hint="eastAsia" w:ascii="宋体"/>
          <w:color w:val="auto"/>
          <w:sz w:val="22"/>
          <w:szCs w:val="22"/>
          <w:highlight w:val="none"/>
        </w:rPr>
        <w:t>中标方</w:t>
      </w:r>
      <w:r>
        <w:rPr>
          <w:rFonts w:ascii="宋体"/>
          <w:color w:val="auto"/>
          <w:sz w:val="22"/>
          <w:szCs w:val="22"/>
          <w:highlight w:val="none"/>
        </w:rPr>
        <w:t>必须更换设备。并且赔偿由此给用户造成的损失。</w:t>
      </w:r>
    </w:p>
    <w:p w14:paraId="41C0C374">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6.2 </w:t>
      </w:r>
      <w:r>
        <w:rPr>
          <w:rFonts w:ascii="宋体"/>
          <w:color w:val="auto"/>
          <w:sz w:val="22"/>
          <w:szCs w:val="22"/>
          <w:highlight w:val="none"/>
        </w:rPr>
        <w:t>验收费用由</w:t>
      </w:r>
      <w:r>
        <w:rPr>
          <w:rFonts w:hint="eastAsia" w:ascii="宋体"/>
          <w:color w:val="auto"/>
          <w:sz w:val="22"/>
          <w:szCs w:val="22"/>
          <w:highlight w:val="none"/>
        </w:rPr>
        <w:t>投标供应商</w:t>
      </w:r>
      <w:r>
        <w:rPr>
          <w:rFonts w:ascii="宋体"/>
          <w:color w:val="auto"/>
          <w:sz w:val="22"/>
          <w:szCs w:val="22"/>
          <w:highlight w:val="none"/>
        </w:rPr>
        <w:t>负担。</w:t>
      </w:r>
    </w:p>
    <w:p w14:paraId="1B17159B">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7. 其它</w:t>
      </w:r>
    </w:p>
    <w:p w14:paraId="5FA49454">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7</w:t>
      </w:r>
      <w:r>
        <w:rPr>
          <w:rFonts w:ascii="宋体"/>
          <w:color w:val="auto"/>
          <w:sz w:val="22"/>
          <w:szCs w:val="22"/>
          <w:highlight w:val="none"/>
        </w:rPr>
        <w:t>.1</w:t>
      </w:r>
      <w:r>
        <w:rPr>
          <w:rFonts w:hint="eastAsia" w:ascii="宋体"/>
          <w:color w:val="auto"/>
          <w:sz w:val="22"/>
          <w:szCs w:val="22"/>
          <w:highlight w:val="none"/>
        </w:rPr>
        <w:t>合同内容不应与投标文件及承诺书内容有抵触，未在投标文件中列出、且不被用户所认可的内容，将不能作为合同条款的一部分。</w:t>
      </w:r>
    </w:p>
    <w:p w14:paraId="47DB3D1F">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w:t>
      </w:r>
      <w:r>
        <w:rPr>
          <w:rFonts w:hint="eastAsia" w:ascii="宋体"/>
          <w:color w:val="auto"/>
          <w:sz w:val="22"/>
          <w:szCs w:val="22"/>
          <w:highlight w:val="none"/>
        </w:rPr>
        <w:t>7</w:t>
      </w:r>
      <w:r>
        <w:rPr>
          <w:rFonts w:ascii="宋体"/>
          <w:color w:val="auto"/>
          <w:sz w:val="22"/>
          <w:szCs w:val="22"/>
          <w:highlight w:val="none"/>
        </w:rPr>
        <w:t>.2</w:t>
      </w:r>
      <w:r>
        <w:rPr>
          <w:rFonts w:hint="eastAsia" w:ascii="宋体"/>
          <w:color w:val="auto"/>
          <w:sz w:val="22"/>
          <w:szCs w:val="22"/>
          <w:highlight w:val="none"/>
        </w:rPr>
        <w:t>如在合同期内，合同执行与法律，法规或政府行政部门的要求发生抵触，则应按法律，法规或政府行政部门的要求及规定执行，院方有权终止合同。</w:t>
      </w:r>
    </w:p>
    <w:p w14:paraId="40C4A999">
      <w:pPr>
        <w:rPr>
          <w:color w:val="auto"/>
          <w:highlight w:val="none"/>
        </w:rPr>
      </w:pPr>
    </w:p>
    <w:p w14:paraId="53AB3C88">
      <w:pPr>
        <w:spacing w:line="400" w:lineRule="exact"/>
        <w:ind w:firstLine="446" w:firstLineChars="200"/>
        <w:rPr>
          <w:rFonts w:ascii="宋体" w:cs="宋体"/>
          <w:color w:val="auto"/>
          <w:sz w:val="22"/>
          <w:szCs w:val="22"/>
          <w:highlight w:val="none"/>
        </w:rPr>
      </w:pPr>
    </w:p>
    <w:p w14:paraId="6B3E0119">
      <w:pPr>
        <w:adjustRightInd w:val="0"/>
        <w:snapToGrid w:val="0"/>
        <w:spacing w:line="454" w:lineRule="atLeast"/>
        <w:jc w:val="left"/>
        <w:rPr>
          <w:rFonts w:ascii="宋体" w:hAnsi="宋体"/>
          <w:b/>
          <w:color w:val="auto"/>
          <w:sz w:val="32"/>
          <w:szCs w:val="32"/>
          <w:highlight w:val="none"/>
        </w:rPr>
      </w:pPr>
    </w:p>
    <w:p w14:paraId="44BD182A">
      <w:pPr>
        <w:adjustRightInd w:val="0"/>
        <w:snapToGrid w:val="0"/>
        <w:spacing w:line="454" w:lineRule="atLeast"/>
        <w:jc w:val="center"/>
        <w:rPr>
          <w:rFonts w:ascii="宋体" w:hAnsi="宋体"/>
          <w:b/>
          <w:color w:val="auto"/>
          <w:sz w:val="32"/>
          <w:szCs w:val="32"/>
          <w:highlight w:val="none"/>
        </w:rPr>
      </w:pPr>
    </w:p>
    <w:p w14:paraId="2554D54E">
      <w:pPr>
        <w:adjustRightInd w:val="0"/>
        <w:snapToGrid w:val="0"/>
        <w:spacing w:line="454" w:lineRule="atLeast"/>
        <w:rPr>
          <w:rFonts w:ascii="宋体" w:hAnsi="宋体"/>
          <w:b/>
          <w:color w:val="auto"/>
          <w:sz w:val="32"/>
          <w:szCs w:val="32"/>
          <w:highlight w:val="none"/>
        </w:rPr>
      </w:pPr>
    </w:p>
    <w:p w14:paraId="4287E734">
      <w:pPr>
        <w:adjustRightInd w:val="0"/>
        <w:snapToGrid w:val="0"/>
        <w:spacing w:line="454" w:lineRule="atLeast"/>
        <w:jc w:val="center"/>
        <w:rPr>
          <w:rFonts w:ascii="宋体" w:hAnsi="宋体"/>
          <w:b/>
          <w:color w:val="auto"/>
          <w:sz w:val="32"/>
          <w:szCs w:val="32"/>
          <w:highlight w:val="none"/>
        </w:rPr>
      </w:pPr>
    </w:p>
    <w:p w14:paraId="72BD95DF">
      <w:pPr>
        <w:adjustRightInd w:val="0"/>
        <w:snapToGrid w:val="0"/>
        <w:spacing w:line="454" w:lineRule="atLeast"/>
        <w:jc w:val="center"/>
        <w:rPr>
          <w:rFonts w:ascii="宋体" w:hAnsi="宋体"/>
          <w:b/>
          <w:color w:val="auto"/>
          <w:sz w:val="32"/>
          <w:szCs w:val="32"/>
          <w:highlight w:val="none"/>
        </w:rPr>
      </w:pPr>
    </w:p>
    <w:p w14:paraId="6E2B8000">
      <w:pPr>
        <w:adjustRightInd w:val="0"/>
        <w:snapToGrid w:val="0"/>
        <w:spacing w:line="454" w:lineRule="atLeast"/>
        <w:rPr>
          <w:rFonts w:ascii="宋体" w:hAnsi="宋体"/>
          <w:b/>
          <w:color w:val="auto"/>
          <w:sz w:val="32"/>
          <w:szCs w:val="32"/>
          <w:highlight w:val="none"/>
        </w:rPr>
      </w:pPr>
    </w:p>
    <w:p w14:paraId="15DA60BC">
      <w:pPr>
        <w:adjustRightInd w:val="0"/>
        <w:snapToGrid w:val="0"/>
        <w:spacing w:line="454" w:lineRule="atLeast"/>
        <w:jc w:val="center"/>
        <w:rPr>
          <w:rFonts w:ascii="宋体" w:hAnsi="宋体"/>
          <w:b/>
          <w:color w:val="auto"/>
          <w:sz w:val="32"/>
          <w:szCs w:val="32"/>
          <w:highlight w:val="none"/>
        </w:rPr>
      </w:pPr>
    </w:p>
    <w:p w14:paraId="75BDD2F4">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0E52BF7F">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1789317F">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053C9E1F">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供应商必须对所投标项全部内容进行投标报价，只对部分内容进行报价的供应商将按无效投标处理。</w:t>
      </w:r>
    </w:p>
    <w:p w14:paraId="018ABB98">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、无论投标过程中的作法和结果如何，供应商自行承担投标活动中所发生的全部费用；采购人有权选择供应商的供货和服务范围。</w:t>
      </w:r>
    </w:p>
    <w:p w14:paraId="424B6FC4">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630B78DC">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4A28803D">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0ECC88B8">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6、知识产权</w:t>
      </w:r>
    </w:p>
    <w:p w14:paraId="57A5A52D">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供应商应保证，采购人在中华人民共和国使用货物和服务的任何一部分时，免受第三方提出侵犯其专利权、商标权或其它知识产权的起诉。</w:t>
      </w:r>
    </w:p>
    <w:p w14:paraId="08BEA13E">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6.2投标供应商应对采购人在使用该产品时所涉及到的专利权负责，不损害采购人的利益。</w:t>
      </w:r>
    </w:p>
    <w:p w14:paraId="143C7E99">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6FD17A76">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6.4投标供应商提供得货物中如使用其他公司的相关专利，应在标书中出示相关授权，如未出示但使用了其他公司的专利，导致供应商中标而引起相关诉讼，由投标供应商承担。</w:t>
      </w:r>
    </w:p>
    <w:p w14:paraId="5253FAA0">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14:paraId="0F4956DD">
      <w:pPr>
        <w:adjustRightInd w:val="0"/>
        <w:spacing w:line="400" w:lineRule="atLeast"/>
        <w:ind w:firstLine="436" w:firstLineChars="196"/>
        <w:rPr>
          <w:rFonts w:hint="eastAsia" w:ascii="宋体" w:eastAsia="宋体"/>
          <w:color w:val="auto"/>
          <w:sz w:val="22"/>
          <w:highlight w:val="none"/>
          <w:lang w:val="zh-CN" w:eastAsia="zh-CN"/>
        </w:rPr>
      </w:pPr>
      <w:r>
        <w:rPr>
          <w:rFonts w:hint="eastAsia" w:ascii="宋体" w:eastAsia="宋体"/>
          <w:color w:val="auto"/>
          <w:sz w:val="22"/>
          <w:highlight w:val="none"/>
          <w:lang w:val="en-US" w:eastAsia="zh-CN"/>
        </w:rPr>
        <w:t>8</w:t>
      </w:r>
      <w:r>
        <w:rPr>
          <w:rFonts w:hint="eastAsia" w:ascii="宋体" w:eastAsia="宋体"/>
          <w:color w:val="auto"/>
          <w:sz w:val="22"/>
          <w:highlight w:val="none"/>
        </w:rPr>
        <w:t>、</w:t>
      </w:r>
      <w:r>
        <w:rPr>
          <w:rFonts w:hint="eastAsia" w:ascii="宋体" w:eastAsia="宋体"/>
          <w:b/>
          <w:bCs/>
          <w:color w:val="auto"/>
          <w:sz w:val="22"/>
          <w:highlight w:val="none"/>
        </w:rPr>
        <w:t>招标文件中所列品牌、</w:t>
      </w:r>
      <w:r>
        <w:rPr>
          <w:rFonts w:hint="eastAsia" w:ascii="宋体" w:eastAsia="宋体"/>
          <w:b/>
          <w:bCs/>
          <w:color w:val="auto"/>
          <w:sz w:val="22"/>
          <w:highlight w:val="none"/>
          <w:lang w:val="en-US" w:eastAsia="zh-CN"/>
        </w:rPr>
        <w:t>型号、</w:t>
      </w:r>
      <w:r>
        <w:rPr>
          <w:rFonts w:hint="eastAsia" w:ascii="宋体" w:eastAsia="宋体"/>
          <w:b/>
          <w:bCs/>
          <w:color w:val="auto"/>
          <w:sz w:val="22"/>
          <w:highlight w:val="none"/>
        </w:rPr>
        <w:t>技术参数是为了对拟设备的技术指标和功能要求更好的说明，欢迎其他能满足或优于本项目技术需求的产品参加</w:t>
      </w:r>
      <w:r>
        <w:rPr>
          <w:rFonts w:hint="eastAsia" w:ascii="宋体" w:eastAsia="宋体"/>
          <w:b/>
          <w:bCs/>
          <w:color w:val="auto"/>
          <w:sz w:val="22"/>
          <w:highlight w:val="none"/>
          <w:lang w:eastAsia="zh-CN"/>
        </w:rPr>
        <w:t>。</w:t>
      </w:r>
    </w:p>
    <w:p w14:paraId="49653133">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9、</w:t>
      </w:r>
      <w:r>
        <w:rPr>
          <w:rFonts w:hint="eastAsia" w:ascii="宋体" w:eastAsia="宋体"/>
          <w:color w:val="auto"/>
          <w:sz w:val="22"/>
          <w:highlight w:val="none"/>
          <w:lang w:val="zh-CN"/>
        </w:rPr>
        <w:t>为采购项目提供整体设计、规范编制或者项目管理、监理、检测等服务的供应商，不得再参加该采购项目的其他采购活动。</w:t>
      </w:r>
    </w:p>
    <w:p w14:paraId="5CE048FD">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10</w:t>
      </w:r>
      <w:r>
        <w:rPr>
          <w:rFonts w:hint="eastAsia" w:ascii="宋体" w:eastAsia="宋体"/>
          <w:color w:val="auto"/>
          <w:sz w:val="22"/>
          <w:highlight w:val="none"/>
        </w:rPr>
        <w:t>、</w:t>
      </w:r>
      <w:r>
        <w:rPr>
          <w:rFonts w:hint="eastAsia" w:ascii="宋体" w:eastAsia="宋体"/>
          <w:color w:val="auto"/>
          <w:sz w:val="22"/>
          <w:highlight w:val="none"/>
          <w:lang w:val="zh-CN"/>
        </w:rPr>
        <w:t>本项目投标文件签章须采用供应商正式公章，不得以投标专用章或业务章、合同章等代替。</w:t>
      </w:r>
    </w:p>
    <w:p w14:paraId="17FB7226">
      <w:pPr>
        <w:autoSpaceDE w:val="0"/>
        <w:autoSpaceDN w:val="0"/>
        <w:adjustRightInd w:val="0"/>
        <w:spacing w:line="400" w:lineRule="atLeast"/>
        <w:ind w:firstLine="446" w:firstLineChars="200"/>
        <w:textAlignment w:val="bottom"/>
        <w:rPr>
          <w:rFonts w:ascii="宋体" w:eastAsia="宋体"/>
          <w:b/>
          <w:color w:val="auto"/>
          <w:sz w:val="22"/>
          <w:szCs w:val="22"/>
          <w:highlight w:val="none"/>
        </w:rPr>
      </w:pPr>
      <w:r>
        <w:rPr>
          <w:rFonts w:hint="eastAsia" w:ascii="宋体" w:hAnsi="宋体" w:eastAsia="宋体"/>
          <w:color w:val="auto"/>
          <w:sz w:val="22"/>
          <w:szCs w:val="22"/>
          <w:highlight w:val="none"/>
        </w:rPr>
        <w:t>1</w:t>
      </w:r>
      <w:r>
        <w:rPr>
          <w:rFonts w:hint="eastAsia" w:ascii="宋体" w:hAnsi="宋体" w:eastAsia="宋体"/>
          <w:color w:val="auto"/>
          <w:sz w:val="22"/>
          <w:szCs w:val="22"/>
          <w:highlight w:val="none"/>
          <w:lang w:val="en-US" w:eastAsia="zh-CN"/>
        </w:rPr>
        <w:t>1</w:t>
      </w:r>
      <w:r>
        <w:rPr>
          <w:rFonts w:hint="eastAsia" w:ascii="宋体" w:hAnsi="宋体" w:eastAsia="宋体"/>
          <w:color w:val="auto"/>
          <w:sz w:val="22"/>
          <w:szCs w:val="22"/>
          <w:highlight w:val="none"/>
        </w:rPr>
        <w:t>、</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rPr>
        <w:t>供应商须具有良好的商业信誉：</w:t>
      </w:r>
    </w:p>
    <w:p w14:paraId="4B06C259">
      <w:pPr>
        <w:autoSpaceDE w:val="0"/>
        <w:autoSpaceDN w:val="0"/>
        <w:adjustRightInd w:val="0"/>
        <w:spacing w:line="400" w:lineRule="atLeast"/>
        <w:ind w:firstLine="446" w:firstLineChars="200"/>
        <w:textAlignment w:val="bottom"/>
        <w:rPr>
          <w:rFonts w:hint="eastAsia" w:ascii="宋体" w:hAnsi="宋体" w:eastAsia="宋体"/>
          <w:b/>
          <w:color w:val="auto"/>
          <w:sz w:val="22"/>
          <w:szCs w:val="22"/>
          <w:highlight w:val="none"/>
          <w:u w:val="single"/>
        </w:rPr>
      </w:pPr>
      <w:r>
        <w:rPr>
          <w:rFonts w:ascii="宋体" w:hAnsi="宋体" w:eastAsia="宋体"/>
          <w:b/>
          <w:color w:val="auto"/>
          <w:sz w:val="22"/>
          <w:szCs w:val="22"/>
          <w:highlight w:val="none"/>
          <w:u w:val="single"/>
        </w:rPr>
        <w:t>1</w:t>
      </w:r>
      <w:r>
        <w:rPr>
          <w:rFonts w:hint="eastAsia" w:ascii="宋体" w:hAnsi="宋体" w:eastAsia="宋体"/>
          <w:b/>
          <w:color w:val="auto"/>
          <w:sz w:val="22"/>
          <w:szCs w:val="22"/>
          <w:highlight w:val="none"/>
          <w:u w:val="single"/>
        </w:rPr>
        <w:t>）供应商在国家企业信用信息公示系统网（https://www.gsxt.gov.cn/）无严重违法企业记录。</w:t>
      </w:r>
    </w:p>
    <w:p w14:paraId="1585D842">
      <w:pPr>
        <w:autoSpaceDE w:val="0"/>
        <w:autoSpaceDN w:val="0"/>
        <w:adjustRightInd w:val="0"/>
        <w:spacing w:line="400" w:lineRule="atLeast"/>
        <w:ind w:firstLine="446" w:firstLineChars="200"/>
        <w:textAlignment w:val="bottom"/>
        <w:rPr>
          <w:rFonts w:ascii="宋体" w:eastAsia="宋体"/>
          <w:b/>
          <w:color w:val="auto"/>
          <w:sz w:val="22"/>
          <w:szCs w:val="22"/>
          <w:highlight w:val="none"/>
          <w:u w:val="single"/>
        </w:rPr>
      </w:pPr>
      <w:r>
        <w:rPr>
          <w:rFonts w:ascii="宋体" w:hAnsi="宋体" w:eastAsia="宋体"/>
          <w:b/>
          <w:color w:val="auto"/>
          <w:sz w:val="22"/>
          <w:szCs w:val="22"/>
          <w:highlight w:val="none"/>
          <w:u w:val="single"/>
        </w:rPr>
        <w:t>2</w:t>
      </w:r>
      <w:r>
        <w:rPr>
          <w:rFonts w:hint="eastAsia" w:ascii="宋体" w:hAnsi="宋体" w:eastAsia="宋体"/>
          <w:b/>
          <w:color w:val="auto"/>
          <w:sz w:val="22"/>
          <w:szCs w:val="22"/>
          <w:highlight w:val="none"/>
          <w:u w:val="single"/>
        </w:rPr>
        <w:t>）供应商在中国执行信息公开网（http://zxgk.court.gov.cn/）无失信信息记录。</w:t>
      </w:r>
      <w:r>
        <w:rPr>
          <w:rFonts w:ascii="宋体" w:hAnsi="宋体" w:eastAsia="宋体"/>
          <w:b/>
          <w:color w:val="auto"/>
          <w:sz w:val="22"/>
          <w:szCs w:val="22"/>
          <w:highlight w:val="none"/>
          <w:u w:val="single"/>
        </w:rPr>
        <w:t xml:space="preserve">   </w:t>
      </w:r>
    </w:p>
    <w:p w14:paraId="6A5FCF43">
      <w:pPr>
        <w:autoSpaceDE w:val="0"/>
        <w:autoSpaceDN w:val="0"/>
        <w:adjustRightInd w:val="0"/>
        <w:spacing w:line="400" w:lineRule="atLeast"/>
        <w:ind w:firstLine="446" w:firstLineChars="200"/>
        <w:textAlignment w:val="bottom"/>
        <w:rPr>
          <w:rFonts w:ascii="宋体" w:eastAsia="宋体"/>
          <w:b/>
          <w:color w:val="auto"/>
          <w:sz w:val="22"/>
          <w:szCs w:val="22"/>
          <w:highlight w:val="none"/>
          <w:u w:val="single"/>
        </w:rPr>
      </w:pPr>
      <w:r>
        <w:rPr>
          <w:rFonts w:ascii="宋体" w:hAnsi="宋体" w:eastAsia="宋体"/>
          <w:b/>
          <w:color w:val="auto"/>
          <w:sz w:val="22"/>
          <w:szCs w:val="22"/>
          <w:highlight w:val="none"/>
          <w:u w:val="single"/>
        </w:rPr>
        <w:t>3</w:t>
      </w:r>
      <w:r>
        <w:rPr>
          <w:rFonts w:hint="eastAsia" w:ascii="宋体" w:hAnsi="宋体" w:eastAsia="宋体"/>
          <w:b/>
          <w:color w:val="auto"/>
          <w:sz w:val="22"/>
          <w:szCs w:val="22"/>
          <w:highlight w:val="none"/>
          <w:u w:val="single"/>
        </w:rPr>
        <w:t>）供应商在中国政府采购网（http://www.ccgp.gov.cn/search/cr/）无严重违法行为记录。</w:t>
      </w:r>
      <w:r>
        <w:rPr>
          <w:rFonts w:ascii="宋体" w:hAnsi="宋体" w:eastAsia="宋体"/>
          <w:b/>
          <w:color w:val="auto"/>
          <w:sz w:val="22"/>
          <w:szCs w:val="22"/>
          <w:highlight w:val="none"/>
          <w:u w:val="single"/>
        </w:rPr>
        <w:t xml:space="preserve">   </w:t>
      </w:r>
    </w:p>
    <w:p w14:paraId="47E2D0B7">
      <w:pPr>
        <w:widowControl/>
        <w:snapToGrid w:val="0"/>
        <w:spacing w:line="400" w:lineRule="atLeast"/>
        <w:ind w:left="443" w:leftChars="208"/>
        <w:jc w:val="left"/>
        <w:rPr>
          <w:rFonts w:ascii="宋体" w:eastAsia="宋体"/>
          <w:b/>
          <w:color w:val="auto"/>
          <w:sz w:val="22"/>
          <w:szCs w:val="22"/>
          <w:highlight w:val="none"/>
          <w:u w:val="single"/>
        </w:rPr>
      </w:pPr>
      <w:r>
        <w:rPr>
          <w:rFonts w:ascii="宋体" w:hAnsi="宋体" w:eastAsia="宋体"/>
          <w:b/>
          <w:color w:val="auto"/>
          <w:sz w:val="22"/>
          <w:szCs w:val="22"/>
          <w:highlight w:val="none"/>
          <w:u w:val="single"/>
        </w:rPr>
        <w:t>4</w:t>
      </w:r>
      <w:r>
        <w:rPr>
          <w:rFonts w:hint="eastAsia" w:ascii="宋体" w:hAnsi="宋体" w:eastAsia="宋体"/>
          <w:b/>
          <w:color w:val="auto"/>
          <w:sz w:val="22"/>
          <w:szCs w:val="22"/>
          <w:highlight w:val="none"/>
          <w:u w:val="single"/>
        </w:rPr>
        <w:t>）未被各级财政部门列入政府采购黑名单或被各级财政部门禁止参加政府采购项目投标。</w:t>
      </w:r>
      <w:r>
        <w:rPr>
          <w:rFonts w:ascii="宋体" w:hAnsi="宋体" w:eastAsia="宋体"/>
          <w:b/>
          <w:color w:val="auto"/>
          <w:sz w:val="22"/>
          <w:szCs w:val="22"/>
          <w:highlight w:val="none"/>
          <w:u w:val="single"/>
        </w:rPr>
        <w:t xml:space="preserve">    </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u w:val="single"/>
        </w:rPr>
        <w:t>如供应商有上述情形并参与本项目投标的，一经查实，其投标做无效投标处理。</w:t>
      </w:r>
    </w:p>
    <w:p w14:paraId="1F9C72DE">
      <w:pPr>
        <w:widowControl/>
        <w:snapToGrid w:val="0"/>
        <w:spacing w:line="400" w:lineRule="atLeast"/>
        <w:ind w:firstLine="446" w:firstLineChars="200"/>
        <w:jc w:val="left"/>
        <w:rPr>
          <w:rFonts w:ascii="宋体" w:eastAsia="宋体"/>
          <w:b/>
          <w:color w:val="auto"/>
          <w:sz w:val="22"/>
          <w:szCs w:val="22"/>
          <w:highlight w:val="none"/>
        </w:rPr>
      </w:pPr>
      <w:r>
        <w:rPr>
          <w:rFonts w:hint="eastAsia" w:ascii="宋体" w:hAnsi="宋体" w:eastAsia="宋体"/>
          <w:b/>
          <w:color w:val="auto"/>
          <w:sz w:val="22"/>
          <w:szCs w:val="22"/>
          <w:highlight w:val="none"/>
        </w:rPr>
        <w:t>1</w:t>
      </w:r>
      <w:r>
        <w:rPr>
          <w:rFonts w:hint="eastAsia" w:ascii="宋体" w:hAnsi="宋体" w:eastAsia="宋体"/>
          <w:b/>
          <w:color w:val="auto"/>
          <w:sz w:val="22"/>
          <w:szCs w:val="22"/>
          <w:highlight w:val="none"/>
          <w:lang w:val="en-US" w:eastAsia="zh-CN"/>
        </w:rPr>
        <w:t>2</w:t>
      </w:r>
      <w:r>
        <w:rPr>
          <w:rFonts w:hint="eastAsia" w:ascii="宋体" w:hAnsi="宋体" w:eastAsia="宋体"/>
          <w:b/>
          <w:color w:val="auto"/>
          <w:sz w:val="22"/>
          <w:szCs w:val="22"/>
          <w:highlight w:val="none"/>
        </w:rPr>
        <w:t>、▲</w:t>
      </w:r>
      <w:r>
        <w:rPr>
          <w:rFonts w:hint="eastAsia" w:ascii="宋体" w:hAnsi="宋体" w:eastAsia="宋体"/>
          <w:b/>
          <w:color w:val="auto"/>
          <w:sz w:val="22"/>
          <w:szCs w:val="22"/>
          <w:highlight w:val="none"/>
          <w:u w:val="single"/>
        </w:rPr>
        <w:t>中标</w:t>
      </w:r>
      <w:r>
        <w:rPr>
          <w:rFonts w:ascii="宋体" w:hAnsi="宋体" w:eastAsia="宋体"/>
          <w:b/>
          <w:color w:val="auto"/>
          <w:sz w:val="22"/>
          <w:szCs w:val="22"/>
          <w:highlight w:val="none"/>
          <w:u w:val="single"/>
        </w:rPr>
        <w:t>/</w:t>
      </w:r>
      <w:r>
        <w:rPr>
          <w:rFonts w:hint="eastAsia" w:ascii="宋体" w:hAnsi="宋体" w:eastAsia="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eastAsia="宋体"/>
          <w:b/>
          <w:color w:val="auto"/>
          <w:sz w:val="22"/>
          <w:szCs w:val="22"/>
          <w:highlight w:val="none"/>
          <w:u w:val="single"/>
        </w:rPr>
        <w:t>“</w:t>
      </w:r>
      <w:r>
        <w:rPr>
          <w:rFonts w:hint="eastAsia" w:ascii="宋体" w:hAnsi="宋体" w:eastAsia="宋体"/>
          <w:b/>
          <w:color w:val="auto"/>
          <w:sz w:val="22"/>
          <w:szCs w:val="22"/>
          <w:highlight w:val="none"/>
          <w:u w:val="single"/>
        </w:rPr>
        <w:t>浙江省政府采购供应商库</w:t>
      </w:r>
      <w:r>
        <w:rPr>
          <w:rFonts w:hint="eastAsia" w:ascii="宋体" w:eastAsia="宋体"/>
          <w:b/>
          <w:color w:val="auto"/>
          <w:sz w:val="22"/>
          <w:szCs w:val="22"/>
          <w:highlight w:val="none"/>
          <w:u w:val="single"/>
        </w:rPr>
        <w:t>”</w:t>
      </w:r>
      <w:r>
        <w:rPr>
          <w:rFonts w:hint="eastAsia" w:ascii="宋体" w:hAnsi="宋体" w:eastAsia="宋体"/>
          <w:b/>
          <w:color w:val="auto"/>
          <w:sz w:val="22"/>
          <w:szCs w:val="22"/>
          <w:highlight w:val="none"/>
          <w:u w:val="single"/>
        </w:rPr>
        <w:t>。</w:t>
      </w:r>
    </w:p>
    <w:p w14:paraId="2991BF61">
      <w:pPr>
        <w:widowControl/>
        <w:snapToGrid w:val="0"/>
        <w:spacing w:line="400" w:lineRule="atLeast"/>
        <w:ind w:firstLine="446" w:firstLineChars="200"/>
        <w:rPr>
          <w:rFonts w:ascii="宋体"/>
          <w:color w:val="auto"/>
          <w:sz w:val="22"/>
          <w:szCs w:val="22"/>
          <w:highlight w:val="none"/>
          <w:u w:val="single"/>
        </w:rPr>
      </w:pPr>
      <w:r>
        <w:rPr>
          <w:rFonts w:hint="eastAsia" w:ascii="宋体" w:hAnsi="宋体" w:eastAsia="宋体"/>
          <w:color w:val="auto"/>
          <w:sz w:val="22"/>
          <w:szCs w:val="22"/>
          <w:highlight w:val="none"/>
          <w:u w:val="none"/>
        </w:rPr>
        <w:t>1</w:t>
      </w:r>
      <w:r>
        <w:rPr>
          <w:rFonts w:hint="eastAsia" w:ascii="宋体" w:hAnsi="宋体" w:eastAsia="宋体"/>
          <w:color w:val="auto"/>
          <w:sz w:val="22"/>
          <w:szCs w:val="22"/>
          <w:highlight w:val="none"/>
          <w:u w:val="none"/>
          <w:lang w:val="en-US" w:eastAsia="zh-CN"/>
        </w:rPr>
        <w:t>3</w:t>
      </w:r>
      <w:r>
        <w:rPr>
          <w:rFonts w:hint="eastAsia" w:ascii="宋体" w:hAnsi="宋体" w:eastAsia="宋体"/>
          <w:color w:val="auto"/>
          <w:sz w:val="22"/>
          <w:szCs w:val="22"/>
          <w:highlight w:val="none"/>
          <w:u w:val="none"/>
        </w:rPr>
        <w:t>、</w:t>
      </w:r>
      <w:r>
        <w:rPr>
          <w:rFonts w:hint="eastAsia" w:ascii="宋体" w:hAnsi="宋体" w:eastAsia="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u w:val="single"/>
        </w:rPr>
        <w:t>：浙江政府采购网（http://zfcg.czt.zj.gov.cn/）</w:t>
      </w:r>
      <w:r>
        <w:rPr>
          <w:rFonts w:ascii="宋体" w:eastAsia="宋体"/>
          <w:color w:val="auto"/>
          <w:sz w:val="22"/>
          <w:szCs w:val="22"/>
          <w:highlight w:val="none"/>
          <w:u w:val="single"/>
        </w:rPr>
        <w:t>,</w:t>
      </w:r>
      <w:r>
        <w:rPr>
          <w:rFonts w:hint="eastAsia" w:ascii="宋体" w:hAnsi="宋体" w:eastAsia="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r>
        <w:rPr>
          <w:rFonts w:hint="eastAsia" w:ascii="宋体" w:hAnsi="宋体"/>
          <w:color w:val="auto"/>
          <w:sz w:val="22"/>
          <w:szCs w:val="22"/>
          <w:highlight w:val="none"/>
          <w:u w:val="single"/>
        </w:rPr>
        <w:t>。</w:t>
      </w:r>
    </w:p>
    <w:p w14:paraId="5767B72A">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40EAB8A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07BB8657">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401D61A4">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4237A699">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6BFF0323">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31284177">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70642D7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4E3254FA">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7BF2CDC3">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在投标截止时间前，采购人有权澄清或者修改招标文件，并以书面形式（补充、更正文件）通知供应商。补充、更正文件作为招标文件的组成部分，对所有投标供应商均有约束力。</w:t>
      </w:r>
    </w:p>
    <w:p w14:paraId="2CCCB4F7">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44473CC6">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7BF357F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41835981">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供应商提交的投标文件以及供应商与采购人就有关投标的所有来往函电均应使用中文。供应商可以提交用其它语言印制的资料，但必须译成中文，在有差异和矛盾时以中文为准。</w:t>
      </w:r>
    </w:p>
    <w:p w14:paraId="670D868C">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0CEF9D27">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5F6C910C">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630555D2">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5EBA38AC">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291D0117">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58BFAAB1">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5C46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C043240">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663" w:type="dxa"/>
          </w:tcPr>
          <w:p w14:paraId="580894F2">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rPr>
              <w:t>-2</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6C9C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5B161E6">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663" w:type="dxa"/>
          </w:tcPr>
          <w:p w14:paraId="21058A6D">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开标一览表（附件一）</w:t>
            </w:r>
          </w:p>
        </w:tc>
      </w:tr>
      <w:tr w14:paraId="69FB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3F18FEF8">
            <w:pPr>
              <w:autoSpaceDE w:val="0"/>
              <w:autoSpaceDN w:val="0"/>
              <w:adjustRightInd w:val="0"/>
              <w:snapToGrid w:val="0"/>
              <w:spacing w:line="400" w:lineRule="atLeast"/>
              <w:rPr>
                <w:rFonts w:ascii="宋体"/>
                <w:color w:val="auto"/>
                <w:sz w:val="22"/>
                <w:szCs w:val="22"/>
                <w:highlight w:val="none"/>
              </w:rPr>
            </w:pPr>
            <w:r>
              <w:rPr>
                <w:rFonts w:hint="eastAsia" w:ascii="宋体"/>
                <w:color w:val="auto"/>
                <w:sz w:val="22"/>
                <w:szCs w:val="22"/>
                <w:highlight w:val="none"/>
              </w:rPr>
              <w:t>2.</w:t>
            </w:r>
          </w:p>
        </w:tc>
        <w:tc>
          <w:tcPr>
            <w:tcW w:w="8663" w:type="dxa"/>
          </w:tcPr>
          <w:p w14:paraId="3CFA50D4">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投标分项报价表（附件二）</w:t>
            </w:r>
          </w:p>
        </w:tc>
      </w:tr>
    </w:tbl>
    <w:p w14:paraId="748D1A77">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138F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43D37EC">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1B9739C5">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5C4E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4F67ECC">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4F6B23F0">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4053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ABCD21D">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48D5776E">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Style w:val="37"/>
                <w:rFonts w:hint="eastAsia" w:cs="宋体"/>
                <w:color w:val="auto"/>
                <w:highlight w:val="none"/>
                <w:u w:val="none"/>
              </w:rPr>
              <w:t>（附件三）</w:t>
            </w:r>
          </w:p>
        </w:tc>
      </w:tr>
      <w:tr w14:paraId="0231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FBEC777">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34F6FC18">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6ACA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51395A0E">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2040A36E">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法定代表人授权书（附件四）（若法定代表人直接参与投标的则无需提供此项，仅需提供法人身份证复印影印件）</w:t>
            </w:r>
          </w:p>
        </w:tc>
      </w:tr>
    </w:tbl>
    <w:p w14:paraId="761E3670">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350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01B549D">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3389AA22">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p>
        </w:tc>
      </w:tr>
      <w:tr w14:paraId="233A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068E64DC">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FBFFC2E">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rPr>
              <w:t>投标函（附件五）</w:t>
            </w:r>
          </w:p>
        </w:tc>
      </w:tr>
      <w:tr w14:paraId="5E91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86898A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2FB56FE0">
            <w:pPr>
              <w:autoSpaceDE w:val="0"/>
              <w:autoSpaceDN w:val="0"/>
              <w:adjustRightInd w:val="0"/>
              <w:snapToGrid w:val="0"/>
              <w:spacing w:line="430" w:lineRule="atLeast"/>
              <w:rPr>
                <w:rFonts w:ascii="宋体" w:hAnsi="宋体"/>
                <w:color w:val="auto"/>
                <w:sz w:val="22"/>
                <w:highlight w:val="none"/>
              </w:rPr>
            </w:pPr>
            <w:r>
              <w:rPr>
                <w:rFonts w:hint="eastAsia" w:ascii="宋体"/>
                <w:color w:val="auto"/>
                <w:sz w:val="22"/>
                <w:highlight w:val="none"/>
              </w:rPr>
              <w:t>供应商参与政府采购活动投标资格声明（附件六）</w:t>
            </w:r>
          </w:p>
        </w:tc>
      </w:tr>
      <w:tr w14:paraId="21DE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5D11176">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0979291">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法定代表人诚信投标承诺书（附件七）</w:t>
            </w:r>
          </w:p>
        </w:tc>
      </w:tr>
      <w:tr w14:paraId="1AC0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223DA43">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4794109">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商务偏离表（附件八（一））、技术偏离表（附件八（二））</w:t>
            </w:r>
          </w:p>
        </w:tc>
      </w:tr>
      <w:tr w14:paraId="5E89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5F06651">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22923860">
            <w:pPr>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投标产品配置清单（附件九）</w:t>
            </w:r>
          </w:p>
        </w:tc>
      </w:tr>
      <w:tr w14:paraId="201E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A247B50">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449B97E2">
            <w:pPr>
              <w:autoSpaceDE w:val="0"/>
              <w:autoSpaceDN w:val="0"/>
              <w:adjustRightInd w:val="0"/>
              <w:snapToGrid w:val="0"/>
              <w:spacing w:line="430" w:lineRule="atLeast"/>
              <w:rPr>
                <w:rFonts w:ascii="宋体" w:hAnsi="宋体" w:cs="Arial"/>
                <w:color w:val="auto"/>
                <w:sz w:val="22"/>
                <w:highlight w:val="none"/>
              </w:rPr>
            </w:pPr>
            <w:r>
              <w:rPr>
                <w:rFonts w:hint="eastAsia" w:ascii="宋体" w:hAnsi="宋体" w:cs="宋体"/>
                <w:color w:val="auto"/>
                <w:sz w:val="22"/>
                <w:highlight w:val="none"/>
              </w:rPr>
              <w:t>产品功能等技术参数描述</w:t>
            </w:r>
          </w:p>
        </w:tc>
      </w:tr>
      <w:tr w14:paraId="218D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2288001">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6C381C6">
            <w:pPr>
              <w:autoSpaceDE w:val="0"/>
              <w:autoSpaceDN w:val="0"/>
              <w:adjustRightInd w:val="0"/>
              <w:snapToGrid w:val="0"/>
              <w:spacing w:line="430" w:lineRule="atLeast"/>
              <w:rPr>
                <w:rFonts w:ascii="宋体" w:hAnsi="宋体"/>
                <w:color w:val="auto"/>
                <w:sz w:val="22"/>
                <w:szCs w:val="22"/>
                <w:highlight w:val="none"/>
              </w:rPr>
            </w:pPr>
            <w:r>
              <w:rPr>
                <w:rFonts w:hint="eastAsia" w:ascii="Times New Roman" w:hAnsi="Times New Roman"/>
                <w:color w:val="auto"/>
                <w:sz w:val="22"/>
                <w:szCs w:val="22"/>
                <w:highlight w:val="none"/>
              </w:rPr>
              <w:t>（适用于按医疗器械管理的设备）</w:t>
            </w:r>
            <w:r>
              <w:rPr>
                <w:rFonts w:hint="eastAsia" w:ascii="Times New Roman" w:hAnsi="Times New Roman"/>
                <w:color w:val="auto"/>
                <w:sz w:val="22"/>
                <w:szCs w:val="22"/>
                <w:highlight w:val="none"/>
              </w:rPr>
              <w:br w:type="textWrapping"/>
            </w:r>
            <w:r>
              <w:rPr>
                <w:rFonts w:hint="eastAsia" w:ascii="宋体" w:hAnsi="宋体"/>
                <w:color w:val="auto"/>
                <w:sz w:val="22"/>
                <w:szCs w:val="22"/>
                <w:highlight w:val="none"/>
              </w:rPr>
              <w:t>投标供应商为医疗器械生产企业的：第二类、第三类医疗器械生产企业提供《医疗器械生产许可证》、第一类医疗器械生产企业提供第一类医疗器械生产备案凭证；</w:t>
            </w:r>
          </w:p>
          <w:p w14:paraId="455679D9">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szCs w:val="22"/>
                <w:highlight w:val="none"/>
              </w:rPr>
              <w:t>投标供应商为医疗器械经营企业的：第三类医疗器械经营企业提供《医疗器械经营许可证》、第二类医疗器械经营企业提供第二类医疗器械经营备案凭证；</w:t>
            </w:r>
          </w:p>
        </w:tc>
      </w:tr>
      <w:tr w14:paraId="2D87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448D0BF">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387CF9CB">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szCs w:val="22"/>
                <w:highlight w:val="none"/>
              </w:rPr>
              <w:t>提供食品药品监督管理部门核发的完整有效的医疗器械注册或备案证明</w:t>
            </w:r>
            <w:r>
              <w:rPr>
                <w:rFonts w:hint="eastAsia" w:ascii="Times New Roman" w:hAnsi="Times New Roman"/>
                <w:color w:val="auto"/>
                <w:sz w:val="22"/>
                <w:szCs w:val="22"/>
                <w:highlight w:val="none"/>
              </w:rPr>
              <w:t>（适用于按医疗器械管理的设备）</w:t>
            </w:r>
          </w:p>
        </w:tc>
      </w:tr>
      <w:tr w14:paraId="6BF1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76D67F0">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B392FF6">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highlight w:val="none"/>
              </w:rPr>
              <w:t>供应商项目服务人员汇总表（附件十）</w:t>
            </w:r>
          </w:p>
        </w:tc>
      </w:tr>
      <w:tr w14:paraId="126D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90640F9">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FF76F17">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highlight w:val="none"/>
              </w:rPr>
              <w:t>供应商质量体系认证证书、供应商环境体系认证证书、供应商职业健康体系认证证书（（如有则提供）</w:t>
            </w:r>
          </w:p>
        </w:tc>
      </w:tr>
      <w:tr w14:paraId="1CCC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4DF978D">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60C5BC0F">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供应商项目业绩清单（如有则提供）（附件十一）</w:t>
            </w:r>
          </w:p>
        </w:tc>
      </w:tr>
      <w:tr w14:paraId="08F4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B1E760">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0006338F">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供应商具有的其它相关资质证书（如有则提供）</w:t>
            </w:r>
          </w:p>
        </w:tc>
      </w:tr>
      <w:tr w14:paraId="3652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9FD1128">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6C87F1C1">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政府采购活动现场确认声明书（附件十二）</w:t>
            </w:r>
          </w:p>
        </w:tc>
      </w:tr>
      <w:tr w14:paraId="7F69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4F96AB1">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3F7ED2C8">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根据招标文件规范要求中的采购内容与技术要求、评标细则，需要提供的其它文件和资料。</w:t>
            </w:r>
          </w:p>
        </w:tc>
      </w:tr>
      <w:tr w14:paraId="6B9A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BE1E38D">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23E38CBD">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其它供应商须说明的资料（如有则提供）</w:t>
            </w:r>
          </w:p>
        </w:tc>
      </w:tr>
      <w:tr w14:paraId="74E6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27D0C62">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0250E824">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r w14:paraId="5FD1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6F303A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3E05D1B">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中小企业相关的证明材料：</w:t>
            </w:r>
          </w:p>
          <w:p w14:paraId="0160D889">
            <w:pPr>
              <w:numPr>
                <w:ilvl w:val="0"/>
                <w:numId w:val="12"/>
              </w:num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w:t>
            </w:r>
          </w:p>
          <w:p w14:paraId="7B5FBFD4">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中小企业声明函（原件，加盖供应商公章，格式见招标文件第四部分附件1）</w:t>
            </w:r>
          </w:p>
          <w:p w14:paraId="234F33D6">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30845583">
            <w:pPr>
              <w:autoSpaceDE w:val="0"/>
              <w:autoSpaceDN w:val="0"/>
              <w:adjustRightInd w:val="0"/>
              <w:spacing w:line="260" w:lineRule="exact"/>
              <w:textAlignment w:val="bottom"/>
              <w:rPr>
                <w:rFonts w:ascii="宋体" w:hAnsi="宋体"/>
                <w:color w:val="auto"/>
                <w:sz w:val="22"/>
                <w:highlight w:val="none"/>
              </w:rPr>
            </w:pPr>
            <w:r>
              <w:rPr>
                <w:rFonts w:hint="eastAsia" w:ascii="宋体" w:hAnsi="宋体" w:cs="Arial"/>
                <w:color w:val="auto"/>
                <w:sz w:val="22"/>
                <w:highlight w:val="none"/>
              </w:rPr>
              <w:t>（3）残疾人福利性单位声明函（原件，加盖供应商公章，格式见招标文件第四部分附件2）在政府采购活动中，残疾人福利性单位视同小型、微型企业。</w:t>
            </w:r>
          </w:p>
        </w:tc>
      </w:tr>
    </w:tbl>
    <w:p w14:paraId="79DD0748">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2F6D51D7">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0FE9622D">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07680D40">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3DD10CDE">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16" w:name="_Toc132122412"/>
      <w:bookmarkStart w:id="17" w:name="_Toc132122115"/>
      <w:bookmarkStart w:id="18" w:name="_Toc132122116"/>
      <w:bookmarkStart w:id="19" w:name="_Toc132122413"/>
      <w:r>
        <w:rPr>
          <w:rFonts w:ascii="宋体"/>
          <w:color w:val="auto"/>
          <w:sz w:val="22"/>
          <w:szCs w:val="22"/>
          <w:highlight w:val="none"/>
        </w:rPr>
        <w:t>4.</w:t>
      </w:r>
      <w:r>
        <w:rPr>
          <w:rFonts w:hint="eastAsia" w:ascii="宋体"/>
          <w:color w:val="auto"/>
          <w:sz w:val="22"/>
          <w:szCs w:val="22"/>
          <w:highlight w:val="none"/>
        </w:rPr>
        <w:t>投标报价</w:t>
      </w:r>
      <w:bookmarkEnd w:id="16"/>
      <w:bookmarkEnd w:id="17"/>
    </w:p>
    <w:p w14:paraId="17E77878">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26054293">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32D7D6F9">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投标报价为投标下浮率</w:t>
      </w:r>
      <w:r>
        <w:rPr>
          <w:rFonts w:hint="eastAsia" w:ascii="宋体"/>
          <w:color w:val="auto"/>
          <w:sz w:val="22"/>
          <w:szCs w:val="22"/>
          <w:highlight w:val="none"/>
        </w:rPr>
        <w:t>。供应商应在各自技术和商务占优势的基础上并充分考虑本项目的重要性，提供对采购人最优惠的报价。</w:t>
      </w:r>
    </w:p>
    <w:p w14:paraId="1D5ED292">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59C0E2C9">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18"/>
    <w:bookmarkEnd w:id="19"/>
    <w:p w14:paraId="57C91841">
      <w:pPr>
        <w:pStyle w:val="43"/>
        <w:adjustRightInd w:val="0"/>
        <w:snapToGrid w:val="0"/>
        <w:spacing w:line="400" w:lineRule="atLeast"/>
        <w:ind w:firstLine="446" w:firstLineChars="200"/>
        <w:rPr>
          <w:rFonts w:hAnsi="宋体"/>
          <w:color w:val="auto"/>
          <w:sz w:val="22"/>
          <w:highlight w:val="none"/>
        </w:rPr>
      </w:pPr>
      <w:bookmarkStart w:id="20" w:name="_Toc132122414"/>
      <w:bookmarkStart w:id="21" w:name="_Toc132122117"/>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20"/>
      <w:bookmarkEnd w:id="21"/>
    </w:p>
    <w:p w14:paraId="58B44A48">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17928FBD">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6CA1087E">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78CFCADF">
      <w:pPr>
        <w:pStyle w:val="43"/>
        <w:adjustRightInd w:val="0"/>
        <w:snapToGrid w:val="0"/>
        <w:spacing w:line="400" w:lineRule="atLeast"/>
        <w:ind w:firstLine="440"/>
        <w:outlineLvl w:val="0"/>
        <w:rPr>
          <w:rFonts w:hAnsi="宋体" w:cs="Arial"/>
          <w:color w:val="auto"/>
          <w:sz w:val="22"/>
          <w:szCs w:val="22"/>
          <w:highlight w:val="none"/>
        </w:rPr>
      </w:pPr>
      <w:bookmarkStart w:id="22" w:name="_Toc132122118"/>
      <w:bookmarkStart w:id="23" w:name="_Toc132122415"/>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22"/>
      <w:bookmarkEnd w:id="23"/>
    </w:p>
    <w:p w14:paraId="56A6CC04">
      <w:pPr>
        <w:pStyle w:val="43"/>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57ED8ACC">
      <w:pPr>
        <w:pStyle w:val="43"/>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4EF289AD">
      <w:pPr>
        <w:pStyle w:val="43"/>
        <w:adjustRightInd w:val="0"/>
        <w:snapToGrid w:val="0"/>
        <w:spacing w:line="400" w:lineRule="atLeast"/>
        <w:ind w:firstLine="446" w:firstLineChars="200"/>
        <w:outlineLvl w:val="0"/>
        <w:rPr>
          <w:rFonts w:hAnsi="宋体" w:cs="Arial"/>
          <w:b/>
          <w:bCs/>
          <w:color w:val="auto"/>
          <w:sz w:val="22"/>
          <w:szCs w:val="22"/>
          <w:highlight w:val="none"/>
        </w:rPr>
      </w:pPr>
      <w:bookmarkStart w:id="24" w:name="_Toc132123439"/>
      <w:bookmarkStart w:id="25" w:name="_Toc132122416"/>
      <w:bookmarkStart w:id="26" w:name="_Toc132123547"/>
      <w:bookmarkStart w:id="27" w:name="_Toc132125037"/>
      <w:bookmarkStart w:id="28" w:name="_Toc132123881"/>
      <w:bookmarkStart w:id="29" w:name="_Toc132122119"/>
      <w:bookmarkStart w:id="30" w:name="_Toc132125983"/>
      <w:bookmarkStart w:id="31" w:name="_Toc132655776"/>
      <w:bookmarkStart w:id="32" w:name="_Toc132125151"/>
      <w:bookmarkStart w:id="33" w:name="_Toc132124594"/>
      <w:bookmarkStart w:id="34" w:name="_Toc132125574"/>
      <w:bookmarkStart w:id="35" w:name="_Toc132125095"/>
      <w:bookmarkStart w:id="36" w:name="_Toc132123634"/>
      <w:bookmarkStart w:id="37" w:name="_Toc132123838"/>
      <w:bookmarkStart w:id="38" w:name="_Toc132126154"/>
      <w:r>
        <w:rPr>
          <w:rFonts w:hint="eastAsia" w:hAnsi="宋体" w:cs="Arial"/>
          <w:b/>
          <w:bCs/>
          <w:color w:val="auto"/>
          <w:sz w:val="22"/>
          <w:szCs w:val="22"/>
          <w:highlight w:val="none"/>
        </w:rPr>
        <w:t>四、投标文件的递交</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9989C5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7EB1D3E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071AFDC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31870321">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238FCD2D">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5EBEF61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5EF29EEC">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1CC7BF2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35FCA823">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38CB1B4F">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62E3824F">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4D0AFE0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39BFE02E">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110820CD">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7FDF1503">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2C360B4D">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305C6283">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633C17C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13680AA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196C68D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6EFF4D08">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533B23F1">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1EDEAE18">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5FC98484">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50EDA5D3">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备注：开标大会的第一阶段结束后，采购人或采购代理机构将对依法对供应商的资格进行审查，资格审查结束后进入符合性审查和商务技术的评审工作。</w:t>
      </w:r>
    </w:p>
    <w:p w14:paraId="47FF82BE">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30478CDD">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商务技术评审结束后，举行开标大会第二阶段会议。首先在线公布符合性审查、商务技术评审无效供应商名称及理由；公布经商务技术评审后有效供应商的名单，同时公布其商务技术得分情况。</w:t>
      </w:r>
    </w:p>
    <w:p w14:paraId="43F3CBF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（2）开启符合性审查、商务技术评审有效供应商的《报价文件》，在线公布投标报价。由评标委员会对报价的合理性、准确性等进行审查核实。</w:t>
      </w:r>
    </w:p>
    <w:p w14:paraId="7AE44F64">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23C6A3EB">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168B3A20">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7641A999">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501459D4">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）审查投标文件是否符合招标文件要求，并做出评价；</w:t>
      </w:r>
    </w:p>
    <w:p w14:paraId="37C6EE9C">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）要求供应商对投标文件有关事项做出解释或者澄清；</w:t>
      </w:r>
    </w:p>
    <w:p w14:paraId="65BCB348">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1336BE7B">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363628AF">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56C39DA9">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29843F4D">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517D3DD2">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4CB97AC1">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02A71350">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5E9C8554">
      <w:pPr>
        <w:adjustRightInd w:val="0"/>
        <w:snapToGrid w:val="0"/>
        <w:spacing w:line="400" w:lineRule="atLeast"/>
        <w:ind w:firstLine="438" w:firstLineChars="197"/>
        <w:rPr>
          <w:rFonts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实质上没有响应招标文件要求的投标将被拒绝。供应商不得通过修正或撤消不合要求的偏离从而使其投标成为实质上响应的投标。</w:t>
      </w:r>
    </w:p>
    <w:p w14:paraId="35B3DA3C">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供应商政采云系统填写报价和电子投标文件（开标一览表）中填写不一致的，以电子投标文件（开标一览表）为准，如果不接受调整价格的做废标处理。</w:t>
      </w:r>
    </w:p>
    <w:p w14:paraId="4FC7FDCC">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46605852">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79291A20">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38DC43BF">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Ansi="宋体" w:cs="Arial"/>
          <w:color w:val="auto"/>
          <w:sz w:val="22"/>
          <w:szCs w:val="22"/>
          <w:highlight w:val="none"/>
        </w:rPr>
        <w:t>:</w:t>
      </w:r>
    </w:p>
    <w:p w14:paraId="751FD59E">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6153096E">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499DA4B1">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3FC3EB13">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5A1E0A66">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4D81C45E">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065737C6">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5B035070">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2931CAA8">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76384D1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68F194A9">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）供应商《资格文件》《商务技术文件》投标文件中出现投标报价；</w:t>
      </w:r>
    </w:p>
    <w:p w14:paraId="16E1119B">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条款以外，出现其它明显不符合技术规格、技术标准的要求或不满足招标文件技术规格书中的主要参数的投标文件；</w:t>
      </w:r>
    </w:p>
    <w:p w14:paraId="536D2499">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1D21F1C1">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条款以外，出现其它不符合招标文件中规定的实质性要求的投标文件，是否为偏离实质性要求由评标委员会认定。</w:t>
      </w:r>
    </w:p>
    <w:p w14:paraId="3A44295E">
      <w:pPr>
        <w:adjustRightInd w:val="0"/>
        <w:snapToGrid w:val="0"/>
        <w:spacing w:line="400" w:lineRule="atLeast"/>
        <w:ind w:firstLine="438" w:firstLineChars="197"/>
        <w:rPr>
          <w:rFonts w:cs="Arial"/>
          <w:color w:val="auto"/>
          <w:sz w:val="22"/>
          <w:szCs w:val="22"/>
          <w:highlight w:val="none"/>
        </w:rPr>
      </w:pPr>
      <w:r>
        <w:rPr>
          <w:rFonts w:ascii="宋体"/>
          <w:color w:val="auto"/>
          <w:sz w:val="22"/>
          <w:highlight w:val="none"/>
        </w:rPr>
        <w:t>2.</w:t>
      </w:r>
      <w:r>
        <w:rPr>
          <w:rFonts w:hint="eastAsia" w:ascii="宋体"/>
          <w:color w:val="auto"/>
          <w:sz w:val="22"/>
          <w:highlight w:val="none"/>
        </w:rPr>
        <w:t>5</w:t>
      </w:r>
      <w:r>
        <w:rPr>
          <w:rFonts w:ascii="宋体"/>
          <w:color w:val="auto"/>
          <w:sz w:val="22"/>
          <w:highlight w:val="none"/>
        </w:rPr>
        <w:t xml:space="preserve"> </w:t>
      </w:r>
      <w:r>
        <w:rPr>
          <w:rFonts w:hint="eastAsia" w:ascii="宋体" w:hAnsi="宋体" w:cs="新宋体"/>
          <w:b/>
          <w:bCs/>
          <w:color w:val="auto"/>
          <w:sz w:val="22"/>
          <w:szCs w:val="22"/>
          <w:highlight w:val="none"/>
        </w:rPr>
        <w:t>▲</w:t>
      </w:r>
      <w:r>
        <w:rPr>
          <w:rFonts w:hint="eastAsia" w:ascii="宋体"/>
          <w:color w:val="auto"/>
          <w:sz w:val="22"/>
          <w:highlight w:val="none"/>
        </w:rPr>
        <w:t>评标委员会认为投标供应商的报价明显低于其他通过符合性审查投标供应商的报价，有可能影响产品质量或者不能诚信履约的，应当要求其在合理的时间内提供测算依据和理由，必要时提交相关证明材料；投标供应商不能证明其报价合理性的，评标委员会应当将其作为无效投标处理。</w:t>
      </w:r>
    </w:p>
    <w:p w14:paraId="63F3D416">
      <w:pPr>
        <w:pStyle w:val="43"/>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1C1C4123">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02FB99D6">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09494A1D">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5BACE3D2">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12ACE359">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0D9A7F63">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7B15B953">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0B73A67B">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6EC683F0">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50C0846C">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04A5155B">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4C30E9AC">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）不同供应商的投标文件相互混装传；</w:t>
      </w:r>
    </w:p>
    <w:p w14:paraId="0B814C5F">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7A5B86AA">
      <w:pPr>
        <w:pStyle w:val="16"/>
        <w:adjustRightInd w:val="0"/>
        <w:spacing w:line="400" w:lineRule="exact"/>
        <w:ind w:left="443" w:leftChars="208"/>
        <w:rPr>
          <w:rFonts w:cs="宋体"/>
          <w:b/>
          <w:bCs/>
          <w:color w:val="auto"/>
          <w:sz w:val="22"/>
          <w:highlight w:val="none"/>
          <w:u w:val="single"/>
        </w:rPr>
      </w:pPr>
      <w:r>
        <w:rPr>
          <w:rFonts w:hAnsi="宋体" w:cs="Arial"/>
          <w:color w:val="auto"/>
          <w:sz w:val="22"/>
          <w:szCs w:val="22"/>
          <w:highlight w:val="none"/>
        </w:rPr>
        <w:t>5.</w:t>
      </w:r>
      <w:r>
        <w:rPr>
          <w:rFonts w:hint="eastAsia" w:cs="宋体"/>
          <w:b/>
          <w:bCs/>
          <w:color w:val="auto"/>
          <w:sz w:val="22"/>
          <w:highlight w:val="none"/>
          <w:u w:val="single"/>
        </w:rPr>
        <w:t>除政府采购法律法规规章规定的属于恶意串通、视为串通投标情形外，在不影响公平竞争的前提下，参与同一个采购包（标段）的供应商存在下列情形之一且无法合理解释的，其投标（响应）文件无效：</w:t>
      </w:r>
    </w:p>
    <w:p w14:paraId="244A23C4">
      <w:pPr>
        <w:numPr>
          <w:ilvl w:val="0"/>
          <w:numId w:val="13"/>
        </w:numPr>
        <w:adjustRightInd w:val="0"/>
        <w:spacing w:line="400" w:lineRule="exact"/>
        <w:ind w:left="443" w:leftChars="208"/>
        <w:rPr>
          <w:rFonts w:ascii="宋体" w:hAnsi="Courier New" w:cs="宋体"/>
          <w:b/>
          <w:bCs/>
          <w:color w:val="auto"/>
          <w:kern w:val="0"/>
          <w:sz w:val="22"/>
          <w:szCs w:val="21"/>
          <w:highlight w:val="none"/>
          <w:u w:val="single"/>
        </w:rPr>
      </w:pPr>
      <w:r>
        <w:rPr>
          <w:rFonts w:hint="eastAsia" w:ascii="宋体" w:hAnsi="Courier New" w:cs="宋体"/>
          <w:b/>
          <w:bCs/>
          <w:color w:val="auto"/>
          <w:kern w:val="0"/>
          <w:sz w:val="22"/>
          <w:szCs w:val="21"/>
          <w:highlight w:val="none"/>
          <w:u w:val="single"/>
        </w:rPr>
        <w:t>不同供应商的电子投标（响应）文件上传计算机的网卡MAC地址或硬盘序列号等硬件信息相同的；</w:t>
      </w:r>
    </w:p>
    <w:p w14:paraId="4B4AE15B">
      <w:pPr>
        <w:numPr>
          <w:ilvl w:val="0"/>
          <w:numId w:val="13"/>
        </w:numPr>
        <w:adjustRightInd w:val="0"/>
        <w:spacing w:line="400" w:lineRule="exact"/>
        <w:ind w:left="443" w:leftChars="208"/>
        <w:rPr>
          <w:rFonts w:ascii="宋体" w:hAnsi="Courier New" w:cs="宋体"/>
          <w:b/>
          <w:bCs/>
          <w:color w:val="auto"/>
          <w:kern w:val="0"/>
          <w:sz w:val="22"/>
          <w:szCs w:val="21"/>
          <w:highlight w:val="none"/>
          <w:u w:val="single"/>
        </w:rPr>
      </w:pPr>
      <w:r>
        <w:rPr>
          <w:rFonts w:hint="eastAsia" w:ascii="宋体" w:hAnsi="Courier New" w:cs="宋体"/>
          <w:b/>
          <w:bCs/>
          <w:color w:val="auto"/>
          <w:kern w:val="0"/>
          <w:sz w:val="22"/>
          <w:szCs w:val="21"/>
          <w:highlight w:val="none"/>
          <w:u w:val="single"/>
        </w:rPr>
        <w:t>上传的电子投标（响应）文件若出现使用本项目其他投标（响应）供应商的数字证书加密的，或者加盖本项目其他投标（响应）供应商的电子印章的；</w:t>
      </w:r>
    </w:p>
    <w:p w14:paraId="12B44105">
      <w:pPr>
        <w:adjustRightInd w:val="0"/>
        <w:spacing w:line="400" w:lineRule="exact"/>
        <w:ind w:left="443" w:leftChars="208"/>
        <w:rPr>
          <w:rFonts w:ascii="宋体" w:hAnsi="Courier New" w:cs="宋体"/>
          <w:b/>
          <w:bCs/>
          <w:color w:val="auto"/>
          <w:kern w:val="0"/>
          <w:sz w:val="22"/>
          <w:szCs w:val="21"/>
          <w:highlight w:val="none"/>
          <w:u w:val="single"/>
        </w:rPr>
      </w:pPr>
      <w:r>
        <w:rPr>
          <w:rFonts w:hint="eastAsia" w:ascii="宋体" w:hAnsi="Courier New" w:cs="宋体"/>
          <w:b/>
          <w:bCs/>
          <w:color w:val="auto"/>
          <w:kern w:val="0"/>
          <w:sz w:val="22"/>
          <w:szCs w:val="21"/>
          <w:highlight w:val="none"/>
          <w:u w:val="single"/>
        </w:rPr>
        <w:t>（3）不同供应商的投标（响应）文件的内容存在3处（含）以上错误一致的；</w:t>
      </w:r>
    </w:p>
    <w:p w14:paraId="282F11F1">
      <w:pPr>
        <w:adjustRightInd w:val="0"/>
        <w:snapToGrid w:val="0"/>
        <w:spacing w:line="400" w:lineRule="exact"/>
        <w:ind w:firstLine="438" w:firstLineChars="197"/>
        <w:rPr>
          <w:rFonts w:ascii="宋体" w:hAnsi="宋体" w:cs="宋体"/>
          <w:b/>
          <w:bCs/>
          <w:color w:val="auto"/>
          <w:kern w:val="0"/>
          <w:sz w:val="22"/>
          <w:szCs w:val="21"/>
          <w:highlight w:val="none"/>
        </w:rPr>
      </w:pPr>
      <w:r>
        <w:rPr>
          <w:rFonts w:hint="eastAsia" w:ascii="宋体" w:hAnsi="Courier New" w:cs="宋体"/>
          <w:b/>
          <w:bCs/>
          <w:color w:val="auto"/>
          <w:kern w:val="0"/>
          <w:sz w:val="22"/>
          <w:szCs w:val="21"/>
          <w:highlight w:val="none"/>
          <w:u w:val="single"/>
        </w:rPr>
        <w:t>（4）不同供应商联系人为同一人或不同联系人的联系电话一致的。</w:t>
      </w:r>
    </w:p>
    <w:p w14:paraId="30D01C13">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6.评标原则</w:t>
      </w:r>
    </w:p>
    <w:p w14:paraId="3AD1D05B">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1E330987">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27014B0C">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77A8DE60">
      <w:pPr>
        <w:pStyle w:val="43"/>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246812F8">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47AC84F1">
      <w:pPr>
        <w:pStyle w:val="43"/>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评标结束后，评标委员会按照招标文件确定的评标办法推荐中标供应商。</w:t>
      </w:r>
    </w:p>
    <w:p w14:paraId="4074EB04">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6068CDA5">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2FA620F0">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134A638B">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27D9827F">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5E70020D">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0A0B843E">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76DCF7F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1622B154">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4BF9A647">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436CC590">
      <w:pPr>
        <w:pStyle w:val="43"/>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3EE40200">
      <w:pPr>
        <w:pStyle w:val="16"/>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39" w:name="_Toc21884_WPSOffice_Level3"/>
      <w:r>
        <w:rPr>
          <w:rFonts w:hint="eastAsia" w:hAnsi="宋体" w:cs="宋体"/>
          <w:color w:val="auto"/>
          <w:sz w:val="22"/>
          <w:highlight w:val="none"/>
        </w:rPr>
        <w:t>5.</w:t>
      </w:r>
      <w:bookmarkEnd w:id="39"/>
      <w:r>
        <w:rPr>
          <w:rFonts w:hint="eastAsia" w:hAnsi="宋体" w:cs="宋体"/>
          <w:color w:val="auto"/>
          <w:sz w:val="22"/>
          <w:highlight w:val="none"/>
        </w:rPr>
        <w:t>履约保证金</w:t>
      </w:r>
    </w:p>
    <w:p w14:paraId="4C2D87ED">
      <w:pPr>
        <w:tabs>
          <w:tab w:val="left" w:pos="1069"/>
          <w:tab w:val="left" w:pos="2352"/>
        </w:tabs>
        <w:spacing w:line="400" w:lineRule="exact"/>
        <w:ind w:firstLine="446" w:firstLineChars="200"/>
        <w:rPr>
          <w:rFonts w:ascii="宋体" w:hAnsi="宋体" w:cs="宋体"/>
          <w:color w:val="auto"/>
          <w:sz w:val="22"/>
          <w:highlight w:val="none"/>
        </w:rPr>
      </w:pPr>
      <w:r>
        <w:rPr>
          <w:rFonts w:hint="eastAsia" w:asciiTheme="majorEastAsia" w:hAnsiTheme="majorEastAsia" w:eastAsiaTheme="majorEastAsia" w:cstheme="majorEastAsia"/>
          <w:color w:val="auto"/>
          <w:sz w:val="22"/>
          <w:szCs w:val="22"/>
          <w:highlight w:val="none"/>
        </w:rPr>
        <w:t>无。</w:t>
      </w:r>
    </w:p>
    <w:p w14:paraId="09C46558">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6.招标代理服务费</w:t>
      </w:r>
    </w:p>
    <w:p w14:paraId="4E709711">
      <w:pPr>
        <w:tabs>
          <w:tab w:val="left" w:pos="1069"/>
          <w:tab w:val="left" w:pos="2352"/>
        </w:tabs>
        <w:spacing w:line="400" w:lineRule="exact"/>
        <w:ind w:firstLine="446" w:firstLineChars="200"/>
        <w:rPr>
          <w:rFonts w:hAnsi="宋体"/>
          <w:color w:val="auto"/>
          <w:sz w:val="22"/>
          <w:szCs w:val="22"/>
          <w:highlight w:val="none"/>
        </w:rPr>
      </w:pPr>
      <w:r>
        <w:rPr>
          <w:rFonts w:hint="eastAsia" w:ascii="宋体" w:hAnsi="宋体" w:cs="宋体"/>
          <w:color w:val="auto"/>
          <w:sz w:val="22"/>
          <w:highlight w:val="none"/>
        </w:rPr>
        <w:t>本项目向中标供应商收取招标代理服务费，根据《国家计委关于印发&lt;招标代理服务收费管理暂行办法&gt;的通知》（计价格[2002]1980号）货物类标准收取，账号以招标代理机构提供的为准。</w:t>
      </w:r>
    </w:p>
    <w:p w14:paraId="5060468F">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187FBE8F">
      <w:pPr>
        <w:pStyle w:val="44"/>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77BE28EC">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5534CFAF">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6610406B">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18842C87">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21AD00D9">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）供应商如认为招标公告信息使自身的合法权益受到损害的，应于自招标公告发布之日起七个工作内以书面形式向采购机构提出质疑；</w:t>
      </w:r>
    </w:p>
    <w:p w14:paraId="05065B74">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5FEF23B7">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743A149F">
      <w:pPr>
        <w:pStyle w:val="43"/>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7335FC3D">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791AA053">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0D858D36">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57870A3C">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72A093C8">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155266C1">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153CC0C6">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56BC2A6B">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BB43772">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1BBFCB76">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27ED2671">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4FE875D9">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23FDD389">
      <w:pPr>
        <w:pStyle w:val="43"/>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BA8F01B">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5.质疑函范本、投诉书范本请到浙江政府采购网下载专区下载。</w:t>
      </w:r>
    </w:p>
    <w:p w14:paraId="7B1024A1">
      <w:pPr>
        <w:jc w:val="center"/>
        <w:rPr>
          <w:rFonts w:ascii="宋体" w:hAnsi="宋体" w:cs="宋体"/>
          <w:b/>
          <w:color w:val="auto"/>
          <w:sz w:val="32"/>
          <w:szCs w:val="32"/>
          <w:highlight w:val="none"/>
        </w:rPr>
      </w:pPr>
    </w:p>
    <w:p w14:paraId="355A391D">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614DD47E">
      <w:pPr>
        <w:tabs>
          <w:tab w:val="left" w:pos="1069"/>
          <w:tab w:val="left" w:pos="2352"/>
        </w:tabs>
        <w:jc w:val="left"/>
        <w:rPr>
          <w:rFonts w:ascii="宋体"/>
          <w:b/>
          <w:bCs/>
          <w:color w:val="auto"/>
          <w:sz w:val="22"/>
          <w:highlight w:val="none"/>
        </w:rPr>
      </w:pPr>
      <w:bookmarkStart w:id="40" w:name="_Toc25899_WPSOffice_Level2"/>
    </w:p>
    <w:p w14:paraId="01DDC024">
      <w:pPr>
        <w:tabs>
          <w:tab w:val="left" w:pos="1069"/>
          <w:tab w:val="left" w:pos="2352"/>
        </w:tabs>
        <w:jc w:val="left"/>
        <w:rPr>
          <w:rFonts w:ascii="宋体"/>
          <w:b/>
          <w:bCs/>
          <w:color w:val="auto"/>
          <w:sz w:val="22"/>
          <w:highlight w:val="none"/>
        </w:rPr>
      </w:pPr>
      <w:r>
        <w:rPr>
          <w:rFonts w:hint="eastAsia" w:ascii="宋体"/>
          <w:b/>
          <w:bCs/>
          <w:color w:val="auto"/>
          <w:sz w:val="22"/>
          <w:highlight w:val="none"/>
        </w:rPr>
        <w:t>一、中小企业（含监狱企业、残疾人福利性单位）扶持政策说明</w:t>
      </w:r>
    </w:p>
    <w:p w14:paraId="3320DACE">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0E76CD62">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7EB1EA16">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0A6E44C2">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43507635">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00D39DC8">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5158C2EB">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553A933A">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432F05EA">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7E02C6C8">
      <w:pPr>
        <w:tabs>
          <w:tab w:val="left" w:pos="1069"/>
          <w:tab w:val="left" w:pos="2352"/>
        </w:tabs>
        <w:spacing w:line="440" w:lineRule="atLeast"/>
        <w:jc w:val="left"/>
        <w:rPr>
          <w:rFonts w:ascii="宋体" w:hAnsi="宋体" w:cs="宋体"/>
          <w:color w:val="auto"/>
          <w:sz w:val="22"/>
          <w:szCs w:val="22"/>
          <w:highlight w:val="none"/>
        </w:rPr>
      </w:pPr>
      <w:r>
        <w:rPr>
          <w:rFonts w:hint="eastAsia" w:ascii="宋体"/>
          <w:color w:val="auto"/>
          <w:sz w:val="22"/>
          <w:highlight w:val="none"/>
        </w:rPr>
        <w:t>2、</w:t>
      </w:r>
      <w:r>
        <w:rPr>
          <w:rFonts w:hint="eastAsia" w:ascii="宋体" w:hAnsi="宋体" w:cs="宋体"/>
          <w:b/>
          <w:bCs/>
          <w:color w:val="auto"/>
          <w:sz w:val="22"/>
          <w:szCs w:val="22"/>
          <w:highlight w:val="none"/>
          <w:u w:val="single"/>
        </w:rPr>
        <w:t>本项目对小型和微型企业产品的价格给予扣除10%，按扣除后的价格参与评审，符合要求提供以下证明材料（附在《商务技术文件》中）</w:t>
      </w:r>
      <w:r>
        <w:rPr>
          <w:rFonts w:hint="eastAsia" w:ascii="宋体" w:hAnsi="宋体" w:cs="宋体"/>
          <w:color w:val="auto"/>
          <w:sz w:val="22"/>
          <w:szCs w:val="22"/>
          <w:highlight w:val="none"/>
        </w:rPr>
        <w:t>：</w:t>
      </w:r>
    </w:p>
    <w:p w14:paraId="4B90F29F">
      <w:pPr>
        <w:tabs>
          <w:tab w:val="left" w:pos="2352"/>
        </w:tabs>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（1）中小企业：中小企业声明函（原件，加盖供应商公章，格式见附件1）</w:t>
      </w:r>
    </w:p>
    <w:p w14:paraId="12B8A34B">
      <w:pPr>
        <w:tabs>
          <w:tab w:val="left" w:pos="2352"/>
        </w:tabs>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（2）残疾人福利性单位：残疾人福利性单位声明函（原件，加盖供应商公章，格式见附件1）</w:t>
      </w:r>
    </w:p>
    <w:p w14:paraId="505D2C71">
      <w:pPr>
        <w:tabs>
          <w:tab w:val="left" w:pos="2352"/>
        </w:tabs>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（3）监狱企业：提供由省级以上监狱管理局、戒毒管理局（含新疆生产建设兵团）出具的属于监狱企业的证明文件（原件）</w:t>
      </w:r>
    </w:p>
    <w:p w14:paraId="217ECDBC">
      <w:pPr>
        <w:tabs>
          <w:tab w:val="left" w:pos="2352"/>
        </w:tabs>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3、扶持政策说明：</w:t>
      </w:r>
      <w:r>
        <w:rPr>
          <w:rFonts w:hint="eastAsia" w:ascii="宋体" w:hAnsi="宋体" w:cs="宋体"/>
          <w:b/>
          <w:bCs/>
          <w:color w:val="auto"/>
          <w:sz w:val="22"/>
          <w:szCs w:val="22"/>
          <w:highlight w:val="none"/>
          <w:u w:val="single"/>
        </w:rPr>
        <w:t>残疾人福利性单位、监狱企业参加投标视同小微企业。</w:t>
      </w:r>
    </w:p>
    <w:p w14:paraId="18A7613E">
      <w:pPr>
        <w:tabs>
          <w:tab w:val="left" w:pos="2352"/>
        </w:tabs>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684A46FC">
      <w:pPr>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5、本项目采购文件明确采购的标的所属行业为</w:t>
      </w:r>
      <w:r>
        <w:rPr>
          <w:rFonts w:hint="eastAsia" w:ascii="宋体" w:hAnsi="宋体" w:cs="宋体"/>
          <w:color w:val="auto"/>
          <w:sz w:val="22"/>
          <w:szCs w:val="22"/>
          <w:highlight w:val="none"/>
          <w:u w:val="single"/>
        </w:rPr>
        <w:t>工业（包括采矿业，制造业，电力、热力、燃气及水生产和供应业）</w:t>
      </w:r>
      <w:r>
        <w:rPr>
          <w:rFonts w:hint="eastAsia" w:ascii="宋体" w:hAnsi="宋体" w:cs="宋体"/>
          <w:color w:val="auto"/>
          <w:sz w:val="22"/>
          <w:szCs w:val="22"/>
          <w:highlight w:val="none"/>
        </w:rPr>
        <w:t>。</w:t>
      </w:r>
    </w:p>
    <w:p w14:paraId="04922BFC">
      <w:pPr>
        <w:jc w:val="left"/>
        <w:rPr>
          <w:rFonts w:ascii="宋体" w:hAnsi="宋体" w:cs="宋体"/>
          <w:b/>
          <w:bCs/>
          <w:color w:val="auto"/>
          <w:sz w:val="28"/>
          <w:szCs w:val="28"/>
          <w:highlight w:val="none"/>
        </w:rPr>
      </w:pPr>
    </w:p>
    <w:p w14:paraId="76AE0E60">
      <w:pPr>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附件1</w:t>
      </w:r>
    </w:p>
    <w:p w14:paraId="0E6A830C">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中小企业声明函（货物）</w:t>
      </w:r>
    </w:p>
    <w:p w14:paraId="273214BD">
      <w:pPr>
        <w:spacing w:line="400" w:lineRule="exact"/>
        <w:ind w:firstLine="446" w:firstLineChars="200"/>
        <w:rPr>
          <w:rFonts w:ascii="宋体" w:hAnsi="宋体" w:cs="宋体"/>
          <w:color w:val="auto"/>
          <w:sz w:val="22"/>
          <w:szCs w:val="22"/>
          <w:highlight w:val="none"/>
        </w:rPr>
      </w:pPr>
      <w:r>
        <w:rPr>
          <w:rFonts w:hint="eastAsia" w:ascii="宋体" w:hAnsi="宋体" w:cs="宋体"/>
          <w:color w:val="auto"/>
          <w:sz w:val="22"/>
          <w:szCs w:val="22"/>
          <w:highlight w:val="none"/>
        </w:rPr>
        <w:t>本公司（联合体）郑重声明，根据《政府采购促进中小企业发展管理办法》（财库﹝2020﹞46 号）的规定，本公司 （联合体）参加</w:t>
      </w:r>
      <w:r>
        <w:rPr>
          <w:rFonts w:hint="eastAsia" w:ascii="宋体" w:hAnsi="宋体" w:cs="宋体"/>
          <w:color w:val="auto"/>
          <w:sz w:val="22"/>
          <w:szCs w:val="22"/>
          <w:highlight w:val="none"/>
          <w:u w:val="single"/>
        </w:rPr>
        <w:t>（单位名称）</w:t>
      </w:r>
      <w:r>
        <w:rPr>
          <w:rFonts w:hint="eastAsia" w:ascii="宋体" w:hAnsi="宋体" w:cs="宋体"/>
          <w:color w:val="auto"/>
          <w:sz w:val="22"/>
          <w:szCs w:val="22"/>
          <w:highlight w:val="none"/>
        </w:rPr>
        <w:t>的</w:t>
      </w:r>
      <w:r>
        <w:rPr>
          <w:rFonts w:hint="eastAsia" w:ascii="宋体" w:hAnsi="宋体" w:cs="宋体"/>
          <w:color w:val="auto"/>
          <w:sz w:val="22"/>
          <w:szCs w:val="22"/>
          <w:highlight w:val="none"/>
          <w:u w:val="single"/>
        </w:rPr>
        <w:t>（项目名称）</w:t>
      </w:r>
      <w:r>
        <w:rPr>
          <w:rFonts w:hint="eastAsia" w:ascii="宋体" w:hAnsi="宋体" w:cs="宋体"/>
          <w:color w:val="auto"/>
          <w:sz w:val="22"/>
          <w:szCs w:val="22"/>
          <w:highlight w:val="none"/>
        </w:rPr>
        <w:t xml:space="preserve">采购活动，提供的货物全部由符合政策要求的中小企业制造。相关企业（含联合体中的中小企业、签订分包意向协议的中小企业）的具体情况如下： </w:t>
      </w:r>
    </w:p>
    <w:p w14:paraId="47526509">
      <w:pPr>
        <w:numPr>
          <w:ilvl w:val="0"/>
          <w:numId w:val="14"/>
        </w:numPr>
        <w:spacing w:line="400" w:lineRule="exact"/>
        <w:ind w:firstLine="446" w:firstLineChars="200"/>
        <w:rPr>
          <w:rFonts w:ascii="宋体" w:hAnsi="宋体" w:cs="宋体"/>
          <w:color w:val="auto"/>
          <w:sz w:val="22"/>
          <w:szCs w:val="22"/>
          <w:highlight w:val="none"/>
        </w:rPr>
      </w:pPr>
      <w:r>
        <w:rPr>
          <w:rFonts w:hint="eastAsia" w:ascii="宋体" w:hAnsi="宋体" w:cs="宋体"/>
          <w:color w:val="auto"/>
          <w:sz w:val="22"/>
          <w:szCs w:val="22"/>
          <w:highlight w:val="none"/>
          <w:u w:val="single"/>
        </w:rPr>
        <w:t>（标的名称）</w:t>
      </w:r>
      <w:r>
        <w:rPr>
          <w:rFonts w:hint="eastAsia" w:ascii="宋体" w:hAnsi="宋体" w:cs="宋体"/>
          <w:color w:val="auto"/>
          <w:sz w:val="22"/>
          <w:szCs w:val="22"/>
          <w:highlight w:val="none"/>
        </w:rPr>
        <w:t xml:space="preserve"> ，属于</w:t>
      </w:r>
      <w:r>
        <w:rPr>
          <w:rFonts w:hint="eastAsia" w:ascii="宋体" w:hAnsi="宋体" w:cs="宋体"/>
          <w:color w:val="auto"/>
          <w:sz w:val="22"/>
          <w:szCs w:val="22"/>
          <w:highlight w:val="none"/>
          <w:u w:val="single"/>
        </w:rPr>
        <w:t xml:space="preserve">（采购文件中明确的所属行业） </w:t>
      </w:r>
      <w:r>
        <w:rPr>
          <w:rFonts w:hint="eastAsia" w:ascii="宋体" w:hAnsi="宋体" w:cs="宋体"/>
          <w:color w:val="auto"/>
          <w:sz w:val="22"/>
          <w:szCs w:val="22"/>
          <w:highlight w:val="none"/>
        </w:rPr>
        <w:t>行业； 制造商为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 ，属于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w:t>
      </w:r>
    </w:p>
    <w:p w14:paraId="3EFAE3F6">
      <w:pPr>
        <w:spacing w:line="400" w:lineRule="exact"/>
        <w:ind w:firstLine="446" w:firstLineChars="200"/>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u w:val="single"/>
        </w:rPr>
        <w:t xml:space="preserve"> （标的名称）   </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rPr>
        <w:t xml:space="preserve">（采购文件中明确的所属行业） </w:t>
      </w:r>
      <w:r>
        <w:rPr>
          <w:rFonts w:hint="eastAsia" w:ascii="宋体" w:hAnsi="宋体" w:cs="宋体"/>
          <w:color w:val="auto"/>
          <w:sz w:val="22"/>
          <w:szCs w:val="22"/>
          <w:highlight w:val="none"/>
        </w:rPr>
        <w:t>行业； 承建（承接）企业为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人，营业收入为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 xml:space="preserve">； </w:t>
      </w:r>
    </w:p>
    <w:p w14:paraId="3A08181A">
      <w:pPr>
        <w:spacing w:line="400" w:lineRule="exact"/>
        <w:ind w:firstLine="446"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63917F13">
      <w:pPr>
        <w:spacing w:line="400" w:lineRule="exact"/>
        <w:ind w:firstLine="446" w:firstLineChars="200"/>
        <w:rPr>
          <w:rFonts w:ascii="宋体" w:hAnsi="宋体" w:cs="宋体"/>
          <w:color w:val="auto"/>
          <w:sz w:val="22"/>
          <w:szCs w:val="22"/>
          <w:highlight w:val="none"/>
        </w:rPr>
      </w:pPr>
    </w:p>
    <w:p w14:paraId="5FC4EFBD">
      <w:pPr>
        <w:spacing w:line="400" w:lineRule="exact"/>
        <w:ind w:firstLine="446"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企业名称（盖章）： </w:t>
      </w:r>
    </w:p>
    <w:p w14:paraId="212E1ED2">
      <w:pPr>
        <w:spacing w:line="400" w:lineRule="exact"/>
        <w:ind w:firstLine="446" w:firstLineChars="200"/>
        <w:rPr>
          <w:rFonts w:ascii="宋体" w:hAnsi="宋体" w:cs="宋体"/>
          <w:color w:val="auto"/>
          <w:szCs w:val="22"/>
          <w:highlight w:val="none"/>
        </w:rPr>
      </w:pPr>
      <w:r>
        <w:rPr>
          <w:rFonts w:hint="eastAsia" w:ascii="宋体" w:hAnsi="宋体" w:cs="宋体"/>
          <w:color w:val="auto"/>
          <w:sz w:val="22"/>
          <w:szCs w:val="22"/>
          <w:highlight w:val="none"/>
        </w:rPr>
        <w:t>日 期：</w:t>
      </w:r>
    </w:p>
    <w:p w14:paraId="01612D1E">
      <w:pPr>
        <w:pBdr>
          <w:bottom w:val="single" w:color="auto" w:sz="6" w:space="1"/>
        </w:pBdr>
        <w:snapToGrid w:val="0"/>
        <w:spacing w:line="360" w:lineRule="auto"/>
        <w:ind w:firstLine="446" w:firstLineChars="200"/>
        <w:rPr>
          <w:rFonts w:ascii="宋体" w:hAnsi="宋体" w:cs="宋体"/>
          <w:color w:val="auto"/>
          <w:sz w:val="22"/>
          <w:szCs w:val="22"/>
          <w:highlight w:val="none"/>
        </w:rPr>
      </w:pPr>
    </w:p>
    <w:p w14:paraId="080C8EAD">
      <w:pPr>
        <w:spacing w:line="400" w:lineRule="exact"/>
        <w:ind w:left="443" w:leftChars="208"/>
        <w:rPr>
          <w:rFonts w:ascii="宋体" w:hAnsi="宋体" w:cs="宋体"/>
          <w:color w:val="auto"/>
          <w:sz w:val="22"/>
          <w:szCs w:val="22"/>
          <w:highlight w:val="none"/>
        </w:rPr>
      </w:pPr>
      <w:r>
        <w:rPr>
          <w:rFonts w:hint="eastAsia" w:ascii="宋体" w:hAnsi="宋体" w:cs="宋体"/>
          <w:color w:val="auto"/>
          <w:sz w:val="22"/>
          <w:szCs w:val="22"/>
          <w:highlight w:val="none"/>
        </w:rPr>
        <w:t>填写说明：</w:t>
      </w:r>
    </w:p>
    <w:p w14:paraId="64CA2DDB">
      <w:pPr>
        <w:spacing w:line="400" w:lineRule="exact"/>
        <w:ind w:left="443" w:leftChars="208"/>
        <w:rPr>
          <w:rFonts w:ascii="宋体" w:hAnsi="宋体" w:cs="宋体"/>
          <w:color w:val="auto"/>
          <w:sz w:val="22"/>
          <w:szCs w:val="22"/>
          <w:highlight w:val="none"/>
        </w:rPr>
      </w:pPr>
      <w:r>
        <w:rPr>
          <w:rFonts w:hint="eastAsia" w:ascii="宋体" w:hAnsi="宋体" w:cs="宋体"/>
          <w:color w:val="auto"/>
          <w:sz w:val="22"/>
          <w:szCs w:val="22"/>
          <w:highlight w:val="none"/>
        </w:rPr>
        <w:t>1.从业人员、营业收入、资产总额填报上一年度数据，无上一年度数据的新成立企业可不填</w:t>
      </w:r>
    </w:p>
    <w:p w14:paraId="3B4E19F1">
      <w:pPr>
        <w:spacing w:line="400" w:lineRule="exact"/>
        <w:ind w:left="448" w:hanging="446" w:hangingChars="200"/>
        <w:rPr>
          <w:rFonts w:ascii="宋体" w:hAnsi="宋体" w:cs="宋体"/>
          <w:color w:val="auto"/>
          <w:sz w:val="22"/>
          <w:szCs w:val="22"/>
          <w:highlight w:val="none"/>
        </w:rPr>
      </w:pPr>
      <w:r>
        <w:rPr>
          <w:rFonts w:hint="eastAsia" w:ascii="宋体" w:hAnsi="宋体" w:cs="宋体"/>
          <w:color w:val="auto"/>
          <w:sz w:val="22"/>
          <w:szCs w:val="22"/>
          <w:highlight w:val="none"/>
        </w:rPr>
        <w:t>报。采购人或采购代理机构有可能在中标、成交结果公开中标、成交供应商的《中小企业声明函》。</w:t>
      </w:r>
    </w:p>
    <w:p w14:paraId="3E45F995">
      <w:pPr>
        <w:spacing w:line="400" w:lineRule="exact"/>
        <w:ind w:left="445" w:leftChars="209"/>
        <w:rPr>
          <w:rFonts w:ascii="宋体" w:hAnsi="宋体" w:cs="宋体"/>
          <w:color w:val="auto"/>
          <w:sz w:val="22"/>
          <w:szCs w:val="22"/>
          <w:highlight w:val="none"/>
        </w:rPr>
      </w:pPr>
      <w:r>
        <w:rPr>
          <w:rFonts w:hint="eastAsia" w:ascii="宋体" w:hAnsi="宋体" w:cs="宋体"/>
          <w:color w:val="auto"/>
          <w:sz w:val="22"/>
          <w:szCs w:val="22"/>
          <w:highlight w:val="none"/>
        </w:rPr>
        <w:t>2.▲投标人提供的中小企业声明函与实际情况不符的，视为投标人提供虚假材料投标的，投</w:t>
      </w:r>
    </w:p>
    <w:p w14:paraId="1D84AA77">
      <w:pPr>
        <w:spacing w:line="400" w:lineRule="exact"/>
        <w:ind w:left="448" w:hanging="446" w:hangingChars="200"/>
        <w:rPr>
          <w:rFonts w:ascii="宋体" w:hAnsi="宋体" w:cs="宋体"/>
          <w:color w:val="auto"/>
          <w:sz w:val="22"/>
          <w:szCs w:val="22"/>
          <w:highlight w:val="none"/>
        </w:rPr>
      </w:pPr>
      <w:r>
        <w:rPr>
          <w:rFonts w:hint="eastAsia" w:ascii="宋体" w:hAnsi="宋体" w:cs="宋体"/>
          <w:color w:val="auto"/>
          <w:sz w:val="22"/>
          <w:szCs w:val="22"/>
          <w:highlight w:val="none"/>
        </w:rPr>
        <w:t>标无效。</w:t>
      </w:r>
    </w:p>
    <w:p w14:paraId="058C48D6">
      <w:pPr>
        <w:snapToGrid w:val="0"/>
        <w:spacing w:line="460" w:lineRule="atLeast"/>
        <w:ind w:firstLine="446" w:firstLineChars="200"/>
        <w:rPr>
          <w:rFonts w:ascii="宋体" w:hAnsi="宋体" w:cs="宋体"/>
          <w:b/>
          <w:bCs/>
          <w:color w:val="auto"/>
          <w:sz w:val="22"/>
          <w:szCs w:val="22"/>
          <w:highlight w:val="none"/>
        </w:rPr>
      </w:pPr>
    </w:p>
    <w:p w14:paraId="71D2F6A8">
      <w:pPr>
        <w:snapToGrid w:val="0"/>
        <w:spacing w:line="460" w:lineRule="atLeast"/>
        <w:ind w:firstLine="446" w:firstLineChars="200"/>
        <w:rPr>
          <w:rFonts w:ascii="宋体" w:hAnsi="宋体" w:cs="宋体"/>
          <w:b/>
          <w:bCs/>
          <w:color w:val="auto"/>
          <w:sz w:val="22"/>
          <w:szCs w:val="22"/>
          <w:highlight w:val="none"/>
        </w:rPr>
      </w:pPr>
    </w:p>
    <w:p w14:paraId="454D7EB8">
      <w:pPr>
        <w:snapToGrid w:val="0"/>
        <w:spacing w:line="460" w:lineRule="atLeast"/>
        <w:ind w:firstLine="446" w:firstLineChars="200"/>
        <w:rPr>
          <w:rFonts w:ascii="宋体" w:hAnsi="宋体" w:cs="宋体"/>
          <w:b/>
          <w:bCs/>
          <w:color w:val="auto"/>
          <w:sz w:val="22"/>
          <w:szCs w:val="22"/>
          <w:highlight w:val="none"/>
        </w:rPr>
      </w:pPr>
    </w:p>
    <w:p w14:paraId="49034411">
      <w:pPr>
        <w:snapToGrid w:val="0"/>
        <w:spacing w:line="460" w:lineRule="atLeast"/>
        <w:ind w:firstLine="446" w:firstLineChars="200"/>
        <w:rPr>
          <w:rFonts w:ascii="宋体" w:hAnsi="宋体" w:cs="宋体"/>
          <w:b/>
          <w:bCs/>
          <w:color w:val="auto"/>
          <w:sz w:val="22"/>
          <w:szCs w:val="22"/>
          <w:highlight w:val="none"/>
        </w:rPr>
      </w:pPr>
    </w:p>
    <w:p w14:paraId="1D57173F">
      <w:pPr>
        <w:snapToGrid w:val="0"/>
        <w:spacing w:line="360" w:lineRule="auto"/>
        <w:jc w:val="left"/>
        <w:rPr>
          <w:rFonts w:ascii="Times New Roman" w:hAnsi="Times New Roman" w:cs="Times New Roman"/>
          <w:b/>
          <w:color w:val="auto"/>
          <w:sz w:val="28"/>
          <w:szCs w:val="28"/>
          <w:highlight w:val="none"/>
        </w:rPr>
      </w:pPr>
    </w:p>
    <w:p w14:paraId="312381E9">
      <w:pPr>
        <w:snapToGrid w:val="0"/>
        <w:spacing w:line="360" w:lineRule="auto"/>
        <w:jc w:val="left"/>
        <w:rPr>
          <w:rFonts w:ascii="Times New Roman" w:hAnsi="Times New Roman" w:cs="Times New Roman"/>
          <w:b/>
          <w:color w:val="auto"/>
          <w:sz w:val="28"/>
          <w:szCs w:val="28"/>
          <w:highlight w:val="none"/>
        </w:rPr>
      </w:pPr>
    </w:p>
    <w:p w14:paraId="3A3BA010">
      <w:pPr>
        <w:snapToGrid w:val="0"/>
        <w:spacing w:line="360" w:lineRule="auto"/>
        <w:jc w:val="left"/>
        <w:rPr>
          <w:rFonts w:ascii="Times New Roman" w:hAnsi="Times New Roman" w:cs="Times New Roman"/>
          <w:b/>
          <w:color w:val="auto"/>
          <w:sz w:val="28"/>
          <w:szCs w:val="28"/>
          <w:highlight w:val="none"/>
        </w:rPr>
      </w:pPr>
    </w:p>
    <w:p w14:paraId="1C78462E">
      <w:pPr>
        <w:snapToGrid w:val="0"/>
        <w:spacing w:line="360" w:lineRule="auto"/>
        <w:jc w:val="left"/>
        <w:rPr>
          <w:rFonts w:ascii="Times New Roman" w:hAnsi="Times New Roman" w:cs="Times New Roman"/>
          <w:b/>
          <w:color w:val="auto"/>
          <w:sz w:val="28"/>
          <w:szCs w:val="28"/>
          <w:highlight w:val="none"/>
        </w:rPr>
      </w:pPr>
    </w:p>
    <w:p w14:paraId="4D29074F">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3A0A4F2C">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388C0CEC">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FD88D94">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1BC4A6B">
      <w:pPr>
        <w:snapToGrid w:val="0"/>
        <w:spacing w:line="360" w:lineRule="auto"/>
        <w:ind w:firstLine="446" w:firstLineChars="200"/>
        <w:rPr>
          <w:color w:val="auto"/>
          <w:sz w:val="22"/>
          <w:highlight w:val="none"/>
        </w:rPr>
      </w:pPr>
    </w:p>
    <w:p w14:paraId="0F7FDB31">
      <w:pPr>
        <w:snapToGrid w:val="0"/>
        <w:spacing w:line="360" w:lineRule="auto"/>
        <w:ind w:firstLine="446" w:firstLineChars="200"/>
        <w:rPr>
          <w:color w:val="auto"/>
          <w:sz w:val="22"/>
          <w:highlight w:val="none"/>
        </w:rPr>
      </w:pPr>
    </w:p>
    <w:p w14:paraId="3708A4FE">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61AE74F8">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40"/>
    <w:p w14:paraId="7CCA3FFB">
      <w:pPr>
        <w:pStyle w:val="49"/>
        <w:snapToGrid w:val="0"/>
        <w:spacing w:line="360" w:lineRule="auto"/>
        <w:ind w:firstLine="223" w:firstLineChars="100"/>
        <w:rPr>
          <w:rFonts w:cs="宋体"/>
          <w:color w:val="auto"/>
          <w:sz w:val="22"/>
          <w:highlight w:val="none"/>
        </w:rPr>
      </w:pPr>
    </w:p>
    <w:p w14:paraId="760583FB">
      <w:pPr>
        <w:rPr>
          <w:color w:val="auto"/>
          <w:highlight w:val="none"/>
        </w:rPr>
      </w:pPr>
    </w:p>
    <w:p w14:paraId="4CA52181">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76032C4C">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72C76906">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6715107A">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2E25F78E">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0196D74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12CCBC3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535C8D00">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209A1F3E">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53AD4E69">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3AA5F786">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0C15A04E">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2"/>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6863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34B394E5">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0601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5DFDEA42">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7110BCE4">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2A2B6BA5">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5ECD534F">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4D7E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29399D4">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43812458">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4C5C250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06045376">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6F027CE7">
            <w:pPr>
              <w:jc w:val="left"/>
              <w:rPr>
                <w:rFonts w:ascii="宋体" w:hAnsi="宋体"/>
                <w:color w:val="auto"/>
                <w:sz w:val="22"/>
                <w:szCs w:val="22"/>
                <w:highlight w:val="none"/>
              </w:rPr>
            </w:pPr>
          </w:p>
        </w:tc>
      </w:tr>
      <w:tr w14:paraId="3DED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0D37B11F">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2C92A8A9">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115D304B">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3F125901">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7C7C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55D7863">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7DE06253">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24290DBA">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560070E9">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69F87A67">
            <w:pPr>
              <w:jc w:val="left"/>
              <w:rPr>
                <w:rFonts w:ascii="宋体" w:hAnsi="宋体"/>
                <w:color w:val="auto"/>
                <w:sz w:val="22"/>
                <w:szCs w:val="22"/>
                <w:highlight w:val="none"/>
              </w:rPr>
            </w:pPr>
          </w:p>
        </w:tc>
      </w:tr>
      <w:tr w14:paraId="338E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4263B98">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59C9220A">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142BC216">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6DC18168">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1E67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B1A5C8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3D5B9070">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7CC0EEE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109AFCED">
            <w:pPr>
              <w:jc w:val="left"/>
              <w:rPr>
                <w:rFonts w:ascii="宋体" w:hAnsi="宋体"/>
                <w:color w:val="auto"/>
                <w:sz w:val="22"/>
                <w:szCs w:val="22"/>
                <w:highlight w:val="none"/>
              </w:rPr>
            </w:pPr>
            <w:r>
              <w:rPr>
                <w:rFonts w:ascii="宋体" w:hAnsi="宋体"/>
                <w:color w:val="auto"/>
                <w:sz w:val="22"/>
                <w:szCs w:val="22"/>
                <w:highlight w:val="none"/>
              </w:rPr>
              <w:t>0577－88007377</w:t>
            </w:r>
          </w:p>
          <w:p w14:paraId="24E5C945">
            <w:pPr>
              <w:jc w:val="left"/>
              <w:rPr>
                <w:rFonts w:ascii="宋体" w:hAnsi="宋体"/>
                <w:color w:val="auto"/>
                <w:sz w:val="22"/>
                <w:szCs w:val="22"/>
                <w:highlight w:val="none"/>
              </w:rPr>
            </w:pPr>
          </w:p>
        </w:tc>
      </w:tr>
      <w:tr w14:paraId="15F7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63311F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2045B4E2">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2D390EC1">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00F7D4FD">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3EB29D57">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654AEB9F">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063E0FFA">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2BAC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720C0DE">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1E93E3BC">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2A946A08">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1AB47A5E">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18C72A3D">
            <w:pPr>
              <w:jc w:val="left"/>
              <w:rPr>
                <w:rFonts w:ascii="宋体" w:hAnsi="宋体"/>
                <w:color w:val="auto"/>
                <w:sz w:val="22"/>
                <w:szCs w:val="22"/>
                <w:highlight w:val="none"/>
              </w:rPr>
            </w:pPr>
          </w:p>
        </w:tc>
      </w:tr>
      <w:tr w14:paraId="0BF5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0591062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27A6DD44">
            <w:pPr>
              <w:pStyle w:val="69"/>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47834947">
            <w:pPr>
              <w:rPr>
                <w:rFonts w:ascii="宋体" w:hAnsi="宋体"/>
                <w:color w:val="auto"/>
                <w:sz w:val="22"/>
                <w:szCs w:val="22"/>
                <w:highlight w:val="none"/>
              </w:rPr>
            </w:pPr>
            <w:r>
              <w:rPr>
                <w:rFonts w:hint="eastAsia" w:ascii="宋体" w:hAnsi="宋体"/>
                <w:color w:val="auto"/>
                <w:sz w:val="22"/>
                <w:szCs w:val="22"/>
                <w:highlight w:val="none"/>
              </w:rPr>
              <w:t>张经理</w:t>
            </w:r>
          </w:p>
          <w:p w14:paraId="129EFEE4">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78A518FD">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70BC8989">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6378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80D7273">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16EC956C">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0D2D1C71">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16A8C41D">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07F4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A55E11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6BA8300D">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2E484BA0">
            <w:pPr>
              <w:pStyle w:val="49"/>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2689F7FE">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15FB8DF6">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6E81E32B">
            <w:pPr>
              <w:rPr>
                <w:rFonts w:ascii="宋体" w:hAnsi="宋体"/>
                <w:color w:val="auto"/>
                <w:sz w:val="22"/>
                <w:szCs w:val="22"/>
                <w:highlight w:val="none"/>
              </w:rPr>
            </w:pPr>
            <w:r>
              <w:rPr>
                <w:rFonts w:hint="eastAsia" w:ascii="宋体" w:hAnsi="宋体"/>
                <w:color w:val="auto"/>
                <w:sz w:val="22"/>
                <w:szCs w:val="22"/>
                <w:highlight w:val="none"/>
              </w:rPr>
              <w:t>13605772302</w:t>
            </w:r>
          </w:p>
        </w:tc>
      </w:tr>
      <w:tr w14:paraId="691C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4E04E83">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3C30D15B">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37DC5AC3">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1B92C85A">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3791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1691B423">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6EB85CEE">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31D21BD6">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6482A081">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025464CF">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7AAC1AE8">
            <w:pPr>
              <w:jc w:val="left"/>
              <w:rPr>
                <w:rFonts w:ascii="宋体" w:hAnsi="宋体"/>
                <w:color w:val="auto"/>
                <w:sz w:val="22"/>
                <w:szCs w:val="22"/>
                <w:highlight w:val="none"/>
              </w:rPr>
            </w:pPr>
          </w:p>
        </w:tc>
      </w:tr>
    </w:tbl>
    <w:p w14:paraId="5A9BE802">
      <w:pPr>
        <w:jc w:val="center"/>
        <w:rPr>
          <w:rFonts w:ascii="宋体" w:hAnsi="宋体"/>
          <w:b/>
          <w:bCs/>
          <w:color w:val="auto"/>
          <w:sz w:val="28"/>
          <w:szCs w:val="28"/>
          <w:highlight w:val="none"/>
        </w:rPr>
      </w:pPr>
    </w:p>
    <w:p w14:paraId="2A2081AD">
      <w:pPr>
        <w:jc w:val="center"/>
        <w:rPr>
          <w:rFonts w:ascii="宋体" w:hAnsi="宋体"/>
          <w:b/>
          <w:bCs/>
          <w:color w:val="auto"/>
          <w:sz w:val="28"/>
          <w:szCs w:val="28"/>
          <w:highlight w:val="none"/>
        </w:rPr>
      </w:pPr>
    </w:p>
    <w:p w14:paraId="3C1B815F">
      <w:pPr>
        <w:jc w:val="center"/>
        <w:rPr>
          <w:rFonts w:ascii="宋体" w:hAnsi="宋体"/>
          <w:b/>
          <w:bCs/>
          <w:color w:val="auto"/>
          <w:sz w:val="28"/>
          <w:szCs w:val="28"/>
          <w:highlight w:val="none"/>
        </w:rPr>
      </w:pPr>
    </w:p>
    <w:p w14:paraId="063EE3D8">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35B79023">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9D4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5E21712B">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tcPr>
          <w:p w14:paraId="43FF7263">
            <w:pPr>
              <w:pStyle w:val="69"/>
              <w:spacing w:line="360" w:lineRule="auto"/>
              <w:ind w:firstLine="0" w:firstLineChars="0"/>
              <w:jc w:val="center"/>
              <w:rPr>
                <w:rFonts w:ascii="宋体" w:hAnsi="宋体" w:eastAsia="宋体" w:cs="宋体"/>
                <w:color w:val="auto"/>
                <w:kern w:val="0"/>
                <w:sz w:val="22"/>
                <w:szCs w:val="22"/>
                <w:highlight w:val="none"/>
              </w:rPr>
            </w:pPr>
          </w:p>
        </w:tc>
      </w:tr>
      <w:tr w14:paraId="1EFC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16D53DB2">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tcPr>
          <w:p w14:paraId="0DAC8C11">
            <w:pPr>
              <w:pStyle w:val="69"/>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tcPr>
          <w:p w14:paraId="2F8616B5">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tcPr>
          <w:p w14:paraId="4621EFE0">
            <w:pPr>
              <w:pStyle w:val="69"/>
              <w:spacing w:line="360" w:lineRule="auto"/>
              <w:ind w:firstLine="0" w:firstLineChars="0"/>
              <w:jc w:val="center"/>
              <w:rPr>
                <w:rFonts w:ascii="宋体" w:hAnsi="宋体" w:eastAsia="宋体" w:cs="宋体"/>
                <w:color w:val="auto"/>
                <w:kern w:val="0"/>
                <w:sz w:val="22"/>
                <w:szCs w:val="22"/>
                <w:highlight w:val="none"/>
              </w:rPr>
            </w:pPr>
          </w:p>
        </w:tc>
      </w:tr>
      <w:tr w14:paraId="5AEE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Pr>
          <w:p w14:paraId="4E5E907B">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tcPr>
          <w:p w14:paraId="1CD98CB0">
            <w:pPr>
              <w:pStyle w:val="69"/>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tcPr>
          <w:p w14:paraId="60F6F2C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tcPr>
          <w:p w14:paraId="7CCCE15B">
            <w:pPr>
              <w:pStyle w:val="69"/>
              <w:spacing w:line="360" w:lineRule="auto"/>
              <w:ind w:firstLine="0" w:firstLineChars="0"/>
              <w:jc w:val="center"/>
              <w:rPr>
                <w:rFonts w:ascii="宋体" w:hAnsi="宋体" w:eastAsia="宋体" w:cs="宋体"/>
                <w:color w:val="auto"/>
                <w:kern w:val="0"/>
                <w:sz w:val="22"/>
                <w:szCs w:val="22"/>
                <w:highlight w:val="none"/>
              </w:rPr>
            </w:pPr>
          </w:p>
        </w:tc>
      </w:tr>
      <w:tr w14:paraId="345C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vAlign w:val="center"/>
          </w:tcPr>
          <w:p w14:paraId="06D2D1F3">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tcPr>
          <w:p w14:paraId="60CD0595">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2E53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49C6F0F4">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tcPr>
          <w:p w14:paraId="70169B60">
            <w:pPr>
              <w:pStyle w:val="69"/>
              <w:spacing w:line="360" w:lineRule="auto"/>
              <w:ind w:firstLine="0" w:firstLineChars="0"/>
              <w:rPr>
                <w:rFonts w:ascii="宋体" w:hAnsi="宋体" w:eastAsia="宋体" w:cs="宋体"/>
                <w:color w:val="auto"/>
                <w:kern w:val="0"/>
                <w:sz w:val="22"/>
                <w:szCs w:val="22"/>
                <w:highlight w:val="none"/>
              </w:rPr>
            </w:pPr>
          </w:p>
        </w:tc>
      </w:tr>
      <w:tr w14:paraId="7BE6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5BB29D49">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tcPr>
          <w:p w14:paraId="6E48DA2D">
            <w:pPr>
              <w:pStyle w:val="69"/>
              <w:spacing w:line="360" w:lineRule="auto"/>
              <w:ind w:firstLine="0" w:firstLineChars="0"/>
              <w:rPr>
                <w:rFonts w:ascii="宋体" w:hAnsi="宋体" w:eastAsia="宋体" w:cs="宋体"/>
                <w:color w:val="auto"/>
                <w:kern w:val="0"/>
                <w:sz w:val="22"/>
                <w:szCs w:val="22"/>
                <w:highlight w:val="none"/>
              </w:rPr>
            </w:pPr>
          </w:p>
        </w:tc>
      </w:tr>
      <w:tr w14:paraId="79C8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61B9103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tcPr>
          <w:p w14:paraId="13B09ECC">
            <w:pPr>
              <w:pStyle w:val="69"/>
              <w:spacing w:line="360" w:lineRule="auto"/>
              <w:ind w:firstLine="0" w:firstLineChars="0"/>
              <w:rPr>
                <w:rFonts w:ascii="宋体" w:hAnsi="宋体" w:eastAsia="宋体" w:cs="宋体"/>
                <w:color w:val="auto"/>
                <w:kern w:val="0"/>
                <w:sz w:val="22"/>
                <w:szCs w:val="22"/>
                <w:highlight w:val="none"/>
              </w:rPr>
            </w:pPr>
          </w:p>
        </w:tc>
      </w:tr>
      <w:tr w14:paraId="46BF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Pr>
          <w:p w14:paraId="2473B3C2">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tcPr>
          <w:p w14:paraId="05C3E1F0">
            <w:pPr>
              <w:rPr>
                <w:rFonts w:ascii="宋体" w:hAnsi="宋体" w:cs="宋体"/>
                <w:color w:val="auto"/>
                <w:sz w:val="22"/>
                <w:szCs w:val="22"/>
                <w:highlight w:val="none"/>
              </w:rPr>
            </w:pPr>
          </w:p>
        </w:tc>
      </w:tr>
      <w:tr w14:paraId="5510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35F06DD7">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tcPr>
          <w:p w14:paraId="63B29523">
            <w:pPr>
              <w:pStyle w:val="69"/>
              <w:spacing w:line="360" w:lineRule="auto"/>
              <w:ind w:firstLine="0" w:firstLineChars="0"/>
              <w:rPr>
                <w:rFonts w:ascii="宋体" w:hAnsi="宋体" w:eastAsia="宋体" w:cs="宋体"/>
                <w:color w:val="auto"/>
                <w:kern w:val="0"/>
                <w:sz w:val="22"/>
                <w:szCs w:val="22"/>
                <w:highlight w:val="none"/>
              </w:rPr>
            </w:pPr>
          </w:p>
        </w:tc>
      </w:tr>
      <w:tr w14:paraId="6664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6FD510B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tcPr>
          <w:p w14:paraId="5BEE7752">
            <w:pPr>
              <w:pStyle w:val="69"/>
              <w:spacing w:line="360" w:lineRule="auto"/>
              <w:ind w:firstLine="0" w:firstLineChars="0"/>
              <w:rPr>
                <w:rFonts w:ascii="宋体" w:hAnsi="宋体" w:eastAsia="宋体" w:cs="宋体"/>
                <w:color w:val="auto"/>
                <w:kern w:val="0"/>
                <w:sz w:val="22"/>
                <w:szCs w:val="22"/>
                <w:highlight w:val="none"/>
              </w:rPr>
            </w:pPr>
          </w:p>
        </w:tc>
      </w:tr>
      <w:tr w14:paraId="15D3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358EC124">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tcPr>
          <w:p w14:paraId="409456D3">
            <w:pPr>
              <w:pStyle w:val="69"/>
              <w:spacing w:line="360" w:lineRule="auto"/>
              <w:ind w:firstLine="0" w:firstLineChars="0"/>
              <w:rPr>
                <w:rFonts w:ascii="宋体" w:hAnsi="宋体" w:eastAsia="宋体" w:cs="宋体"/>
                <w:color w:val="auto"/>
                <w:kern w:val="0"/>
                <w:sz w:val="22"/>
                <w:szCs w:val="22"/>
                <w:highlight w:val="none"/>
              </w:rPr>
            </w:pPr>
          </w:p>
        </w:tc>
      </w:tr>
      <w:tr w14:paraId="4295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2CE16D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tcPr>
          <w:p w14:paraId="674E5166">
            <w:pPr>
              <w:pStyle w:val="69"/>
              <w:spacing w:line="360" w:lineRule="auto"/>
              <w:ind w:firstLine="0" w:firstLineChars="0"/>
              <w:rPr>
                <w:rFonts w:ascii="宋体" w:hAnsi="宋体" w:eastAsia="宋体" w:cs="宋体"/>
                <w:color w:val="auto"/>
                <w:kern w:val="0"/>
                <w:sz w:val="22"/>
                <w:szCs w:val="22"/>
                <w:highlight w:val="none"/>
              </w:rPr>
            </w:pPr>
          </w:p>
        </w:tc>
      </w:tr>
      <w:tr w14:paraId="16CF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3C5DBEE">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tcPr>
          <w:p w14:paraId="5892E7B1">
            <w:pPr>
              <w:pStyle w:val="69"/>
              <w:spacing w:line="360" w:lineRule="auto"/>
              <w:ind w:firstLine="0" w:firstLineChars="0"/>
              <w:rPr>
                <w:rFonts w:ascii="宋体" w:hAnsi="宋体" w:eastAsia="宋体" w:cs="宋体"/>
                <w:color w:val="auto"/>
                <w:kern w:val="0"/>
                <w:sz w:val="22"/>
                <w:szCs w:val="22"/>
                <w:highlight w:val="none"/>
              </w:rPr>
            </w:pPr>
          </w:p>
        </w:tc>
      </w:tr>
      <w:tr w14:paraId="53A1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9ECD0F7">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tcPr>
          <w:p w14:paraId="7D196E17">
            <w:pPr>
              <w:pStyle w:val="69"/>
              <w:spacing w:line="360" w:lineRule="auto"/>
              <w:ind w:firstLine="0" w:firstLineChars="0"/>
              <w:rPr>
                <w:rFonts w:ascii="宋体" w:hAnsi="宋体" w:eastAsia="宋体" w:cs="宋体"/>
                <w:color w:val="auto"/>
                <w:kern w:val="0"/>
                <w:sz w:val="22"/>
                <w:szCs w:val="22"/>
                <w:highlight w:val="none"/>
              </w:rPr>
            </w:pPr>
          </w:p>
        </w:tc>
      </w:tr>
      <w:tr w14:paraId="4518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28B43D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tcPr>
          <w:p w14:paraId="63B580BD">
            <w:pPr>
              <w:pStyle w:val="69"/>
              <w:spacing w:line="360" w:lineRule="auto"/>
              <w:ind w:firstLine="0" w:firstLineChars="0"/>
              <w:rPr>
                <w:rFonts w:ascii="宋体" w:hAnsi="宋体" w:eastAsia="宋体" w:cs="宋体"/>
                <w:color w:val="auto"/>
                <w:kern w:val="0"/>
                <w:sz w:val="22"/>
                <w:szCs w:val="22"/>
                <w:highlight w:val="none"/>
              </w:rPr>
            </w:pPr>
          </w:p>
        </w:tc>
      </w:tr>
      <w:tr w14:paraId="76AA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Pr>
          <w:p w14:paraId="63B1C1B7">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tcPr>
          <w:p w14:paraId="356173F4">
            <w:pPr>
              <w:pStyle w:val="69"/>
              <w:spacing w:line="360" w:lineRule="auto"/>
              <w:ind w:firstLine="0" w:firstLineChars="0"/>
              <w:rPr>
                <w:rFonts w:ascii="宋体" w:hAnsi="宋体" w:eastAsia="宋体" w:cs="宋体"/>
                <w:color w:val="auto"/>
                <w:kern w:val="0"/>
                <w:sz w:val="22"/>
                <w:szCs w:val="22"/>
                <w:highlight w:val="none"/>
              </w:rPr>
            </w:pPr>
          </w:p>
        </w:tc>
      </w:tr>
    </w:tbl>
    <w:p w14:paraId="7ADCE5FB">
      <w:pPr>
        <w:rPr>
          <w:rFonts w:ascii="宋体" w:hAnsi="宋体"/>
          <w:color w:val="auto"/>
          <w:sz w:val="22"/>
          <w:szCs w:val="22"/>
          <w:highlight w:val="none"/>
        </w:rPr>
      </w:pPr>
    </w:p>
    <w:p w14:paraId="076FC94B">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668A0681">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58286EE9">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2233B7A3">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3518BDA2">
      <w:pPr>
        <w:pStyle w:val="12"/>
        <w:jc w:val="center"/>
        <w:rPr>
          <w:rFonts w:ascii="宋体" w:hAnsi="宋体" w:cs="宋体"/>
          <w:b/>
          <w:bCs/>
          <w:color w:val="auto"/>
          <w:spacing w:val="-20"/>
          <w:kern w:val="44"/>
          <w:sz w:val="48"/>
          <w:szCs w:val="48"/>
          <w:highlight w:val="none"/>
        </w:rPr>
      </w:pPr>
    </w:p>
    <w:p w14:paraId="112FCC64">
      <w:pPr>
        <w:pStyle w:val="12"/>
        <w:jc w:val="center"/>
        <w:rPr>
          <w:rFonts w:ascii="宋体" w:hAnsi="宋体" w:cs="宋体"/>
          <w:b/>
          <w:bCs/>
          <w:color w:val="auto"/>
          <w:spacing w:val="-20"/>
          <w:kern w:val="44"/>
          <w:sz w:val="48"/>
          <w:szCs w:val="48"/>
          <w:highlight w:val="none"/>
        </w:rPr>
      </w:pPr>
    </w:p>
    <w:p w14:paraId="71C0D850">
      <w:pPr>
        <w:pStyle w:val="12"/>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0E3779EA">
      <w:pPr>
        <w:rPr>
          <w:rFonts w:ascii="宋体" w:hAnsi="宋体" w:cs="宋体"/>
          <w:b/>
          <w:bCs/>
          <w:color w:val="auto"/>
          <w:spacing w:val="-20"/>
          <w:kern w:val="44"/>
          <w:sz w:val="40"/>
          <w:szCs w:val="40"/>
          <w:highlight w:val="none"/>
        </w:rPr>
      </w:pPr>
    </w:p>
    <w:p w14:paraId="014CBB70">
      <w:pPr>
        <w:rPr>
          <w:rFonts w:ascii="宋体" w:hAnsi="宋体" w:cs="宋体"/>
          <w:b/>
          <w:bCs/>
          <w:color w:val="auto"/>
          <w:spacing w:val="-20"/>
          <w:kern w:val="44"/>
          <w:sz w:val="40"/>
          <w:szCs w:val="40"/>
          <w:highlight w:val="none"/>
        </w:rPr>
      </w:pPr>
    </w:p>
    <w:p w14:paraId="77BF585A">
      <w:pPr>
        <w:rPr>
          <w:rFonts w:ascii="宋体" w:hAnsi="宋体" w:cs="宋体"/>
          <w:b/>
          <w:bCs/>
          <w:color w:val="auto"/>
          <w:spacing w:val="-20"/>
          <w:kern w:val="44"/>
          <w:sz w:val="40"/>
          <w:szCs w:val="40"/>
          <w:highlight w:val="none"/>
        </w:rPr>
      </w:pPr>
    </w:p>
    <w:p w14:paraId="02AD7C65">
      <w:pPr>
        <w:spacing w:line="360" w:lineRule="auto"/>
        <w:ind w:left="426" w:leftChars="200"/>
        <w:rPr>
          <w:rFonts w:ascii="宋体" w:hAnsi="宋体" w:cs="宋体"/>
          <w:color w:val="auto"/>
          <w:sz w:val="32"/>
          <w:szCs w:val="32"/>
          <w:highlight w:val="none"/>
        </w:rPr>
      </w:pPr>
      <w:r>
        <w:rPr>
          <w:rFonts w:hint="eastAsia" w:ascii="宋体" w:hAnsi="宋体" w:cs="宋体"/>
          <w:color w:val="auto"/>
          <w:kern w:val="0"/>
          <w:sz w:val="32"/>
          <w:szCs w:val="32"/>
          <w:highlight w:val="none"/>
        </w:rPr>
        <w:t>项目名称：</w:t>
      </w:r>
      <w:r>
        <w:rPr>
          <w:rFonts w:hint="eastAsia" w:ascii="宋体" w:hAnsi="宋体" w:cs="宋体"/>
          <w:color w:val="auto"/>
          <w:sz w:val="32"/>
          <w:szCs w:val="32"/>
          <w:highlight w:val="none"/>
          <w:u w:val="single"/>
        </w:rPr>
        <w:t xml:space="preserve">                             </w:t>
      </w:r>
    </w:p>
    <w:p w14:paraId="5489EBE8">
      <w:pPr>
        <w:spacing w:line="360" w:lineRule="auto"/>
        <w:ind w:left="426" w:leftChars="200"/>
        <w:rPr>
          <w:rFonts w:ascii="宋体" w:hAnsi="宋体" w:cs="宋体"/>
          <w:color w:val="auto"/>
          <w:sz w:val="32"/>
          <w:szCs w:val="32"/>
          <w:highlight w:val="none"/>
          <w:u w:val="single"/>
        </w:rPr>
      </w:pPr>
      <w:r>
        <w:rPr>
          <w:rFonts w:hint="eastAsia" w:ascii="宋体" w:hAnsi="宋体" w:cs="宋体"/>
          <w:color w:val="auto"/>
          <w:sz w:val="32"/>
          <w:szCs w:val="32"/>
          <w:highlight w:val="none"/>
        </w:rPr>
        <w:t>合同编号：</w:t>
      </w:r>
      <w:r>
        <w:rPr>
          <w:rFonts w:hint="eastAsia" w:ascii="宋体" w:hAnsi="宋体" w:cs="宋体"/>
          <w:color w:val="auto"/>
          <w:sz w:val="32"/>
          <w:szCs w:val="32"/>
          <w:highlight w:val="none"/>
          <w:u w:val="single"/>
        </w:rPr>
        <w:t xml:space="preserve">                             </w:t>
      </w:r>
    </w:p>
    <w:p w14:paraId="4A2C0C7C">
      <w:pPr>
        <w:spacing w:line="360" w:lineRule="auto"/>
        <w:ind w:left="426" w:leftChars="200"/>
        <w:rPr>
          <w:rFonts w:ascii="宋体" w:hAnsi="宋体" w:cs="宋体"/>
          <w:color w:val="auto"/>
          <w:sz w:val="32"/>
          <w:szCs w:val="32"/>
          <w:highlight w:val="none"/>
        </w:rPr>
      </w:pPr>
      <w:r>
        <w:rPr>
          <w:rFonts w:hint="eastAsia" w:ascii="宋体" w:hAnsi="宋体" w:cs="宋体"/>
          <w:color w:val="auto"/>
          <w:sz w:val="32"/>
          <w:szCs w:val="32"/>
          <w:highlight w:val="none"/>
        </w:rPr>
        <w:t>甲    方：</w:t>
      </w:r>
      <w:r>
        <w:rPr>
          <w:rFonts w:hint="eastAsia" w:ascii="宋体" w:hAnsi="宋体" w:cs="宋体"/>
          <w:color w:val="auto"/>
          <w:sz w:val="32"/>
          <w:szCs w:val="32"/>
          <w:highlight w:val="none"/>
          <w:u w:val="single"/>
        </w:rPr>
        <w:t xml:space="preserve">                             </w:t>
      </w:r>
    </w:p>
    <w:p w14:paraId="16E7BC6D">
      <w:pPr>
        <w:spacing w:line="360" w:lineRule="auto"/>
        <w:ind w:left="426" w:leftChars="200"/>
        <w:rPr>
          <w:rFonts w:ascii="宋体" w:hAnsi="宋体" w:cs="宋体"/>
          <w:color w:val="auto"/>
          <w:sz w:val="32"/>
          <w:szCs w:val="32"/>
          <w:highlight w:val="none"/>
          <w:u w:val="single"/>
        </w:rPr>
      </w:pPr>
      <w:r>
        <w:rPr>
          <w:rFonts w:hint="eastAsia" w:ascii="宋体" w:hAnsi="宋体" w:cs="宋体"/>
          <w:color w:val="auto"/>
          <w:sz w:val="32"/>
          <w:szCs w:val="32"/>
          <w:highlight w:val="none"/>
        </w:rPr>
        <w:t>乙    方：</w:t>
      </w:r>
      <w:r>
        <w:rPr>
          <w:rFonts w:hint="eastAsia" w:ascii="宋体" w:hAnsi="宋体" w:cs="宋体"/>
          <w:color w:val="auto"/>
          <w:sz w:val="32"/>
          <w:szCs w:val="32"/>
          <w:highlight w:val="none"/>
          <w:u w:val="single"/>
        </w:rPr>
        <w:t xml:space="preserve">                             </w:t>
      </w:r>
    </w:p>
    <w:p w14:paraId="53347119">
      <w:pPr>
        <w:spacing w:line="360" w:lineRule="auto"/>
        <w:ind w:left="426" w:leftChars="200"/>
        <w:rPr>
          <w:rFonts w:ascii="宋体" w:hAnsi="宋体" w:cs="宋体"/>
          <w:color w:val="auto"/>
          <w:sz w:val="32"/>
          <w:szCs w:val="32"/>
          <w:highlight w:val="none"/>
        </w:rPr>
      </w:pPr>
      <w:r>
        <w:rPr>
          <w:rFonts w:hint="eastAsia" w:ascii="宋体" w:hAnsi="宋体" w:cs="宋体"/>
          <w:color w:val="auto"/>
          <w:sz w:val="32"/>
          <w:szCs w:val="32"/>
          <w:highlight w:val="none"/>
        </w:rPr>
        <w:t>签订时间：</w:t>
      </w:r>
      <w:r>
        <w:rPr>
          <w:rFonts w:hint="eastAsia" w:ascii="宋体" w:hAnsi="宋体" w:cs="宋体"/>
          <w:color w:val="auto"/>
          <w:sz w:val="32"/>
          <w:szCs w:val="32"/>
          <w:highlight w:val="none"/>
          <w:u w:val="single"/>
        </w:rPr>
        <w:t xml:space="preserve">                             </w:t>
      </w:r>
    </w:p>
    <w:p w14:paraId="1DE39B35">
      <w:pPr>
        <w:rPr>
          <w:rFonts w:ascii="宋体" w:hAnsi="宋体" w:cs="宋体"/>
          <w:color w:val="auto"/>
          <w:highlight w:val="none"/>
        </w:rPr>
      </w:pPr>
    </w:p>
    <w:p w14:paraId="3FC612E6">
      <w:pPr>
        <w:jc w:val="center"/>
        <w:rPr>
          <w:rFonts w:ascii="宋体" w:hAnsi="宋体" w:cs="宋体"/>
          <w:b/>
          <w:bCs/>
          <w:color w:val="auto"/>
          <w:sz w:val="28"/>
          <w:szCs w:val="28"/>
          <w:highlight w:val="none"/>
        </w:rPr>
      </w:pPr>
      <w:r>
        <w:rPr>
          <w:rFonts w:hint="eastAsia" w:ascii="宋体" w:hAnsi="宋体" w:cs="宋体"/>
          <w:color w:val="auto"/>
          <w:sz w:val="44"/>
          <w:szCs w:val="44"/>
          <w:highlight w:val="none"/>
        </w:rPr>
        <w:br w:type="page"/>
      </w:r>
      <w:bookmarkStart w:id="41" w:name="_Toc22209"/>
      <w:r>
        <w:rPr>
          <w:rFonts w:hint="eastAsia" w:ascii="宋体" w:hAnsi="宋体" w:cs="宋体"/>
          <w:b/>
          <w:bCs/>
          <w:color w:val="auto"/>
          <w:sz w:val="28"/>
          <w:szCs w:val="28"/>
          <w:highlight w:val="none"/>
        </w:rPr>
        <w:t>第一节 政府采购合同协议书</w:t>
      </w:r>
      <w:bookmarkEnd w:id="41"/>
    </w:p>
    <w:p w14:paraId="2CCFE8CF">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甲方（全称）：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（采购人、受采购人委托签订合同的单位或采购</w:t>
      </w:r>
      <w:r>
        <w:rPr>
          <w:rFonts w:hint="eastAsia" w:ascii="宋体" w:hAnsi="宋体" w:cs="宋体"/>
          <w:color w:val="auto"/>
          <w:szCs w:val="21"/>
          <w:highlight w:val="none"/>
        </w:rPr>
        <w:tab/>
      </w:r>
      <w:r>
        <w:rPr>
          <w:rFonts w:hint="eastAsia" w:ascii="宋体" w:hAnsi="宋体" w:cs="宋体"/>
          <w:color w:val="auto"/>
          <w:szCs w:val="21"/>
          <w:highlight w:val="none"/>
        </w:rPr>
        <w:t xml:space="preserve">                                   文件约定的合同甲方）</w:t>
      </w:r>
    </w:p>
    <w:p w14:paraId="3F230C37">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乙方1（全称）：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w:t>
      </w:r>
    </w:p>
    <w:p w14:paraId="3E986A9B">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乙方2（全称）：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14:paraId="783E80DD">
      <w:pPr>
        <w:adjustRightInd w:val="0"/>
        <w:snapToGrid w:val="0"/>
        <w:spacing w:line="400" w:lineRule="exact"/>
        <w:rPr>
          <w:rFonts w:ascii="宋体" w:hAnsi="宋体" w:cs="宋体"/>
          <w:color w:val="auto"/>
          <w:szCs w:val="21"/>
          <w:highlight w:val="none"/>
        </w:rPr>
      </w:pPr>
      <w:r>
        <w:rPr>
          <w:rFonts w:hint="eastAsia" w:ascii="宋体" w:hAnsi="宋体" w:cs="宋体"/>
          <w:color w:val="auto"/>
          <w:highlight w:val="none"/>
        </w:rPr>
        <w:t>乙方</w:t>
      </w:r>
      <w:r>
        <w:rPr>
          <w:rFonts w:hint="eastAsia" w:ascii="宋体" w:hAnsi="宋体" w:cs="宋体"/>
          <w:color w:val="auto"/>
          <w:szCs w:val="21"/>
          <w:highlight w:val="none"/>
        </w:rPr>
        <w:t>3</w:t>
      </w:r>
      <w:r>
        <w:rPr>
          <w:rFonts w:hint="eastAsia" w:ascii="宋体" w:hAnsi="宋体" w:cs="宋体"/>
          <w:color w:val="auto"/>
          <w:highlight w:val="none"/>
        </w:rPr>
        <w:t>（全称）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14:paraId="10E2A635">
      <w:pPr>
        <w:pStyle w:val="8"/>
        <w:adjustRightInd w:val="0"/>
        <w:snapToGrid w:val="0"/>
        <w:spacing w:line="400" w:lineRule="exact"/>
        <w:ind w:left="428"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20F05E9">
      <w:pPr>
        <w:numPr>
          <w:ilvl w:val="0"/>
          <w:numId w:val="15"/>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项目信息</w:t>
      </w:r>
    </w:p>
    <w:p w14:paraId="7562A07F">
      <w:pPr>
        <w:pStyle w:val="8"/>
        <w:numPr>
          <w:ilvl w:val="0"/>
          <w:numId w:val="16"/>
        </w:numPr>
        <w:adjustRightInd w:val="0"/>
        <w:snapToGrid w:val="0"/>
        <w:spacing w:line="400" w:lineRule="exact"/>
        <w:ind w:left="428" w:firstLine="426" w:firstLineChars="200"/>
        <w:rPr>
          <w:rFonts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63B414B5">
      <w:pPr>
        <w:pStyle w:val="8"/>
        <w:tabs>
          <w:tab w:val="left" w:pos="999"/>
        </w:tabs>
        <w:adjustRightInd w:val="0"/>
        <w:snapToGrid w:val="0"/>
        <w:spacing w:line="400" w:lineRule="exact"/>
        <w:ind w:left="0" w:leftChars="0"/>
        <w:rPr>
          <w:rFonts w:ascii="宋体" w:hAnsi="宋体" w:cs="宋体"/>
          <w:color w:val="auto"/>
          <w:szCs w:val="21"/>
          <w:highlight w:val="none"/>
        </w:rPr>
      </w:pPr>
      <w:r>
        <w:rPr>
          <w:rFonts w:hint="eastAsia" w:ascii="宋体" w:hAnsi="宋体" w:cs="宋体"/>
          <w:color w:val="auto"/>
          <w:szCs w:val="21"/>
          <w:highlight w:val="none"/>
        </w:rPr>
        <w:t xml:space="preserve">         采购项目编号：</w:t>
      </w:r>
      <w:r>
        <w:rPr>
          <w:rFonts w:hint="eastAsia" w:ascii="宋体" w:hAnsi="宋体" w:cs="宋体"/>
          <w:color w:val="auto"/>
          <w:szCs w:val="21"/>
          <w:highlight w:val="none"/>
          <w:u w:val="single"/>
        </w:rPr>
        <w:t xml:space="preserve">                                          </w:t>
      </w:r>
    </w:p>
    <w:p w14:paraId="0E8B453D">
      <w:pPr>
        <w:pStyle w:val="8"/>
        <w:adjustRightInd w:val="0"/>
        <w:snapToGrid w:val="0"/>
        <w:spacing w:line="400" w:lineRule="exact"/>
        <w:ind w:left="428" w:firstLine="426" w:firstLineChars="200"/>
        <w:rPr>
          <w:rFonts w:ascii="宋体" w:hAnsi="宋体" w:cs="宋体"/>
          <w:color w:val="auto"/>
          <w:szCs w:val="21"/>
          <w:highlight w:val="none"/>
        </w:rPr>
      </w:pPr>
      <w:r>
        <w:rPr>
          <w:rFonts w:hint="eastAsia" w:ascii="宋体" w:hAnsi="宋体" w:cs="宋体"/>
          <w:color w:val="auto"/>
          <w:szCs w:val="21"/>
          <w:highlight w:val="none"/>
        </w:rPr>
        <w:t>（2）采购计划编号：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FEBF4B4">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（3）项目内容：</w:t>
      </w:r>
    </w:p>
    <w:p w14:paraId="6A175210">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     采购标的及数量（台/套</w:t>
      </w:r>
      <w:r>
        <w:rPr>
          <w:rFonts w:hint="eastAsia" w:ascii="宋体" w:hAnsi="宋体" w:cs="宋体"/>
          <w:color w:val="auto"/>
          <w:szCs w:val="21"/>
          <w:highlight w:val="none"/>
          <w:lang w:val="en"/>
        </w:rPr>
        <w:t>/个/架/组等</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BB42441">
      <w:pPr>
        <w:adjustRightInd w:val="0"/>
        <w:snapToGrid w:val="0"/>
        <w:spacing w:line="400" w:lineRule="exact"/>
        <w:ind w:firstLine="426" w:firstLineChars="200"/>
        <w:rPr>
          <w:rFonts w:ascii="宋体" w:hAnsi="宋体" w:cs="宋体"/>
          <w:color w:val="auto"/>
          <w:szCs w:val="21"/>
          <w:highlight w:val="none"/>
          <w:lang w:val="en"/>
        </w:rPr>
      </w:pP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p>
    <w:p w14:paraId="68DF8F6D">
      <w:pPr>
        <w:adjustRightInd w:val="0"/>
        <w:snapToGrid w:val="0"/>
        <w:spacing w:line="400" w:lineRule="exact"/>
        <w:ind w:firstLine="958" w:firstLineChars="450"/>
        <w:rPr>
          <w:rFonts w:ascii="宋体" w:hAnsi="宋体" w:cs="宋体"/>
          <w:color w:val="auto"/>
          <w:szCs w:val="21"/>
          <w:highlight w:val="none"/>
          <w:u w:val="single"/>
        </w:rPr>
      </w:pPr>
      <w:r>
        <w:rPr>
          <w:rFonts w:hint="eastAsia" w:ascii="宋体" w:hAnsi="宋体" w:cs="宋体"/>
          <w:color w:val="auto"/>
          <w:szCs w:val="21"/>
          <w:highlight w:val="none"/>
        </w:rPr>
        <w:t>采购标的的技术要求、商务要求具体见附件。</w:t>
      </w:r>
    </w:p>
    <w:p w14:paraId="638E432E">
      <w:pPr>
        <w:adjustRightInd w:val="0"/>
        <w:snapToGrid w:val="0"/>
        <w:spacing w:line="400" w:lineRule="exact"/>
        <w:ind w:firstLine="958" w:firstLineChars="450"/>
        <w:rPr>
          <w:rFonts w:ascii="宋体" w:hAnsi="宋体" w:cs="宋体"/>
          <w:color w:val="auto"/>
          <w:szCs w:val="21"/>
          <w:highlight w:val="none"/>
        </w:rPr>
      </w:pPr>
      <w:r>
        <w:rPr>
          <w:rFonts w:hint="eastAsia" w:ascii="宋体" w:hAnsi="宋体" w:cs="宋体"/>
          <w:color w:val="auto"/>
          <w:szCs w:val="21"/>
          <w:highlight w:val="none"/>
        </w:rPr>
        <w:t>①涉及信息类产品，请填写该产品关键部件的品牌、型号：</w:t>
      </w:r>
    </w:p>
    <w:p w14:paraId="63B41BD8">
      <w:pPr>
        <w:adjustRightInd w:val="0"/>
        <w:snapToGrid w:val="0"/>
        <w:spacing w:line="400" w:lineRule="exact"/>
        <w:ind w:firstLine="426" w:firstLineChars="20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0F9D0909">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6705066">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6DC92062">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57EC4CCE">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1F4B68C2">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②涉及车辆采购，请填写是否属于新能源汽车：</w:t>
      </w:r>
    </w:p>
    <w:p w14:paraId="2AFE9FDD">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05479C68">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否</w:t>
      </w:r>
    </w:p>
    <w:p w14:paraId="27480153">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分散采购</w:t>
      </w:r>
    </w:p>
    <w:p w14:paraId="106781D5">
      <w:pPr>
        <w:pStyle w:val="95"/>
        <w:snapToGrid w:val="0"/>
        <w:ind w:firstLine="420" w:firstLineChars="0"/>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6DEC7017">
      <w:pPr>
        <w:pStyle w:val="95"/>
        <w:snapToGrid w:val="0"/>
        <w:ind w:firstLine="420" w:firstLineChars="0"/>
        <w:rPr>
          <w:rFonts w:ascii="宋体" w:hAnsi="宋体" w:eastAsia="宋体" w:cs="宋体"/>
          <w:color w:val="auto"/>
          <w:sz w:val="21"/>
          <w:highlight w:val="none"/>
          <w:u w:val="single"/>
        </w:rPr>
      </w:pPr>
      <w:r>
        <w:rPr>
          <w:rFonts w:hint="eastAsia" w:ascii="宋体" w:hAnsi="宋体" w:eastAsia="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22950689">
      <w:pPr>
        <w:pStyle w:val="95"/>
        <w:snapToGrid w:val="0"/>
        <w:ind w:firstLine="223" w:firstLineChars="100"/>
        <w:rPr>
          <w:rFonts w:ascii="宋体" w:hAnsi="宋体" w:eastAsia="宋体" w:cs="宋体"/>
          <w:color w:val="auto"/>
          <w:kern w:val="2"/>
          <w:sz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
        </w:rPr>
        <w:t>6</w:t>
      </w:r>
      <w:r>
        <w:rPr>
          <w:rFonts w:hint="eastAsia" w:ascii="宋体" w:hAnsi="宋体" w:eastAsia="宋体" w:cs="宋体"/>
          <w:color w:val="auto"/>
          <w:highlight w:val="none"/>
        </w:rPr>
        <w:t>）</w:t>
      </w:r>
      <w:r>
        <w:rPr>
          <w:rFonts w:hint="eastAsia" w:ascii="宋体" w:hAnsi="宋体" w:eastAsia="宋体" w:cs="宋体"/>
          <w:color w:val="auto"/>
          <w:kern w:val="2"/>
          <w:sz w:val="21"/>
          <w:highlight w:val="none"/>
        </w:rPr>
        <w:t>中标（成交）采购标的制造商是否为中小企业：</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 xml:space="preserve">是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4A288A10">
      <w:pPr>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本合同是否为专门面向中小企业的采购合同（中小企业预留合同）：</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否</w:t>
      </w:r>
    </w:p>
    <w:p w14:paraId="10456EEB">
      <w:pPr>
        <w:adjustRightInd w:val="0"/>
        <w:snapToGrid w:val="0"/>
        <w:spacing w:line="400" w:lineRule="exact"/>
        <w:rPr>
          <w:rFonts w:ascii="宋体" w:hAnsi="宋体" w:cs="宋体"/>
          <w:iCs/>
          <w:color w:val="auto"/>
          <w:szCs w:val="21"/>
          <w:highlight w:val="none"/>
        </w:rPr>
      </w:pPr>
      <w:r>
        <w:rPr>
          <w:rFonts w:hint="eastAsia" w:ascii="宋体" w:hAnsi="宋体" w:cs="宋体"/>
          <w:color w:val="auto"/>
          <w:highlight w:val="none"/>
        </w:rPr>
        <w:t xml:space="preserve">         若本项目不专门面向中小企业采购，是否给予小微企业评审优惠：</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52BCDE73">
      <w:pPr>
        <w:adjustRightInd w:val="0"/>
        <w:snapToGrid w:val="0"/>
        <w:spacing w:line="400" w:lineRule="exact"/>
        <w:rPr>
          <w:rFonts w:ascii="宋体" w:hAnsi="宋体" w:cs="宋体"/>
          <w:iCs/>
          <w:color w:val="auto"/>
          <w:szCs w:val="21"/>
          <w:highlight w:val="none"/>
        </w:rPr>
      </w:pPr>
      <w:r>
        <w:rPr>
          <w:rFonts w:hint="eastAsia" w:ascii="宋体" w:hAnsi="宋体" w:cs="宋体"/>
          <w:color w:val="auto"/>
          <w:highlight w:val="none"/>
        </w:rPr>
        <w:t xml:space="preserve">         中标（成交）采购标的制造商是否为残疾人福利性单位：</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32AEBAA5">
      <w:pPr>
        <w:snapToGrid w:val="0"/>
        <w:spacing w:line="400" w:lineRule="exact"/>
        <w:rPr>
          <w:rFonts w:ascii="宋体" w:hAnsi="宋体" w:cs="宋体"/>
          <w:color w:val="auto"/>
          <w:highlight w:val="none"/>
        </w:rPr>
      </w:pPr>
      <w:r>
        <w:rPr>
          <w:rFonts w:hint="eastAsia" w:ascii="宋体" w:hAnsi="宋体" w:cs="宋体"/>
          <w:color w:val="auto"/>
          <w:highlight w:val="none"/>
        </w:rPr>
        <w:t xml:space="preserve">         中标（成交）采购标的制造商是否为监狱企业：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743B0FC0">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7</w:t>
      </w:r>
      <w:r>
        <w:rPr>
          <w:rFonts w:hint="eastAsia" w:ascii="宋体" w:hAnsi="宋体" w:cs="宋体"/>
          <w:color w:val="auto"/>
          <w:szCs w:val="21"/>
          <w:highlight w:val="none"/>
        </w:rPr>
        <w:t>）合同是否分包：</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否</w:t>
      </w:r>
    </w:p>
    <w:p w14:paraId="18D8215A">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分包主要内容：</w:t>
      </w:r>
      <w:r>
        <w:rPr>
          <w:rFonts w:hint="eastAsia" w:ascii="宋体" w:hAnsi="宋体" w:cs="宋体"/>
          <w:color w:val="auto"/>
          <w:szCs w:val="21"/>
          <w:highlight w:val="none"/>
          <w:u w:val="single"/>
        </w:rPr>
        <w:t xml:space="preserve">                                            </w:t>
      </w:r>
    </w:p>
    <w:p w14:paraId="3684430D">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分包供应商/制造商名称（如供应商和制造商不同，请分别填写）：</w:t>
      </w:r>
    </w:p>
    <w:p w14:paraId="0B0D1CE6">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p w14:paraId="111A487F">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分包供应商/制造商类型（如果供应商和制造商不同，只填写制造商类型）：</w:t>
      </w:r>
    </w:p>
    <w:p w14:paraId="385BF8AB">
      <w:pPr>
        <w:adjustRightInd w:val="0"/>
        <w:snapToGrid w:val="0"/>
        <w:spacing w:line="400" w:lineRule="exact"/>
        <w:ind w:firstLine="852" w:firstLineChars="400"/>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大型企业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中型企业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小微型企业  </w:t>
      </w:r>
    </w:p>
    <w:p w14:paraId="3B5F8B5E">
      <w:pPr>
        <w:adjustRightInd w:val="0"/>
        <w:snapToGrid w:val="0"/>
        <w:spacing w:line="400" w:lineRule="exact"/>
        <w:ind w:firstLine="852" w:firstLineChars="400"/>
        <w:rPr>
          <w:rFonts w:ascii="宋体" w:hAnsi="宋体" w:cs="宋体"/>
          <w:color w:val="auto"/>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残疾人福利性单位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监狱企业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其他</w:t>
      </w:r>
    </w:p>
    <w:p w14:paraId="5B72676B">
      <w:pPr>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4EF65EA5">
      <w:pPr>
        <w:pStyle w:val="95"/>
        <w:tabs>
          <w:tab w:val="left" w:pos="1340"/>
        </w:tabs>
        <w:ind w:firstLine="428"/>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5C99B38F">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0F8A6A11">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4C13BDFB">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C6C1BAE">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4A6E9F5A">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val="en"/>
        </w:rPr>
        <w:t>0</w:t>
      </w:r>
      <w:r>
        <w:rPr>
          <w:rFonts w:hint="eastAsia" w:ascii="宋体" w:hAnsi="宋体" w:cs="宋体"/>
          <w:color w:val="auto"/>
          <w:szCs w:val="21"/>
          <w:highlight w:val="none"/>
        </w:rPr>
        <w:t>）是否涉及节能产品：</w:t>
      </w:r>
    </w:p>
    <w:p w14:paraId="10E421EE">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是，《节能产品政府采购品目清单》的底级品目名称：</w:t>
      </w:r>
      <w:r>
        <w:rPr>
          <w:rFonts w:hint="eastAsia" w:ascii="宋体" w:hAnsi="宋体" w:cs="宋体"/>
          <w:color w:val="auto"/>
          <w:szCs w:val="21"/>
          <w:highlight w:val="none"/>
          <w:u w:val="single"/>
        </w:rPr>
        <w:t xml:space="preserve">         </w:t>
      </w:r>
      <w:r>
        <w:rPr>
          <w:rFonts w:hint="eastAsia" w:ascii="宋体" w:hAnsi="宋体" w:cs="宋体"/>
          <w:iCs/>
          <w:color w:val="auto"/>
          <w:szCs w:val="21"/>
          <w:highlight w:val="none"/>
        </w:rPr>
        <w:t xml:space="preserve">     </w:t>
      </w:r>
    </w:p>
    <w:p w14:paraId="1AF65FF6">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78CC1231">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47E2D9FC">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是否涉及环境标志产品：</w:t>
      </w:r>
    </w:p>
    <w:p w14:paraId="64D17FDF">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是，《环境标志产品政府采购品目清单》的底级品目名称：</w:t>
      </w:r>
      <w:r>
        <w:rPr>
          <w:rFonts w:hint="eastAsia" w:ascii="宋体" w:hAnsi="宋体" w:cs="宋体"/>
          <w:color w:val="auto"/>
          <w:szCs w:val="21"/>
          <w:highlight w:val="none"/>
          <w:u w:val="single"/>
        </w:rPr>
        <w:t xml:space="preserve">         </w:t>
      </w:r>
      <w:r>
        <w:rPr>
          <w:rFonts w:hint="eastAsia" w:ascii="宋体" w:hAnsi="宋体" w:cs="宋体"/>
          <w:iCs/>
          <w:color w:val="auto"/>
          <w:szCs w:val="21"/>
          <w:highlight w:val="none"/>
        </w:rPr>
        <w:t xml:space="preserve"> </w:t>
      </w:r>
    </w:p>
    <w:p w14:paraId="54237A5B">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7019E7EC">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2CE33408">
      <w:pPr>
        <w:pStyle w:val="95"/>
        <w:snapToGrid w:val="0"/>
        <w:ind w:firstLine="0" w:firstLineChars="0"/>
        <w:rPr>
          <w:rFonts w:ascii="宋体" w:hAnsi="宋体" w:eastAsia="宋体" w:cs="宋体"/>
          <w:color w:val="auto"/>
          <w:kern w:val="2"/>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 xml:space="preserve">是否涉及绿色产品： </w:t>
      </w:r>
    </w:p>
    <w:p w14:paraId="234FF4F1">
      <w:pPr>
        <w:pStyle w:val="95"/>
        <w:ind w:firstLine="420" w:firstLineChars="0"/>
        <w:rPr>
          <w:rFonts w:ascii="宋体" w:hAnsi="宋体" w:eastAsia="宋体" w:cs="宋体"/>
          <w:color w:val="auto"/>
          <w:highlight w:val="none"/>
          <w:u w:val="singl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是，绿色产品政府采购相关政策确定的底级品目名称：</w:t>
      </w:r>
      <w:r>
        <w:rPr>
          <w:rFonts w:hint="eastAsia" w:ascii="宋体" w:hAnsi="宋体" w:eastAsia="宋体" w:cs="宋体"/>
          <w:color w:val="auto"/>
          <w:highlight w:val="none"/>
          <w:u w:val="single"/>
        </w:rPr>
        <w:t xml:space="preserve">         </w:t>
      </w:r>
    </w:p>
    <w:p w14:paraId="4D7499D1">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0D3DBFB8">
      <w:pPr>
        <w:pStyle w:val="95"/>
        <w:ind w:firstLine="420" w:firstLineChars="0"/>
        <w:rPr>
          <w:rFonts w:ascii="宋体" w:hAnsi="宋体" w:eastAsia="宋体" w:cs="宋体"/>
          <w:color w:val="auto"/>
          <w:sz w:val="21"/>
          <w:highlight w:val="non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14F0B2B0">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val="en"/>
        </w:rPr>
        <w:t>1</w:t>
      </w:r>
      <w:r>
        <w:rPr>
          <w:rFonts w:hint="eastAsia" w:ascii="宋体" w:hAnsi="宋体" w:cs="宋体"/>
          <w:color w:val="auto"/>
          <w:szCs w:val="21"/>
          <w:highlight w:val="none"/>
        </w:rPr>
        <w:t>）涉及商品包装和快递包装的，是否参考《商品包装政府采购需求标准（试行）》、《快递包装政府采购需求标准（试行）》明确产品及相关快递服务的具体包装要求：</w:t>
      </w:r>
    </w:p>
    <w:p w14:paraId="7103D04B">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否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不涉及</w:t>
      </w:r>
    </w:p>
    <w:p w14:paraId="3A5ABC97">
      <w:pPr>
        <w:numPr>
          <w:ilvl w:val="0"/>
          <w:numId w:val="15"/>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合同金额</w:t>
      </w:r>
    </w:p>
    <w:p w14:paraId="4601C3B3">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（1）合同金额小写：</w:t>
      </w:r>
      <w:r>
        <w:rPr>
          <w:rFonts w:hint="eastAsia" w:ascii="宋体" w:hAnsi="宋体" w:cs="宋体"/>
          <w:color w:val="auto"/>
          <w:szCs w:val="21"/>
          <w:highlight w:val="none"/>
          <w:u w:val="single"/>
        </w:rPr>
        <w:t xml:space="preserve">                           </w:t>
      </w:r>
    </w:p>
    <w:p w14:paraId="4CBD7182">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大写：</w:t>
      </w:r>
      <w:r>
        <w:rPr>
          <w:rFonts w:hint="eastAsia" w:ascii="宋体" w:hAnsi="宋体" w:cs="宋体"/>
          <w:color w:val="auto"/>
          <w:szCs w:val="21"/>
          <w:highlight w:val="none"/>
          <w:u w:val="single"/>
        </w:rPr>
        <w:t xml:space="preserve">                           </w:t>
      </w:r>
    </w:p>
    <w:p w14:paraId="1AB86D02">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分包金额（如有）小写：</w:t>
      </w:r>
      <w:r>
        <w:rPr>
          <w:rFonts w:hint="eastAsia" w:ascii="宋体" w:hAnsi="宋体" w:cs="宋体"/>
          <w:color w:val="auto"/>
          <w:szCs w:val="21"/>
          <w:highlight w:val="none"/>
          <w:u w:val="single"/>
        </w:rPr>
        <w:t xml:space="preserve">                   </w:t>
      </w:r>
    </w:p>
    <w:p w14:paraId="303AA4F8">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大写：</w:t>
      </w:r>
      <w:r>
        <w:rPr>
          <w:rFonts w:hint="eastAsia" w:ascii="宋体" w:hAnsi="宋体" w:cs="宋体"/>
          <w:color w:val="auto"/>
          <w:szCs w:val="21"/>
          <w:highlight w:val="none"/>
          <w:u w:val="single"/>
        </w:rPr>
        <w:t xml:space="preserve">                       </w:t>
      </w:r>
    </w:p>
    <w:p w14:paraId="54D77D42">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（注：固定单价合同应填写单价和最高限价）</w:t>
      </w:r>
    </w:p>
    <w:p w14:paraId="69ED2B89">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（2）合同定价方式（采用组合定价方式的，可以勾选多项）：</w:t>
      </w:r>
    </w:p>
    <w:p w14:paraId="4AAC0973">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 xml:space="preserve">固定总价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固定单价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固定费率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成本补偿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绩效激励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其他</w:t>
      </w:r>
      <w:r>
        <w:rPr>
          <w:rFonts w:hint="eastAsia" w:ascii="宋体" w:hAnsi="宋体" w:cs="宋体"/>
          <w:color w:val="auto"/>
          <w:szCs w:val="21"/>
          <w:highlight w:val="none"/>
          <w:u w:val="single"/>
        </w:rPr>
        <w:t xml:space="preserve">       </w:t>
      </w:r>
    </w:p>
    <w:p w14:paraId="44F36315">
      <w:pPr>
        <w:pStyle w:val="96"/>
        <w:spacing w:line="400" w:lineRule="exact"/>
        <w:ind w:firstLine="428"/>
        <w:rPr>
          <w:rFonts w:ascii="宋体" w:hAnsi="宋体" w:cs="宋体"/>
          <w:color w:val="auto"/>
          <w:highlight w:val="none"/>
        </w:rPr>
      </w:pPr>
      <w:r>
        <w:rPr>
          <w:rFonts w:hint="eastAsia" w:ascii="宋体" w:hAnsi="宋体" w:cs="宋体"/>
          <w:color w:val="auto"/>
          <w:highlight w:val="none"/>
        </w:rPr>
        <w:t>（3）付款方式（按项目实际勾选填写）：</w:t>
      </w:r>
    </w:p>
    <w:p w14:paraId="482D0275">
      <w:pPr>
        <w:adjustRightInd w:val="0"/>
        <w:snapToGrid w:val="0"/>
        <w:spacing w:line="400" w:lineRule="exact"/>
        <w:ind w:firstLine="639" w:firstLineChars="3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全额付款：</w:t>
      </w:r>
      <w:r>
        <w:rPr>
          <w:rFonts w:hint="eastAsia" w:ascii="宋体" w:hAnsi="宋体" w:cs="宋体"/>
          <w:color w:val="auto"/>
          <w:szCs w:val="21"/>
          <w:highlight w:val="none"/>
          <w:u w:val="single"/>
        </w:rPr>
        <w:t xml:space="preserve">     （应明确一次性支付合同款项的条件）                    </w:t>
      </w:r>
    </w:p>
    <w:p w14:paraId="01C41694">
      <w:pPr>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分期付款：</w:t>
      </w:r>
      <w:r>
        <w:rPr>
          <w:rFonts w:hint="eastAsia" w:ascii="宋体" w:hAnsi="宋体" w:cs="宋体"/>
          <w:color w:val="auto"/>
          <w:szCs w:val="21"/>
          <w:highlight w:val="none"/>
          <w:u w:val="single"/>
        </w:rPr>
        <w:t xml:space="preserve">  乙方若为中小企业，甲方在合同生效且项目具备实施条件后7个工作日内，向乙方支付合同总额的40%的预付款，预付款在后续货款中作相应抵扣。其余合同款项在安装验收合格后支付，甲方自收到发票后7个工作日内将货款支付给乙方。在签订合同时，乙方明确表示无需预付款的，合同款项在安装验收合格后支付，甲方自收到发票后7个工作日内将货款支付给乙方。</w:t>
      </w:r>
    </w:p>
    <w:p w14:paraId="5AA2D799">
      <w:pPr>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u w:val="single"/>
        </w:rPr>
        <w:t xml:space="preserve">乙方若为大型企业，合同款项在安装验收合格后支付。 </w:t>
      </w:r>
    </w:p>
    <w:p w14:paraId="3435EC64">
      <w:pPr>
        <w:adjustRightInd w:val="0"/>
        <w:snapToGrid w:val="0"/>
        <w:spacing w:line="400" w:lineRule="exact"/>
        <w:ind w:firstLine="639" w:firstLineChars="3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成本补偿：</w:t>
      </w:r>
      <w:r>
        <w:rPr>
          <w:rFonts w:hint="eastAsia" w:ascii="宋体" w:hAnsi="宋体" w:cs="宋体"/>
          <w:color w:val="auto"/>
          <w:szCs w:val="21"/>
          <w:highlight w:val="none"/>
          <w:u w:val="single"/>
        </w:rPr>
        <w:t xml:space="preserve">      （应明确按照成本补偿方式的支付方式和支付条件）   </w:t>
      </w:r>
    </w:p>
    <w:p w14:paraId="13BA80B6">
      <w:pPr>
        <w:adjustRightInd w:val="0"/>
        <w:snapToGrid w:val="0"/>
        <w:spacing w:line="400" w:lineRule="exact"/>
        <w:ind w:firstLine="639" w:firstLineChars="300"/>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绩效激励：</w:t>
      </w:r>
      <w:r>
        <w:rPr>
          <w:rFonts w:hint="eastAsia" w:ascii="宋体" w:hAnsi="宋体" w:cs="宋体"/>
          <w:color w:val="auto"/>
          <w:szCs w:val="21"/>
          <w:highlight w:val="none"/>
          <w:u w:val="single"/>
        </w:rPr>
        <w:t xml:space="preserve">      （应明确按照绩效激励方式的支付方式和支付条件）   </w:t>
      </w:r>
    </w:p>
    <w:p w14:paraId="74E88B6C">
      <w:pPr>
        <w:numPr>
          <w:ilvl w:val="0"/>
          <w:numId w:val="15"/>
        </w:numPr>
        <w:adjustRightInd w:val="0"/>
        <w:snapToGrid w:val="0"/>
        <w:spacing w:line="400" w:lineRule="exact"/>
        <w:ind w:firstLine="426" w:firstLineChars="200"/>
        <w:rPr>
          <w:rFonts w:ascii="宋体" w:hAnsi="宋体" w:cs="宋体"/>
          <w:b/>
          <w:color w:val="auto"/>
          <w:szCs w:val="21"/>
          <w:highlight w:val="none"/>
          <w:u w:val="single"/>
        </w:rPr>
      </w:pPr>
      <w:r>
        <w:rPr>
          <w:rFonts w:hint="eastAsia" w:ascii="宋体" w:hAnsi="宋体" w:cs="宋体"/>
          <w:b/>
          <w:color w:val="auto"/>
          <w:szCs w:val="21"/>
          <w:highlight w:val="none"/>
        </w:rPr>
        <w:t>合同履行</w:t>
      </w:r>
    </w:p>
    <w:p w14:paraId="1839AF1D">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7FFAF31">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26F0EBD4">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否</w:t>
      </w:r>
    </w:p>
    <w:p w14:paraId="0393F5C4">
      <w:pPr>
        <w:pStyle w:val="95"/>
        <w:ind w:firstLine="448"/>
        <w:rPr>
          <w:rFonts w:ascii="宋体" w:hAnsi="宋体" w:eastAsia="宋体" w:cs="宋体"/>
          <w:color w:val="auto"/>
          <w:sz w:val="21"/>
          <w:highlight w:val="none"/>
        </w:rPr>
      </w:pPr>
      <w:r>
        <w:rPr>
          <w:rFonts w:hint="eastAsia" w:ascii="宋体" w:hAnsi="宋体" w:eastAsia="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无。</w:t>
      </w:r>
    </w:p>
    <w:p w14:paraId="5E481A32">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无。</w:t>
      </w:r>
    </w:p>
    <w:p w14:paraId="0F21E0A2">
      <w:pPr>
        <w:snapToGrid w:val="0"/>
        <w:spacing w:line="400" w:lineRule="exact"/>
        <w:ind w:firstLine="426"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21B372FB">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7C4ECFA3">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768092DA">
      <w:pPr>
        <w:numPr>
          <w:ilvl w:val="0"/>
          <w:numId w:val="15"/>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合同验收</w:t>
      </w:r>
    </w:p>
    <w:p w14:paraId="3D8EB21A">
      <w:pPr>
        <w:numPr>
          <w:ilvl w:val="0"/>
          <w:numId w:val="17"/>
        </w:num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委托第三方组织</w:t>
      </w:r>
    </w:p>
    <w:p w14:paraId="2653617E">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验收主体：</w:t>
      </w:r>
      <w:r>
        <w:rPr>
          <w:rFonts w:hint="eastAsia" w:ascii="宋体" w:hAnsi="宋体" w:cs="宋体"/>
          <w:bCs/>
          <w:color w:val="auto"/>
          <w:szCs w:val="21"/>
          <w:highlight w:val="none"/>
          <w:u w:val="single"/>
        </w:rPr>
        <w:t xml:space="preserve">                  </w:t>
      </w:r>
    </w:p>
    <w:p w14:paraId="67CFF4A4">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2FE91790">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1C39BCF1">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6E1223EB">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48F8DB51">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是，抽查比例：</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0E029077">
      <w:pPr>
        <w:adjustRightInd w:val="0"/>
        <w:snapToGrid w:val="0"/>
        <w:spacing w:line="400" w:lineRule="exact"/>
        <w:ind w:firstLine="852" w:firstLineChars="400"/>
        <w:rPr>
          <w:rFonts w:ascii="宋体" w:hAnsi="宋体" w:cs="宋体"/>
          <w:bCs/>
          <w:color w:val="auto"/>
          <w:szCs w:val="21"/>
          <w:highlight w:val="none"/>
          <w:u w:val="single"/>
        </w:rPr>
      </w:pPr>
      <w:r>
        <w:rPr>
          <w:rFonts w:hint="eastAsia" w:ascii="宋体" w:hAnsi="宋体" w:cs="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是，</w:t>
      </w:r>
      <w:r>
        <w:rPr>
          <w:rFonts w:hint="eastAsia" w:ascii="宋体" w:hAnsi="宋体" w:cs="宋体"/>
          <w:bCs/>
          <w:color w:val="auto"/>
          <w:szCs w:val="21"/>
          <w:highlight w:val="none"/>
          <w:u w:val="single"/>
        </w:rPr>
        <w:t>（应明确对被破坏的检测产品的处理方式）</w:t>
      </w:r>
    </w:p>
    <w:p w14:paraId="136CD723">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51860C24">
      <w:pPr>
        <w:adjustRightInd w:val="0"/>
        <w:snapToGrid w:val="0"/>
        <w:spacing w:line="400" w:lineRule="exact"/>
        <w:ind w:firstLine="852" w:firstLineChars="400"/>
        <w:rPr>
          <w:rFonts w:ascii="宋体" w:hAnsi="宋体" w:cs="宋体"/>
          <w:bCs/>
          <w:color w:val="auto"/>
          <w:szCs w:val="21"/>
          <w:highlight w:val="none"/>
          <w:u w:val="single"/>
        </w:rPr>
      </w:pPr>
      <w:r>
        <w:rPr>
          <w:rFonts w:hint="eastAsia" w:ascii="宋体" w:hAnsi="宋体" w:cs="宋体"/>
          <w:bCs/>
          <w:color w:val="auto"/>
          <w:szCs w:val="21"/>
          <w:highlight w:val="none"/>
        </w:rPr>
        <w:t>验收组织的其他事项：</w:t>
      </w:r>
      <w:r>
        <w:rPr>
          <w:rFonts w:hint="eastAsia" w:ascii="宋体" w:hAnsi="宋体" w:cs="宋体"/>
          <w:bCs/>
          <w:color w:val="auto"/>
          <w:szCs w:val="21"/>
          <w:highlight w:val="none"/>
          <w:u w:val="single"/>
        </w:rPr>
        <w:t xml:space="preserve">                </w:t>
      </w:r>
    </w:p>
    <w:p w14:paraId="1E8CA449">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（2）履约验收时间：</w:t>
      </w:r>
      <w:r>
        <w:rPr>
          <w:rFonts w:hint="eastAsia" w:ascii="宋体" w:hAnsi="宋体" w:cs="宋体"/>
          <w:bCs/>
          <w:color w:val="auto"/>
          <w:szCs w:val="21"/>
          <w:highlight w:val="none"/>
          <w:u w:val="single"/>
        </w:rPr>
        <w:t xml:space="preserve">（计划于何时验收/供应商提出验收申请之日起   日内组织验收） </w:t>
      </w:r>
    </w:p>
    <w:p w14:paraId="14874AE1">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一次性验收         </w:t>
      </w:r>
    </w:p>
    <w:p w14:paraId="255062B8">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分期/分项验收：</w:t>
      </w:r>
      <w:r>
        <w:rPr>
          <w:rFonts w:hint="eastAsia" w:ascii="宋体" w:hAnsi="宋体" w:cs="宋体"/>
          <w:bCs/>
          <w:color w:val="auto"/>
          <w:szCs w:val="21"/>
          <w:highlight w:val="none"/>
          <w:u w:val="single"/>
        </w:rPr>
        <w:t xml:space="preserve"> （应明确分期</w:t>
      </w:r>
      <w:r>
        <w:rPr>
          <w:rFonts w:hint="eastAsia" w:ascii="宋体" w:hAnsi="宋体" w:cs="宋体"/>
          <w:bCs/>
          <w:color w:val="auto"/>
          <w:szCs w:val="21"/>
          <w:highlight w:val="none"/>
          <w:u w:val="single"/>
          <w:lang w:val="en"/>
        </w:rPr>
        <w:t>/分项验收的工作安排</w:t>
      </w:r>
      <w:r>
        <w:rPr>
          <w:rFonts w:hint="eastAsia" w:ascii="宋体" w:hAnsi="宋体" w:cs="宋体"/>
          <w:bCs/>
          <w:color w:val="auto"/>
          <w:szCs w:val="21"/>
          <w:highlight w:val="none"/>
          <w:u w:val="single"/>
        </w:rPr>
        <w:t xml:space="preserve">）  </w:t>
      </w:r>
    </w:p>
    <w:p w14:paraId="17E8038A">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（4）履约验收程序：</w:t>
      </w:r>
      <w:r>
        <w:rPr>
          <w:rFonts w:hint="eastAsia" w:ascii="宋体" w:hAnsi="宋体" w:cs="宋体"/>
          <w:bCs/>
          <w:color w:val="auto"/>
          <w:szCs w:val="21"/>
          <w:highlight w:val="none"/>
          <w:u w:val="single"/>
        </w:rPr>
        <w:t xml:space="preserve">                                         </w:t>
      </w:r>
    </w:p>
    <w:p w14:paraId="3ADC7EAE">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（5）履约验收的内容：</w:t>
      </w:r>
      <w:r>
        <w:rPr>
          <w:rFonts w:hint="eastAsia" w:ascii="宋体" w:hAnsi="宋体" w:cs="宋体"/>
          <w:bCs/>
          <w:color w:val="auto"/>
          <w:szCs w:val="21"/>
          <w:highlight w:val="none"/>
          <w:u w:val="single"/>
        </w:rPr>
        <w:t xml:space="preserve"> （应当包括每一项技术和商务要求的履约情况，特别是落实政府采购扶持中小企业，支持绿色发展和乡村振兴等政策情况）                                      </w:t>
      </w:r>
    </w:p>
    <w:p w14:paraId="37F49FDE">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（6）履约验收标准：</w:t>
      </w:r>
      <w:r>
        <w:rPr>
          <w:rFonts w:hint="eastAsia" w:ascii="宋体" w:hAnsi="宋体" w:cs="宋体"/>
          <w:bCs/>
          <w:color w:val="auto"/>
          <w:szCs w:val="21"/>
          <w:highlight w:val="none"/>
          <w:u w:val="single"/>
        </w:rPr>
        <w:t xml:space="preserve">                                         </w:t>
      </w:r>
    </w:p>
    <w:p w14:paraId="3EA5EC81">
      <w:pPr>
        <w:pStyle w:val="95"/>
        <w:ind w:firstLine="428"/>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否</w:t>
      </w:r>
    </w:p>
    <w:p w14:paraId="7E6ED711">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7D3DAEF1">
      <w:pPr>
        <w:numPr>
          <w:ilvl w:val="0"/>
          <w:numId w:val="15"/>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组成合同的文件</w:t>
      </w:r>
    </w:p>
    <w:p w14:paraId="426D58D9">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本协议书与下列文件一起构成合同文件，如下述文件之间有任何抵触、矛盾或歧义，应按以下顺序解释：</w:t>
      </w:r>
    </w:p>
    <w:p w14:paraId="77F65C10">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（1）政府采购合同协议书及其变更、补充协议</w:t>
      </w:r>
    </w:p>
    <w:p w14:paraId="4136CCD8">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（2）政府采购合同专用条款</w:t>
      </w:r>
    </w:p>
    <w:p w14:paraId="6E5D5E32">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（3）政府采购合同通用条款</w:t>
      </w:r>
    </w:p>
    <w:p w14:paraId="0EF39B4E">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（4）中标（成交）通知书</w:t>
      </w:r>
    </w:p>
    <w:p w14:paraId="3299AB9F">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（5）投标（响应）文件</w:t>
      </w:r>
    </w:p>
    <w:p w14:paraId="4C59B3A6">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（6）采购文件</w:t>
      </w:r>
    </w:p>
    <w:p w14:paraId="284DCCAF">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（7）有关技术文件，图纸</w:t>
      </w:r>
    </w:p>
    <w:p w14:paraId="4BB22632">
      <w:pPr>
        <w:pStyle w:val="95"/>
        <w:ind w:firstLine="428"/>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0C703717">
      <w:pPr>
        <w:numPr>
          <w:ilvl w:val="0"/>
          <w:numId w:val="15"/>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合同生效</w:t>
      </w:r>
    </w:p>
    <w:p w14:paraId="47FE288C">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本合同自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生效。</w:t>
      </w:r>
    </w:p>
    <w:p w14:paraId="7C666FBA">
      <w:pPr>
        <w:numPr>
          <w:ilvl w:val="0"/>
          <w:numId w:val="15"/>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合同份数</w:t>
      </w:r>
    </w:p>
    <w:p w14:paraId="00D92FDB">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份，均具有同等法律效力。</w:t>
      </w:r>
    </w:p>
    <w:p w14:paraId="270D8CA6">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合同订立时间：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DD97699">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t>合同订立地点：</w:t>
      </w:r>
      <w:r>
        <w:rPr>
          <w:rFonts w:hint="eastAsia" w:ascii="宋体" w:hAnsi="宋体" w:cs="宋体"/>
          <w:color w:val="auto"/>
          <w:szCs w:val="21"/>
          <w:highlight w:val="none"/>
          <w:u w:val="single"/>
        </w:rPr>
        <w:t xml:space="preserve">                           </w:t>
      </w:r>
    </w:p>
    <w:p w14:paraId="2AA7BD10">
      <w:pPr>
        <w:pStyle w:val="96"/>
        <w:ind w:firstLine="428"/>
        <w:rPr>
          <w:rFonts w:ascii="宋体" w:hAnsi="宋体" w:cs="宋体"/>
          <w:color w:val="auto"/>
          <w:highlight w:val="none"/>
        </w:rPr>
      </w:pPr>
    </w:p>
    <w:tbl>
      <w:tblPr>
        <w:tblStyle w:val="32"/>
        <w:tblW w:w="948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36"/>
        <w:gridCol w:w="2725"/>
        <w:gridCol w:w="2235"/>
        <w:gridCol w:w="2391"/>
      </w:tblGrid>
      <w:tr w14:paraId="1463E3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861" w:type="dxa"/>
            <w:gridSpan w:val="2"/>
            <w:tcBorders>
              <w:bottom w:val="single" w:color="auto" w:sz="2" w:space="0"/>
              <w:right w:val="single" w:color="auto" w:sz="2" w:space="0"/>
            </w:tcBorders>
            <w:vAlign w:val="center"/>
          </w:tcPr>
          <w:p w14:paraId="000CD925">
            <w:pPr>
              <w:adjustRightInd w:val="0"/>
              <w:snapToGrid w:val="0"/>
              <w:spacing w:line="300" w:lineRule="exact"/>
              <w:jc w:val="center"/>
              <w:rPr>
                <w:rFonts w:ascii="宋体" w:hAnsi="宋体" w:cs="宋体"/>
                <w:color w:val="auto"/>
                <w:highlight w:val="none"/>
              </w:rPr>
            </w:pPr>
            <w:r>
              <w:rPr>
                <w:rFonts w:hint="eastAsia" w:ascii="宋体" w:hAnsi="宋体" w:cs="宋体"/>
                <w:color w:val="auto"/>
                <w:szCs w:val="21"/>
                <w:highlight w:val="none"/>
              </w:rPr>
              <w:t>甲方（采购人、受采购人委托签订合同的单位或采购文件约定的合同甲方）</w:t>
            </w:r>
          </w:p>
        </w:tc>
        <w:tc>
          <w:tcPr>
            <w:tcW w:w="4626" w:type="dxa"/>
            <w:gridSpan w:val="2"/>
            <w:tcBorders>
              <w:left w:val="single" w:color="auto" w:sz="2" w:space="0"/>
              <w:bottom w:val="single" w:color="auto" w:sz="2" w:space="0"/>
            </w:tcBorders>
            <w:vAlign w:val="center"/>
          </w:tcPr>
          <w:p w14:paraId="07F31B1D">
            <w:pPr>
              <w:adjustRightInd w:val="0"/>
              <w:snapToGrid w:val="0"/>
              <w:spacing w:line="300" w:lineRule="exact"/>
              <w:jc w:val="center"/>
              <w:rPr>
                <w:rFonts w:ascii="宋体" w:hAnsi="宋体" w:cs="宋体"/>
                <w:color w:val="auto"/>
                <w:highlight w:val="none"/>
              </w:rPr>
            </w:pPr>
            <w:r>
              <w:rPr>
                <w:rFonts w:hint="eastAsia" w:ascii="宋体" w:hAnsi="宋体" w:cs="宋体"/>
                <w:color w:val="auto"/>
                <w:szCs w:val="21"/>
                <w:highlight w:val="none"/>
              </w:rPr>
              <w:t>乙方（供应商）</w:t>
            </w:r>
          </w:p>
        </w:tc>
      </w:tr>
      <w:tr w14:paraId="140DB1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36" w:type="dxa"/>
            <w:tcBorders>
              <w:top w:val="single" w:color="auto" w:sz="2" w:space="0"/>
              <w:bottom w:val="single" w:color="auto" w:sz="2" w:space="0"/>
              <w:right w:val="single" w:color="auto" w:sz="2" w:space="0"/>
            </w:tcBorders>
            <w:vAlign w:val="center"/>
          </w:tcPr>
          <w:p w14:paraId="5720728B">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单位名称（公章或合同章）</w:t>
            </w:r>
          </w:p>
        </w:tc>
        <w:tc>
          <w:tcPr>
            <w:tcW w:w="2725" w:type="dxa"/>
            <w:tcBorders>
              <w:top w:val="single" w:color="auto" w:sz="2" w:space="0"/>
              <w:left w:val="single" w:color="auto" w:sz="2" w:space="0"/>
              <w:bottom w:val="single" w:color="auto" w:sz="2" w:space="0"/>
              <w:right w:val="single" w:color="auto" w:sz="2" w:space="0"/>
            </w:tcBorders>
            <w:vAlign w:val="center"/>
          </w:tcPr>
          <w:p w14:paraId="12D72B17">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639CC488">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单位名称（公章或合同章）</w:t>
            </w:r>
          </w:p>
        </w:tc>
        <w:tc>
          <w:tcPr>
            <w:tcW w:w="2391" w:type="dxa"/>
            <w:tcBorders>
              <w:top w:val="single" w:color="auto" w:sz="2" w:space="0"/>
              <w:left w:val="single" w:color="auto" w:sz="2" w:space="0"/>
              <w:bottom w:val="single" w:color="auto" w:sz="2" w:space="0"/>
            </w:tcBorders>
            <w:vAlign w:val="center"/>
          </w:tcPr>
          <w:p w14:paraId="102C7192">
            <w:pPr>
              <w:adjustRightInd w:val="0"/>
              <w:snapToGrid w:val="0"/>
              <w:spacing w:line="300" w:lineRule="exact"/>
              <w:jc w:val="center"/>
              <w:rPr>
                <w:rFonts w:ascii="宋体" w:hAnsi="宋体" w:cs="宋体"/>
                <w:color w:val="auto"/>
                <w:spacing w:val="20"/>
                <w:szCs w:val="21"/>
                <w:highlight w:val="none"/>
              </w:rPr>
            </w:pPr>
          </w:p>
        </w:tc>
      </w:tr>
      <w:tr w14:paraId="3C2E61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36" w:type="dxa"/>
            <w:vMerge w:val="restart"/>
            <w:tcBorders>
              <w:top w:val="single" w:color="auto" w:sz="2" w:space="0"/>
              <w:right w:val="single" w:color="auto" w:sz="2" w:space="0"/>
            </w:tcBorders>
            <w:vAlign w:val="center"/>
          </w:tcPr>
          <w:p w14:paraId="6C613AF2">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p w14:paraId="691F561D">
            <w:pPr>
              <w:adjustRightInd w:val="0"/>
              <w:snapToGrid w:val="0"/>
              <w:spacing w:line="300" w:lineRule="exact"/>
              <w:ind w:firstLine="101" w:firstLineChars="48"/>
              <w:jc w:val="center"/>
              <w:rPr>
                <w:rFonts w:ascii="宋体" w:hAnsi="宋体" w:cs="宋体"/>
                <w:color w:val="auto"/>
                <w:szCs w:val="21"/>
                <w:highlight w:val="none"/>
              </w:rPr>
            </w:pPr>
            <w:r>
              <w:rPr>
                <w:rFonts w:hint="eastAsia" w:ascii="宋体" w:hAnsi="宋体" w:cs="宋体"/>
                <w:color w:val="auto"/>
                <w:szCs w:val="21"/>
                <w:highlight w:val="none"/>
              </w:rPr>
              <w:t>或其委托代理人（签章）</w:t>
            </w:r>
          </w:p>
        </w:tc>
        <w:tc>
          <w:tcPr>
            <w:tcW w:w="2725" w:type="dxa"/>
            <w:vMerge w:val="restart"/>
            <w:tcBorders>
              <w:top w:val="single" w:color="auto" w:sz="2" w:space="0"/>
              <w:left w:val="single" w:color="auto" w:sz="2" w:space="0"/>
              <w:right w:val="single" w:color="auto" w:sz="2" w:space="0"/>
            </w:tcBorders>
            <w:vAlign w:val="center"/>
          </w:tcPr>
          <w:p w14:paraId="72378EA4">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right w:val="single" w:color="auto" w:sz="2" w:space="0"/>
            </w:tcBorders>
            <w:vAlign w:val="center"/>
          </w:tcPr>
          <w:p w14:paraId="5868304C">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p w14:paraId="3011C43A">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或其委托代理人（签章）</w:t>
            </w:r>
          </w:p>
        </w:tc>
        <w:tc>
          <w:tcPr>
            <w:tcW w:w="2391" w:type="dxa"/>
            <w:tcBorders>
              <w:top w:val="single" w:color="auto" w:sz="2" w:space="0"/>
              <w:left w:val="single" w:color="auto" w:sz="2" w:space="0"/>
              <w:bottom w:val="single" w:color="auto" w:sz="2" w:space="0"/>
            </w:tcBorders>
            <w:vAlign w:val="center"/>
          </w:tcPr>
          <w:p w14:paraId="34A1BF23">
            <w:pPr>
              <w:adjustRightInd w:val="0"/>
              <w:snapToGrid w:val="0"/>
              <w:spacing w:line="300" w:lineRule="exact"/>
              <w:jc w:val="center"/>
              <w:rPr>
                <w:rFonts w:ascii="宋体" w:hAnsi="宋体" w:cs="宋体"/>
                <w:color w:val="auto"/>
                <w:szCs w:val="21"/>
                <w:highlight w:val="none"/>
              </w:rPr>
            </w:pPr>
          </w:p>
        </w:tc>
      </w:tr>
      <w:tr w14:paraId="07073D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vMerge w:val="continue"/>
            <w:tcBorders>
              <w:bottom w:val="single" w:color="auto" w:sz="2" w:space="0"/>
              <w:right w:val="single" w:color="auto" w:sz="2" w:space="0"/>
            </w:tcBorders>
            <w:vAlign w:val="center"/>
          </w:tcPr>
          <w:p w14:paraId="5A6FB47C">
            <w:pPr>
              <w:adjustRightInd w:val="0"/>
              <w:snapToGrid w:val="0"/>
              <w:spacing w:line="300" w:lineRule="exact"/>
              <w:jc w:val="center"/>
              <w:rPr>
                <w:rFonts w:ascii="宋体" w:hAnsi="宋体" w:cs="宋体"/>
                <w:color w:val="auto"/>
                <w:szCs w:val="21"/>
                <w:highlight w:val="none"/>
              </w:rPr>
            </w:pPr>
          </w:p>
        </w:tc>
        <w:tc>
          <w:tcPr>
            <w:tcW w:w="2725" w:type="dxa"/>
            <w:vMerge w:val="continue"/>
            <w:tcBorders>
              <w:left w:val="single" w:color="auto" w:sz="2" w:space="0"/>
              <w:bottom w:val="single" w:color="auto" w:sz="2" w:space="0"/>
              <w:right w:val="single" w:color="auto" w:sz="2" w:space="0"/>
            </w:tcBorders>
            <w:vAlign w:val="center"/>
          </w:tcPr>
          <w:p w14:paraId="0A6BEEC3">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69B3700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拥有者性别</w:t>
            </w:r>
          </w:p>
        </w:tc>
        <w:tc>
          <w:tcPr>
            <w:tcW w:w="2391" w:type="dxa"/>
            <w:tcBorders>
              <w:top w:val="single" w:color="auto" w:sz="2" w:space="0"/>
              <w:left w:val="single" w:color="auto" w:sz="2" w:space="0"/>
              <w:bottom w:val="single" w:color="auto" w:sz="2" w:space="0"/>
            </w:tcBorders>
            <w:vAlign w:val="center"/>
          </w:tcPr>
          <w:p w14:paraId="23DD976F">
            <w:pPr>
              <w:adjustRightInd w:val="0"/>
              <w:snapToGrid w:val="0"/>
              <w:spacing w:line="300" w:lineRule="exact"/>
              <w:jc w:val="center"/>
              <w:rPr>
                <w:rFonts w:ascii="宋体" w:hAnsi="宋体" w:cs="宋体"/>
                <w:color w:val="auto"/>
                <w:spacing w:val="20"/>
                <w:szCs w:val="21"/>
                <w:highlight w:val="none"/>
              </w:rPr>
            </w:pPr>
          </w:p>
        </w:tc>
      </w:tr>
      <w:tr w14:paraId="2AB2D9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3BCDC44A">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住  所</w:t>
            </w:r>
          </w:p>
        </w:tc>
        <w:tc>
          <w:tcPr>
            <w:tcW w:w="2725" w:type="dxa"/>
            <w:tcBorders>
              <w:top w:val="single" w:color="auto" w:sz="2" w:space="0"/>
              <w:left w:val="single" w:color="auto" w:sz="2" w:space="0"/>
              <w:bottom w:val="single" w:color="auto" w:sz="2" w:space="0"/>
              <w:right w:val="single" w:color="auto" w:sz="2" w:space="0"/>
            </w:tcBorders>
            <w:vAlign w:val="center"/>
          </w:tcPr>
          <w:p w14:paraId="5FF01E5A">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19C949E0">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住  所</w:t>
            </w:r>
          </w:p>
        </w:tc>
        <w:tc>
          <w:tcPr>
            <w:tcW w:w="2391" w:type="dxa"/>
            <w:tcBorders>
              <w:top w:val="single" w:color="auto" w:sz="2" w:space="0"/>
              <w:left w:val="single" w:color="auto" w:sz="2" w:space="0"/>
              <w:bottom w:val="single" w:color="auto" w:sz="2" w:space="0"/>
            </w:tcBorders>
            <w:vAlign w:val="center"/>
          </w:tcPr>
          <w:p w14:paraId="5A23CE6C">
            <w:pPr>
              <w:adjustRightInd w:val="0"/>
              <w:snapToGrid w:val="0"/>
              <w:spacing w:line="300" w:lineRule="exact"/>
              <w:jc w:val="center"/>
              <w:rPr>
                <w:rFonts w:ascii="宋体" w:hAnsi="宋体" w:cs="宋体"/>
                <w:color w:val="auto"/>
                <w:spacing w:val="20"/>
                <w:szCs w:val="21"/>
                <w:highlight w:val="none"/>
              </w:rPr>
            </w:pPr>
          </w:p>
        </w:tc>
      </w:tr>
      <w:tr w14:paraId="7786A7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2A61365F">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 系 人</w:t>
            </w:r>
          </w:p>
        </w:tc>
        <w:tc>
          <w:tcPr>
            <w:tcW w:w="2725" w:type="dxa"/>
            <w:tcBorders>
              <w:top w:val="single" w:color="auto" w:sz="2" w:space="0"/>
              <w:left w:val="single" w:color="auto" w:sz="2" w:space="0"/>
              <w:bottom w:val="single" w:color="auto" w:sz="2" w:space="0"/>
              <w:right w:val="single" w:color="auto" w:sz="2" w:space="0"/>
            </w:tcBorders>
            <w:vAlign w:val="center"/>
          </w:tcPr>
          <w:p w14:paraId="6E6F9939">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4A56212F">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 系 人</w:t>
            </w:r>
          </w:p>
        </w:tc>
        <w:tc>
          <w:tcPr>
            <w:tcW w:w="2391" w:type="dxa"/>
            <w:tcBorders>
              <w:top w:val="single" w:color="auto" w:sz="2" w:space="0"/>
              <w:left w:val="single" w:color="auto" w:sz="2" w:space="0"/>
              <w:bottom w:val="single" w:color="auto" w:sz="2" w:space="0"/>
            </w:tcBorders>
            <w:vAlign w:val="center"/>
          </w:tcPr>
          <w:p w14:paraId="6543DD1E">
            <w:pPr>
              <w:adjustRightInd w:val="0"/>
              <w:snapToGrid w:val="0"/>
              <w:spacing w:line="300" w:lineRule="exact"/>
              <w:jc w:val="center"/>
              <w:rPr>
                <w:rFonts w:ascii="宋体" w:hAnsi="宋体" w:cs="宋体"/>
                <w:color w:val="auto"/>
                <w:spacing w:val="20"/>
                <w:szCs w:val="21"/>
                <w:highlight w:val="none"/>
              </w:rPr>
            </w:pPr>
          </w:p>
        </w:tc>
      </w:tr>
      <w:tr w14:paraId="4BB07E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3E6369A">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2725" w:type="dxa"/>
            <w:tcBorders>
              <w:top w:val="single" w:color="auto" w:sz="2" w:space="0"/>
              <w:left w:val="single" w:color="auto" w:sz="2" w:space="0"/>
              <w:bottom w:val="single" w:color="auto" w:sz="2" w:space="0"/>
              <w:right w:val="single" w:color="auto" w:sz="2" w:space="0"/>
            </w:tcBorders>
            <w:vAlign w:val="center"/>
          </w:tcPr>
          <w:p w14:paraId="31C96845">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16B1ECFF">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2391" w:type="dxa"/>
            <w:tcBorders>
              <w:top w:val="single" w:color="auto" w:sz="2" w:space="0"/>
              <w:left w:val="single" w:color="auto" w:sz="2" w:space="0"/>
              <w:bottom w:val="single" w:color="auto" w:sz="2" w:space="0"/>
            </w:tcBorders>
            <w:vAlign w:val="center"/>
          </w:tcPr>
          <w:p w14:paraId="42DDA284">
            <w:pPr>
              <w:adjustRightInd w:val="0"/>
              <w:snapToGrid w:val="0"/>
              <w:spacing w:line="300" w:lineRule="exact"/>
              <w:jc w:val="center"/>
              <w:rPr>
                <w:rFonts w:ascii="宋体" w:hAnsi="宋体" w:cs="宋体"/>
                <w:color w:val="auto"/>
                <w:spacing w:val="20"/>
                <w:szCs w:val="21"/>
                <w:highlight w:val="none"/>
              </w:rPr>
            </w:pPr>
          </w:p>
        </w:tc>
      </w:tr>
      <w:tr w14:paraId="1F9FA9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4CEE87E4">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通信地址</w:t>
            </w:r>
          </w:p>
        </w:tc>
        <w:tc>
          <w:tcPr>
            <w:tcW w:w="2725" w:type="dxa"/>
            <w:tcBorders>
              <w:top w:val="single" w:color="auto" w:sz="2" w:space="0"/>
              <w:left w:val="single" w:color="auto" w:sz="2" w:space="0"/>
              <w:bottom w:val="single" w:color="auto" w:sz="2" w:space="0"/>
              <w:right w:val="single" w:color="auto" w:sz="2" w:space="0"/>
            </w:tcBorders>
            <w:vAlign w:val="center"/>
          </w:tcPr>
          <w:p w14:paraId="75E0186E">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311635AA">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通信地址</w:t>
            </w:r>
          </w:p>
        </w:tc>
        <w:tc>
          <w:tcPr>
            <w:tcW w:w="2391" w:type="dxa"/>
            <w:tcBorders>
              <w:top w:val="single" w:color="auto" w:sz="2" w:space="0"/>
              <w:left w:val="single" w:color="auto" w:sz="2" w:space="0"/>
              <w:bottom w:val="single" w:color="auto" w:sz="2" w:space="0"/>
            </w:tcBorders>
            <w:vAlign w:val="center"/>
          </w:tcPr>
          <w:p w14:paraId="3C157E6B">
            <w:pPr>
              <w:adjustRightInd w:val="0"/>
              <w:snapToGrid w:val="0"/>
              <w:spacing w:line="300" w:lineRule="exact"/>
              <w:jc w:val="center"/>
              <w:rPr>
                <w:rFonts w:ascii="宋体" w:hAnsi="宋体" w:cs="宋体"/>
                <w:color w:val="auto"/>
                <w:spacing w:val="20"/>
                <w:szCs w:val="21"/>
                <w:highlight w:val="none"/>
              </w:rPr>
            </w:pPr>
          </w:p>
        </w:tc>
      </w:tr>
      <w:tr w14:paraId="6229AD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4B37BE5E">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725" w:type="dxa"/>
            <w:tcBorders>
              <w:top w:val="single" w:color="auto" w:sz="2" w:space="0"/>
              <w:left w:val="single" w:color="auto" w:sz="2" w:space="0"/>
              <w:bottom w:val="single" w:color="auto" w:sz="2" w:space="0"/>
              <w:right w:val="single" w:color="auto" w:sz="2" w:space="0"/>
            </w:tcBorders>
            <w:vAlign w:val="center"/>
          </w:tcPr>
          <w:p w14:paraId="348EEE92">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6A632962">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91" w:type="dxa"/>
            <w:tcBorders>
              <w:top w:val="single" w:color="auto" w:sz="2" w:space="0"/>
              <w:left w:val="single" w:color="auto" w:sz="2" w:space="0"/>
              <w:bottom w:val="single" w:color="auto" w:sz="2" w:space="0"/>
            </w:tcBorders>
            <w:vAlign w:val="center"/>
          </w:tcPr>
          <w:p w14:paraId="79378657">
            <w:pPr>
              <w:adjustRightInd w:val="0"/>
              <w:snapToGrid w:val="0"/>
              <w:spacing w:line="300" w:lineRule="exact"/>
              <w:jc w:val="center"/>
              <w:rPr>
                <w:rFonts w:ascii="宋体" w:hAnsi="宋体" w:cs="宋体"/>
                <w:color w:val="auto"/>
                <w:spacing w:val="20"/>
                <w:szCs w:val="21"/>
                <w:highlight w:val="none"/>
              </w:rPr>
            </w:pPr>
          </w:p>
        </w:tc>
      </w:tr>
      <w:tr w14:paraId="5E2CC9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73F0A3CA">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2725" w:type="dxa"/>
            <w:tcBorders>
              <w:top w:val="single" w:color="auto" w:sz="2" w:space="0"/>
              <w:left w:val="single" w:color="auto" w:sz="2" w:space="0"/>
              <w:bottom w:val="single" w:color="auto" w:sz="2" w:space="0"/>
              <w:right w:val="single" w:color="auto" w:sz="2" w:space="0"/>
            </w:tcBorders>
            <w:vAlign w:val="center"/>
          </w:tcPr>
          <w:p w14:paraId="71C87C5C">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3357B88E">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2391" w:type="dxa"/>
            <w:tcBorders>
              <w:top w:val="single" w:color="auto" w:sz="2" w:space="0"/>
              <w:left w:val="single" w:color="auto" w:sz="2" w:space="0"/>
              <w:bottom w:val="single" w:color="auto" w:sz="2" w:space="0"/>
            </w:tcBorders>
            <w:vAlign w:val="center"/>
          </w:tcPr>
          <w:p w14:paraId="474FDF0D">
            <w:pPr>
              <w:adjustRightInd w:val="0"/>
              <w:snapToGrid w:val="0"/>
              <w:spacing w:line="300" w:lineRule="exact"/>
              <w:jc w:val="center"/>
              <w:rPr>
                <w:rFonts w:ascii="宋体" w:hAnsi="宋体" w:cs="宋体"/>
                <w:color w:val="auto"/>
                <w:spacing w:val="20"/>
                <w:szCs w:val="21"/>
                <w:highlight w:val="none"/>
              </w:rPr>
            </w:pPr>
          </w:p>
        </w:tc>
      </w:tr>
      <w:tr w14:paraId="5263BD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774642F0">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725" w:type="dxa"/>
            <w:tcBorders>
              <w:top w:val="single" w:color="auto" w:sz="2" w:space="0"/>
              <w:left w:val="single" w:color="auto" w:sz="2" w:space="0"/>
              <w:bottom w:val="single" w:color="auto" w:sz="2" w:space="0"/>
              <w:right w:val="single" w:color="auto" w:sz="2" w:space="0"/>
            </w:tcBorders>
            <w:vAlign w:val="center"/>
          </w:tcPr>
          <w:p w14:paraId="5D82FB5B">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04F1A9CE">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391" w:type="dxa"/>
            <w:tcBorders>
              <w:top w:val="single" w:color="auto" w:sz="2" w:space="0"/>
              <w:left w:val="single" w:color="auto" w:sz="2" w:space="0"/>
              <w:bottom w:val="single" w:color="auto" w:sz="2" w:space="0"/>
            </w:tcBorders>
            <w:vAlign w:val="center"/>
          </w:tcPr>
          <w:p w14:paraId="460BEBD9">
            <w:pPr>
              <w:adjustRightInd w:val="0"/>
              <w:snapToGrid w:val="0"/>
              <w:spacing w:line="300" w:lineRule="exact"/>
              <w:jc w:val="center"/>
              <w:rPr>
                <w:rFonts w:ascii="宋体" w:hAnsi="宋体" w:cs="宋体"/>
                <w:color w:val="auto"/>
                <w:spacing w:val="20"/>
                <w:szCs w:val="21"/>
                <w:highlight w:val="none"/>
              </w:rPr>
            </w:pPr>
          </w:p>
        </w:tc>
      </w:tr>
      <w:tr w14:paraId="691857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576A816A">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2BF3A124">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3C79AF8E">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开户名称</w:t>
            </w:r>
          </w:p>
        </w:tc>
        <w:tc>
          <w:tcPr>
            <w:tcW w:w="2391" w:type="dxa"/>
            <w:tcBorders>
              <w:top w:val="single" w:color="auto" w:sz="2" w:space="0"/>
              <w:left w:val="single" w:color="auto" w:sz="2" w:space="0"/>
              <w:bottom w:val="single" w:color="auto" w:sz="2" w:space="0"/>
            </w:tcBorders>
            <w:vAlign w:val="center"/>
          </w:tcPr>
          <w:p w14:paraId="2350AD62">
            <w:pPr>
              <w:adjustRightInd w:val="0"/>
              <w:snapToGrid w:val="0"/>
              <w:spacing w:line="300" w:lineRule="exact"/>
              <w:jc w:val="center"/>
              <w:rPr>
                <w:rFonts w:ascii="宋体" w:hAnsi="宋体" w:cs="宋体"/>
                <w:color w:val="auto"/>
                <w:spacing w:val="20"/>
                <w:szCs w:val="21"/>
                <w:highlight w:val="none"/>
              </w:rPr>
            </w:pPr>
          </w:p>
        </w:tc>
      </w:tr>
      <w:tr w14:paraId="184FA8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65DECDBB">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2F8776AC">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7AE061FF">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2391" w:type="dxa"/>
            <w:tcBorders>
              <w:top w:val="single" w:color="auto" w:sz="2" w:space="0"/>
              <w:left w:val="single" w:color="auto" w:sz="2" w:space="0"/>
              <w:bottom w:val="single" w:color="auto" w:sz="2" w:space="0"/>
            </w:tcBorders>
            <w:vAlign w:val="center"/>
          </w:tcPr>
          <w:p w14:paraId="0D1C78B6">
            <w:pPr>
              <w:adjustRightInd w:val="0"/>
              <w:snapToGrid w:val="0"/>
              <w:spacing w:line="300" w:lineRule="exact"/>
              <w:jc w:val="center"/>
              <w:rPr>
                <w:rFonts w:ascii="宋体" w:hAnsi="宋体" w:cs="宋体"/>
                <w:color w:val="auto"/>
                <w:spacing w:val="20"/>
                <w:szCs w:val="21"/>
                <w:highlight w:val="none"/>
              </w:rPr>
            </w:pPr>
          </w:p>
        </w:tc>
      </w:tr>
      <w:tr w14:paraId="54B0D2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42FB1E93">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36D0D3FB">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04611137">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银行账号</w:t>
            </w:r>
          </w:p>
        </w:tc>
        <w:tc>
          <w:tcPr>
            <w:tcW w:w="2391" w:type="dxa"/>
            <w:tcBorders>
              <w:top w:val="single" w:color="auto" w:sz="2" w:space="0"/>
              <w:left w:val="single" w:color="auto" w:sz="2" w:space="0"/>
              <w:bottom w:val="single" w:color="auto" w:sz="2" w:space="0"/>
            </w:tcBorders>
            <w:vAlign w:val="center"/>
          </w:tcPr>
          <w:p w14:paraId="1ADE13F8">
            <w:pPr>
              <w:adjustRightInd w:val="0"/>
              <w:snapToGrid w:val="0"/>
              <w:spacing w:line="300" w:lineRule="exact"/>
              <w:jc w:val="center"/>
              <w:rPr>
                <w:rFonts w:ascii="宋体" w:hAnsi="宋体" w:cs="宋体"/>
                <w:color w:val="auto"/>
                <w:spacing w:val="20"/>
                <w:szCs w:val="21"/>
                <w:highlight w:val="none"/>
              </w:rPr>
            </w:pPr>
          </w:p>
        </w:tc>
      </w:tr>
      <w:tr w14:paraId="2D025F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487" w:type="dxa"/>
            <w:gridSpan w:val="4"/>
            <w:tcBorders>
              <w:top w:val="single" w:color="auto" w:sz="2" w:space="0"/>
            </w:tcBorders>
            <w:vAlign w:val="center"/>
          </w:tcPr>
          <w:p w14:paraId="1E7FEF0C">
            <w:pPr>
              <w:pStyle w:val="8"/>
              <w:adjustRightInd w:val="0"/>
              <w:snapToGrid w:val="0"/>
              <w:spacing w:before="156" w:beforeLines="50" w:line="360" w:lineRule="auto"/>
              <w:ind w:left="916" w:hanging="488"/>
              <w:jc w:val="left"/>
              <w:rPr>
                <w:rFonts w:ascii="宋体" w:hAnsi="宋体" w:cs="宋体"/>
                <w:color w:val="auto"/>
                <w:spacing w:val="20"/>
                <w:szCs w:val="21"/>
                <w:highlight w:val="none"/>
              </w:rPr>
            </w:pPr>
            <w:r>
              <w:rPr>
                <w:rFonts w:hint="eastAsia" w:ascii="宋体" w:hAnsi="宋体" w:cs="宋体"/>
                <w:color w:val="auto"/>
                <w:szCs w:val="21"/>
                <w:highlight w:val="none"/>
              </w:rPr>
              <w:t>注：涉及联合体或其他合同主体的信息应按上表格式加列。</w:t>
            </w:r>
          </w:p>
        </w:tc>
      </w:tr>
    </w:tbl>
    <w:p w14:paraId="4F16778F">
      <w:pPr>
        <w:pStyle w:val="3"/>
        <w:adjustRightInd w:val="0"/>
        <w:snapToGrid w:val="0"/>
        <w:spacing w:before="156" w:beforeLines="50"/>
        <w:jc w:val="center"/>
        <w:rPr>
          <w:rFonts w:ascii="宋体" w:hAnsi="宋体" w:cs="宋体"/>
          <w:color w:val="auto"/>
          <w:sz w:val="28"/>
          <w:szCs w:val="28"/>
          <w:highlight w:val="none"/>
        </w:rPr>
      </w:pPr>
      <w:r>
        <w:rPr>
          <w:rFonts w:hint="eastAsia" w:ascii="宋体" w:hAnsi="宋体" w:cs="宋体"/>
          <w:color w:val="auto"/>
          <w:sz w:val="21"/>
          <w:szCs w:val="21"/>
          <w:highlight w:val="none"/>
          <w:u w:val="single"/>
        </w:rPr>
        <w:br w:type="page"/>
      </w:r>
      <w:bookmarkStart w:id="42" w:name="_Toc27624"/>
      <w:r>
        <w:rPr>
          <w:rFonts w:hint="eastAsia" w:ascii="宋体" w:hAnsi="宋体" w:cs="宋体"/>
          <w:b w:val="0"/>
          <w:bCs w:val="0"/>
          <w:color w:val="auto"/>
          <w:sz w:val="28"/>
          <w:szCs w:val="28"/>
          <w:highlight w:val="none"/>
        </w:rPr>
        <w:t>第二节 政府采购合同通用条款</w:t>
      </w:r>
      <w:bookmarkEnd w:id="42"/>
    </w:p>
    <w:p w14:paraId="2BF57C6C">
      <w:pPr>
        <w:tabs>
          <w:tab w:val="left" w:pos="8820"/>
          <w:tab w:val="left" w:pos="9345"/>
          <w:tab w:val="left" w:pos="9765"/>
        </w:tabs>
        <w:adjustRightInd w:val="0"/>
        <w:snapToGrid w:val="0"/>
        <w:spacing w:line="400" w:lineRule="exact"/>
        <w:jc w:val="left"/>
        <w:rPr>
          <w:rFonts w:ascii="宋体" w:hAnsi="宋体" w:cs="宋体"/>
          <w:b/>
          <w:bCs/>
          <w:color w:val="auto"/>
          <w:sz w:val="24"/>
          <w:highlight w:val="none"/>
        </w:rPr>
      </w:pPr>
      <w:r>
        <w:rPr>
          <w:rFonts w:hint="eastAsia" w:ascii="宋体" w:hAnsi="宋体" w:cs="宋体"/>
          <w:b/>
          <w:color w:val="auto"/>
          <w:sz w:val="24"/>
          <w:highlight w:val="none"/>
        </w:rPr>
        <w:t xml:space="preserve">1. </w:t>
      </w:r>
      <w:r>
        <w:rPr>
          <w:rFonts w:hint="eastAsia" w:ascii="宋体" w:hAnsi="宋体" w:cs="宋体"/>
          <w:b/>
          <w:bCs/>
          <w:color w:val="auto"/>
          <w:sz w:val="24"/>
          <w:highlight w:val="none"/>
        </w:rPr>
        <w:t>定义</w:t>
      </w:r>
    </w:p>
    <w:p w14:paraId="03B2FC0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1.1合同当事人</w:t>
      </w:r>
    </w:p>
    <w:p w14:paraId="047C36C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（1）采购人（以下称甲方）是指使用财政性资金，通过政府采购方式向供应商购买货物及其相关服务的国家机关、事业单位、团体组织。</w:t>
      </w:r>
    </w:p>
    <w:p w14:paraId="2C4DF850">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（2）供应商（以下称乙方）是指参加政府采购活动并且中标（成交），向采购人提供合同约定的货物及其相关服务的法人、非法人组织或者自然人。</w:t>
      </w:r>
    </w:p>
    <w:p w14:paraId="463BD93F">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s="宋体"/>
          <w:color w:val="auto"/>
          <w:szCs w:val="21"/>
          <w:highlight w:val="none"/>
        </w:rPr>
        <w:t>。</w:t>
      </w:r>
    </w:p>
    <w:p w14:paraId="010A2AF8">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1.2本合同下列术语应解释为：</w:t>
      </w:r>
    </w:p>
    <w:p w14:paraId="7E1F20D7">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s="宋体"/>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B3BD384">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（2）“合同价款”系指根据本合同规定乙方在全面履行合同义务后甲方应支付给乙方的价款。</w:t>
      </w:r>
    </w:p>
    <w:p w14:paraId="112E3444">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（3）“货物”系指乙方根据本合同规定须向甲方提供的各种形态和种类的物品，包括原材料、设备、产品（包括软件）及相关的其备品备件、工具、手册及</w:t>
      </w:r>
      <w:r>
        <w:rPr>
          <w:rFonts w:hint="eastAsia" w:ascii="宋体" w:hAnsi="宋体" w:cs="宋体"/>
          <w:color w:val="auto"/>
          <w:szCs w:val="21"/>
          <w:highlight w:val="none"/>
          <w:lang w:val="en"/>
        </w:rPr>
        <w:t>其他</w:t>
      </w:r>
      <w:r>
        <w:rPr>
          <w:rFonts w:hint="eastAsia" w:ascii="宋体" w:hAnsi="宋体" w:cs="宋体"/>
          <w:color w:val="auto"/>
          <w:szCs w:val="21"/>
          <w:highlight w:val="none"/>
        </w:rPr>
        <w:t>技术资料和材料等。</w:t>
      </w:r>
    </w:p>
    <w:p w14:paraId="3497C8DB">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（4）“相关服务”系指根据合同规定，乙方应提供的与货物有关的技术、管理和</w:t>
      </w:r>
      <w:r>
        <w:rPr>
          <w:rFonts w:hint="eastAsia" w:ascii="宋体" w:hAnsi="宋体" w:cs="宋体"/>
          <w:color w:val="auto"/>
          <w:szCs w:val="21"/>
          <w:highlight w:val="none"/>
          <w:lang w:val="en"/>
        </w:rPr>
        <w:t>其他</w:t>
      </w:r>
      <w:r>
        <w:rPr>
          <w:rFonts w:hint="eastAsia" w:ascii="宋体" w:hAnsi="宋体" w:cs="宋体"/>
          <w:color w:val="auto"/>
          <w:szCs w:val="21"/>
          <w:highlight w:val="none"/>
        </w:rPr>
        <w:t>服务，包括但不限于：管理和质量保证、运输、保险、检验、现场准备、安装、集成、调试、培训、维修、废弃处置、技术支持等以及合同中规定乙方应承担的</w:t>
      </w:r>
      <w:r>
        <w:rPr>
          <w:rFonts w:hint="eastAsia" w:ascii="宋体" w:hAnsi="宋体" w:cs="宋体"/>
          <w:color w:val="auto"/>
          <w:szCs w:val="21"/>
          <w:highlight w:val="none"/>
          <w:lang w:val="en"/>
        </w:rPr>
        <w:t>其他</w:t>
      </w:r>
      <w:r>
        <w:rPr>
          <w:rFonts w:hint="eastAsia" w:ascii="宋体" w:hAnsi="宋体" w:cs="宋体"/>
          <w:color w:val="auto"/>
          <w:szCs w:val="21"/>
          <w:highlight w:val="none"/>
        </w:rPr>
        <w:t>义务。</w:t>
      </w:r>
    </w:p>
    <w:p w14:paraId="3E013D38">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50966802">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3520E653">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（7）其他术语解释，见【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4A30D093">
      <w:pPr>
        <w:numPr>
          <w:ilvl w:val="0"/>
          <w:numId w:val="18"/>
        </w:num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color w:val="auto"/>
          <w:sz w:val="24"/>
          <w:highlight w:val="none"/>
        </w:rPr>
        <w:t>合同标的及金额</w:t>
      </w:r>
    </w:p>
    <w:p w14:paraId="4DBE69BF">
      <w:pPr>
        <w:autoSpaceDE w:val="0"/>
        <w:autoSpaceDN w:val="0"/>
        <w:adjustRightInd w:val="0"/>
        <w:snapToGrid w:val="0"/>
        <w:spacing w:line="400" w:lineRule="exact"/>
        <w:ind w:firstLine="426" w:firstLineChars="200"/>
        <w:jc w:val="left"/>
        <w:rPr>
          <w:rFonts w:ascii="宋体" w:hAnsi="宋体" w:cs="宋体"/>
          <w:b/>
          <w:bCs/>
          <w:i/>
          <w:iCs/>
          <w:color w:val="auto"/>
          <w:szCs w:val="21"/>
          <w:highlight w:val="none"/>
        </w:rPr>
      </w:pPr>
      <w:r>
        <w:rPr>
          <w:rFonts w:hint="eastAsia" w:ascii="宋体" w:hAnsi="宋体" w:cs="宋体"/>
          <w:color w:val="auto"/>
          <w:szCs w:val="21"/>
          <w:highlight w:val="none"/>
        </w:rPr>
        <w:t>2.1 合同标的及金额应与中标（成交）结果一致。乙方为履行本合同而发生的所有费用均应包含在合同价款中，甲方不再另行支付</w:t>
      </w:r>
      <w:r>
        <w:rPr>
          <w:rFonts w:hint="eastAsia" w:ascii="宋体" w:hAnsi="宋体" w:cs="宋体"/>
          <w:color w:val="auto"/>
          <w:szCs w:val="21"/>
          <w:highlight w:val="none"/>
          <w:lang w:val="en"/>
        </w:rPr>
        <w:t>其他</w:t>
      </w:r>
      <w:r>
        <w:rPr>
          <w:rFonts w:hint="eastAsia" w:ascii="宋体" w:hAnsi="宋体" w:cs="宋体"/>
          <w:color w:val="auto"/>
          <w:szCs w:val="21"/>
          <w:highlight w:val="none"/>
        </w:rPr>
        <w:t>任何费用。</w:t>
      </w:r>
    </w:p>
    <w:p w14:paraId="1CEBB621">
      <w:pPr>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3. 履行合同的时间、地点和方式</w:t>
      </w:r>
    </w:p>
    <w:p w14:paraId="19B6DF7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3.1 乙方应当在约定的时间、地点，按照约定方式履行合同。</w:t>
      </w:r>
    </w:p>
    <w:p w14:paraId="17A88D8A">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4. 甲方的权利和义务</w:t>
      </w:r>
    </w:p>
    <w:p w14:paraId="384A936B">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00630C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288967DB">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4.3 甲方有权要求乙方对缺陷部分予以修复，并按合同约定享有货物保修及其他合同约定的权利。</w:t>
      </w:r>
    </w:p>
    <w:p w14:paraId="3A620D2F">
      <w:pPr>
        <w:snapToGrid w:val="0"/>
        <w:spacing w:line="400" w:lineRule="exact"/>
        <w:ind w:firstLine="426" w:firstLineChars="200"/>
        <w:rPr>
          <w:rFonts w:ascii="宋体" w:hAnsi="宋体" w:cs="宋体"/>
          <w:color w:val="auto"/>
          <w:highlight w:val="none"/>
        </w:rPr>
      </w:pPr>
      <w:r>
        <w:rPr>
          <w:rFonts w:hint="eastAsia" w:ascii="宋体" w:hAnsi="宋体" w:cs="宋体"/>
          <w:color w:val="auto"/>
          <w:szCs w:val="21"/>
          <w:highlight w:val="none"/>
        </w:rPr>
        <w:t>4.4 甲方应当按照合同约定及时对交付的货物进行验收，未在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约定的期限内对乙方履约提出任何异议或者向乙方作出任何说明的，视为验收通过。</w:t>
      </w:r>
    </w:p>
    <w:p w14:paraId="5EA088A2">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4.5 甲方应当根据合同约定及时向乙方支付合同价款，不得以内部人员变更、履行内部付款流程等为由，拒绝或迟延支付。</w:t>
      </w:r>
    </w:p>
    <w:p w14:paraId="4FA69068">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4.6 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约定应由甲方承担的其他义务和责任。</w:t>
      </w:r>
    </w:p>
    <w:p w14:paraId="43FED2A7">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5. 乙方的权利和义务</w:t>
      </w:r>
    </w:p>
    <w:p w14:paraId="21E4279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5.1 签署合同后，乙方应确定项目负责人（或项目联系人），负责与本合同有关的事务。</w:t>
      </w:r>
    </w:p>
    <w:p w14:paraId="48CF73F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99FC535">
      <w:pPr>
        <w:pStyle w:val="12"/>
        <w:spacing w:line="400" w:lineRule="exact"/>
        <w:ind w:firstLine="374" w:firstLineChars="176"/>
        <w:rPr>
          <w:rFonts w:ascii="宋体" w:hAnsi="宋体" w:cs="宋体"/>
          <w:color w:val="auto"/>
          <w:szCs w:val="21"/>
          <w:highlight w:val="none"/>
        </w:rPr>
      </w:pPr>
      <w:r>
        <w:rPr>
          <w:rFonts w:hint="eastAsia" w:ascii="宋体" w:hAnsi="宋体" w:cs="宋体"/>
          <w:color w:val="auto"/>
          <w:szCs w:val="21"/>
          <w:highlight w:val="none"/>
        </w:rPr>
        <w:t>5.3乙方有权根据合同约定向甲方收取合同价款。</w:t>
      </w:r>
    </w:p>
    <w:p w14:paraId="615D683B">
      <w:pPr>
        <w:pStyle w:val="12"/>
        <w:spacing w:line="400" w:lineRule="exact"/>
        <w:ind w:firstLine="374" w:firstLineChars="176"/>
        <w:rPr>
          <w:rFonts w:ascii="宋体" w:hAnsi="宋体" w:cs="宋体"/>
          <w:color w:val="auto"/>
          <w:szCs w:val="21"/>
          <w:highlight w:val="none"/>
        </w:rPr>
      </w:pPr>
      <w:r>
        <w:rPr>
          <w:rFonts w:hint="eastAsia" w:ascii="宋体" w:hAnsi="宋体" w:cs="宋体"/>
          <w:color w:val="auto"/>
          <w:szCs w:val="21"/>
          <w:highlight w:val="none"/>
        </w:rPr>
        <w:t>5.4国家法律法规规定及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57748170">
      <w:pPr>
        <w:numPr>
          <w:ilvl w:val="0"/>
          <w:numId w:val="19"/>
        </w:num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合同履行</w:t>
      </w:r>
    </w:p>
    <w:p w14:paraId="2B969602">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约定顺序履行合同义务；如果没有先后顺序的，应当同时履行。</w:t>
      </w:r>
    </w:p>
    <w:p w14:paraId="4B0588EB">
      <w:pPr>
        <w:autoSpaceDE w:val="0"/>
        <w:autoSpaceDN w:val="0"/>
        <w:adjustRightInd w:val="0"/>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2E627012">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7. 货物包装、运输、保险和交付要求</w:t>
      </w:r>
    </w:p>
    <w:p w14:paraId="11722E12">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7.1 本合同</w:t>
      </w:r>
      <w:r>
        <w:rPr>
          <w:rFonts w:hint="eastAsia" w:ascii="宋体" w:hAnsi="宋体" w:cs="宋体"/>
          <w:bCs/>
          <w:color w:val="auto"/>
          <w:szCs w:val="21"/>
          <w:highlight w:val="none"/>
        </w:rPr>
        <w:t>涉及商品包装、快递包装的，</w:t>
      </w:r>
      <w:r>
        <w:rPr>
          <w:rFonts w:hint="eastAsia" w:ascii="宋体" w:hAnsi="宋体" w:cs="宋体"/>
          <w:color w:val="auto"/>
          <w:szCs w:val="21"/>
          <w:highlight w:val="none"/>
        </w:rPr>
        <w:t>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包装应适应远距离运输、防潮、防震、防锈和防野蛮装卸等要求，确保货物安全无损地运抵</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约定的</w:t>
      </w:r>
      <w:r>
        <w:rPr>
          <w:rFonts w:hint="eastAsia" w:ascii="宋体" w:hAnsi="宋体" w:cs="宋体"/>
          <w:color w:val="auto"/>
          <w:szCs w:val="21"/>
          <w:highlight w:val="none"/>
        </w:rPr>
        <w:t>指定现场。</w:t>
      </w:r>
    </w:p>
    <w:p w14:paraId="645E1F9C">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7.2 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乙方负责办理将货物运抵本合同规定的交货地点，并装卸、交付至甲方的一切运输事项，相关费用应包含在合同价款中。</w:t>
      </w:r>
    </w:p>
    <w:p w14:paraId="09EF90EC">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7.3 货物保险要求按</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规定执行</w:t>
      </w:r>
      <w:r>
        <w:rPr>
          <w:rFonts w:hint="eastAsia" w:ascii="宋体" w:hAnsi="宋体" w:cs="宋体"/>
          <w:color w:val="auto"/>
          <w:szCs w:val="21"/>
          <w:highlight w:val="none"/>
        </w:rPr>
        <w:t>。</w:t>
      </w:r>
    </w:p>
    <w:p w14:paraId="46975AC4">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781F16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7.5 乙方在运输到达之前应提前通知甲方，并提示货物运输装卸的注意事项，甲方配合乙方做好货物的接收工作。</w:t>
      </w:r>
    </w:p>
    <w:p w14:paraId="0F172BAE">
      <w:pPr>
        <w:pStyle w:val="95"/>
        <w:ind w:firstLine="428"/>
        <w:rPr>
          <w:rFonts w:ascii="宋体" w:hAnsi="宋体" w:eastAsia="宋体" w:cs="宋体"/>
          <w:color w:val="auto"/>
          <w:sz w:val="21"/>
          <w:highlight w:val="none"/>
        </w:rPr>
      </w:pPr>
      <w:r>
        <w:rPr>
          <w:rFonts w:hint="eastAsia" w:ascii="宋体" w:hAnsi="宋体" w:eastAsia="宋体" w:cs="宋体"/>
          <w:color w:val="auto"/>
          <w:kern w:val="2"/>
          <w:sz w:val="21"/>
          <w:highlight w:val="none"/>
        </w:rPr>
        <w:t>7.6 如因包装、运输问题导致货物损毁、丢失或者品质下降，甲方有权要求降价、换货、拒收部分或整批货物，由此产生的费用和损失，均由乙方承担。</w:t>
      </w:r>
    </w:p>
    <w:p w14:paraId="06F36039">
      <w:pPr>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8. 质量标准和保证</w:t>
      </w:r>
    </w:p>
    <w:p w14:paraId="41BF0C0D">
      <w:pPr>
        <w:pStyle w:val="16"/>
        <w:adjustRightInd w:val="0"/>
        <w:snapToGrid w:val="0"/>
        <w:spacing w:line="400" w:lineRule="exact"/>
        <w:ind w:firstLine="406" w:firstLineChars="200"/>
        <w:jc w:val="left"/>
        <w:rPr>
          <w:rFonts w:hAnsi="宋体" w:cs="宋体"/>
          <w:b/>
          <w:color w:val="auto"/>
          <w:highlight w:val="none"/>
        </w:rPr>
      </w:pPr>
      <w:r>
        <w:rPr>
          <w:rFonts w:hint="eastAsia" w:hAnsi="宋体" w:cs="宋体"/>
          <w:color w:val="auto"/>
          <w:highlight w:val="none"/>
        </w:rPr>
        <w:t>8.1 质量标准</w:t>
      </w:r>
    </w:p>
    <w:p w14:paraId="593E220B">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FACD93C">
      <w:pPr>
        <w:pStyle w:val="16"/>
        <w:adjustRightInd w:val="0"/>
        <w:snapToGrid w:val="0"/>
        <w:spacing w:line="400" w:lineRule="exact"/>
        <w:ind w:firstLine="406" w:firstLineChars="200"/>
        <w:jc w:val="left"/>
        <w:rPr>
          <w:rFonts w:hAnsi="宋体" w:cs="宋体"/>
          <w:color w:val="auto"/>
          <w:highlight w:val="none"/>
        </w:rPr>
      </w:pPr>
      <w:r>
        <w:rPr>
          <w:rFonts w:hint="eastAsia" w:hAnsi="宋体" w:cs="宋体"/>
          <w:color w:val="auto"/>
          <w:highlight w:val="none"/>
        </w:rPr>
        <w:t>（2）采用中华人民共和国法定计量单位。</w:t>
      </w:r>
    </w:p>
    <w:p w14:paraId="6516B972">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（3）乙方所提供的货物应符合国家有关安全、环保、卫生的规定。</w:t>
      </w:r>
    </w:p>
    <w:p w14:paraId="33D544C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17BC2B2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8.2 保证</w:t>
      </w:r>
    </w:p>
    <w:p w14:paraId="28D0857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规定或乙方书面承诺（两者以较长的为准）的质量保证期内，本保证保持有效。</w:t>
      </w:r>
    </w:p>
    <w:p w14:paraId="629CB0D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（2）在质量保证期内所发现的缺陷，甲方应尽快以书面形式通知乙方。</w:t>
      </w:r>
    </w:p>
    <w:p w14:paraId="303A2CE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（3）乙方收到通知后，应在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规定的响应时间内以合理的速度免费维修或更换有缺陷的货物或部件。</w:t>
      </w:r>
    </w:p>
    <w:p w14:paraId="42D9AE9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40B25A1">
      <w:pPr>
        <w:adjustRightInd w:val="0"/>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（5）乙方在约定的时间内未能弥补缺陷，甲方可采取必要的补救措施，但其风险和费用将由乙方承担，甲方根据合同约定对乙方行使的其他权利不受影响。</w:t>
      </w:r>
    </w:p>
    <w:p w14:paraId="2AAF5E5E">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9. 权利瑕疵担保</w:t>
      </w:r>
    </w:p>
    <w:p w14:paraId="24C3FD90">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9.1 乙方保证对其出售的货物享有合法的权利。</w:t>
      </w:r>
    </w:p>
    <w:p w14:paraId="0DE346BF">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631DC12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9.3 如甲方使用上述货物构成对第三人侵权的，则由乙方承担全部责任。</w:t>
      </w:r>
    </w:p>
    <w:p w14:paraId="07882F72">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10. 知识产权保护</w:t>
      </w:r>
    </w:p>
    <w:p w14:paraId="0E90CAF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10.1 乙方对其所销售的货物应当享有知识产权或经权利人合法授权，保证没有侵犯任何第三人的知识产权等权利。</w:t>
      </w:r>
      <w:bookmarkStart w:id="43"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43"/>
      <w:r>
        <w:rPr>
          <w:rFonts w:hint="eastAsia" w:ascii="宋体" w:hAnsi="宋体" w:cs="宋体"/>
          <w:color w:val="auto"/>
          <w:szCs w:val="21"/>
          <w:highlight w:val="none"/>
        </w:rPr>
        <w:t>。</w:t>
      </w:r>
    </w:p>
    <w:p w14:paraId="63C6E8BA">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11. 保密义务</w:t>
      </w:r>
    </w:p>
    <w:p w14:paraId="60DB0B99">
      <w:pPr>
        <w:autoSpaceDE w:val="0"/>
        <w:autoSpaceDN w:val="0"/>
        <w:adjustRightInd w:val="0"/>
        <w:snapToGrid w:val="0"/>
        <w:spacing w:line="400" w:lineRule="exact"/>
        <w:ind w:firstLine="426"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4E58D93A">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12. 合同价款支付</w:t>
      </w:r>
    </w:p>
    <w:p w14:paraId="41926E72">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12.1 合同价款支付按照国库集中支付制度及财政管理相关规定执行。</w:t>
      </w:r>
    </w:p>
    <w:p w14:paraId="29A3E63B">
      <w:pPr>
        <w:pStyle w:val="3"/>
        <w:spacing w:line="400" w:lineRule="exact"/>
        <w:ind w:firstLine="426" w:firstLineChars="200"/>
        <w:rPr>
          <w:rFonts w:ascii="宋体" w:hAnsi="宋体" w:cs="宋体"/>
          <w:color w:val="auto"/>
          <w:highlight w:val="none"/>
        </w:rPr>
      </w:pPr>
      <w:r>
        <w:rPr>
          <w:rFonts w:hint="eastAsia" w:ascii="宋体" w:hAnsi="宋体" w:cs="宋体"/>
          <w:b w:val="0"/>
          <w:bCs w:val="0"/>
          <w:color w:val="auto"/>
          <w:sz w:val="21"/>
          <w:szCs w:val="21"/>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color w:val="auto"/>
          <w:sz w:val="21"/>
          <w:szCs w:val="21"/>
          <w:highlight w:val="none"/>
        </w:rPr>
        <w:t>政府采购合同专用条款</w:t>
      </w:r>
      <w:r>
        <w:rPr>
          <w:rFonts w:hint="eastAsia" w:ascii="宋体" w:hAnsi="宋体" w:cs="宋体"/>
          <w:b w:val="0"/>
          <w:bCs w:val="0"/>
          <w:color w:val="auto"/>
          <w:sz w:val="21"/>
          <w:szCs w:val="21"/>
          <w:highlight w:val="none"/>
        </w:rPr>
        <w:t>】中约定。</w:t>
      </w:r>
    </w:p>
    <w:p w14:paraId="0FC41E9B">
      <w:pPr>
        <w:pStyle w:val="12"/>
        <w:spacing w:line="400" w:lineRule="exact"/>
        <w:rPr>
          <w:rFonts w:ascii="宋体" w:hAnsi="宋体" w:cs="宋体"/>
          <w:b/>
          <w:bCs/>
          <w:color w:val="auto"/>
          <w:sz w:val="24"/>
          <w:highlight w:val="none"/>
        </w:rPr>
      </w:pPr>
      <w:r>
        <w:rPr>
          <w:rFonts w:hint="eastAsia" w:ascii="宋体" w:hAnsi="宋体" w:cs="宋体"/>
          <w:b/>
          <w:bCs/>
          <w:color w:val="auto"/>
          <w:sz w:val="24"/>
          <w:highlight w:val="none"/>
        </w:rPr>
        <w:t>13. 履约保证金</w:t>
      </w:r>
    </w:p>
    <w:p w14:paraId="71D6EA7C">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5CEE9081">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s="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472A8FA3">
      <w:pPr>
        <w:spacing w:line="400" w:lineRule="exact"/>
        <w:ind w:firstLine="420"/>
        <w:rPr>
          <w:rFonts w:ascii="宋体" w:hAnsi="宋体" w:cs="宋体"/>
          <w:color w:val="auto"/>
          <w:highlight w:val="none"/>
        </w:rPr>
      </w:pPr>
      <w:r>
        <w:rPr>
          <w:rFonts w:hint="eastAsia" w:ascii="宋体" w:hAnsi="宋体" w:cs="宋体"/>
          <w:color w:val="auto"/>
          <w:szCs w:val="21"/>
          <w:highlight w:val="none"/>
        </w:rPr>
        <w:t>13.3 甲方在项目通过验收后按照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规定的时间内将履约保证金退还乙方；逾期退还的，乙方可要求甲方支付违约金，违约金按照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规定支付。</w:t>
      </w:r>
    </w:p>
    <w:p w14:paraId="46D533D6">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bCs/>
          <w:color w:val="auto"/>
          <w:sz w:val="24"/>
          <w:highlight w:val="none"/>
        </w:rPr>
        <w:t xml:space="preserve">14. </w:t>
      </w:r>
      <w:r>
        <w:rPr>
          <w:rFonts w:hint="eastAsia" w:ascii="宋体" w:hAnsi="宋体" w:cs="宋体"/>
          <w:b/>
          <w:color w:val="auto"/>
          <w:sz w:val="24"/>
          <w:highlight w:val="none"/>
        </w:rPr>
        <w:t>售后服务</w:t>
      </w:r>
    </w:p>
    <w:p w14:paraId="7C32677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14.1 除项目不涉及或采购活动中明确约定无须承担外，乙方还应提供下列服务：</w:t>
      </w:r>
    </w:p>
    <w:p w14:paraId="34B922F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（1）货物的现场移动、安装、调试、启动监督及技术支持；</w:t>
      </w:r>
    </w:p>
    <w:p w14:paraId="3D7E4D32">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（2）提供货物组装和维修所需的专用工具和辅助材料；</w:t>
      </w:r>
    </w:p>
    <w:p w14:paraId="3164423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s="宋体"/>
          <w:color w:val="auto"/>
          <w:szCs w:val="21"/>
          <w:highlight w:val="none"/>
        </w:rPr>
        <w:t>约定的期限内对所有的货物实施运行监督、维修，但前提条件是该服务并不能免除乙方在质量保证期内所承担的义务；</w:t>
      </w:r>
    </w:p>
    <w:p w14:paraId="6E4E1E8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45F56733">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7284E0AC">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规定由乙方提供的其他服务。</w:t>
      </w:r>
    </w:p>
    <w:p w14:paraId="6EAC1BD2">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14.2 乙方提供的售后服务的费用已包含在合同价款中，甲方不再另行支付。</w:t>
      </w:r>
    </w:p>
    <w:p w14:paraId="5BB43283">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15. 违约责任</w:t>
      </w:r>
    </w:p>
    <w:p w14:paraId="2B02A2BC">
      <w:pPr>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15.1质量瑕疵的违约责任</w:t>
      </w:r>
    </w:p>
    <w:p w14:paraId="1F29C34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乙方提供的产品不符合合同约定的质量标准或存在产品质量缺陷，甲方有权要求乙方根据</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要求</w:t>
      </w:r>
      <w:r>
        <w:rPr>
          <w:rFonts w:hint="eastAsia" w:ascii="宋体" w:hAnsi="宋体" w:cs="宋体"/>
          <w:color w:val="auto"/>
          <w:szCs w:val="21"/>
          <w:highlight w:val="none"/>
        </w:rPr>
        <w:t>及时修理、重作、更换，并承担由此给甲方造成的损失。</w:t>
      </w:r>
    </w:p>
    <w:p w14:paraId="2035C22E">
      <w:pPr>
        <w:autoSpaceDE w:val="0"/>
        <w:autoSpaceDN w:val="0"/>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15.2 迟延交货的违约责任</w:t>
      </w:r>
    </w:p>
    <w:p w14:paraId="49671F7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42E563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规定执行。如果涉及公共利益，且赔偿金额无法弥补公共利益损失，甲方可要求继续履行或者采取其他补救措施。</w:t>
      </w:r>
    </w:p>
    <w:p w14:paraId="50AE7B3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15.3 迟延支付的违约责任</w:t>
      </w:r>
    </w:p>
    <w:p w14:paraId="50B98A6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甲方存在迟延支付乙方合同款项的，应当承担</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规定的逾期付款利息。</w:t>
      </w:r>
    </w:p>
    <w:p w14:paraId="79006032">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bCs/>
          <w:color w:val="auto"/>
          <w:szCs w:val="21"/>
          <w:highlight w:val="none"/>
        </w:rPr>
        <w:t>15.4其他违约责任根据项目实际需要按</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规定执行。</w:t>
      </w:r>
    </w:p>
    <w:p w14:paraId="1E774DE2">
      <w:pPr>
        <w:numPr>
          <w:ilvl w:val="0"/>
          <w:numId w:val="20"/>
        </w:num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合同变更、中止与终止</w:t>
      </w:r>
    </w:p>
    <w:p w14:paraId="61F3AA58">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16.1合同的变更</w:t>
      </w:r>
    </w:p>
    <w:p w14:paraId="5BDAEA9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786700B7">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16.2合同的中止</w:t>
      </w:r>
    </w:p>
    <w:p w14:paraId="22936677">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（1）合同履行过程中因供应商就采购文件、采购过程或结果提起投诉的，甲方认为有必要的，可以中止合同的履行。</w:t>
      </w:r>
    </w:p>
    <w:p w14:paraId="0BCEB1FC">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38EC05B">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66761230">
      <w:pPr>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（4）甲方不得以行政区划调整、政府换届、机构或者职能调整以及相关责任人更替为由中止合同。</w:t>
      </w:r>
    </w:p>
    <w:p w14:paraId="5AA49EF1">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16.3合同的终止</w:t>
      </w:r>
    </w:p>
    <w:p w14:paraId="787265C7">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（1）合同因有效期限届满而终止；</w:t>
      </w:r>
    </w:p>
    <w:p w14:paraId="57B78884">
      <w:pPr>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（2）乙方未按合同约定履行，构成根本性违约的，甲方有权终止合同，并追究乙方的违约责任。</w:t>
      </w:r>
    </w:p>
    <w:p w14:paraId="36FD084B">
      <w:pPr>
        <w:pStyle w:val="95"/>
        <w:ind w:firstLine="448"/>
        <w:rPr>
          <w:rFonts w:ascii="宋体" w:hAnsi="宋体" w:eastAsia="宋体" w:cs="宋体"/>
          <w:color w:val="auto"/>
          <w:highlight w:val="none"/>
        </w:rPr>
      </w:pPr>
      <w:r>
        <w:rPr>
          <w:rFonts w:hint="eastAsia" w:ascii="宋体" w:hAnsi="宋体" w:eastAsia="宋体" w:cs="宋体"/>
          <w:color w:val="auto"/>
          <w:highlight w:val="none"/>
        </w:rPr>
        <w:t xml:space="preserve">16.4 </w:t>
      </w:r>
      <w:r>
        <w:rPr>
          <w:rFonts w:hint="eastAsia" w:ascii="宋体" w:hAnsi="宋体" w:eastAsia="宋体" w:cs="宋体"/>
          <w:color w:val="auto"/>
          <w:kern w:val="2"/>
          <w:sz w:val="21"/>
          <w:highlight w:val="none"/>
        </w:rPr>
        <w:t>涉及国家利益、社会公共利益的情形</w:t>
      </w:r>
    </w:p>
    <w:p w14:paraId="24340502">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7AB0D672">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17. 合同分包</w:t>
      </w:r>
    </w:p>
    <w:p w14:paraId="6D1FC082">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17.1 乙方不得将合同转包给其他供应商。涉及合同分包的，乙方应根据采购文件和投标（响应）文件规定进行合同分包。</w:t>
      </w:r>
    </w:p>
    <w:p w14:paraId="7629270C">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17.2 乙方执行政府采购政策向中小企业依法分包的，乙方应当按采购文件和投标（响应）文件签订分包意向协议，分包意向协议属于本合同组成部分。</w:t>
      </w:r>
    </w:p>
    <w:p w14:paraId="23CBDFE3">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18. 不可抗力</w:t>
      </w:r>
    </w:p>
    <w:p w14:paraId="5F58C9E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18.1 不可抗力是指合同双方不能预见、不能避免且不能克服的客观情况。</w:t>
      </w:r>
    </w:p>
    <w:p w14:paraId="6C47675B">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18.2 任何一方对由于不可抗力造成的部分或全部不能履行合同不承担违约责任。但迟延履行后发生不可抗力的，不能免除责任。</w:t>
      </w:r>
    </w:p>
    <w:p w14:paraId="0A54FB3C">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936D2EF">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19. 解决争议的方法</w:t>
      </w:r>
    </w:p>
    <w:p w14:paraId="4747061F">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AC2B14D">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6A1888DF">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4A47D22A">
      <w:pPr>
        <w:autoSpaceDE w:val="0"/>
        <w:autoSpaceDN w:val="0"/>
        <w:adjustRightInd w:val="0"/>
        <w:snapToGrid w:val="0"/>
        <w:spacing w:line="400" w:lineRule="exact"/>
        <w:jc w:val="left"/>
        <w:rPr>
          <w:rFonts w:ascii="宋体" w:hAnsi="宋体" w:cs="宋体"/>
          <w:color w:val="auto"/>
          <w:sz w:val="24"/>
          <w:highlight w:val="none"/>
        </w:rPr>
      </w:pPr>
      <w:r>
        <w:rPr>
          <w:rFonts w:hint="eastAsia" w:ascii="宋体" w:hAnsi="宋体" w:cs="宋体"/>
          <w:b/>
          <w:color w:val="auto"/>
          <w:sz w:val="24"/>
          <w:highlight w:val="none"/>
        </w:rPr>
        <w:t>20. 政府采购政策</w:t>
      </w:r>
    </w:p>
    <w:p w14:paraId="40567877">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5058339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s="宋体"/>
          <w:color w:val="auto"/>
          <w:szCs w:val="21"/>
          <w:highlight w:val="none"/>
        </w:rPr>
        <w:t>，有过错的一方应当承担赔偿责任，双方都有过错的，各自承担相应的责任。</w:t>
      </w:r>
    </w:p>
    <w:p w14:paraId="62BFF0D5">
      <w:pPr>
        <w:pStyle w:val="12"/>
        <w:spacing w:line="400" w:lineRule="exact"/>
        <w:ind w:firstLine="426" w:firstLineChars="200"/>
        <w:rPr>
          <w:rFonts w:ascii="宋体" w:hAnsi="宋体" w:cs="宋体"/>
          <w:color w:val="auto"/>
          <w:highlight w:val="none"/>
        </w:rPr>
      </w:pPr>
      <w:r>
        <w:rPr>
          <w:rFonts w:hint="eastAsia" w:ascii="宋体" w:hAnsi="宋体" w:cs="宋体"/>
          <w:color w:val="auto"/>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887186E">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21. 法律适用</w:t>
      </w:r>
    </w:p>
    <w:p w14:paraId="71C13A3B">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1CE3D675">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6BA70511">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22. 通知</w:t>
      </w:r>
    </w:p>
    <w:p w14:paraId="017A50B8">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4C7759EA">
      <w:pPr>
        <w:pStyle w:val="95"/>
        <w:ind w:firstLine="0" w:firstLineChars="0"/>
        <w:jc w:val="both"/>
        <w:rPr>
          <w:rFonts w:ascii="宋体" w:hAnsi="宋体" w:eastAsia="宋体" w:cs="宋体"/>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19C15342">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22.3本合同一方给另一方的通知均应采用书面形式，传真或快递送到本合同中规定的对方的地址和办理签收手续。</w:t>
      </w:r>
    </w:p>
    <w:p w14:paraId="28A3C379">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22.4通知以送达之日或通知书中规定的生效之日起生效，两者中以较迟之日为准。</w:t>
      </w:r>
    </w:p>
    <w:p w14:paraId="2D8ED126">
      <w:pPr>
        <w:numPr>
          <w:ilvl w:val="0"/>
          <w:numId w:val="21"/>
        </w:num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合同未尽事项</w:t>
      </w:r>
    </w:p>
    <w:p w14:paraId="5AFA70A0">
      <w:pPr>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23.1合同未尽事项见</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w:t>
      </w:r>
    </w:p>
    <w:p w14:paraId="54BF9173">
      <w:pPr>
        <w:adjustRightInd w:val="0"/>
        <w:snapToGrid w:val="0"/>
        <w:spacing w:line="400" w:lineRule="exact"/>
        <w:ind w:firstLine="427"/>
        <w:jc w:val="left"/>
        <w:rPr>
          <w:rFonts w:ascii="宋体" w:hAnsi="宋体" w:cs="宋体"/>
          <w:bCs/>
          <w:color w:val="auto"/>
          <w:szCs w:val="21"/>
          <w:highlight w:val="none"/>
        </w:rPr>
      </w:pPr>
      <w:r>
        <w:rPr>
          <w:rFonts w:hint="eastAsia" w:ascii="宋体" w:hAnsi="宋体" w:cs="宋体"/>
          <w:bCs/>
          <w:color w:val="auto"/>
          <w:szCs w:val="21"/>
          <w:highlight w:val="none"/>
        </w:rPr>
        <w:t>23.2 合同附件与合同正文具有同等的法律效力。</w:t>
      </w:r>
      <w:bookmarkStart w:id="44" w:name="_Toc20313"/>
    </w:p>
    <w:p w14:paraId="543BD51F">
      <w:pPr>
        <w:adjustRightInd w:val="0"/>
        <w:snapToGrid w:val="0"/>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166BF921">
      <w:pPr>
        <w:pStyle w:val="3"/>
        <w:adjustRightInd w:val="0"/>
        <w:snapToGrid w:val="0"/>
        <w:jc w:val="center"/>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第三节 政府采购合同专用条款</w:t>
      </w:r>
      <w:bookmarkEnd w:id="44"/>
    </w:p>
    <w:tbl>
      <w:tblPr>
        <w:tblStyle w:val="32"/>
        <w:tblW w:w="962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6"/>
        <w:gridCol w:w="1968"/>
        <w:gridCol w:w="5842"/>
      </w:tblGrid>
      <w:tr w14:paraId="38E4CF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7412BE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A3EDAC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第1.2（6）项</w:t>
            </w:r>
          </w:p>
        </w:tc>
        <w:tc>
          <w:tcPr>
            <w:tcW w:w="1968" w:type="dxa"/>
            <w:vAlign w:val="center"/>
          </w:tcPr>
          <w:p w14:paraId="485B8FD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联合体具体要求</w:t>
            </w:r>
          </w:p>
        </w:tc>
        <w:tc>
          <w:tcPr>
            <w:tcW w:w="5842" w:type="dxa"/>
            <w:vAlign w:val="center"/>
          </w:tcPr>
          <w:p w14:paraId="7BA9B72A">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3F0903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16" w:type="dxa"/>
            <w:vAlign w:val="center"/>
          </w:tcPr>
          <w:p w14:paraId="3D05BE60">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06531D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第1.2（7）项</w:t>
            </w:r>
          </w:p>
        </w:tc>
        <w:tc>
          <w:tcPr>
            <w:tcW w:w="1968" w:type="dxa"/>
            <w:vAlign w:val="center"/>
          </w:tcPr>
          <w:p w14:paraId="6536754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其他术语解释</w:t>
            </w:r>
          </w:p>
        </w:tc>
        <w:tc>
          <w:tcPr>
            <w:tcW w:w="5842" w:type="dxa"/>
            <w:vAlign w:val="center"/>
          </w:tcPr>
          <w:p w14:paraId="753CF828">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359E00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57DA1D2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659D2E5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第4.4款</w:t>
            </w:r>
          </w:p>
        </w:tc>
        <w:tc>
          <w:tcPr>
            <w:tcW w:w="1968" w:type="dxa"/>
            <w:vAlign w:val="center"/>
          </w:tcPr>
          <w:p w14:paraId="5A07C34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履约验收中甲方提出异议或作出说明的期限</w:t>
            </w:r>
          </w:p>
        </w:tc>
        <w:tc>
          <w:tcPr>
            <w:tcW w:w="5842" w:type="dxa"/>
            <w:vAlign w:val="center"/>
          </w:tcPr>
          <w:p w14:paraId="76DA73E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以甲方实际要求为准。</w:t>
            </w:r>
          </w:p>
        </w:tc>
      </w:tr>
      <w:tr w14:paraId="32B5B4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9811C0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391DC28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第4.6款</w:t>
            </w:r>
          </w:p>
        </w:tc>
        <w:tc>
          <w:tcPr>
            <w:tcW w:w="1968" w:type="dxa"/>
            <w:vAlign w:val="center"/>
          </w:tcPr>
          <w:p w14:paraId="45BCFB3A">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约定甲方承担的其他义务和责任</w:t>
            </w:r>
          </w:p>
        </w:tc>
        <w:tc>
          <w:tcPr>
            <w:tcW w:w="5842" w:type="dxa"/>
            <w:vAlign w:val="center"/>
          </w:tcPr>
          <w:p w14:paraId="7DFECAC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43380D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7FCF9B4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A8542A5">
            <w:pPr>
              <w:snapToGrid w:val="0"/>
              <w:jc w:val="center"/>
              <w:rPr>
                <w:rFonts w:ascii="宋体" w:hAnsi="宋体" w:cs="宋体"/>
                <w:color w:val="auto"/>
                <w:highlight w:val="none"/>
              </w:rPr>
            </w:pPr>
            <w:r>
              <w:rPr>
                <w:rFonts w:hint="eastAsia" w:ascii="宋体" w:hAnsi="宋体" w:cs="宋体"/>
                <w:color w:val="auto"/>
                <w:szCs w:val="21"/>
                <w:highlight w:val="none"/>
              </w:rPr>
              <w:t>第5.4款</w:t>
            </w:r>
          </w:p>
        </w:tc>
        <w:tc>
          <w:tcPr>
            <w:tcW w:w="1968" w:type="dxa"/>
            <w:vAlign w:val="center"/>
          </w:tcPr>
          <w:p w14:paraId="455A88F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约定乙方承担的其他义务和责任</w:t>
            </w:r>
          </w:p>
        </w:tc>
        <w:tc>
          <w:tcPr>
            <w:tcW w:w="5842" w:type="dxa"/>
            <w:vAlign w:val="center"/>
          </w:tcPr>
          <w:p w14:paraId="3D460B9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56A026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587A338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6317AF5D">
            <w:pPr>
              <w:snapToGrid w:val="0"/>
              <w:jc w:val="center"/>
              <w:rPr>
                <w:rFonts w:ascii="宋体" w:hAnsi="宋体" w:cs="宋体"/>
                <w:color w:val="auto"/>
                <w:szCs w:val="21"/>
                <w:highlight w:val="none"/>
              </w:rPr>
            </w:pPr>
            <w:r>
              <w:rPr>
                <w:rFonts w:hint="eastAsia" w:ascii="宋体" w:hAnsi="宋体" w:cs="宋体"/>
                <w:color w:val="auto"/>
                <w:szCs w:val="21"/>
                <w:highlight w:val="none"/>
              </w:rPr>
              <w:t>第6.1款</w:t>
            </w:r>
          </w:p>
        </w:tc>
        <w:tc>
          <w:tcPr>
            <w:tcW w:w="1968" w:type="dxa"/>
            <w:vAlign w:val="center"/>
          </w:tcPr>
          <w:p w14:paraId="1EAF5D2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履行合同义务的顺序</w:t>
            </w:r>
          </w:p>
        </w:tc>
        <w:tc>
          <w:tcPr>
            <w:tcW w:w="5842" w:type="dxa"/>
            <w:vAlign w:val="center"/>
          </w:tcPr>
          <w:p w14:paraId="489556E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（1）政府采购合同协议书及其变更、补充协议</w:t>
            </w:r>
          </w:p>
          <w:p w14:paraId="24334BB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（2）政府采购合同专用条款</w:t>
            </w:r>
          </w:p>
          <w:p w14:paraId="5EED3C2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（3）政府采购合同通用条款</w:t>
            </w:r>
          </w:p>
          <w:p w14:paraId="4E2930E8">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（4）中标（成交）通知书</w:t>
            </w:r>
          </w:p>
          <w:p w14:paraId="1D46097A">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（5）投标（响应）文件</w:t>
            </w:r>
          </w:p>
          <w:p w14:paraId="22E654F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（6）采购文件</w:t>
            </w:r>
          </w:p>
          <w:p w14:paraId="7955E0FD">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（7）有关技术文件、图纸（如有）</w:t>
            </w:r>
          </w:p>
          <w:p w14:paraId="6EA54DA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（8）国家法律、行政法规和规章制度规定或合同约定的作为合同组成部分的其他文件。</w:t>
            </w:r>
          </w:p>
        </w:tc>
      </w:tr>
      <w:tr w14:paraId="137C79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restart"/>
            <w:vAlign w:val="center"/>
          </w:tcPr>
          <w:p w14:paraId="58E9575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AC7C35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第7.1款</w:t>
            </w:r>
          </w:p>
        </w:tc>
        <w:tc>
          <w:tcPr>
            <w:tcW w:w="1968" w:type="dxa"/>
            <w:vAlign w:val="center"/>
          </w:tcPr>
          <w:p w14:paraId="2C9E100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包装特殊要求</w:t>
            </w:r>
          </w:p>
        </w:tc>
        <w:tc>
          <w:tcPr>
            <w:tcW w:w="5842" w:type="dxa"/>
            <w:vAlign w:val="center"/>
          </w:tcPr>
          <w:p w14:paraId="46D9256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按国家规定要求。</w:t>
            </w:r>
          </w:p>
        </w:tc>
      </w:tr>
      <w:tr w14:paraId="72820D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continue"/>
            <w:vAlign w:val="center"/>
          </w:tcPr>
          <w:p w14:paraId="294EB763">
            <w:pPr>
              <w:adjustRightInd w:val="0"/>
              <w:snapToGrid w:val="0"/>
              <w:jc w:val="center"/>
              <w:rPr>
                <w:rFonts w:ascii="宋体" w:hAnsi="宋体" w:cs="宋体"/>
                <w:color w:val="auto"/>
                <w:szCs w:val="21"/>
                <w:highlight w:val="none"/>
              </w:rPr>
            </w:pPr>
          </w:p>
        </w:tc>
        <w:tc>
          <w:tcPr>
            <w:tcW w:w="1968" w:type="dxa"/>
            <w:vAlign w:val="center"/>
          </w:tcPr>
          <w:p w14:paraId="4BDE2329">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指定现场</w:t>
            </w:r>
          </w:p>
        </w:tc>
        <w:tc>
          <w:tcPr>
            <w:tcW w:w="5842" w:type="dxa"/>
            <w:vAlign w:val="center"/>
          </w:tcPr>
          <w:p w14:paraId="23F7BFB3">
            <w:pPr>
              <w:rPr>
                <w:rFonts w:ascii="宋体" w:hAnsi="宋体" w:cs="宋体"/>
                <w:color w:val="auto"/>
                <w:highlight w:val="none"/>
              </w:rPr>
            </w:pPr>
            <w:r>
              <w:rPr>
                <w:rFonts w:hint="eastAsia" w:ascii="宋体" w:hAnsi="宋体" w:cs="宋体"/>
                <w:color w:val="auto"/>
                <w:highlight w:val="none"/>
              </w:rPr>
              <w:t>按甲方指定地点</w:t>
            </w:r>
          </w:p>
        </w:tc>
      </w:tr>
      <w:tr w14:paraId="292B74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16" w:type="dxa"/>
            <w:vAlign w:val="center"/>
          </w:tcPr>
          <w:p w14:paraId="02570CF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6098536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第7.2款</w:t>
            </w:r>
          </w:p>
        </w:tc>
        <w:tc>
          <w:tcPr>
            <w:tcW w:w="1968" w:type="dxa"/>
            <w:vAlign w:val="center"/>
          </w:tcPr>
          <w:p w14:paraId="4EC3F50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运输特殊要求</w:t>
            </w:r>
          </w:p>
        </w:tc>
        <w:tc>
          <w:tcPr>
            <w:tcW w:w="5842" w:type="dxa"/>
            <w:vAlign w:val="center"/>
          </w:tcPr>
          <w:p w14:paraId="4E9AF164">
            <w:pPr>
              <w:rPr>
                <w:rFonts w:ascii="宋体" w:hAnsi="宋体" w:cs="宋体"/>
                <w:color w:val="auto"/>
                <w:highlight w:val="none"/>
              </w:rPr>
            </w:pPr>
            <w:r>
              <w:rPr>
                <w:rFonts w:hint="eastAsia" w:ascii="宋体" w:hAnsi="宋体" w:cs="宋体"/>
                <w:color w:val="auto"/>
                <w:highlight w:val="none"/>
              </w:rPr>
              <w:t>按国家规定要求。</w:t>
            </w:r>
          </w:p>
        </w:tc>
      </w:tr>
      <w:tr w14:paraId="6B4C7E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32E9BC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E1AC6D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第7.3款</w:t>
            </w:r>
          </w:p>
        </w:tc>
        <w:tc>
          <w:tcPr>
            <w:tcW w:w="1968" w:type="dxa"/>
            <w:vAlign w:val="center"/>
          </w:tcPr>
          <w:p w14:paraId="544AB34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保险要求</w:t>
            </w:r>
          </w:p>
        </w:tc>
        <w:tc>
          <w:tcPr>
            <w:tcW w:w="5842" w:type="dxa"/>
            <w:vAlign w:val="center"/>
          </w:tcPr>
          <w:p w14:paraId="50CD33E3">
            <w:pPr>
              <w:rPr>
                <w:rFonts w:ascii="宋体" w:hAnsi="宋体" w:cs="宋体"/>
                <w:color w:val="auto"/>
                <w:highlight w:val="none"/>
              </w:rPr>
            </w:pPr>
            <w:r>
              <w:rPr>
                <w:rFonts w:hint="eastAsia" w:ascii="宋体" w:hAnsi="宋体" w:cs="宋体"/>
                <w:color w:val="auto"/>
                <w:highlight w:val="none"/>
              </w:rPr>
              <w:t>按国家规定要求。</w:t>
            </w:r>
          </w:p>
        </w:tc>
      </w:tr>
      <w:tr w14:paraId="3897AF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708BC85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3D912D0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第8.2（1）项</w:t>
            </w:r>
          </w:p>
        </w:tc>
        <w:tc>
          <w:tcPr>
            <w:tcW w:w="1968" w:type="dxa"/>
            <w:vAlign w:val="center"/>
          </w:tcPr>
          <w:p w14:paraId="0579891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质量保证期</w:t>
            </w:r>
          </w:p>
        </w:tc>
        <w:tc>
          <w:tcPr>
            <w:tcW w:w="5842" w:type="dxa"/>
            <w:vAlign w:val="center"/>
          </w:tcPr>
          <w:p w14:paraId="228DE505">
            <w:pPr>
              <w:autoSpaceDE w:val="0"/>
              <w:autoSpaceDN w:val="0"/>
              <w:adjustRightInd w:val="0"/>
              <w:snapToGrid w:val="0"/>
              <w:ind w:firstLine="446" w:firstLineChars="200"/>
              <w:jc w:val="left"/>
              <w:rPr>
                <w:rFonts w:ascii="宋体" w:hAnsi="宋体" w:cs="宋体"/>
                <w:color w:val="auto"/>
                <w:szCs w:val="21"/>
                <w:highlight w:val="none"/>
              </w:rPr>
            </w:pPr>
            <w:r>
              <w:rPr>
                <w:rFonts w:hint="eastAsia" w:ascii="宋体" w:hAnsi="宋体" w:cs="宋体"/>
                <w:color w:val="auto"/>
                <w:sz w:val="22"/>
                <w:highlight w:val="none"/>
              </w:rPr>
              <w:t>不少于</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年（自验收合格之日起）（乙方投标文件另有承诺增加质保期的，按高的为准）</w:t>
            </w:r>
          </w:p>
        </w:tc>
      </w:tr>
      <w:tr w14:paraId="38EB9A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2E2A500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84D4EC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第8.2（3）项</w:t>
            </w:r>
          </w:p>
        </w:tc>
        <w:tc>
          <w:tcPr>
            <w:tcW w:w="1968" w:type="dxa"/>
            <w:vAlign w:val="center"/>
          </w:tcPr>
          <w:p w14:paraId="38D4C6A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货物质量缺陷</w:t>
            </w:r>
          </w:p>
          <w:p w14:paraId="55D670CD">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响应时间</w:t>
            </w:r>
          </w:p>
        </w:tc>
        <w:tc>
          <w:tcPr>
            <w:tcW w:w="5842" w:type="dxa"/>
            <w:vAlign w:val="center"/>
          </w:tcPr>
          <w:p w14:paraId="1EB24AC8">
            <w:pPr>
              <w:autoSpaceDE w:val="0"/>
              <w:autoSpaceDN w:val="0"/>
              <w:adjustRightInd w:val="0"/>
              <w:snapToGrid w:val="0"/>
              <w:ind w:firstLine="446" w:firstLineChars="200"/>
              <w:jc w:val="left"/>
              <w:rPr>
                <w:rFonts w:ascii="宋体" w:hAnsi="宋体" w:cs="宋体"/>
                <w:color w:val="auto"/>
                <w:sz w:val="22"/>
                <w:highlight w:val="none"/>
              </w:rPr>
            </w:pPr>
            <w:r>
              <w:rPr>
                <w:rFonts w:hint="eastAsia" w:ascii="宋体" w:hAnsi="宋体" w:cs="宋体"/>
                <w:color w:val="auto"/>
                <w:sz w:val="22"/>
                <w:highlight w:val="none"/>
              </w:rPr>
              <w:t>在接到采购人通知后须30分钟内响应</w:t>
            </w:r>
          </w:p>
        </w:tc>
      </w:tr>
      <w:tr w14:paraId="08D553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1846B55">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0166E14">
            <w:pPr>
              <w:pStyle w:val="95"/>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第11.1款</w:t>
            </w:r>
          </w:p>
        </w:tc>
        <w:tc>
          <w:tcPr>
            <w:tcW w:w="1968" w:type="dxa"/>
            <w:vAlign w:val="center"/>
          </w:tcPr>
          <w:p w14:paraId="4789B2B5">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其他应当保密的信息</w:t>
            </w:r>
          </w:p>
        </w:tc>
        <w:tc>
          <w:tcPr>
            <w:tcW w:w="5842" w:type="dxa"/>
            <w:vAlign w:val="center"/>
          </w:tcPr>
          <w:p w14:paraId="0899A180">
            <w:pPr>
              <w:autoSpaceDE w:val="0"/>
              <w:autoSpaceDN w:val="0"/>
              <w:adjustRightInd w:val="0"/>
              <w:snapToGrid w:val="0"/>
              <w:ind w:firstLine="446" w:firstLineChars="200"/>
              <w:jc w:val="left"/>
              <w:rPr>
                <w:rFonts w:ascii="宋体" w:hAnsi="宋体" w:cs="宋体"/>
                <w:color w:val="auto"/>
                <w:sz w:val="22"/>
                <w:highlight w:val="none"/>
              </w:rPr>
            </w:pPr>
            <w:r>
              <w:rPr>
                <w:rFonts w:hint="eastAsia" w:ascii="宋体" w:hAnsi="宋体" w:cs="宋体"/>
                <w:color w:val="auto"/>
                <w:sz w:val="22"/>
                <w:highlight w:val="none"/>
              </w:rPr>
              <w:t>/</w:t>
            </w:r>
          </w:p>
        </w:tc>
      </w:tr>
      <w:tr w14:paraId="7F727D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7AF1A24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2EB67E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第12.2款</w:t>
            </w:r>
          </w:p>
        </w:tc>
        <w:tc>
          <w:tcPr>
            <w:tcW w:w="1968" w:type="dxa"/>
            <w:vAlign w:val="center"/>
          </w:tcPr>
          <w:p w14:paraId="3BFD777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合同价款支付时间</w:t>
            </w:r>
          </w:p>
        </w:tc>
        <w:tc>
          <w:tcPr>
            <w:tcW w:w="5842" w:type="dxa"/>
            <w:vAlign w:val="center"/>
          </w:tcPr>
          <w:p w14:paraId="05DCB759">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对于满足合同约定支付条件的，甲方原则上自收到发票后7个工作日内将资金支付到合同约定的乙方账户。</w:t>
            </w:r>
          </w:p>
        </w:tc>
      </w:tr>
      <w:tr w14:paraId="6BD6A1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664F970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661C4AF">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第13.2款</w:t>
            </w:r>
          </w:p>
        </w:tc>
        <w:tc>
          <w:tcPr>
            <w:tcW w:w="1968" w:type="dxa"/>
            <w:vAlign w:val="center"/>
          </w:tcPr>
          <w:p w14:paraId="3FC3189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履约保证金不予退还的情形</w:t>
            </w:r>
          </w:p>
        </w:tc>
        <w:tc>
          <w:tcPr>
            <w:tcW w:w="5842" w:type="dxa"/>
            <w:vAlign w:val="center"/>
          </w:tcPr>
          <w:p w14:paraId="3A92F00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1、乙方须提供符合采购文件和国家相关质量标准的全新合格货物。如发生所供货物与现行国家政策法规、合同约定不符，采购人有权拒收、退货、解除合同，或者乙方予以免费更换。</w:t>
            </w:r>
          </w:p>
          <w:p w14:paraId="320E5B7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01C77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240F749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FF991C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第13.3款</w:t>
            </w:r>
          </w:p>
        </w:tc>
        <w:tc>
          <w:tcPr>
            <w:tcW w:w="1968" w:type="dxa"/>
            <w:vAlign w:val="center"/>
          </w:tcPr>
          <w:p w14:paraId="2459C0C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履约保证金退还时间及逾期退还的违约金</w:t>
            </w:r>
          </w:p>
        </w:tc>
        <w:tc>
          <w:tcPr>
            <w:tcW w:w="5842" w:type="dxa"/>
            <w:vAlign w:val="center"/>
          </w:tcPr>
          <w:p w14:paraId="22466618">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56FEF7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5C1D70D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07E0CB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第14.1（3）项</w:t>
            </w:r>
          </w:p>
        </w:tc>
        <w:tc>
          <w:tcPr>
            <w:tcW w:w="1968" w:type="dxa"/>
            <w:vAlign w:val="center"/>
          </w:tcPr>
          <w:p w14:paraId="2EB9E26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运行监督、维修期限</w:t>
            </w:r>
          </w:p>
        </w:tc>
        <w:tc>
          <w:tcPr>
            <w:tcW w:w="5842" w:type="dxa"/>
            <w:vAlign w:val="center"/>
          </w:tcPr>
          <w:p w14:paraId="2C3060D1">
            <w:pPr>
              <w:adjustRightInd w:val="0"/>
              <w:snapToGrid w:val="0"/>
              <w:jc w:val="left"/>
              <w:rPr>
                <w:rFonts w:ascii="宋体" w:hAnsi="宋体" w:cs="宋体"/>
                <w:color w:val="auto"/>
                <w:szCs w:val="21"/>
                <w:highlight w:val="none"/>
              </w:rPr>
            </w:pPr>
            <w:r>
              <w:rPr>
                <w:rFonts w:hint="eastAsia" w:ascii="宋体" w:hAnsi="宋体" w:cs="宋体"/>
                <w:color w:val="auto"/>
                <w:sz w:val="22"/>
                <w:highlight w:val="none"/>
              </w:rPr>
              <w:t>不少于</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年（自验收合格之日起）（乙方投标文件另有承诺增加质保期的，按高的为准）</w:t>
            </w:r>
          </w:p>
        </w:tc>
      </w:tr>
      <w:tr w14:paraId="20AF64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0E56F3B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38CFEA0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第14.1（5）项</w:t>
            </w:r>
          </w:p>
        </w:tc>
        <w:tc>
          <w:tcPr>
            <w:tcW w:w="1968" w:type="dxa"/>
            <w:vAlign w:val="center"/>
          </w:tcPr>
          <w:p w14:paraId="1B52CE4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货物回收的约定</w:t>
            </w:r>
          </w:p>
        </w:tc>
        <w:tc>
          <w:tcPr>
            <w:tcW w:w="5842" w:type="dxa"/>
            <w:vAlign w:val="center"/>
          </w:tcPr>
          <w:p w14:paraId="52BFBC8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513ADB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3AA839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3F8784C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第14.1（6）项</w:t>
            </w:r>
          </w:p>
        </w:tc>
        <w:tc>
          <w:tcPr>
            <w:tcW w:w="1968" w:type="dxa"/>
            <w:vAlign w:val="center"/>
          </w:tcPr>
          <w:p w14:paraId="4CFDE4B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乙方提供的其他服务</w:t>
            </w:r>
          </w:p>
        </w:tc>
        <w:tc>
          <w:tcPr>
            <w:tcW w:w="5842" w:type="dxa"/>
            <w:vAlign w:val="center"/>
          </w:tcPr>
          <w:p w14:paraId="433B33B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按采购文件及投标文件</w:t>
            </w:r>
          </w:p>
        </w:tc>
      </w:tr>
      <w:tr w14:paraId="4F9120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5A0495C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CF37F1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第15.1款</w:t>
            </w:r>
          </w:p>
        </w:tc>
        <w:tc>
          <w:tcPr>
            <w:tcW w:w="1968" w:type="dxa"/>
            <w:vAlign w:val="center"/>
          </w:tcPr>
          <w:p w14:paraId="245F4FE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修理、重作、更换相关具体规定</w:t>
            </w:r>
          </w:p>
        </w:tc>
        <w:tc>
          <w:tcPr>
            <w:tcW w:w="5842" w:type="dxa"/>
            <w:vAlign w:val="center"/>
          </w:tcPr>
          <w:p w14:paraId="778818F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1.甲方有权根据权威质量检测部门出具的检验报告向乙方提出索赔。</w:t>
            </w:r>
          </w:p>
          <w:p w14:paraId="3B32BEB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2.在质量保证期内，如果乙方对缺陷产品负有责任而甲方提出索赔，乙方应按照甲方同意的下列一种或多种方式解决索赔事宜，并且甲方可以收取乙方合同总价20%的违约金：</w:t>
            </w:r>
          </w:p>
          <w:p w14:paraId="24CAECB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 乙方退货并将货款退还给甲方，由此发生的一切费用和损失由乙方承担。</w:t>
            </w:r>
          </w:p>
          <w:p w14:paraId="17E7DC7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 根据货物的质量状况以及甲方所遭受的损失，经过双方商定降低货物的价格。</w:t>
            </w:r>
          </w:p>
          <w:p w14:paraId="350236C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30FC0679">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0F6580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DA4584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4DC572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第15.2（2）项</w:t>
            </w:r>
          </w:p>
        </w:tc>
        <w:tc>
          <w:tcPr>
            <w:tcW w:w="1968" w:type="dxa"/>
            <w:vAlign w:val="center"/>
          </w:tcPr>
          <w:p w14:paraId="4408D44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迟延交货赔偿费</w:t>
            </w:r>
          </w:p>
        </w:tc>
        <w:tc>
          <w:tcPr>
            <w:tcW w:w="5842" w:type="dxa"/>
            <w:vAlign w:val="center"/>
          </w:tcPr>
          <w:p w14:paraId="21C38DF8">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 乙方应按照《合同》规定的时间、地点交货和提供服务。</w:t>
            </w:r>
          </w:p>
          <w:p w14:paraId="662A1A1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7837CAA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2B3EB4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3FA75F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A8D043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第15.3款</w:t>
            </w:r>
          </w:p>
        </w:tc>
        <w:tc>
          <w:tcPr>
            <w:tcW w:w="1968" w:type="dxa"/>
            <w:vAlign w:val="center"/>
          </w:tcPr>
          <w:p w14:paraId="0EE85AC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逾期付款利息</w:t>
            </w:r>
          </w:p>
        </w:tc>
        <w:tc>
          <w:tcPr>
            <w:tcW w:w="5842" w:type="dxa"/>
            <w:vAlign w:val="center"/>
          </w:tcPr>
          <w:p w14:paraId="02EF23D8">
            <w:pPr>
              <w:adjustRightInd w:val="0"/>
              <w:snapToGrid w:val="0"/>
              <w:jc w:val="left"/>
              <w:rPr>
                <w:rFonts w:ascii="宋体" w:hAnsi="宋体" w:cs="宋体"/>
                <w:color w:val="auto"/>
                <w:szCs w:val="21"/>
                <w:highlight w:val="none"/>
                <w:u w:val="single"/>
              </w:rPr>
            </w:pPr>
            <w:r>
              <w:rPr>
                <w:rFonts w:hint="eastAsia" w:ascii="宋体" w:hAnsi="宋体" w:cs="宋体"/>
                <w:color w:val="auto"/>
                <w:szCs w:val="21"/>
                <w:highlight w:val="none"/>
              </w:rPr>
              <w:t>/</w:t>
            </w:r>
          </w:p>
        </w:tc>
      </w:tr>
      <w:tr w14:paraId="58CD0F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16" w:type="dxa"/>
            <w:tcBorders>
              <w:bottom w:val="single" w:color="auto" w:sz="2" w:space="0"/>
              <w:right w:val="single" w:color="auto" w:sz="2" w:space="0"/>
            </w:tcBorders>
            <w:vAlign w:val="center"/>
          </w:tcPr>
          <w:p w14:paraId="1FA4C0A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E7EFB8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第15.4款</w:t>
            </w:r>
          </w:p>
        </w:tc>
        <w:tc>
          <w:tcPr>
            <w:tcW w:w="1968" w:type="dxa"/>
            <w:tcBorders>
              <w:left w:val="single" w:color="auto" w:sz="2" w:space="0"/>
              <w:bottom w:val="single" w:color="auto" w:sz="2" w:space="0"/>
              <w:right w:val="single" w:color="auto" w:sz="2" w:space="0"/>
            </w:tcBorders>
            <w:vAlign w:val="center"/>
          </w:tcPr>
          <w:p w14:paraId="3883C9AD">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其他违约责任</w:t>
            </w:r>
          </w:p>
        </w:tc>
        <w:tc>
          <w:tcPr>
            <w:tcW w:w="5842" w:type="dxa"/>
            <w:tcBorders>
              <w:left w:val="single" w:color="auto" w:sz="2" w:space="0"/>
              <w:bottom w:val="single" w:color="auto" w:sz="2" w:space="0"/>
            </w:tcBorders>
            <w:vAlign w:val="center"/>
          </w:tcPr>
          <w:p w14:paraId="32DCB9B4">
            <w:pPr>
              <w:adjustRightInd w:val="0"/>
              <w:snapToGrid w:val="0"/>
              <w:jc w:val="left"/>
              <w:rPr>
                <w:rFonts w:ascii="宋体" w:hAnsi="宋体" w:cs="宋体"/>
                <w:color w:val="auto"/>
                <w:szCs w:val="21"/>
                <w:highlight w:val="none"/>
                <w:u w:val="single"/>
              </w:rPr>
            </w:pPr>
            <w:r>
              <w:rPr>
                <w:rFonts w:hint="eastAsia" w:ascii="宋体" w:hAnsi="宋体" w:cs="宋体"/>
                <w:color w:val="auto"/>
                <w:szCs w:val="21"/>
                <w:highlight w:val="none"/>
                <w:u w:val="single"/>
              </w:rPr>
              <w:t>无</w:t>
            </w:r>
          </w:p>
        </w:tc>
      </w:tr>
      <w:tr w14:paraId="7FDBEE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16" w:type="dxa"/>
            <w:tcBorders>
              <w:top w:val="single" w:color="auto" w:sz="2" w:space="0"/>
              <w:right w:val="single" w:color="auto" w:sz="2" w:space="0"/>
            </w:tcBorders>
            <w:vAlign w:val="center"/>
          </w:tcPr>
          <w:p w14:paraId="4DDE244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E23855F">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第19.2款</w:t>
            </w:r>
          </w:p>
        </w:tc>
        <w:tc>
          <w:tcPr>
            <w:tcW w:w="1968" w:type="dxa"/>
            <w:tcBorders>
              <w:top w:val="single" w:color="auto" w:sz="2" w:space="0"/>
              <w:left w:val="single" w:color="auto" w:sz="2" w:space="0"/>
              <w:right w:val="single" w:color="auto" w:sz="2" w:space="0"/>
            </w:tcBorders>
            <w:vAlign w:val="center"/>
          </w:tcPr>
          <w:p w14:paraId="13C080D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解决争议的方法</w:t>
            </w:r>
          </w:p>
        </w:tc>
        <w:tc>
          <w:tcPr>
            <w:tcW w:w="5842" w:type="dxa"/>
            <w:tcBorders>
              <w:top w:val="single" w:color="auto" w:sz="2" w:space="0"/>
              <w:left w:val="single" w:color="auto" w:sz="2" w:space="0"/>
            </w:tcBorders>
            <w:vAlign w:val="center"/>
          </w:tcPr>
          <w:p w14:paraId="5B1B0D65">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2 </w:t>
            </w:r>
            <w:r>
              <w:rPr>
                <w:rFonts w:hint="eastAsia" w:ascii="宋体" w:hAnsi="宋体" w:cs="宋体"/>
                <w:iCs/>
                <w:color w:val="auto"/>
                <w:szCs w:val="21"/>
                <w:highlight w:val="none"/>
              </w:rPr>
              <w:t>种方式解决：</w:t>
            </w:r>
          </w:p>
          <w:p w14:paraId="37DDC75D">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w:t>
            </w:r>
          </w:p>
          <w:p w14:paraId="5236154C">
            <w:pPr>
              <w:adjustRightInd w:val="0"/>
              <w:snapToGrid w:val="0"/>
              <w:jc w:val="left"/>
              <w:rPr>
                <w:rFonts w:ascii="宋体" w:hAnsi="宋体" w:cs="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人民法院起诉。</w:t>
            </w:r>
          </w:p>
        </w:tc>
      </w:tr>
      <w:tr w14:paraId="35506D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16" w:type="dxa"/>
            <w:vAlign w:val="center"/>
          </w:tcPr>
          <w:p w14:paraId="335E978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4EE774B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第23.1款</w:t>
            </w:r>
          </w:p>
        </w:tc>
        <w:tc>
          <w:tcPr>
            <w:tcW w:w="1968" w:type="dxa"/>
            <w:vAlign w:val="center"/>
          </w:tcPr>
          <w:p w14:paraId="2074D763">
            <w:pPr>
              <w:adjustRightInd w:val="0"/>
              <w:snapToGrid w:val="0"/>
              <w:jc w:val="left"/>
              <w:rPr>
                <w:rFonts w:ascii="宋体" w:hAnsi="宋体" w:cs="宋体"/>
                <w:color w:val="auto"/>
                <w:szCs w:val="21"/>
                <w:highlight w:val="none"/>
              </w:rPr>
            </w:pPr>
            <w:r>
              <w:rPr>
                <w:rFonts w:hint="eastAsia" w:ascii="宋体" w:hAnsi="宋体" w:cs="宋体"/>
                <w:bCs/>
                <w:color w:val="auto"/>
                <w:szCs w:val="21"/>
                <w:highlight w:val="none"/>
              </w:rPr>
              <w:t>其他专用条款</w:t>
            </w:r>
          </w:p>
        </w:tc>
        <w:tc>
          <w:tcPr>
            <w:tcW w:w="5842" w:type="dxa"/>
            <w:vAlign w:val="center"/>
          </w:tcPr>
          <w:p w14:paraId="3D77BB1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bl>
    <w:p w14:paraId="698C0193">
      <w:pPr>
        <w:spacing w:line="360" w:lineRule="auto"/>
        <w:rPr>
          <w:rFonts w:ascii="宋体" w:hAnsi="宋体" w:cs="Times New Roman"/>
          <w:b/>
          <w:color w:val="auto"/>
          <w:sz w:val="22"/>
          <w:szCs w:val="22"/>
          <w:highlight w:val="none"/>
        </w:rPr>
      </w:pPr>
    </w:p>
    <w:p w14:paraId="3B25570B">
      <w:pPr>
        <w:spacing w:line="420" w:lineRule="atLeast"/>
        <w:ind w:firstLine="446" w:firstLineChars="200"/>
        <w:rPr>
          <w:rFonts w:ascii="宋体" w:cs="仿宋_GB2312"/>
          <w:b/>
          <w:bCs/>
          <w:color w:val="auto"/>
          <w:sz w:val="22"/>
          <w:highlight w:val="none"/>
          <w:lang w:val="zh-CN"/>
        </w:rPr>
      </w:pPr>
      <w:r>
        <w:rPr>
          <w:rFonts w:hint="eastAsia" w:ascii="宋体"/>
          <w:b/>
          <w:bCs/>
          <w:color w:val="auto"/>
          <w:sz w:val="22"/>
          <w:highlight w:val="none"/>
          <w:u w:val="single"/>
        </w:rPr>
        <w:t>注：以上合同条款供甲方及乙方作为商务参考，具体签订时，甲方可根据自身项目情况与乙方协商另行修改拟定相关合同具体条款。</w:t>
      </w:r>
    </w:p>
    <w:p w14:paraId="22891764">
      <w:pPr>
        <w:autoSpaceDE w:val="0"/>
        <w:autoSpaceDN w:val="0"/>
        <w:adjustRightInd w:val="0"/>
        <w:spacing w:line="360" w:lineRule="exact"/>
        <w:jc w:val="center"/>
        <w:rPr>
          <w:rFonts w:ascii="宋体"/>
          <w:b/>
          <w:bCs/>
          <w:color w:val="auto"/>
          <w:sz w:val="32"/>
          <w:szCs w:val="32"/>
          <w:highlight w:val="none"/>
          <w:lang w:val="zh-CN"/>
        </w:rPr>
      </w:pPr>
    </w:p>
    <w:p w14:paraId="00531B5E">
      <w:pPr>
        <w:autoSpaceDE w:val="0"/>
        <w:autoSpaceDN w:val="0"/>
        <w:adjustRightInd w:val="0"/>
        <w:spacing w:line="360" w:lineRule="exact"/>
        <w:jc w:val="center"/>
        <w:rPr>
          <w:rFonts w:ascii="宋体"/>
          <w:b/>
          <w:bCs/>
          <w:color w:val="auto"/>
          <w:sz w:val="32"/>
          <w:szCs w:val="32"/>
          <w:highlight w:val="none"/>
          <w:lang w:val="zh-CN"/>
        </w:rPr>
      </w:pPr>
    </w:p>
    <w:p w14:paraId="0F4D95EE">
      <w:pPr>
        <w:autoSpaceDE w:val="0"/>
        <w:autoSpaceDN w:val="0"/>
        <w:adjustRightInd w:val="0"/>
        <w:spacing w:line="360" w:lineRule="exact"/>
        <w:jc w:val="center"/>
        <w:rPr>
          <w:rFonts w:ascii="宋体"/>
          <w:b/>
          <w:bCs/>
          <w:color w:val="auto"/>
          <w:sz w:val="32"/>
          <w:szCs w:val="32"/>
          <w:highlight w:val="none"/>
          <w:lang w:val="zh-CN"/>
        </w:rPr>
      </w:pPr>
    </w:p>
    <w:p w14:paraId="2E7D8875">
      <w:pPr>
        <w:autoSpaceDE w:val="0"/>
        <w:autoSpaceDN w:val="0"/>
        <w:adjustRightInd w:val="0"/>
        <w:spacing w:line="360" w:lineRule="exact"/>
        <w:jc w:val="center"/>
        <w:rPr>
          <w:rFonts w:ascii="宋体"/>
          <w:b/>
          <w:bCs/>
          <w:color w:val="auto"/>
          <w:sz w:val="32"/>
          <w:szCs w:val="32"/>
          <w:highlight w:val="none"/>
          <w:lang w:val="zh-CN"/>
        </w:rPr>
      </w:pPr>
    </w:p>
    <w:p w14:paraId="20E8ACCE">
      <w:pPr>
        <w:autoSpaceDE w:val="0"/>
        <w:autoSpaceDN w:val="0"/>
        <w:adjustRightInd w:val="0"/>
        <w:spacing w:line="360" w:lineRule="exact"/>
        <w:jc w:val="center"/>
        <w:rPr>
          <w:rFonts w:ascii="宋体"/>
          <w:b/>
          <w:bCs/>
          <w:color w:val="auto"/>
          <w:sz w:val="32"/>
          <w:szCs w:val="32"/>
          <w:highlight w:val="none"/>
          <w:lang w:val="zh-CN"/>
        </w:rPr>
      </w:pPr>
    </w:p>
    <w:p w14:paraId="193A1EA6">
      <w:pPr>
        <w:autoSpaceDE w:val="0"/>
        <w:autoSpaceDN w:val="0"/>
        <w:adjustRightInd w:val="0"/>
        <w:spacing w:line="360" w:lineRule="exact"/>
        <w:jc w:val="center"/>
        <w:rPr>
          <w:rFonts w:ascii="宋体"/>
          <w:b/>
          <w:bCs/>
          <w:color w:val="auto"/>
          <w:sz w:val="32"/>
          <w:szCs w:val="32"/>
          <w:highlight w:val="none"/>
          <w:lang w:val="zh-CN"/>
        </w:rPr>
      </w:pPr>
    </w:p>
    <w:p w14:paraId="65B6888A">
      <w:pPr>
        <w:autoSpaceDE w:val="0"/>
        <w:autoSpaceDN w:val="0"/>
        <w:adjustRightInd w:val="0"/>
        <w:spacing w:line="360" w:lineRule="exact"/>
        <w:jc w:val="center"/>
        <w:rPr>
          <w:rFonts w:ascii="宋体"/>
          <w:b/>
          <w:bCs/>
          <w:color w:val="auto"/>
          <w:sz w:val="32"/>
          <w:szCs w:val="32"/>
          <w:highlight w:val="none"/>
          <w:lang w:val="zh-CN"/>
        </w:rPr>
      </w:pPr>
    </w:p>
    <w:p w14:paraId="26A105DA">
      <w:pPr>
        <w:autoSpaceDE w:val="0"/>
        <w:autoSpaceDN w:val="0"/>
        <w:adjustRightInd w:val="0"/>
        <w:spacing w:line="360" w:lineRule="exact"/>
        <w:jc w:val="center"/>
        <w:rPr>
          <w:rFonts w:ascii="宋体"/>
          <w:b/>
          <w:bCs/>
          <w:color w:val="auto"/>
          <w:sz w:val="32"/>
          <w:szCs w:val="32"/>
          <w:highlight w:val="none"/>
          <w:lang w:val="zh-CN"/>
        </w:rPr>
      </w:pPr>
    </w:p>
    <w:p w14:paraId="0A6A4F5F">
      <w:pPr>
        <w:autoSpaceDE w:val="0"/>
        <w:autoSpaceDN w:val="0"/>
        <w:adjustRightInd w:val="0"/>
        <w:spacing w:line="360" w:lineRule="exact"/>
        <w:jc w:val="center"/>
        <w:rPr>
          <w:rFonts w:ascii="宋体"/>
          <w:b/>
          <w:bCs/>
          <w:color w:val="auto"/>
          <w:sz w:val="32"/>
          <w:szCs w:val="32"/>
          <w:highlight w:val="none"/>
          <w:lang w:val="zh-CN"/>
        </w:rPr>
      </w:pPr>
    </w:p>
    <w:p w14:paraId="2B739474">
      <w:pPr>
        <w:autoSpaceDE w:val="0"/>
        <w:autoSpaceDN w:val="0"/>
        <w:adjustRightInd w:val="0"/>
        <w:spacing w:line="360" w:lineRule="exact"/>
        <w:jc w:val="center"/>
        <w:rPr>
          <w:rFonts w:ascii="宋体"/>
          <w:b/>
          <w:bCs/>
          <w:color w:val="auto"/>
          <w:sz w:val="32"/>
          <w:szCs w:val="32"/>
          <w:highlight w:val="none"/>
          <w:lang w:val="zh-CN"/>
        </w:rPr>
      </w:pPr>
    </w:p>
    <w:p w14:paraId="0C12EEAD">
      <w:pPr>
        <w:autoSpaceDE w:val="0"/>
        <w:autoSpaceDN w:val="0"/>
        <w:adjustRightInd w:val="0"/>
        <w:spacing w:line="360" w:lineRule="exact"/>
        <w:jc w:val="center"/>
        <w:rPr>
          <w:rFonts w:ascii="宋体"/>
          <w:b/>
          <w:bCs/>
          <w:color w:val="auto"/>
          <w:sz w:val="32"/>
          <w:szCs w:val="32"/>
          <w:highlight w:val="none"/>
          <w:lang w:val="zh-CN"/>
        </w:rPr>
      </w:pPr>
    </w:p>
    <w:p w14:paraId="4D5B0FBB">
      <w:pPr>
        <w:autoSpaceDE w:val="0"/>
        <w:autoSpaceDN w:val="0"/>
        <w:adjustRightInd w:val="0"/>
        <w:spacing w:line="360" w:lineRule="exact"/>
        <w:jc w:val="center"/>
        <w:rPr>
          <w:rFonts w:ascii="宋体"/>
          <w:b/>
          <w:bCs/>
          <w:color w:val="auto"/>
          <w:sz w:val="32"/>
          <w:szCs w:val="32"/>
          <w:highlight w:val="none"/>
          <w:lang w:val="zh-CN"/>
        </w:rPr>
      </w:pPr>
    </w:p>
    <w:p w14:paraId="39774B35">
      <w:pPr>
        <w:autoSpaceDE w:val="0"/>
        <w:autoSpaceDN w:val="0"/>
        <w:adjustRightInd w:val="0"/>
        <w:spacing w:line="360" w:lineRule="exact"/>
        <w:jc w:val="center"/>
        <w:rPr>
          <w:rFonts w:ascii="宋体"/>
          <w:b/>
          <w:bCs/>
          <w:color w:val="auto"/>
          <w:sz w:val="32"/>
          <w:szCs w:val="32"/>
          <w:highlight w:val="none"/>
          <w:lang w:val="zh-CN"/>
        </w:rPr>
      </w:pPr>
    </w:p>
    <w:p w14:paraId="308CF4AA">
      <w:pPr>
        <w:autoSpaceDE w:val="0"/>
        <w:autoSpaceDN w:val="0"/>
        <w:adjustRightInd w:val="0"/>
        <w:spacing w:line="360" w:lineRule="exact"/>
        <w:jc w:val="center"/>
        <w:rPr>
          <w:rFonts w:ascii="宋体"/>
          <w:b/>
          <w:bCs/>
          <w:color w:val="auto"/>
          <w:sz w:val="32"/>
          <w:szCs w:val="32"/>
          <w:highlight w:val="none"/>
          <w:lang w:val="zh-CN"/>
        </w:rPr>
      </w:pPr>
    </w:p>
    <w:p w14:paraId="2A92F161">
      <w:pPr>
        <w:autoSpaceDE w:val="0"/>
        <w:autoSpaceDN w:val="0"/>
        <w:adjustRightInd w:val="0"/>
        <w:spacing w:line="360" w:lineRule="exact"/>
        <w:jc w:val="center"/>
        <w:rPr>
          <w:rFonts w:ascii="宋体"/>
          <w:b/>
          <w:bCs/>
          <w:color w:val="auto"/>
          <w:sz w:val="32"/>
          <w:szCs w:val="32"/>
          <w:highlight w:val="none"/>
          <w:lang w:val="zh-CN"/>
        </w:rPr>
      </w:pPr>
    </w:p>
    <w:p w14:paraId="6242E4FC">
      <w:pPr>
        <w:autoSpaceDE w:val="0"/>
        <w:autoSpaceDN w:val="0"/>
        <w:adjustRightInd w:val="0"/>
        <w:spacing w:line="360" w:lineRule="exact"/>
        <w:jc w:val="center"/>
        <w:rPr>
          <w:rFonts w:ascii="宋体"/>
          <w:b/>
          <w:bCs/>
          <w:color w:val="auto"/>
          <w:sz w:val="32"/>
          <w:szCs w:val="32"/>
          <w:highlight w:val="none"/>
          <w:lang w:val="zh-CN"/>
        </w:rPr>
      </w:pPr>
    </w:p>
    <w:p w14:paraId="3B579414">
      <w:pPr>
        <w:autoSpaceDE w:val="0"/>
        <w:autoSpaceDN w:val="0"/>
        <w:adjustRightInd w:val="0"/>
        <w:spacing w:line="360" w:lineRule="exact"/>
        <w:jc w:val="center"/>
        <w:rPr>
          <w:rFonts w:ascii="宋体"/>
          <w:b/>
          <w:bCs/>
          <w:color w:val="auto"/>
          <w:sz w:val="32"/>
          <w:szCs w:val="32"/>
          <w:highlight w:val="none"/>
          <w:lang w:val="zh-CN"/>
        </w:rPr>
      </w:pPr>
    </w:p>
    <w:p w14:paraId="29D898C3">
      <w:pPr>
        <w:autoSpaceDE w:val="0"/>
        <w:autoSpaceDN w:val="0"/>
        <w:adjustRightInd w:val="0"/>
        <w:spacing w:line="360" w:lineRule="exact"/>
        <w:jc w:val="center"/>
        <w:rPr>
          <w:rFonts w:ascii="宋体"/>
          <w:b/>
          <w:bCs/>
          <w:color w:val="auto"/>
          <w:sz w:val="32"/>
          <w:szCs w:val="32"/>
          <w:highlight w:val="none"/>
          <w:lang w:val="zh-CN"/>
        </w:rPr>
      </w:pPr>
    </w:p>
    <w:p w14:paraId="75692DFA">
      <w:pPr>
        <w:autoSpaceDE w:val="0"/>
        <w:autoSpaceDN w:val="0"/>
        <w:adjustRightInd w:val="0"/>
        <w:spacing w:line="360" w:lineRule="exact"/>
        <w:jc w:val="center"/>
        <w:rPr>
          <w:rFonts w:ascii="宋体"/>
          <w:b/>
          <w:bCs/>
          <w:color w:val="auto"/>
          <w:sz w:val="32"/>
          <w:szCs w:val="32"/>
          <w:highlight w:val="none"/>
          <w:lang w:val="zh-CN"/>
        </w:rPr>
      </w:pPr>
    </w:p>
    <w:p w14:paraId="5F15D86A">
      <w:pPr>
        <w:autoSpaceDE w:val="0"/>
        <w:autoSpaceDN w:val="0"/>
        <w:adjustRightInd w:val="0"/>
        <w:spacing w:line="360" w:lineRule="exact"/>
        <w:jc w:val="center"/>
        <w:rPr>
          <w:rFonts w:ascii="宋体"/>
          <w:b/>
          <w:bCs/>
          <w:color w:val="auto"/>
          <w:sz w:val="32"/>
          <w:szCs w:val="32"/>
          <w:highlight w:val="none"/>
          <w:lang w:val="zh-CN"/>
        </w:rPr>
      </w:pPr>
    </w:p>
    <w:p w14:paraId="641C3971">
      <w:pPr>
        <w:autoSpaceDE w:val="0"/>
        <w:autoSpaceDN w:val="0"/>
        <w:adjustRightInd w:val="0"/>
        <w:spacing w:line="360" w:lineRule="exact"/>
        <w:jc w:val="center"/>
        <w:rPr>
          <w:rFonts w:ascii="宋体"/>
          <w:b/>
          <w:bCs/>
          <w:color w:val="auto"/>
          <w:sz w:val="32"/>
          <w:szCs w:val="32"/>
          <w:highlight w:val="none"/>
          <w:lang w:val="zh-CN"/>
        </w:rPr>
      </w:pPr>
    </w:p>
    <w:p w14:paraId="29D48336">
      <w:pPr>
        <w:autoSpaceDE w:val="0"/>
        <w:autoSpaceDN w:val="0"/>
        <w:adjustRightInd w:val="0"/>
        <w:spacing w:line="360" w:lineRule="exact"/>
        <w:jc w:val="center"/>
        <w:rPr>
          <w:rFonts w:ascii="宋体"/>
          <w:b/>
          <w:bCs/>
          <w:color w:val="auto"/>
          <w:sz w:val="32"/>
          <w:szCs w:val="32"/>
          <w:highlight w:val="none"/>
          <w:lang w:val="zh-CN"/>
        </w:rPr>
      </w:pPr>
    </w:p>
    <w:p w14:paraId="58BA7C51">
      <w:pPr>
        <w:autoSpaceDE w:val="0"/>
        <w:autoSpaceDN w:val="0"/>
        <w:adjustRightInd w:val="0"/>
        <w:spacing w:line="360" w:lineRule="exact"/>
        <w:jc w:val="center"/>
        <w:rPr>
          <w:rFonts w:ascii="宋体"/>
          <w:b/>
          <w:bCs/>
          <w:color w:val="auto"/>
          <w:sz w:val="32"/>
          <w:szCs w:val="32"/>
          <w:highlight w:val="none"/>
          <w:lang w:val="zh-CN"/>
        </w:rPr>
      </w:pPr>
    </w:p>
    <w:p w14:paraId="05401721">
      <w:pPr>
        <w:autoSpaceDE w:val="0"/>
        <w:autoSpaceDN w:val="0"/>
        <w:adjustRightInd w:val="0"/>
        <w:spacing w:line="360" w:lineRule="exact"/>
        <w:jc w:val="center"/>
        <w:rPr>
          <w:rFonts w:ascii="宋体"/>
          <w:b/>
          <w:bCs/>
          <w:color w:val="auto"/>
          <w:sz w:val="32"/>
          <w:szCs w:val="32"/>
          <w:highlight w:val="none"/>
          <w:lang w:val="zh-CN"/>
        </w:rPr>
      </w:pPr>
    </w:p>
    <w:p w14:paraId="06C40F74">
      <w:pPr>
        <w:autoSpaceDE w:val="0"/>
        <w:autoSpaceDN w:val="0"/>
        <w:adjustRightInd w:val="0"/>
        <w:spacing w:line="360" w:lineRule="exact"/>
        <w:jc w:val="center"/>
        <w:rPr>
          <w:rFonts w:ascii="宋体"/>
          <w:b/>
          <w:bCs/>
          <w:color w:val="auto"/>
          <w:sz w:val="32"/>
          <w:szCs w:val="32"/>
          <w:highlight w:val="none"/>
          <w:lang w:val="zh-CN"/>
        </w:rPr>
      </w:pPr>
    </w:p>
    <w:p w14:paraId="2A918D0A">
      <w:pPr>
        <w:autoSpaceDE w:val="0"/>
        <w:autoSpaceDN w:val="0"/>
        <w:adjustRightInd w:val="0"/>
        <w:spacing w:line="360" w:lineRule="exact"/>
        <w:jc w:val="center"/>
        <w:rPr>
          <w:rFonts w:ascii="宋体"/>
          <w:b/>
          <w:bCs/>
          <w:color w:val="auto"/>
          <w:sz w:val="32"/>
          <w:szCs w:val="32"/>
          <w:highlight w:val="none"/>
          <w:lang w:val="zh-CN"/>
        </w:rPr>
      </w:pPr>
    </w:p>
    <w:p w14:paraId="2CDC7F71">
      <w:pPr>
        <w:autoSpaceDE w:val="0"/>
        <w:autoSpaceDN w:val="0"/>
        <w:adjustRightInd w:val="0"/>
        <w:spacing w:line="360" w:lineRule="exact"/>
        <w:jc w:val="center"/>
        <w:rPr>
          <w:rFonts w:ascii="宋体"/>
          <w:b/>
          <w:bCs/>
          <w:color w:val="auto"/>
          <w:sz w:val="32"/>
          <w:szCs w:val="32"/>
          <w:highlight w:val="none"/>
          <w:lang w:val="zh-CN"/>
        </w:rPr>
      </w:pPr>
    </w:p>
    <w:p w14:paraId="2211DE7B">
      <w:pPr>
        <w:autoSpaceDE w:val="0"/>
        <w:autoSpaceDN w:val="0"/>
        <w:adjustRightInd w:val="0"/>
        <w:spacing w:line="360" w:lineRule="exact"/>
        <w:rPr>
          <w:rFonts w:ascii="宋体"/>
          <w:b/>
          <w:bCs/>
          <w:color w:val="auto"/>
          <w:sz w:val="32"/>
          <w:szCs w:val="32"/>
          <w:highlight w:val="none"/>
          <w:lang w:val="zh-CN"/>
        </w:rPr>
      </w:pPr>
    </w:p>
    <w:p w14:paraId="2290D2A7">
      <w:pPr>
        <w:autoSpaceDE w:val="0"/>
        <w:autoSpaceDN w:val="0"/>
        <w:adjustRightInd w:val="0"/>
        <w:spacing w:line="360" w:lineRule="exact"/>
        <w:jc w:val="center"/>
        <w:rPr>
          <w:rFonts w:ascii="宋体"/>
          <w:b/>
          <w:bCs/>
          <w:color w:val="auto"/>
          <w:sz w:val="32"/>
          <w:szCs w:val="32"/>
          <w:highlight w:val="none"/>
          <w:lang w:val="zh-CN"/>
        </w:rPr>
      </w:pPr>
    </w:p>
    <w:p w14:paraId="28EE0C76">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4F60E2C2">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52E808CA">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2AA5FED5">
      <w:pPr>
        <w:snapToGrid w:val="0"/>
        <w:spacing w:line="440" w:lineRule="exact"/>
        <w:jc w:val="center"/>
        <w:rPr>
          <w:rFonts w:ascii="宋体" w:hAnsi="宋体" w:cs="宋体"/>
          <w:b/>
          <w:color w:val="auto"/>
          <w:sz w:val="32"/>
          <w:szCs w:val="32"/>
          <w:highlight w:val="none"/>
        </w:rPr>
      </w:pPr>
    </w:p>
    <w:p w14:paraId="3D2DF5DD">
      <w:pPr>
        <w:spacing w:line="480" w:lineRule="auto"/>
        <w:jc w:val="center"/>
        <w:rPr>
          <w:rFonts w:ascii="宋体" w:hAnsi="宋体" w:cs="宋体"/>
          <w:b/>
          <w:color w:val="auto"/>
          <w:sz w:val="64"/>
          <w:szCs w:val="64"/>
          <w:highlight w:val="none"/>
        </w:rPr>
      </w:pPr>
      <w:r>
        <w:rPr>
          <w:rFonts w:hint="eastAsia" w:ascii="宋体" w:hAnsi="宋体" w:cs="宋体"/>
          <w:b/>
          <w:color w:val="auto"/>
          <w:sz w:val="64"/>
          <w:szCs w:val="64"/>
          <w:highlight w:val="none"/>
        </w:rPr>
        <w:t>便携式超声、麻醉工作站等</w:t>
      </w:r>
    </w:p>
    <w:p w14:paraId="273DF9E0">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FA7D102">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3409E9E8">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0F70FB8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B5F3B40">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TSCG202511005 </w:t>
            </w:r>
          </w:p>
        </w:tc>
      </w:tr>
      <w:tr w14:paraId="17BCBDC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C6DB4C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采购单位：泰顺县中医院（泰顺县中医院医共体）</w:t>
            </w:r>
          </w:p>
        </w:tc>
      </w:tr>
      <w:tr w14:paraId="5944BBB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EC9A827">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63EF95E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CE2CD6D">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31FA51D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957A24D">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497D5B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B21A3DA">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4FEF6ABB">
      <w:pPr>
        <w:autoSpaceDE w:val="0"/>
        <w:autoSpaceDN w:val="0"/>
        <w:adjustRightInd w:val="0"/>
        <w:spacing w:line="360" w:lineRule="exact"/>
        <w:rPr>
          <w:rFonts w:ascii="宋体" w:hAnsi="宋体" w:cs="宋体"/>
          <w:b/>
          <w:bCs/>
          <w:color w:val="auto"/>
          <w:sz w:val="32"/>
          <w:szCs w:val="32"/>
          <w:highlight w:val="none"/>
          <w:lang w:val="zh-CN"/>
        </w:rPr>
      </w:pPr>
    </w:p>
    <w:p w14:paraId="2EDE752E">
      <w:pPr>
        <w:autoSpaceDE w:val="0"/>
        <w:autoSpaceDN w:val="0"/>
        <w:adjustRightInd w:val="0"/>
        <w:spacing w:line="360" w:lineRule="exact"/>
        <w:rPr>
          <w:rFonts w:ascii="宋体" w:hAnsi="宋体" w:cs="宋体"/>
          <w:b/>
          <w:bCs/>
          <w:color w:val="auto"/>
          <w:sz w:val="32"/>
          <w:szCs w:val="32"/>
          <w:highlight w:val="none"/>
          <w:lang w:val="zh-CN"/>
        </w:rPr>
      </w:pPr>
    </w:p>
    <w:p w14:paraId="2742391C">
      <w:pPr>
        <w:autoSpaceDE w:val="0"/>
        <w:autoSpaceDN w:val="0"/>
        <w:adjustRightInd w:val="0"/>
        <w:spacing w:line="360" w:lineRule="exact"/>
        <w:rPr>
          <w:rFonts w:ascii="宋体" w:hAnsi="宋体" w:cs="宋体"/>
          <w:b/>
          <w:bCs/>
          <w:color w:val="auto"/>
          <w:sz w:val="32"/>
          <w:szCs w:val="32"/>
          <w:highlight w:val="none"/>
          <w:lang w:val="zh-CN"/>
        </w:rPr>
      </w:pPr>
    </w:p>
    <w:p w14:paraId="3295A105">
      <w:pPr>
        <w:autoSpaceDE w:val="0"/>
        <w:autoSpaceDN w:val="0"/>
        <w:adjustRightInd w:val="0"/>
        <w:spacing w:line="360" w:lineRule="exact"/>
        <w:rPr>
          <w:rFonts w:ascii="宋体" w:hAnsi="宋体" w:cs="宋体"/>
          <w:b/>
          <w:bCs/>
          <w:color w:val="auto"/>
          <w:sz w:val="32"/>
          <w:szCs w:val="32"/>
          <w:highlight w:val="none"/>
          <w:lang w:val="zh-CN"/>
        </w:rPr>
      </w:pPr>
    </w:p>
    <w:p w14:paraId="314EF8FC">
      <w:pPr>
        <w:autoSpaceDE w:val="0"/>
        <w:autoSpaceDN w:val="0"/>
        <w:adjustRightInd w:val="0"/>
        <w:spacing w:line="360" w:lineRule="exact"/>
        <w:rPr>
          <w:rFonts w:ascii="宋体" w:hAnsi="宋体" w:cs="宋体"/>
          <w:b/>
          <w:bCs/>
          <w:color w:val="auto"/>
          <w:sz w:val="32"/>
          <w:szCs w:val="32"/>
          <w:highlight w:val="none"/>
          <w:lang w:val="zh-CN"/>
        </w:rPr>
      </w:pPr>
    </w:p>
    <w:p w14:paraId="3DB2AFEB">
      <w:pPr>
        <w:autoSpaceDE w:val="0"/>
        <w:autoSpaceDN w:val="0"/>
        <w:adjustRightInd w:val="0"/>
        <w:spacing w:line="360" w:lineRule="exact"/>
        <w:rPr>
          <w:rFonts w:ascii="宋体" w:hAnsi="宋体" w:cs="宋体"/>
          <w:b/>
          <w:bCs/>
          <w:color w:val="auto"/>
          <w:sz w:val="32"/>
          <w:szCs w:val="32"/>
          <w:highlight w:val="none"/>
          <w:lang w:val="zh-CN"/>
        </w:rPr>
      </w:pPr>
    </w:p>
    <w:p w14:paraId="0B139215">
      <w:pPr>
        <w:autoSpaceDE w:val="0"/>
        <w:autoSpaceDN w:val="0"/>
        <w:adjustRightInd w:val="0"/>
        <w:spacing w:line="360" w:lineRule="exact"/>
        <w:rPr>
          <w:rFonts w:ascii="宋体" w:hAnsi="宋体" w:cs="宋体"/>
          <w:b/>
          <w:bCs/>
          <w:color w:val="auto"/>
          <w:sz w:val="32"/>
          <w:szCs w:val="32"/>
          <w:highlight w:val="none"/>
          <w:lang w:val="zh-CN"/>
        </w:rPr>
      </w:pPr>
    </w:p>
    <w:p w14:paraId="08D7DC97">
      <w:pPr>
        <w:autoSpaceDE w:val="0"/>
        <w:autoSpaceDN w:val="0"/>
        <w:adjustRightInd w:val="0"/>
        <w:spacing w:line="360" w:lineRule="exact"/>
        <w:rPr>
          <w:rFonts w:ascii="宋体" w:hAnsi="宋体" w:cs="宋体"/>
          <w:b/>
          <w:bCs/>
          <w:color w:val="auto"/>
          <w:sz w:val="32"/>
          <w:szCs w:val="32"/>
          <w:highlight w:val="none"/>
          <w:lang w:val="zh-CN"/>
        </w:rPr>
      </w:pPr>
    </w:p>
    <w:p w14:paraId="5C363FBB">
      <w:pPr>
        <w:autoSpaceDE w:val="0"/>
        <w:autoSpaceDN w:val="0"/>
        <w:adjustRightInd w:val="0"/>
        <w:spacing w:line="360" w:lineRule="exact"/>
        <w:rPr>
          <w:rFonts w:ascii="宋体" w:hAnsi="宋体" w:cs="宋体"/>
          <w:b/>
          <w:bCs/>
          <w:color w:val="auto"/>
          <w:sz w:val="32"/>
          <w:szCs w:val="32"/>
          <w:highlight w:val="none"/>
          <w:lang w:val="zh-CN"/>
        </w:rPr>
      </w:pPr>
    </w:p>
    <w:p w14:paraId="2837CF96">
      <w:pPr>
        <w:autoSpaceDE w:val="0"/>
        <w:autoSpaceDN w:val="0"/>
        <w:adjustRightInd w:val="0"/>
        <w:spacing w:line="360" w:lineRule="exact"/>
        <w:rPr>
          <w:rFonts w:ascii="宋体" w:hAnsi="宋体" w:cs="宋体"/>
          <w:b/>
          <w:bCs/>
          <w:color w:val="auto"/>
          <w:sz w:val="32"/>
          <w:szCs w:val="32"/>
          <w:highlight w:val="none"/>
          <w:lang w:val="zh-CN"/>
        </w:rPr>
      </w:pPr>
    </w:p>
    <w:p w14:paraId="0023817E">
      <w:pPr>
        <w:autoSpaceDE w:val="0"/>
        <w:autoSpaceDN w:val="0"/>
        <w:adjustRightInd w:val="0"/>
        <w:spacing w:line="360" w:lineRule="exact"/>
        <w:rPr>
          <w:rFonts w:ascii="宋体" w:hAnsi="宋体" w:cs="宋体"/>
          <w:b/>
          <w:bCs/>
          <w:color w:val="auto"/>
          <w:sz w:val="32"/>
          <w:szCs w:val="32"/>
          <w:highlight w:val="none"/>
          <w:lang w:val="zh-CN"/>
        </w:rPr>
      </w:pPr>
    </w:p>
    <w:p w14:paraId="6D2B63A3">
      <w:pPr>
        <w:autoSpaceDE w:val="0"/>
        <w:autoSpaceDN w:val="0"/>
        <w:adjustRightInd w:val="0"/>
        <w:spacing w:line="360" w:lineRule="exact"/>
        <w:rPr>
          <w:rFonts w:ascii="宋体" w:hAnsi="宋体" w:cs="宋体"/>
          <w:b/>
          <w:bCs/>
          <w:color w:val="auto"/>
          <w:sz w:val="32"/>
          <w:szCs w:val="32"/>
          <w:highlight w:val="none"/>
          <w:lang w:val="zh-CN"/>
        </w:rPr>
      </w:pPr>
    </w:p>
    <w:p w14:paraId="349A4C25">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1E67E6E8">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1312265B">
      <w:pPr>
        <w:autoSpaceDE w:val="0"/>
        <w:autoSpaceDN w:val="0"/>
        <w:adjustRightInd w:val="0"/>
        <w:spacing w:line="400" w:lineRule="exact"/>
        <w:rPr>
          <w:rFonts w:ascii="宋体" w:hAnsi="宋体" w:cs="宋体"/>
          <w:color w:val="auto"/>
          <w:sz w:val="22"/>
          <w:highlight w:val="none"/>
          <w:lang w:val="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rPr>
        <w:t>便携式超声、麻醉工作站等</w:t>
      </w:r>
    </w:p>
    <w:p w14:paraId="3A561CE4">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 xml:space="preserve">TSCG202511005 </w:t>
      </w:r>
    </w:p>
    <w:p w14:paraId="149F3AA3">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973"/>
        <w:gridCol w:w="5211"/>
        <w:gridCol w:w="1663"/>
      </w:tblGrid>
      <w:tr w14:paraId="78D7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401" w:type="pct"/>
            <w:vAlign w:val="center"/>
          </w:tcPr>
          <w:p w14:paraId="3B993098">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025" w:type="pct"/>
            <w:tcBorders>
              <w:right w:val="single" w:color="000000" w:sz="4" w:space="0"/>
            </w:tcBorders>
            <w:vAlign w:val="center"/>
          </w:tcPr>
          <w:p w14:paraId="7EEA0597">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2708" w:type="pct"/>
            <w:tcBorders>
              <w:left w:val="single" w:color="000000" w:sz="4" w:space="0"/>
            </w:tcBorders>
            <w:vAlign w:val="center"/>
          </w:tcPr>
          <w:p w14:paraId="72E571E8">
            <w:pPr>
              <w:pStyle w:val="16"/>
              <w:jc w:val="center"/>
              <w:rPr>
                <w:rFonts w:hAnsi="宋体" w:cs="宋体"/>
                <w:b/>
                <w:bCs/>
                <w:color w:val="auto"/>
                <w:kern w:val="2"/>
                <w:sz w:val="22"/>
                <w:szCs w:val="22"/>
                <w:highlight w:val="none"/>
              </w:rPr>
            </w:pPr>
            <w:r>
              <w:rPr>
                <w:rFonts w:hint="eastAsia" w:hAnsi="宋体" w:cs="宋体"/>
                <w:b/>
                <w:bCs/>
                <w:color w:val="auto"/>
                <w:sz w:val="22"/>
                <w:highlight w:val="none"/>
              </w:rPr>
              <w:t>投标报价</w:t>
            </w:r>
          </w:p>
        </w:tc>
        <w:tc>
          <w:tcPr>
            <w:tcW w:w="864" w:type="pct"/>
            <w:vAlign w:val="center"/>
          </w:tcPr>
          <w:p w14:paraId="674FBB74">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最高限价</w:t>
            </w:r>
          </w:p>
        </w:tc>
      </w:tr>
      <w:tr w14:paraId="5982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trPr>
        <w:tc>
          <w:tcPr>
            <w:tcW w:w="401" w:type="pct"/>
            <w:vAlign w:val="center"/>
          </w:tcPr>
          <w:p w14:paraId="73D1D73F">
            <w:pPr>
              <w:pStyle w:val="16"/>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1</w:t>
            </w:r>
          </w:p>
        </w:tc>
        <w:tc>
          <w:tcPr>
            <w:tcW w:w="1025" w:type="pct"/>
            <w:tcBorders>
              <w:right w:val="single" w:color="000000" w:sz="4" w:space="0"/>
            </w:tcBorders>
            <w:vAlign w:val="center"/>
          </w:tcPr>
          <w:p w14:paraId="543B814C">
            <w:pPr>
              <w:jc w:val="center"/>
              <w:rPr>
                <w:rFonts w:ascii="宋体" w:hAnsi="宋体" w:cs="宋体"/>
                <w:color w:val="auto"/>
                <w:sz w:val="22"/>
                <w:highlight w:val="none"/>
              </w:rPr>
            </w:pPr>
            <w:r>
              <w:rPr>
                <w:rFonts w:hint="eastAsia" w:ascii="宋体" w:hAnsi="宋体" w:cs="宋体"/>
                <w:color w:val="auto"/>
                <w:sz w:val="22"/>
                <w:highlight w:val="none"/>
                <w:u w:val="single"/>
              </w:rPr>
              <w:t>便携式超声、麻醉工作站等</w:t>
            </w:r>
          </w:p>
        </w:tc>
        <w:tc>
          <w:tcPr>
            <w:tcW w:w="2708" w:type="pct"/>
            <w:tcBorders>
              <w:left w:val="single" w:color="000000" w:sz="4" w:space="0"/>
            </w:tcBorders>
            <w:vAlign w:val="center"/>
          </w:tcPr>
          <w:p w14:paraId="09DC32BB">
            <w:pPr>
              <w:pStyle w:val="16"/>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5F92D58C">
            <w:pPr>
              <w:pStyle w:val="16"/>
              <w:spacing w:line="440" w:lineRule="atLeast"/>
              <w:ind w:firstLine="892" w:firstLineChars="4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小写：                </w:t>
            </w:r>
          </w:p>
        </w:tc>
        <w:tc>
          <w:tcPr>
            <w:tcW w:w="864" w:type="pct"/>
            <w:vAlign w:val="center"/>
          </w:tcPr>
          <w:p w14:paraId="1F173CBE">
            <w:pPr>
              <w:widowControl/>
              <w:jc w:val="center"/>
              <w:textAlignment w:val="center"/>
              <w:rPr>
                <w:rFonts w:hAnsi="宋体" w:cs="宋体"/>
                <w:color w:val="auto"/>
                <w:sz w:val="22"/>
                <w:szCs w:val="22"/>
                <w:highlight w:val="none"/>
                <w:shd w:val="clear" w:color="auto" w:fill="FFFFFF"/>
              </w:rPr>
            </w:pPr>
            <w:r>
              <w:rPr>
                <w:rFonts w:hint="eastAsia" w:ascii="宋体" w:hAnsi="宋体" w:cs="宋体"/>
                <w:color w:val="auto"/>
                <w:sz w:val="22"/>
                <w:szCs w:val="22"/>
                <w:highlight w:val="none"/>
              </w:rPr>
              <w:t>1230000</w:t>
            </w:r>
          </w:p>
        </w:tc>
      </w:tr>
    </w:tbl>
    <w:p w14:paraId="6F1ABF23">
      <w:pPr>
        <w:numPr>
          <w:ilvl w:val="0"/>
          <w:numId w:val="22"/>
        </w:numPr>
        <w:autoSpaceDE w:val="0"/>
        <w:autoSpaceDN w:val="0"/>
        <w:spacing w:line="360" w:lineRule="auto"/>
        <w:rPr>
          <w:rFonts w:ascii="宋体" w:hAnsi="宋体" w:cs="宋体"/>
          <w:b/>
          <w:bCs/>
          <w:color w:val="auto"/>
          <w:sz w:val="22"/>
          <w:highlight w:val="none"/>
          <w:u w:val="single"/>
        </w:rPr>
      </w:pPr>
      <w:r>
        <w:rPr>
          <w:rFonts w:hint="eastAsia" w:ascii="宋体" w:hAnsi="宋体" w:cs="宋体"/>
          <w:color w:val="auto"/>
          <w:sz w:val="22"/>
          <w:highlight w:val="none"/>
        </w:rPr>
        <w:t>▲</w:t>
      </w:r>
      <w:r>
        <w:rPr>
          <w:rFonts w:hint="eastAsia" w:ascii="宋体" w:hAnsi="宋体" w:cs="宋体"/>
          <w:b/>
          <w:bCs/>
          <w:color w:val="auto"/>
          <w:sz w:val="22"/>
          <w:highlight w:val="none"/>
          <w:u w:val="single"/>
        </w:rPr>
        <w:t>本表采用总价方式报价</w:t>
      </w:r>
      <w:r>
        <w:rPr>
          <w:rFonts w:hint="eastAsia" w:ascii="宋体" w:hAnsi="宋体" w:cs="楷体"/>
          <w:b/>
          <w:bCs/>
          <w:color w:val="auto"/>
          <w:kern w:val="0"/>
          <w:sz w:val="22"/>
          <w:highlight w:val="none"/>
          <w:u w:val="single"/>
        </w:rPr>
        <w:t>。</w:t>
      </w:r>
    </w:p>
    <w:p w14:paraId="70239327">
      <w:pPr>
        <w:numPr>
          <w:ilvl w:val="0"/>
          <w:numId w:val="22"/>
        </w:num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▲不提供此表格的将视为没有实质性响应招标文件。</w:t>
      </w:r>
    </w:p>
    <w:p w14:paraId="1FD13FAC">
      <w:pPr>
        <w:pStyle w:val="16"/>
        <w:spacing w:line="440" w:lineRule="atLeast"/>
        <w:rPr>
          <w:rFonts w:hAnsi="宋体" w:cs="宋体"/>
          <w:b/>
          <w:bCs/>
          <w:color w:val="auto"/>
          <w:sz w:val="22"/>
          <w:highlight w:val="none"/>
        </w:rPr>
      </w:pPr>
    </w:p>
    <w:p w14:paraId="398470BE">
      <w:pPr>
        <w:pStyle w:val="16"/>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28E5F8E6">
      <w:pPr>
        <w:pStyle w:val="16"/>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98A5B29">
      <w:pPr>
        <w:pStyle w:val="16"/>
        <w:spacing w:line="440" w:lineRule="atLeast"/>
        <w:rPr>
          <w:color w:val="auto"/>
          <w:highlight w:val="none"/>
          <w:lang w:val="zh-CN"/>
        </w:rPr>
      </w:pPr>
      <w:r>
        <w:rPr>
          <w:rFonts w:hint="eastAsia" w:hAnsi="宋体" w:cs="宋体"/>
          <w:color w:val="auto"/>
          <w:sz w:val="22"/>
          <w:highlight w:val="none"/>
        </w:rPr>
        <w:t>日期：</w:t>
      </w:r>
    </w:p>
    <w:p w14:paraId="6BD7F1EF">
      <w:pPr>
        <w:autoSpaceDE w:val="0"/>
        <w:autoSpaceDN w:val="0"/>
        <w:adjustRightInd w:val="0"/>
        <w:spacing w:line="400" w:lineRule="exact"/>
        <w:jc w:val="left"/>
        <w:rPr>
          <w:rFonts w:ascii="宋体" w:hAnsi="宋体" w:cs="宋体"/>
          <w:b/>
          <w:bCs/>
          <w:color w:val="auto"/>
          <w:sz w:val="32"/>
          <w:szCs w:val="32"/>
          <w:highlight w:val="none"/>
          <w:lang w:val="zh-CN"/>
        </w:rPr>
      </w:pPr>
    </w:p>
    <w:p w14:paraId="566946F3">
      <w:pPr>
        <w:autoSpaceDE w:val="0"/>
        <w:autoSpaceDN w:val="0"/>
        <w:adjustRightInd w:val="0"/>
        <w:spacing w:line="400" w:lineRule="exact"/>
        <w:jc w:val="left"/>
        <w:rPr>
          <w:rFonts w:ascii="宋体" w:hAnsi="宋体" w:cs="宋体"/>
          <w:b/>
          <w:bCs/>
          <w:color w:val="auto"/>
          <w:sz w:val="32"/>
          <w:szCs w:val="32"/>
          <w:highlight w:val="none"/>
          <w:lang w:val="zh-CN"/>
        </w:rPr>
      </w:pPr>
    </w:p>
    <w:p w14:paraId="1FD3AC20">
      <w:pPr>
        <w:autoSpaceDE w:val="0"/>
        <w:autoSpaceDN w:val="0"/>
        <w:adjustRightInd w:val="0"/>
        <w:spacing w:line="400" w:lineRule="exact"/>
        <w:jc w:val="left"/>
        <w:rPr>
          <w:rFonts w:ascii="宋体" w:hAnsi="宋体" w:cs="宋体"/>
          <w:b/>
          <w:bCs/>
          <w:color w:val="auto"/>
          <w:sz w:val="32"/>
          <w:szCs w:val="32"/>
          <w:highlight w:val="none"/>
          <w:lang w:val="zh-CN"/>
        </w:rPr>
      </w:pPr>
    </w:p>
    <w:p w14:paraId="167F04EB">
      <w:pPr>
        <w:autoSpaceDE w:val="0"/>
        <w:autoSpaceDN w:val="0"/>
        <w:adjustRightInd w:val="0"/>
        <w:spacing w:line="400" w:lineRule="exact"/>
        <w:jc w:val="left"/>
        <w:rPr>
          <w:rFonts w:ascii="宋体" w:hAnsi="宋体" w:cs="宋体"/>
          <w:b/>
          <w:bCs/>
          <w:color w:val="auto"/>
          <w:sz w:val="32"/>
          <w:szCs w:val="32"/>
          <w:highlight w:val="none"/>
          <w:lang w:val="zh-CN"/>
        </w:rPr>
      </w:pPr>
    </w:p>
    <w:p w14:paraId="21EC752D">
      <w:pPr>
        <w:autoSpaceDE w:val="0"/>
        <w:autoSpaceDN w:val="0"/>
        <w:adjustRightInd w:val="0"/>
        <w:spacing w:line="400" w:lineRule="exact"/>
        <w:jc w:val="left"/>
        <w:rPr>
          <w:rFonts w:ascii="宋体" w:hAnsi="宋体" w:cs="宋体"/>
          <w:b/>
          <w:bCs/>
          <w:color w:val="auto"/>
          <w:sz w:val="32"/>
          <w:szCs w:val="32"/>
          <w:highlight w:val="none"/>
          <w:lang w:val="zh-CN"/>
        </w:rPr>
      </w:pPr>
    </w:p>
    <w:p w14:paraId="075815F8">
      <w:pPr>
        <w:autoSpaceDE w:val="0"/>
        <w:autoSpaceDN w:val="0"/>
        <w:adjustRightInd w:val="0"/>
        <w:spacing w:line="400" w:lineRule="exact"/>
        <w:jc w:val="left"/>
        <w:rPr>
          <w:rFonts w:ascii="宋体" w:hAnsi="宋体" w:cs="宋体"/>
          <w:b/>
          <w:bCs/>
          <w:color w:val="auto"/>
          <w:sz w:val="32"/>
          <w:szCs w:val="32"/>
          <w:highlight w:val="none"/>
          <w:lang w:val="zh-CN"/>
        </w:rPr>
      </w:pPr>
    </w:p>
    <w:p w14:paraId="594F7DAB">
      <w:pPr>
        <w:autoSpaceDE w:val="0"/>
        <w:autoSpaceDN w:val="0"/>
        <w:adjustRightInd w:val="0"/>
        <w:spacing w:line="400" w:lineRule="exact"/>
        <w:jc w:val="left"/>
        <w:rPr>
          <w:rFonts w:ascii="宋体" w:hAnsi="宋体" w:cs="宋体"/>
          <w:b/>
          <w:bCs/>
          <w:color w:val="auto"/>
          <w:sz w:val="32"/>
          <w:szCs w:val="32"/>
          <w:highlight w:val="none"/>
          <w:lang w:val="zh-CN"/>
        </w:rPr>
      </w:pPr>
    </w:p>
    <w:p w14:paraId="5994FA43">
      <w:pPr>
        <w:autoSpaceDE w:val="0"/>
        <w:autoSpaceDN w:val="0"/>
        <w:adjustRightInd w:val="0"/>
        <w:spacing w:line="400" w:lineRule="exact"/>
        <w:jc w:val="left"/>
        <w:rPr>
          <w:rFonts w:ascii="宋体" w:hAnsi="宋体" w:cs="宋体"/>
          <w:b/>
          <w:bCs/>
          <w:color w:val="auto"/>
          <w:sz w:val="32"/>
          <w:szCs w:val="32"/>
          <w:highlight w:val="none"/>
          <w:lang w:val="zh-CN"/>
        </w:rPr>
      </w:pPr>
    </w:p>
    <w:p w14:paraId="4351C0D2">
      <w:pPr>
        <w:autoSpaceDE w:val="0"/>
        <w:autoSpaceDN w:val="0"/>
        <w:adjustRightInd w:val="0"/>
        <w:spacing w:line="400" w:lineRule="exact"/>
        <w:jc w:val="left"/>
        <w:rPr>
          <w:rFonts w:ascii="宋体" w:hAnsi="宋体" w:cs="宋体"/>
          <w:b/>
          <w:bCs/>
          <w:color w:val="auto"/>
          <w:sz w:val="32"/>
          <w:szCs w:val="32"/>
          <w:highlight w:val="none"/>
          <w:lang w:val="zh-CN"/>
        </w:rPr>
      </w:pPr>
    </w:p>
    <w:p w14:paraId="325F0205">
      <w:pPr>
        <w:autoSpaceDE w:val="0"/>
        <w:autoSpaceDN w:val="0"/>
        <w:adjustRightInd w:val="0"/>
        <w:spacing w:line="400" w:lineRule="exact"/>
        <w:jc w:val="left"/>
        <w:rPr>
          <w:rFonts w:ascii="宋体" w:hAnsi="宋体" w:cs="宋体"/>
          <w:b/>
          <w:bCs/>
          <w:color w:val="auto"/>
          <w:sz w:val="32"/>
          <w:szCs w:val="32"/>
          <w:highlight w:val="none"/>
          <w:lang w:val="zh-CN"/>
        </w:rPr>
      </w:pPr>
    </w:p>
    <w:p w14:paraId="01DD4978">
      <w:pPr>
        <w:autoSpaceDE w:val="0"/>
        <w:autoSpaceDN w:val="0"/>
        <w:adjustRightInd w:val="0"/>
        <w:spacing w:line="400" w:lineRule="exact"/>
        <w:jc w:val="left"/>
        <w:rPr>
          <w:rFonts w:ascii="宋体" w:hAnsi="宋体" w:cs="宋体"/>
          <w:b/>
          <w:bCs/>
          <w:color w:val="auto"/>
          <w:sz w:val="32"/>
          <w:szCs w:val="32"/>
          <w:highlight w:val="none"/>
          <w:lang w:val="zh-CN"/>
        </w:rPr>
      </w:pPr>
    </w:p>
    <w:p w14:paraId="2158374B">
      <w:pPr>
        <w:autoSpaceDE w:val="0"/>
        <w:autoSpaceDN w:val="0"/>
        <w:adjustRightInd w:val="0"/>
        <w:spacing w:line="400" w:lineRule="exact"/>
        <w:jc w:val="left"/>
        <w:rPr>
          <w:rFonts w:ascii="宋体" w:hAnsi="宋体" w:cs="宋体"/>
          <w:b/>
          <w:bCs/>
          <w:color w:val="auto"/>
          <w:sz w:val="32"/>
          <w:szCs w:val="32"/>
          <w:highlight w:val="none"/>
          <w:lang w:val="zh-CN"/>
        </w:rPr>
      </w:pPr>
    </w:p>
    <w:p w14:paraId="504E02A7">
      <w:pPr>
        <w:autoSpaceDE w:val="0"/>
        <w:autoSpaceDN w:val="0"/>
        <w:adjustRightInd w:val="0"/>
        <w:spacing w:line="400" w:lineRule="exact"/>
        <w:jc w:val="left"/>
        <w:rPr>
          <w:rFonts w:ascii="宋体" w:hAnsi="宋体" w:cs="宋体"/>
          <w:b/>
          <w:bCs/>
          <w:color w:val="auto"/>
          <w:sz w:val="32"/>
          <w:szCs w:val="32"/>
          <w:highlight w:val="none"/>
          <w:lang w:val="zh-CN"/>
        </w:rPr>
      </w:pPr>
    </w:p>
    <w:p w14:paraId="5BC8994F">
      <w:pPr>
        <w:autoSpaceDE w:val="0"/>
        <w:autoSpaceDN w:val="0"/>
        <w:adjustRightInd w:val="0"/>
        <w:spacing w:line="400" w:lineRule="exact"/>
        <w:jc w:val="left"/>
        <w:rPr>
          <w:rFonts w:ascii="宋体" w:hAnsi="宋体" w:cs="宋体"/>
          <w:b/>
          <w:bCs/>
          <w:color w:val="auto"/>
          <w:sz w:val="32"/>
          <w:szCs w:val="32"/>
          <w:highlight w:val="none"/>
          <w:lang w:val="zh-CN"/>
        </w:rPr>
      </w:pPr>
    </w:p>
    <w:p w14:paraId="39AE40F8">
      <w:pPr>
        <w:autoSpaceDE w:val="0"/>
        <w:autoSpaceDN w:val="0"/>
        <w:adjustRightInd w:val="0"/>
        <w:spacing w:line="400" w:lineRule="exact"/>
        <w:jc w:val="lef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w:t>
      </w:r>
      <w:r>
        <w:rPr>
          <w:rFonts w:hint="eastAsia" w:ascii="宋体" w:hAnsi="宋体" w:cs="宋体"/>
          <w:b/>
          <w:bCs/>
          <w:color w:val="auto"/>
          <w:sz w:val="32"/>
          <w:szCs w:val="32"/>
          <w:highlight w:val="none"/>
        </w:rPr>
        <w:t>二</w:t>
      </w:r>
    </w:p>
    <w:p w14:paraId="6CFF38B1">
      <w:pPr>
        <w:autoSpaceDE w:val="0"/>
        <w:autoSpaceDN w:val="0"/>
        <w:adjustRightInd w:val="0"/>
        <w:spacing w:line="400" w:lineRule="exact"/>
        <w:jc w:val="center"/>
        <w:rPr>
          <w:rFonts w:ascii="宋体" w:hAnsi="宋体" w:cs="宋体"/>
          <w:b/>
          <w:bCs/>
          <w:color w:val="auto"/>
          <w:sz w:val="22"/>
          <w:szCs w:val="22"/>
          <w:highlight w:val="none"/>
        </w:rPr>
      </w:pPr>
      <w:r>
        <w:rPr>
          <w:rFonts w:hint="eastAsia" w:ascii="宋体" w:hAnsi="宋体" w:cs="宋体"/>
          <w:b/>
          <w:bCs/>
          <w:color w:val="auto"/>
          <w:sz w:val="32"/>
          <w:szCs w:val="32"/>
          <w:highlight w:val="none"/>
        </w:rPr>
        <w:t>投标分项报价表</w:t>
      </w:r>
    </w:p>
    <w:p w14:paraId="162ECCE6">
      <w:pPr>
        <w:autoSpaceDE w:val="0"/>
        <w:autoSpaceDN w:val="0"/>
        <w:adjustRightInd w:val="0"/>
        <w:spacing w:line="400" w:lineRule="exact"/>
        <w:rPr>
          <w:rFonts w:ascii="宋体" w:hAnsi="宋体" w:cs="宋体"/>
          <w:color w:val="auto"/>
          <w:sz w:val="22"/>
          <w:szCs w:val="22"/>
          <w:highlight w:val="none"/>
          <w:lang w:val="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u w:val="single"/>
        </w:rPr>
        <w:t xml:space="preserve"> 便携式超声、麻醉工作站等 </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 xml:space="preserve">          </w:t>
      </w:r>
    </w:p>
    <w:p w14:paraId="1C774AEE">
      <w:pPr>
        <w:autoSpaceDE w:val="0"/>
        <w:autoSpaceDN w:val="0"/>
        <w:adjustRightInd w:val="0"/>
        <w:spacing w:line="400" w:lineRule="exact"/>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采购编号：</w:t>
      </w:r>
      <w:r>
        <w:rPr>
          <w:rFonts w:hint="eastAsia" w:ascii="宋体" w:hAnsi="宋体" w:cs="宋体"/>
          <w:color w:val="auto"/>
          <w:sz w:val="22"/>
          <w:szCs w:val="22"/>
          <w:highlight w:val="none"/>
          <w:u w:val="single"/>
          <w:lang w:eastAsia="zh-CN"/>
        </w:rPr>
        <w:t xml:space="preserve">TSCG202511005 </w:t>
      </w:r>
      <w:r>
        <w:rPr>
          <w:rFonts w:hint="eastAsia" w:ascii="宋体" w:hAnsi="宋体" w:cs="宋体"/>
          <w:color w:val="auto"/>
          <w:sz w:val="22"/>
          <w:szCs w:val="22"/>
          <w:highlight w:val="none"/>
          <w:lang w:val="zh-CN"/>
        </w:rPr>
        <w:t xml:space="preserve">     </w:t>
      </w:r>
    </w:p>
    <w:p w14:paraId="278248DB">
      <w:pPr>
        <w:autoSpaceDE w:val="0"/>
        <w:autoSpaceDN w:val="0"/>
        <w:adjustRightInd w:val="0"/>
        <w:spacing w:line="400" w:lineRule="exact"/>
        <w:rPr>
          <w:rFonts w:ascii="宋体" w:hAnsi="宋体" w:cs="宋体"/>
          <w:color w:val="auto"/>
          <w:sz w:val="22"/>
          <w:szCs w:val="22"/>
          <w:highlight w:val="none"/>
          <w:u w:val="single"/>
        </w:rPr>
      </w:pPr>
      <w:r>
        <w:rPr>
          <w:rFonts w:hint="eastAsia" w:ascii="宋体" w:hAnsi="宋体" w:cs="宋体"/>
          <w:color w:val="auto"/>
          <w:sz w:val="22"/>
          <w:szCs w:val="22"/>
          <w:highlight w:val="none"/>
        </w:rPr>
        <w:t>价格单位：</w:t>
      </w:r>
      <w:r>
        <w:rPr>
          <w:rFonts w:hint="eastAsia" w:ascii="宋体" w:hAnsi="宋体" w:cs="宋体"/>
          <w:color w:val="auto"/>
          <w:sz w:val="22"/>
          <w:szCs w:val="22"/>
          <w:highlight w:val="none"/>
          <w:u w:val="single"/>
        </w:rPr>
        <w:t>元人民币</w:t>
      </w:r>
    </w:p>
    <w:tbl>
      <w:tblPr>
        <w:tblStyle w:val="32"/>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7BEC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4C31BC78">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序号</w:t>
            </w:r>
          </w:p>
        </w:tc>
        <w:tc>
          <w:tcPr>
            <w:tcW w:w="1310" w:type="dxa"/>
            <w:vAlign w:val="center"/>
          </w:tcPr>
          <w:p w14:paraId="2B18294D">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名称</w:t>
            </w:r>
          </w:p>
        </w:tc>
        <w:tc>
          <w:tcPr>
            <w:tcW w:w="960" w:type="dxa"/>
            <w:vAlign w:val="center"/>
          </w:tcPr>
          <w:p w14:paraId="58F5436A">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型号</w:t>
            </w:r>
          </w:p>
        </w:tc>
        <w:tc>
          <w:tcPr>
            <w:tcW w:w="1120" w:type="dxa"/>
            <w:vAlign w:val="center"/>
          </w:tcPr>
          <w:p w14:paraId="54282E8B">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品牌、产地</w:t>
            </w:r>
          </w:p>
        </w:tc>
        <w:tc>
          <w:tcPr>
            <w:tcW w:w="1300" w:type="dxa"/>
            <w:vAlign w:val="center"/>
          </w:tcPr>
          <w:p w14:paraId="248E8010">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主要规格</w:t>
            </w:r>
          </w:p>
        </w:tc>
        <w:tc>
          <w:tcPr>
            <w:tcW w:w="837" w:type="dxa"/>
            <w:vAlign w:val="center"/>
          </w:tcPr>
          <w:p w14:paraId="09D39911">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数量</w:t>
            </w:r>
          </w:p>
        </w:tc>
        <w:tc>
          <w:tcPr>
            <w:tcW w:w="837" w:type="dxa"/>
            <w:vAlign w:val="center"/>
          </w:tcPr>
          <w:p w14:paraId="15A3DDF2">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单位</w:t>
            </w:r>
          </w:p>
        </w:tc>
        <w:tc>
          <w:tcPr>
            <w:tcW w:w="837" w:type="dxa"/>
            <w:vAlign w:val="center"/>
          </w:tcPr>
          <w:p w14:paraId="4A864C4E">
            <w:pPr>
              <w:ind w:right="-11"/>
              <w:jc w:val="center"/>
              <w:rPr>
                <w:rFonts w:ascii="宋体" w:hAnsi="宋体" w:cs="宋体"/>
                <w:color w:val="auto"/>
                <w:sz w:val="22"/>
                <w:szCs w:val="22"/>
                <w:highlight w:val="none"/>
              </w:rPr>
            </w:pPr>
            <w:r>
              <w:rPr>
                <w:rFonts w:hint="eastAsia" w:ascii="宋体" w:hAnsi="宋体" w:cs="宋体"/>
                <w:bCs/>
                <w:color w:val="auto"/>
                <w:sz w:val="22"/>
                <w:szCs w:val="22"/>
                <w:highlight w:val="none"/>
              </w:rPr>
              <w:t>单价</w:t>
            </w:r>
          </w:p>
        </w:tc>
        <w:tc>
          <w:tcPr>
            <w:tcW w:w="839" w:type="dxa"/>
            <w:vAlign w:val="center"/>
          </w:tcPr>
          <w:p w14:paraId="1D2A1971">
            <w:pPr>
              <w:ind w:right="-11"/>
              <w:jc w:val="center"/>
              <w:rPr>
                <w:rFonts w:ascii="宋体" w:hAnsi="宋体" w:cs="宋体"/>
                <w:color w:val="auto"/>
                <w:sz w:val="22"/>
                <w:szCs w:val="22"/>
                <w:highlight w:val="none"/>
              </w:rPr>
            </w:pPr>
            <w:r>
              <w:rPr>
                <w:rFonts w:hint="eastAsia" w:ascii="宋体" w:hAnsi="宋体" w:cs="宋体"/>
                <w:bCs/>
                <w:color w:val="auto"/>
                <w:sz w:val="22"/>
                <w:szCs w:val="22"/>
                <w:highlight w:val="none"/>
              </w:rPr>
              <w:t>总价</w:t>
            </w:r>
          </w:p>
        </w:tc>
        <w:tc>
          <w:tcPr>
            <w:tcW w:w="830" w:type="dxa"/>
            <w:vAlign w:val="center"/>
          </w:tcPr>
          <w:p w14:paraId="731EB401">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备注</w:t>
            </w:r>
          </w:p>
        </w:tc>
      </w:tr>
      <w:tr w14:paraId="4BD1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83CE016">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310" w:type="dxa"/>
            <w:vAlign w:val="center"/>
          </w:tcPr>
          <w:p w14:paraId="126D6FA8">
            <w:pPr>
              <w:rPr>
                <w:rFonts w:ascii="宋体" w:hAnsi="宋体" w:cs="宋体"/>
                <w:color w:val="auto"/>
                <w:sz w:val="22"/>
                <w:szCs w:val="22"/>
                <w:highlight w:val="none"/>
              </w:rPr>
            </w:pPr>
          </w:p>
        </w:tc>
        <w:tc>
          <w:tcPr>
            <w:tcW w:w="960" w:type="dxa"/>
            <w:vAlign w:val="center"/>
          </w:tcPr>
          <w:p w14:paraId="0B613456">
            <w:pPr>
              <w:jc w:val="center"/>
              <w:rPr>
                <w:rFonts w:ascii="宋体" w:hAnsi="宋体" w:cs="宋体"/>
                <w:color w:val="auto"/>
                <w:sz w:val="22"/>
                <w:szCs w:val="22"/>
                <w:highlight w:val="none"/>
              </w:rPr>
            </w:pPr>
          </w:p>
        </w:tc>
        <w:tc>
          <w:tcPr>
            <w:tcW w:w="1120" w:type="dxa"/>
            <w:vAlign w:val="center"/>
          </w:tcPr>
          <w:p w14:paraId="2B21727A">
            <w:pPr>
              <w:jc w:val="center"/>
              <w:rPr>
                <w:rFonts w:ascii="宋体" w:hAnsi="宋体" w:cs="宋体"/>
                <w:color w:val="auto"/>
                <w:sz w:val="22"/>
                <w:szCs w:val="22"/>
                <w:highlight w:val="none"/>
              </w:rPr>
            </w:pPr>
          </w:p>
        </w:tc>
        <w:tc>
          <w:tcPr>
            <w:tcW w:w="1300" w:type="dxa"/>
            <w:vAlign w:val="center"/>
          </w:tcPr>
          <w:p w14:paraId="3D3184BE">
            <w:pPr>
              <w:jc w:val="center"/>
              <w:rPr>
                <w:rFonts w:ascii="宋体" w:hAnsi="宋体" w:cs="宋体"/>
                <w:color w:val="auto"/>
                <w:sz w:val="22"/>
                <w:szCs w:val="22"/>
                <w:highlight w:val="none"/>
              </w:rPr>
            </w:pPr>
          </w:p>
        </w:tc>
        <w:tc>
          <w:tcPr>
            <w:tcW w:w="837" w:type="dxa"/>
            <w:vAlign w:val="center"/>
          </w:tcPr>
          <w:p w14:paraId="2FBE3F5F">
            <w:pPr>
              <w:ind w:right="-11"/>
              <w:jc w:val="center"/>
              <w:rPr>
                <w:rFonts w:ascii="宋体" w:hAnsi="宋体" w:cs="宋体"/>
                <w:color w:val="auto"/>
                <w:sz w:val="22"/>
                <w:szCs w:val="22"/>
                <w:highlight w:val="none"/>
              </w:rPr>
            </w:pPr>
          </w:p>
        </w:tc>
        <w:tc>
          <w:tcPr>
            <w:tcW w:w="837" w:type="dxa"/>
            <w:vAlign w:val="center"/>
          </w:tcPr>
          <w:p w14:paraId="3091EAE4">
            <w:pPr>
              <w:jc w:val="center"/>
              <w:rPr>
                <w:rFonts w:ascii="宋体" w:hAnsi="宋体" w:cs="宋体"/>
                <w:color w:val="auto"/>
                <w:sz w:val="22"/>
                <w:szCs w:val="22"/>
                <w:highlight w:val="none"/>
              </w:rPr>
            </w:pPr>
          </w:p>
        </w:tc>
        <w:tc>
          <w:tcPr>
            <w:tcW w:w="837" w:type="dxa"/>
            <w:vAlign w:val="center"/>
          </w:tcPr>
          <w:p w14:paraId="68ECFC53">
            <w:pPr>
              <w:ind w:right="-11"/>
              <w:jc w:val="center"/>
              <w:rPr>
                <w:rFonts w:ascii="宋体" w:hAnsi="宋体" w:cs="宋体"/>
                <w:color w:val="auto"/>
                <w:sz w:val="22"/>
                <w:szCs w:val="22"/>
                <w:highlight w:val="none"/>
              </w:rPr>
            </w:pPr>
          </w:p>
        </w:tc>
        <w:tc>
          <w:tcPr>
            <w:tcW w:w="839" w:type="dxa"/>
            <w:vAlign w:val="center"/>
          </w:tcPr>
          <w:p w14:paraId="6698F1A3">
            <w:pPr>
              <w:ind w:right="-11"/>
              <w:jc w:val="center"/>
              <w:rPr>
                <w:rFonts w:ascii="宋体" w:hAnsi="宋体" w:cs="宋体"/>
                <w:color w:val="auto"/>
                <w:sz w:val="22"/>
                <w:szCs w:val="22"/>
                <w:highlight w:val="none"/>
              </w:rPr>
            </w:pPr>
          </w:p>
        </w:tc>
        <w:tc>
          <w:tcPr>
            <w:tcW w:w="830" w:type="dxa"/>
            <w:vAlign w:val="center"/>
          </w:tcPr>
          <w:p w14:paraId="147AF33A">
            <w:pPr>
              <w:ind w:right="-11"/>
              <w:jc w:val="center"/>
              <w:rPr>
                <w:rFonts w:ascii="宋体" w:hAnsi="宋体" w:cs="宋体"/>
                <w:color w:val="auto"/>
                <w:sz w:val="22"/>
                <w:szCs w:val="22"/>
                <w:highlight w:val="none"/>
              </w:rPr>
            </w:pPr>
          </w:p>
        </w:tc>
      </w:tr>
      <w:tr w14:paraId="2165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7B17462">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310" w:type="dxa"/>
            <w:vAlign w:val="center"/>
          </w:tcPr>
          <w:p w14:paraId="7DCAA439">
            <w:pPr>
              <w:rPr>
                <w:rFonts w:ascii="宋体" w:hAnsi="宋体" w:cs="宋体"/>
                <w:color w:val="auto"/>
                <w:sz w:val="22"/>
                <w:szCs w:val="22"/>
                <w:highlight w:val="none"/>
              </w:rPr>
            </w:pPr>
          </w:p>
        </w:tc>
        <w:tc>
          <w:tcPr>
            <w:tcW w:w="960" w:type="dxa"/>
            <w:vAlign w:val="center"/>
          </w:tcPr>
          <w:p w14:paraId="620B09A1">
            <w:pPr>
              <w:jc w:val="center"/>
              <w:rPr>
                <w:rFonts w:ascii="宋体" w:hAnsi="宋体" w:cs="宋体"/>
                <w:color w:val="auto"/>
                <w:sz w:val="22"/>
                <w:szCs w:val="22"/>
                <w:highlight w:val="none"/>
              </w:rPr>
            </w:pPr>
          </w:p>
        </w:tc>
        <w:tc>
          <w:tcPr>
            <w:tcW w:w="1120" w:type="dxa"/>
            <w:vAlign w:val="center"/>
          </w:tcPr>
          <w:p w14:paraId="5C7D471E">
            <w:pPr>
              <w:jc w:val="center"/>
              <w:rPr>
                <w:rFonts w:ascii="宋体" w:hAnsi="宋体" w:cs="宋体"/>
                <w:color w:val="auto"/>
                <w:sz w:val="22"/>
                <w:szCs w:val="22"/>
                <w:highlight w:val="none"/>
              </w:rPr>
            </w:pPr>
          </w:p>
        </w:tc>
        <w:tc>
          <w:tcPr>
            <w:tcW w:w="1300" w:type="dxa"/>
            <w:vAlign w:val="center"/>
          </w:tcPr>
          <w:p w14:paraId="4D1E3DBD">
            <w:pPr>
              <w:jc w:val="center"/>
              <w:rPr>
                <w:rFonts w:ascii="宋体" w:hAnsi="宋体" w:cs="宋体"/>
                <w:color w:val="auto"/>
                <w:sz w:val="22"/>
                <w:szCs w:val="22"/>
                <w:highlight w:val="none"/>
              </w:rPr>
            </w:pPr>
          </w:p>
        </w:tc>
        <w:tc>
          <w:tcPr>
            <w:tcW w:w="837" w:type="dxa"/>
            <w:vAlign w:val="center"/>
          </w:tcPr>
          <w:p w14:paraId="1C334E75">
            <w:pPr>
              <w:ind w:right="-11"/>
              <w:jc w:val="center"/>
              <w:rPr>
                <w:rFonts w:ascii="宋体" w:hAnsi="宋体" w:cs="宋体"/>
                <w:color w:val="auto"/>
                <w:sz w:val="22"/>
                <w:szCs w:val="22"/>
                <w:highlight w:val="none"/>
              </w:rPr>
            </w:pPr>
          </w:p>
        </w:tc>
        <w:tc>
          <w:tcPr>
            <w:tcW w:w="837" w:type="dxa"/>
            <w:vAlign w:val="center"/>
          </w:tcPr>
          <w:p w14:paraId="7755AD53">
            <w:pPr>
              <w:jc w:val="center"/>
              <w:rPr>
                <w:rFonts w:ascii="宋体" w:hAnsi="宋体" w:cs="宋体"/>
                <w:color w:val="auto"/>
                <w:sz w:val="22"/>
                <w:szCs w:val="22"/>
                <w:highlight w:val="none"/>
              </w:rPr>
            </w:pPr>
          </w:p>
        </w:tc>
        <w:tc>
          <w:tcPr>
            <w:tcW w:w="837" w:type="dxa"/>
            <w:vAlign w:val="center"/>
          </w:tcPr>
          <w:p w14:paraId="2CE74CA7">
            <w:pPr>
              <w:ind w:right="-11"/>
              <w:jc w:val="center"/>
              <w:rPr>
                <w:rFonts w:ascii="宋体" w:hAnsi="宋体" w:cs="宋体"/>
                <w:color w:val="auto"/>
                <w:sz w:val="22"/>
                <w:szCs w:val="22"/>
                <w:highlight w:val="none"/>
              </w:rPr>
            </w:pPr>
          </w:p>
        </w:tc>
        <w:tc>
          <w:tcPr>
            <w:tcW w:w="839" w:type="dxa"/>
            <w:vAlign w:val="center"/>
          </w:tcPr>
          <w:p w14:paraId="4074741E">
            <w:pPr>
              <w:ind w:right="-11"/>
              <w:jc w:val="center"/>
              <w:rPr>
                <w:rFonts w:ascii="宋体" w:hAnsi="宋体" w:cs="宋体"/>
                <w:color w:val="auto"/>
                <w:sz w:val="22"/>
                <w:szCs w:val="22"/>
                <w:highlight w:val="none"/>
              </w:rPr>
            </w:pPr>
          </w:p>
        </w:tc>
        <w:tc>
          <w:tcPr>
            <w:tcW w:w="830" w:type="dxa"/>
            <w:vAlign w:val="center"/>
          </w:tcPr>
          <w:p w14:paraId="4E976762">
            <w:pPr>
              <w:ind w:right="-11"/>
              <w:jc w:val="center"/>
              <w:rPr>
                <w:rFonts w:ascii="宋体" w:hAnsi="宋体" w:cs="宋体"/>
                <w:color w:val="auto"/>
                <w:sz w:val="22"/>
                <w:szCs w:val="22"/>
                <w:highlight w:val="none"/>
              </w:rPr>
            </w:pPr>
          </w:p>
        </w:tc>
      </w:tr>
      <w:tr w14:paraId="224E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F7C236E">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310" w:type="dxa"/>
            <w:vAlign w:val="center"/>
          </w:tcPr>
          <w:p w14:paraId="38680981">
            <w:pPr>
              <w:rPr>
                <w:rFonts w:ascii="宋体" w:hAnsi="宋体" w:cs="宋体"/>
                <w:color w:val="auto"/>
                <w:sz w:val="22"/>
                <w:szCs w:val="22"/>
                <w:highlight w:val="none"/>
              </w:rPr>
            </w:pPr>
          </w:p>
        </w:tc>
        <w:tc>
          <w:tcPr>
            <w:tcW w:w="960" w:type="dxa"/>
            <w:vAlign w:val="center"/>
          </w:tcPr>
          <w:p w14:paraId="0A416BD7">
            <w:pPr>
              <w:jc w:val="center"/>
              <w:rPr>
                <w:rFonts w:ascii="宋体" w:hAnsi="宋体" w:cs="宋体"/>
                <w:color w:val="auto"/>
                <w:sz w:val="22"/>
                <w:szCs w:val="22"/>
                <w:highlight w:val="none"/>
              </w:rPr>
            </w:pPr>
          </w:p>
        </w:tc>
        <w:tc>
          <w:tcPr>
            <w:tcW w:w="1120" w:type="dxa"/>
            <w:vAlign w:val="center"/>
          </w:tcPr>
          <w:p w14:paraId="0AD2BFA5">
            <w:pPr>
              <w:jc w:val="center"/>
              <w:rPr>
                <w:rFonts w:ascii="宋体" w:hAnsi="宋体" w:cs="宋体"/>
                <w:color w:val="auto"/>
                <w:sz w:val="22"/>
                <w:szCs w:val="22"/>
                <w:highlight w:val="none"/>
              </w:rPr>
            </w:pPr>
          </w:p>
        </w:tc>
        <w:tc>
          <w:tcPr>
            <w:tcW w:w="1300" w:type="dxa"/>
            <w:vAlign w:val="center"/>
          </w:tcPr>
          <w:p w14:paraId="520EDAAE">
            <w:pPr>
              <w:jc w:val="center"/>
              <w:rPr>
                <w:rFonts w:ascii="宋体" w:hAnsi="宋体" w:cs="宋体"/>
                <w:color w:val="auto"/>
                <w:sz w:val="22"/>
                <w:szCs w:val="22"/>
                <w:highlight w:val="none"/>
              </w:rPr>
            </w:pPr>
          </w:p>
        </w:tc>
        <w:tc>
          <w:tcPr>
            <w:tcW w:w="837" w:type="dxa"/>
            <w:vAlign w:val="center"/>
          </w:tcPr>
          <w:p w14:paraId="1EE838D4">
            <w:pPr>
              <w:ind w:right="-11"/>
              <w:jc w:val="center"/>
              <w:rPr>
                <w:rFonts w:ascii="宋体" w:hAnsi="宋体" w:cs="宋体"/>
                <w:color w:val="auto"/>
                <w:sz w:val="22"/>
                <w:szCs w:val="22"/>
                <w:highlight w:val="none"/>
              </w:rPr>
            </w:pPr>
          </w:p>
        </w:tc>
        <w:tc>
          <w:tcPr>
            <w:tcW w:w="837" w:type="dxa"/>
            <w:vAlign w:val="center"/>
          </w:tcPr>
          <w:p w14:paraId="4DD8DAE8">
            <w:pPr>
              <w:jc w:val="center"/>
              <w:rPr>
                <w:rFonts w:ascii="宋体" w:hAnsi="宋体" w:cs="宋体"/>
                <w:color w:val="auto"/>
                <w:sz w:val="22"/>
                <w:szCs w:val="22"/>
                <w:highlight w:val="none"/>
              </w:rPr>
            </w:pPr>
          </w:p>
        </w:tc>
        <w:tc>
          <w:tcPr>
            <w:tcW w:w="837" w:type="dxa"/>
            <w:vAlign w:val="center"/>
          </w:tcPr>
          <w:p w14:paraId="1352D179">
            <w:pPr>
              <w:ind w:right="-11"/>
              <w:jc w:val="center"/>
              <w:rPr>
                <w:rFonts w:ascii="宋体" w:hAnsi="宋体" w:cs="宋体"/>
                <w:color w:val="auto"/>
                <w:sz w:val="22"/>
                <w:szCs w:val="22"/>
                <w:highlight w:val="none"/>
              </w:rPr>
            </w:pPr>
          </w:p>
        </w:tc>
        <w:tc>
          <w:tcPr>
            <w:tcW w:w="839" w:type="dxa"/>
            <w:vAlign w:val="center"/>
          </w:tcPr>
          <w:p w14:paraId="6B3AC49A">
            <w:pPr>
              <w:ind w:right="-11"/>
              <w:jc w:val="center"/>
              <w:rPr>
                <w:rFonts w:ascii="宋体" w:hAnsi="宋体" w:cs="宋体"/>
                <w:color w:val="auto"/>
                <w:sz w:val="22"/>
                <w:szCs w:val="22"/>
                <w:highlight w:val="none"/>
              </w:rPr>
            </w:pPr>
          </w:p>
        </w:tc>
        <w:tc>
          <w:tcPr>
            <w:tcW w:w="830" w:type="dxa"/>
            <w:vAlign w:val="center"/>
          </w:tcPr>
          <w:p w14:paraId="48954A3F">
            <w:pPr>
              <w:ind w:right="-11"/>
              <w:jc w:val="center"/>
              <w:rPr>
                <w:rFonts w:ascii="宋体" w:hAnsi="宋体" w:cs="宋体"/>
                <w:color w:val="auto"/>
                <w:sz w:val="22"/>
                <w:szCs w:val="22"/>
                <w:highlight w:val="none"/>
              </w:rPr>
            </w:pPr>
          </w:p>
        </w:tc>
      </w:tr>
      <w:tr w14:paraId="5D42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B5EB585">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6B6683E8">
            <w:pPr>
              <w:rPr>
                <w:rFonts w:ascii="宋体" w:hAnsi="宋体" w:cs="宋体"/>
                <w:color w:val="auto"/>
                <w:sz w:val="22"/>
                <w:szCs w:val="22"/>
                <w:highlight w:val="none"/>
              </w:rPr>
            </w:pPr>
          </w:p>
        </w:tc>
        <w:tc>
          <w:tcPr>
            <w:tcW w:w="960" w:type="dxa"/>
            <w:vAlign w:val="center"/>
          </w:tcPr>
          <w:p w14:paraId="56DF5E41">
            <w:pPr>
              <w:jc w:val="center"/>
              <w:rPr>
                <w:rFonts w:ascii="宋体" w:hAnsi="宋体" w:cs="宋体"/>
                <w:color w:val="auto"/>
                <w:sz w:val="22"/>
                <w:szCs w:val="22"/>
                <w:highlight w:val="none"/>
              </w:rPr>
            </w:pPr>
          </w:p>
        </w:tc>
        <w:tc>
          <w:tcPr>
            <w:tcW w:w="1120" w:type="dxa"/>
            <w:vAlign w:val="center"/>
          </w:tcPr>
          <w:p w14:paraId="522FD0EF">
            <w:pPr>
              <w:jc w:val="center"/>
              <w:rPr>
                <w:rFonts w:ascii="宋体" w:hAnsi="宋体" w:cs="宋体"/>
                <w:color w:val="auto"/>
                <w:sz w:val="22"/>
                <w:szCs w:val="22"/>
                <w:highlight w:val="none"/>
              </w:rPr>
            </w:pPr>
          </w:p>
        </w:tc>
        <w:tc>
          <w:tcPr>
            <w:tcW w:w="1300" w:type="dxa"/>
            <w:vAlign w:val="center"/>
          </w:tcPr>
          <w:p w14:paraId="0F6F3B31">
            <w:pPr>
              <w:jc w:val="center"/>
              <w:rPr>
                <w:rFonts w:ascii="宋体" w:hAnsi="宋体" w:cs="宋体"/>
                <w:color w:val="auto"/>
                <w:sz w:val="22"/>
                <w:szCs w:val="22"/>
                <w:highlight w:val="none"/>
              </w:rPr>
            </w:pPr>
          </w:p>
        </w:tc>
        <w:tc>
          <w:tcPr>
            <w:tcW w:w="837" w:type="dxa"/>
            <w:vAlign w:val="center"/>
          </w:tcPr>
          <w:p w14:paraId="393E7C86">
            <w:pPr>
              <w:ind w:right="-11"/>
              <w:jc w:val="center"/>
              <w:rPr>
                <w:rFonts w:ascii="宋体" w:hAnsi="宋体" w:cs="宋体"/>
                <w:color w:val="auto"/>
                <w:sz w:val="22"/>
                <w:szCs w:val="22"/>
                <w:highlight w:val="none"/>
              </w:rPr>
            </w:pPr>
          </w:p>
        </w:tc>
        <w:tc>
          <w:tcPr>
            <w:tcW w:w="837" w:type="dxa"/>
            <w:vAlign w:val="center"/>
          </w:tcPr>
          <w:p w14:paraId="2D3C0396">
            <w:pPr>
              <w:rPr>
                <w:rFonts w:ascii="宋体" w:hAnsi="宋体" w:cs="宋体"/>
                <w:color w:val="auto"/>
                <w:sz w:val="22"/>
                <w:szCs w:val="22"/>
                <w:highlight w:val="none"/>
              </w:rPr>
            </w:pPr>
          </w:p>
        </w:tc>
        <w:tc>
          <w:tcPr>
            <w:tcW w:w="837" w:type="dxa"/>
            <w:vAlign w:val="center"/>
          </w:tcPr>
          <w:p w14:paraId="72626256">
            <w:pPr>
              <w:ind w:right="-11"/>
              <w:jc w:val="center"/>
              <w:rPr>
                <w:rFonts w:ascii="宋体" w:hAnsi="宋体" w:cs="宋体"/>
                <w:color w:val="auto"/>
                <w:sz w:val="22"/>
                <w:szCs w:val="22"/>
                <w:highlight w:val="none"/>
              </w:rPr>
            </w:pPr>
          </w:p>
        </w:tc>
        <w:tc>
          <w:tcPr>
            <w:tcW w:w="839" w:type="dxa"/>
            <w:vAlign w:val="center"/>
          </w:tcPr>
          <w:p w14:paraId="43637D12">
            <w:pPr>
              <w:ind w:right="-11"/>
              <w:jc w:val="center"/>
              <w:rPr>
                <w:rFonts w:ascii="宋体" w:hAnsi="宋体" w:cs="宋体"/>
                <w:color w:val="auto"/>
                <w:sz w:val="22"/>
                <w:szCs w:val="22"/>
                <w:highlight w:val="none"/>
              </w:rPr>
            </w:pPr>
          </w:p>
        </w:tc>
        <w:tc>
          <w:tcPr>
            <w:tcW w:w="830" w:type="dxa"/>
            <w:vAlign w:val="center"/>
          </w:tcPr>
          <w:p w14:paraId="5AC1F0E2">
            <w:pPr>
              <w:ind w:right="-11"/>
              <w:jc w:val="center"/>
              <w:rPr>
                <w:rFonts w:ascii="宋体" w:hAnsi="宋体" w:cs="宋体"/>
                <w:color w:val="auto"/>
                <w:sz w:val="22"/>
                <w:szCs w:val="22"/>
                <w:highlight w:val="none"/>
              </w:rPr>
            </w:pPr>
          </w:p>
        </w:tc>
      </w:tr>
      <w:tr w14:paraId="62D8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A250198">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28BB0255">
            <w:pPr>
              <w:rPr>
                <w:rFonts w:ascii="宋体" w:hAnsi="宋体" w:cs="宋体"/>
                <w:color w:val="auto"/>
                <w:sz w:val="22"/>
                <w:szCs w:val="22"/>
                <w:highlight w:val="none"/>
              </w:rPr>
            </w:pPr>
          </w:p>
        </w:tc>
        <w:tc>
          <w:tcPr>
            <w:tcW w:w="960" w:type="dxa"/>
            <w:vAlign w:val="center"/>
          </w:tcPr>
          <w:p w14:paraId="29552FC0">
            <w:pPr>
              <w:jc w:val="center"/>
              <w:rPr>
                <w:rFonts w:ascii="宋体" w:hAnsi="宋体" w:cs="宋体"/>
                <w:color w:val="auto"/>
                <w:sz w:val="22"/>
                <w:szCs w:val="22"/>
                <w:highlight w:val="none"/>
              </w:rPr>
            </w:pPr>
          </w:p>
        </w:tc>
        <w:tc>
          <w:tcPr>
            <w:tcW w:w="1120" w:type="dxa"/>
            <w:vAlign w:val="center"/>
          </w:tcPr>
          <w:p w14:paraId="4415AD6B">
            <w:pPr>
              <w:jc w:val="center"/>
              <w:rPr>
                <w:rFonts w:ascii="宋体" w:hAnsi="宋体" w:cs="宋体"/>
                <w:color w:val="auto"/>
                <w:sz w:val="22"/>
                <w:szCs w:val="22"/>
                <w:highlight w:val="none"/>
              </w:rPr>
            </w:pPr>
          </w:p>
        </w:tc>
        <w:tc>
          <w:tcPr>
            <w:tcW w:w="1300" w:type="dxa"/>
            <w:vAlign w:val="center"/>
          </w:tcPr>
          <w:p w14:paraId="0EAAC574">
            <w:pPr>
              <w:jc w:val="center"/>
              <w:rPr>
                <w:rFonts w:ascii="宋体" w:hAnsi="宋体" w:cs="宋体"/>
                <w:color w:val="auto"/>
                <w:sz w:val="22"/>
                <w:szCs w:val="22"/>
                <w:highlight w:val="none"/>
              </w:rPr>
            </w:pPr>
          </w:p>
        </w:tc>
        <w:tc>
          <w:tcPr>
            <w:tcW w:w="837" w:type="dxa"/>
            <w:vAlign w:val="center"/>
          </w:tcPr>
          <w:p w14:paraId="4865B5FA">
            <w:pPr>
              <w:ind w:right="-11"/>
              <w:jc w:val="center"/>
              <w:rPr>
                <w:rFonts w:ascii="宋体" w:hAnsi="宋体" w:cs="宋体"/>
                <w:color w:val="auto"/>
                <w:sz w:val="22"/>
                <w:szCs w:val="22"/>
                <w:highlight w:val="none"/>
              </w:rPr>
            </w:pPr>
          </w:p>
        </w:tc>
        <w:tc>
          <w:tcPr>
            <w:tcW w:w="837" w:type="dxa"/>
            <w:vAlign w:val="center"/>
          </w:tcPr>
          <w:p w14:paraId="01031290">
            <w:pPr>
              <w:jc w:val="center"/>
              <w:rPr>
                <w:rFonts w:ascii="宋体" w:hAnsi="宋体" w:cs="宋体"/>
                <w:color w:val="auto"/>
                <w:sz w:val="22"/>
                <w:szCs w:val="22"/>
                <w:highlight w:val="none"/>
              </w:rPr>
            </w:pPr>
          </w:p>
        </w:tc>
        <w:tc>
          <w:tcPr>
            <w:tcW w:w="837" w:type="dxa"/>
            <w:vAlign w:val="center"/>
          </w:tcPr>
          <w:p w14:paraId="6DEBD083">
            <w:pPr>
              <w:ind w:right="-11"/>
              <w:jc w:val="center"/>
              <w:rPr>
                <w:rFonts w:ascii="宋体" w:hAnsi="宋体" w:cs="宋体"/>
                <w:color w:val="auto"/>
                <w:sz w:val="22"/>
                <w:szCs w:val="22"/>
                <w:highlight w:val="none"/>
              </w:rPr>
            </w:pPr>
          </w:p>
        </w:tc>
        <w:tc>
          <w:tcPr>
            <w:tcW w:w="839" w:type="dxa"/>
            <w:vAlign w:val="center"/>
          </w:tcPr>
          <w:p w14:paraId="0AAB2642">
            <w:pPr>
              <w:ind w:right="-11"/>
              <w:jc w:val="center"/>
              <w:rPr>
                <w:rFonts w:ascii="宋体" w:hAnsi="宋体" w:cs="宋体"/>
                <w:color w:val="auto"/>
                <w:sz w:val="22"/>
                <w:szCs w:val="22"/>
                <w:highlight w:val="none"/>
              </w:rPr>
            </w:pPr>
          </w:p>
        </w:tc>
        <w:tc>
          <w:tcPr>
            <w:tcW w:w="830" w:type="dxa"/>
            <w:vAlign w:val="center"/>
          </w:tcPr>
          <w:p w14:paraId="62E769F2">
            <w:pPr>
              <w:ind w:right="-11"/>
              <w:jc w:val="center"/>
              <w:rPr>
                <w:rFonts w:ascii="宋体" w:hAnsi="宋体" w:cs="宋体"/>
                <w:color w:val="auto"/>
                <w:sz w:val="22"/>
                <w:szCs w:val="22"/>
                <w:highlight w:val="none"/>
              </w:rPr>
            </w:pPr>
          </w:p>
        </w:tc>
      </w:tr>
      <w:tr w14:paraId="7580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176AA65">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6073A308">
            <w:pPr>
              <w:rPr>
                <w:rFonts w:ascii="宋体" w:hAnsi="宋体" w:cs="宋体"/>
                <w:color w:val="auto"/>
                <w:sz w:val="22"/>
                <w:szCs w:val="22"/>
                <w:highlight w:val="none"/>
              </w:rPr>
            </w:pPr>
          </w:p>
        </w:tc>
        <w:tc>
          <w:tcPr>
            <w:tcW w:w="960" w:type="dxa"/>
            <w:vAlign w:val="center"/>
          </w:tcPr>
          <w:p w14:paraId="4F42488A">
            <w:pPr>
              <w:jc w:val="center"/>
              <w:rPr>
                <w:rFonts w:ascii="宋体" w:hAnsi="宋体" w:cs="宋体"/>
                <w:color w:val="auto"/>
                <w:sz w:val="22"/>
                <w:szCs w:val="22"/>
                <w:highlight w:val="none"/>
              </w:rPr>
            </w:pPr>
          </w:p>
        </w:tc>
        <w:tc>
          <w:tcPr>
            <w:tcW w:w="1120" w:type="dxa"/>
            <w:vAlign w:val="center"/>
          </w:tcPr>
          <w:p w14:paraId="3CE5BFC8">
            <w:pPr>
              <w:jc w:val="center"/>
              <w:rPr>
                <w:rFonts w:ascii="宋体" w:hAnsi="宋体" w:cs="宋体"/>
                <w:color w:val="auto"/>
                <w:sz w:val="22"/>
                <w:szCs w:val="22"/>
                <w:highlight w:val="none"/>
              </w:rPr>
            </w:pPr>
          </w:p>
        </w:tc>
        <w:tc>
          <w:tcPr>
            <w:tcW w:w="1300" w:type="dxa"/>
            <w:vAlign w:val="center"/>
          </w:tcPr>
          <w:p w14:paraId="54FB39D7">
            <w:pPr>
              <w:jc w:val="center"/>
              <w:rPr>
                <w:rFonts w:ascii="宋体" w:hAnsi="宋体" w:cs="宋体"/>
                <w:color w:val="auto"/>
                <w:sz w:val="22"/>
                <w:szCs w:val="22"/>
                <w:highlight w:val="none"/>
              </w:rPr>
            </w:pPr>
          </w:p>
        </w:tc>
        <w:tc>
          <w:tcPr>
            <w:tcW w:w="837" w:type="dxa"/>
            <w:vAlign w:val="center"/>
          </w:tcPr>
          <w:p w14:paraId="44E6D34F">
            <w:pPr>
              <w:ind w:right="-11"/>
              <w:jc w:val="center"/>
              <w:rPr>
                <w:rFonts w:ascii="宋体" w:hAnsi="宋体" w:cs="宋体"/>
                <w:color w:val="auto"/>
                <w:sz w:val="22"/>
                <w:szCs w:val="22"/>
                <w:highlight w:val="none"/>
              </w:rPr>
            </w:pPr>
          </w:p>
        </w:tc>
        <w:tc>
          <w:tcPr>
            <w:tcW w:w="837" w:type="dxa"/>
            <w:vAlign w:val="center"/>
          </w:tcPr>
          <w:p w14:paraId="66454E3F">
            <w:pPr>
              <w:jc w:val="center"/>
              <w:rPr>
                <w:rFonts w:ascii="宋体" w:hAnsi="宋体" w:cs="宋体"/>
                <w:color w:val="auto"/>
                <w:sz w:val="22"/>
                <w:szCs w:val="22"/>
                <w:highlight w:val="none"/>
              </w:rPr>
            </w:pPr>
          </w:p>
        </w:tc>
        <w:tc>
          <w:tcPr>
            <w:tcW w:w="837" w:type="dxa"/>
            <w:vAlign w:val="center"/>
          </w:tcPr>
          <w:p w14:paraId="0BD7AAD8">
            <w:pPr>
              <w:ind w:right="-11"/>
              <w:jc w:val="center"/>
              <w:rPr>
                <w:rFonts w:ascii="宋体" w:hAnsi="宋体" w:cs="宋体"/>
                <w:color w:val="auto"/>
                <w:sz w:val="22"/>
                <w:szCs w:val="22"/>
                <w:highlight w:val="none"/>
              </w:rPr>
            </w:pPr>
          </w:p>
        </w:tc>
        <w:tc>
          <w:tcPr>
            <w:tcW w:w="839" w:type="dxa"/>
            <w:vAlign w:val="center"/>
          </w:tcPr>
          <w:p w14:paraId="6BC1DFC8">
            <w:pPr>
              <w:ind w:right="-11"/>
              <w:jc w:val="center"/>
              <w:rPr>
                <w:rFonts w:ascii="宋体" w:hAnsi="宋体" w:cs="宋体"/>
                <w:color w:val="auto"/>
                <w:sz w:val="22"/>
                <w:szCs w:val="22"/>
                <w:highlight w:val="none"/>
              </w:rPr>
            </w:pPr>
          </w:p>
        </w:tc>
        <w:tc>
          <w:tcPr>
            <w:tcW w:w="830" w:type="dxa"/>
            <w:vAlign w:val="center"/>
          </w:tcPr>
          <w:p w14:paraId="07B2E828">
            <w:pPr>
              <w:ind w:right="-11"/>
              <w:jc w:val="center"/>
              <w:rPr>
                <w:rFonts w:ascii="宋体" w:hAnsi="宋体" w:cs="宋体"/>
                <w:color w:val="auto"/>
                <w:sz w:val="22"/>
                <w:szCs w:val="22"/>
                <w:highlight w:val="none"/>
              </w:rPr>
            </w:pPr>
          </w:p>
        </w:tc>
      </w:tr>
      <w:tr w14:paraId="2ED8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01AEF5C">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545DA1B8">
            <w:pPr>
              <w:rPr>
                <w:rFonts w:ascii="宋体" w:hAnsi="宋体" w:cs="宋体"/>
                <w:color w:val="auto"/>
                <w:sz w:val="22"/>
                <w:szCs w:val="22"/>
                <w:highlight w:val="none"/>
              </w:rPr>
            </w:pPr>
          </w:p>
        </w:tc>
        <w:tc>
          <w:tcPr>
            <w:tcW w:w="960" w:type="dxa"/>
            <w:vAlign w:val="center"/>
          </w:tcPr>
          <w:p w14:paraId="2711EF14">
            <w:pPr>
              <w:jc w:val="center"/>
              <w:rPr>
                <w:rFonts w:ascii="宋体" w:hAnsi="宋体" w:cs="宋体"/>
                <w:color w:val="auto"/>
                <w:sz w:val="22"/>
                <w:szCs w:val="22"/>
                <w:highlight w:val="none"/>
              </w:rPr>
            </w:pPr>
          </w:p>
        </w:tc>
        <w:tc>
          <w:tcPr>
            <w:tcW w:w="1120" w:type="dxa"/>
            <w:vAlign w:val="center"/>
          </w:tcPr>
          <w:p w14:paraId="760DA6EE">
            <w:pPr>
              <w:jc w:val="center"/>
              <w:rPr>
                <w:rFonts w:ascii="宋体" w:hAnsi="宋体" w:cs="宋体"/>
                <w:color w:val="auto"/>
                <w:sz w:val="22"/>
                <w:szCs w:val="22"/>
                <w:highlight w:val="none"/>
              </w:rPr>
            </w:pPr>
          </w:p>
        </w:tc>
        <w:tc>
          <w:tcPr>
            <w:tcW w:w="1300" w:type="dxa"/>
            <w:vAlign w:val="center"/>
          </w:tcPr>
          <w:p w14:paraId="04CA0268">
            <w:pPr>
              <w:jc w:val="center"/>
              <w:rPr>
                <w:rFonts w:ascii="宋体" w:hAnsi="宋体" w:cs="宋体"/>
                <w:color w:val="auto"/>
                <w:sz w:val="22"/>
                <w:szCs w:val="22"/>
                <w:highlight w:val="none"/>
              </w:rPr>
            </w:pPr>
          </w:p>
        </w:tc>
        <w:tc>
          <w:tcPr>
            <w:tcW w:w="837" w:type="dxa"/>
            <w:vAlign w:val="center"/>
          </w:tcPr>
          <w:p w14:paraId="54CB12B1">
            <w:pPr>
              <w:ind w:right="-11"/>
              <w:jc w:val="center"/>
              <w:rPr>
                <w:rFonts w:ascii="宋体" w:hAnsi="宋体" w:cs="宋体"/>
                <w:color w:val="auto"/>
                <w:sz w:val="22"/>
                <w:szCs w:val="22"/>
                <w:highlight w:val="none"/>
              </w:rPr>
            </w:pPr>
          </w:p>
        </w:tc>
        <w:tc>
          <w:tcPr>
            <w:tcW w:w="837" w:type="dxa"/>
            <w:vAlign w:val="center"/>
          </w:tcPr>
          <w:p w14:paraId="0D98F203">
            <w:pPr>
              <w:jc w:val="center"/>
              <w:rPr>
                <w:rFonts w:ascii="宋体" w:hAnsi="宋体" w:cs="宋体"/>
                <w:color w:val="auto"/>
                <w:sz w:val="22"/>
                <w:szCs w:val="22"/>
                <w:highlight w:val="none"/>
              </w:rPr>
            </w:pPr>
          </w:p>
        </w:tc>
        <w:tc>
          <w:tcPr>
            <w:tcW w:w="837" w:type="dxa"/>
            <w:vAlign w:val="center"/>
          </w:tcPr>
          <w:p w14:paraId="3F890B2C">
            <w:pPr>
              <w:ind w:right="-11"/>
              <w:jc w:val="center"/>
              <w:rPr>
                <w:rFonts w:ascii="宋体" w:hAnsi="宋体" w:cs="宋体"/>
                <w:color w:val="auto"/>
                <w:sz w:val="22"/>
                <w:szCs w:val="22"/>
                <w:highlight w:val="none"/>
              </w:rPr>
            </w:pPr>
          </w:p>
        </w:tc>
        <w:tc>
          <w:tcPr>
            <w:tcW w:w="839" w:type="dxa"/>
            <w:vAlign w:val="center"/>
          </w:tcPr>
          <w:p w14:paraId="077E65AA">
            <w:pPr>
              <w:ind w:right="-11"/>
              <w:jc w:val="center"/>
              <w:rPr>
                <w:rFonts w:ascii="宋体" w:hAnsi="宋体" w:cs="宋体"/>
                <w:color w:val="auto"/>
                <w:sz w:val="22"/>
                <w:szCs w:val="22"/>
                <w:highlight w:val="none"/>
              </w:rPr>
            </w:pPr>
          </w:p>
        </w:tc>
        <w:tc>
          <w:tcPr>
            <w:tcW w:w="830" w:type="dxa"/>
            <w:vAlign w:val="center"/>
          </w:tcPr>
          <w:p w14:paraId="170ED399">
            <w:pPr>
              <w:ind w:right="-11"/>
              <w:jc w:val="center"/>
              <w:rPr>
                <w:rFonts w:ascii="宋体" w:hAnsi="宋体" w:cs="宋体"/>
                <w:color w:val="auto"/>
                <w:sz w:val="22"/>
                <w:szCs w:val="22"/>
                <w:highlight w:val="none"/>
              </w:rPr>
            </w:pPr>
          </w:p>
        </w:tc>
      </w:tr>
      <w:tr w14:paraId="38E8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A489982">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0E35F5FC">
            <w:pPr>
              <w:widowControl/>
              <w:jc w:val="center"/>
              <w:textAlignment w:val="center"/>
              <w:rPr>
                <w:rFonts w:ascii="宋体" w:hAnsi="宋体" w:cs="宋体"/>
                <w:color w:val="auto"/>
                <w:sz w:val="22"/>
                <w:szCs w:val="22"/>
                <w:highlight w:val="none"/>
              </w:rPr>
            </w:pPr>
          </w:p>
        </w:tc>
        <w:tc>
          <w:tcPr>
            <w:tcW w:w="960" w:type="dxa"/>
            <w:vAlign w:val="center"/>
          </w:tcPr>
          <w:p w14:paraId="472A6B49">
            <w:pPr>
              <w:jc w:val="center"/>
              <w:rPr>
                <w:rFonts w:ascii="宋体" w:hAnsi="宋体" w:cs="宋体"/>
                <w:color w:val="auto"/>
                <w:sz w:val="22"/>
                <w:szCs w:val="22"/>
                <w:highlight w:val="none"/>
              </w:rPr>
            </w:pPr>
          </w:p>
        </w:tc>
        <w:tc>
          <w:tcPr>
            <w:tcW w:w="1120" w:type="dxa"/>
            <w:vAlign w:val="center"/>
          </w:tcPr>
          <w:p w14:paraId="4162A5D6">
            <w:pPr>
              <w:jc w:val="center"/>
              <w:rPr>
                <w:rFonts w:ascii="宋体" w:hAnsi="宋体" w:cs="宋体"/>
                <w:color w:val="auto"/>
                <w:sz w:val="22"/>
                <w:szCs w:val="22"/>
                <w:highlight w:val="none"/>
              </w:rPr>
            </w:pPr>
          </w:p>
        </w:tc>
        <w:tc>
          <w:tcPr>
            <w:tcW w:w="1300" w:type="dxa"/>
            <w:vAlign w:val="center"/>
          </w:tcPr>
          <w:p w14:paraId="0080E62D">
            <w:pPr>
              <w:jc w:val="center"/>
              <w:rPr>
                <w:rFonts w:ascii="宋体" w:hAnsi="宋体" w:cs="宋体"/>
                <w:color w:val="auto"/>
                <w:sz w:val="22"/>
                <w:szCs w:val="22"/>
                <w:highlight w:val="none"/>
              </w:rPr>
            </w:pPr>
          </w:p>
        </w:tc>
        <w:tc>
          <w:tcPr>
            <w:tcW w:w="837" w:type="dxa"/>
            <w:vAlign w:val="center"/>
          </w:tcPr>
          <w:p w14:paraId="6C0B013F">
            <w:pPr>
              <w:widowControl/>
              <w:jc w:val="center"/>
              <w:textAlignment w:val="center"/>
              <w:rPr>
                <w:rFonts w:ascii="宋体" w:hAnsi="宋体" w:cs="宋体"/>
                <w:color w:val="auto"/>
                <w:sz w:val="22"/>
                <w:szCs w:val="22"/>
                <w:highlight w:val="none"/>
              </w:rPr>
            </w:pPr>
          </w:p>
        </w:tc>
        <w:tc>
          <w:tcPr>
            <w:tcW w:w="837" w:type="dxa"/>
            <w:vAlign w:val="center"/>
          </w:tcPr>
          <w:p w14:paraId="7D3BB0DD">
            <w:pPr>
              <w:widowControl/>
              <w:jc w:val="center"/>
              <w:textAlignment w:val="center"/>
              <w:rPr>
                <w:rFonts w:ascii="宋体" w:hAnsi="宋体" w:cs="宋体"/>
                <w:color w:val="auto"/>
                <w:sz w:val="22"/>
                <w:szCs w:val="22"/>
                <w:highlight w:val="none"/>
              </w:rPr>
            </w:pPr>
          </w:p>
        </w:tc>
        <w:tc>
          <w:tcPr>
            <w:tcW w:w="837" w:type="dxa"/>
            <w:vAlign w:val="center"/>
          </w:tcPr>
          <w:p w14:paraId="75FD1813">
            <w:pPr>
              <w:widowControl/>
              <w:jc w:val="center"/>
              <w:textAlignment w:val="center"/>
              <w:rPr>
                <w:rFonts w:ascii="宋体" w:hAnsi="宋体" w:cs="宋体"/>
                <w:color w:val="auto"/>
                <w:sz w:val="22"/>
                <w:szCs w:val="22"/>
                <w:highlight w:val="none"/>
              </w:rPr>
            </w:pPr>
          </w:p>
        </w:tc>
        <w:tc>
          <w:tcPr>
            <w:tcW w:w="839" w:type="dxa"/>
            <w:vAlign w:val="center"/>
          </w:tcPr>
          <w:p w14:paraId="0991929B">
            <w:pPr>
              <w:ind w:right="-11"/>
              <w:jc w:val="center"/>
              <w:rPr>
                <w:rFonts w:ascii="宋体" w:hAnsi="宋体" w:cs="宋体"/>
                <w:color w:val="auto"/>
                <w:sz w:val="22"/>
                <w:szCs w:val="22"/>
                <w:highlight w:val="none"/>
              </w:rPr>
            </w:pPr>
          </w:p>
        </w:tc>
        <w:tc>
          <w:tcPr>
            <w:tcW w:w="830" w:type="dxa"/>
            <w:vAlign w:val="center"/>
          </w:tcPr>
          <w:p w14:paraId="30B207F8">
            <w:pPr>
              <w:ind w:right="-11"/>
              <w:jc w:val="center"/>
              <w:rPr>
                <w:rFonts w:ascii="宋体" w:hAnsi="宋体" w:cs="宋体"/>
                <w:color w:val="auto"/>
                <w:sz w:val="22"/>
                <w:szCs w:val="22"/>
                <w:highlight w:val="none"/>
              </w:rPr>
            </w:pPr>
          </w:p>
        </w:tc>
      </w:tr>
      <w:tr w14:paraId="0C77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CDFD713">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424AC653">
            <w:pPr>
              <w:widowControl/>
              <w:jc w:val="left"/>
              <w:textAlignment w:val="center"/>
              <w:rPr>
                <w:rFonts w:ascii="宋体" w:hAnsi="宋体" w:cs="宋体"/>
                <w:color w:val="auto"/>
                <w:sz w:val="22"/>
                <w:szCs w:val="22"/>
                <w:highlight w:val="none"/>
              </w:rPr>
            </w:pPr>
          </w:p>
        </w:tc>
        <w:tc>
          <w:tcPr>
            <w:tcW w:w="960" w:type="dxa"/>
            <w:vAlign w:val="center"/>
          </w:tcPr>
          <w:p w14:paraId="49A73080">
            <w:pPr>
              <w:widowControl/>
              <w:jc w:val="center"/>
              <w:textAlignment w:val="center"/>
              <w:rPr>
                <w:rFonts w:ascii="宋体" w:hAnsi="宋体" w:cs="宋体"/>
                <w:color w:val="auto"/>
                <w:sz w:val="22"/>
                <w:szCs w:val="22"/>
                <w:highlight w:val="none"/>
              </w:rPr>
            </w:pPr>
          </w:p>
        </w:tc>
        <w:tc>
          <w:tcPr>
            <w:tcW w:w="1120" w:type="dxa"/>
            <w:vAlign w:val="center"/>
          </w:tcPr>
          <w:p w14:paraId="2DFC69E1">
            <w:pPr>
              <w:widowControl/>
              <w:jc w:val="center"/>
              <w:textAlignment w:val="center"/>
              <w:rPr>
                <w:rFonts w:ascii="宋体" w:hAnsi="宋体" w:cs="宋体"/>
                <w:color w:val="auto"/>
                <w:sz w:val="22"/>
                <w:szCs w:val="22"/>
                <w:highlight w:val="none"/>
              </w:rPr>
            </w:pPr>
          </w:p>
        </w:tc>
        <w:tc>
          <w:tcPr>
            <w:tcW w:w="1300" w:type="dxa"/>
            <w:vAlign w:val="center"/>
          </w:tcPr>
          <w:p w14:paraId="4776AC3D">
            <w:pPr>
              <w:widowControl/>
              <w:jc w:val="center"/>
              <w:textAlignment w:val="center"/>
              <w:rPr>
                <w:rFonts w:ascii="宋体" w:hAnsi="宋体" w:cs="宋体"/>
                <w:color w:val="auto"/>
                <w:sz w:val="22"/>
                <w:szCs w:val="22"/>
                <w:highlight w:val="none"/>
              </w:rPr>
            </w:pPr>
          </w:p>
        </w:tc>
        <w:tc>
          <w:tcPr>
            <w:tcW w:w="837" w:type="dxa"/>
            <w:vAlign w:val="center"/>
          </w:tcPr>
          <w:p w14:paraId="2EBA6F49">
            <w:pPr>
              <w:widowControl/>
              <w:jc w:val="center"/>
              <w:textAlignment w:val="center"/>
              <w:rPr>
                <w:rFonts w:ascii="宋体" w:hAnsi="宋体" w:cs="宋体"/>
                <w:color w:val="auto"/>
                <w:sz w:val="22"/>
                <w:szCs w:val="22"/>
                <w:highlight w:val="none"/>
              </w:rPr>
            </w:pPr>
          </w:p>
        </w:tc>
        <w:tc>
          <w:tcPr>
            <w:tcW w:w="837" w:type="dxa"/>
            <w:vAlign w:val="center"/>
          </w:tcPr>
          <w:p w14:paraId="414C162A">
            <w:pPr>
              <w:widowControl/>
              <w:jc w:val="center"/>
              <w:textAlignment w:val="center"/>
              <w:rPr>
                <w:rFonts w:ascii="宋体" w:hAnsi="宋体" w:cs="宋体"/>
                <w:color w:val="auto"/>
                <w:sz w:val="22"/>
                <w:szCs w:val="22"/>
                <w:highlight w:val="none"/>
              </w:rPr>
            </w:pPr>
          </w:p>
        </w:tc>
        <w:tc>
          <w:tcPr>
            <w:tcW w:w="837" w:type="dxa"/>
            <w:vAlign w:val="center"/>
          </w:tcPr>
          <w:p w14:paraId="1EFB3083">
            <w:pPr>
              <w:widowControl/>
              <w:jc w:val="center"/>
              <w:textAlignment w:val="center"/>
              <w:rPr>
                <w:rFonts w:ascii="宋体" w:hAnsi="宋体" w:cs="宋体"/>
                <w:color w:val="auto"/>
                <w:sz w:val="22"/>
                <w:szCs w:val="22"/>
                <w:highlight w:val="none"/>
              </w:rPr>
            </w:pPr>
          </w:p>
        </w:tc>
        <w:tc>
          <w:tcPr>
            <w:tcW w:w="839" w:type="dxa"/>
            <w:vAlign w:val="center"/>
          </w:tcPr>
          <w:p w14:paraId="2580D09B">
            <w:pPr>
              <w:ind w:right="-11"/>
              <w:jc w:val="center"/>
              <w:rPr>
                <w:rFonts w:ascii="宋体" w:hAnsi="宋体" w:cs="宋体"/>
                <w:color w:val="auto"/>
                <w:sz w:val="22"/>
                <w:szCs w:val="22"/>
                <w:highlight w:val="none"/>
              </w:rPr>
            </w:pPr>
          </w:p>
        </w:tc>
        <w:tc>
          <w:tcPr>
            <w:tcW w:w="830" w:type="dxa"/>
            <w:vAlign w:val="center"/>
          </w:tcPr>
          <w:p w14:paraId="59CF9AEE">
            <w:pPr>
              <w:ind w:right="-11"/>
              <w:jc w:val="center"/>
              <w:rPr>
                <w:rFonts w:ascii="宋体" w:hAnsi="宋体" w:cs="宋体"/>
                <w:color w:val="auto"/>
                <w:sz w:val="22"/>
                <w:szCs w:val="22"/>
                <w:highlight w:val="none"/>
              </w:rPr>
            </w:pPr>
          </w:p>
        </w:tc>
      </w:tr>
      <w:tr w14:paraId="1D35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0919C28">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4D209767">
            <w:pPr>
              <w:widowControl/>
              <w:jc w:val="left"/>
              <w:textAlignment w:val="center"/>
              <w:rPr>
                <w:rFonts w:ascii="宋体" w:hAnsi="宋体" w:cs="宋体"/>
                <w:color w:val="auto"/>
                <w:sz w:val="22"/>
                <w:szCs w:val="22"/>
                <w:highlight w:val="none"/>
              </w:rPr>
            </w:pPr>
          </w:p>
        </w:tc>
        <w:tc>
          <w:tcPr>
            <w:tcW w:w="960" w:type="dxa"/>
            <w:vAlign w:val="center"/>
          </w:tcPr>
          <w:p w14:paraId="765D2155">
            <w:pPr>
              <w:widowControl/>
              <w:jc w:val="center"/>
              <w:textAlignment w:val="center"/>
              <w:rPr>
                <w:rFonts w:ascii="宋体" w:hAnsi="宋体" w:cs="宋体"/>
                <w:color w:val="auto"/>
                <w:sz w:val="22"/>
                <w:szCs w:val="22"/>
                <w:highlight w:val="none"/>
              </w:rPr>
            </w:pPr>
          </w:p>
        </w:tc>
        <w:tc>
          <w:tcPr>
            <w:tcW w:w="1120" w:type="dxa"/>
            <w:vAlign w:val="center"/>
          </w:tcPr>
          <w:p w14:paraId="6DD4AEB1">
            <w:pPr>
              <w:widowControl/>
              <w:jc w:val="center"/>
              <w:textAlignment w:val="center"/>
              <w:rPr>
                <w:rFonts w:ascii="宋体" w:hAnsi="宋体" w:cs="宋体"/>
                <w:color w:val="auto"/>
                <w:sz w:val="22"/>
                <w:szCs w:val="22"/>
                <w:highlight w:val="none"/>
              </w:rPr>
            </w:pPr>
          </w:p>
        </w:tc>
        <w:tc>
          <w:tcPr>
            <w:tcW w:w="1300" w:type="dxa"/>
            <w:vAlign w:val="center"/>
          </w:tcPr>
          <w:p w14:paraId="133E9D09">
            <w:pPr>
              <w:widowControl/>
              <w:jc w:val="center"/>
              <w:textAlignment w:val="center"/>
              <w:rPr>
                <w:rFonts w:ascii="宋体" w:hAnsi="宋体" w:cs="宋体"/>
                <w:color w:val="auto"/>
                <w:sz w:val="22"/>
                <w:szCs w:val="22"/>
                <w:highlight w:val="none"/>
              </w:rPr>
            </w:pPr>
          </w:p>
        </w:tc>
        <w:tc>
          <w:tcPr>
            <w:tcW w:w="837" w:type="dxa"/>
            <w:vAlign w:val="center"/>
          </w:tcPr>
          <w:p w14:paraId="641B28ED">
            <w:pPr>
              <w:widowControl/>
              <w:jc w:val="center"/>
              <w:textAlignment w:val="center"/>
              <w:rPr>
                <w:rFonts w:ascii="宋体" w:hAnsi="宋体" w:cs="宋体"/>
                <w:color w:val="auto"/>
                <w:sz w:val="22"/>
                <w:szCs w:val="22"/>
                <w:highlight w:val="none"/>
              </w:rPr>
            </w:pPr>
          </w:p>
        </w:tc>
        <w:tc>
          <w:tcPr>
            <w:tcW w:w="837" w:type="dxa"/>
            <w:vAlign w:val="center"/>
          </w:tcPr>
          <w:p w14:paraId="00FDF0F5">
            <w:pPr>
              <w:widowControl/>
              <w:jc w:val="center"/>
              <w:textAlignment w:val="center"/>
              <w:rPr>
                <w:rFonts w:ascii="宋体" w:hAnsi="宋体" w:cs="宋体"/>
                <w:color w:val="auto"/>
                <w:sz w:val="22"/>
                <w:szCs w:val="22"/>
                <w:highlight w:val="none"/>
              </w:rPr>
            </w:pPr>
          </w:p>
        </w:tc>
        <w:tc>
          <w:tcPr>
            <w:tcW w:w="837" w:type="dxa"/>
            <w:vAlign w:val="center"/>
          </w:tcPr>
          <w:p w14:paraId="291186DA">
            <w:pPr>
              <w:widowControl/>
              <w:jc w:val="center"/>
              <w:textAlignment w:val="center"/>
              <w:rPr>
                <w:rFonts w:ascii="宋体" w:hAnsi="宋体" w:cs="宋体"/>
                <w:color w:val="auto"/>
                <w:sz w:val="22"/>
                <w:szCs w:val="22"/>
                <w:highlight w:val="none"/>
              </w:rPr>
            </w:pPr>
          </w:p>
        </w:tc>
        <w:tc>
          <w:tcPr>
            <w:tcW w:w="839" w:type="dxa"/>
            <w:vAlign w:val="center"/>
          </w:tcPr>
          <w:p w14:paraId="206F143E">
            <w:pPr>
              <w:ind w:right="-11"/>
              <w:jc w:val="center"/>
              <w:rPr>
                <w:rFonts w:ascii="宋体" w:hAnsi="宋体" w:cs="宋体"/>
                <w:color w:val="auto"/>
                <w:sz w:val="22"/>
                <w:szCs w:val="22"/>
                <w:highlight w:val="none"/>
              </w:rPr>
            </w:pPr>
          </w:p>
        </w:tc>
        <w:tc>
          <w:tcPr>
            <w:tcW w:w="830" w:type="dxa"/>
            <w:vAlign w:val="center"/>
          </w:tcPr>
          <w:p w14:paraId="60685298">
            <w:pPr>
              <w:ind w:right="-11"/>
              <w:jc w:val="center"/>
              <w:rPr>
                <w:rFonts w:ascii="宋体" w:hAnsi="宋体" w:cs="宋体"/>
                <w:color w:val="auto"/>
                <w:sz w:val="22"/>
                <w:szCs w:val="22"/>
                <w:highlight w:val="none"/>
              </w:rPr>
            </w:pPr>
          </w:p>
        </w:tc>
      </w:tr>
      <w:tr w14:paraId="3355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856FD9F">
            <w:pPr>
              <w:widowControl/>
              <w:jc w:val="center"/>
              <w:textAlignment w:val="center"/>
              <w:rPr>
                <w:rFonts w:ascii="宋体" w:hAnsi="宋体" w:cs="宋体"/>
                <w:color w:val="auto"/>
                <w:sz w:val="22"/>
                <w:szCs w:val="22"/>
                <w:highlight w:val="none"/>
              </w:rPr>
            </w:pPr>
          </w:p>
        </w:tc>
        <w:tc>
          <w:tcPr>
            <w:tcW w:w="1310" w:type="dxa"/>
            <w:vAlign w:val="center"/>
          </w:tcPr>
          <w:p w14:paraId="2C4C7A94">
            <w:pPr>
              <w:widowControl/>
              <w:jc w:val="left"/>
              <w:textAlignment w:val="center"/>
              <w:rPr>
                <w:rFonts w:ascii="宋体" w:hAnsi="宋体" w:cs="宋体"/>
                <w:color w:val="auto"/>
                <w:sz w:val="22"/>
                <w:szCs w:val="22"/>
                <w:highlight w:val="none"/>
              </w:rPr>
            </w:pPr>
          </w:p>
        </w:tc>
        <w:tc>
          <w:tcPr>
            <w:tcW w:w="960" w:type="dxa"/>
            <w:vAlign w:val="center"/>
          </w:tcPr>
          <w:p w14:paraId="0D0753FD">
            <w:pPr>
              <w:widowControl/>
              <w:jc w:val="center"/>
              <w:textAlignment w:val="center"/>
              <w:rPr>
                <w:rFonts w:ascii="宋体" w:hAnsi="宋体" w:cs="宋体"/>
                <w:color w:val="auto"/>
                <w:sz w:val="22"/>
                <w:szCs w:val="22"/>
                <w:highlight w:val="none"/>
              </w:rPr>
            </w:pPr>
          </w:p>
        </w:tc>
        <w:tc>
          <w:tcPr>
            <w:tcW w:w="1120" w:type="dxa"/>
            <w:vAlign w:val="center"/>
          </w:tcPr>
          <w:p w14:paraId="6D2DCAAD">
            <w:pPr>
              <w:widowControl/>
              <w:jc w:val="center"/>
              <w:textAlignment w:val="center"/>
              <w:rPr>
                <w:rFonts w:ascii="宋体" w:hAnsi="宋体" w:cs="宋体"/>
                <w:color w:val="auto"/>
                <w:sz w:val="22"/>
                <w:szCs w:val="22"/>
                <w:highlight w:val="none"/>
              </w:rPr>
            </w:pPr>
          </w:p>
        </w:tc>
        <w:tc>
          <w:tcPr>
            <w:tcW w:w="1300" w:type="dxa"/>
            <w:vAlign w:val="center"/>
          </w:tcPr>
          <w:p w14:paraId="10C550C7">
            <w:pPr>
              <w:widowControl/>
              <w:jc w:val="center"/>
              <w:textAlignment w:val="center"/>
              <w:rPr>
                <w:rFonts w:ascii="宋体" w:hAnsi="宋体" w:cs="宋体"/>
                <w:color w:val="auto"/>
                <w:sz w:val="22"/>
                <w:szCs w:val="22"/>
                <w:highlight w:val="none"/>
              </w:rPr>
            </w:pPr>
          </w:p>
        </w:tc>
        <w:tc>
          <w:tcPr>
            <w:tcW w:w="837" w:type="dxa"/>
            <w:vAlign w:val="center"/>
          </w:tcPr>
          <w:p w14:paraId="7CB89491">
            <w:pPr>
              <w:widowControl/>
              <w:jc w:val="center"/>
              <w:textAlignment w:val="center"/>
              <w:rPr>
                <w:rFonts w:ascii="宋体" w:hAnsi="宋体" w:cs="宋体"/>
                <w:color w:val="auto"/>
                <w:sz w:val="22"/>
                <w:szCs w:val="22"/>
                <w:highlight w:val="none"/>
              </w:rPr>
            </w:pPr>
          </w:p>
        </w:tc>
        <w:tc>
          <w:tcPr>
            <w:tcW w:w="837" w:type="dxa"/>
            <w:vAlign w:val="center"/>
          </w:tcPr>
          <w:p w14:paraId="50287A4F">
            <w:pPr>
              <w:widowControl/>
              <w:jc w:val="center"/>
              <w:textAlignment w:val="center"/>
              <w:rPr>
                <w:rFonts w:ascii="宋体" w:hAnsi="宋体" w:cs="宋体"/>
                <w:color w:val="auto"/>
                <w:sz w:val="22"/>
                <w:szCs w:val="22"/>
                <w:highlight w:val="none"/>
              </w:rPr>
            </w:pPr>
          </w:p>
        </w:tc>
        <w:tc>
          <w:tcPr>
            <w:tcW w:w="837" w:type="dxa"/>
            <w:vAlign w:val="center"/>
          </w:tcPr>
          <w:p w14:paraId="3BE8F773">
            <w:pPr>
              <w:widowControl/>
              <w:jc w:val="center"/>
              <w:textAlignment w:val="center"/>
              <w:rPr>
                <w:rFonts w:ascii="宋体" w:hAnsi="宋体" w:cs="宋体"/>
                <w:color w:val="auto"/>
                <w:sz w:val="22"/>
                <w:szCs w:val="22"/>
                <w:highlight w:val="none"/>
              </w:rPr>
            </w:pPr>
          </w:p>
        </w:tc>
        <w:tc>
          <w:tcPr>
            <w:tcW w:w="839" w:type="dxa"/>
            <w:vAlign w:val="center"/>
          </w:tcPr>
          <w:p w14:paraId="7369CCF1">
            <w:pPr>
              <w:widowControl/>
              <w:jc w:val="center"/>
              <w:textAlignment w:val="center"/>
              <w:rPr>
                <w:rFonts w:ascii="宋体" w:hAnsi="宋体" w:cs="宋体"/>
                <w:color w:val="auto"/>
                <w:sz w:val="22"/>
                <w:szCs w:val="22"/>
                <w:highlight w:val="none"/>
              </w:rPr>
            </w:pPr>
          </w:p>
        </w:tc>
        <w:tc>
          <w:tcPr>
            <w:tcW w:w="830" w:type="dxa"/>
            <w:vAlign w:val="center"/>
          </w:tcPr>
          <w:p w14:paraId="3CE83568">
            <w:pPr>
              <w:ind w:right="-11"/>
              <w:jc w:val="center"/>
              <w:rPr>
                <w:rFonts w:ascii="宋体" w:hAnsi="宋体" w:cs="宋体"/>
                <w:color w:val="auto"/>
                <w:sz w:val="22"/>
                <w:szCs w:val="22"/>
                <w:highlight w:val="none"/>
              </w:rPr>
            </w:pPr>
          </w:p>
        </w:tc>
      </w:tr>
      <w:tr w14:paraId="7CA3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vAlign w:val="center"/>
          </w:tcPr>
          <w:p w14:paraId="7ADB449E">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合计总价</w:t>
            </w:r>
          </w:p>
        </w:tc>
        <w:tc>
          <w:tcPr>
            <w:tcW w:w="6600" w:type="dxa"/>
            <w:gridSpan w:val="7"/>
            <w:vAlign w:val="center"/>
          </w:tcPr>
          <w:p w14:paraId="48E46280">
            <w:pPr>
              <w:spacing w:line="340" w:lineRule="exact"/>
              <w:rPr>
                <w:rFonts w:ascii="宋体" w:hAnsi="宋体" w:cs="宋体"/>
                <w:bCs/>
                <w:color w:val="auto"/>
                <w:sz w:val="22"/>
                <w:szCs w:val="22"/>
                <w:highlight w:val="none"/>
              </w:rPr>
            </w:pPr>
          </w:p>
        </w:tc>
      </w:tr>
    </w:tbl>
    <w:p w14:paraId="2C69B759">
      <w:pPr>
        <w:rPr>
          <w:rFonts w:ascii="宋体" w:hAnsi="宋体" w:cs="宋体"/>
          <w:bCs/>
          <w:color w:val="auto"/>
          <w:sz w:val="22"/>
          <w:szCs w:val="22"/>
          <w:highlight w:val="none"/>
        </w:rPr>
      </w:pPr>
    </w:p>
    <w:p w14:paraId="6EABA014">
      <w:pPr>
        <w:rPr>
          <w:rFonts w:ascii="宋体" w:hAnsi="宋体" w:cs="宋体"/>
          <w:color w:val="auto"/>
          <w:sz w:val="22"/>
          <w:szCs w:val="22"/>
          <w:highlight w:val="none"/>
        </w:rPr>
      </w:pPr>
      <w:r>
        <w:rPr>
          <w:rFonts w:hint="eastAsia" w:ascii="宋体" w:hAnsi="宋体" w:cs="宋体"/>
          <w:bCs/>
          <w:color w:val="auto"/>
          <w:sz w:val="22"/>
          <w:szCs w:val="22"/>
          <w:highlight w:val="none"/>
        </w:rPr>
        <w:t>注：</w:t>
      </w:r>
      <w:r>
        <w:rPr>
          <w:rFonts w:hint="eastAsia" w:ascii="宋体" w:hAnsi="宋体" w:cs="宋体"/>
          <w:color w:val="auto"/>
          <w:sz w:val="22"/>
          <w:szCs w:val="22"/>
          <w:highlight w:val="none"/>
        </w:rPr>
        <w:t>1.不提供详细分项报价表将视为没有实质性响应招标文件。</w:t>
      </w:r>
    </w:p>
    <w:p w14:paraId="49291BCC">
      <w:pPr>
        <w:ind w:firstLine="630"/>
        <w:rPr>
          <w:rFonts w:ascii="宋体" w:hAnsi="宋体" w:cs="宋体"/>
          <w:color w:val="auto"/>
          <w:sz w:val="22"/>
          <w:szCs w:val="22"/>
          <w:highlight w:val="none"/>
        </w:rPr>
      </w:pPr>
      <w:r>
        <w:rPr>
          <w:rFonts w:hint="eastAsia" w:ascii="宋体" w:hAnsi="宋体" w:cs="宋体"/>
          <w:color w:val="auto"/>
          <w:sz w:val="22"/>
          <w:szCs w:val="22"/>
          <w:highlight w:val="none"/>
        </w:rPr>
        <w:t>2.此表的合计总价应与附件一“开标一览表”投标总价相一致</w:t>
      </w:r>
      <w:r>
        <w:rPr>
          <w:rFonts w:hint="eastAsia" w:ascii="宋体" w:hAnsi="宋体" w:cs="宋体"/>
          <w:b/>
          <w:bCs/>
          <w:color w:val="auto"/>
          <w:sz w:val="22"/>
          <w:szCs w:val="22"/>
          <w:highlight w:val="none"/>
        </w:rPr>
        <w:t>。</w:t>
      </w:r>
    </w:p>
    <w:p w14:paraId="491C36C1">
      <w:pPr>
        <w:ind w:firstLine="630"/>
        <w:rPr>
          <w:rFonts w:ascii="宋体" w:hAnsi="宋体" w:cs="宋体"/>
          <w:color w:val="auto"/>
          <w:sz w:val="22"/>
          <w:szCs w:val="22"/>
          <w:highlight w:val="none"/>
        </w:rPr>
      </w:pPr>
      <w:r>
        <w:rPr>
          <w:rFonts w:hint="eastAsia" w:ascii="宋体" w:hAnsi="宋体" w:cs="宋体"/>
          <w:color w:val="auto"/>
          <w:sz w:val="22"/>
          <w:szCs w:val="22"/>
          <w:highlight w:val="none"/>
        </w:rPr>
        <w:t>3.根据《中华人民共和国政府采购法实施条例 》第四十三条规定，在中标或者成交公告的内容中可能增加本表，请各供应商认真填写，确保报价数据的真实性、完整性和合理性。</w:t>
      </w:r>
    </w:p>
    <w:p w14:paraId="5A6D5531">
      <w:pPr>
        <w:ind w:firstLine="630"/>
        <w:rPr>
          <w:rFonts w:ascii="宋体" w:hAnsi="宋体" w:cs="宋体"/>
          <w:color w:val="auto"/>
          <w:sz w:val="22"/>
          <w:szCs w:val="22"/>
          <w:highlight w:val="none"/>
        </w:rPr>
      </w:pPr>
      <w:r>
        <w:rPr>
          <w:rFonts w:hint="eastAsia" w:ascii="宋体" w:hAnsi="宋体" w:cs="宋体"/>
          <w:color w:val="auto"/>
          <w:sz w:val="22"/>
          <w:szCs w:val="22"/>
          <w:highlight w:val="none"/>
        </w:rPr>
        <w:t xml:space="preserve">4.表格可以延续。            </w:t>
      </w:r>
    </w:p>
    <w:p w14:paraId="2F6A12CA">
      <w:pPr>
        <w:spacing w:line="440" w:lineRule="atLeast"/>
        <w:rPr>
          <w:rFonts w:ascii="宋体" w:hAnsi="宋体" w:cs="宋体"/>
          <w:color w:val="auto"/>
          <w:sz w:val="22"/>
          <w:szCs w:val="22"/>
          <w:highlight w:val="none"/>
        </w:rPr>
      </w:pPr>
    </w:p>
    <w:p w14:paraId="135FAEFF">
      <w:pPr>
        <w:spacing w:line="440" w:lineRule="atLeast"/>
        <w:rPr>
          <w:rFonts w:ascii="宋体" w:hAnsi="宋体" w:cs="宋体"/>
          <w:b/>
          <w:bCs/>
          <w:color w:val="auto"/>
          <w:sz w:val="22"/>
          <w:szCs w:val="22"/>
          <w:highlight w:val="none"/>
        </w:rPr>
      </w:pPr>
      <w:r>
        <w:rPr>
          <w:rFonts w:hint="eastAsia" w:ascii="宋体" w:hAnsi="宋体" w:cs="宋体"/>
          <w:color w:val="auto"/>
          <w:sz w:val="22"/>
          <w:szCs w:val="22"/>
          <w:highlight w:val="none"/>
        </w:rPr>
        <w:t>供应商全称：（盖章）</w:t>
      </w:r>
    </w:p>
    <w:p w14:paraId="58C9176B">
      <w:pPr>
        <w:spacing w:line="440" w:lineRule="atLeast"/>
        <w:rPr>
          <w:rFonts w:ascii="宋体" w:hAnsi="宋体" w:cs="宋体"/>
          <w:color w:val="auto"/>
          <w:sz w:val="22"/>
          <w:szCs w:val="22"/>
          <w:highlight w:val="none"/>
          <w:lang w:val="zh-CN"/>
        </w:rPr>
      </w:pPr>
      <w:r>
        <w:rPr>
          <w:rFonts w:hint="eastAsia" w:ascii="宋体" w:hAnsi="宋体" w:cs="宋体"/>
          <w:color w:val="auto"/>
          <w:sz w:val="22"/>
          <w:szCs w:val="22"/>
          <w:highlight w:val="none"/>
        </w:rPr>
        <w:t>法定代表人（签字或盖章）或</w:t>
      </w:r>
      <w:r>
        <w:rPr>
          <w:rFonts w:hint="eastAsia" w:ascii="宋体" w:hAnsi="宋体" w:cs="宋体"/>
          <w:color w:val="auto"/>
          <w:sz w:val="22"/>
          <w:szCs w:val="22"/>
          <w:highlight w:val="none"/>
          <w:lang w:val="zh-CN"/>
        </w:rPr>
        <w:t>授权代表（签字）：</w:t>
      </w:r>
    </w:p>
    <w:p w14:paraId="35945936">
      <w:pPr>
        <w:spacing w:line="440" w:lineRule="atLeast"/>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172F3154">
      <w:pPr>
        <w:snapToGrid w:val="0"/>
        <w:spacing w:line="440" w:lineRule="exact"/>
        <w:rPr>
          <w:rFonts w:ascii="宋体" w:hAnsi="宋体" w:cs="宋体"/>
          <w:b/>
          <w:bCs/>
          <w:color w:val="auto"/>
          <w:sz w:val="22"/>
          <w:highlight w:val="none"/>
        </w:rPr>
      </w:pPr>
    </w:p>
    <w:p w14:paraId="08842CA6">
      <w:pPr>
        <w:snapToGrid w:val="0"/>
        <w:spacing w:line="440" w:lineRule="exact"/>
        <w:rPr>
          <w:rFonts w:ascii="宋体" w:hAnsi="宋体" w:cs="宋体"/>
          <w:b/>
          <w:bCs/>
          <w:color w:val="auto"/>
          <w:sz w:val="22"/>
          <w:highlight w:val="none"/>
        </w:rPr>
      </w:pPr>
    </w:p>
    <w:p w14:paraId="51B19A92">
      <w:pPr>
        <w:snapToGrid w:val="0"/>
        <w:spacing w:line="440" w:lineRule="exact"/>
        <w:rPr>
          <w:rFonts w:ascii="宋体" w:hAnsi="宋体" w:cs="宋体"/>
          <w:b/>
          <w:bCs/>
          <w:color w:val="auto"/>
          <w:sz w:val="22"/>
          <w:highlight w:val="none"/>
        </w:rPr>
      </w:pPr>
    </w:p>
    <w:p w14:paraId="2583AAB5">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部分）格式</w:t>
      </w:r>
    </w:p>
    <w:p w14:paraId="4738A929">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63BE67B4">
      <w:pPr>
        <w:snapToGrid w:val="0"/>
        <w:spacing w:line="440" w:lineRule="exact"/>
        <w:jc w:val="center"/>
        <w:rPr>
          <w:rFonts w:ascii="宋体" w:hAnsi="宋体" w:cs="宋体"/>
          <w:b/>
          <w:color w:val="auto"/>
          <w:sz w:val="32"/>
          <w:szCs w:val="32"/>
          <w:highlight w:val="none"/>
        </w:rPr>
      </w:pPr>
    </w:p>
    <w:p w14:paraId="1A9D4E1E">
      <w:pPr>
        <w:spacing w:line="480" w:lineRule="auto"/>
        <w:jc w:val="center"/>
        <w:rPr>
          <w:rFonts w:ascii="宋体" w:hAnsi="宋体" w:cs="宋体"/>
          <w:b/>
          <w:color w:val="auto"/>
          <w:sz w:val="64"/>
          <w:szCs w:val="64"/>
          <w:highlight w:val="none"/>
        </w:rPr>
      </w:pPr>
      <w:r>
        <w:rPr>
          <w:rFonts w:hint="eastAsia" w:ascii="宋体" w:hAnsi="宋体" w:cs="宋体"/>
          <w:b/>
          <w:color w:val="auto"/>
          <w:sz w:val="64"/>
          <w:szCs w:val="64"/>
          <w:highlight w:val="none"/>
        </w:rPr>
        <w:t>便携式超声、麻醉工作站等</w:t>
      </w:r>
    </w:p>
    <w:p w14:paraId="1FCA93B1">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3990A905">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（资 格 部 分）</w:t>
      </w:r>
    </w:p>
    <w:p w14:paraId="7DB0F5BC">
      <w:pPr>
        <w:snapToGrid w:val="0"/>
        <w:spacing w:line="600" w:lineRule="atLeast"/>
        <w:ind w:firstLine="1052" w:firstLineChars="400"/>
        <w:rPr>
          <w:rFonts w:ascii="宋体" w:hAnsi="宋体" w:cs="宋体"/>
          <w:b/>
          <w:color w:val="auto"/>
          <w:sz w:val="26"/>
          <w:szCs w:val="26"/>
          <w:highlight w:val="none"/>
        </w:rPr>
      </w:pPr>
    </w:p>
    <w:p w14:paraId="08D03419">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D970C9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737" w:hRule="atLeast"/>
        </w:trPr>
        <w:tc>
          <w:tcPr>
            <w:tcW w:w="7678" w:type="dxa"/>
          </w:tcPr>
          <w:p w14:paraId="366B4DDE">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TSCG202511005 </w:t>
            </w:r>
          </w:p>
        </w:tc>
      </w:tr>
      <w:tr w14:paraId="4F2E4CD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6CC1AD6">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采购单位：泰顺县中医院（泰顺县中医院医共体）</w:t>
            </w:r>
          </w:p>
        </w:tc>
      </w:tr>
      <w:tr w14:paraId="6827CA3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E47EBA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1BDA0D0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9869A4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36B8D95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733BBD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340A2A3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C7733C6">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0502606B">
      <w:pPr>
        <w:autoSpaceDE w:val="0"/>
        <w:autoSpaceDN w:val="0"/>
        <w:adjustRightInd w:val="0"/>
        <w:spacing w:line="360" w:lineRule="exact"/>
        <w:rPr>
          <w:rFonts w:ascii="宋体" w:hAnsi="宋体" w:cs="宋体"/>
          <w:b/>
          <w:bCs/>
          <w:color w:val="auto"/>
          <w:sz w:val="32"/>
          <w:szCs w:val="32"/>
          <w:highlight w:val="none"/>
          <w:lang w:val="zh-CN"/>
        </w:rPr>
      </w:pPr>
    </w:p>
    <w:p w14:paraId="47399395">
      <w:pPr>
        <w:tabs>
          <w:tab w:val="left" w:pos="1069"/>
          <w:tab w:val="left" w:pos="2352"/>
        </w:tabs>
        <w:autoSpaceDE w:val="0"/>
        <w:autoSpaceDN w:val="0"/>
        <w:adjustRightInd w:val="0"/>
        <w:spacing w:line="460" w:lineRule="atLeast"/>
        <w:rPr>
          <w:rFonts w:ascii="宋体" w:hAnsi="宋体" w:cs="宋体"/>
          <w:b/>
          <w:bCs/>
          <w:color w:val="auto"/>
          <w:sz w:val="30"/>
          <w:highlight w:val="none"/>
          <w:lang w:val="zh-CN"/>
        </w:rPr>
      </w:pPr>
    </w:p>
    <w:p w14:paraId="06DF8324">
      <w:pPr>
        <w:pStyle w:val="14"/>
        <w:ind w:right="-257"/>
        <w:rPr>
          <w:rFonts w:cs="宋体"/>
          <w:b/>
          <w:bCs/>
          <w:color w:val="auto"/>
          <w:sz w:val="30"/>
          <w:highlight w:val="none"/>
          <w:lang w:val="zh-CN"/>
        </w:rPr>
      </w:pPr>
    </w:p>
    <w:p w14:paraId="47B69E8C">
      <w:pPr>
        <w:pStyle w:val="14"/>
        <w:ind w:right="-257"/>
        <w:rPr>
          <w:rFonts w:cs="宋体"/>
          <w:b/>
          <w:bCs/>
          <w:color w:val="auto"/>
          <w:sz w:val="30"/>
          <w:highlight w:val="none"/>
          <w:lang w:val="zh-CN"/>
        </w:rPr>
      </w:pPr>
    </w:p>
    <w:p w14:paraId="43ED299D">
      <w:pPr>
        <w:tabs>
          <w:tab w:val="left" w:pos="1069"/>
          <w:tab w:val="left" w:pos="2352"/>
        </w:tabs>
        <w:autoSpaceDE w:val="0"/>
        <w:autoSpaceDN w:val="0"/>
        <w:adjustRightInd w:val="0"/>
        <w:spacing w:line="460" w:lineRule="atLeast"/>
        <w:rPr>
          <w:rFonts w:ascii="宋体" w:hAnsi="宋体" w:cs="宋体"/>
          <w:b/>
          <w:bCs/>
          <w:color w:val="auto"/>
          <w:sz w:val="30"/>
          <w:highlight w:val="none"/>
          <w:lang w:val="zh-CN"/>
        </w:rPr>
      </w:pPr>
    </w:p>
    <w:p w14:paraId="7C62542F">
      <w:pPr>
        <w:tabs>
          <w:tab w:val="left" w:pos="1069"/>
          <w:tab w:val="left" w:pos="2352"/>
        </w:tabs>
        <w:autoSpaceDE w:val="0"/>
        <w:autoSpaceDN w:val="0"/>
        <w:adjustRightInd w:val="0"/>
        <w:spacing w:line="460" w:lineRule="atLeast"/>
        <w:rPr>
          <w:rFonts w:ascii="宋体" w:hAnsi="宋体" w:cs="宋体"/>
          <w:b/>
          <w:bCs/>
          <w:color w:val="auto"/>
          <w:sz w:val="30"/>
          <w:highlight w:val="none"/>
          <w:lang w:val="zh-CN"/>
        </w:rPr>
      </w:pPr>
    </w:p>
    <w:p w14:paraId="63447B58">
      <w:pPr>
        <w:tabs>
          <w:tab w:val="left" w:pos="1069"/>
          <w:tab w:val="left" w:pos="2352"/>
        </w:tabs>
        <w:autoSpaceDE w:val="0"/>
        <w:autoSpaceDN w:val="0"/>
        <w:adjustRightInd w:val="0"/>
        <w:spacing w:line="460" w:lineRule="atLeast"/>
        <w:rPr>
          <w:rFonts w:ascii="宋体" w:hAnsi="宋体" w:cs="宋体"/>
          <w:color w:val="auto"/>
          <w:sz w:val="30"/>
          <w:highlight w:val="none"/>
          <w:lang w:val="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rPr>
        <w:t>三</w:t>
      </w:r>
    </w:p>
    <w:p w14:paraId="553CCAF0">
      <w:pPr>
        <w:tabs>
          <w:tab w:val="left" w:pos="1069"/>
          <w:tab w:val="left" w:pos="2352"/>
        </w:tabs>
        <w:autoSpaceDE w:val="0"/>
        <w:autoSpaceDN w:val="0"/>
        <w:adjustRightInd w:val="0"/>
        <w:spacing w:line="460" w:lineRule="atLeast"/>
        <w:jc w:val="center"/>
        <w:rPr>
          <w:rFonts w:ascii="宋体" w:hAnsi="宋体" w:cs="宋体"/>
          <w:b/>
          <w:bCs/>
          <w:color w:val="auto"/>
          <w:sz w:val="32"/>
          <w:highlight w:val="none"/>
        </w:rPr>
      </w:pPr>
      <w:r>
        <w:rPr>
          <w:rFonts w:hint="eastAsia" w:ascii="宋体" w:hAnsi="宋体" w:cs="宋体"/>
          <w:b/>
          <w:bCs/>
          <w:color w:val="auto"/>
          <w:sz w:val="32"/>
          <w:highlight w:val="none"/>
        </w:rPr>
        <w:t>符合参加政府采购活动应当具备的一般条件的承诺函</w:t>
      </w:r>
    </w:p>
    <w:p w14:paraId="18424F94">
      <w:pPr>
        <w:snapToGrid w:val="0"/>
        <w:spacing w:line="360" w:lineRule="auto"/>
        <w:rPr>
          <w:rFonts w:ascii="宋体" w:hAnsi="宋体" w:cs="仿宋_GB2312"/>
          <w:b/>
          <w:bCs/>
          <w:color w:val="auto"/>
          <w:sz w:val="22"/>
          <w:highlight w:val="none"/>
        </w:rPr>
      </w:pPr>
      <w:r>
        <w:rPr>
          <w:rFonts w:hint="eastAsia" w:ascii="宋体" w:hAnsi="宋体" w:cs="宋体"/>
          <w:color w:val="auto"/>
          <w:sz w:val="22"/>
          <w:highlight w:val="none"/>
          <w:u w:val="single"/>
        </w:rPr>
        <w:t>泰顺县中医院（泰顺县中医院医共体）、杭州华旗招标代理有限公司</w:t>
      </w:r>
      <w:r>
        <w:rPr>
          <w:rFonts w:hint="eastAsia" w:ascii="宋体" w:hAnsi="宋体" w:cs="仿宋_GB2312"/>
          <w:b/>
          <w:bCs/>
          <w:color w:val="auto"/>
          <w:sz w:val="22"/>
          <w:highlight w:val="none"/>
        </w:rPr>
        <w:t>：</w:t>
      </w:r>
    </w:p>
    <w:p w14:paraId="42F393F1">
      <w:pPr>
        <w:snapToGrid w:val="0"/>
        <w:spacing w:line="360" w:lineRule="auto"/>
        <w:ind w:firstLine="446" w:firstLineChars="200"/>
        <w:rPr>
          <w:rFonts w:ascii="宋体" w:hAnsi="宋体" w:cs="仿宋_GB2312"/>
          <w:color w:val="auto"/>
          <w:sz w:val="22"/>
          <w:highlight w:val="none"/>
        </w:rPr>
      </w:pPr>
      <w:r>
        <w:rPr>
          <w:rFonts w:hint="eastAsia" w:ascii="宋体" w:hAnsi="宋体" w:cs="仿宋_GB2312"/>
          <w:color w:val="auto"/>
          <w:sz w:val="22"/>
          <w:highlight w:val="none"/>
        </w:rPr>
        <w:t>我方参与</w:t>
      </w:r>
      <w:r>
        <w:rPr>
          <w:rFonts w:hint="eastAsia" w:ascii="宋体" w:hAnsi="宋体" w:cs="仿宋_GB2312"/>
          <w:color w:val="auto"/>
          <w:sz w:val="22"/>
          <w:highlight w:val="none"/>
          <w:u w:val="single"/>
        </w:rPr>
        <w:t xml:space="preserve"> </w:t>
      </w:r>
      <w:r>
        <w:rPr>
          <w:rFonts w:ascii="宋体" w:hAnsi="宋体" w:cs="仿宋_GB2312"/>
          <w:color w:val="auto"/>
          <w:sz w:val="22"/>
          <w:highlight w:val="none"/>
          <w:u w:val="single"/>
        </w:rPr>
        <w:t xml:space="preserve"> </w:t>
      </w:r>
      <w:r>
        <w:rPr>
          <w:rFonts w:hint="eastAsia" w:ascii="宋体" w:hAnsi="宋体" w:cs="仿宋_GB2312"/>
          <w:b/>
          <w:bCs/>
          <w:color w:val="auto"/>
          <w:sz w:val="22"/>
          <w:highlight w:val="none"/>
          <w:u w:val="single"/>
        </w:rPr>
        <w:t>便携式超声、麻醉工作站等（项目编号：</w:t>
      </w:r>
      <w:r>
        <w:rPr>
          <w:rFonts w:hint="eastAsia" w:ascii="宋体" w:hAnsi="宋体" w:cs="仿宋_GB2312"/>
          <w:b/>
          <w:bCs/>
          <w:color w:val="auto"/>
          <w:sz w:val="22"/>
          <w:highlight w:val="none"/>
          <w:u w:val="single"/>
          <w:lang w:eastAsia="zh-CN"/>
        </w:rPr>
        <w:t xml:space="preserve">TSCG202511005 </w:t>
      </w:r>
      <w:r>
        <w:rPr>
          <w:rFonts w:hint="eastAsia" w:ascii="宋体" w:hAnsi="宋体" w:cs="仿宋_GB2312"/>
          <w:b/>
          <w:bCs/>
          <w:color w:val="auto"/>
          <w:sz w:val="22"/>
          <w:highlight w:val="none"/>
          <w:u w:val="single"/>
        </w:rPr>
        <w:t>）</w:t>
      </w:r>
      <w:r>
        <w:rPr>
          <w:rFonts w:hint="eastAsia" w:ascii="宋体" w:hAnsi="宋体" w:cs="仿宋_GB2312"/>
          <w:color w:val="auto"/>
          <w:sz w:val="22"/>
          <w:highlight w:val="none"/>
        </w:rPr>
        <w:t>政府采购活动，郑重承诺：</w:t>
      </w:r>
    </w:p>
    <w:p w14:paraId="157F60B7">
      <w:pPr>
        <w:snapToGrid w:val="0"/>
        <w:spacing w:line="360" w:lineRule="auto"/>
        <w:ind w:firstLine="334" w:firstLineChars="150"/>
        <w:rPr>
          <w:rFonts w:ascii="宋体" w:hAnsi="宋体" w:cs="仿宋_GB2312"/>
          <w:color w:val="auto"/>
          <w:sz w:val="22"/>
          <w:highlight w:val="none"/>
        </w:rPr>
      </w:pPr>
      <w:r>
        <w:rPr>
          <w:rFonts w:hint="eastAsia" w:ascii="宋体" w:hAnsi="宋体" w:cs="仿宋_GB2312"/>
          <w:color w:val="auto"/>
          <w:sz w:val="22"/>
          <w:highlight w:val="none"/>
        </w:rPr>
        <w:t>（一）具备《中华人民共和国政府采购法》第二十二条规定的条件：</w:t>
      </w:r>
    </w:p>
    <w:p w14:paraId="52AE0FFD">
      <w:pPr>
        <w:snapToGrid w:val="0"/>
        <w:spacing w:line="360" w:lineRule="auto"/>
        <w:ind w:firstLine="446" w:firstLineChars="200"/>
        <w:rPr>
          <w:rFonts w:ascii="宋体" w:hAnsi="宋体" w:cs="仿宋_GB2312"/>
          <w:color w:val="auto"/>
          <w:sz w:val="22"/>
          <w:highlight w:val="none"/>
        </w:rPr>
      </w:pPr>
      <w:r>
        <w:rPr>
          <w:rFonts w:hint="eastAsia" w:ascii="宋体" w:hAnsi="宋体" w:cs="仿宋_GB2312"/>
          <w:color w:val="auto"/>
          <w:sz w:val="22"/>
          <w:highlight w:val="none"/>
        </w:rPr>
        <w:t>1、</w:t>
      </w:r>
      <w:r>
        <w:rPr>
          <w:rFonts w:ascii="宋体" w:hAnsi="宋体" w:cs="仿宋_GB2312"/>
          <w:color w:val="auto"/>
          <w:sz w:val="22"/>
          <w:highlight w:val="none"/>
        </w:rPr>
        <w:t>具有独立承担民事责任的能力；</w:t>
      </w:r>
    </w:p>
    <w:p w14:paraId="7AA84FFF">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2、</w:t>
      </w:r>
      <w:r>
        <w:rPr>
          <w:rFonts w:ascii="宋体" w:hAnsi="宋体" w:cs="Times New Roman"/>
          <w:color w:val="auto"/>
          <w:sz w:val="22"/>
          <w:highlight w:val="none"/>
        </w:rPr>
        <w:t xml:space="preserve">具有良好的商业信誉和健全的财务会计制度； </w:t>
      </w:r>
    </w:p>
    <w:p w14:paraId="2611E9D7">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3、</w:t>
      </w:r>
      <w:r>
        <w:rPr>
          <w:rFonts w:ascii="宋体" w:hAnsi="宋体" w:cs="Times New Roman"/>
          <w:color w:val="auto"/>
          <w:sz w:val="22"/>
          <w:highlight w:val="none"/>
        </w:rPr>
        <w:t>具有履行合同所必需的设备和专业技术能力；</w:t>
      </w:r>
    </w:p>
    <w:p w14:paraId="1844AEDB">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4、</w:t>
      </w:r>
      <w:r>
        <w:rPr>
          <w:rFonts w:ascii="宋体" w:hAnsi="宋体" w:cs="Times New Roman"/>
          <w:color w:val="auto"/>
          <w:sz w:val="22"/>
          <w:highlight w:val="none"/>
        </w:rPr>
        <w:t>有依法缴纳税收和社会保障资金的良好记录；</w:t>
      </w:r>
    </w:p>
    <w:p w14:paraId="1DF4C18E">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5、</w:t>
      </w:r>
      <w:r>
        <w:rPr>
          <w:rFonts w:ascii="宋体" w:hAnsi="宋体" w:cs="Times New Roman"/>
          <w:color w:val="auto"/>
          <w:sz w:val="22"/>
          <w:highlight w:val="none"/>
        </w:rPr>
        <w:t>参加政府采购活动前三年内，在经营活动中没有重大违法记录；</w:t>
      </w:r>
    </w:p>
    <w:p w14:paraId="51B22EB0">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6、</w:t>
      </w:r>
      <w:r>
        <w:rPr>
          <w:rFonts w:ascii="宋体" w:hAnsi="宋体" w:cs="Times New Roman"/>
          <w:color w:val="auto"/>
          <w:sz w:val="22"/>
          <w:highlight w:val="none"/>
        </w:rPr>
        <w:t>具有法律、行政法规规定的其他条件。</w:t>
      </w:r>
    </w:p>
    <w:p w14:paraId="3BB6086E">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（二）未被信用中国（</w:t>
      </w:r>
      <w:r>
        <w:rPr>
          <w:rFonts w:ascii="宋体" w:hAnsi="宋体" w:cs="Times New Roman"/>
          <w:color w:val="auto"/>
          <w:sz w:val="22"/>
          <w:highlight w:val="none"/>
        </w:rPr>
        <w:t>www.creditchina.gov.cn)、中国政府采购网（www.ccgp.gov.cn）列入失信被执行人、重大税收违法案件当事人名单、政府采购严重违法失信行为记录名单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cs="Times New Roman"/>
          <w:color w:val="auto"/>
          <w:sz w:val="22"/>
          <w:highlight w:val="none"/>
        </w:rPr>
        <w:t>。</w:t>
      </w:r>
    </w:p>
    <w:p w14:paraId="516E2C6A">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（三）不存在以下情况：</w:t>
      </w:r>
    </w:p>
    <w:p w14:paraId="0AAAD127">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1、</w:t>
      </w:r>
      <w:r>
        <w:rPr>
          <w:rFonts w:ascii="宋体" w:hAnsi="宋体" w:cs="Times New Roman"/>
          <w:color w:val="auto"/>
          <w:sz w:val="22"/>
          <w:highlight w:val="none"/>
        </w:rPr>
        <w:t>单位负责人为同一人或者存在直接控股、管理关系的不同供应商参加同一合同项下的政府采购活动的；</w:t>
      </w:r>
    </w:p>
    <w:p w14:paraId="56267532">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2、</w:t>
      </w:r>
      <w:r>
        <w:rPr>
          <w:rFonts w:ascii="宋体" w:hAnsi="宋体" w:cs="Times New Roman"/>
          <w:color w:val="auto"/>
          <w:sz w:val="22"/>
          <w:highlight w:val="none"/>
        </w:rPr>
        <w:t>为采购项目提供整体设计、规范编制或者项目管理、监理、检测等服务后再参加该采购项目的其他采购活动的。</w:t>
      </w:r>
    </w:p>
    <w:p w14:paraId="1C6AE991">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（四）如有虚假，采购人可取消我方任何资格（投标/中标/签订合同），我方对此无任何异议。</w:t>
      </w:r>
    </w:p>
    <w:p w14:paraId="4C8F1074">
      <w:pPr>
        <w:spacing w:line="440" w:lineRule="exact"/>
        <w:ind w:firstLine="4906" w:firstLineChars="2200"/>
        <w:rPr>
          <w:rFonts w:ascii="宋体" w:hAnsi="宋体" w:cs="Times New Roman"/>
          <w:color w:val="auto"/>
          <w:sz w:val="22"/>
          <w:highlight w:val="none"/>
        </w:rPr>
      </w:pPr>
      <w:r>
        <w:rPr>
          <w:rFonts w:hint="eastAsia" w:ascii="宋体" w:hAnsi="宋体" w:cs="Times New Roman"/>
          <w:color w:val="auto"/>
          <w:sz w:val="22"/>
          <w:highlight w:val="none"/>
        </w:rPr>
        <w:t>供应商名称</w:t>
      </w:r>
      <w:r>
        <w:rPr>
          <w:rFonts w:hint="eastAsia" w:ascii="宋体" w:hAnsi="宋体" w:cs="宋体"/>
          <w:color w:val="auto"/>
          <w:sz w:val="22"/>
          <w:highlight w:val="none"/>
        </w:rPr>
        <w:t>（公章）</w:t>
      </w:r>
      <w:r>
        <w:rPr>
          <w:rFonts w:ascii="宋体" w:hAnsi="宋体" w:cs="Times New Roman"/>
          <w:color w:val="auto"/>
          <w:sz w:val="22"/>
          <w:highlight w:val="none"/>
        </w:rPr>
        <w:t>：</w:t>
      </w:r>
    </w:p>
    <w:p w14:paraId="2777157F">
      <w:pPr>
        <w:spacing w:line="440" w:lineRule="exact"/>
        <w:jc w:val="center"/>
        <w:rPr>
          <w:rFonts w:ascii="宋体" w:hAnsi="宋体" w:cs="Times New Roman"/>
          <w:color w:val="auto"/>
          <w:sz w:val="22"/>
          <w:highlight w:val="none"/>
        </w:rPr>
      </w:pPr>
      <w:r>
        <w:rPr>
          <w:rFonts w:ascii="宋体" w:hAnsi="宋体" w:cs="Times New Roman"/>
          <w:color w:val="auto"/>
          <w:sz w:val="22"/>
          <w:highlight w:val="none"/>
        </w:rPr>
        <w:t xml:space="preserve">                    </w:t>
      </w:r>
      <w:r>
        <w:rPr>
          <w:rFonts w:hint="eastAsia" w:ascii="宋体" w:hAnsi="宋体" w:cs="Times New Roman"/>
          <w:color w:val="auto"/>
          <w:sz w:val="22"/>
          <w:highlight w:val="none"/>
        </w:rPr>
        <w:t xml:space="preserve">   日期：  </w:t>
      </w:r>
      <w:r>
        <w:rPr>
          <w:rFonts w:ascii="宋体" w:hAnsi="宋体" w:cs="Times New Roman"/>
          <w:color w:val="auto"/>
          <w:sz w:val="22"/>
          <w:highlight w:val="none"/>
        </w:rPr>
        <w:t>年</w:t>
      </w:r>
      <w:r>
        <w:rPr>
          <w:rFonts w:hint="eastAsia" w:ascii="宋体" w:hAnsi="宋体" w:cs="Times New Roman"/>
          <w:color w:val="auto"/>
          <w:sz w:val="22"/>
          <w:highlight w:val="none"/>
        </w:rPr>
        <w:t xml:space="preserve">  月  日</w:t>
      </w:r>
    </w:p>
    <w:p w14:paraId="1E807D6F">
      <w:pPr>
        <w:spacing w:line="440" w:lineRule="exact"/>
        <w:jc w:val="center"/>
        <w:rPr>
          <w:rFonts w:ascii="宋体" w:hAnsi="宋体" w:cs="Times New Roman"/>
          <w:color w:val="auto"/>
          <w:sz w:val="22"/>
          <w:highlight w:val="none"/>
        </w:rPr>
      </w:pPr>
    </w:p>
    <w:p w14:paraId="4258CC10">
      <w:pPr>
        <w:snapToGrid w:val="0"/>
        <w:spacing w:line="320" w:lineRule="exact"/>
        <w:ind w:right="480" w:firstLine="446" w:firstLineChars="200"/>
        <w:jc w:val="left"/>
        <w:rPr>
          <w:rFonts w:ascii="宋体" w:hAnsi="宋体" w:cs="宋体"/>
          <w:b/>
          <w:bCs/>
          <w:color w:val="auto"/>
          <w:sz w:val="32"/>
          <w:szCs w:val="32"/>
          <w:highlight w:val="none"/>
        </w:rPr>
      </w:pPr>
      <w:r>
        <w:rPr>
          <w:rFonts w:hint="eastAsia" w:ascii="宋体" w:hAnsi="宋体" w:cs="仿宋_GB2312"/>
          <w:color w:val="auto"/>
          <w:sz w:val="22"/>
          <w:szCs w:val="22"/>
          <w:highlight w:val="none"/>
        </w:rPr>
        <w:t>注：根据《</w:t>
      </w:r>
      <w:r>
        <w:rPr>
          <w:rFonts w:ascii="宋体" w:hAnsi="宋体" w:cs="仿宋_GB2312"/>
          <w:color w:val="auto"/>
          <w:sz w:val="22"/>
          <w:szCs w:val="22"/>
          <w:highlight w:val="none"/>
        </w:rPr>
        <w:t>关于规范政府采购供应商资格设定及资格审查的通知</w:t>
      </w:r>
      <w:r>
        <w:rPr>
          <w:rFonts w:hint="eastAsia" w:ascii="宋体" w:hAnsi="宋体" w:cs="仿宋_GB2312"/>
          <w:color w:val="auto"/>
          <w:sz w:val="22"/>
          <w:szCs w:val="22"/>
          <w:highlight w:val="none"/>
        </w:rPr>
        <w:t>》（</w:t>
      </w:r>
      <w:r>
        <w:rPr>
          <w:rFonts w:ascii="宋体" w:hAnsi="宋体" w:cs="仿宋_GB2312"/>
          <w:color w:val="auto"/>
          <w:sz w:val="22"/>
          <w:szCs w:val="22"/>
          <w:highlight w:val="none"/>
        </w:rPr>
        <w:t>浙财采监[2013]24号</w:t>
      </w:r>
      <w:r>
        <w:rPr>
          <w:rFonts w:hint="eastAsia" w:ascii="宋体" w:hAnsi="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63995941">
      <w:pPr>
        <w:spacing w:line="360" w:lineRule="exact"/>
        <w:jc w:val="left"/>
        <w:rPr>
          <w:rFonts w:ascii="宋体" w:hAnsi="宋体" w:cs="宋体"/>
          <w:b/>
          <w:bCs/>
          <w:color w:val="auto"/>
          <w:sz w:val="30"/>
          <w:highlight w:val="none"/>
        </w:rPr>
      </w:pPr>
    </w:p>
    <w:p w14:paraId="0D01EB7B">
      <w:pPr>
        <w:spacing w:line="360" w:lineRule="exact"/>
        <w:jc w:val="left"/>
        <w:rPr>
          <w:rFonts w:ascii="宋体" w:hAnsi="宋体" w:cs="宋体"/>
          <w:b/>
          <w:bCs/>
          <w:color w:val="auto"/>
          <w:sz w:val="30"/>
          <w:highlight w:val="none"/>
        </w:rPr>
      </w:pPr>
    </w:p>
    <w:p w14:paraId="1DB3917F">
      <w:pPr>
        <w:spacing w:line="360" w:lineRule="exact"/>
        <w:jc w:val="left"/>
        <w:rPr>
          <w:rFonts w:ascii="宋体" w:hAnsi="宋体" w:cs="宋体"/>
          <w:b/>
          <w:bCs/>
          <w:color w:val="auto"/>
          <w:sz w:val="30"/>
          <w:highlight w:val="none"/>
        </w:rPr>
      </w:pPr>
      <w:r>
        <w:rPr>
          <w:rFonts w:hint="eastAsia" w:ascii="宋体" w:hAnsi="宋体" w:cs="宋体"/>
          <w:b/>
          <w:bCs/>
          <w:color w:val="auto"/>
          <w:sz w:val="30"/>
          <w:highlight w:val="none"/>
        </w:rPr>
        <w:t>附件四</w:t>
      </w:r>
    </w:p>
    <w:p w14:paraId="0CE17760">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45" w:name="_Toc32552_WPSOffice_Level3"/>
      <w:r>
        <w:rPr>
          <w:rFonts w:hint="eastAsia" w:ascii="宋体" w:hAnsi="宋体" w:cs="宋体"/>
          <w:b/>
          <w:bCs/>
          <w:color w:val="auto"/>
          <w:sz w:val="32"/>
          <w:highlight w:val="none"/>
          <w:lang w:val="zh-CN"/>
        </w:rPr>
        <w:t>法定代表人授权书</w:t>
      </w:r>
      <w:bookmarkEnd w:id="45"/>
    </w:p>
    <w:p w14:paraId="40AD673B">
      <w:pPr>
        <w:autoSpaceDE w:val="0"/>
        <w:autoSpaceDN w:val="0"/>
        <w:adjustRightInd w:val="0"/>
        <w:spacing w:line="360" w:lineRule="exact"/>
        <w:jc w:val="center"/>
        <w:rPr>
          <w:rFonts w:ascii="宋体" w:hAnsi="宋体" w:cs="宋体"/>
          <w:color w:val="auto"/>
          <w:sz w:val="36"/>
          <w:highlight w:val="none"/>
          <w:lang w:val="zh-CN"/>
        </w:rPr>
      </w:pPr>
    </w:p>
    <w:p w14:paraId="575E159A">
      <w:pPr>
        <w:spacing w:line="400" w:lineRule="atLeast"/>
        <w:rPr>
          <w:rFonts w:ascii="宋体" w:hAnsi="宋体" w:cs="宋体"/>
          <w:color w:val="auto"/>
          <w:sz w:val="22"/>
          <w:highlight w:val="none"/>
        </w:rPr>
      </w:pPr>
      <w:r>
        <w:rPr>
          <w:rFonts w:hint="eastAsia" w:ascii="宋体" w:hAnsi="宋体" w:cs="宋体"/>
          <w:color w:val="auto"/>
          <w:sz w:val="22"/>
          <w:highlight w:val="none"/>
          <w:u w:val="single"/>
        </w:rPr>
        <w:t>泰顺县中医院（泰顺县中医院医共体）</w:t>
      </w:r>
      <w:r>
        <w:rPr>
          <w:rFonts w:hint="eastAsia" w:ascii="宋体" w:hAnsi="宋体" w:cs="宋体"/>
          <w:color w:val="auto"/>
          <w:sz w:val="22"/>
          <w:highlight w:val="none"/>
          <w:lang w:val="zh-CN"/>
        </w:rPr>
        <w:t>：</w:t>
      </w:r>
    </w:p>
    <w:p w14:paraId="4F6FA69C">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rPr>
        <w:t>便携式超声、麻醉工作站等</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TSCG202511005 </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09579D92">
      <w:pPr>
        <w:spacing w:line="400" w:lineRule="atLeast"/>
        <w:ind w:firstLine="446" w:firstLineChars="200"/>
        <w:rPr>
          <w:rFonts w:ascii="宋体" w:hAnsi="宋体" w:cs="宋体"/>
          <w:color w:val="auto"/>
          <w:sz w:val="22"/>
          <w:highlight w:val="none"/>
        </w:rPr>
      </w:pPr>
    </w:p>
    <w:p w14:paraId="014496ED">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3F5EAE02">
      <w:pPr>
        <w:spacing w:line="400" w:lineRule="atLeast"/>
        <w:rPr>
          <w:rFonts w:ascii="宋体" w:hAnsi="宋体" w:cs="宋体"/>
          <w:color w:val="auto"/>
          <w:sz w:val="22"/>
          <w:highlight w:val="none"/>
        </w:rPr>
      </w:pPr>
    </w:p>
    <w:p w14:paraId="2E464723">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5923E8CC">
      <w:pPr>
        <w:spacing w:line="400" w:lineRule="atLeast"/>
        <w:ind w:firstLine="2992" w:firstLineChars="1342"/>
        <w:rPr>
          <w:rFonts w:ascii="宋体" w:hAnsi="宋体" w:cs="宋体"/>
          <w:color w:val="auto"/>
          <w:sz w:val="22"/>
          <w:highlight w:val="none"/>
          <w:u w:val="single"/>
        </w:rPr>
      </w:pPr>
    </w:p>
    <w:p w14:paraId="51A6C734">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063501B7">
      <w:pPr>
        <w:spacing w:line="400" w:lineRule="atLeast"/>
        <w:ind w:firstLine="2992" w:firstLineChars="1342"/>
        <w:rPr>
          <w:rFonts w:ascii="宋体" w:hAnsi="宋体" w:cs="宋体"/>
          <w:color w:val="auto"/>
          <w:sz w:val="22"/>
          <w:highlight w:val="none"/>
          <w:u w:val="single"/>
        </w:rPr>
      </w:pPr>
    </w:p>
    <w:p w14:paraId="3A8F8B91">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2FEA1B75">
      <w:pPr>
        <w:spacing w:line="400" w:lineRule="atLeast"/>
        <w:ind w:left="1" w:firstLine="427" w:firstLineChars="192"/>
        <w:rPr>
          <w:rFonts w:ascii="宋体" w:hAnsi="宋体" w:cs="宋体"/>
          <w:color w:val="auto"/>
          <w:sz w:val="22"/>
          <w:highlight w:val="none"/>
        </w:rPr>
      </w:pPr>
    </w:p>
    <w:p w14:paraId="432C32EB">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11AA2BEE">
      <w:pPr>
        <w:spacing w:line="400" w:lineRule="atLeast"/>
        <w:ind w:left="1" w:firstLine="427" w:firstLineChars="192"/>
        <w:rPr>
          <w:rFonts w:ascii="宋体" w:hAnsi="宋体" w:cs="宋体"/>
          <w:color w:val="auto"/>
          <w:sz w:val="22"/>
          <w:highlight w:val="none"/>
        </w:rPr>
      </w:pPr>
    </w:p>
    <w:p w14:paraId="4863F2AC">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D618694">
      <w:pPr>
        <w:spacing w:line="400" w:lineRule="atLeast"/>
        <w:ind w:left="2699"/>
        <w:rPr>
          <w:rFonts w:ascii="宋体" w:hAnsi="宋体" w:cs="宋体"/>
          <w:color w:val="auto"/>
          <w:sz w:val="22"/>
          <w:highlight w:val="none"/>
        </w:rPr>
      </w:pPr>
    </w:p>
    <w:p w14:paraId="6174AA4A">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53B5C082">
      <w:pPr>
        <w:spacing w:line="360" w:lineRule="exact"/>
        <w:ind w:left="2699"/>
        <w:rPr>
          <w:rFonts w:ascii="宋体" w:hAnsi="宋体" w:cs="宋体"/>
          <w:color w:val="auto"/>
          <w:sz w:val="22"/>
          <w:highlight w:val="none"/>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61D1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7EA71D14">
            <w:pPr>
              <w:pStyle w:val="16"/>
              <w:adjustRightInd w:val="0"/>
              <w:snapToGrid w:val="0"/>
              <w:spacing w:line="360" w:lineRule="exact"/>
              <w:jc w:val="center"/>
              <w:rPr>
                <w:rFonts w:hAnsi="宋体" w:cs="宋体"/>
                <w:b/>
                <w:bCs/>
                <w:color w:val="auto"/>
                <w:kern w:val="2"/>
                <w:sz w:val="22"/>
                <w:szCs w:val="22"/>
                <w:highlight w:val="none"/>
              </w:rPr>
            </w:pPr>
          </w:p>
          <w:p w14:paraId="6C139102">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45AEE699">
            <w:pPr>
              <w:pStyle w:val="16"/>
              <w:adjustRightInd w:val="0"/>
              <w:snapToGrid w:val="0"/>
              <w:spacing w:line="360" w:lineRule="exact"/>
              <w:jc w:val="center"/>
              <w:rPr>
                <w:rFonts w:hAnsi="宋体" w:cs="宋体"/>
                <w:b/>
                <w:bCs/>
                <w:color w:val="auto"/>
                <w:kern w:val="2"/>
                <w:sz w:val="22"/>
                <w:szCs w:val="22"/>
                <w:highlight w:val="none"/>
              </w:rPr>
            </w:pPr>
          </w:p>
        </w:tc>
      </w:tr>
    </w:tbl>
    <w:p w14:paraId="3659A6D2">
      <w:pPr>
        <w:pStyle w:val="16"/>
        <w:adjustRightInd w:val="0"/>
        <w:snapToGrid w:val="0"/>
        <w:spacing w:line="360" w:lineRule="exact"/>
        <w:jc w:val="center"/>
        <w:rPr>
          <w:rFonts w:hAnsi="宋体" w:cs="宋体"/>
          <w:color w:val="auto"/>
          <w:sz w:val="22"/>
          <w:highlight w:val="none"/>
          <w:lang w:val="zh-CN"/>
        </w:rPr>
      </w:pPr>
    </w:p>
    <w:p w14:paraId="2861A2D4">
      <w:pPr>
        <w:pStyle w:val="16"/>
        <w:adjustRightInd w:val="0"/>
        <w:snapToGrid w:val="0"/>
        <w:spacing w:line="360" w:lineRule="exact"/>
        <w:jc w:val="center"/>
        <w:rPr>
          <w:rFonts w:hAnsi="宋体" w:cs="宋体"/>
          <w:color w:val="auto"/>
          <w:sz w:val="22"/>
          <w:highlight w:val="none"/>
          <w:lang w:val="zh-CN"/>
        </w:rPr>
      </w:pPr>
    </w:p>
    <w:p w14:paraId="44B05F01">
      <w:pPr>
        <w:pStyle w:val="16"/>
        <w:adjustRightInd w:val="0"/>
        <w:snapToGrid w:val="0"/>
        <w:spacing w:line="360" w:lineRule="exact"/>
        <w:jc w:val="center"/>
        <w:rPr>
          <w:rFonts w:hAnsi="宋体" w:cs="宋体"/>
          <w:color w:val="auto"/>
          <w:sz w:val="22"/>
          <w:highlight w:val="none"/>
          <w:lang w:val="zh-CN"/>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5724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3D3987D9">
            <w:pPr>
              <w:pStyle w:val="16"/>
              <w:adjustRightInd w:val="0"/>
              <w:snapToGrid w:val="0"/>
              <w:spacing w:line="360" w:lineRule="exact"/>
              <w:jc w:val="center"/>
              <w:rPr>
                <w:rFonts w:hAnsi="宋体" w:cs="宋体"/>
                <w:b/>
                <w:bCs/>
                <w:color w:val="auto"/>
                <w:kern w:val="2"/>
                <w:sz w:val="22"/>
                <w:szCs w:val="22"/>
                <w:highlight w:val="none"/>
              </w:rPr>
            </w:pPr>
          </w:p>
          <w:p w14:paraId="631D6B8B">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7AB399EB">
            <w:pPr>
              <w:pStyle w:val="16"/>
              <w:adjustRightInd w:val="0"/>
              <w:snapToGrid w:val="0"/>
              <w:spacing w:line="360" w:lineRule="exact"/>
              <w:jc w:val="center"/>
              <w:rPr>
                <w:rFonts w:hAnsi="宋体" w:cs="宋体"/>
                <w:b/>
                <w:bCs/>
                <w:color w:val="auto"/>
                <w:kern w:val="2"/>
                <w:sz w:val="22"/>
                <w:szCs w:val="22"/>
                <w:highlight w:val="none"/>
              </w:rPr>
            </w:pPr>
          </w:p>
        </w:tc>
      </w:tr>
    </w:tbl>
    <w:p w14:paraId="3B86812E">
      <w:pPr>
        <w:spacing w:line="360" w:lineRule="exact"/>
        <w:jc w:val="left"/>
        <w:rPr>
          <w:rFonts w:ascii="宋体" w:hAnsi="宋体" w:cs="宋体"/>
          <w:b/>
          <w:bCs/>
          <w:color w:val="auto"/>
          <w:sz w:val="30"/>
          <w:highlight w:val="none"/>
        </w:rPr>
      </w:pPr>
    </w:p>
    <w:p w14:paraId="32169016">
      <w:pPr>
        <w:spacing w:line="360" w:lineRule="exact"/>
        <w:jc w:val="left"/>
        <w:rPr>
          <w:rFonts w:ascii="宋体" w:hAnsi="宋体" w:cs="宋体"/>
          <w:b/>
          <w:bCs/>
          <w:color w:val="auto"/>
          <w:sz w:val="30"/>
          <w:highlight w:val="none"/>
        </w:rPr>
      </w:pPr>
    </w:p>
    <w:p w14:paraId="26A275AF">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部分）格式</w:t>
      </w:r>
    </w:p>
    <w:p w14:paraId="41897E4F">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52BF7E54">
      <w:pPr>
        <w:snapToGrid w:val="0"/>
        <w:spacing w:line="440" w:lineRule="exact"/>
        <w:jc w:val="center"/>
        <w:rPr>
          <w:rFonts w:ascii="宋体" w:hAnsi="宋体" w:cs="宋体"/>
          <w:b/>
          <w:color w:val="auto"/>
          <w:sz w:val="32"/>
          <w:szCs w:val="32"/>
          <w:highlight w:val="none"/>
        </w:rPr>
      </w:pPr>
    </w:p>
    <w:p w14:paraId="175E505C">
      <w:pPr>
        <w:spacing w:line="480" w:lineRule="auto"/>
        <w:jc w:val="center"/>
        <w:rPr>
          <w:rFonts w:ascii="宋体" w:hAnsi="宋体" w:cs="宋体"/>
          <w:b/>
          <w:color w:val="auto"/>
          <w:sz w:val="64"/>
          <w:szCs w:val="64"/>
          <w:highlight w:val="none"/>
        </w:rPr>
      </w:pPr>
      <w:r>
        <w:rPr>
          <w:rFonts w:hint="eastAsia" w:ascii="宋体" w:hAnsi="宋体" w:cs="宋体"/>
          <w:b/>
          <w:color w:val="auto"/>
          <w:sz w:val="64"/>
          <w:szCs w:val="64"/>
          <w:highlight w:val="none"/>
        </w:rPr>
        <w:t>便携式超声、麻醉工作站等</w:t>
      </w:r>
    </w:p>
    <w:p w14:paraId="183D85DB">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B44F163">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（商 务 技 术 部 分）</w:t>
      </w:r>
    </w:p>
    <w:p w14:paraId="6EED19BC">
      <w:pPr>
        <w:snapToGrid w:val="0"/>
        <w:spacing w:line="600" w:lineRule="atLeast"/>
        <w:ind w:firstLine="1052" w:firstLineChars="400"/>
        <w:rPr>
          <w:rFonts w:ascii="宋体" w:hAnsi="宋体" w:cs="宋体"/>
          <w:b/>
          <w:color w:val="auto"/>
          <w:sz w:val="26"/>
          <w:szCs w:val="26"/>
          <w:highlight w:val="none"/>
        </w:rPr>
      </w:pPr>
    </w:p>
    <w:p w14:paraId="19013909">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169D7C7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EF5CBEF">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TSCG202511005 </w:t>
            </w:r>
          </w:p>
        </w:tc>
      </w:tr>
      <w:tr w14:paraId="154ED7E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2BCEFF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采购单位：泰顺县中医院（泰顺县中医院医共体）</w:t>
            </w:r>
          </w:p>
        </w:tc>
      </w:tr>
      <w:tr w14:paraId="664E221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CBDBED1">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51B6E09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E7F38E7">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2D60F79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FD3DA0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0CE03D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C07582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3A76657D">
      <w:pPr>
        <w:autoSpaceDE w:val="0"/>
        <w:autoSpaceDN w:val="0"/>
        <w:adjustRightInd w:val="0"/>
        <w:spacing w:line="360" w:lineRule="exact"/>
        <w:rPr>
          <w:rFonts w:ascii="宋体" w:hAnsi="宋体" w:cs="宋体"/>
          <w:b/>
          <w:bCs/>
          <w:color w:val="auto"/>
          <w:sz w:val="32"/>
          <w:szCs w:val="32"/>
          <w:highlight w:val="none"/>
          <w:lang w:val="zh-CN"/>
        </w:rPr>
      </w:pPr>
    </w:p>
    <w:p w14:paraId="6B203517">
      <w:pPr>
        <w:spacing w:line="360" w:lineRule="exact"/>
        <w:jc w:val="left"/>
        <w:rPr>
          <w:rFonts w:ascii="宋体" w:hAnsi="宋体" w:cs="宋体"/>
          <w:b/>
          <w:bCs/>
          <w:color w:val="auto"/>
          <w:sz w:val="30"/>
          <w:highlight w:val="none"/>
        </w:rPr>
      </w:pPr>
    </w:p>
    <w:p w14:paraId="4DA19489">
      <w:pPr>
        <w:spacing w:line="360" w:lineRule="exact"/>
        <w:jc w:val="left"/>
        <w:rPr>
          <w:rFonts w:ascii="宋体" w:hAnsi="宋体" w:cs="宋体"/>
          <w:b/>
          <w:bCs/>
          <w:color w:val="auto"/>
          <w:sz w:val="30"/>
          <w:highlight w:val="none"/>
        </w:rPr>
      </w:pPr>
    </w:p>
    <w:p w14:paraId="4ACC3C3D">
      <w:pPr>
        <w:spacing w:line="360" w:lineRule="exact"/>
        <w:jc w:val="left"/>
        <w:rPr>
          <w:rFonts w:ascii="宋体" w:hAnsi="宋体" w:cs="宋体"/>
          <w:b/>
          <w:bCs/>
          <w:color w:val="auto"/>
          <w:sz w:val="30"/>
          <w:highlight w:val="none"/>
        </w:rPr>
      </w:pPr>
    </w:p>
    <w:p w14:paraId="182FBC4A">
      <w:pPr>
        <w:spacing w:line="360" w:lineRule="exact"/>
        <w:jc w:val="left"/>
        <w:rPr>
          <w:rFonts w:ascii="宋体" w:hAnsi="宋体" w:cs="宋体"/>
          <w:b/>
          <w:bCs/>
          <w:color w:val="auto"/>
          <w:sz w:val="30"/>
          <w:highlight w:val="none"/>
        </w:rPr>
      </w:pPr>
    </w:p>
    <w:p w14:paraId="7A572B56">
      <w:pPr>
        <w:spacing w:line="360" w:lineRule="exact"/>
        <w:jc w:val="left"/>
        <w:rPr>
          <w:rFonts w:ascii="宋体" w:hAnsi="宋体" w:cs="宋体"/>
          <w:b/>
          <w:bCs/>
          <w:color w:val="auto"/>
          <w:sz w:val="30"/>
          <w:highlight w:val="none"/>
        </w:rPr>
      </w:pPr>
    </w:p>
    <w:p w14:paraId="7D2674E1">
      <w:pPr>
        <w:spacing w:line="360" w:lineRule="exact"/>
        <w:jc w:val="left"/>
        <w:rPr>
          <w:rFonts w:ascii="宋体" w:hAnsi="宋体" w:cs="宋体"/>
          <w:b/>
          <w:bCs/>
          <w:color w:val="auto"/>
          <w:sz w:val="30"/>
          <w:highlight w:val="none"/>
        </w:rPr>
      </w:pPr>
    </w:p>
    <w:p w14:paraId="475ED8A5">
      <w:pPr>
        <w:spacing w:line="360" w:lineRule="exact"/>
        <w:jc w:val="left"/>
        <w:rPr>
          <w:rFonts w:ascii="宋体" w:hAnsi="宋体" w:cs="宋体"/>
          <w:b/>
          <w:bCs/>
          <w:color w:val="auto"/>
          <w:sz w:val="30"/>
          <w:highlight w:val="none"/>
        </w:rPr>
      </w:pPr>
    </w:p>
    <w:p w14:paraId="1CAA03FE">
      <w:pPr>
        <w:spacing w:line="360" w:lineRule="exact"/>
        <w:jc w:val="left"/>
        <w:rPr>
          <w:rFonts w:ascii="宋体" w:hAnsi="宋体" w:cs="宋体"/>
          <w:b/>
          <w:bCs/>
          <w:color w:val="auto"/>
          <w:sz w:val="30"/>
          <w:highlight w:val="none"/>
        </w:rPr>
      </w:pPr>
    </w:p>
    <w:p w14:paraId="4167D6C7">
      <w:pPr>
        <w:spacing w:line="360" w:lineRule="exact"/>
        <w:jc w:val="left"/>
        <w:rPr>
          <w:rFonts w:ascii="宋体" w:hAnsi="宋体" w:cs="宋体"/>
          <w:b/>
          <w:bCs/>
          <w:color w:val="auto"/>
          <w:sz w:val="30"/>
          <w:highlight w:val="none"/>
        </w:rPr>
      </w:pPr>
    </w:p>
    <w:p w14:paraId="47A77047">
      <w:pPr>
        <w:spacing w:line="360" w:lineRule="exact"/>
        <w:jc w:val="left"/>
        <w:rPr>
          <w:rFonts w:ascii="宋体" w:hAnsi="宋体" w:cs="宋体"/>
          <w:b/>
          <w:bCs/>
          <w:color w:val="auto"/>
          <w:sz w:val="30"/>
          <w:highlight w:val="none"/>
        </w:rPr>
      </w:pPr>
    </w:p>
    <w:p w14:paraId="7D8B216A">
      <w:pPr>
        <w:spacing w:line="360" w:lineRule="exact"/>
        <w:jc w:val="left"/>
        <w:rPr>
          <w:rFonts w:ascii="宋体" w:hAnsi="宋体" w:cs="宋体"/>
          <w:b/>
          <w:bCs/>
          <w:color w:val="auto"/>
          <w:sz w:val="30"/>
          <w:highlight w:val="none"/>
        </w:rPr>
      </w:pPr>
      <w:r>
        <w:rPr>
          <w:rFonts w:hint="eastAsia" w:ascii="宋体" w:hAnsi="宋体" w:cs="宋体"/>
          <w:b/>
          <w:bCs/>
          <w:color w:val="auto"/>
          <w:sz w:val="30"/>
          <w:highlight w:val="none"/>
        </w:rPr>
        <w:t>附件五</w:t>
      </w:r>
    </w:p>
    <w:p w14:paraId="5D8DE69A">
      <w:pPr>
        <w:pStyle w:val="12"/>
        <w:rPr>
          <w:color w:val="auto"/>
          <w:highlight w:val="none"/>
        </w:rPr>
      </w:pPr>
    </w:p>
    <w:p w14:paraId="27D48EF8">
      <w:pPr>
        <w:autoSpaceDE w:val="0"/>
        <w:autoSpaceDN w:val="0"/>
        <w:adjustRightInd w:val="0"/>
        <w:spacing w:line="360" w:lineRule="exact"/>
        <w:jc w:val="center"/>
        <w:rPr>
          <w:rFonts w:ascii="宋体" w:hAnsi="宋体" w:cs="宋体"/>
          <w:b/>
          <w:bCs/>
          <w:color w:val="auto"/>
          <w:sz w:val="36"/>
          <w:highlight w:val="none"/>
          <w:lang w:val="zh-CN"/>
        </w:rPr>
      </w:pPr>
      <w:bookmarkStart w:id="46" w:name="_Toc30988_WPSOffice_Level3"/>
      <w:r>
        <w:rPr>
          <w:rFonts w:hint="eastAsia" w:ascii="宋体" w:hAnsi="宋体" w:cs="宋体"/>
          <w:b/>
          <w:bCs/>
          <w:color w:val="auto"/>
          <w:sz w:val="36"/>
          <w:highlight w:val="none"/>
        </w:rPr>
        <w:t>投标</w:t>
      </w:r>
      <w:r>
        <w:rPr>
          <w:rFonts w:hint="eastAsia" w:ascii="宋体" w:hAnsi="宋体" w:cs="宋体"/>
          <w:b/>
          <w:bCs/>
          <w:color w:val="auto"/>
          <w:sz w:val="36"/>
          <w:highlight w:val="none"/>
          <w:lang w:val="zh-CN"/>
        </w:rPr>
        <w:t>函</w:t>
      </w:r>
      <w:bookmarkEnd w:id="46"/>
    </w:p>
    <w:p w14:paraId="207D7E96">
      <w:pPr>
        <w:autoSpaceDE w:val="0"/>
        <w:autoSpaceDN w:val="0"/>
        <w:adjustRightInd w:val="0"/>
        <w:spacing w:line="360" w:lineRule="exact"/>
        <w:rPr>
          <w:rFonts w:ascii="宋体" w:hAnsi="宋体" w:cs="宋体"/>
          <w:color w:val="auto"/>
          <w:sz w:val="36"/>
          <w:highlight w:val="none"/>
          <w:lang w:val="zh-CN"/>
        </w:rPr>
      </w:pPr>
    </w:p>
    <w:p w14:paraId="096E06B4">
      <w:pPr>
        <w:pStyle w:val="16"/>
        <w:rPr>
          <w:rFonts w:hAnsi="宋体" w:cs="宋体"/>
          <w:color w:val="auto"/>
          <w:sz w:val="22"/>
          <w:highlight w:val="none"/>
          <w:u w:val="single"/>
        </w:rPr>
      </w:pPr>
      <w:r>
        <w:rPr>
          <w:rFonts w:hint="eastAsia" w:hAnsi="宋体" w:cs="宋体"/>
          <w:color w:val="auto"/>
          <w:sz w:val="22"/>
          <w:highlight w:val="none"/>
          <w:u w:val="single"/>
        </w:rPr>
        <w:t>泰顺县中医院（泰顺县中医院医共体）：</w:t>
      </w:r>
    </w:p>
    <w:p w14:paraId="5D03E26F">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rPr>
        <w:t>便携式超声、麻醉工作站等</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TSCG202511005 </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rPr>
        <w:t>便携式超声、麻醉工作站等</w:t>
      </w:r>
      <w:r>
        <w:rPr>
          <w:rFonts w:hint="eastAsia" w:ascii="宋体" w:hAnsi="宋体" w:cs="宋体"/>
          <w:color w:val="auto"/>
          <w:sz w:val="22"/>
          <w:highlight w:val="none"/>
          <w:lang w:val="zh-CN"/>
        </w:rPr>
        <w:t>进行投标。为此：</w:t>
      </w:r>
    </w:p>
    <w:p w14:paraId="79129B41">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59DB1222">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44539691">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55C407F3">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5C71D5DC">
      <w:pPr>
        <w:pStyle w:val="16"/>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▲按招标文件规定期限并通过采购人验收，逾期采购人有权拒绝。</w:t>
      </w:r>
    </w:p>
    <w:p w14:paraId="162637EF">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533C8B96">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54C3E96F">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7ADF2F65">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5F2A415B">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731A3013">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4EB337F2">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4C76203F">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6ABFE8DA">
      <w:pPr>
        <w:pStyle w:val="16"/>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5F54D679">
      <w:pPr>
        <w:pStyle w:val="16"/>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54B4D3A5">
      <w:pPr>
        <w:pStyle w:val="16"/>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38284C2A">
      <w:pPr>
        <w:spacing w:line="360" w:lineRule="exact"/>
        <w:jc w:val="left"/>
        <w:rPr>
          <w:rFonts w:ascii="宋体" w:hAnsi="宋体" w:cs="宋体"/>
          <w:color w:val="auto"/>
          <w:sz w:val="22"/>
          <w:highlight w:val="none"/>
        </w:rPr>
      </w:pPr>
    </w:p>
    <w:p w14:paraId="7CFEBE52">
      <w:pPr>
        <w:spacing w:line="360" w:lineRule="exact"/>
        <w:jc w:val="left"/>
        <w:rPr>
          <w:rFonts w:ascii="宋体" w:hAnsi="宋体" w:cs="宋体"/>
          <w:color w:val="auto"/>
          <w:sz w:val="22"/>
          <w:highlight w:val="none"/>
        </w:rPr>
      </w:pPr>
    </w:p>
    <w:p w14:paraId="53D8528A">
      <w:pPr>
        <w:spacing w:line="360" w:lineRule="exact"/>
        <w:jc w:val="left"/>
        <w:rPr>
          <w:rFonts w:ascii="宋体" w:hAnsi="宋体" w:cs="宋体"/>
          <w:b/>
          <w:bCs/>
          <w:color w:val="auto"/>
          <w:sz w:val="30"/>
          <w:highlight w:val="none"/>
        </w:rPr>
      </w:pPr>
    </w:p>
    <w:p w14:paraId="2CE350A0">
      <w:pPr>
        <w:spacing w:line="360" w:lineRule="exact"/>
        <w:jc w:val="left"/>
        <w:rPr>
          <w:rFonts w:ascii="宋体" w:hAnsi="宋体" w:cs="宋体"/>
          <w:b/>
          <w:bCs/>
          <w:color w:val="auto"/>
          <w:sz w:val="30"/>
          <w:highlight w:val="none"/>
        </w:rPr>
      </w:pPr>
    </w:p>
    <w:p w14:paraId="2798D175">
      <w:pPr>
        <w:pStyle w:val="14"/>
        <w:ind w:right="-257"/>
        <w:rPr>
          <w:color w:val="auto"/>
          <w:highlight w:val="none"/>
        </w:rPr>
      </w:pPr>
    </w:p>
    <w:p w14:paraId="2CA84C59">
      <w:pPr>
        <w:spacing w:line="360" w:lineRule="exact"/>
        <w:jc w:val="left"/>
        <w:rPr>
          <w:rFonts w:ascii="宋体" w:hAnsi="宋体" w:cs="宋体"/>
          <w:color w:val="auto"/>
          <w:sz w:val="22"/>
          <w:highlight w:val="none"/>
        </w:rPr>
      </w:pPr>
      <w:r>
        <w:rPr>
          <w:rFonts w:hint="eastAsia" w:ascii="宋体" w:hAnsi="宋体" w:cs="宋体"/>
          <w:b/>
          <w:bCs/>
          <w:color w:val="auto"/>
          <w:sz w:val="30"/>
          <w:highlight w:val="none"/>
        </w:rPr>
        <w:t>附件六</w:t>
      </w:r>
    </w:p>
    <w:p w14:paraId="4F85B9D0">
      <w:pPr>
        <w:spacing w:line="360" w:lineRule="exact"/>
        <w:jc w:val="center"/>
        <w:rPr>
          <w:rFonts w:ascii="宋体" w:hAnsi="宋体" w:cs="宋体"/>
          <w:b/>
          <w:bCs/>
          <w:color w:val="auto"/>
          <w:sz w:val="30"/>
          <w:highlight w:val="none"/>
          <w:lang w:val="zh-CN"/>
        </w:rPr>
      </w:pPr>
      <w:bookmarkStart w:id="47" w:name="_Toc15399_WPSOffice_Level3"/>
      <w:r>
        <w:rPr>
          <w:rFonts w:hint="eastAsia" w:ascii="宋体" w:hAnsi="宋体" w:cs="宋体"/>
          <w:b/>
          <w:bCs/>
          <w:color w:val="auto"/>
          <w:sz w:val="30"/>
          <w:highlight w:val="none"/>
          <w:lang w:val="zh-CN"/>
        </w:rPr>
        <w:t>供应商参与政府采购活动投标资格声明函</w:t>
      </w:r>
      <w:bookmarkEnd w:id="47"/>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1B87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8364557">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350F0036">
            <w:pPr>
              <w:pStyle w:val="16"/>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便携式超声、麻醉工作站等</w:t>
            </w:r>
          </w:p>
        </w:tc>
      </w:tr>
      <w:tr w14:paraId="7DC7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45479537">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663441A9">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 xml:space="preserve">TSCG202511005 </w:t>
            </w:r>
          </w:p>
        </w:tc>
      </w:tr>
      <w:tr w14:paraId="553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75EB02DA">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53D95FB4">
            <w:pPr>
              <w:pStyle w:val="16"/>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5463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1396E825">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1F548113">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07E88122">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7DAEB6E9">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32AC0660">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0C7D62ED">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4148CD9A">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21046CEE">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41D3B416">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3、我单位没有被各地、各级财政部门限制参加政府采购活动，且在限制期内。</w:t>
            </w:r>
          </w:p>
          <w:p w14:paraId="71B090B9">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1DACF628">
            <w:pPr>
              <w:tabs>
                <w:tab w:val="center" w:pos="4483"/>
              </w:tabs>
              <w:adjustRightInd w:val="0"/>
              <w:spacing w:line="360" w:lineRule="auto"/>
              <w:ind w:firstLine="400"/>
              <w:rPr>
                <w:rFonts w:ascii="宋体" w:hAnsi="宋体" w:cs="宋体"/>
                <w:b/>
                <w:bCs/>
                <w:color w:val="auto"/>
                <w:szCs w:val="21"/>
                <w:highlight w:val="none"/>
                <w:u w:val="single"/>
              </w:rPr>
            </w:pPr>
            <w:r>
              <w:rPr>
                <w:rFonts w:hint="eastAsia" w:ascii="宋体" w:hAnsi="宋体" w:cs="宋体"/>
                <w:b/>
                <w:bCs/>
                <w:color w:val="auto"/>
                <w:szCs w:val="21"/>
                <w:highlight w:val="none"/>
                <w:u w:val="single"/>
              </w:rPr>
              <w:t>（若无则说明无）</w:t>
            </w:r>
          </w:p>
          <w:p w14:paraId="0F6C1435">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404FE728">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66D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1222A6FF">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4FF6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39E2E19E">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7186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352BEF44">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5B0E1046">
      <w:pPr>
        <w:spacing w:line="360" w:lineRule="exact"/>
        <w:jc w:val="left"/>
        <w:rPr>
          <w:rFonts w:ascii="宋体" w:hAnsi="宋体" w:cs="宋体"/>
          <w:b/>
          <w:bCs/>
          <w:color w:val="auto"/>
          <w:sz w:val="32"/>
          <w:szCs w:val="32"/>
          <w:highlight w:val="none"/>
        </w:rPr>
      </w:pPr>
      <w:r>
        <w:rPr>
          <w:rFonts w:hint="eastAsia" w:ascii="宋体" w:hAnsi="宋体" w:cs="宋体"/>
          <w:bCs/>
          <w:color w:val="auto"/>
          <w:sz w:val="22"/>
          <w:highlight w:val="none"/>
          <w:u w:val="single"/>
        </w:rPr>
        <w:t>备注：▲投标供应商必须按要求提供本声明，不提供按无效投标处理。</w:t>
      </w:r>
    </w:p>
    <w:p w14:paraId="45933A27">
      <w:pPr>
        <w:spacing w:line="360" w:lineRule="exact"/>
        <w:jc w:val="left"/>
        <w:rPr>
          <w:rFonts w:ascii="宋体" w:hAnsi="宋体" w:cs="宋体"/>
          <w:b/>
          <w:bCs/>
          <w:color w:val="auto"/>
          <w:sz w:val="32"/>
          <w:szCs w:val="32"/>
          <w:highlight w:val="none"/>
        </w:rPr>
      </w:pPr>
    </w:p>
    <w:p w14:paraId="3C2AB326">
      <w:pPr>
        <w:spacing w:line="360" w:lineRule="exact"/>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附件七</w:t>
      </w:r>
    </w:p>
    <w:p w14:paraId="4D278F7F">
      <w:pPr>
        <w:jc w:val="center"/>
        <w:rPr>
          <w:rFonts w:ascii="宋体" w:hAnsi="宋体" w:cs="宋体"/>
          <w:b/>
          <w:bCs/>
          <w:color w:val="auto"/>
          <w:sz w:val="32"/>
          <w:szCs w:val="32"/>
          <w:highlight w:val="none"/>
        </w:rPr>
      </w:pPr>
      <w:bookmarkStart w:id="48" w:name="_Toc7010_WPSOffice_Level3"/>
      <w:r>
        <w:rPr>
          <w:rFonts w:hint="eastAsia" w:ascii="宋体" w:hAnsi="宋体" w:cs="宋体"/>
          <w:b/>
          <w:bCs/>
          <w:color w:val="auto"/>
          <w:sz w:val="32"/>
          <w:szCs w:val="32"/>
          <w:highlight w:val="none"/>
        </w:rPr>
        <w:t>法定代表人诚信投标承诺书</w:t>
      </w:r>
      <w:bookmarkEnd w:id="48"/>
    </w:p>
    <w:p w14:paraId="01B8DB0D">
      <w:pPr>
        <w:spacing w:line="360" w:lineRule="auto"/>
        <w:jc w:val="left"/>
        <w:rPr>
          <w:rFonts w:ascii="宋体" w:hAnsi="宋体" w:cs="宋体"/>
          <w:color w:val="auto"/>
          <w:sz w:val="24"/>
          <w:highlight w:val="none"/>
        </w:rPr>
      </w:pPr>
    </w:p>
    <w:p w14:paraId="2BB82205">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51FDD84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rPr>
        <w:t>便携式超声、麻醉工作站等（采购编号：</w:t>
      </w:r>
      <w:r>
        <w:rPr>
          <w:rFonts w:hint="eastAsia" w:ascii="宋体" w:hAnsi="宋体" w:cs="宋体"/>
          <w:color w:val="auto"/>
          <w:sz w:val="22"/>
          <w:highlight w:val="none"/>
          <w:u w:val="single"/>
          <w:lang w:eastAsia="zh-CN"/>
        </w:rPr>
        <w:t xml:space="preserve">TSCG202511005 </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12602BEA">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一、杜绝以收取管理费等形式的一切挂靠、违法转包、分包行为；并选派有丰富经验、无不良行为记录的在项目管理人员、技术人员，严格按招标文件、投标文件及合同等要求保证拟派人员的到岗率。</w:t>
      </w:r>
    </w:p>
    <w:p w14:paraId="0E8161FD">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1498E04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47E1EF6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41AAC8F8">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4FEC978D">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427EE4AC">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19177C4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3507181E">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6C350173">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48858EB7">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46C0D8B9">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6F470DAA">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13E43882">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35588F8B">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2187A9CE">
      <w:pPr>
        <w:autoSpaceDE w:val="0"/>
        <w:autoSpaceDN w:val="0"/>
        <w:adjustRightInd w:val="0"/>
        <w:spacing w:line="360" w:lineRule="exact"/>
        <w:jc w:val="left"/>
        <w:rPr>
          <w:rFonts w:ascii="宋体" w:hAnsi="宋体" w:cs="宋体"/>
          <w:color w:val="auto"/>
          <w:sz w:val="32"/>
          <w:highlight w:val="none"/>
          <w:lang w:val="zh-CN"/>
        </w:rPr>
      </w:pPr>
    </w:p>
    <w:p w14:paraId="6C8A034C">
      <w:pPr>
        <w:pStyle w:val="16"/>
        <w:spacing w:line="360" w:lineRule="exact"/>
        <w:jc w:val="left"/>
        <w:rPr>
          <w:rFonts w:hAnsi="宋体" w:cs="宋体"/>
          <w:b/>
          <w:bCs/>
          <w:color w:val="auto"/>
          <w:sz w:val="32"/>
          <w:highlight w:val="none"/>
          <w:lang w:val="zh-CN"/>
        </w:rPr>
      </w:pPr>
    </w:p>
    <w:p w14:paraId="05AD750C">
      <w:pPr>
        <w:pStyle w:val="16"/>
        <w:spacing w:line="360" w:lineRule="exact"/>
        <w:jc w:val="left"/>
        <w:rPr>
          <w:rFonts w:hAnsi="宋体" w:cs="宋体"/>
          <w:b/>
          <w:bCs/>
          <w:color w:val="auto"/>
          <w:sz w:val="32"/>
          <w:highlight w:val="none"/>
          <w:lang w:val="zh-CN"/>
        </w:rPr>
      </w:pPr>
    </w:p>
    <w:p w14:paraId="6A6FF957">
      <w:pPr>
        <w:pStyle w:val="16"/>
        <w:spacing w:line="360" w:lineRule="exact"/>
        <w:jc w:val="left"/>
        <w:rPr>
          <w:rFonts w:hAnsi="宋体" w:cs="宋体"/>
          <w:b/>
          <w:bCs/>
          <w:color w:val="auto"/>
          <w:sz w:val="32"/>
          <w:highlight w:val="none"/>
          <w:lang w:val="zh-CN"/>
        </w:rPr>
      </w:pPr>
    </w:p>
    <w:p w14:paraId="64BD7058">
      <w:pPr>
        <w:pStyle w:val="16"/>
        <w:spacing w:line="360" w:lineRule="exact"/>
        <w:jc w:val="left"/>
        <w:rPr>
          <w:rFonts w:hAnsi="宋体" w:cs="宋体"/>
          <w:b/>
          <w:bCs/>
          <w:color w:val="auto"/>
          <w:sz w:val="32"/>
          <w:highlight w:val="none"/>
        </w:rPr>
      </w:pPr>
      <w:r>
        <w:rPr>
          <w:rFonts w:hint="eastAsia" w:hAnsi="宋体" w:cs="宋体"/>
          <w:b/>
          <w:bCs/>
          <w:color w:val="auto"/>
          <w:sz w:val="32"/>
          <w:highlight w:val="none"/>
          <w:lang w:val="zh-CN"/>
        </w:rPr>
        <w:t>附件</w:t>
      </w:r>
      <w:r>
        <w:rPr>
          <w:rFonts w:hint="eastAsia" w:hAnsi="宋体" w:cs="宋体"/>
          <w:b/>
          <w:bCs/>
          <w:color w:val="auto"/>
          <w:sz w:val="32"/>
          <w:highlight w:val="none"/>
        </w:rPr>
        <w:t>八</w:t>
      </w:r>
    </w:p>
    <w:p w14:paraId="528BD5D5">
      <w:pPr>
        <w:pStyle w:val="16"/>
        <w:spacing w:line="360" w:lineRule="exact"/>
        <w:jc w:val="center"/>
        <w:rPr>
          <w:rFonts w:hAnsi="宋体" w:cs="宋体"/>
          <w:b/>
          <w:bCs/>
          <w:color w:val="auto"/>
          <w:sz w:val="32"/>
          <w:highlight w:val="none"/>
          <w:lang w:val="zh-CN"/>
        </w:rPr>
      </w:pPr>
      <w:bookmarkStart w:id="49" w:name="_Toc18541_WPSOffice_Level3"/>
      <w:r>
        <w:rPr>
          <w:rFonts w:hint="eastAsia" w:hAnsi="宋体" w:cs="宋体"/>
          <w:b/>
          <w:bCs/>
          <w:color w:val="auto"/>
          <w:sz w:val="32"/>
          <w:highlight w:val="none"/>
          <w:lang w:val="zh-CN"/>
        </w:rPr>
        <w:t>（一）商务偏离表</w:t>
      </w:r>
      <w:bookmarkEnd w:id="49"/>
    </w:p>
    <w:p w14:paraId="59971B80">
      <w:pPr>
        <w:autoSpaceDE w:val="0"/>
        <w:autoSpaceDN w:val="0"/>
        <w:adjustRightInd w:val="0"/>
        <w:spacing w:line="360" w:lineRule="exact"/>
        <w:jc w:val="center"/>
        <w:rPr>
          <w:rFonts w:ascii="宋体" w:hAnsi="宋体" w:cs="宋体"/>
          <w:color w:val="auto"/>
          <w:sz w:val="32"/>
          <w:highlight w:val="none"/>
          <w:lang w:val="zh-CN"/>
        </w:rPr>
      </w:pPr>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523EDA0">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1506F683">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72BC07A">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7483EDB2">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0442BCA7">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F4C173B">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7475437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E5FFFFE">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3ECB0A1">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A40E5F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6C3B1B0">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C848F2C">
            <w:pPr>
              <w:autoSpaceDE w:val="0"/>
              <w:autoSpaceDN w:val="0"/>
              <w:adjustRightInd w:val="0"/>
              <w:spacing w:line="360" w:lineRule="exact"/>
              <w:jc w:val="center"/>
              <w:rPr>
                <w:rFonts w:ascii="宋体" w:hAnsi="宋体" w:cs="宋体"/>
                <w:color w:val="auto"/>
                <w:sz w:val="24"/>
                <w:highlight w:val="none"/>
                <w:lang w:val="zh-CN"/>
              </w:rPr>
            </w:pPr>
          </w:p>
        </w:tc>
      </w:tr>
      <w:tr w14:paraId="0663237E">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1AA9DE0">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9776C4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581815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44C8EA6">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09432F">
            <w:pPr>
              <w:autoSpaceDE w:val="0"/>
              <w:autoSpaceDN w:val="0"/>
              <w:adjustRightInd w:val="0"/>
              <w:spacing w:line="360" w:lineRule="exact"/>
              <w:jc w:val="center"/>
              <w:rPr>
                <w:rFonts w:ascii="宋体" w:hAnsi="宋体" w:cs="宋体"/>
                <w:color w:val="auto"/>
                <w:sz w:val="24"/>
                <w:highlight w:val="none"/>
                <w:lang w:val="zh-CN"/>
              </w:rPr>
            </w:pPr>
          </w:p>
        </w:tc>
      </w:tr>
      <w:tr w14:paraId="24E4238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4553BD8">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4E5813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9C151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E11C9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812D0E2">
            <w:pPr>
              <w:autoSpaceDE w:val="0"/>
              <w:autoSpaceDN w:val="0"/>
              <w:adjustRightInd w:val="0"/>
              <w:spacing w:line="360" w:lineRule="exact"/>
              <w:jc w:val="center"/>
              <w:rPr>
                <w:rFonts w:ascii="宋体" w:hAnsi="宋体" w:cs="宋体"/>
                <w:color w:val="auto"/>
                <w:sz w:val="24"/>
                <w:highlight w:val="none"/>
                <w:lang w:val="zh-CN"/>
              </w:rPr>
            </w:pPr>
          </w:p>
        </w:tc>
      </w:tr>
      <w:tr w14:paraId="036213B8">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F33B913">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E4FEF3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B99A8C3">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0EC241F">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E328696">
            <w:pPr>
              <w:autoSpaceDE w:val="0"/>
              <w:autoSpaceDN w:val="0"/>
              <w:adjustRightInd w:val="0"/>
              <w:spacing w:line="360" w:lineRule="exact"/>
              <w:jc w:val="center"/>
              <w:rPr>
                <w:rFonts w:ascii="宋体" w:hAnsi="宋体" w:cs="宋体"/>
                <w:color w:val="auto"/>
                <w:sz w:val="24"/>
                <w:highlight w:val="none"/>
                <w:lang w:val="zh-CN"/>
              </w:rPr>
            </w:pPr>
          </w:p>
        </w:tc>
      </w:tr>
      <w:tr w14:paraId="1F41766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49B2A8C">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BC193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E215E4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12B96B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0412BFE">
            <w:pPr>
              <w:autoSpaceDE w:val="0"/>
              <w:autoSpaceDN w:val="0"/>
              <w:adjustRightInd w:val="0"/>
              <w:spacing w:line="360" w:lineRule="exact"/>
              <w:jc w:val="center"/>
              <w:rPr>
                <w:rFonts w:ascii="宋体" w:hAnsi="宋体" w:cs="宋体"/>
                <w:color w:val="auto"/>
                <w:sz w:val="24"/>
                <w:highlight w:val="none"/>
                <w:lang w:val="zh-CN"/>
              </w:rPr>
            </w:pPr>
          </w:p>
        </w:tc>
      </w:tr>
      <w:tr w14:paraId="7AFB296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D674F8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F6334F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BF43E7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40D9846">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89799FC">
            <w:pPr>
              <w:autoSpaceDE w:val="0"/>
              <w:autoSpaceDN w:val="0"/>
              <w:adjustRightInd w:val="0"/>
              <w:spacing w:line="360" w:lineRule="exact"/>
              <w:jc w:val="center"/>
              <w:rPr>
                <w:rFonts w:ascii="宋体" w:hAnsi="宋体" w:cs="宋体"/>
                <w:color w:val="auto"/>
                <w:sz w:val="24"/>
                <w:highlight w:val="none"/>
                <w:lang w:val="zh-CN"/>
              </w:rPr>
            </w:pPr>
          </w:p>
        </w:tc>
      </w:tr>
      <w:tr w14:paraId="3442001E">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06FE129">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1D90E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C4BB6F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FB6260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9DD924B">
            <w:pPr>
              <w:autoSpaceDE w:val="0"/>
              <w:autoSpaceDN w:val="0"/>
              <w:adjustRightInd w:val="0"/>
              <w:spacing w:line="360" w:lineRule="exact"/>
              <w:jc w:val="center"/>
              <w:rPr>
                <w:rFonts w:ascii="宋体" w:hAnsi="宋体" w:cs="宋体"/>
                <w:color w:val="auto"/>
                <w:sz w:val="24"/>
                <w:highlight w:val="none"/>
                <w:lang w:val="zh-CN"/>
              </w:rPr>
            </w:pPr>
          </w:p>
        </w:tc>
      </w:tr>
      <w:tr w14:paraId="2DEDDF6F">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30B539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491C541">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74937D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EEF014D">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211BF89">
            <w:pPr>
              <w:autoSpaceDE w:val="0"/>
              <w:autoSpaceDN w:val="0"/>
              <w:adjustRightInd w:val="0"/>
              <w:spacing w:line="360" w:lineRule="exact"/>
              <w:jc w:val="center"/>
              <w:rPr>
                <w:rFonts w:ascii="宋体" w:hAnsi="宋体" w:cs="宋体"/>
                <w:color w:val="auto"/>
                <w:sz w:val="24"/>
                <w:highlight w:val="none"/>
                <w:lang w:val="zh-CN"/>
              </w:rPr>
            </w:pPr>
          </w:p>
        </w:tc>
      </w:tr>
      <w:tr w14:paraId="3440F5AF">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9A1781F">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28A0C1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4FE852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46145D">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287F14E">
            <w:pPr>
              <w:autoSpaceDE w:val="0"/>
              <w:autoSpaceDN w:val="0"/>
              <w:adjustRightInd w:val="0"/>
              <w:spacing w:line="360" w:lineRule="exact"/>
              <w:jc w:val="center"/>
              <w:rPr>
                <w:rFonts w:ascii="宋体" w:hAnsi="宋体" w:cs="宋体"/>
                <w:color w:val="auto"/>
                <w:sz w:val="24"/>
                <w:highlight w:val="none"/>
                <w:lang w:val="zh-CN"/>
              </w:rPr>
            </w:pPr>
          </w:p>
        </w:tc>
      </w:tr>
    </w:tbl>
    <w:p w14:paraId="3B1E04D5">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09AC2A16">
      <w:pPr>
        <w:autoSpaceDE w:val="0"/>
        <w:autoSpaceDN w:val="0"/>
        <w:adjustRightInd w:val="0"/>
        <w:spacing w:line="360" w:lineRule="exact"/>
        <w:rPr>
          <w:rFonts w:ascii="宋体" w:hAnsi="宋体" w:cs="宋体"/>
          <w:color w:val="auto"/>
          <w:sz w:val="32"/>
          <w:highlight w:val="none"/>
          <w:lang w:val="zh-CN"/>
        </w:rPr>
      </w:pPr>
    </w:p>
    <w:p w14:paraId="2CD74524">
      <w:pPr>
        <w:pStyle w:val="16"/>
        <w:spacing w:line="360" w:lineRule="exact"/>
        <w:jc w:val="center"/>
        <w:rPr>
          <w:rFonts w:hAnsi="宋体" w:cs="宋体"/>
          <w:b/>
          <w:bCs/>
          <w:color w:val="auto"/>
          <w:sz w:val="32"/>
          <w:highlight w:val="none"/>
          <w:lang w:val="zh-CN"/>
        </w:rPr>
      </w:pPr>
      <w:bookmarkStart w:id="50" w:name="_Toc4031_WPSOffice_Level3"/>
      <w:r>
        <w:rPr>
          <w:rFonts w:hint="eastAsia" w:hAnsi="宋体" w:cs="宋体"/>
          <w:b/>
          <w:bCs/>
          <w:color w:val="auto"/>
          <w:sz w:val="32"/>
          <w:highlight w:val="none"/>
          <w:lang w:val="zh-CN"/>
        </w:rPr>
        <w:t>（二）技术偏离表</w:t>
      </w:r>
      <w:bookmarkEnd w:id="50"/>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245AB489">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598443ED">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22ED0BC">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90A9CE2">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473142BF">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47DA7F84">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25754E8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6CCAD7B">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5282CFD">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152AF90">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C26165B">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C34823E">
            <w:pPr>
              <w:autoSpaceDE w:val="0"/>
              <w:autoSpaceDN w:val="0"/>
              <w:adjustRightInd w:val="0"/>
              <w:spacing w:line="360" w:lineRule="exact"/>
              <w:jc w:val="center"/>
              <w:rPr>
                <w:rFonts w:ascii="宋体" w:hAnsi="宋体" w:cs="宋体"/>
                <w:color w:val="auto"/>
                <w:sz w:val="22"/>
                <w:highlight w:val="none"/>
                <w:lang w:val="zh-CN"/>
              </w:rPr>
            </w:pPr>
          </w:p>
        </w:tc>
      </w:tr>
      <w:tr w14:paraId="612B6EB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05362BF">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0005F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DF1A0A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AC40C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03D77D8">
            <w:pPr>
              <w:autoSpaceDE w:val="0"/>
              <w:autoSpaceDN w:val="0"/>
              <w:adjustRightInd w:val="0"/>
              <w:spacing w:line="360" w:lineRule="exact"/>
              <w:jc w:val="center"/>
              <w:rPr>
                <w:rFonts w:ascii="宋体" w:hAnsi="宋体" w:cs="宋体"/>
                <w:color w:val="auto"/>
                <w:sz w:val="22"/>
                <w:highlight w:val="none"/>
                <w:lang w:val="zh-CN"/>
              </w:rPr>
            </w:pPr>
          </w:p>
        </w:tc>
      </w:tr>
      <w:tr w14:paraId="0093EDB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A44174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13D2D93">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0A17C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53EE9A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997D359">
            <w:pPr>
              <w:autoSpaceDE w:val="0"/>
              <w:autoSpaceDN w:val="0"/>
              <w:adjustRightInd w:val="0"/>
              <w:spacing w:line="360" w:lineRule="exact"/>
              <w:jc w:val="center"/>
              <w:rPr>
                <w:rFonts w:ascii="宋体" w:hAnsi="宋体" w:cs="宋体"/>
                <w:color w:val="auto"/>
                <w:sz w:val="22"/>
                <w:highlight w:val="none"/>
                <w:lang w:val="zh-CN"/>
              </w:rPr>
            </w:pPr>
          </w:p>
        </w:tc>
      </w:tr>
      <w:tr w14:paraId="3F817CF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613BDBB">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E627B8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2927F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EEB40C">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C7E2C97">
            <w:pPr>
              <w:autoSpaceDE w:val="0"/>
              <w:autoSpaceDN w:val="0"/>
              <w:adjustRightInd w:val="0"/>
              <w:spacing w:line="360" w:lineRule="exact"/>
              <w:jc w:val="center"/>
              <w:rPr>
                <w:rFonts w:ascii="宋体" w:hAnsi="宋体" w:cs="宋体"/>
                <w:color w:val="auto"/>
                <w:sz w:val="22"/>
                <w:highlight w:val="none"/>
                <w:lang w:val="zh-CN"/>
              </w:rPr>
            </w:pPr>
          </w:p>
        </w:tc>
      </w:tr>
      <w:tr w14:paraId="2BDDF96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5A4D18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F07C75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87657FF">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F1ACF4B">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28F3B2C">
            <w:pPr>
              <w:autoSpaceDE w:val="0"/>
              <w:autoSpaceDN w:val="0"/>
              <w:adjustRightInd w:val="0"/>
              <w:spacing w:line="360" w:lineRule="exact"/>
              <w:jc w:val="center"/>
              <w:rPr>
                <w:rFonts w:ascii="宋体" w:hAnsi="宋体" w:cs="宋体"/>
                <w:color w:val="auto"/>
                <w:sz w:val="22"/>
                <w:highlight w:val="none"/>
                <w:lang w:val="zh-CN"/>
              </w:rPr>
            </w:pPr>
          </w:p>
        </w:tc>
      </w:tr>
      <w:tr w14:paraId="62AAEFC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DB5A5E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CAA85A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4D73A4D">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FE490DB">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E962F8B">
            <w:pPr>
              <w:autoSpaceDE w:val="0"/>
              <w:autoSpaceDN w:val="0"/>
              <w:adjustRightInd w:val="0"/>
              <w:spacing w:line="360" w:lineRule="exact"/>
              <w:jc w:val="center"/>
              <w:rPr>
                <w:rFonts w:ascii="宋体" w:hAnsi="宋体" w:cs="宋体"/>
                <w:color w:val="auto"/>
                <w:sz w:val="22"/>
                <w:highlight w:val="none"/>
                <w:lang w:val="zh-CN"/>
              </w:rPr>
            </w:pPr>
          </w:p>
        </w:tc>
      </w:tr>
      <w:tr w14:paraId="63EB6C5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2BE01CE">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E582B7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788D9E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1BA8E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82AFAFC">
            <w:pPr>
              <w:autoSpaceDE w:val="0"/>
              <w:autoSpaceDN w:val="0"/>
              <w:adjustRightInd w:val="0"/>
              <w:spacing w:line="360" w:lineRule="exact"/>
              <w:jc w:val="center"/>
              <w:rPr>
                <w:rFonts w:ascii="宋体" w:hAnsi="宋体" w:cs="宋体"/>
                <w:color w:val="auto"/>
                <w:sz w:val="22"/>
                <w:highlight w:val="none"/>
                <w:lang w:val="zh-CN"/>
              </w:rPr>
            </w:pPr>
          </w:p>
        </w:tc>
      </w:tr>
      <w:tr w14:paraId="32B3FC7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9A71FF0">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B81231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42BE83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3789578">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40AF05E">
            <w:pPr>
              <w:autoSpaceDE w:val="0"/>
              <w:autoSpaceDN w:val="0"/>
              <w:adjustRightInd w:val="0"/>
              <w:spacing w:line="360" w:lineRule="exact"/>
              <w:jc w:val="center"/>
              <w:rPr>
                <w:rFonts w:ascii="宋体" w:hAnsi="宋体" w:cs="宋体"/>
                <w:color w:val="auto"/>
                <w:sz w:val="22"/>
                <w:highlight w:val="none"/>
                <w:lang w:val="zh-CN"/>
              </w:rPr>
            </w:pPr>
          </w:p>
        </w:tc>
      </w:tr>
      <w:tr w14:paraId="4F6CEEB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DE97BE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142635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EA036F">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E927258">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3397C94">
            <w:pPr>
              <w:autoSpaceDE w:val="0"/>
              <w:autoSpaceDN w:val="0"/>
              <w:adjustRightInd w:val="0"/>
              <w:spacing w:line="360" w:lineRule="exact"/>
              <w:jc w:val="center"/>
              <w:rPr>
                <w:rFonts w:ascii="宋体" w:hAnsi="宋体" w:cs="宋体"/>
                <w:color w:val="auto"/>
                <w:sz w:val="22"/>
                <w:highlight w:val="none"/>
                <w:lang w:val="zh-CN"/>
              </w:rPr>
            </w:pPr>
          </w:p>
        </w:tc>
      </w:tr>
    </w:tbl>
    <w:p w14:paraId="210FB29D">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7243F55E">
      <w:pPr>
        <w:rPr>
          <w:rFonts w:ascii="宋体" w:hAnsi="宋体" w:cs="宋体"/>
          <w:color w:val="auto"/>
          <w:highlight w:val="none"/>
        </w:rPr>
      </w:pPr>
      <w:bookmarkStart w:id="51" w:name="_Toc30988_WPSOffice_Level2"/>
      <w:r>
        <w:rPr>
          <w:rFonts w:hint="eastAsia" w:ascii="宋体" w:hAnsi="宋体" w:cs="宋体"/>
          <w:color w:val="auto"/>
          <w:highlight w:val="none"/>
        </w:rPr>
        <w:t>备注：表格可以延续</w:t>
      </w:r>
      <w:bookmarkEnd w:id="51"/>
    </w:p>
    <w:p w14:paraId="34290A2A">
      <w:pPr>
        <w:spacing w:line="360" w:lineRule="exact"/>
        <w:jc w:val="left"/>
        <w:rPr>
          <w:rFonts w:ascii="宋体" w:hAnsi="宋体" w:cs="宋体"/>
          <w:b/>
          <w:bCs/>
          <w:color w:val="auto"/>
          <w:sz w:val="30"/>
          <w:highlight w:val="none"/>
        </w:rPr>
      </w:pPr>
    </w:p>
    <w:p w14:paraId="2577C035">
      <w:pPr>
        <w:spacing w:line="360" w:lineRule="exact"/>
        <w:jc w:val="left"/>
        <w:rPr>
          <w:rFonts w:ascii="宋体" w:hAnsi="宋体" w:cs="宋体"/>
          <w:b/>
          <w:bCs/>
          <w:color w:val="auto"/>
          <w:sz w:val="30"/>
          <w:highlight w:val="none"/>
        </w:rPr>
      </w:pPr>
    </w:p>
    <w:p w14:paraId="7E1567A6">
      <w:pPr>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NumType w:start="1"/>
          <w:cols w:space="720" w:num="1"/>
          <w:titlePg/>
          <w:docGrid w:type="linesAndChars" w:linePitch="313" w:charSpace="800"/>
        </w:sectPr>
      </w:pPr>
    </w:p>
    <w:p w14:paraId="16364691">
      <w:pPr>
        <w:spacing w:line="360" w:lineRule="exact"/>
        <w:rPr>
          <w:rFonts w:ascii="宋体" w:hAnsi="Times New Roman" w:cs="宋体"/>
          <w:b/>
          <w:bCs/>
          <w:color w:val="auto"/>
          <w:kern w:val="0"/>
          <w:sz w:val="32"/>
          <w:szCs w:val="32"/>
          <w:highlight w:val="none"/>
        </w:rPr>
      </w:pPr>
    </w:p>
    <w:p w14:paraId="3B3DD482">
      <w:pPr>
        <w:spacing w:line="360" w:lineRule="exact"/>
        <w:rPr>
          <w:rFonts w:ascii="宋体" w:hAnsi="Times New Roman" w:cs="宋体"/>
          <w:b/>
          <w:bCs/>
          <w:color w:val="auto"/>
          <w:kern w:val="0"/>
          <w:sz w:val="32"/>
          <w:szCs w:val="32"/>
          <w:highlight w:val="none"/>
        </w:rPr>
      </w:pPr>
    </w:p>
    <w:p w14:paraId="4E0E6308">
      <w:pPr>
        <w:spacing w:line="360" w:lineRule="exact"/>
        <w:rPr>
          <w:rFonts w:ascii="宋体" w:hAnsi="Times New Roman" w:cs="宋体"/>
          <w:b/>
          <w:bCs/>
          <w:color w:val="auto"/>
          <w:kern w:val="0"/>
          <w:sz w:val="32"/>
          <w:szCs w:val="32"/>
          <w:highlight w:val="none"/>
        </w:rPr>
      </w:pPr>
      <w:r>
        <w:rPr>
          <w:rFonts w:hint="eastAsia" w:ascii="宋体" w:hAnsi="Times New Roman" w:cs="宋体"/>
          <w:b/>
          <w:bCs/>
          <w:color w:val="auto"/>
          <w:kern w:val="0"/>
          <w:sz w:val="32"/>
          <w:szCs w:val="32"/>
          <w:highlight w:val="none"/>
        </w:rPr>
        <w:t>附件九</w:t>
      </w:r>
    </w:p>
    <w:p w14:paraId="18FA01A6">
      <w:pPr>
        <w:spacing w:line="360" w:lineRule="exact"/>
        <w:jc w:val="center"/>
        <w:rPr>
          <w:rFonts w:ascii="宋体" w:hAnsi="Times New Roman" w:cs="宋体"/>
          <w:b/>
          <w:bCs/>
          <w:color w:val="auto"/>
          <w:sz w:val="32"/>
          <w:szCs w:val="32"/>
          <w:highlight w:val="none"/>
          <w:lang w:val="zh-CN"/>
        </w:rPr>
      </w:pPr>
      <w:bookmarkStart w:id="52" w:name="_Toc3495_WPSOffice_Level3"/>
      <w:r>
        <w:rPr>
          <w:rFonts w:hint="eastAsia" w:ascii="宋体" w:hAnsi="Times New Roman" w:cs="宋体"/>
          <w:b/>
          <w:bCs/>
          <w:color w:val="auto"/>
          <w:sz w:val="32"/>
          <w:szCs w:val="32"/>
          <w:highlight w:val="none"/>
          <w:lang w:val="zh-CN"/>
        </w:rPr>
        <w:t>投标产品配置清单</w:t>
      </w:r>
      <w:bookmarkEnd w:id="52"/>
    </w:p>
    <w:p w14:paraId="4A1E0BAE">
      <w:pPr>
        <w:spacing w:line="360" w:lineRule="exact"/>
        <w:rPr>
          <w:rFonts w:ascii="宋体" w:hAnsi="Times New Roman" w:cs="宋体"/>
          <w:color w:val="auto"/>
          <w:sz w:val="22"/>
          <w:szCs w:val="22"/>
          <w:highlight w:val="none"/>
        </w:rPr>
      </w:pPr>
      <w:r>
        <w:rPr>
          <w:rFonts w:hint="eastAsia" w:ascii="宋体" w:hAnsi="Times New Roman" w:cs="宋体"/>
          <w:color w:val="auto"/>
          <w:spacing w:val="20"/>
          <w:sz w:val="22"/>
          <w:szCs w:val="22"/>
          <w:highlight w:val="none"/>
        </w:rPr>
        <w:t>项目名称：</w:t>
      </w:r>
      <w:r>
        <w:rPr>
          <w:rFonts w:hint="eastAsia" w:ascii="宋体" w:hAnsi="宋体" w:cs="宋体"/>
          <w:color w:val="auto"/>
          <w:sz w:val="22"/>
          <w:szCs w:val="22"/>
          <w:highlight w:val="none"/>
          <w:u w:val="single"/>
          <w:lang w:val="zh-CN"/>
        </w:rPr>
        <w:t>便携式超声、麻醉工作站等</w:t>
      </w:r>
      <w:r>
        <w:rPr>
          <w:rFonts w:hint="eastAsia" w:ascii="宋体" w:hAnsi="Times New Roman" w:cs="宋体"/>
          <w:color w:val="auto"/>
          <w:sz w:val="22"/>
          <w:szCs w:val="22"/>
          <w:highlight w:val="none"/>
        </w:rPr>
        <w:t xml:space="preserve">               </w:t>
      </w:r>
    </w:p>
    <w:p w14:paraId="7DB2EBE6">
      <w:pPr>
        <w:spacing w:line="360" w:lineRule="exact"/>
        <w:rPr>
          <w:rFonts w:hint="eastAsia" w:ascii="宋体" w:hAnsi="Times New Roman" w:eastAsia="宋体" w:cs="宋体"/>
          <w:color w:val="auto"/>
          <w:spacing w:val="20"/>
          <w:sz w:val="22"/>
          <w:szCs w:val="22"/>
          <w:highlight w:val="none"/>
          <w:u w:val="single"/>
          <w:lang w:eastAsia="zh-CN"/>
        </w:rPr>
      </w:pPr>
      <w:r>
        <w:rPr>
          <w:rFonts w:hint="eastAsia" w:ascii="宋体" w:hAnsi="Times New Roman" w:cs="宋体"/>
          <w:color w:val="auto"/>
          <w:spacing w:val="20"/>
          <w:sz w:val="22"/>
          <w:szCs w:val="22"/>
          <w:highlight w:val="none"/>
        </w:rPr>
        <w:t>采购编号：</w:t>
      </w:r>
      <w:r>
        <w:rPr>
          <w:rFonts w:hint="eastAsia" w:ascii="宋体" w:hAnsi="Times New Roman" w:cs="宋体"/>
          <w:color w:val="auto"/>
          <w:sz w:val="22"/>
          <w:szCs w:val="22"/>
          <w:highlight w:val="none"/>
          <w:u w:val="single"/>
          <w:lang w:eastAsia="zh-CN"/>
        </w:rPr>
        <w:t xml:space="preserve">TSCG202511005 </w:t>
      </w:r>
    </w:p>
    <w:tbl>
      <w:tblPr>
        <w:tblStyle w:val="32"/>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7"/>
        <w:gridCol w:w="1483"/>
        <w:gridCol w:w="1152"/>
        <w:gridCol w:w="1078"/>
        <w:gridCol w:w="1758"/>
        <w:gridCol w:w="1005"/>
        <w:gridCol w:w="972"/>
        <w:gridCol w:w="1307"/>
      </w:tblGrid>
      <w:tr w14:paraId="163AB6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450" w:type="pct"/>
            <w:tcBorders>
              <w:top w:val="double" w:color="auto" w:sz="4" w:space="0"/>
            </w:tcBorders>
            <w:vAlign w:val="center"/>
          </w:tcPr>
          <w:p w14:paraId="5410C0A7">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序号</w:t>
            </w:r>
          </w:p>
        </w:tc>
        <w:tc>
          <w:tcPr>
            <w:tcW w:w="770" w:type="pct"/>
            <w:tcBorders>
              <w:top w:val="double" w:color="auto" w:sz="4" w:space="0"/>
            </w:tcBorders>
            <w:vAlign w:val="center"/>
          </w:tcPr>
          <w:p w14:paraId="21BBA84D">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货物名称</w:t>
            </w:r>
          </w:p>
        </w:tc>
        <w:tc>
          <w:tcPr>
            <w:tcW w:w="598" w:type="pct"/>
            <w:tcBorders>
              <w:top w:val="double" w:color="auto" w:sz="4" w:space="0"/>
            </w:tcBorders>
            <w:vAlign w:val="center"/>
          </w:tcPr>
          <w:p w14:paraId="37345F73">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型号</w:t>
            </w:r>
          </w:p>
        </w:tc>
        <w:tc>
          <w:tcPr>
            <w:tcW w:w="560" w:type="pct"/>
            <w:tcBorders>
              <w:top w:val="double" w:color="auto" w:sz="4" w:space="0"/>
            </w:tcBorders>
            <w:vAlign w:val="center"/>
          </w:tcPr>
          <w:p w14:paraId="6F3E9192">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品牌、产地</w:t>
            </w:r>
          </w:p>
        </w:tc>
        <w:tc>
          <w:tcPr>
            <w:tcW w:w="913" w:type="pct"/>
            <w:tcBorders>
              <w:top w:val="double" w:color="auto" w:sz="4" w:space="0"/>
            </w:tcBorders>
            <w:vAlign w:val="center"/>
          </w:tcPr>
          <w:p w14:paraId="4E63833A">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主要规格</w:t>
            </w:r>
          </w:p>
        </w:tc>
        <w:tc>
          <w:tcPr>
            <w:tcW w:w="522" w:type="pct"/>
            <w:tcBorders>
              <w:top w:val="double" w:color="auto" w:sz="4" w:space="0"/>
            </w:tcBorders>
            <w:vAlign w:val="center"/>
          </w:tcPr>
          <w:p w14:paraId="5AAE2534">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数量</w:t>
            </w:r>
          </w:p>
        </w:tc>
        <w:tc>
          <w:tcPr>
            <w:tcW w:w="505" w:type="pct"/>
            <w:tcBorders>
              <w:top w:val="double" w:color="auto" w:sz="4" w:space="0"/>
              <w:right w:val="single" w:color="auto" w:sz="4" w:space="0"/>
            </w:tcBorders>
            <w:vAlign w:val="center"/>
          </w:tcPr>
          <w:p w14:paraId="65D633A0">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单位</w:t>
            </w:r>
          </w:p>
        </w:tc>
        <w:tc>
          <w:tcPr>
            <w:tcW w:w="679" w:type="pct"/>
            <w:tcBorders>
              <w:top w:val="double" w:color="auto" w:sz="4" w:space="0"/>
              <w:left w:val="single" w:color="auto" w:sz="4" w:space="0"/>
            </w:tcBorders>
            <w:vAlign w:val="center"/>
          </w:tcPr>
          <w:p w14:paraId="65876501">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备注</w:t>
            </w:r>
          </w:p>
        </w:tc>
      </w:tr>
      <w:tr w14:paraId="1508A5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6567C128">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5869F598">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73FFAECB">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32E19523">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13232F11">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47D1605D">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466AAAAC">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05226EFD">
            <w:pPr>
              <w:adjustRightInd w:val="0"/>
              <w:snapToGrid w:val="0"/>
              <w:spacing w:line="460" w:lineRule="atLeast"/>
              <w:jc w:val="center"/>
              <w:rPr>
                <w:rFonts w:ascii="宋体" w:hAnsi="Times New Roman" w:cs="宋体"/>
                <w:color w:val="auto"/>
                <w:spacing w:val="20"/>
                <w:sz w:val="22"/>
                <w:szCs w:val="22"/>
                <w:highlight w:val="none"/>
              </w:rPr>
            </w:pPr>
          </w:p>
        </w:tc>
      </w:tr>
      <w:tr w14:paraId="324029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07D3EE91">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6873F17D">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430426D2">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11521B09">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15E3EC75">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63F30338">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7CCF5674">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39349B8C">
            <w:pPr>
              <w:adjustRightInd w:val="0"/>
              <w:snapToGrid w:val="0"/>
              <w:spacing w:line="460" w:lineRule="atLeast"/>
              <w:jc w:val="center"/>
              <w:rPr>
                <w:rFonts w:ascii="宋体" w:hAnsi="Times New Roman" w:cs="宋体"/>
                <w:color w:val="auto"/>
                <w:spacing w:val="20"/>
                <w:sz w:val="22"/>
                <w:szCs w:val="22"/>
                <w:highlight w:val="none"/>
              </w:rPr>
            </w:pPr>
          </w:p>
        </w:tc>
      </w:tr>
      <w:tr w14:paraId="28F88C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6297D0D6">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75337A3B">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52E51721">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39B523D5">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752C69DC">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43E601B3">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69DC15B4">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3B3986E3">
            <w:pPr>
              <w:adjustRightInd w:val="0"/>
              <w:snapToGrid w:val="0"/>
              <w:spacing w:line="460" w:lineRule="atLeast"/>
              <w:jc w:val="center"/>
              <w:rPr>
                <w:rFonts w:ascii="宋体" w:hAnsi="Times New Roman" w:cs="宋体"/>
                <w:color w:val="auto"/>
                <w:spacing w:val="20"/>
                <w:sz w:val="22"/>
                <w:szCs w:val="22"/>
                <w:highlight w:val="none"/>
              </w:rPr>
            </w:pPr>
          </w:p>
        </w:tc>
      </w:tr>
      <w:tr w14:paraId="0181A1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62425CF9">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26F59B3E">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37516ABF">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4978F754">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40B53878">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03441D1A">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671D2930">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64C1FFDD">
            <w:pPr>
              <w:adjustRightInd w:val="0"/>
              <w:snapToGrid w:val="0"/>
              <w:spacing w:line="460" w:lineRule="atLeast"/>
              <w:jc w:val="center"/>
              <w:rPr>
                <w:rFonts w:ascii="宋体" w:hAnsi="Times New Roman" w:cs="宋体"/>
                <w:color w:val="auto"/>
                <w:spacing w:val="20"/>
                <w:sz w:val="22"/>
                <w:szCs w:val="22"/>
                <w:highlight w:val="none"/>
              </w:rPr>
            </w:pPr>
          </w:p>
        </w:tc>
      </w:tr>
      <w:tr w14:paraId="1C1F9B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6520212C">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1CA58B99">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15E94021">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304DF9C5">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3A73D4DB">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08B9AAAE">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55D595E0">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7DE382D8">
            <w:pPr>
              <w:adjustRightInd w:val="0"/>
              <w:snapToGrid w:val="0"/>
              <w:spacing w:line="460" w:lineRule="atLeast"/>
              <w:jc w:val="center"/>
              <w:rPr>
                <w:rFonts w:ascii="宋体" w:hAnsi="Times New Roman" w:cs="宋体"/>
                <w:color w:val="auto"/>
                <w:spacing w:val="20"/>
                <w:sz w:val="22"/>
                <w:szCs w:val="22"/>
                <w:highlight w:val="none"/>
              </w:rPr>
            </w:pPr>
          </w:p>
        </w:tc>
      </w:tr>
      <w:tr w14:paraId="01D9BB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03A98ACE">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1A3EA734">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70A1295D">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71BCCCD1">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730A6DD3">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72243A40">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72DB9A2A">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6DB63344">
            <w:pPr>
              <w:adjustRightInd w:val="0"/>
              <w:snapToGrid w:val="0"/>
              <w:spacing w:line="460" w:lineRule="atLeast"/>
              <w:jc w:val="center"/>
              <w:rPr>
                <w:rFonts w:ascii="宋体" w:hAnsi="Times New Roman" w:cs="宋体"/>
                <w:color w:val="auto"/>
                <w:spacing w:val="20"/>
                <w:sz w:val="22"/>
                <w:szCs w:val="22"/>
                <w:highlight w:val="none"/>
              </w:rPr>
            </w:pPr>
          </w:p>
        </w:tc>
      </w:tr>
      <w:tr w14:paraId="339D5B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18EF8B57">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38C14D18">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6AB75CF2">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177597D8">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154EEA7A">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0F85F5DB">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21359A7E">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207495A3">
            <w:pPr>
              <w:adjustRightInd w:val="0"/>
              <w:snapToGrid w:val="0"/>
              <w:spacing w:line="460" w:lineRule="atLeast"/>
              <w:jc w:val="center"/>
              <w:rPr>
                <w:rFonts w:ascii="宋体" w:hAnsi="Times New Roman" w:cs="宋体"/>
                <w:color w:val="auto"/>
                <w:spacing w:val="20"/>
                <w:sz w:val="22"/>
                <w:szCs w:val="22"/>
                <w:highlight w:val="none"/>
              </w:rPr>
            </w:pPr>
          </w:p>
        </w:tc>
      </w:tr>
      <w:tr w14:paraId="7D8A06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36BC6922">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751A06C7">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028300CD">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76C2595D">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18EB3B07">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134437DD">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3B1FD53A">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4F43F7E6">
            <w:pPr>
              <w:adjustRightInd w:val="0"/>
              <w:snapToGrid w:val="0"/>
              <w:spacing w:line="460" w:lineRule="atLeast"/>
              <w:jc w:val="center"/>
              <w:rPr>
                <w:rFonts w:ascii="宋体" w:hAnsi="Times New Roman" w:cs="宋体"/>
                <w:color w:val="auto"/>
                <w:spacing w:val="20"/>
                <w:sz w:val="22"/>
                <w:szCs w:val="22"/>
                <w:highlight w:val="none"/>
              </w:rPr>
            </w:pPr>
          </w:p>
        </w:tc>
      </w:tr>
      <w:tr w14:paraId="44EC86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332CFA53">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5F8BFFAB">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18DC21D5">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500AB2A2">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4573CAEA">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063C5997">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54459C84">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0D9269AB">
            <w:pPr>
              <w:adjustRightInd w:val="0"/>
              <w:snapToGrid w:val="0"/>
              <w:spacing w:line="460" w:lineRule="atLeast"/>
              <w:jc w:val="center"/>
              <w:rPr>
                <w:rFonts w:ascii="宋体" w:hAnsi="Times New Roman" w:cs="宋体"/>
                <w:color w:val="auto"/>
                <w:spacing w:val="20"/>
                <w:sz w:val="22"/>
                <w:szCs w:val="22"/>
                <w:highlight w:val="none"/>
              </w:rPr>
            </w:pPr>
          </w:p>
        </w:tc>
      </w:tr>
      <w:tr w14:paraId="14EE8A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40E95F96">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5404E3FE">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5AAB73B2">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7E824721">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66EFCA87">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18397B88">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7044C5C1">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1963638B">
            <w:pPr>
              <w:adjustRightInd w:val="0"/>
              <w:snapToGrid w:val="0"/>
              <w:spacing w:line="460" w:lineRule="atLeast"/>
              <w:jc w:val="center"/>
              <w:rPr>
                <w:rFonts w:ascii="宋体" w:hAnsi="Times New Roman" w:cs="宋体"/>
                <w:color w:val="auto"/>
                <w:spacing w:val="20"/>
                <w:sz w:val="22"/>
                <w:szCs w:val="22"/>
                <w:highlight w:val="none"/>
              </w:rPr>
            </w:pPr>
          </w:p>
        </w:tc>
      </w:tr>
      <w:tr w14:paraId="7C59C6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tcBorders>
              <w:bottom w:val="double" w:color="auto" w:sz="4" w:space="0"/>
            </w:tcBorders>
            <w:vAlign w:val="center"/>
          </w:tcPr>
          <w:p w14:paraId="1E4A53F5">
            <w:pPr>
              <w:adjustRightInd w:val="0"/>
              <w:snapToGrid w:val="0"/>
              <w:spacing w:line="460" w:lineRule="atLeast"/>
              <w:jc w:val="center"/>
              <w:rPr>
                <w:rFonts w:ascii="宋体" w:hAnsi="Times New Roman" w:cs="宋体"/>
                <w:color w:val="auto"/>
                <w:spacing w:val="20"/>
                <w:sz w:val="22"/>
                <w:szCs w:val="22"/>
                <w:highlight w:val="none"/>
              </w:rPr>
            </w:pPr>
          </w:p>
        </w:tc>
        <w:tc>
          <w:tcPr>
            <w:tcW w:w="770" w:type="pct"/>
            <w:tcBorders>
              <w:bottom w:val="double" w:color="auto" w:sz="4" w:space="0"/>
            </w:tcBorders>
            <w:vAlign w:val="center"/>
          </w:tcPr>
          <w:p w14:paraId="24839A53">
            <w:pPr>
              <w:adjustRightInd w:val="0"/>
              <w:snapToGrid w:val="0"/>
              <w:spacing w:line="460" w:lineRule="atLeast"/>
              <w:jc w:val="center"/>
              <w:rPr>
                <w:rFonts w:ascii="宋体" w:hAnsi="Times New Roman" w:cs="宋体"/>
                <w:color w:val="auto"/>
                <w:spacing w:val="20"/>
                <w:sz w:val="22"/>
                <w:szCs w:val="22"/>
                <w:highlight w:val="none"/>
              </w:rPr>
            </w:pPr>
          </w:p>
        </w:tc>
        <w:tc>
          <w:tcPr>
            <w:tcW w:w="598" w:type="pct"/>
            <w:tcBorders>
              <w:bottom w:val="double" w:color="auto" w:sz="4" w:space="0"/>
            </w:tcBorders>
            <w:vAlign w:val="center"/>
          </w:tcPr>
          <w:p w14:paraId="67C41E18">
            <w:pPr>
              <w:adjustRightInd w:val="0"/>
              <w:snapToGrid w:val="0"/>
              <w:spacing w:line="460" w:lineRule="atLeast"/>
              <w:jc w:val="center"/>
              <w:rPr>
                <w:rFonts w:ascii="宋体" w:hAnsi="Times New Roman" w:cs="宋体"/>
                <w:color w:val="auto"/>
                <w:spacing w:val="20"/>
                <w:sz w:val="22"/>
                <w:szCs w:val="22"/>
                <w:highlight w:val="none"/>
              </w:rPr>
            </w:pPr>
          </w:p>
        </w:tc>
        <w:tc>
          <w:tcPr>
            <w:tcW w:w="560" w:type="pct"/>
            <w:tcBorders>
              <w:bottom w:val="double" w:color="auto" w:sz="4" w:space="0"/>
            </w:tcBorders>
            <w:vAlign w:val="center"/>
          </w:tcPr>
          <w:p w14:paraId="69C3648B">
            <w:pPr>
              <w:adjustRightInd w:val="0"/>
              <w:snapToGrid w:val="0"/>
              <w:spacing w:line="460" w:lineRule="atLeast"/>
              <w:jc w:val="center"/>
              <w:rPr>
                <w:rFonts w:ascii="宋体" w:hAnsi="Times New Roman" w:cs="宋体"/>
                <w:color w:val="auto"/>
                <w:spacing w:val="20"/>
                <w:sz w:val="22"/>
                <w:szCs w:val="22"/>
                <w:highlight w:val="none"/>
              </w:rPr>
            </w:pPr>
          </w:p>
        </w:tc>
        <w:tc>
          <w:tcPr>
            <w:tcW w:w="913" w:type="pct"/>
            <w:tcBorders>
              <w:bottom w:val="double" w:color="auto" w:sz="4" w:space="0"/>
            </w:tcBorders>
            <w:vAlign w:val="center"/>
          </w:tcPr>
          <w:p w14:paraId="07F522EF">
            <w:pPr>
              <w:adjustRightInd w:val="0"/>
              <w:snapToGrid w:val="0"/>
              <w:spacing w:line="460" w:lineRule="atLeast"/>
              <w:jc w:val="center"/>
              <w:rPr>
                <w:rFonts w:ascii="宋体" w:hAnsi="Times New Roman" w:cs="宋体"/>
                <w:color w:val="auto"/>
                <w:spacing w:val="20"/>
                <w:sz w:val="22"/>
                <w:szCs w:val="22"/>
                <w:highlight w:val="none"/>
              </w:rPr>
            </w:pPr>
          </w:p>
        </w:tc>
        <w:tc>
          <w:tcPr>
            <w:tcW w:w="522" w:type="pct"/>
            <w:tcBorders>
              <w:bottom w:val="double" w:color="auto" w:sz="4" w:space="0"/>
            </w:tcBorders>
            <w:vAlign w:val="center"/>
          </w:tcPr>
          <w:p w14:paraId="6249D6A8">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bottom w:val="double" w:color="auto" w:sz="4" w:space="0"/>
              <w:right w:val="single" w:color="auto" w:sz="4" w:space="0"/>
            </w:tcBorders>
            <w:vAlign w:val="center"/>
          </w:tcPr>
          <w:p w14:paraId="45BCCED6">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bottom w:val="double" w:color="auto" w:sz="4" w:space="0"/>
            </w:tcBorders>
            <w:vAlign w:val="center"/>
          </w:tcPr>
          <w:p w14:paraId="7757BF7B">
            <w:pPr>
              <w:adjustRightInd w:val="0"/>
              <w:snapToGrid w:val="0"/>
              <w:spacing w:line="460" w:lineRule="atLeast"/>
              <w:jc w:val="center"/>
              <w:rPr>
                <w:rFonts w:ascii="宋体" w:hAnsi="Times New Roman" w:cs="宋体"/>
                <w:color w:val="auto"/>
                <w:spacing w:val="20"/>
                <w:sz w:val="22"/>
                <w:szCs w:val="22"/>
                <w:highlight w:val="none"/>
              </w:rPr>
            </w:pPr>
          </w:p>
        </w:tc>
      </w:tr>
    </w:tbl>
    <w:p w14:paraId="1B1DF713">
      <w:pPr>
        <w:spacing w:line="360" w:lineRule="exact"/>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供应商盖章：</w:t>
      </w:r>
    </w:p>
    <w:p w14:paraId="679C65A6">
      <w:pPr>
        <w:spacing w:line="360" w:lineRule="auto"/>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注：</w:t>
      </w:r>
    </w:p>
    <w:p w14:paraId="75F471A9">
      <w:pPr>
        <w:spacing w:line="360" w:lineRule="auto"/>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1.放置《商务技术文件》中，本表相当于不带价格的明细报价表。</w:t>
      </w:r>
      <w:bookmarkStart w:id="53" w:name="_Toc24259_WPSOffice_Level3"/>
    </w:p>
    <w:p w14:paraId="3DB950DD">
      <w:pPr>
        <w:rPr>
          <w:rFonts w:ascii="Times New Roman" w:hAnsi="Times New Roman" w:cs="Times New Roman"/>
          <w:color w:val="auto"/>
          <w:szCs w:val="22"/>
          <w:highlight w:val="none"/>
        </w:rPr>
      </w:pPr>
      <w:r>
        <w:rPr>
          <w:rFonts w:hint="eastAsia" w:ascii="宋体" w:hAnsi="Times New Roman" w:cs="宋体"/>
          <w:color w:val="auto"/>
          <w:spacing w:val="20"/>
          <w:sz w:val="22"/>
          <w:szCs w:val="22"/>
          <w:highlight w:val="none"/>
        </w:rPr>
        <w:t>2.所投产品详细配置、技术应另页描述。</w:t>
      </w:r>
      <w:bookmarkEnd w:id="53"/>
    </w:p>
    <w:p w14:paraId="095FFA7E">
      <w:pPr>
        <w:rPr>
          <w:rFonts w:ascii="宋体" w:hAnsi="宋体" w:cs="宋体"/>
          <w:b/>
          <w:bCs/>
          <w:color w:val="auto"/>
          <w:sz w:val="32"/>
          <w:szCs w:val="32"/>
          <w:highlight w:val="none"/>
        </w:rPr>
      </w:pPr>
    </w:p>
    <w:p w14:paraId="42195CD6">
      <w:pPr>
        <w:rPr>
          <w:rFonts w:ascii="宋体" w:hAnsi="宋体" w:cs="宋体"/>
          <w:b/>
          <w:bCs/>
          <w:color w:val="auto"/>
          <w:sz w:val="32"/>
          <w:szCs w:val="32"/>
          <w:highlight w:val="none"/>
        </w:rPr>
      </w:pPr>
    </w:p>
    <w:p w14:paraId="620B45E5">
      <w:pPr>
        <w:rPr>
          <w:rFonts w:ascii="宋体" w:hAnsi="宋体" w:cs="宋体"/>
          <w:b/>
          <w:bCs/>
          <w:color w:val="auto"/>
          <w:sz w:val="32"/>
          <w:szCs w:val="32"/>
          <w:highlight w:val="none"/>
        </w:rPr>
      </w:pPr>
    </w:p>
    <w:p w14:paraId="65855F52">
      <w:pPr>
        <w:rPr>
          <w:rFonts w:ascii="宋体" w:hAnsi="宋体" w:cs="宋体"/>
          <w:b/>
          <w:bCs/>
          <w:color w:val="auto"/>
          <w:sz w:val="32"/>
          <w:szCs w:val="32"/>
          <w:highlight w:val="none"/>
        </w:rPr>
      </w:pPr>
    </w:p>
    <w:p w14:paraId="48A6B3AA">
      <w:pPr>
        <w:rPr>
          <w:rFonts w:ascii="宋体" w:hAnsi="宋体" w:cs="宋体"/>
          <w:b/>
          <w:bCs/>
          <w:color w:val="auto"/>
          <w:sz w:val="32"/>
          <w:szCs w:val="32"/>
          <w:highlight w:val="none"/>
        </w:rPr>
      </w:pPr>
    </w:p>
    <w:p w14:paraId="3E4769A8">
      <w:pPr>
        <w:rPr>
          <w:rFonts w:ascii="宋体" w:hAnsi="宋体" w:cs="宋体"/>
          <w:b/>
          <w:bCs/>
          <w:color w:val="auto"/>
          <w:sz w:val="32"/>
          <w:szCs w:val="32"/>
          <w:highlight w:val="none"/>
        </w:rPr>
      </w:pPr>
    </w:p>
    <w:p w14:paraId="54AD3742">
      <w:pPr>
        <w:rPr>
          <w:rFonts w:ascii="宋体" w:hAnsi="宋体" w:cs="宋体"/>
          <w:b/>
          <w:bCs/>
          <w:color w:val="auto"/>
          <w:sz w:val="32"/>
          <w:szCs w:val="32"/>
          <w:highlight w:val="none"/>
        </w:rPr>
      </w:pPr>
      <w:r>
        <w:rPr>
          <w:rFonts w:hint="eastAsia" w:ascii="宋体" w:hAnsi="宋体" w:cs="宋体"/>
          <w:b/>
          <w:bCs/>
          <w:color w:val="auto"/>
          <w:sz w:val="32"/>
          <w:szCs w:val="32"/>
          <w:highlight w:val="none"/>
        </w:rPr>
        <w:t>附件十</w:t>
      </w:r>
    </w:p>
    <w:p w14:paraId="142DC807">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3B5F8158">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便携式超声、麻醉工作站等</w:t>
      </w:r>
    </w:p>
    <w:p w14:paraId="59F1EDC6">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 xml:space="preserve">TSCG202511005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4FF7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313BB8D8">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5B2F103B">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378E9880">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747D4402">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4A6F4F2">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140F90E7">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3436AF1B">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30E879B3">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6191882A">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27219FAE">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2A51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B355F63">
            <w:pPr>
              <w:spacing w:line="360" w:lineRule="auto"/>
              <w:rPr>
                <w:rFonts w:ascii="宋体" w:hAnsi="宋体" w:cs="宋体"/>
                <w:color w:val="auto"/>
                <w:sz w:val="22"/>
                <w:highlight w:val="none"/>
              </w:rPr>
            </w:pPr>
          </w:p>
        </w:tc>
        <w:tc>
          <w:tcPr>
            <w:tcW w:w="2520" w:type="dxa"/>
            <w:vAlign w:val="center"/>
          </w:tcPr>
          <w:p w14:paraId="7999375F">
            <w:pPr>
              <w:spacing w:line="360" w:lineRule="auto"/>
              <w:rPr>
                <w:rFonts w:ascii="宋体" w:hAnsi="宋体" w:cs="宋体"/>
                <w:color w:val="auto"/>
                <w:sz w:val="22"/>
                <w:highlight w:val="none"/>
              </w:rPr>
            </w:pPr>
          </w:p>
        </w:tc>
        <w:tc>
          <w:tcPr>
            <w:tcW w:w="720" w:type="dxa"/>
            <w:vAlign w:val="center"/>
          </w:tcPr>
          <w:p w14:paraId="05EE329F">
            <w:pPr>
              <w:spacing w:line="360" w:lineRule="auto"/>
              <w:rPr>
                <w:rFonts w:ascii="宋体" w:hAnsi="宋体" w:cs="宋体"/>
                <w:color w:val="auto"/>
                <w:sz w:val="22"/>
                <w:highlight w:val="none"/>
              </w:rPr>
            </w:pPr>
          </w:p>
        </w:tc>
        <w:tc>
          <w:tcPr>
            <w:tcW w:w="720" w:type="dxa"/>
            <w:vAlign w:val="center"/>
          </w:tcPr>
          <w:p w14:paraId="1E18C206">
            <w:pPr>
              <w:spacing w:line="360" w:lineRule="auto"/>
              <w:rPr>
                <w:rFonts w:ascii="宋体" w:hAnsi="宋体" w:cs="宋体"/>
                <w:color w:val="auto"/>
                <w:sz w:val="22"/>
                <w:highlight w:val="none"/>
              </w:rPr>
            </w:pPr>
          </w:p>
        </w:tc>
        <w:tc>
          <w:tcPr>
            <w:tcW w:w="720" w:type="dxa"/>
            <w:vAlign w:val="center"/>
          </w:tcPr>
          <w:p w14:paraId="36D825DD">
            <w:pPr>
              <w:spacing w:line="360" w:lineRule="auto"/>
              <w:rPr>
                <w:rFonts w:ascii="宋体" w:hAnsi="宋体" w:cs="宋体"/>
                <w:color w:val="auto"/>
                <w:sz w:val="22"/>
                <w:highlight w:val="none"/>
              </w:rPr>
            </w:pPr>
          </w:p>
        </w:tc>
        <w:tc>
          <w:tcPr>
            <w:tcW w:w="1080" w:type="dxa"/>
            <w:vAlign w:val="center"/>
          </w:tcPr>
          <w:p w14:paraId="1D316648">
            <w:pPr>
              <w:spacing w:line="360" w:lineRule="auto"/>
              <w:rPr>
                <w:rFonts w:ascii="宋体" w:hAnsi="宋体" w:cs="宋体"/>
                <w:color w:val="auto"/>
                <w:sz w:val="22"/>
                <w:highlight w:val="none"/>
              </w:rPr>
            </w:pPr>
          </w:p>
        </w:tc>
        <w:tc>
          <w:tcPr>
            <w:tcW w:w="1458" w:type="dxa"/>
            <w:vAlign w:val="center"/>
          </w:tcPr>
          <w:p w14:paraId="0B2D8737">
            <w:pPr>
              <w:spacing w:line="360" w:lineRule="auto"/>
              <w:ind w:left="5250"/>
              <w:rPr>
                <w:rFonts w:ascii="宋体" w:hAnsi="宋体" w:cs="宋体"/>
                <w:color w:val="auto"/>
                <w:spacing w:val="12"/>
                <w:sz w:val="22"/>
                <w:highlight w:val="none"/>
              </w:rPr>
            </w:pPr>
          </w:p>
        </w:tc>
        <w:tc>
          <w:tcPr>
            <w:tcW w:w="1560" w:type="dxa"/>
            <w:vAlign w:val="center"/>
          </w:tcPr>
          <w:p w14:paraId="6CA8FF27">
            <w:pPr>
              <w:spacing w:line="360" w:lineRule="auto"/>
              <w:rPr>
                <w:rFonts w:ascii="宋体" w:hAnsi="宋体" w:cs="宋体"/>
                <w:color w:val="auto"/>
                <w:sz w:val="22"/>
                <w:highlight w:val="none"/>
              </w:rPr>
            </w:pPr>
          </w:p>
        </w:tc>
      </w:tr>
      <w:tr w14:paraId="04E2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F1709F4">
            <w:pPr>
              <w:spacing w:line="360" w:lineRule="auto"/>
              <w:rPr>
                <w:rFonts w:ascii="宋体" w:hAnsi="宋体" w:cs="宋体"/>
                <w:color w:val="auto"/>
                <w:sz w:val="22"/>
                <w:highlight w:val="none"/>
              </w:rPr>
            </w:pPr>
          </w:p>
        </w:tc>
        <w:tc>
          <w:tcPr>
            <w:tcW w:w="2520" w:type="dxa"/>
            <w:vAlign w:val="center"/>
          </w:tcPr>
          <w:p w14:paraId="01E598EE">
            <w:pPr>
              <w:spacing w:line="360" w:lineRule="auto"/>
              <w:rPr>
                <w:rFonts w:ascii="宋体" w:hAnsi="宋体" w:cs="宋体"/>
                <w:color w:val="auto"/>
                <w:sz w:val="22"/>
                <w:highlight w:val="none"/>
              </w:rPr>
            </w:pPr>
          </w:p>
        </w:tc>
        <w:tc>
          <w:tcPr>
            <w:tcW w:w="720" w:type="dxa"/>
            <w:vAlign w:val="center"/>
          </w:tcPr>
          <w:p w14:paraId="60289A48">
            <w:pPr>
              <w:spacing w:line="360" w:lineRule="auto"/>
              <w:rPr>
                <w:rFonts w:ascii="宋体" w:hAnsi="宋体" w:cs="宋体"/>
                <w:color w:val="auto"/>
                <w:sz w:val="22"/>
                <w:highlight w:val="none"/>
              </w:rPr>
            </w:pPr>
          </w:p>
        </w:tc>
        <w:tc>
          <w:tcPr>
            <w:tcW w:w="720" w:type="dxa"/>
            <w:vAlign w:val="center"/>
          </w:tcPr>
          <w:p w14:paraId="10B3A25D">
            <w:pPr>
              <w:spacing w:line="360" w:lineRule="auto"/>
              <w:rPr>
                <w:rFonts w:ascii="宋体" w:hAnsi="宋体" w:cs="宋体"/>
                <w:color w:val="auto"/>
                <w:sz w:val="22"/>
                <w:highlight w:val="none"/>
              </w:rPr>
            </w:pPr>
          </w:p>
        </w:tc>
        <w:tc>
          <w:tcPr>
            <w:tcW w:w="720" w:type="dxa"/>
            <w:vAlign w:val="center"/>
          </w:tcPr>
          <w:p w14:paraId="56688AF9">
            <w:pPr>
              <w:spacing w:line="360" w:lineRule="auto"/>
              <w:rPr>
                <w:rFonts w:ascii="宋体" w:hAnsi="宋体" w:cs="宋体"/>
                <w:color w:val="auto"/>
                <w:sz w:val="22"/>
                <w:highlight w:val="none"/>
              </w:rPr>
            </w:pPr>
          </w:p>
        </w:tc>
        <w:tc>
          <w:tcPr>
            <w:tcW w:w="1080" w:type="dxa"/>
            <w:vAlign w:val="center"/>
          </w:tcPr>
          <w:p w14:paraId="03A84D59">
            <w:pPr>
              <w:spacing w:line="360" w:lineRule="auto"/>
              <w:rPr>
                <w:rFonts w:ascii="宋体" w:hAnsi="宋体" w:cs="宋体"/>
                <w:color w:val="auto"/>
                <w:sz w:val="22"/>
                <w:highlight w:val="none"/>
              </w:rPr>
            </w:pPr>
          </w:p>
        </w:tc>
        <w:tc>
          <w:tcPr>
            <w:tcW w:w="1458" w:type="dxa"/>
            <w:vAlign w:val="center"/>
          </w:tcPr>
          <w:p w14:paraId="6AAC0F78">
            <w:pPr>
              <w:spacing w:line="360" w:lineRule="auto"/>
              <w:rPr>
                <w:rFonts w:ascii="宋体" w:hAnsi="宋体" w:cs="宋体"/>
                <w:color w:val="auto"/>
                <w:sz w:val="22"/>
                <w:highlight w:val="none"/>
              </w:rPr>
            </w:pPr>
          </w:p>
        </w:tc>
        <w:tc>
          <w:tcPr>
            <w:tcW w:w="1560" w:type="dxa"/>
            <w:vAlign w:val="center"/>
          </w:tcPr>
          <w:p w14:paraId="65DA5B03">
            <w:pPr>
              <w:spacing w:line="360" w:lineRule="auto"/>
              <w:ind w:left="5250"/>
              <w:rPr>
                <w:rFonts w:ascii="宋体" w:hAnsi="宋体" w:cs="宋体"/>
                <w:color w:val="auto"/>
                <w:spacing w:val="12"/>
                <w:sz w:val="22"/>
                <w:highlight w:val="none"/>
              </w:rPr>
            </w:pPr>
          </w:p>
        </w:tc>
      </w:tr>
      <w:tr w14:paraId="3169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FB8F3E8">
            <w:pPr>
              <w:spacing w:line="360" w:lineRule="auto"/>
              <w:rPr>
                <w:rFonts w:ascii="宋体" w:hAnsi="宋体" w:cs="宋体"/>
                <w:color w:val="auto"/>
                <w:sz w:val="22"/>
                <w:highlight w:val="none"/>
              </w:rPr>
            </w:pPr>
          </w:p>
        </w:tc>
        <w:tc>
          <w:tcPr>
            <w:tcW w:w="2520" w:type="dxa"/>
            <w:vAlign w:val="center"/>
          </w:tcPr>
          <w:p w14:paraId="7572100D">
            <w:pPr>
              <w:spacing w:line="360" w:lineRule="auto"/>
              <w:rPr>
                <w:rFonts w:ascii="宋体" w:hAnsi="宋体" w:cs="宋体"/>
                <w:color w:val="auto"/>
                <w:sz w:val="22"/>
                <w:highlight w:val="none"/>
              </w:rPr>
            </w:pPr>
          </w:p>
        </w:tc>
        <w:tc>
          <w:tcPr>
            <w:tcW w:w="720" w:type="dxa"/>
            <w:vAlign w:val="center"/>
          </w:tcPr>
          <w:p w14:paraId="33DEBDD5">
            <w:pPr>
              <w:spacing w:line="360" w:lineRule="auto"/>
              <w:rPr>
                <w:rFonts w:ascii="宋体" w:hAnsi="宋体" w:cs="宋体"/>
                <w:color w:val="auto"/>
                <w:sz w:val="22"/>
                <w:highlight w:val="none"/>
              </w:rPr>
            </w:pPr>
          </w:p>
        </w:tc>
        <w:tc>
          <w:tcPr>
            <w:tcW w:w="720" w:type="dxa"/>
            <w:vAlign w:val="center"/>
          </w:tcPr>
          <w:p w14:paraId="032558A5">
            <w:pPr>
              <w:spacing w:line="360" w:lineRule="auto"/>
              <w:rPr>
                <w:rFonts w:ascii="宋体" w:hAnsi="宋体" w:cs="宋体"/>
                <w:color w:val="auto"/>
                <w:sz w:val="22"/>
                <w:highlight w:val="none"/>
              </w:rPr>
            </w:pPr>
          </w:p>
        </w:tc>
        <w:tc>
          <w:tcPr>
            <w:tcW w:w="720" w:type="dxa"/>
            <w:vAlign w:val="center"/>
          </w:tcPr>
          <w:p w14:paraId="4AC65143">
            <w:pPr>
              <w:spacing w:line="360" w:lineRule="auto"/>
              <w:rPr>
                <w:rFonts w:ascii="宋体" w:hAnsi="宋体" w:cs="宋体"/>
                <w:color w:val="auto"/>
                <w:sz w:val="22"/>
                <w:highlight w:val="none"/>
              </w:rPr>
            </w:pPr>
          </w:p>
        </w:tc>
        <w:tc>
          <w:tcPr>
            <w:tcW w:w="1080" w:type="dxa"/>
            <w:vAlign w:val="center"/>
          </w:tcPr>
          <w:p w14:paraId="35284E56">
            <w:pPr>
              <w:spacing w:line="360" w:lineRule="auto"/>
              <w:rPr>
                <w:rFonts w:ascii="宋体" w:hAnsi="宋体" w:cs="宋体"/>
                <w:color w:val="auto"/>
                <w:sz w:val="22"/>
                <w:highlight w:val="none"/>
              </w:rPr>
            </w:pPr>
          </w:p>
        </w:tc>
        <w:tc>
          <w:tcPr>
            <w:tcW w:w="1458" w:type="dxa"/>
            <w:vAlign w:val="center"/>
          </w:tcPr>
          <w:p w14:paraId="6651FF4C">
            <w:pPr>
              <w:spacing w:line="360" w:lineRule="auto"/>
              <w:rPr>
                <w:rFonts w:ascii="宋体" w:hAnsi="宋体" w:cs="宋体"/>
                <w:color w:val="auto"/>
                <w:sz w:val="22"/>
                <w:highlight w:val="none"/>
              </w:rPr>
            </w:pPr>
          </w:p>
        </w:tc>
        <w:tc>
          <w:tcPr>
            <w:tcW w:w="1560" w:type="dxa"/>
            <w:vAlign w:val="center"/>
          </w:tcPr>
          <w:p w14:paraId="72BC0071">
            <w:pPr>
              <w:spacing w:line="360" w:lineRule="auto"/>
              <w:rPr>
                <w:rFonts w:ascii="宋体" w:hAnsi="宋体" w:cs="宋体"/>
                <w:color w:val="auto"/>
                <w:sz w:val="22"/>
                <w:highlight w:val="none"/>
              </w:rPr>
            </w:pPr>
          </w:p>
        </w:tc>
      </w:tr>
      <w:tr w14:paraId="434B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44C4D8E">
            <w:pPr>
              <w:spacing w:line="360" w:lineRule="auto"/>
              <w:rPr>
                <w:rFonts w:ascii="宋体" w:hAnsi="宋体" w:cs="宋体"/>
                <w:color w:val="auto"/>
                <w:sz w:val="22"/>
                <w:highlight w:val="none"/>
              </w:rPr>
            </w:pPr>
          </w:p>
        </w:tc>
        <w:tc>
          <w:tcPr>
            <w:tcW w:w="2520" w:type="dxa"/>
            <w:vAlign w:val="center"/>
          </w:tcPr>
          <w:p w14:paraId="3E481C4C">
            <w:pPr>
              <w:spacing w:line="360" w:lineRule="auto"/>
              <w:rPr>
                <w:rFonts w:ascii="宋体" w:hAnsi="宋体" w:cs="宋体"/>
                <w:color w:val="auto"/>
                <w:sz w:val="22"/>
                <w:highlight w:val="none"/>
              </w:rPr>
            </w:pPr>
          </w:p>
        </w:tc>
        <w:tc>
          <w:tcPr>
            <w:tcW w:w="720" w:type="dxa"/>
            <w:vAlign w:val="center"/>
          </w:tcPr>
          <w:p w14:paraId="6F727609">
            <w:pPr>
              <w:spacing w:line="360" w:lineRule="auto"/>
              <w:rPr>
                <w:rFonts w:ascii="宋体" w:hAnsi="宋体" w:cs="宋体"/>
                <w:color w:val="auto"/>
                <w:sz w:val="22"/>
                <w:highlight w:val="none"/>
              </w:rPr>
            </w:pPr>
          </w:p>
        </w:tc>
        <w:tc>
          <w:tcPr>
            <w:tcW w:w="720" w:type="dxa"/>
            <w:vAlign w:val="center"/>
          </w:tcPr>
          <w:p w14:paraId="15271CBA">
            <w:pPr>
              <w:spacing w:line="360" w:lineRule="auto"/>
              <w:rPr>
                <w:rFonts w:ascii="宋体" w:hAnsi="宋体" w:cs="宋体"/>
                <w:color w:val="auto"/>
                <w:sz w:val="22"/>
                <w:highlight w:val="none"/>
              </w:rPr>
            </w:pPr>
          </w:p>
        </w:tc>
        <w:tc>
          <w:tcPr>
            <w:tcW w:w="720" w:type="dxa"/>
            <w:vAlign w:val="center"/>
          </w:tcPr>
          <w:p w14:paraId="1885BCF3">
            <w:pPr>
              <w:spacing w:line="360" w:lineRule="auto"/>
              <w:rPr>
                <w:rFonts w:ascii="宋体" w:hAnsi="宋体" w:cs="宋体"/>
                <w:color w:val="auto"/>
                <w:sz w:val="22"/>
                <w:highlight w:val="none"/>
              </w:rPr>
            </w:pPr>
          </w:p>
        </w:tc>
        <w:tc>
          <w:tcPr>
            <w:tcW w:w="1080" w:type="dxa"/>
            <w:vAlign w:val="center"/>
          </w:tcPr>
          <w:p w14:paraId="5DAE84A7">
            <w:pPr>
              <w:spacing w:line="360" w:lineRule="auto"/>
              <w:rPr>
                <w:rFonts w:ascii="宋体" w:hAnsi="宋体" w:cs="宋体"/>
                <w:color w:val="auto"/>
                <w:sz w:val="22"/>
                <w:highlight w:val="none"/>
              </w:rPr>
            </w:pPr>
          </w:p>
        </w:tc>
        <w:tc>
          <w:tcPr>
            <w:tcW w:w="1458" w:type="dxa"/>
            <w:vAlign w:val="center"/>
          </w:tcPr>
          <w:p w14:paraId="0B23D45C">
            <w:pPr>
              <w:spacing w:line="360" w:lineRule="auto"/>
              <w:rPr>
                <w:rFonts w:ascii="宋体" w:hAnsi="宋体" w:cs="宋体"/>
                <w:color w:val="auto"/>
                <w:sz w:val="22"/>
                <w:highlight w:val="none"/>
              </w:rPr>
            </w:pPr>
          </w:p>
        </w:tc>
        <w:tc>
          <w:tcPr>
            <w:tcW w:w="1560" w:type="dxa"/>
            <w:vAlign w:val="center"/>
          </w:tcPr>
          <w:p w14:paraId="78969127">
            <w:pPr>
              <w:spacing w:line="360" w:lineRule="auto"/>
              <w:rPr>
                <w:rFonts w:ascii="宋体" w:hAnsi="宋体" w:cs="宋体"/>
                <w:color w:val="auto"/>
                <w:sz w:val="22"/>
                <w:highlight w:val="none"/>
              </w:rPr>
            </w:pPr>
          </w:p>
        </w:tc>
      </w:tr>
      <w:tr w14:paraId="7778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47351CF">
            <w:pPr>
              <w:spacing w:line="360" w:lineRule="auto"/>
              <w:rPr>
                <w:rFonts w:ascii="宋体" w:hAnsi="宋体" w:cs="宋体"/>
                <w:color w:val="auto"/>
                <w:sz w:val="22"/>
                <w:highlight w:val="none"/>
              </w:rPr>
            </w:pPr>
          </w:p>
        </w:tc>
        <w:tc>
          <w:tcPr>
            <w:tcW w:w="2520" w:type="dxa"/>
            <w:vAlign w:val="center"/>
          </w:tcPr>
          <w:p w14:paraId="17164BF7">
            <w:pPr>
              <w:spacing w:line="360" w:lineRule="auto"/>
              <w:rPr>
                <w:rFonts w:ascii="宋体" w:hAnsi="宋体" w:cs="宋体"/>
                <w:color w:val="auto"/>
                <w:sz w:val="22"/>
                <w:highlight w:val="none"/>
              </w:rPr>
            </w:pPr>
          </w:p>
        </w:tc>
        <w:tc>
          <w:tcPr>
            <w:tcW w:w="720" w:type="dxa"/>
            <w:vAlign w:val="center"/>
          </w:tcPr>
          <w:p w14:paraId="4D6D0D6F">
            <w:pPr>
              <w:spacing w:line="360" w:lineRule="auto"/>
              <w:rPr>
                <w:rFonts w:ascii="宋体" w:hAnsi="宋体" w:cs="宋体"/>
                <w:color w:val="auto"/>
                <w:sz w:val="22"/>
                <w:highlight w:val="none"/>
              </w:rPr>
            </w:pPr>
          </w:p>
        </w:tc>
        <w:tc>
          <w:tcPr>
            <w:tcW w:w="720" w:type="dxa"/>
            <w:vAlign w:val="center"/>
          </w:tcPr>
          <w:p w14:paraId="6BA938D5">
            <w:pPr>
              <w:spacing w:line="360" w:lineRule="auto"/>
              <w:rPr>
                <w:rFonts w:ascii="宋体" w:hAnsi="宋体" w:cs="宋体"/>
                <w:color w:val="auto"/>
                <w:sz w:val="22"/>
                <w:highlight w:val="none"/>
              </w:rPr>
            </w:pPr>
          </w:p>
        </w:tc>
        <w:tc>
          <w:tcPr>
            <w:tcW w:w="720" w:type="dxa"/>
            <w:vAlign w:val="center"/>
          </w:tcPr>
          <w:p w14:paraId="55F63797">
            <w:pPr>
              <w:spacing w:line="360" w:lineRule="auto"/>
              <w:rPr>
                <w:rFonts w:ascii="宋体" w:hAnsi="宋体" w:cs="宋体"/>
                <w:color w:val="auto"/>
                <w:sz w:val="22"/>
                <w:highlight w:val="none"/>
              </w:rPr>
            </w:pPr>
          </w:p>
        </w:tc>
        <w:tc>
          <w:tcPr>
            <w:tcW w:w="1080" w:type="dxa"/>
            <w:vAlign w:val="center"/>
          </w:tcPr>
          <w:p w14:paraId="61BF9191">
            <w:pPr>
              <w:spacing w:line="360" w:lineRule="auto"/>
              <w:rPr>
                <w:rFonts w:ascii="宋体" w:hAnsi="宋体" w:cs="宋体"/>
                <w:color w:val="auto"/>
                <w:sz w:val="22"/>
                <w:highlight w:val="none"/>
              </w:rPr>
            </w:pPr>
          </w:p>
        </w:tc>
        <w:tc>
          <w:tcPr>
            <w:tcW w:w="1458" w:type="dxa"/>
            <w:vAlign w:val="center"/>
          </w:tcPr>
          <w:p w14:paraId="0D404F3B">
            <w:pPr>
              <w:spacing w:line="360" w:lineRule="auto"/>
              <w:rPr>
                <w:rFonts w:ascii="宋体" w:hAnsi="宋体" w:cs="宋体"/>
                <w:color w:val="auto"/>
                <w:sz w:val="22"/>
                <w:highlight w:val="none"/>
              </w:rPr>
            </w:pPr>
          </w:p>
        </w:tc>
        <w:tc>
          <w:tcPr>
            <w:tcW w:w="1560" w:type="dxa"/>
            <w:vAlign w:val="center"/>
          </w:tcPr>
          <w:p w14:paraId="772C3EF5">
            <w:pPr>
              <w:spacing w:line="360" w:lineRule="auto"/>
              <w:rPr>
                <w:rFonts w:ascii="宋体" w:hAnsi="宋体" w:cs="宋体"/>
                <w:color w:val="auto"/>
                <w:sz w:val="22"/>
                <w:highlight w:val="none"/>
              </w:rPr>
            </w:pPr>
          </w:p>
        </w:tc>
      </w:tr>
      <w:tr w14:paraId="7DC3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6F6F849">
            <w:pPr>
              <w:spacing w:line="360" w:lineRule="auto"/>
              <w:rPr>
                <w:rFonts w:ascii="宋体" w:hAnsi="宋体" w:cs="宋体"/>
                <w:color w:val="auto"/>
                <w:sz w:val="22"/>
                <w:highlight w:val="none"/>
              </w:rPr>
            </w:pPr>
          </w:p>
        </w:tc>
        <w:tc>
          <w:tcPr>
            <w:tcW w:w="2520" w:type="dxa"/>
            <w:vAlign w:val="center"/>
          </w:tcPr>
          <w:p w14:paraId="5B9FDC10">
            <w:pPr>
              <w:spacing w:line="360" w:lineRule="auto"/>
              <w:rPr>
                <w:rFonts w:ascii="宋体" w:hAnsi="宋体" w:cs="宋体"/>
                <w:color w:val="auto"/>
                <w:sz w:val="22"/>
                <w:highlight w:val="none"/>
              </w:rPr>
            </w:pPr>
          </w:p>
        </w:tc>
        <w:tc>
          <w:tcPr>
            <w:tcW w:w="720" w:type="dxa"/>
            <w:vAlign w:val="center"/>
          </w:tcPr>
          <w:p w14:paraId="1ECA3FF6">
            <w:pPr>
              <w:spacing w:line="360" w:lineRule="auto"/>
              <w:rPr>
                <w:rFonts w:ascii="宋体" w:hAnsi="宋体" w:cs="宋体"/>
                <w:color w:val="auto"/>
                <w:sz w:val="22"/>
                <w:highlight w:val="none"/>
              </w:rPr>
            </w:pPr>
          </w:p>
        </w:tc>
        <w:tc>
          <w:tcPr>
            <w:tcW w:w="720" w:type="dxa"/>
            <w:vAlign w:val="center"/>
          </w:tcPr>
          <w:p w14:paraId="5004744B">
            <w:pPr>
              <w:spacing w:line="360" w:lineRule="auto"/>
              <w:rPr>
                <w:rFonts w:ascii="宋体" w:hAnsi="宋体" w:cs="宋体"/>
                <w:color w:val="auto"/>
                <w:sz w:val="22"/>
                <w:highlight w:val="none"/>
              </w:rPr>
            </w:pPr>
          </w:p>
        </w:tc>
        <w:tc>
          <w:tcPr>
            <w:tcW w:w="720" w:type="dxa"/>
            <w:vAlign w:val="center"/>
          </w:tcPr>
          <w:p w14:paraId="55EE365D">
            <w:pPr>
              <w:spacing w:line="360" w:lineRule="auto"/>
              <w:rPr>
                <w:rFonts w:ascii="宋体" w:hAnsi="宋体" w:cs="宋体"/>
                <w:color w:val="auto"/>
                <w:sz w:val="22"/>
                <w:highlight w:val="none"/>
              </w:rPr>
            </w:pPr>
          </w:p>
        </w:tc>
        <w:tc>
          <w:tcPr>
            <w:tcW w:w="1080" w:type="dxa"/>
            <w:vAlign w:val="center"/>
          </w:tcPr>
          <w:p w14:paraId="2EA874D0">
            <w:pPr>
              <w:spacing w:line="360" w:lineRule="auto"/>
              <w:rPr>
                <w:rFonts w:ascii="宋体" w:hAnsi="宋体" w:cs="宋体"/>
                <w:color w:val="auto"/>
                <w:sz w:val="22"/>
                <w:highlight w:val="none"/>
              </w:rPr>
            </w:pPr>
          </w:p>
        </w:tc>
        <w:tc>
          <w:tcPr>
            <w:tcW w:w="1458" w:type="dxa"/>
            <w:vAlign w:val="center"/>
          </w:tcPr>
          <w:p w14:paraId="0F96200A">
            <w:pPr>
              <w:spacing w:line="360" w:lineRule="auto"/>
              <w:rPr>
                <w:rFonts w:ascii="宋体" w:hAnsi="宋体" w:cs="宋体"/>
                <w:color w:val="auto"/>
                <w:sz w:val="22"/>
                <w:highlight w:val="none"/>
              </w:rPr>
            </w:pPr>
          </w:p>
        </w:tc>
        <w:tc>
          <w:tcPr>
            <w:tcW w:w="1560" w:type="dxa"/>
            <w:vAlign w:val="center"/>
          </w:tcPr>
          <w:p w14:paraId="0D57D642">
            <w:pPr>
              <w:spacing w:line="360" w:lineRule="auto"/>
              <w:rPr>
                <w:rFonts w:ascii="宋体" w:hAnsi="宋体" w:cs="宋体"/>
                <w:color w:val="auto"/>
                <w:sz w:val="22"/>
                <w:highlight w:val="none"/>
              </w:rPr>
            </w:pPr>
          </w:p>
        </w:tc>
      </w:tr>
      <w:tr w14:paraId="3DAF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C165944">
            <w:pPr>
              <w:spacing w:line="360" w:lineRule="auto"/>
              <w:rPr>
                <w:rFonts w:ascii="宋体" w:hAnsi="宋体" w:cs="宋体"/>
                <w:color w:val="auto"/>
                <w:sz w:val="22"/>
                <w:highlight w:val="none"/>
              </w:rPr>
            </w:pPr>
          </w:p>
        </w:tc>
        <w:tc>
          <w:tcPr>
            <w:tcW w:w="2520" w:type="dxa"/>
            <w:vAlign w:val="center"/>
          </w:tcPr>
          <w:p w14:paraId="106B63BE">
            <w:pPr>
              <w:spacing w:line="360" w:lineRule="auto"/>
              <w:rPr>
                <w:rFonts w:ascii="宋体" w:hAnsi="宋体" w:cs="宋体"/>
                <w:color w:val="auto"/>
                <w:sz w:val="22"/>
                <w:highlight w:val="none"/>
              </w:rPr>
            </w:pPr>
          </w:p>
        </w:tc>
        <w:tc>
          <w:tcPr>
            <w:tcW w:w="720" w:type="dxa"/>
            <w:vAlign w:val="center"/>
          </w:tcPr>
          <w:p w14:paraId="02DE21EE">
            <w:pPr>
              <w:spacing w:line="360" w:lineRule="auto"/>
              <w:rPr>
                <w:rFonts w:ascii="宋体" w:hAnsi="宋体" w:cs="宋体"/>
                <w:color w:val="auto"/>
                <w:sz w:val="22"/>
                <w:highlight w:val="none"/>
              </w:rPr>
            </w:pPr>
          </w:p>
        </w:tc>
        <w:tc>
          <w:tcPr>
            <w:tcW w:w="720" w:type="dxa"/>
            <w:vAlign w:val="center"/>
          </w:tcPr>
          <w:p w14:paraId="1EC859E4">
            <w:pPr>
              <w:spacing w:line="360" w:lineRule="auto"/>
              <w:rPr>
                <w:rFonts w:ascii="宋体" w:hAnsi="宋体" w:cs="宋体"/>
                <w:color w:val="auto"/>
                <w:sz w:val="22"/>
                <w:highlight w:val="none"/>
              </w:rPr>
            </w:pPr>
          </w:p>
        </w:tc>
        <w:tc>
          <w:tcPr>
            <w:tcW w:w="720" w:type="dxa"/>
            <w:vAlign w:val="center"/>
          </w:tcPr>
          <w:p w14:paraId="072D3CAD">
            <w:pPr>
              <w:spacing w:line="360" w:lineRule="auto"/>
              <w:rPr>
                <w:rFonts w:ascii="宋体" w:hAnsi="宋体" w:cs="宋体"/>
                <w:color w:val="auto"/>
                <w:sz w:val="22"/>
                <w:highlight w:val="none"/>
              </w:rPr>
            </w:pPr>
          </w:p>
        </w:tc>
        <w:tc>
          <w:tcPr>
            <w:tcW w:w="1080" w:type="dxa"/>
            <w:vAlign w:val="center"/>
          </w:tcPr>
          <w:p w14:paraId="6D7D6FD8">
            <w:pPr>
              <w:spacing w:line="360" w:lineRule="auto"/>
              <w:rPr>
                <w:rFonts w:ascii="宋体" w:hAnsi="宋体" w:cs="宋体"/>
                <w:color w:val="auto"/>
                <w:sz w:val="22"/>
                <w:highlight w:val="none"/>
              </w:rPr>
            </w:pPr>
          </w:p>
        </w:tc>
        <w:tc>
          <w:tcPr>
            <w:tcW w:w="1458" w:type="dxa"/>
            <w:vAlign w:val="center"/>
          </w:tcPr>
          <w:p w14:paraId="003897C0">
            <w:pPr>
              <w:spacing w:line="360" w:lineRule="auto"/>
              <w:rPr>
                <w:rFonts w:ascii="宋体" w:hAnsi="宋体" w:cs="宋体"/>
                <w:color w:val="auto"/>
                <w:sz w:val="22"/>
                <w:highlight w:val="none"/>
              </w:rPr>
            </w:pPr>
          </w:p>
        </w:tc>
        <w:tc>
          <w:tcPr>
            <w:tcW w:w="1560" w:type="dxa"/>
            <w:vAlign w:val="center"/>
          </w:tcPr>
          <w:p w14:paraId="162251FB">
            <w:pPr>
              <w:spacing w:line="360" w:lineRule="auto"/>
              <w:rPr>
                <w:rFonts w:ascii="宋体" w:hAnsi="宋体" w:cs="宋体"/>
                <w:color w:val="auto"/>
                <w:sz w:val="22"/>
                <w:highlight w:val="none"/>
              </w:rPr>
            </w:pPr>
          </w:p>
        </w:tc>
      </w:tr>
      <w:tr w14:paraId="17E0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BFD2610">
            <w:pPr>
              <w:spacing w:line="360" w:lineRule="auto"/>
              <w:rPr>
                <w:rFonts w:ascii="宋体" w:hAnsi="宋体" w:cs="宋体"/>
                <w:color w:val="auto"/>
                <w:sz w:val="22"/>
                <w:highlight w:val="none"/>
              </w:rPr>
            </w:pPr>
          </w:p>
        </w:tc>
        <w:tc>
          <w:tcPr>
            <w:tcW w:w="2520" w:type="dxa"/>
            <w:vAlign w:val="center"/>
          </w:tcPr>
          <w:p w14:paraId="59A9F9DF">
            <w:pPr>
              <w:spacing w:line="360" w:lineRule="auto"/>
              <w:rPr>
                <w:rFonts w:ascii="宋体" w:hAnsi="宋体" w:cs="宋体"/>
                <w:color w:val="auto"/>
                <w:sz w:val="22"/>
                <w:highlight w:val="none"/>
              </w:rPr>
            </w:pPr>
          </w:p>
        </w:tc>
        <w:tc>
          <w:tcPr>
            <w:tcW w:w="720" w:type="dxa"/>
            <w:vAlign w:val="center"/>
          </w:tcPr>
          <w:p w14:paraId="68E3B37B">
            <w:pPr>
              <w:spacing w:line="360" w:lineRule="auto"/>
              <w:rPr>
                <w:rFonts w:ascii="宋体" w:hAnsi="宋体" w:cs="宋体"/>
                <w:color w:val="auto"/>
                <w:sz w:val="22"/>
                <w:highlight w:val="none"/>
              </w:rPr>
            </w:pPr>
          </w:p>
        </w:tc>
        <w:tc>
          <w:tcPr>
            <w:tcW w:w="720" w:type="dxa"/>
            <w:vAlign w:val="center"/>
          </w:tcPr>
          <w:p w14:paraId="02695CDD">
            <w:pPr>
              <w:spacing w:line="360" w:lineRule="auto"/>
              <w:rPr>
                <w:rFonts w:ascii="宋体" w:hAnsi="宋体" w:cs="宋体"/>
                <w:color w:val="auto"/>
                <w:sz w:val="22"/>
                <w:highlight w:val="none"/>
              </w:rPr>
            </w:pPr>
          </w:p>
        </w:tc>
        <w:tc>
          <w:tcPr>
            <w:tcW w:w="720" w:type="dxa"/>
            <w:vAlign w:val="center"/>
          </w:tcPr>
          <w:p w14:paraId="1F1C4255">
            <w:pPr>
              <w:spacing w:line="360" w:lineRule="auto"/>
              <w:rPr>
                <w:rFonts w:ascii="宋体" w:hAnsi="宋体" w:cs="宋体"/>
                <w:color w:val="auto"/>
                <w:sz w:val="22"/>
                <w:highlight w:val="none"/>
              </w:rPr>
            </w:pPr>
          </w:p>
        </w:tc>
        <w:tc>
          <w:tcPr>
            <w:tcW w:w="1080" w:type="dxa"/>
            <w:vAlign w:val="center"/>
          </w:tcPr>
          <w:p w14:paraId="1A298BA1">
            <w:pPr>
              <w:spacing w:line="360" w:lineRule="auto"/>
              <w:rPr>
                <w:rFonts w:ascii="宋体" w:hAnsi="宋体" w:cs="宋体"/>
                <w:color w:val="auto"/>
                <w:sz w:val="22"/>
                <w:highlight w:val="none"/>
              </w:rPr>
            </w:pPr>
          </w:p>
        </w:tc>
        <w:tc>
          <w:tcPr>
            <w:tcW w:w="1458" w:type="dxa"/>
            <w:vAlign w:val="center"/>
          </w:tcPr>
          <w:p w14:paraId="46DE5450">
            <w:pPr>
              <w:spacing w:line="360" w:lineRule="auto"/>
              <w:rPr>
                <w:rFonts w:ascii="宋体" w:hAnsi="宋体" w:cs="宋体"/>
                <w:color w:val="auto"/>
                <w:sz w:val="22"/>
                <w:highlight w:val="none"/>
              </w:rPr>
            </w:pPr>
          </w:p>
        </w:tc>
        <w:tc>
          <w:tcPr>
            <w:tcW w:w="1560" w:type="dxa"/>
            <w:vAlign w:val="center"/>
          </w:tcPr>
          <w:p w14:paraId="5A555D13">
            <w:pPr>
              <w:spacing w:line="360" w:lineRule="auto"/>
              <w:rPr>
                <w:rFonts w:ascii="宋体" w:hAnsi="宋体" w:cs="宋体"/>
                <w:color w:val="auto"/>
                <w:sz w:val="22"/>
                <w:highlight w:val="none"/>
              </w:rPr>
            </w:pPr>
          </w:p>
        </w:tc>
      </w:tr>
      <w:tr w14:paraId="0088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A487614">
            <w:pPr>
              <w:spacing w:line="360" w:lineRule="auto"/>
              <w:rPr>
                <w:rFonts w:ascii="宋体" w:hAnsi="宋体" w:cs="宋体"/>
                <w:color w:val="auto"/>
                <w:sz w:val="22"/>
                <w:highlight w:val="none"/>
              </w:rPr>
            </w:pPr>
          </w:p>
        </w:tc>
        <w:tc>
          <w:tcPr>
            <w:tcW w:w="2520" w:type="dxa"/>
            <w:vAlign w:val="center"/>
          </w:tcPr>
          <w:p w14:paraId="68E68FFD">
            <w:pPr>
              <w:spacing w:line="360" w:lineRule="auto"/>
              <w:rPr>
                <w:rFonts w:ascii="宋体" w:hAnsi="宋体" w:cs="宋体"/>
                <w:color w:val="auto"/>
                <w:sz w:val="22"/>
                <w:highlight w:val="none"/>
              </w:rPr>
            </w:pPr>
          </w:p>
        </w:tc>
        <w:tc>
          <w:tcPr>
            <w:tcW w:w="720" w:type="dxa"/>
            <w:vAlign w:val="center"/>
          </w:tcPr>
          <w:p w14:paraId="702EDBFC">
            <w:pPr>
              <w:spacing w:line="360" w:lineRule="auto"/>
              <w:rPr>
                <w:rFonts w:ascii="宋体" w:hAnsi="宋体" w:cs="宋体"/>
                <w:color w:val="auto"/>
                <w:sz w:val="22"/>
                <w:highlight w:val="none"/>
              </w:rPr>
            </w:pPr>
          </w:p>
        </w:tc>
        <w:tc>
          <w:tcPr>
            <w:tcW w:w="720" w:type="dxa"/>
            <w:vAlign w:val="center"/>
          </w:tcPr>
          <w:p w14:paraId="50BA5525">
            <w:pPr>
              <w:spacing w:line="360" w:lineRule="auto"/>
              <w:rPr>
                <w:rFonts w:ascii="宋体" w:hAnsi="宋体" w:cs="宋体"/>
                <w:color w:val="auto"/>
                <w:sz w:val="22"/>
                <w:highlight w:val="none"/>
              </w:rPr>
            </w:pPr>
          </w:p>
        </w:tc>
        <w:tc>
          <w:tcPr>
            <w:tcW w:w="720" w:type="dxa"/>
            <w:vAlign w:val="center"/>
          </w:tcPr>
          <w:p w14:paraId="17615D5C">
            <w:pPr>
              <w:spacing w:line="360" w:lineRule="auto"/>
              <w:rPr>
                <w:rFonts w:ascii="宋体" w:hAnsi="宋体" w:cs="宋体"/>
                <w:color w:val="auto"/>
                <w:sz w:val="22"/>
                <w:highlight w:val="none"/>
              </w:rPr>
            </w:pPr>
          </w:p>
        </w:tc>
        <w:tc>
          <w:tcPr>
            <w:tcW w:w="1080" w:type="dxa"/>
            <w:vAlign w:val="center"/>
          </w:tcPr>
          <w:p w14:paraId="0D476200">
            <w:pPr>
              <w:spacing w:line="360" w:lineRule="auto"/>
              <w:rPr>
                <w:rFonts w:ascii="宋体" w:hAnsi="宋体" w:cs="宋体"/>
                <w:color w:val="auto"/>
                <w:sz w:val="22"/>
                <w:highlight w:val="none"/>
              </w:rPr>
            </w:pPr>
          </w:p>
        </w:tc>
        <w:tc>
          <w:tcPr>
            <w:tcW w:w="1458" w:type="dxa"/>
            <w:vAlign w:val="center"/>
          </w:tcPr>
          <w:p w14:paraId="068749BC">
            <w:pPr>
              <w:spacing w:line="360" w:lineRule="auto"/>
              <w:rPr>
                <w:rFonts w:ascii="宋体" w:hAnsi="宋体" w:cs="宋体"/>
                <w:color w:val="auto"/>
                <w:sz w:val="22"/>
                <w:highlight w:val="none"/>
              </w:rPr>
            </w:pPr>
          </w:p>
        </w:tc>
        <w:tc>
          <w:tcPr>
            <w:tcW w:w="1560" w:type="dxa"/>
            <w:vAlign w:val="center"/>
          </w:tcPr>
          <w:p w14:paraId="0F245976">
            <w:pPr>
              <w:spacing w:line="360" w:lineRule="auto"/>
              <w:rPr>
                <w:rFonts w:ascii="宋体" w:hAnsi="宋体" w:cs="宋体"/>
                <w:color w:val="auto"/>
                <w:sz w:val="22"/>
                <w:highlight w:val="none"/>
              </w:rPr>
            </w:pPr>
          </w:p>
        </w:tc>
      </w:tr>
      <w:tr w14:paraId="4FA3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9FF64D9">
            <w:pPr>
              <w:spacing w:line="360" w:lineRule="auto"/>
              <w:rPr>
                <w:rFonts w:ascii="宋体" w:hAnsi="宋体" w:cs="宋体"/>
                <w:color w:val="auto"/>
                <w:sz w:val="22"/>
                <w:highlight w:val="none"/>
              </w:rPr>
            </w:pPr>
          </w:p>
        </w:tc>
        <w:tc>
          <w:tcPr>
            <w:tcW w:w="2520" w:type="dxa"/>
            <w:vAlign w:val="center"/>
          </w:tcPr>
          <w:p w14:paraId="75CC94D9">
            <w:pPr>
              <w:spacing w:line="360" w:lineRule="auto"/>
              <w:rPr>
                <w:rFonts w:ascii="宋体" w:hAnsi="宋体" w:cs="宋体"/>
                <w:color w:val="auto"/>
                <w:sz w:val="22"/>
                <w:highlight w:val="none"/>
              </w:rPr>
            </w:pPr>
          </w:p>
        </w:tc>
        <w:tc>
          <w:tcPr>
            <w:tcW w:w="720" w:type="dxa"/>
            <w:vAlign w:val="center"/>
          </w:tcPr>
          <w:p w14:paraId="44774121">
            <w:pPr>
              <w:spacing w:line="360" w:lineRule="auto"/>
              <w:rPr>
                <w:rFonts w:ascii="宋体" w:hAnsi="宋体" w:cs="宋体"/>
                <w:color w:val="auto"/>
                <w:sz w:val="22"/>
                <w:highlight w:val="none"/>
              </w:rPr>
            </w:pPr>
          </w:p>
        </w:tc>
        <w:tc>
          <w:tcPr>
            <w:tcW w:w="720" w:type="dxa"/>
            <w:vAlign w:val="center"/>
          </w:tcPr>
          <w:p w14:paraId="2E0A6DA0">
            <w:pPr>
              <w:spacing w:line="360" w:lineRule="auto"/>
              <w:rPr>
                <w:rFonts w:ascii="宋体" w:hAnsi="宋体" w:cs="宋体"/>
                <w:color w:val="auto"/>
                <w:sz w:val="22"/>
                <w:highlight w:val="none"/>
              </w:rPr>
            </w:pPr>
          </w:p>
        </w:tc>
        <w:tc>
          <w:tcPr>
            <w:tcW w:w="720" w:type="dxa"/>
            <w:vAlign w:val="center"/>
          </w:tcPr>
          <w:p w14:paraId="611C5669">
            <w:pPr>
              <w:spacing w:line="360" w:lineRule="auto"/>
              <w:rPr>
                <w:rFonts w:ascii="宋体" w:hAnsi="宋体" w:cs="宋体"/>
                <w:color w:val="auto"/>
                <w:sz w:val="22"/>
                <w:highlight w:val="none"/>
              </w:rPr>
            </w:pPr>
          </w:p>
        </w:tc>
        <w:tc>
          <w:tcPr>
            <w:tcW w:w="1080" w:type="dxa"/>
            <w:vAlign w:val="center"/>
          </w:tcPr>
          <w:p w14:paraId="172BD855">
            <w:pPr>
              <w:spacing w:line="360" w:lineRule="auto"/>
              <w:rPr>
                <w:rFonts w:ascii="宋体" w:hAnsi="宋体" w:cs="宋体"/>
                <w:color w:val="auto"/>
                <w:sz w:val="22"/>
                <w:highlight w:val="none"/>
              </w:rPr>
            </w:pPr>
          </w:p>
        </w:tc>
        <w:tc>
          <w:tcPr>
            <w:tcW w:w="1458" w:type="dxa"/>
            <w:vAlign w:val="center"/>
          </w:tcPr>
          <w:p w14:paraId="0816F4B9">
            <w:pPr>
              <w:spacing w:line="360" w:lineRule="auto"/>
              <w:rPr>
                <w:rFonts w:ascii="宋体" w:hAnsi="宋体" w:cs="宋体"/>
                <w:color w:val="auto"/>
                <w:sz w:val="22"/>
                <w:highlight w:val="none"/>
              </w:rPr>
            </w:pPr>
          </w:p>
        </w:tc>
        <w:tc>
          <w:tcPr>
            <w:tcW w:w="1560" w:type="dxa"/>
            <w:vAlign w:val="center"/>
          </w:tcPr>
          <w:p w14:paraId="73B70764">
            <w:pPr>
              <w:spacing w:line="360" w:lineRule="auto"/>
              <w:rPr>
                <w:rFonts w:ascii="宋体" w:hAnsi="宋体" w:cs="宋体"/>
                <w:color w:val="auto"/>
                <w:sz w:val="22"/>
                <w:highlight w:val="none"/>
              </w:rPr>
            </w:pPr>
          </w:p>
        </w:tc>
      </w:tr>
      <w:tr w14:paraId="14B8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B578EFC">
            <w:pPr>
              <w:spacing w:line="360" w:lineRule="auto"/>
              <w:rPr>
                <w:rFonts w:ascii="宋体" w:hAnsi="宋体" w:cs="宋体"/>
                <w:color w:val="auto"/>
                <w:sz w:val="22"/>
                <w:highlight w:val="none"/>
              </w:rPr>
            </w:pPr>
          </w:p>
        </w:tc>
        <w:tc>
          <w:tcPr>
            <w:tcW w:w="2520" w:type="dxa"/>
            <w:vAlign w:val="center"/>
          </w:tcPr>
          <w:p w14:paraId="79152D9D">
            <w:pPr>
              <w:spacing w:line="360" w:lineRule="auto"/>
              <w:rPr>
                <w:rFonts w:ascii="宋体" w:hAnsi="宋体" w:cs="宋体"/>
                <w:color w:val="auto"/>
                <w:sz w:val="22"/>
                <w:highlight w:val="none"/>
              </w:rPr>
            </w:pPr>
          </w:p>
        </w:tc>
        <w:tc>
          <w:tcPr>
            <w:tcW w:w="720" w:type="dxa"/>
            <w:vAlign w:val="center"/>
          </w:tcPr>
          <w:p w14:paraId="3C83D898">
            <w:pPr>
              <w:spacing w:line="360" w:lineRule="auto"/>
              <w:rPr>
                <w:rFonts w:ascii="宋体" w:hAnsi="宋体" w:cs="宋体"/>
                <w:color w:val="auto"/>
                <w:sz w:val="22"/>
                <w:highlight w:val="none"/>
              </w:rPr>
            </w:pPr>
          </w:p>
        </w:tc>
        <w:tc>
          <w:tcPr>
            <w:tcW w:w="720" w:type="dxa"/>
            <w:vAlign w:val="center"/>
          </w:tcPr>
          <w:p w14:paraId="2919231A">
            <w:pPr>
              <w:spacing w:line="360" w:lineRule="auto"/>
              <w:rPr>
                <w:rFonts w:ascii="宋体" w:hAnsi="宋体" w:cs="宋体"/>
                <w:color w:val="auto"/>
                <w:sz w:val="22"/>
                <w:highlight w:val="none"/>
              </w:rPr>
            </w:pPr>
          </w:p>
        </w:tc>
        <w:tc>
          <w:tcPr>
            <w:tcW w:w="720" w:type="dxa"/>
            <w:vAlign w:val="center"/>
          </w:tcPr>
          <w:p w14:paraId="446454CB">
            <w:pPr>
              <w:spacing w:line="360" w:lineRule="auto"/>
              <w:rPr>
                <w:rFonts w:ascii="宋体" w:hAnsi="宋体" w:cs="宋体"/>
                <w:color w:val="auto"/>
                <w:sz w:val="22"/>
                <w:highlight w:val="none"/>
              </w:rPr>
            </w:pPr>
          </w:p>
        </w:tc>
        <w:tc>
          <w:tcPr>
            <w:tcW w:w="1080" w:type="dxa"/>
            <w:vAlign w:val="center"/>
          </w:tcPr>
          <w:p w14:paraId="5815BA00">
            <w:pPr>
              <w:spacing w:line="360" w:lineRule="auto"/>
              <w:rPr>
                <w:rFonts w:ascii="宋体" w:hAnsi="宋体" w:cs="宋体"/>
                <w:color w:val="auto"/>
                <w:sz w:val="22"/>
                <w:highlight w:val="none"/>
              </w:rPr>
            </w:pPr>
          </w:p>
        </w:tc>
        <w:tc>
          <w:tcPr>
            <w:tcW w:w="1458" w:type="dxa"/>
            <w:vAlign w:val="center"/>
          </w:tcPr>
          <w:p w14:paraId="548D6C10">
            <w:pPr>
              <w:spacing w:line="360" w:lineRule="auto"/>
              <w:rPr>
                <w:rFonts w:ascii="宋体" w:hAnsi="宋体" w:cs="宋体"/>
                <w:color w:val="auto"/>
                <w:sz w:val="22"/>
                <w:highlight w:val="none"/>
              </w:rPr>
            </w:pPr>
          </w:p>
        </w:tc>
        <w:tc>
          <w:tcPr>
            <w:tcW w:w="1560" w:type="dxa"/>
            <w:vAlign w:val="center"/>
          </w:tcPr>
          <w:p w14:paraId="50778863">
            <w:pPr>
              <w:spacing w:line="360" w:lineRule="auto"/>
              <w:rPr>
                <w:rFonts w:ascii="宋体" w:hAnsi="宋体" w:cs="宋体"/>
                <w:color w:val="auto"/>
                <w:sz w:val="22"/>
                <w:highlight w:val="none"/>
              </w:rPr>
            </w:pPr>
          </w:p>
        </w:tc>
      </w:tr>
      <w:tr w14:paraId="126F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94A3F68">
            <w:pPr>
              <w:spacing w:line="360" w:lineRule="auto"/>
              <w:rPr>
                <w:rFonts w:ascii="宋体" w:hAnsi="宋体" w:cs="宋体"/>
                <w:color w:val="auto"/>
                <w:sz w:val="22"/>
                <w:highlight w:val="none"/>
              </w:rPr>
            </w:pPr>
          </w:p>
        </w:tc>
        <w:tc>
          <w:tcPr>
            <w:tcW w:w="2520" w:type="dxa"/>
            <w:vAlign w:val="center"/>
          </w:tcPr>
          <w:p w14:paraId="306F6055">
            <w:pPr>
              <w:spacing w:line="360" w:lineRule="auto"/>
              <w:rPr>
                <w:rFonts w:ascii="宋体" w:hAnsi="宋体" w:cs="宋体"/>
                <w:color w:val="auto"/>
                <w:sz w:val="22"/>
                <w:highlight w:val="none"/>
              </w:rPr>
            </w:pPr>
          </w:p>
        </w:tc>
        <w:tc>
          <w:tcPr>
            <w:tcW w:w="720" w:type="dxa"/>
            <w:vAlign w:val="center"/>
          </w:tcPr>
          <w:p w14:paraId="3BCF77EB">
            <w:pPr>
              <w:spacing w:line="360" w:lineRule="auto"/>
              <w:rPr>
                <w:rFonts w:ascii="宋体" w:hAnsi="宋体" w:cs="宋体"/>
                <w:color w:val="auto"/>
                <w:sz w:val="22"/>
                <w:highlight w:val="none"/>
              </w:rPr>
            </w:pPr>
          </w:p>
        </w:tc>
        <w:tc>
          <w:tcPr>
            <w:tcW w:w="720" w:type="dxa"/>
            <w:vAlign w:val="center"/>
          </w:tcPr>
          <w:p w14:paraId="21384073">
            <w:pPr>
              <w:spacing w:line="360" w:lineRule="auto"/>
              <w:rPr>
                <w:rFonts w:ascii="宋体" w:hAnsi="宋体" w:cs="宋体"/>
                <w:color w:val="auto"/>
                <w:sz w:val="22"/>
                <w:highlight w:val="none"/>
              </w:rPr>
            </w:pPr>
          </w:p>
        </w:tc>
        <w:tc>
          <w:tcPr>
            <w:tcW w:w="720" w:type="dxa"/>
            <w:vAlign w:val="center"/>
          </w:tcPr>
          <w:p w14:paraId="060D3999">
            <w:pPr>
              <w:spacing w:line="360" w:lineRule="auto"/>
              <w:rPr>
                <w:rFonts w:ascii="宋体" w:hAnsi="宋体" w:cs="宋体"/>
                <w:color w:val="auto"/>
                <w:sz w:val="22"/>
                <w:highlight w:val="none"/>
              </w:rPr>
            </w:pPr>
          </w:p>
        </w:tc>
        <w:tc>
          <w:tcPr>
            <w:tcW w:w="1080" w:type="dxa"/>
            <w:vAlign w:val="center"/>
          </w:tcPr>
          <w:p w14:paraId="44675070">
            <w:pPr>
              <w:spacing w:line="360" w:lineRule="auto"/>
              <w:rPr>
                <w:rFonts w:ascii="宋体" w:hAnsi="宋体" w:cs="宋体"/>
                <w:color w:val="auto"/>
                <w:sz w:val="22"/>
                <w:highlight w:val="none"/>
              </w:rPr>
            </w:pPr>
          </w:p>
        </w:tc>
        <w:tc>
          <w:tcPr>
            <w:tcW w:w="1458" w:type="dxa"/>
            <w:vAlign w:val="center"/>
          </w:tcPr>
          <w:p w14:paraId="4A85B8D2">
            <w:pPr>
              <w:spacing w:line="360" w:lineRule="auto"/>
              <w:rPr>
                <w:rFonts w:ascii="宋体" w:hAnsi="宋体" w:cs="宋体"/>
                <w:color w:val="auto"/>
                <w:sz w:val="22"/>
                <w:highlight w:val="none"/>
              </w:rPr>
            </w:pPr>
          </w:p>
        </w:tc>
        <w:tc>
          <w:tcPr>
            <w:tcW w:w="1560" w:type="dxa"/>
            <w:vAlign w:val="center"/>
          </w:tcPr>
          <w:p w14:paraId="07102BDB">
            <w:pPr>
              <w:spacing w:line="360" w:lineRule="auto"/>
              <w:rPr>
                <w:rFonts w:ascii="宋体" w:hAnsi="宋体" w:cs="宋体"/>
                <w:color w:val="auto"/>
                <w:sz w:val="22"/>
                <w:highlight w:val="none"/>
              </w:rPr>
            </w:pPr>
          </w:p>
        </w:tc>
      </w:tr>
      <w:tr w14:paraId="3A76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C928145">
            <w:pPr>
              <w:spacing w:line="360" w:lineRule="auto"/>
              <w:rPr>
                <w:rFonts w:ascii="宋体" w:hAnsi="宋体" w:cs="宋体"/>
                <w:color w:val="auto"/>
                <w:sz w:val="22"/>
                <w:highlight w:val="none"/>
              </w:rPr>
            </w:pPr>
          </w:p>
        </w:tc>
        <w:tc>
          <w:tcPr>
            <w:tcW w:w="2520" w:type="dxa"/>
            <w:vAlign w:val="center"/>
          </w:tcPr>
          <w:p w14:paraId="2B760AE9">
            <w:pPr>
              <w:spacing w:line="360" w:lineRule="auto"/>
              <w:rPr>
                <w:rFonts w:ascii="宋体" w:hAnsi="宋体" w:cs="宋体"/>
                <w:color w:val="auto"/>
                <w:sz w:val="22"/>
                <w:highlight w:val="none"/>
              </w:rPr>
            </w:pPr>
          </w:p>
        </w:tc>
        <w:tc>
          <w:tcPr>
            <w:tcW w:w="720" w:type="dxa"/>
            <w:vAlign w:val="center"/>
          </w:tcPr>
          <w:p w14:paraId="6A8D5420">
            <w:pPr>
              <w:spacing w:line="360" w:lineRule="auto"/>
              <w:rPr>
                <w:rFonts w:ascii="宋体" w:hAnsi="宋体" w:cs="宋体"/>
                <w:color w:val="auto"/>
                <w:sz w:val="22"/>
                <w:highlight w:val="none"/>
              </w:rPr>
            </w:pPr>
          </w:p>
        </w:tc>
        <w:tc>
          <w:tcPr>
            <w:tcW w:w="720" w:type="dxa"/>
            <w:vAlign w:val="center"/>
          </w:tcPr>
          <w:p w14:paraId="4AE13467">
            <w:pPr>
              <w:spacing w:line="360" w:lineRule="auto"/>
              <w:rPr>
                <w:rFonts w:ascii="宋体" w:hAnsi="宋体" w:cs="宋体"/>
                <w:color w:val="auto"/>
                <w:sz w:val="22"/>
                <w:highlight w:val="none"/>
              </w:rPr>
            </w:pPr>
          </w:p>
        </w:tc>
        <w:tc>
          <w:tcPr>
            <w:tcW w:w="720" w:type="dxa"/>
            <w:vAlign w:val="center"/>
          </w:tcPr>
          <w:p w14:paraId="3CA43905">
            <w:pPr>
              <w:spacing w:line="360" w:lineRule="auto"/>
              <w:rPr>
                <w:rFonts w:ascii="宋体" w:hAnsi="宋体" w:cs="宋体"/>
                <w:color w:val="auto"/>
                <w:sz w:val="22"/>
                <w:highlight w:val="none"/>
              </w:rPr>
            </w:pPr>
          </w:p>
        </w:tc>
        <w:tc>
          <w:tcPr>
            <w:tcW w:w="1080" w:type="dxa"/>
            <w:vAlign w:val="center"/>
          </w:tcPr>
          <w:p w14:paraId="032C5A59">
            <w:pPr>
              <w:spacing w:line="360" w:lineRule="auto"/>
              <w:rPr>
                <w:rFonts w:ascii="宋体" w:hAnsi="宋体" w:cs="宋体"/>
                <w:color w:val="auto"/>
                <w:sz w:val="22"/>
                <w:highlight w:val="none"/>
              </w:rPr>
            </w:pPr>
          </w:p>
        </w:tc>
        <w:tc>
          <w:tcPr>
            <w:tcW w:w="1458" w:type="dxa"/>
            <w:vAlign w:val="center"/>
          </w:tcPr>
          <w:p w14:paraId="5792C087">
            <w:pPr>
              <w:spacing w:line="360" w:lineRule="auto"/>
              <w:rPr>
                <w:rFonts w:ascii="宋体" w:hAnsi="宋体" w:cs="宋体"/>
                <w:color w:val="auto"/>
                <w:sz w:val="22"/>
                <w:highlight w:val="none"/>
              </w:rPr>
            </w:pPr>
          </w:p>
        </w:tc>
        <w:tc>
          <w:tcPr>
            <w:tcW w:w="1560" w:type="dxa"/>
            <w:vAlign w:val="center"/>
          </w:tcPr>
          <w:p w14:paraId="33F0DDBA">
            <w:pPr>
              <w:spacing w:line="360" w:lineRule="auto"/>
              <w:rPr>
                <w:rFonts w:ascii="宋体" w:hAnsi="宋体" w:cs="宋体"/>
                <w:color w:val="auto"/>
                <w:sz w:val="22"/>
                <w:highlight w:val="none"/>
              </w:rPr>
            </w:pPr>
          </w:p>
        </w:tc>
      </w:tr>
      <w:tr w14:paraId="100C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19BD3B8">
            <w:pPr>
              <w:spacing w:line="360" w:lineRule="auto"/>
              <w:rPr>
                <w:rFonts w:ascii="宋体" w:hAnsi="宋体" w:cs="宋体"/>
                <w:color w:val="auto"/>
                <w:sz w:val="22"/>
                <w:highlight w:val="none"/>
              </w:rPr>
            </w:pPr>
          </w:p>
        </w:tc>
        <w:tc>
          <w:tcPr>
            <w:tcW w:w="2520" w:type="dxa"/>
            <w:vAlign w:val="center"/>
          </w:tcPr>
          <w:p w14:paraId="5215E860">
            <w:pPr>
              <w:spacing w:line="360" w:lineRule="auto"/>
              <w:rPr>
                <w:rFonts w:ascii="宋体" w:hAnsi="宋体" w:cs="宋体"/>
                <w:color w:val="auto"/>
                <w:sz w:val="22"/>
                <w:highlight w:val="none"/>
              </w:rPr>
            </w:pPr>
          </w:p>
        </w:tc>
        <w:tc>
          <w:tcPr>
            <w:tcW w:w="720" w:type="dxa"/>
            <w:vAlign w:val="center"/>
          </w:tcPr>
          <w:p w14:paraId="2D807D00">
            <w:pPr>
              <w:spacing w:line="360" w:lineRule="auto"/>
              <w:rPr>
                <w:rFonts w:ascii="宋体" w:hAnsi="宋体" w:cs="宋体"/>
                <w:color w:val="auto"/>
                <w:sz w:val="22"/>
                <w:highlight w:val="none"/>
              </w:rPr>
            </w:pPr>
          </w:p>
        </w:tc>
        <w:tc>
          <w:tcPr>
            <w:tcW w:w="720" w:type="dxa"/>
            <w:vAlign w:val="center"/>
          </w:tcPr>
          <w:p w14:paraId="35482AF0">
            <w:pPr>
              <w:spacing w:line="360" w:lineRule="auto"/>
              <w:rPr>
                <w:rFonts w:ascii="宋体" w:hAnsi="宋体" w:cs="宋体"/>
                <w:color w:val="auto"/>
                <w:sz w:val="22"/>
                <w:highlight w:val="none"/>
              </w:rPr>
            </w:pPr>
          </w:p>
        </w:tc>
        <w:tc>
          <w:tcPr>
            <w:tcW w:w="720" w:type="dxa"/>
            <w:vAlign w:val="center"/>
          </w:tcPr>
          <w:p w14:paraId="2CA40D09">
            <w:pPr>
              <w:spacing w:line="360" w:lineRule="auto"/>
              <w:rPr>
                <w:rFonts w:ascii="宋体" w:hAnsi="宋体" w:cs="宋体"/>
                <w:color w:val="auto"/>
                <w:sz w:val="22"/>
                <w:highlight w:val="none"/>
              </w:rPr>
            </w:pPr>
          </w:p>
        </w:tc>
        <w:tc>
          <w:tcPr>
            <w:tcW w:w="1080" w:type="dxa"/>
            <w:vAlign w:val="center"/>
          </w:tcPr>
          <w:p w14:paraId="2C94CF90">
            <w:pPr>
              <w:spacing w:line="360" w:lineRule="auto"/>
              <w:rPr>
                <w:rFonts w:ascii="宋体" w:hAnsi="宋体" w:cs="宋体"/>
                <w:color w:val="auto"/>
                <w:sz w:val="22"/>
                <w:highlight w:val="none"/>
              </w:rPr>
            </w:pPr>
          </w:p>
        </w:tc>
        <w:tc>
          <w:tcPr>
            <w:tcW w:w="1458" w:type="dxa"/>
            <w:vAlign w:val="center"/>
          </w:tcPr>
          <w:p w14:paraId="63EB911D">
            <w:pPr>
              <w:spacing w:line="360" w:lineRule="auto"/>
              <w:rPr>
                <w:rFonts w:ascii="宋体" w:hAnsi="宋体" w:cs="宋体"/>
                <w:color w:val="auto"/>
                <w:sz w:val="22"/>
                <w:highlight w:val="none"/>
              </w:rPr>
            </w:pPr>
          </w:p>
        </w:tc>
        <w:tc>
          <w:tcPr>
            <w:tcW w:w="1560" w:type="dxa"/>
            <w:vAlign w:val="center"/>
          </w:tcPr>
          <w:p w14:paraId="5F2B0284">
            <w:pPr>
              <w:spacing w:line="360" w:lineRule="auto"/>
              <w:rPr>
                <w:rFonts w:ascii="宋体" w:hAnsi="宋体" w:cs="宋体"/>
                <w:color w:val="auto"/>
                <w:sz w:val="22"/>
                <w:highlight w:val="none"/>
              </w:rPr>
            </w:pPr>
          </w:p>
        </w:tc>
      </w:tr>
      <w:tr w14:paraId="2953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07CDF8">
            <w:pPr>
              <w:spacing w:line="360" w:lineRule="auto"/>
              <w:rPr>
                <w:rFonts w:ascii="宋体" w:hAnsi="宋体" w:cs="宋体"/>
                <w:color w:val="auto"/>
                <w:sz w:val="22"/>
                <w:highlight w:val="none"/>
              </w:rPr>
            </w:pPr>
          </w:p>
        </w:tc>
        <w:tc>
          <w:tcPr>
            <w:tcW w:w="2520" w:type="dxa"/>
            <w:vAlign w:val="center"/>
          </w:tcPr>
          <w:p w14:paraId="57758792">
            <w:pPr>
              <w:spacing w:line="360" w:lineRule="auto"/>
              <w:rPr>
                <w:rFonts w:ascii="宋体" w:hAnsi="宋体" w:cs="宋体"/>
                <w:color w:val="auto"/>
                <w:sz w:val="22"/>
                <w:highlight w:val="none"/>
              </w:rPr>
            </w:pPr>
          </w:p>
        </w:tc>
        <w:tc>
          <w:tcPr>
            <w:tcW w:w="720" w:type="dxa"/>
            <w:vAlign w:val="center"/>
          </w:tcPr>
          <w:p w14:paraId="52DEDC22">
            <w:pPr>
              <w:spacing w:line="360" w:lineRule="auto"/>
              <w:rPr>
                <w:rFonts w:ascii="宋体" w:hAnsi="宋体" w:cs="宋体"/>
                <w:color w:val="auto"/>
                <w:sz w:val="22"/>
                <w:highlight w:val="none"/>
              </w:rPr>
            </w:pPr>
          </w:p>
        </w:tc>
        <w:tc>
          <w:tcPr>
            <w:tcW w:w="720" w:type="dxa"/>
            <w:vAlign w:val="center"/>
          </w:tcPr>
          <w:p w14:paraId="4AAFD400">
            <w:pPr>
              <w:spacing w:line="360" w:lineRule="auto"/>
              <w:rPr>
                <w:rFonts w:ascii="宋体" w:hAnsi="宋体" w:cs="宋体"/>
                <w:color w:val="auto"/>
                <w:sz w:val="22"/>
                <w:highlight w:val="none"/>
              </w:rPr>
            </w:pPr>
          </w:p>
        </w:tc>
        <w:tc>
          <w:tcPr>
            <w:tcW w:w="720" w:type="dxa"/>
            <w:vAlign w:val="center"/>
          </w:tcPr>
          <w:p w14:paraId="5664E10F">
            <w:pPr>
              <w:spacing w:line="360" w:lineRule="auto"/>
              <w:rPr>
                <w:rFonts w:ascii="宋体" w:hAnsi="宋体" w:cs="宋体"/>
                <w:color w:val="auto"/>
                <w:sz w:val="22"/>
                <w:highlight w:val="none"/>
              </w:rPr>
            </w:pPr>
          </w:p>
        </w:tc>
        <w:tc>
          <w:tcPr>
            <w:tcW w:w="1080" w:type="dxa"/>
            <w:vAlign w:val="center"/>
          </w:tcPr>
          <w:p w14:paraId="771AED37">
            <w:pPr>
              <w:spacing w:line="360" w:lineRule="auto"/>
              <w:rPr>
                <w:rFonts w:ascii="宋体" w:hAnsi="宋体" w:cs="宋体"/>
                <w:color w:val="auto"/>
                <w:sz w:val="22"/>
                <w:highlight w:val="none"/>
              </w:rPr>
            </w:pPr>
          </w:p>
        </w:tc>
        <w:tc>
          <w:tcPr>
            <w:tcW w:w="1458" w:type="dxa"/>
            <w:vAlign w:val="center"/>
          </w:tcPr>
          <w:p w14:paraId="5F0B3EFB">
            <w:pPr>
              <w:spacing w:line="360" w:lineRule="auto"/>
              <w:rPr>
                <w:rFonts w:ascii="宋体" w:hAnsi="宋体" w:cs="宋体"/>
                <w:color w:val="auto"/>
                <w:sz w:val="22"/>
                <w:highlight w:val="none"/>
              </w:rPr>
            </w:pPr>
          </w:p>
        </w:tc>
        <w:tc>
          <w:tcPr>
            <w:tcW w:w="1560" w:type="dxa"/>
            <w:vAlign w:val="center"/>
          </w:tcPr>
          <w:p w14:paraId="4D7C0185">
            <w:pPr>
              <w:spacing w:line="360" w:lineRule="auto"/>
              <w:rPr>
                <w:rFonts w:ascii="宋体" w:hAnsi="宋体" w:cs="宋体"/>
                <w:color w:val="auto"/>
                <w:sz w:val="22"/>
                <w:highlight w:val="none"/>
              </w:rPr>
            </w:pPr>
          </w:p>
        </w:tc>
      </w:tr>
    </w:tbl>
    <w:p w14:paraId="73F67606">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511AA8E2">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06CDC4BD">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1F0149F3">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0F7EA71A">
      <w:pPr>
        <w:pStyle w:val="16"/>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08DD504A">
      <w:pPr>
        <w:pStyle w:val="16"/>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2D5DD112">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032A5D22">
      <w:pPr>
        <w:pStyle w:val="12"/>
        <w:rPr>
          <w:color w:val="auto"/>
          <w:highlight w:val="none"/>
        </w:rPr>
      </w:pPr>
    </w:p>
    <w:p w14:paraId="0B43A0AB">
      <w:pPr>
        <w:spacing w:line="360" w:lineRule="exact"/>
        <w:jc w:val="left"/>
        <w:rPr>
          <w:rFonts w:ascii="宋体" w:hAnsi="宋体" w:cs="宋体"/>
          <w:b/>
          <w:bCs/>
          <w:color w:val="auto"/>
          <w:sz w:val="30"/>
          <w:highlight w:val="none"/>
        </w:rPr>
      </w:pPr>
    </w:p>
    <w:p w14:paraId="3C778642">
      <w:pPr>
        <w:spacing w:line="360" w:lineRule="exact"/>
        <w:jc w:val="left"/>
        <w:rPr>
          <w:rFonts w:ascii="宋体" w:hAnsi="宋体" w:cs="宋体"/>
          <w:b/>
          <w:bCs/>
          <w:color w:val="auto"/>
          <w:szCs w:val="21"/>
          <w:highlight w:val="none"/>
        </w:rPr>
      </w:pPr>
      <w:r>
        <w:rPr>
          <w:rFonts w:hint="eastAsia" w:ascii="宋体" w:hAnsi="宋体" w:cs="宋体"/>
          <w:b/>
          <w:bCs/>
          <w:color w:val="auto"/>
          <w:sz w:val="30"/>
          <w:highlight w:val="none"/>
        </w:rPr>
        <w:t>附件十一</w:t>
      </w:r>
    </w:p>
    <w:p w14:paraId="50665D0B">
      <w:pPr>
        <w:autoSpaceDE w:val="0"/>
        <w:autoSpaceDN w:val="0"/>
        <w:adjustRightInd w:val="0"/>
        <w:spacing w:line="500" w:lineRule="atLeast"/>
        <w:jc w:val="center"/>
        <w:rPr>
          <w:rFonts w:ascii="宋体" w:hAnsi="宋体" w:cs="宋体"/>
          <w:b/>
          <w:bCs/>
          <w:color w:val="auto"/>
          <w:sz w:val="32"/>
          <w:highlight w:val="none"/>
        </w:rPr>
      </w:pPr>
      <w:bookmarkStart w:id="54" w:name="_Toc28287_WPSOffice_Level3"/>
      <w:r>
        <w:rPr>
          <w:rFonts w:hint="eastAsia" w:ascii="宋体" w:hAnsi="宋体" w:cs="宋体"/>
          <w:b/>
          <w:bCs/>
          <w:color w:val="auto"/>
          <w:sz w:val="32"/>
          <w:highlight w:val="none"/>
        </w:rPr>
        <w:t>供应商项目业绩清单</w:t>
      </w:r>
      <w:bookmarkEnd w:id="54"/>
    </w:p>
    <w:p w14:paraId="020C6011">
      <w:pPr>
        <w:pStyle w:val="16"/>
        <w:spacing w:line="360" w:lineRule="exact"/>
        <w:jc w:val="center"/>
        <w:rPr>
          <w:rFonts w:hAnsi="宋体" w:cs="宋体"/>
          <w:color w:val="auto"/>
          <w:sz w:val="22"/>
          <w:highlight w:val="none"/>
        </w:rPr>
      </w:pPr>
    </w:p>
    <w:tbl>
      <w:tblPr>
        <w:tblStyle w:val="32"/>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04CA08F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2FCE2353">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tcPr>
          <w:p w14:paraId="122DF502">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081D0DA5">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5DA12418">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09F28C8E">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tcPr>
          <w:p w14:paraId="3906E347">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tcPr>
          <w:p w14:paraId="5849DD67">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24BFA49E">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tcPr>
          <w:p w14:paraId="671AFFF6">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11DA73E9">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049D6892">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25C161FD">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06D8DC30">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4883D688">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3CE4A62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5C75C66">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C309F6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5F1C6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D1CF9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16DAA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D02FD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C7EA8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7C0E76">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5439629">
            <w:pPr>
              <w:tabs>
                <w:tab w:val="left" w:pos="4140"/>
              </w:tabs>
              <w:adjustRightInd w:val="0"/>
              <w:snapToGrid w:val="0"/>
              <w:spacing w:line="320" w:lineRule="atLeast"/>
              <w:rPr>
                <w:rFonts w:ascii="宋体" w:hAnsi="宋体" w:cs="宋体"/>
                <w:color w:val="auto"/>
                <w:spacing w:val="20"/>
                <w:sz w:val="22"/>
                <w:highlight w:val="none"/>
              </w:rPr>
            </w:pPr>
          </w:p>
        </w:tc>
      </w:tr>
      <w:tr w14:paraId="60EA8C7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AC7A27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7B0060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6E3CB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BFF033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12C065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FB0C0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08F77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09FC9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B2C634F">
            <w:pPr>
              <w:tabs>
                <w:tab w:val="left" w:pos="4140"/>
              </w:tabs>
              <w:adjustRightInd w:val="0"/>
              <w:snapToGrid w:val="0"/>
              <w:spacing w:line="320" w:lineRule="atLeast"/>
              <w:rPr>
                <w:rFonts w:ascii="宋体" w:hAnsi="宋体" w:cs="宋体"/>
                <w:color w:val="auto"/>
                <w:spacing w:val="20"/>
                <w:sz w:val="22"/>
                <w:highlight w:val="none"/>
              </w:rPr>
            </w:pPr>
          </w:p>
        </w:tc>
      </w:tr>
      <w:tr w14:paraId="49DEDA6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11C797E">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C6DA7B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5C7381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6BFE8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B3A0EB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524CC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9585C2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D38F7E">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834BA60">
            <w:pPr>
              <w:tabs>
                <w:tab w:val="left" w:pos="4140"/>
              </w:tabs>
              <w:adjustRightInd w:val="0"/>
              <w:snapToGrid w:val="0"/>
              <w:spacing w:line="320" w:lineRule="atLeast"/>
              <w:rPr>
                <w:rFonts w:ascii="宋体" w:hAnsi="宋体" w:cs="宋体"/>
                <w:color w:val="auto"/>
                <w:spacing w:val="20"/>
                <w:sz w:val="22"/>
                <w:highlight w:val="none"/>
              </w:rPr>
            </w:pPr>
          </w:p>
        </w:tc>
      </w:tr>
      <w:tr w14:paraId="28BE04C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56D7FF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4D37C8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5C1CC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8C9F0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6227D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442005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314BB3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5FE9A1">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392907F">
            <w:pPr>
              <w:tabs>
                <w:tab w:val="left" w:pos="4140"/>
              </w:tabs>
              <w:adjustRightInd w:val="0"/>
              <w:snapToGrid w:val="0"/>
              <w:spacing w:line="320" w:lineRule="atLeast"/>
              <w:rPr>
                <w:rFonts w:ascii="宋体" w:hAnsi="宋体" w:cs="宋体"/>
                <w:color w:val="auto"/>
                <w:spacing w:val="20"/>
                <w:sz w:val="22"/>
                <w:highlight w:val="none"/>
              </w:rPr>
            </w:pPr>
          </w:p>
        </w:tc>
      </w:tr>
      <w:tr w14:paraId="0BC11C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CCAC37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9B9F01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3C9B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1B66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B3038D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4026C9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0CFC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32449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87E9904">
            <w:pPr>
              <w:tabs>
                <w:tab w:val="left" w:pos="4140"/>
              </w:tabs>
              <w:adjustRightInd w:val="0"/>
              <w:snapToGrid w:val="0"/>
              <w:spacing w:line="320" w:lineRule="atLeast"/>
              <w:rPr>
                <w:rFonts w:ascii="宋体" w:hAnsi="宋体" w:cs="宋体"/>
                <w:color w:val="auto"/>
                <w:spacing w:val="20"/>
                <w:sz w:val="22"/>
                <w:highlight w:val="none"/>
              </w:rPr>
            </w:pPr>
          </w:p>
        </w:tc>
      </w:tr>
      <w:tr w14:paraId="44B8FA1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A7B937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1D5C4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EBD4A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48C40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9552C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79671E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19C157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BF1385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00B834D">
            <w:pPr>
              <w:tabs>
                <w:tab w:val="left" w:pos="4140"/>
              </w:tabs>
              <w:adjustRightInd w:val="0"/>
              <w:snapToGrid w:val="0"/>
              <w:spacing w:line="320" w:lineRule="atLeast"/>
              <w:rPr>
                <w:rFonts w:ascii="宋体" w:hAnsi="宋体" w:cs="宋体"/>
                <w:color w:val="auto"/>
                <w:spacing w:val="20"/>
                <w:sz w:val="22"/>
                <w:highlight w:val="none"/>
              </w:rPr>
            </w:pPr>
          </w:p>
        </w:tc>
      </w:tr>
      <w:tr w14:paraId="12A0F3D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75E108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EACE74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317FA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FA58D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A2E4A8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ED050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E62F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AF076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DBC0F39">
            <w:pPr>
              <w:tabs>
                <w:tab w:val="left" w:pos="4140"/>
              </w:tabs>
              <w:adjustRightInd w:val="0"/>
              <w:snapToGrid w:val="0"/>
              <w:spacing w:line="320" w:lineRule="atLeast"/>
              <w:rPr>
                <w:rFonts w:ascii="宋体" w:hAnsi="宋体" w:cs="宋体"/>
                <w:color w:val="auto"/>
                <w:spacing w:val="20"/>
                <w:sz w:val="22"/>
                <w:highlight w:val="none"/>
              </w:rPr>
            </w:pPr>
          </w:p>
        </w:tc>
      </w:tr>
      <w:tr w14:paraId="54D6903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3B876A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6AC807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C93D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5B9D7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B51C5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50C6F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11CEB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B34135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7D6570E">
            <w:pPr>
              <w:tabs>
                <w:tab w:val="left" w:pos="4140"/>
              </w:tabs>
              <w:adjustRightInd w:val="0"/>
              <w:snapToGrid w:val="0"/>
              <w:spacing w:line="320" w:lineRule="atLeast"/>
              <w:rPr>
                <w:rFonts w:ascii="宋体" w:hAnsi="宋体" w:cs="宋体"/>
                <w:color w:val="auto"/>
                <w:spacing w:val="20"/>
                <w:sz w:val="22"/>
                <w:highlight w:val="none"/>
              </w:rPr>
            </w:pPr>
          </w:p>
        </w:tc>
      </w:tr>
      <w:tr w14:paraId="46EC169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668AAC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86BC79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9D3DF8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329C9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AF7F8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BBB94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7BEC55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CA53C1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9FF6C57">
            <w:pPr>
              <w:tabs>
                <w:tab w:val="left" w:pos="4140"/>
              </w:tabs>
              <w:adjustRightInd w:val="0"/>
              <w:snapToGrid w:val="0"/>
              <w:spacing w:line="320" w:lineRule="atLeast"/>
              <w:rPr>
                <w:rFonts w:ascii="宋体" w:hAnsi="宋体" w:cs="宋体"/>
                <w:color w:val="auto"/>
                <w:spacing w:val="20"/>
                <w:sz w:val="22"/>
                <w:highlight w:val="none"/>
              </w:rPr>
            </w:pPr>
          </w:p>
        </w:tc>
      </w:tr>
      <w:tr w14:paraId="75C0A2C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A2BF95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409984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23F0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DD933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65F2A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1B080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90FA4B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2F1F2E">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2CBF69C">
            <w:pPr>
              <w:tabs>
                <w:tab w:val="left" w:pos="4140"/>
              </w:tabs>
              <w:adjustRightInd w:val="0"/>
              <w:snapToGrid w:val="0"/>
              <w:spacing w:line="320" w:lineRule="atLeast"/>
              <w:rPr>
                <w:rFonts w:ascii="宋体" w:hAnsi="宋体" w:cs="宋体"/>
                <w:color w:val="auto"/>
                <w:spacing w:val="20"/>
                <w:sz w:val="22"/>
                <w:highlight w:val="none"/>
              </w:rPr>
            </w:pPr>
          </w:p>
        </w:tc>
      </w:tr>
      <w:tr w14:paraId="0A15662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A31798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710AD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E959E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2A11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FFE28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A359C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B7C1E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96342D">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95C6EDA">
            <w:pPr>
              <w:tabs>
                <w:tab w:val="left" w:pos="4140"/>
              </w:tabs>
              <w:adjustRightInd w:val="0"/>
              <w:snapToGrid w:val="0"/>
              <w:spacing w:line="320" w:lineRule="atLeast"/>
              <w:rPr>
                <w:rFonts w:ascii="宋体" w:hAnsi="宋体" w:cs="宋体"/>
                <w:color w:val="auto"/>
                <w:spacing w:val="20"/>
                <w:sz w:val="22"/>
                <w:highlight w:val="none"/>
              </w:rPr>
            </w:pPr>
          </w:p>
        </w:tc>
      </w:tr>
      <w:tr w14:paraId="3CBDA5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1FBDE0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681647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F7425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4B967D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7D1613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8B91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57455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60BD14E">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E6967BD">
            <w:pPr>
              <w:tabs>
                <w:tab w:val="left" w:pos="4140"/>
              </w:tabs>
              <w:adjustRightInd w:val="0"/>
              <w:snapToGrid w:val="0"/>
              <w:spacing w:line="320" w:lineRule="atLeast"/>
              <w:rPr>
                <w:rFonts w:ascii="宋体" w:hAnsi="宋体" w:cs="宋体"/>
                <w:color w:val="auto"/>
                <w:spacing w:val="20"/>
                <w:sz w:val="22"/>
                <w:highlight w:val="none"/>
              </w:rPr>
            </w:pPr>
          </w:p>
        </w:tc>
      </w:tr>
      <w:tr w14:paraId="659E674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28922B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2062DB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1467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3D07F0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A57BC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89FAB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637F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B1DDB4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3725E74">
            <w:pPr>
              <w:tabs>
                <w:tab w:val="left" w:pos="4140"/>
              </w:tabs>
              <w:adjustRightInd w:val="0"/>
              <w:snapToGrid w:val="0"/>
              <w:spacing w:line="320" w:lineRule="atLeast"/>
              <w:rPr>
                <w:rFonts w:ascii="宋体" w:hAnsi="宋体" w:cs="宋体"/>
                <w:color w:val="auto"/>
                <w:spacing w:val="20"/>
                <w:sz w:val="22"/>
                <w:highlight w:val="none"/>
              </w:rPr>
            </w:pPr>
          </w:p>
        </w:tc>
      </w:tr>
      <w:tr w14:paraId="7250A84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8EDC2A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45228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DC7BE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8A04D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E78CE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14948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E9355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37F13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E2DE900">
            <w:pPr>
              <w:tabs>
                <w:tab w:val="left" w:pos="4140"/>
              </w:tabs>
              <w:adjustRightInd w:val="0"/>
              <w:snapToGrid w:val="0"/>
              <w:spacing w:line="320" w:lineRule="atLeast"/>
              <w:rPr>
                <w:rFonts w:ascii="宋体" w:hAnsi="宋体" w:cs="宋体"/>
                <w:color w:val="auto"/>
                <w:spacing w:val="20"/>
                <w:sz w:val="22"/>
                <w:highlight w:val="none"/>
              </w:rPr>
            </w:pPr>
          </w:p>
        </w:tc>
      </w:tr>
      <w:tr w14:paraId="6EFD903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B54684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0309C4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3E8CD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2C02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45C1D8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E5080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971BB6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B3017FD">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F154B7A">
            <w:pPr>
              <w:tabs>
                <w:tab w:val="left" w:pos="4140"/>
              </w:tabs>
              <w:adjustRightInd w:val="0"/>
              <w:snapToGrid w:val="0"/>
              <w:spacing w:line="320" w:lineRule="atLeast"/>
              <w:rPr>
                <w:rFonts w:ascii="宋体" w:hAnsi="宋体" w:cs="宋体"/>
                <w:color w:val="auto"/>
                <w:spacing w:val="20"/>
                <w:sz w:val="22"/>
                <w:highlight w:val="none"/>
              </w:rPr>
            </w:pPr>
          </w:p>
        </w:tc>
      </w:tr>
      <w:tr w14:paraId="1A58341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092626E">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AD6BE5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B51327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50B2DF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F04C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C1307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6D4D4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3B576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295728B">
            <w:pPr>
              <w:tabs>
                <w:tab w:val="left" w:pos="4140"/>
              </w:tabs>
              <w:adjustRightInd w:val="0"/>
              <w:snapToGrid w:val="0"/>
              <w:spacing w:line="320" w:lineRule="atLeast"/>
              <w:rPr>
                <w:rFonts w:ascii="宋体" w:hAnsi="宋体" w:cs="宋体"/>
                <w:color w:val="auto"/>
                <w:spacing w:val="20"/>
                <w:sz w:val="22"/>
                <w:highlight w:val="none"/>
              </w:rPr>
            </w:pPr>
          </w:p>
        </w:tc>
      </w:tr>
      <w:tr w14:paraId="6271DC9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4D1FD10">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6E631F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16D04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E420D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70A580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DF01C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54A41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27A39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DBB3877">
            <w:pPr>
              <w:tabs>
                <w:tab w:val="left" w:pos="4140"/>
              </w:tabs>
              <w:adjustRightInd w:val="0"/>
              <w:snapToGrid w:val="0"/>
              <w:spacing w:line="320" w:lineRule="atLeast"/>
              <w:rPr>
                <w:rFonts w:ascii="宋体" w:hAnsi="宋体" w:cs="宋体"/>
                <w:color w:val="auto"/>
                <w:spacing w:val="20"/>
                <w:sz w:val="22"/>
                <w:highlight w:val="none"/>
              </w:rPr>
            </w:pPr>
          </w:p>
        </w:tc>
      </w:tr>
      <w:tr w14:paraId="381424B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528388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30DDC0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BDCBF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4750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DB88B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18C16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C1507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B396F60">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57296E9">
            <w:pPr>
              <w:tabs>
                <w:tab w:val="left" w:pos="4140"/>
              </w:tabs>
              <w:adjustRightInd w:val="0"/>
              <w:snapToGrid w:val="0"/>
              <w:spacing w:line="320" w:lineRule="atLeast"/>
              <w:rPr>
                <w:rFonts w:ascii="宋体" w:hAnsi="宋体" w:cs="宋体"/>
                <w:color w:val="auto"/>
                <w:spacing w:val="20"/>
                <w:sz w:val="22"/>
                <w:highlight w:val="none"/>
              </w:rPr>
            </w:pPr>
          </w:p>
        </w:tc>
      </w:tr>
      <w:tr w14:paraId="71AE13A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7D2340F">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62415A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5F078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5B07C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A2CFF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710491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D19AF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334091">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340A2B0">
            <w:pPr>
              <w:tabs>
                <w:tab w:val="left" w:pos="4140"/>
              </w:tabs>
              <w:adjustRightInd w:val="0"/>
              <w:snapToGrid w:val="0"/>
              <w:spacing w:line="320" w:lineRule="atLeast"/>
              <w:rPr>
                <w:rFonts w:ascii="宋体" w:hAnsi="宋体" w:cs="宋体"/>
                <w:color w:val="auto"/>
                <w:spacing w:val="20"/>
                <w:sz w:val="22"/>
                <w:highlight w:val="none"/>
              </w:rPr>
            </w:pPr>
          </w:p>
        </w:tc>
      </w:tr>
      <w:tr w14:paraId="6A909A7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E33CB3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4082B5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73761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85D6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97FE2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1E265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B2DBE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5AA50F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1F18BE5">
            <w:pPr>
              <w:tabs>
                <w:tab w:val="left" w:pos="4140"/>
              </w:tabs>
              <w:adjustRightInd w:val="0"/>
              <w:snapToGrid w:val="0"/>
              <w:spacing w:line="320" w:lineRule="atLeast"/>
              <w:rPr>
                <w:rFonts w:ascii="宋体" w:hAnsi="宋体" w:cs="宋体"/>
                <w:color w:val="auto"/>
                <w:spacing w:val="20"/>
                <w:sz w:val="22"/>
                <w:highlight w:val="none"/>
              </w:rPr>
            </w:pPr>
          </w:p>
        </w:tc>
      </w:tr>
      <w:tr w14:paraId="43A7FD9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4881E17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39B3EB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66DA39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77295A7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880E1E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5366030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B8FD7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856914A">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1C10981B">
            <w:pPr>
              <w:tabs>
                <w:tab w:val="left" w:pos="4140"/>
              </w:tabs>
              <w:adjustRightInd w:val="0"/>
              <w:snapToGrid w:val="0"/>
              <w:spacing w:line="320" w:lineRule="atLeast"/>
              <w:rPr>
                <w:rFonts w:ascii="宋体" w:hAnsi="宋体" w:cs="宋体"/>
                <w:color w:val="auto"/>
                <w:spacing w:val="20"/>
                <w:sz w:val="22"/>
                <w:highlight w:val="none"/>
              </w:rPr>
            </w:pPr>
          </w:p>
        </w:tc>
      </w:tr>
    </w:tbl>
    <w:p w14:paraId="1EB7F255">
      <w:pPr>
        <w:pStyle w:val="16"/>
        <w:spacing w:line="360" w:lineRule="exact"/>
        <w:rPr>
          <w:rFonts w:hAnsi="宋体" w:cs="宋体"/>
          <w:color w:val="auto"/>
          <w:sz w:val="22"/>
          <w:highlight w:val="none"/>
        </w:rPr>
      </w:pPr>
    </w:p>
    <w:p w14:paraId="11D85902">
      <w:pPr>
        <w:pStyle w:val="16"/>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33DB690F">
      <w:pPr>
        <w:rPr>
          <w:rFonts w:ascii="宋体" w:hAnsi="宋体" w:cs="宋体"/>
          <w:color w:val="auto"/>
          <w:spacing w:val="20"/>
          <w:sz w:val="22"/>
          <w:highlight w:val="none"/>
        </w:rPr>
      </w:pPr>
    </w:p>
    <w:p w14:paraId="035A3B4C">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37A173BB">
      <w:pPr>
        <w:pStyle w:val="40"/>
        <w:rPr>
          <w:rFonts w:ascii="宋体" w:hAnsi="宋体" w:cs="宋体"/>
          <w:b/>
          <w:bCs/>
          <w:color w:val="auto"/>
          <w:sz w:val="32"/>
          <w:highlight w:val="none"/>
          <w:lang w:val="zh-CN"/>
        </w:rPr>
      </w:pPr>
    </w:p>
    <w:p w14:paraId="47E18B59">
      <w:pPr>
        <w:autoSpaceDE w:val="0"/>
        <w:autoSpaceDN w:val="0"/>
        <w:adjustRightInd w:val="0"/>
        <w:spacing w:line="460" w:lineRule="atLeast"/>
        <w:rPr>
          <w:rFonts w:ascii="宋体" w:hAnsi="宋体" w:cs="宋体"/>
          <w:b/>
          <w:bCs/>
          <w:color w:val="auto"/>
          <w:sz w:val="32"/>
          <w:szCs w:val="32"/>
          <w:highlight w:val="none"/>
        </w:rPr>
      </w:pPr>
    </w:p>
    <w:p w14:paraId="32ABBAF0">
      <w:pPr>
        <w:autoSpaceDE w:val="0"/>
        <w:autoSpaceDN w:val="0"/>
        <w:adjustRightInd w:val="0"/>
        <w:spacing w:line="460" w:lineRule="atLeast"/>
        <w:rPr>
          <w:rFonts w:ascii="宋体" w:hAnsi="宋体" w:cs="宋体"/>
          <w:b/>
          <w:bCs/>
          <w:color w:val="auto"/>
          <w:sz w:val="32"/>
          <w:szCs w:val="32"/>
          <w:highlight w:val="none"/>
        </w:rPr>
      </w:pPr>
      <w:r>
        <w:rPr>
          <w:rFonts w:hint="eastAsia" w:ascii="宋体" w:hAnsi="宋体" w:cs="宋体"/>
          <w:b/>
          <w:bCs/>
          <w:color w:val="auto"/>
          <w:sz w:val="32"/>
          <w:szCs w:val="32"/>
          <w:highlight w:val="none"/>
        </w:rPr>
        <w:t>附件十二</w:t>
      </w:r>
    </w:p>
    <w:p w14:paraId="012F485B">
      <w:pPr>
        <w:autoSpaceDE w:val="0"/>
        <w:autoSpaceDN w:val="0"/>
        <w:adjustRightInd w:val="0"/>
        <w:spacing w:line="460" w:lineRule="atLeast"/>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0DF78342">
      <w:pPr>
        <w:autoSpaceDE w:val="0"/>
        <w:autoSpaceDN w:val="0"/>
        <w:adjustRightInd w:val="0"/>
        <w:spacing w:line="460" w:lineRule="atLeast"/>
        <w:rPr>
          <w:rFonts w:hAnsi="宋体" w:cs="Times New Roman"/>
          <w:bCs/>
          <w:color w:val="auto"/>
          <w:sz w:val="22"/>
          <w:szCs w:val="22"/>
          <w:highlight w:val="none"/>
        </w:rPr>
      </w:pPr>
      <w:r>
        <w:rPr>
          <w:rFonts w:hint="eastAsia" w:hAnsi="宋体"/>
          <w:color w:val="auto"/>
          <w:kern w:val="0"/>
          <w:sz w:val="22"/>
          <w:szCs w:val="22"/>
          <w:highlight w:val="none"/>
          <w:u w:val="single"/>
        </w:rPr>
        <w:t>杭州华旗招标代理有限公司</w:t>
      </w:r>
      <w:r>
        <w:rPr>
          <w:rFonts w:hint="eastAsia" w:hAnsi="宋体"/>
          <w:color w:val="auto"/>
          <w:kern w:val="0"/>
          <w:sz w:val="22"/>
          <w:szCs w:val="22"/>
          <w:highlight w:val="none"/>
        </w:rPr>
        <w:t>：</w:t>
      </w:r>
    </w:p>
    <w:p w14:paraId="6B73374B">
      <w:pPr>
        <w:pStyle w:val="72"/>
        <w:widowControl w:val="0"/>
        <w:snapToGrid w:val="0"/>
        <w:spacing w:line="440" w:lineRule="exact"/>
        <w:ind w:left="0" w:leftChars="0"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便携式超声、麻醉工作站等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 xml:space="preserve">TSCG202511005 </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3E1D260E">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rPr>
        <w:t>一、本单位与采购人之间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7F49B53C">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49BAA9F2">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1916792A">
      <w:pPr>
        <w:pStyle w:val="73"/>
        <w:widowControl/>
        <w:snapToGrid w:val="0"/>
        <w:spacing w:line="440" w:lineRule="exact"/>
        <w:ind w:left="0" w:leftChars="0" w:firstLine="456"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二、现已清楚知道参加本项目采购活动的其他所有供应商名称，本单位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0E330858">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56D3C167">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14AF776B">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2A850609">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4C4549A8">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19278953">
      <w:pPr>
        <w:pStyle w:val="72"/>
        <w:widowControl w:val="0"/>
        <w:snapToGrid w:val="0"/>
        <w:spacing w:line="440" w:lineRule="exact"/>
        <w:ind w:left="0" w:leftChars="0" w:firstLine="456" w:firstLineChars="200"/>
        <w:jc w:val="both"/>
        <w:rPr>
          <w:rFonts w:hAnsi="宋体"/>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1CCC0015">
      <w:pPr>
        <w:pStyle w:val="72"/>
        <w:widowControl w:val="0"/>
        <w:snapToGrid w:val="0"/>
        <w:spacing w:line="440" w:lineRule="exact"/>
        <w:ind w:left="0" w:leftChars="0"/>
        <w:jc w:val="both"/>
        <w:rPr>
          <w:rFonts w:hAnsi="宋体" w:cs="Times New Roman"/>
          <w:color w:val="auto"/>
          <w:kern w:val="0"/>
          <w:sz w:val="22"/>
          <w:szCs w:val="22"/>
          <w:highlight w:val="none"/>
        </w:rPr>
      </w:pPr>
      <w:r>
        <w:rPr>
          <w:rFonts w:hAnsi="宋体"/>
          <w:color w:val="auto"/>
          <w:kern w:val="0"/>
          <w:sz w:val="22"/>
          <w:szCs w:val="22"/>
          <w:highlight w:val="none"/>
        </w:rPr>
        <w:t xml:space="preserve"> </w:t>
      </w:r>
      <w:r>
        <w:rPr>
          <w:rFonts w:hint="eastAsia" w:hAnsi="宋体"/>
          <w:color w:val="auto"/>
          <w:kern w:val="0"/>
          <w:sz w:val="22"/>
          <w:szCs w:val="22"/>
          <w:highlight w:val="none"/>
        </w:rPr>
        <w:t xml:space="preserve">   </w:t>
      </w: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592BF1AE">
      <w:pPr>
        <w:pStyle w:val="72"/>
        <w:widowControl w:val="0"/>
        <w:snapToGrid w:val="0"/>
        <w:spacing w:line="440" w:lineRule="exact"/>
        <w:ind w:left="0" w:leftChars="0" w:firstLine="456" w:firstLineChars="200"/>
        <w:jc w:val="both"/>
        <w:rPr>
          <w:rFonts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05E38811">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04E79E37">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rPr>
        <w:t>三、现已清楚知道并</w:t>
      </w:r>
      <w:r>
        <w:rPr>
          <w:rFonts w:hint="eastAsia" w:ascii="宋体" w:hAnsi="宋体" w:cs="宋体"/>
          <w:color w:val="auto"/>
          <w:kern w:val="0"/>
          <w:sz w:val="22"/>
          <w:szCs w:val="22"/>
          <w:highlight w:val="none"/>
        </w:rPr>
        <w:t>严格遵守政府采购法律法规和现场纪律。</w:t>
      </w:r>
    </w:p>
    <w:p w14:paraId="44AD53A3">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rPr>
        <w:t>四、我发现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486E5BC5">
      <w:pPr>
        <w:pStyle w:val="73"/>
        <w:widowControl/>
        <w:snapToGrid w:val="0"/>
        <w:spacing w:line="440" w:lineRule="exact"/>
        <w:ind w:left="0" w:leftChars="0" w:firstLine="456"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rPr>
        <w:t>五、经检查确认所有投标人投标文件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4CC38050">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031E5E8C">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 xml:space="preserve"> 年 月 日</w:t>
      </w:r>
    </w:p>
    <w:p w14:paraId="3F1DE066">
      <w:pPr>
        <w:pStyle w:val="43"/>
        <w:spacing w:line="440" w:lineRule="atLeast"/>
        <w:jc w:val="center"/>
        <w:rPr>
          <w:b/>
          <w:bCs/>
          <w:color w:val="auto"/>
          <w:sz w:val="32"/>
          <w:szCs w:val="32"/>
          <w:highlight w:val="none"/>
        </w:rPr>
      </w:pPr>
      <w:r>
        <w:rPr>
          <w:rFonts w:hint="eastAsia" w:hAnsi="宋体" w:cs="宋体"/>
          <w:color w:val="auto"/>
          <w:sz w:val="22"/>
          <w:szCs w:val="22"/>
          <w:highlight w:val="none"/>
        </w:rPr>
        <w:br w:type="page"/>
      </w:r>
    </w:p>
    <w:p w14:paraId="78368418">
      <w:pPr>
        <w:pStyle w:val="43"/>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5E7671CC">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00F87A4D">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5778919F">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的保护当事人权益，严格按照招标文件的商务、技术要求，对投标文件进行综合评定，提出优选方案，编写评标报告。评标委员会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47775CB3">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492C1F76">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3CBFC2F1">
      <w:pPr>
        <w:pStyle w:val="45"/>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23A65F8F">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招标代理机构对各投标供应商资格进行审查。评标委员会根据评审原则和评审办法，对各投标供应商的商务、技术部分投标进行评审并打分，</w:t>
      </w:r>
      <w:r>
        <w:rPr>
          <w:rFonts w:hint="eastAsia" w:ascii="宋体"/>
          <w:color w:val="auto"/>
          <w:sz w:val="22"/>
          <w:szCs w:val="22"/>
          <w:highlight w:val="none"/>
        </w:rPr>
        <w:t>以报价得分和商务技术得分合计分值由高到低的顺序推荐候选供应商名单，选择综合得分第一名的为中标供应商，并提交书面评审报告，如果综合得分相同的，按投标报价由低到高顺序排列，综合得分且报价均相同的，按商务技术得分由高到低排列，均相同者，则由采购人现场抽签决定。</w:t>
      </w:r>
    </w:p>
    <w:p w14:paraId="40ACB9C8">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3D5FF66A">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如果无候选供应商，或者侯选供应商因前款规定的同样原因不能签订合同的，本次采购失败，重新组织采购。其它参见本招标文件第三部分：“供应商须知”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257D024C">
      <w:pPr>
        <w:pStyle w:val="45"/>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ascii="宋体"/>
          <w:color w:val="auto"/>
          <w:kern w:val="2"/>
          <w:sz w:val="22"/>
          <w:szCs w:val="22"/>
          <w:highlight w:val="none"/>
        </w:rPr>
      </w:pPr>
      <w:r>
        <w:rPr>
          <w:rFonts w:hint="eastAsia" w:ascii="宋体" w:hAnsi="宋体"/>
          <w:color w:val="auto"/>
          <w:kern w:val="2"/>
          <w:sz w:val="22"/>
          <w:szCs w:val="22"/>
          <w:highlight w:val="none"/>
        </w:rPr>
        <w:t>四、评标细则（标项一、二、三、四、通用）</w:t>
      </w:r>
    </w:p>
    <w:p w14:paraId="47CDE384">
      <w:pPr>
        <w:pStyle w:val="43"/>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（一）报价评分（满分30分）</w:t>
      </w:r>
    </w:p>
    <w:p w14:paraId="409E2ADA">
      <w:pPr>
        <w:pStyle w:val="16"/>
        <w:adjustRightInd w:val="0"/>
        <w:snapToGrid w:val="0"/>
        <w:spacing w:line="380" w:lineRule="exact"/>
        <w:ind w:firstLine="450"/>
        <w:rPr>
          <w:rFonts w:hAnsi="宋体"/>
          <w:b/>
          <w:color w:val="auto"/>
          <w:sz w:val="22"/>
          <w:highlight w:val="none"/>
        </w:rPr>
      </w:pPr>
      <w:r>
        <w:rPr>
          <w:rFonts w:hint="eastAsia" w:hAnsi="宋体"/>
          <w:color w:val="auto"/>
          <w:sz w:val="22"/>
          <w:highlight w:val="none"/>
        </w:rPr>
        <w:t>1.以满足招标文件要求且投标报价最低的有效供应商的报价为评标基准价，其价格分为满分。其他供应商的报价分统一按照下列公式计算：</w:t>
      </w:r>
    </w:p>
    <w:p w14:paraId="0EDEB641">
      <w:pPr>
        <w:pStyle w:val="16"/>
        <w:adjustRightInd w:val="0"/>
        <w:snapToGrid w:val="0"/>
        <w:spacing w:line="380" w:lineRule="exact"/>
        <w:ind w:firstLine="450"/>
        <w:rPr>
          <w:rFonts w:hAnsi="宋体"/>
          <w:b/>
          <w:bCs/>
          <w:color w:val="auto"/>
          <w:sz w:val="22"/>
          <w:highlight w:val="none"/>
        </w:rPr>
      </w:pPr>
      <w:r>
        <w:rPr>
          <w:rFonts w:hint="eastAsia" w:hAnsi="宋体"/>
          <w:b/>
          <w:bCs/>
          <w:color w:val="auto"/>
          <w:sz w:val="22"/>
          <w:highlight w:val="none"/>
        </w:rPr>
        <w:t>报价得分=（评标基准价/</w:t>
      </w:r>
      <w:r>
        <w:rPr>
          <w:rFonts w:hint="eastAsia" w:hAnsi="宋体" w:cs="宋体"/>
          <w:b/>
          <w:bCs/>
          <w:color w:val="auto"/>
          <w:sz w:val="22"/>
          <w:highlight w:val="none"/>
        </w:rPr>
        <w:t>投标报价</w:t>
      </w:r>
      <w:r>
        <w:rPr>
          <w:rFonts w:hint="eastAsia" w:hAnsi="宋体"/>
          <w:b/>
          <w:bCs/>
          <w:color w:val="auto"/>
          <w:sz w:val="22"/>
          <w:highlight w:val="none"/>
        </w:rPr>
        <w:t>）×</w:t>
      </w:r>
      <w:r>
        <w:rPr>
          <w:rFonts w:hint="eastAsia" w:ascii="Calibri" w:hAnsi="Calibri"/>
          <w:b/>
          <w:bCs/>
          <w:color w:val="auto"/>
          <w:kern w:val="2"/>
          <w:sz w:val="22"/>
          <w:szCs w:val="22"/>
          <w:highlight w:val="none"/>
        </w:rPr>
        <w:t>30%×100</w:t>
      </w:r>
      <w:r>
        <w:rPr>
          <w:rFonts w:hint="eastAsia" w:hAnsi="宋体"/>
          <w:b/>
          <w:bCs/>
          <w:color w:val="auto"/>
          <w:sz w:val="22"/>
          <w:highlight w:val="none"/>
        </w:rPr>
        <w:t>。</w:t>
      </w:r>
    </w:p>
    <w:p w14:paraId="110292EA">
      <w:pPr>
        <w:pStyle w:val="16"/>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olor w:val="auto"/>
          <w:sz w:val="22"/>
          <w:highlight w:val="none"/>
        </w:rPr>
        <w:t>2.</w:t>
      </w: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r>
        <w:rPr>
          <w:rFonts w:hint="eastAsia" w:hAnsi="宋体" w:cs="宋体"/>
          <w:color w:val="auto"/>
          <w:sz w:val="22"/>
          <w:highlight w:val="none"/>
        </w:rPr>
        <w:t>。</w:t>
      </w:r>
    </w:p>
    <w:p w14:paraId="2ACAD06F">
      <w:pPr>
        <w:adjustRightInd w:val="0"/>
        <w:snapToGrid w:val="0"/>
        <w:spacing w:line="400" w:lineRule="exact"/>
        <w:ind w:firstLine="228" w:firstLineChars="100"/>
        <w:rPr>
          <w:rFonts w:ascii="Times New Roman"/>
          <w:b/>
          <w:bCs/>
          <w:color w:val="auto"/>
          <w:sz w:val="22"/>
          <w:szCs w:val="22"/>
          <w:highlight w:val="none"/>
        </w:rPr>
      </w:pPr>
      <w:r>
        <w:rPr>
          <w:rFonts w:hint="eastAsia"/>
          <w:b/>
          <w:bCs/>
          <w:color w:val="auto"/>
          <w:sz w:val="22"/>
          <w:szCs w:val="22"/>
          <w:highlight w:val="none"/>
        </w:rPr>
        <w:t>（二）商务技术评分标准（满分70分）</w:t>
      </w:r>
      <w:r>
        <w:rPr>
          <w:rFonts w:hint="eastAsia" w:ascii="Times New Roman"/>
          <w:b/>
          <w:bCs/>
          <w:color w:val="auto"/>
          <w:sz w:val="22"/>
          <w:szCs w:val="22"/>
          <w:highlight w:val="none"/>
        </w:rPr>
        <w:br w:type="textWrapping"/>
      </w:r>
    </w:p>
    <w:tbl>
      <w:tblPr>
        <w:tblStyle w:val="32"/>
        <w:tblW w:w="9598" w:type="dxa"/>
        <w:tblInd w:w="31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0"/>
        <w:gridCol w:w="1156"/>
        <w:gridCol w:w="6789"/>
        <w:gridCol w:w="833"/>
      </w:tblGrid>
      <w:tr w14:paraId="196AF97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41AAF95B">
            <w:pPr>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156" w:type="dxa"/>
            <w:tcBorders>
              <w:right w:val="single" w:color="000000" w:sz="6" w:space="0"/>
            </w:tcBorders>
            <w:vAlign w:val="center"/>
          </w:tcPr>
          <w:p w14:paraId="572CF964">
            <w:pPr>
              <w:jc w:val="center"/>
              <w:rPr>
                <w:rFonts w:ascii="宋体" w:hAnsi="宋体" w:cs="宋体"/>
                <w:color w:val="auto"/>
                <w:sz w:val="22"/>
                <w:szCs w:val="22"/>
                <w:highlight w:val="none"/>
              </w:rPr>
            </w:pPr>
            <w:r>
              <w:rPr>
                <w:rFonts w:hint="eastAsia" w:ascii="宋体" w:hAnsi="宋体" w:cs="宋体"/>
                <w:color w:val="auto"/>
                <w:sz w:val="22"/>
                <w:szCs w:val="22"/>
                <w:highlight w:val="none"/>
              </w:rPr>
              <w:t>评分项</w:t>
            </w:r>
          </w:p>
        </w:tc>
        <w:tc>
          <w:tcPr>
            <w:tcW w:w="6789" w:type="dxa"/>
            <w:tcBorders>
              <w:left w:val="single" w:color="000000" w:sz="6" w:space="0"/>
            </w:tcBorders>
            <w:vAlign w:val="center"/>
          </w:tcPr>
          <w:p w14:paraId="7368494B">
            <w:pPr>
              <w:jc w:val="center"/>
              <w:rPr>
                <w:rFonts w:ascii="宋体" w:hAnsi="宋体" w:cs="宋体"/>
                <w:color w:val="auto"/>
                <w:sz w:val="22"/>
                <w:szCs w:val="22"/>
                <w:highlight w:val="none"/>
              </w:rPr>
            </w:pPr>
            <w:r>
              <w:rPr>
                <w:rFonts w:hint="eastAsia" w:ascii="宋体" w:hAnsi="宋体" w:cs="宋体"/>
                <w:color w:val="auto"/>
                <w:sz w:val="22"/>
                <w:szCs w:val="22"/>
                <w:highlight w:val="none"/>
              </w:rPr>
              <w:t>评分细则</w:t>
            </w:r>
          </w:p>
        </w:tc>
        <w:tc>
          <w:tcPr>
            <w:tcW w:w="833" w:type="dxa"/>
            <w:vAlign w:val="center"/>
          </w:tcPr>
          <w:p w14:paraId="02D0A588">
            <w:pPr>
              <w:jc w:val="center"/>
              <w:rPr>
                <w:rFonts w:ascii="宋体" w:hAnsi="宋体" w:cs="宋体"/>
                <w:color w:val="auto"/>
                <w:sz w:val="22"/>
                <w:szCs w:val="22"/>
                <w:highlight w:val="none"/>
              </w:rPr>
            </w:pPr>
            <w:r>
              <w:rPr>
                <w:rFonts w:hint="eastAsia" w:ascii="宋体" w:hAnsi="宋体" w:cs="宋体"/>
                <w:color w:val="auto"/>
                <w:sz w:val="22"/>
                <w:szCs w:val="22"/>
                <w:highlight w:val="none"/>
              </w:rPr>
              <w:t>分值</w:t>
            </w:r>
          </w:p>
        </w:tc>
      </w:tr>
      <w:tr w14:paraId="1A29727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598" w:type="dxa"/>
            <w:gridSpan w:val="4"/>
            <w:vAlign w:val="center"/>
          </w:tcPr>
          <w:p w14:paraId="37F0563F">
            <w:pPr>
              <w:rPr>
                <w:rFonts w:ascii="宋体" w:hAnsi="宋体" w:cs="宋体"/>
                <w:color w:val="auto"/>
                <w:sz w:val="22"/>
                <w:szCs w:val="22"/>
                <w:highlight w:val="none"/>
              </w:rPr>
            </w:pPr>
            <w:r>
              <w:rPr>
                <w:rFonts w:hint="eastAsia" w:ascii="宋体" w:hAnsi="宋体" w:cs="宋体"/>
                <w:color w:val="auto"/>
                <w:sz w:val="22"/>
                <w:szCs w:val="22"/>
                <w:highlight w:val="none"/>
              </w:rPr>
              <w:t>客观分</w:t>
            </w:r>
          </w:p>
        </w:tc>
      </w:tr>
      <w:tr w14:paraId="6E87948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73" w:hRule="atLeast"/>
        </w:trPr>
        <w:tc>
          <w:tcPr>
            <w:tcW w:w="820" w:type="dxa"/>
            <w:vAlign w:val="center"/>
          </w:tcPr>
          <w:p w14:paraId="43195FA7">
            <w:pPr>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156" w:type="dxa"/>
            <w:tcBorders>
              <w:right w:val="single" w:color="000000" w:sz="6" w:space="0"/>
            </w:tcBorders>
            <w:vAlign w:val="center"/>
          </w:tcPr>
          <w:p w14:paraId="3F775F63">
            <w:pPr>
              <w:jc w:val="center"/>
              <w:rPr>
                <w:rFonts w:ascii="宋体" w:hAnsi="宋体" w:cs="宋体"/>
                <w:color w:val="auto"/>
                <w:sz w:val="22"/>
                <w:szCs w:val="22"/>
                <w:highlight w:val="none"/>
              </w:rPr>
            </w:pPr>
            <w:r>
              <w:rPr>
                <w:rFonts w:hint="eastAsia" w:ascii="宋体" w:hAnsi="宋体" w:cs="宋体"/>
                <w:color w:val="auto"/>
                <w:sz w:val="22"/>
                <w:szCs w:val="22"/>
                <w:highlight w:val="none"/>
              </w:rPr>
              <w:t>技术功能符合度</w:t>
            </w:r>
          </w:p>
        </w:tc>
        <w:tc>
          <w:tcPr>
            <w:tcW w:w="6789" w:type="dxa"/>
            <w:tcBorders>
              <w:left w:val="single" w:color="000000" w:sz="6" w:space="0"/>
            </w:tcBorders>
            <w:vAlign w:val="center"/>
          </w:tcPr>
          <w:p w14:paraId="61932B02">
            <w:pPr>
              <w:rPr>
                <w:rFonts w:ascii="宋体" w:hAnsi="宋体" w:cs="宋体"/>
                <w:color w:val="auto"/>
                <w:sz w:val="22"/>
                <w:szCs w:val="22"/>
                <w:highlight w:val="none"/>
              </w:rPr>
            </w:pPr>
            <w:r>
              <w:rPr>
                <w:rFonts w:hint="eastAsia" w:ascii="宋体" w:hAnsi="宋体" w:cs="宋体"/>
                <w:color w:val="auto"/>
                <w:sz w:val="22"/>
                <w:szCs w:val="22"/>
                <w:highlight w:val="none"/>
              </w:rPr>
              <w:t>对应于采购文件第二章“采购内容及要求”中“三、技术参数”的符合度，每一项带“</w:t>
            </w:r>
            <w:r>
              <w:rPr>
                <w:rFonts w:hint="eastAsia" w:ascii="宋体" w:hAnsi="宋体" w:cs="宋体"/>
                <w:color w:val="auto"/>
                <w:sz w:val="22"/>
                <w:szCs w:val="22"/>
                <w:highlight w:val="none"/>
                <w:u w:color="000000"/>
                <w:lang w:val="zh-TW" w:eastAsia="zh-TW"/>
              </w:rPr>
              <w:t>△</w:t>
            </w:r>
            <w:r>
              <w:rPr>
                <w:rFonts w:hint="eastAsia" w:ascii="宋体" w:hAnsi="宋体" w:cs="宋体"/>
                <w:color w:val="auto"/>
                <w:sz w:val="22"/>
                <w:szCs w:val="22"/>
                <w:highlight w:val="none"/>
              </w:rPr>
              <w:t>”标记的条款不满足扣3分，扣完为止；</w:t>
            </w:r>
          </w:p>
          <w:p w14:paraId="65E5E7F5">
            <w:pPr>
              <w:rPr>
                <w:rFonts w:ascii="宋体" w:hAnsi="宋体" w:cs="宋体"/>
                <w:color w:val="auto"/>
                <w:sz w:val="22"/>
                <w:szCs w:val="22"/>
                <w:highlight w:val="none"/>
              </w:rPr>
            </w:pPr>
            <w:r>
              <w:rPr>
                <w:rFonts w:hint="eastAsia" w:ascii="宋体" w:hAnsi="宋体" w:cs="宋体"/>
                <w:color w:val="auto"/>
                <w:sz w:val="22"/>
                <w:szCs w:val="22"/>
                <w:highlight w:val="none"/>
              </w:rPr>
              <w:t>对应于采购文件第二章“招标内容及技术要求”中</w:t>
            </w:r>
            <w:r>
              <w:rPr>
                <w:rFonts w:hint="eastAsia" w:ascii="宋体" w:hAnsi="宋体" w:cs="宋体"/>
                <w:bCs/>
                <w:color w:val="auto"/>
                <w:sz w:val="22"/>
                <w:szCs w:val="22"/>
                <w:highlight w:val="none"/>
              </w:rPr>
              <w:t>“</w:t>
            </w:r>
            <w:r>
              <w:rPr>
                <w:rFonts w:hint="eastAsia" w:ascii="宋体" w:hAnsi="宋体" w:cs="宋体"/>
                <w:color w:val="auto"/>
                <w:sz w:val="22"/>
                <w:szCs w:val="22"/>
                <w:highlight w:val="none"/>
              </w:rPr>
              <w:t>三、技术参数</w:t>
            </w:r>
            <w:r>
              <w:rPr>
                <w:rFonts w:hint="eastAsia" w:ascii="宋体" w:hAnsi="宋体" w:cs="宋体"/>
                <w:bCs/>
                <w:color w:val="auto"/>
                <w:sz w:val="22"/>
                <w:szCs w:val="22"/>
                <w:highlight w:val="none"/>
              </w:rPr>
              <w:t>”</w:t>
            </w:r>
            <w:r>
              <w:rPr>
                <w:rFonts w:hint="eastAsia" w:ascii="宋体" w:hAnsi="宋体" w:cs="宋体"/>
                <w:color w:val="auto"/>
                <w:sz w:val="22"/>
                <w:szCs w:val="22"/>
                <w:highlight w:val="none"/>
              </w:rPr>
              <w:t>的符合度，每一项不带</w:t>
            </w:r>
            <w:r>
              <w:rPr>
                <w:rFonts w:hint="eastAsia" w:ascii="宋体" w:hAnsi="宋体" w:cs="宋体"/>
                <w:color w:val="auto"/>
                <w:sz w:val="22"/>
                <w:szCs w:val="22"/>
                <w:highlight w:val="none"/>
                <w:u w:color="000000"/>
                <w:lang w:val="zh-TW"/>
              </w:rPr>
              <w:t>“</w:t>
            </w:r>
            <w:r>
              <w:rPr>
                <w:rFonts w:hint="eastAsia" w:ascii="宋体" w:hAnsi="宋体" w:cs="宋体"/>
                <w:color w:val="auto"/>
                <w:sz w:val="22"/>
                <w:szCs w:val="22"/>
                <w:highlight w:val="none"/>
                <w:u w:color="000000"/>
                <w:lang w:val="zh-TW" w:eastAsia="zh-TW"/>
              </w:rPr>
              <w:t>△</w:t>
            </w:r>
            <w:r>
              <w:rPr>
                <w:rFonts w:hint="eastAsia" w:ascii="宋体" w:hAnsi="宋体" w:cs="宋体"/>
                <w:color w:val="auto"/>
                <w:sz w:val="22"/>
                <w:szCs w:val="22"/>
                <w:highlight w:val="none"/>
                <w:u w:color="000000"/>
                <w:lang w:val="zh-TW"/>
              </w:rPr>
              <w:t>”</w:t>
            </w:r>
            <w:r>
              <w:rPr>
                <w:rFonts w:hint="eastAsia" w:ascii="宋体" w:hAnsi="宋体" w:cs="宋体"/>
                <w:color w:val="auto"/>
                <w:sz w:val="22"/>
                <w:szCs w:val="22"/>
                <w:highlight w:val="none"/>
              </w:rPr>
              <w:t>标记的条款不满足扣1分，扣完为止。</w:t>
            </w:r>
          </w:p>
        </w:tc>
        <w:tc>
          <w:tcPr>
            <w:tcW w:w="833" w:type="dxa"/>
            <w:vAlign w:val="center"/>
          </w:tcPr>
          <w:p w14:paraId="400081FD">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44</w:t>
            </w:r>
          </w:p>
        </w:tc>
      </w:tr>
      <w:tr w14:paraId="37A87D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625A2C80">
            <w:pPr>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156" w:type="dxa"/>
            <w:tcBorders>
              <w:right w:val="single" w:color="000000" w:sz="6" w:space="0"/>
            </w:tcBorders>
            <w:vAlign w:val="center"/>
          </w:tcPr>
          <w:p w14:paraId="386A1785">
            <w:pPr>
              <w:rPr>
                <w:rFonts w:ascii="宋体" w:hAnsi="宋体" w:cs="宋体"/>
                <w:color w:val="auto"/>
                <w:sz w:val="22"/>
                <w:szCs w:val="22"/>
                <w:highlight w:val="none"/>
              </w:rPr>
            </w:pPr>
            <w:r>
              <w:rPr>
                <w:rFonts w:hint="eastAsia" w:ascii="宋体" w:hAnsi="宋体" w:cs="宋体"/>
                <w:color w:val="auto"/>
                <w:sz w:val="22"/>
                <w:szCs w:val="22"/>
                <w:highlight w:val="none"/>
              </w:rPr>
              <w:t>质保期</w:t>
            </w:r>
          </w:p>
        </w:tc>
        <w:tc>
          <w:tcPr>
            <w:tcW w:w="6789" w:type="dxa"/>
            <w:tcBorders>
              <w:left w:val="single" w:color="000000" w:sz="6" w:space="0"/>
            </w:tcBorders>
            <w:vAlign w:val="center"/>
          </w:tcPr>
          <w:p w14:paraId="59152E2B">
            <w:pPr>
              <w:rPr>
                <w:rFonts w:ascii="宋体" w:hAnsi="宋体" w:cs="宋体"/>
                <w:color w:val="auto"/>
                <w:sz w:val="22"/>
                <w:szCs w:val="22"/>
                <w:highlight w:val="none"/>
              </w:rPr>
            </w:pPr>
            <w:r>
              <w:rPr>
                <w:rFonts w:hint="eastAsia" w:ascii="宋体" w:hAnsi="宋体" w:cs="宋体"/>
                <w:color w:val="auto"/>
                <w:sz w:val="22"/>
                <w:szCs w:val="22"/>
                <w:highlight w:val="none"/>
              </w:rPr>
              <w:t>质保期在满足采购文件的基础上（主机部分）每增加1年加1分，最多得5分。</w:t>
            </w:r>
          </w:p>
        </w:tc>
        <w:tc>
          <w:tcPr>
            <w:tcW w:w="833" w:type="dxa"/>
            <w:vAlign w:val="center"/>
          </w:tcPr>
          <w:p w14:paraId="1C991432">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r>
      <w:tr w14:paraId="583F94D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20" w:type="dxa"/>
            <w:vAlign w:val="center"/>
          </w:tcPr>
          <w:p w14:paraId="55D83930">
            <w:pPr>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156" w:type="dxa"/>
            <w:tcBorders>
              <w:right w:val="single" w:color="000000" w:sz="6" w:space="0"/>
            </w:tcBorders>
            <w:vAlign w:val="center"/>
          </w:tcPr>
          <w:p w14:paraId="6316C598">
            <w:pPr>
              <w:widowControl/>
              <w:jc w:val="left"/>
              <w:rPr>
                <w:rFonts w:ascii="宋体" w:hAnsi="宋体" w:cs="宋体"/>
                <w:color w:val="auto"/>
                <w:sz w:val="22"/>
                <w:szCs w:val="22"/>
                <w:highlight w:val="none"/>
              </w:rPr>
            </w:pPr>
            <w:r>
              <w:rPr>
                <w:rFonts w:hint="eastAsia" w:ascii="宋体" w:hAnsi="宋体" w:cs="宋体"/>
                <w:color w:val="auto"/>
                <w:sz w:val="22"/>
                <w:szCs w:val="22"/>
                <w:highlight w:val="none"/>
              </w:rPr>
              <w:t>投标产品销售业绩</w:t>
            </w:r>
          </w:p>
        </w:tc>
        <w:tc>
          <w:tcPr>
            <w:tcW w:w="6789" w:type="dxa"/>
            <w:tcBorders>
              <w:left w:val="single" w:color="000000" w:sz="6" w:space="0"/>
            </w:tcBorders>
            <w:vAlign w:val="center"/>
          </w:tcPr>
          <w:p w14:paraId="7BA74C48">
            <w:pPr>
              <w:rPr>
                <w:rFonts w:ascii="宋体" w:hAnsi="宋体" w:cs="宋体"/>
                <w:color w:val="auto"/>
                <w:szCs w:val="21"/>
                <w:highlight w:val="none"/>
              </w:rPr>
            </w:pPr>
            <w:r>
              <w:rPr>
                <w:rFonts w:hint="eastAsia" w:ascii="宋体" w:hAnsi="宋体" w:cs="宋体"/>
                <w:color w:val="auto"/>
                <w:szCs w:val="22"/>
                <w:highlight w:val="none"/>
              </w:rPr>
              <w:t>本次所投产品型号与不同的采购单位签订的合同评分，每提供一个合同复印件得1分，最高3分。</w:t>
            </w:r>
            <w:r>
              <w:rPr>
                <w:rFonts w:hint="eastAsia" w:ascii="宋体" w:hAnsi="宋体" w:cs="宋体"/>
                <w:color w:val="auto"/>
                <w:sz w:val="22"/>
                <w:szCs w:val="22"/>
                <w:highlight w:val="none"/>
                <w:lang w:bidi="ar"/>
              </w:rPr>
              <w:t>（须提供完整的合同复印件并加盖公章，能清楚的辨别型号和价格，否则不计分）</w:t>
            </w:r>
          </w:p>
          <w:p w14:paraId="5C264DDB">
            <w:pPr>
              <w:widowControl/>
              <w:jc w:val="left"/>
              <w:rPr>
                <w:rFonts w:ascii="宋体" w:hAnsi="宋体" w:cs="宋体"/>
                <w:color w:val="auto"/>
                <w:sz w:val="22"/>
                <w:szCs w:val="22"/>
                <w:highlight w:val="none"/>
              </w:rPr>
            </w:pPr>
            <w:r>
              <w:rPr>
                <w:rFonts w:hint="eastAsia" w:ascii="宋体" w:hAnsi="宋体" w:cs="宋体"/>
                <w:color w:val="auto"/>
                <w:szCs w:val="21"/>
                <w:highlight w:val="none"/>
                <w:lang w:bidi="ar"/>
              </w:rPr>
              <w:t>投标产品为对省级以上主管部门认定的首台套产品，自纳入《省推广应用指导目录》起三年内参加政府采购活动，视同已具备相应销售业绩，本项得满分</w:t>
            </w:r>
            <w:r>
              <w:rPr>
                <w:rFonts w:hint="eastAsia" w:ascii="宋体" w:hAnsi="宋体" w:cs="宋体"/>
                <w:color w:val="auto"/>
                <w:sz w:val="22"/>
                <w:szCs w:val="22"/>
                <w:highlight w:val="none"/>
                <w:lang w:bidi="ar"/>
              </w:rPr>
              <w:t>。</w:t>
            </w:r>
          </w:p>
        </w:tc>
        <w:tc>
          <w:tcPr>
            <w:tcW w:w="833" w:type="dxa"/>
            <w:vAlign w:val="center"/>
          </w:tcPr>
          <w:p w14:paraId="4485B362">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r>
      <w:tr w14:paraId="4BA9F4F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1A3EA918">
            <w:pPr>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1156" w:type="dxa"/>
            <w:tcBorders>
              <w:right w:val="single" w:color="000000" w:sz="6" w:space="0"/>
            </w:tcBorders>
            <w:vAlign w:val="center"/>
          </w:tcPr>
          <w:p w14:paraId="70E9CA25">
            <w:pPr>
              <w:rPr>
                <w:rFonts w:ascii="宋体" w:hAnsi="宋体" w:cs="宋体"/>
                <w:color w:val="auto"/>
                <w:sz w:val="22"/>
                <w:szCs w:val="22"/>
                <w:highlight w:val="none"/>
              </w:rPr>
            </w:pPr>
            <w:r>
              <w:rPr>
                <w:rFonts w:hint="eastAsia" w:ascii="宋体" w:hAnsi="宋体" w:cs="宋体"/>
                <w:color w:val="auto"/>
                <w:sz w:val="22"/>
                <w:szCs w:val="22"/>
                <w:highlight w:val="none"/>
              </w:rPr>
              <w:t>环境标志产品、节能产品评审</w:t>
            </w:r>
          </w:p>
        </w:tc>
        <w:tc>
          <w:tcPr>
            <w:tcW w:w="6789" w:type="dxa"/>
            <w:tcBorders>
              <w:left w:val="single" w:color="000000" w:sz="6" w:space="0"/>
            </w:tcBorders>
            <w:vAlign w:val="center"/>
          </w:tcPr>
          <w:p w14:paraId="53FCD1C5">
            <w:pPr>
              <w:rPr>
                <w:rFonts w:ascii="宋体" w:hAnsi="宋体" w:cs="宋体"/>
                <w:color w:val="auto"/>
                <w:sz w:val="22"/>
                <w:szCs w:val="22"/>
                <w:highlight w:val="none"/>
              </w:rPr>
            </w:pPr>
            <w:r>
              <w:rPr>
                <w:rFonts w:hint="eastAsia" w:ascii="宋体" w:hAnsi="宋体" w:cs="宋体"/>
                <w:color w:val="auto"/>
                <w:sz w:val="22"/>
                <w:szCs w:val="22"/>
                <w:highlight w:val="none"/>
              </w:rPr>
              <w:t>对所投产品是否取得有效的政府采购节能产品、环境标志产品认证证书的情况进行评价给分（已列入强制要求的除外）。所投产品取得节能产品认证证书的，得0.5分；所投产品取得环境标志产品认证证书的，得0.5分；证明材料：提供国家确定的认证机构出具的、处于有效期之内的节能产品、环境标志产品认证证书复印件</w:t>
            </w:r>
          </w:p>
        </w:tc>
        <w:tc>
          <w:tcPr>
            <w:tcW w:w="833" w:type="dxa"/>
            <w:vAlign w:val="center"/>
          </w:tcPr>
          <w:p w14:paraId="250854CD">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r>
      <w:tr w14:paraId="5623105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598" w:type="dxa"/>
            <w:gridSpan w:val="4"/>
            <w:vAlign w:val="center"/>
          </w:tcPr>
          <w:p w14:paraId="5227A649">
            <w:pPr>
              <w:rPr>
                <w:rFonts w:ascii="宋体" w:hAnsi="宋体" w:cs="宋体"/>
                <w:color w:val="auto"/>
                <w:sz w:val="22"/>
                <w:szCs w:val="22"/>
                <w:highlight w:val="none"/>
              </w:rPr>
            </w:pPr>
            <w:r>
              <w:rPr>
                <w:rFonts w:hint="eastAsia" w:ascii="宋体" w:hAnsi="宋体" w:cs="宋体"/>
                <w:color w:val="auto"/>
                <w:sz w:val="22"/>
                <w:szCs w:val="22"/>
                <w:highlight w:val="none"/>
              </w:rPr>
              <w:t>主观分</w:t>
            </w:r>
          </w:p>
        </w:tc>
      </w:tr>
      <w:tr w14:paraId="09871B3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1A36C0EF">
            <w:pPr>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1156" w:type="dxa"/>
            <w:tcBorders>
              <w:right w:val="single" w:color="000000" w:sz="6" w:space="0"/>
            </w:tcBorders>
            <w:vAlign w:val="center"/>
          </w:tcPr>
          <w:p w14:paraId="419456CF">
            <w:pPr>
              <w:rPr>
                <w:rFonts w:ascii="宋体" w:hAnsi="宋体" w:cs="宋体"/>
                <w:color w:val="auto"/>
                <w:sz w:val="22"/>
                <w:szCs w:val="22"/>
                <w:highlight w:val="none"/>
              </w:rPr>
            </w:pPr>
            <w:r>
              <w:rPr>
                <w:rFonts w:hint="eastAsia" w:ascii="宋体" w:hAnsi="宋体" w:cs="宋体"/>
                <w:color w:val="auto"/>
                <w:sz w:val="22"/>
                <w:szCs w:val="22"/>
                <w:highlight w:val="none"/>
              </w:rPr>
              <w:t>投标货物的技术性能</w:t>
            </w:r>
          </w:p>
        </w:tc>
        <w:tc>
          <w:tcPr>
            <w:tcW w:w="6789" w:type="dxa"/>
            <w:tcBorders>
              <w:left w:val="single" w:color="000000" w:sz="6" w:space="0"/>
            </w:tcBorders>
            <w:vAlign w:val="center"/>
          </w:tcPr>
          <w:p w14:paraId="72D30FB3">
            <w:pPr>
              <w:rPr>
                <w:rFonts w:ascii="宋体" w:hAnsi="宋体" w:cs="宋体"/>
                <w:color w:val="auto"/>
                <w:sz w:val="22"/>
                <w:szCs w:val="22"/>
                <w:highlight w:val="none"/>
              </w:rPr>
            </w:pPr>
            <w:r>
              <w:rPr>
                <w:rFonts w:hint="eastAsia" w:ascii="宋体" w:hAnsi="宋体" w:cs="宋体"/>
                <w:color w:val="auto"/>
                <w:sz w:val="22"/>
                <w:szCs w:val="22"/>
                <w:highlight w:val="none"/>
              </w:rPr>
              <w:t>根据所投货物技术性能先进程度、在临床使用效果评分。技术性能先进充分满足临床要求且优化的得3分，技术性能较先进满足临床要求得2分；技术性能基本满足临床要求的得1分；技术性能不能完全满足临床要求的得0.5分；存在较大的缺陷、技术性能与临床要求差距较大的得0分。</w:t>
            </w:r>
          </w:p>
        </w:tc>
        <w:tc>
          <w:tcPr>
            <w:tcW w:w="833" w:type="dxa"/>
            <w:vAlign w:val="center"/>
          </w:tcPr>
          <w:p w14:paraId="260E3154">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r>
      <w:tr w14:paraId="595168E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1F2AD8B5">
            <w:pPr>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1156" w:type="dxa"/>
            <w:tcBorders>
              <w:right w:val="single" w:color="000000" w:sz="6" w:space="0"/>
            </w:tcBorders>
            <w:vAlign w:val="center"/>
          </w:tcPr>
          <w:p w14:paraId="49C84A2E">
            <w:pPr>
              <w:rPr>
                <w:rFonts w:ascii="宋体" w:hAnsi="宋体" w:cs="宋体"/>
                <w:color w:val="auto"/>
                <w:sz w:val="22"/>
                <w:szCs w:val="22"/>
                <w:highlight w:val="none"/>
              </w:rPr>
            </w:pPr>
            <w:r>
              <w:rPr>
                <w:rFonts w:hint="eastAsia" w:ascii="宋体" w:hAnsi="宋体" w:cs="宋体"/>
                <w:color w:val="auto"/>
                <w:sz w:val="22"/>
                <w:szCs w:val="22"/>
                <w:highlight w:val="none"/>
              </w:rPr>
              <w:t>运行成本</w:t>
            </w:r>
          </w:p>
        </w:tc>
        <w:tc>
          <w:tcPr>
            <w:tcW w:w="6789" w:type="dxa"/>
            <w:tcBorders>
              <w:left w:val="single" w:color="000000" w:sz="6" w:space="0"/>
            </w:tcBorders>
            <w:vAlign w:val="center"/>
          </w:tcPr>
          <w:p w14:paraId="23D2A9EB">
            <w:pPr>
              <w:rPr>
                <w:rFonts w:ascii="宋体" w:hAnsi="宋体" w:cs="宋体"/>
                <w:color w:val="auto"/>
                <w:sz w:val="22"/>
                <w:szCs w:val="22"/>
                <w:highlight w:val="none"/>
              </w:rPr>
            </w:pPr>
            <w:r>
              <w:rPr>
                <w:rFonts w:hint="eastAsia" w:ascii="宋体" w:hAnsi="宋体" w:cs="宋体"/>
                <w:color w:val="auto"/>
                <w:sz w:val="22"/>
                <w:szCs w:val="22"/>
                <w:highlight w:val="none"/>
              </w:rPr>
              <w:t>消耗品或易耗品价格，评委根据消耗品或易耗品价格给分，价格合理运行成本低得2分；价格和成本较合理得1分，价格不合理运行成本高0.5分，无报价得0分。</w:t>
            </w:r>
          </w:p>
        </w:tc>
        <w:tc>
          <w:tcPr>
            <w:tcW w:w="833" w:type="dxa"/>
            <w:vAlign w:val="center"/>
          </w:tcPr>
          <w:p w14:paraId="63CD62BA">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765FA99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2332AFB4">
            <w:pPr>
              <w:jc w:val="cente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1156" w:type="dxa"/>
            <w:tcBorders>
              <w:right w:val="single" w:color="000000" w:sz="6" w:space="0"/>
            </w:tcBorders>
            <w:vAlign w:val="center"/>
          </w:tcPr>
          <w:p w14:paraId="6A8B45EF">
            <w:pPr>
              <w:rPr>
                <w:rFonts w:ascii="宋体" w:hAnsi="宋体" w:cs="宋体"/>
                <w:color w:val="auto"/>
                <w:sz w:val="22"/>
                <w:szCs w:val="22"/>
                <w:highlight w:val="none"/>
              </w:rPr>
            </w:pPr>
            <w:r>
              <w:rPr>
                <w:rFonts w:hint="eastAsia" w:ascii="宋体" w:hAnsi="宋体" w:cs="宋体"/>
                <w:color w:val="auto"/>
                <w:sz w:val="22"/>
                <w:szCs w:val="22"/>
                <w:highlight w:val="none"/>
              </w:rPr>
              <w:t>维修成本</w:t>
            </w:r>
          </w:p>
        </w:tc>
        <w:tc>
          <w:tcPr>
            <w:tcW w:w="6789" w:type="dxa"/>
            <w:tcBorders>
              <w:left w:val="single" w:color="000000" w:sz="6" w:space="0"/>
            </w:tcBorders>
            <w:vAlign w:val="center"/>
          </w:tcPr>
          <w:p w14:paraId="7C06CED7">
            <w:pPr>
              <w:rPr>
                <w:rFonts w:ascii="宋体" w:hAnsi="宋体" w:cs="宋体"/>
                <w:color w:val="auto"/>
                <w:sz w:val="22"/>
                <w:szCs w:val="22"/>
                <w:highlight w:val="none"/>
              </w:rPr>
            </w:pPr>
            <w:r>
              <w:rPr>
                <w:rFonts w:hint="eastAsia" w:ascii="宋体" w:hAnsi="宋体" w:cs="宋体"/>
                <w:color w:val="auto"/>
                <w:sz w:val="22"/>
                <w:szCs w:val="22"/>
                <w:highlight w:val="none"/>
              </w:rPr>
              <w:t>包括保修价格、设备配件价格，维修服务费等维修价格。</w:t>
            </w:r>
          </w:p>
          <w:p w14:paraId="2C3A1953">
            <w:pPr>
              <w:rPr>
                <w:rFonts w:ascii="宋体" w:hAnsi="宋体" w:cs="宋体"/>
                <w:color w:val="auto"/>
                <w:sz w:val="22"/>
                <w:szCs w:val="22"/>
                <w:highlight w:val="none"/>
              </w:rPr>
            </w:pPr>
            <w:r>
              <w:rPr>
                <w:rFonts w:hint="eastAsia" w:ascii="宋体" w:hAnsi="宋体" w:cs="宋体"/>
                <w:color w:val="auto"/>
                <w:sz w:val="22"/>
                <w:szCs w:val="22"/>
                <w:highlight w:val="none"/>
              </w:rPr>
              <w:t>报价合理维修成本低得2分，报价和维修成本较差得1分，维修成本报价不合理得0.5分，无维修报价得0分</w:t>
            </w:r>
          </w:p>
        </w:tc>
        <w:tc>
          <w:tcPr>
            <w:tcW w:w="833" w:type="dxa"/>
            <w:vAlign w:val="center"/>
          </w:tcPr>
          <w:p w14:paraId="4BEA4B82">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4713D71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4EF91CBB">
            <w:pPr>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1156" w:type="dxa"/>
            <w:tcBorders>
              <w:right w:val="single" w:color="000000" w:sz="6" w:space="0"/>
            </w:tcBorders>
            <w:vAlign w:val="center"/>
          </w:tcPr>
          <w:p w14:paraId="45D011EB">
            <w:pPr>
              <w:rPr>
                <w:rFonts w:ascii="宋体" w:hAnsi="宋体" w:cs="宋体"/>
                <w:color w:val="auto"/>
                <w:sz w:val="22"/>
                <w:szCs w:val="22"/>
                <w:highlight w:val="none"/>
              </w:rPr>
            </w:pPr>
            <w:r>
              <w:rPr>
                <w:rFonts w:hint="eastAsia" w:ascii="宋体" w:hAnsi="宋体" w:cs="宋体"/>
                <w:color w:val="auto"/>
                <w:sz w:val="22"/>
                <w:szCs w:val="22"/>
                <w:highlight w:val="none"/>
              </w:rPr>
              <w:t>售后服务方案</w:t>
            </w:r>
          </w:p>
        </w:tc>
        <w:tc>
          <w:tcPr>
            <w:tcW w:w="6789" w:type="dxa"/>
            <w:tcBorders>
              <w:left w:val="single" w:color="000000" w:sz="6" w:space="0"/>
            </w:tcBorders>
            <w:vAlign w:val="center"/>
          </w:tcPr>
          <w:p w14:paraId="5A4C31FF">
            <w:pPr>
              <w:rPr>
                <w:rFonts w:ascii="宋体" w:hAnsi="宋体" w:cs="宋体"/>
                <w:color w:val="auto"/>
                <w:sz w:val="22"/>
                <w:szCs w:val="22"/>
                <w:highlight w:val="none"/>
              </w:rPr>
            </w:pPr>
          </w:p>
        </w:tc>
        <w:tc>
          <w:tcPr>
            <w:tcW w:w="833" w:type="dxa"/>
            <w:vAlign w:val="center"/>
          </w:tcPr>
          <w:p w14:paraId="3826E45F">
            <w:pPr>
              <w:spacing w:line="360" w:lineRule="auto"/>
              <w:jc w:val="center"/>
              <w:rPr>
                <w:rFonts w:ascii="宋体" w:hAnsi="宋体" w:cs="宋体"/>
                <w:color w:val="auto"/>
                <w:sz w:val="22"/>
                <w:szCs w:val="22"/>
                <w:highlight w:val="none"/>
              </w:rPr>
            </w:pPr>
          </w:p>
        </w:tc>
      </w:tr>
      <w:tr w14:paraId="3F68D75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5F2F919A">
            <w:pPr>
              <w:jc w:val="center"/>
              <w:rPr>
                <w:rFonts w:ascii="宋体" w:hAnsi="宋体" w:cs="宋体"/>
                <w:color w:val="auto"/>
                <w:sz w:val="22"/>
                <w:szCs w:val="22"/>
                <w:highlight w:val="none"/>
              </w:rPr>
            </w:pPr>
            <w:r>
              <w:rPr>
                <w:rFonts w:hint="eastAsia" w:ascii="宋体" w:hAnsi="宋体" w:cs="宋体"/>
                <w:color w:val="auto"/>
                <w:sz w:val="22"/>
                <w:szCs w:val="22"/>
                <w:highlight w:val="none"/>
              </w:rPr>
              <w:t>8.1</w:t>
            </w:r>
          </w:p>
        </w:tc>
        <w:tc>
          <w:tcPr>
            <w:tcW w:w="1156" w:type="dxa"/>
            <w:tcBorders>
              <w:right w:val="single" w:color="000000" w:sz="6" w:space="0"/>
            </w:tcBorders>
            <w:vAlign w:val="center"/>
          </w:tcPr>
          <w:p w14:paraId="3EF1B1A3">
            <w:pPr>
              <w:rPr>
                <w:rFonts w:ascii="宋体" w:hAnsi="宋体" w:cs="宋体"/>
                <w:color w:val="auto"/>
                <w:sz w:val="22"/>
                <w:szCs w:val="22"/>
                <w:highlight w:val="none"/>
              </w:rPr>
            </w:pPr>
            <w:r>
              <w:rPr>
                <w:rFonts w:hint="eastAsia" w:ascii="宋体" w:hAnsi="宋体" w:cs="宋体"/>
                <w:color w:val="auto"/>
                <w:sz w:val="22"/>
                <w:szCs w:val="22"/>
                <w:highlight w:val="none"/>
              </w:rPr>
              <w:t>售后服务方案</w:t>
            </w:r>
          </w:p>
        </w:tc>
        <w:tc>
          <w:tcPr>
            <w:tcW w:w="6789" w:type="dxa"/>
            <w:tcBorders>
              <w:left w:val="single" w:color="000000" w:sz="6" w:space="0"/>
            </w:tcBorders>
            <w:vAlign w:val="center"/>
          </w:tcPr>
          <w:p w14:paraId="59389B3F">
            <w:pPr>
              <w:rPr>
                <w:rFonts w:ascii="宋体" w:hAnsi="宋体" w:cs="宋体"/>
                <w:color w:val="auto"/>
                <w:sz w:val="22"/>
                <w:szCs w:val="22"/>
                <w:highlight w:val="none"/>
              </w:rPr>
            </w:pPr>
            <w:r>
              <w:rPr>
                <w:rFonts w:hint="eastAsia" w:ascii="宋体" w:hAnsi="宋体" w:cs="宋体"/>
                <w:color w:val="auto"/>
                <w:sz w:val="22"/>
                <w:szCs w:val="22"/>
                <w:highlight w:val="none"/>
              </w:rPr>
              <w:t>包括但不限于服务响应时间、故障解决方案，响应时间短，解决方案充分得3分，响应时间一般，解决方案较合理得2分，响应时间长，解决方案较差1分，响应时间长，解决方案差0.5分，无解决方案得0分；</w:t>
            </w:r>
          </w:p>
        </w:tc>
        <w:tc>
          <w:tcPr>
            <w:tcW w:w="833" w:type="dxa"/>
            <w:vAlign w:val="center"/>
          </w:tcPr>
          <w:p w14:paraId="6BA8A257">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r>
      <w:tr w14:paraId="12C6548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341B236A">
            <w:pPr>
              <w:jc w:val="center"/>
              <w:rPr>
                <w:rFonts w:ascii="宋体" w:hAnsi="宋体" w:cs="宋体"/>
                <w:color w:val="auto"/>
                <w:sz w:val="22"/>
                <w:szCs w:val="22"/>
                <w:highlight w:val="none"/>
              </w:rPr>
            </w:pPr>
            <w:r>
              <w:rPr>
                <w:rFonts w:hint="eastAsia" w:ascii="宋体" w:hAnsi="宋体" w:cs="宋体"/>
                <w:color w:val="auto"/>
                <w:sz w:val="22"/>
                <w:szCs w:val="22"/>
                <w:highlight w:val="none"/>
              </w:rPr>
              <w:t>8.2</w:t>
            </w:r>
          </w:p>
        </w:tc>
        <w:tc>
          <w:tcPr>
            <w:tcW w:w="1156" w:type="dxa"/>
            <w:tcBorders>
              <w:right w:val="single" w:color="000000" w:sz="6" w:space="0"/>
            </w:tcBorders>
            <w:vAlign w:val="center"/>
          </w:tcPr>
          <w:p w14:paraId="102A736D">
            <w:pPr>
              <w:rPr>
                <w:rFonts w:ascii="宋体" w:hAnsi="宋体" w:cs="宋体"/>
                <w:color w:val="auto"/>
                <w:sz w:val="22"/>
                <w:szCs w:val="22"/>
                <w:highlight w:val="none"/>
              </w:rPr>
            </w:pPr>
            <w:r>
              <w:rPr>
                <w:rFonts w:hint="eastAsia" w:ascii="宋体" w:hAnsi="宋体" w:cs="宋体"/>
                <w:color w:val="auto"/>
                <w:sz w:val="22"/>
                <w:szCs w:val="22"/>
                <w:highlight w:val="none"/>
              </w:rPr>
              <w:t>售后服务机构备品备件储备情况</w:t>
            </w:r>
          </w:p>
        </w:tc>
        <w:tc>
          <w:tcPr>
            <w:tcW w:w="6789" w:type="dxa"/>
            <w:tcBorders>
              <w:left w:val="single" w:color="000000" w:sz="6" w:space="0"/>
            </w:tcBorders>
            <w:vAlign w:val="center"/>
          </w:tcPr>
          <w:p w14:paraId="479ACEE0">
            <w:pPr>
              <w:rPr>
                <w:rFonts w:ascii="宋体" w:hAnsi="宋体" w:cs="宋体"/>
                <w:color w:val="auto"/>
                <w:sz w:val="22"/>
                <w:szCs w:val="22"/>
                <w:highlight w:val="none"/>
              </w:rPr>
            </w:pPr>
            <w:r>
              <w:rPr>
                <w:rFonts w:hint="eastAsia" w:ascii="宋体" w:hAnsi="宋体" w:cs="宋体"/>
                <w:color w:val="auto"/>
                <w:sz w:val="22"/>
                <w:szCs w:val="22"/>
                <w:highlight w:val="none"/>
              </w:rPr>
              <w:t>储备充足能充分满足售后服务要求得2分，储备较为充分、基本能满足售后服务要求得1分，储备情况差、不能满足售后服务要求0.5分，无备品备件储备得0分。</w:t>
            </w:r>
          </w:p>
        </w:tc>
        <w:tc>
          <w:tcPr>
            <w:tcW w:w="833" w:type="dxa"/>
            <w:vAlign w:val="center"/>
          </w:tcPr>
          <w:p w14:paraId="18FF3CA5">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635E4D3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5DA620BA">
            <w:pPr>
              <w:jc w:val="center"/>
              <w:rPr>
                <w:rFonts w:ascii="宋体" w:hAnsi="宋体" w:cs="宋体"/>
                <w:color w:val="auto"/>
                <w:sz w:val="22"/>
                <w:szCs w:val="22"/>
                <w:highlight w:val="none"/>
              </w:rPr>
            </w:pPr>
            <w:r>
              <w:rPr>
                <w:rFonts w:hint="eastAsia" w:ascii="宋体" w:hAnsi="宋体" w:cs="宋体"/>
                <w:color w:val="auto"/>
                <w:sz w:val="22"/>
                <w:szCs w:val="22"/>
                <w:highlight w:val="none"/>
              </w:rPr>
              <w:t>8.3</w:t>
            </w:r>
          </w:p>
        </w:tc>
        <w:tc>
          <w:tcPr>
            <w:tcW w:w="1156" w:type="dxa"/>
            <w:tcBorders>
              <w:right w:val="single" w:color="000000" w:sz="6" w:space="0"/>
            </w:tcBorders>
            <w:vAlign w:val="center"/>
          </w:tcPr>
          <w:p w14:paraId="49425D4E">
            <w:pPr>
              <w:rPr>
                <w:rFonts w:ascii="宋体" w:hAnsi="宋体" w:cs="宋体"/>
                <w:color w:val="auto"/>
                <w:sz w:val="22"/>
                <w:szCs w:val="22"/>
                <w:highlight w:val="none"/>
              </w:rPr>
            </w:pPr>
            <w:r>
              <w:rPr>
                <w:rFonts w:hint="eastAsia" w:ascii="宋体" w:hAnsi="宋体" w:cs="宋体"/>
                <w:color w:val="auto"/>
                <w:sz w:val="22"/>
                <w:szCs w:val="22"/>
                <w:highlight w:val="none"/>
              </w:rPr>
              <w:t>售后服务机构技术服务人员情况</w:t>
            </w:r>
          </w:p>
        </w:tc>
        <w:tc>
          <w:tcPr>
            <w:tcW w:w="6789" w:type="dxa"/>
            <w:tcBorders>
              <w:left w:val="single" w:color="000000" w:sz="6" w:space="0"/>
            </w:tcBorders>
            <w:vAlign w:val="center"/>
          </w:tcPr>
          <w:p w14:paraId="12025C18">
            <w:pPr>
              <w:rPr>
                <w:rFonts w:ascii="宋体" w:hAnsi="宋体" w:cs="宋体"/>
                <w:color w:val="auto"/>
                <w:sz w:val="22"/>
                <w:szCs w:val="22"/>
                <w:highlight w:val="none"/>
              </w:rPr>
            </w:pPr>
            <w:r>
              <w:rPr>
                <w:rFonts w:hint="eastAsia" w:ascii="宋体" w:hAnsi="宋体" w:cs="宋体"/>
                <w:color w:val="auto"/>
                <w:sz w:val="22"/>
                <w:szCs w:val="22"/>
                <w:highlight w:val="none"/>
              </w:rPr>
              <w:t>提供姓名、工作经验、资质证书情况，人员配备充足售后服务经验丰富得2分，人员配备和售后服务较差得1分，人员配备不足售后服务经验差0.5分，无人员配备得0分。</w:t>
            </w:r>
          </w:p>
        </w:tc>
        <w:tc>
          <w:tcPr>
            <w:tcW w:w="833" w:type="dxa"/>
            <w:vAlign w:val="center"/>
          </w:tcPr>
          <w:p w14:paraId="7F93C7A0">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3B9544F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33C44B9C">
            <w:pPr>
              <w:jc w:val="center"/>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1156" w:type="dxa"/>
            <w:tcBorders>
              <w:right w:val="single" w:color="000000" w:sz="6" w:space="0"/>
            </w:tcBorders>
            <w:vAlign w:val="center"/>
          </w:tcPr>
          <w:p w14:paraId="0C956E5A">
            <w:pPr>
              <w:rPr>
                <w:rFonts w:ascii="宋体" w:hAnsi="宋体" w:cs="宋体"/>
                <w:color w:val="auto"/>
                <w:sz w:val="22"/>
                <w:szCs w:val="22"/>
                <w:highlight w:val="none"/>
              </w:rPr>
            </w:pPr>
            <w:r>
              <w:rPr>
                <w:rFonts w:hint="eastAsia" w:ascii="宋体" w:hAnsi="宋体" w:cs="宋体"/>
                <w:color w:val="auto"/>
                <w:sz w:val="22"/>
                <w:szCs w:val="22"/>
                <w:highlight w:val="none"/>
              </w:rPr>
              <w:t>安装调试方案</w:t>
            </w:r>
          </w:p>
        </w:tc>
        <w:tc>
          <w:tcPr>
            <w:tcW w:w="6789" w:type="dxa"/>
            <w:tcBorders>
              <w:left w:val="single" w:color="000000" w:sz="6" w:space="0"/>
            </w:tcBorders>
            <w:vAlign w:val="center"/>
          </w:tcPr>
          <w:p w14:paraId="5BB71B88">
            <w:pPr>
              <w:rPr>
                <w:rFonts w:ascii="宋体" w:hAnsi="宋体" w:cs="宋体"/>
                <w:color w:val="auto"/>
                <w:sz w:val="22"/>
                <w:szCs w:val="22"/>
                <w:highlight w:val="none"/>
              </w:rPr>
            </w:pPr>
            <w:r>
              <w:rPr>
                <w:rFonts w:hint="eastAsia" w:ascii="宋体" w:hAnsi="宋体" w:cs="宋体"/>
                <w:color w:val="auto"/>
                <w:sz w:val="22"/>
                <w:szCs w:val="22"/>
                <w:highlight w:val="none"/>
              </w:rPr>
              <w:t>包括对场地环境的了解、人员的安排、时间进度的规划，对设备的调试进度安排，调试的步骤、措施，问题的解决方案等，方案考虑充分措施有效得2分，方案合理措施较差得1分，无方案得0分</w:t>
            </w:r>
          </w:p>
        </w:tc>
        <w:tc>
          <w:tcPr>
            <w:tcW w:w="833" w:type="dxa"/>
            <w:vAlign w:val="center"/>
          </w:tcPr>
          <w:p w14:paraId="1AA80A06">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640BF7E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20" w:type="dxa"/>
            <w:vAlign w:val="center"/>
          </w:tcPr>
          <w:p w14:paraId="6882DDAA">
            <w:pPr>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156" w:type="dxa"/>
            <w:tcBorders>
              <w:right w:val="single" w:color="000000" w:sz="6" w:space="0"/>
            </w:tcBorders>
            <w:vAlign w:val="center"/>
          </w:tcPr>
          <w:p w14:paraId="7F7EB638">
            <w:pPr>
              <w:rPr>
                <w:rFonts w:ascii="宋体" w:hAnsi="宋体" w:cs="宋体"/>
                <w:color w:val="auto"/>
                <w:sz w:val="22"/>
                <w:szCs w:val="22"/>
                <w:highlight w:val="none"/>
              </w:rPr>
            </w:pPr>
            <w:r>
              <w:rPr>
                <w:rFonts w:hint="eastAsia" w:ascii="宋体" w:hAnsi="宋体" w:cs="宋体"/>
                <w:color w:val="auto"/>
                <w:sz w:val="22"/>
                <w:szCs w:val="22"/>
                <w:highlight w:val="none"/>
              </w:rPr>
              <w:t>培训方案</w:t>
            </w:r>
          </w:p>
        </w:tc>
        <w:tc>
          <w:tcPr>
            <w:tcW w:w="6789" w:type="dxa"/>
            <w:tcBorders>
              <w:left w:val="single" w:color="000000" w:sz="6" w:space="0"/>
            </w:tcBorders>
            <w:vAlign w:val="center"/>
          </w:tcPr>
          <w:p w14:paraId="3B217F06">
            <w:pPr>
              <w:rPr>
                <w:rFonts w:ascii="宋体" w:hAnsi="宋体" w:cs="宋体"/>
                <w:color w:val="auto"/>
                <w:sz w:val="22"/>
                <w:szCs w:val="22"/>
                <w:highlight w:val="none"/>
              </w:rPr>
            </w:pPr>
            <w:r>
              <w:rPr>
                <w:rFonts w:hint="eastAsia" w:ascii="宋体" w:hAnsi="宋体" w:cs="宋体"/>
                <w:color w:val="auto"/>
                <w:sz w:val="22"/>
                <w:szCs w:val="22"/>
                <w:highlight w:val="none"/>
              </w:rPr>
              <w:t>包括但不限于培训对象、课时安排、师资力量安排等，方案考虑充分安排有效得1分，方案合理安排较差得0.5分，无方案得0分</w:t>
            </w:r>
          </w:p>
        </w:tc>
        <w:tc>
          <w:tcPr>
            <w:tcW w:w="833" w:type="dxa"/>
            <w:vAlign w:val="center"/>
          </w:tcPr>
          <w:p w14:paraId="0F12EC9D">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r>
    </w:tbl>
    <w:p w14:paraId="3A336ECE">
      <w:pPr>
        <w:adjustRightInd w:val="0"/>
        <w:snapToGrid w:val="0"/>
        <w:spacing w:before="100" w:after="50" w:line="400" w:lineRule="atLeast"/>
        <w:rPr>
          <w:rFonts w:ascii="Times New Roman"/>
          <w:b/>
          <w:bCs/>
          <w:color w:val="auto"/>
          <w:sz w:val="22"/>
          <w:szCs w:val="22"/>
          <w:highlight w:val="none"/>
        </w:rPr>
      </w:pPr>
    </w:p>
    <w:p w14:paraId="622EACA6">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33A25803">
      <w:pPr>
        <w:pStyle w:val="42"/>
        <w:adjustRightInd w:val="0"/>
        <w:snapToGrid w:val="0"/>
        <w:spacing w:before="100" w:after="50" w:line="360" w:lineRule="atLeast"/>
        <w:rPr>
          <w:color w:val="auto"/>
          <w:sz w:val="22"/>
          <w:szCs w:val="22"/>
          <w:highlight w:val="none"/>
        </w:rPr>
      </w:pPr>
      <w:r>
        <w:rPr>
          <w:color w:val="auto"/>
          <w:sz w:val="22"/>
          <w:szCs w:val="22"/>
          <w:highlight w:val="none"/>
        </w:rPr>
        <w:t>1</w:t>
      </w:r>
      <w:r>
        <w:rPr>
          <w:rFonts w:hint="eastAsia"/>
          <w:color w:val="auto"/>
          <w:sz w:val="22"/>
          <w:szCs w:val="22"/>
          <w:highlight w:val="none"/>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761740A8">
      <w:pPr>
        <w:pStyle w:val="42"/>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rPr>
        <w:t>.所有分值计算保留小数点后二位，小数点后三位四舍五入。</w:t>
      </w:r>
    </w:p>
    <w:p w14:paraId="75185780">
      <w:pPr>
        <w:pStyle w:val="42"/>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sectPr>
      <w:headerReference r:id="rId12" w:type="first"/>
      <w:footerReference r:id="rId14" w:type="first"/>
      <w:headerReference r:id="rId11" w:type="default"/>
      <w:footerReference r:id="rId13" w:type="default"/>
      <w:pgSz w:w="11906" w:h="16838"/>
      <w:pgMar w:top="1440" w:right="1247" w:bottom="1440" w:left="1247" w:header="851" w:footer="992" w:gutter="0"/>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671C3">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A0500">
    <w:pPr>
      <w:pStyle w:val="19"/>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7B80D">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A06D4">
                          <w:pPr>
                            <w:pStyle w:val="1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3FA06D4">
                    <w:pPr>
                      <w:pStyle w:val="1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8E96F">
    <w:pPr>
      <w:pStyle w:val="19"/>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B2A19">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B6B2A19">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99E07">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B1F05">
                          <w:pPr>
                            <w:pStyle w:val="1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F5B1F05">
                    <w:pPr>
                      <w:pStyle w:val="1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36AC">
    <w:pPr>
      <w:pStyle w:val="19"/>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C23C6">
                          <w:pPr>
                            <w:pStyle w:val="1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C9C23C6">
                    <w:pPr>
                      <w:pStyle w:val="1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94264">
    <w:pPr>
      <w:pStyle w:val="20"/>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C9281">
    <w:pPr>
      <w:pStyle w:val="20"/>
      <w:tabs>
        <w:tab w:val="left" w:pos="3184"/>
        <w:tab w:val="center" w:pos="7604"/>
      </w:tabs>
      <w:jc w:val="left"/>
    </w:pPr>
    <w:r>
      <w:rPr>
        <w:sz w:val="16"/>
        <w:szCs w:val="16"/>
      </w:rPr>
      <w:drawing>
        <wp:inline distT="0" distB="0" distL="114300" distR="114300">
          <wp:extent cx="325755" cy="273050"/>
          <wp:effectExtent l="0" t="0" r="7620" b="3175"/>
          <wp:docPr id="1"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rPr>
      <w:t xml:space="preserve">杭州华旗招标代理有限公司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F4412">
    <w:pPr>
      <w:pStyle w:val="20"/>
      <w:tabs>
        <w:tab w:val="left" w:pos="3184"/>
        <w:tab w:val="center" w:pos="7604"/>
      </w:tabs>
      <w:jc w:val="left"/>
      <w:rPr>
        <w:u w:val="single"/>
      </w:rPr>
    </w:pPr>
    <w:r>
      <w:rPr>
        <w:sz w:val="16"/>
        <w:szCs w:val="16"/>
      </w:rPr>
      <w:drawing>
        <wp:inline distT="0" distB="0" distL="114300" distR="114300">
          <wp:extent cx="325755" cy="273050"/>
          <wp:effectExtent l="0" t="0" r="7620" b="3175"/>
          <wp:docPr id="7" name="图片 7"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rPr>
      <w:t xml:space="preserve">杭州华旗招标代理有限公司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A3E54">
    <w:pPr>
      <w:pStyle w:val="20"/>
      <w:tabs>
        <w:tab w:val="left" w:pos="3184"/>
        <w:tab w:val="center" w:pos="7604"/>
      </w:tabs>
      <w:jc w:val="left"/>
    </w:pPr>
    <w:r>
      <w:rPr>
        <w:sz w:val="16"/>
        <w:szCs w:val="16"/>
      </w:rPr>
      <w:drawing>
        <wp:inline distT="0" distB="0" distL="114300" distR="114300">
          <wp:extent cx="325755" cy="273050"/>
          <wp:effectExtent l="0" t="0" r="7620" b="3175"/>
          <wp:docPr id="2" name="图片 2"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rPr>
      <w:t>杭州华旗招标代理有限公司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D7D7A">
    <w:pPr>
      <w:pStyle w:val="20"/>
      <w:jc w:val="left"/>
    </w:pPr>
    <w:r>
      <w:rPr>
        <w:sz w:val="16"/>
        <w:szCs w:val="16"/>
      </w:rPr>
      <w:drawing>
        <wp:inline distT="0" distB="0" distL="114300" distR="114300">
          <wp:extent cx="325755" cy="273050"/>
          <wp:effectExtent l="0" t="0" r="7620" b="3175"/>
          <wp:docPr id="9" name="图片 9"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rPr>
      <w:t>杭州华旗招标代理有限公司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3004F">
    <w:pPr>
      <w:pStyle w:val="20"/>
      <w:jc w:val="left"/>
    </w:pPr>
    <w:r>
      <w:rPr>
        <w:sz w:val="16"/>
        <w:szCs w:val="16"/>
      </w:rPr>
      <w:drawing>
        <wp:inline distT="0" distB="0" distL="114300" distR="114300">
          <wp:extent cx="325755" cy="273050"/>
          <wp:effectExtent l="0" t="0" r="7620" b="3175"/>
          <wp:docPr id="10" name="图片 10"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rPr>
      <w:t>杭州华旗招标代理有限公司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88AD1C3"/>
    <w:multiLevelType w:val="singleLevel"/>
    <w:tmpl w:val="D88AD1C3"/>
    <w:lvl w:ilvl="0" w:tentative="0">
      <w:start w:val="1"/>
      <w:numFmt w:val="decimal"/>
      <w:suff w:val="space"/>
      <w:lvlText w:val="%1."/>
      <w:lvlJc w:val="left"/>
      <w:pPr>
        <w:ind w:left="0" w:firstLine="0"/>
      </w:pPr>
    </w:lvl>
  </w:abstractNum>
  <w:abstractNum w:abstractNumId="3">
    <w:nsid w:val="DDC374CF"/>
    <w:multiLevelType w:val="singleLevel"/>
    <w:tmpl w:val="DDC374CF"/>
    <w:lvl w:ilvl="0" w:tentative="0">
      <w:start w:val="1"/>
      <w:numFmt w:val="decimal"/>
      <w:lvlText w:val="%1."/>
      <w:lvlJc w:val="left"/>
      <w:pPr>
        <w:ind w:left="425" w:hanging="425"/>
      </w:pPr>
      <w:rPr>
        <w:rFonts w:hint="default"/>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A174426"/>
    <w:multiLevelType w:val="singleLevel"/>
    <w:tmpl w:val="EA174426"/>
    <w:lvl w:ilvl="0" w:tentative="0">
      <w:start w:val="1"/>
      <w:numFmt w:val="decimal"/>
      <w:suff w:val="nothing"/>
      <w:lvlText w:val="（%1）"/>
      <w:lvlJc w:val="left"/>
    </w:lvl>
  </w:abstractNum>
  <w:abstractNum w:abstractNumId="8">
    <w:nsid w:val="FD323AA9"/>
    <w:multiLevelType w:val="singleLevel"/>
    <w:tmpl w:val="FD323AA9"/>
    <w:lvl w:ilvl="0" w:tentative="0">
      <w:start w:val="1"/>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0919FECF"/>
    <w:multiLevelType w:val="singleLevel"/>
    <w:tmpl w:val="0919FECF"/>
    <w:lvl w:ilvl="0" w:tentative="0">
      <w:start w:val="2"/>
      <w:numFmt w:val="decimal"/>
      <w:lvlText w:val="%1."/>
      <w:lvlJc w:val="left"/>
      <w:pPr>
        <w:tabs>
          <w:tab w:val="left" w:pos="312"/>
        </w:tabs>
      </w:pPr>
    </w:lvl>
  </w:abstractNum>
  <w:abstractNum w:abstractNumId="12">
    <w:nsid w:val="1BC96F79"/>
    <w:multiLevelType w:val="singleLevel"/>
    <w:tmpl w:val="1BC96F79"/>
    <w:lvl w:ilvl="0" w:tentative="0">
      <w:start w:val="1"/>
      <w:numFmt w:val="chineseCounting"/>
      <w:suff w:val="nothing"/>
      <w:lvlText w:val="%1、"/>
      <w:lvlJc w:val="left"/>
      <w:rPr>
        <w:rFonts w:hint="eastAsia"/>
      </w:rPr>
    </w:lvl>
  </w:abstractNum>
  <w:abstractNum w:abstractNumId="13">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3"/>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4">
    <w:nsid w:val="3B363D98"/>
    <w:multiLevelType w:val="multilevel"/>
    <w:tmpl w:val="3B363D98"/>
    <w:lvl w:ilvl="0" w:tentative="0">
      <w:start w:val="1"/>
      <w:numFmt w:val="decimal"/>
      <w:pStyle w:val="9"/>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5">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6">
    <w:nsid w:val="44DD23F9"/>
    <w:multiLevelType w:val="multilevel"/>
    <w:tmpl w:val="44DD23F9"/>
    <w:lvl w:ilvl="0" w:tentative="0">
      <w:start w:val="1"/>
      <w:numFmt w:val="bullet"/>
      <w:pStyle w:val="59"/>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7">
    <w:nsid w:val="52170D45"/>
    <w:multiLevelType w:val="multilevel"/>
    <w:tmpl w:val="52170D45"/>
    <w:lvl w:ilvl="0" w:tentative="0">
      <w:start w:val="1"/>
      <w:numFmt w:val="decimal"/>
      <w:pStyle w:val="66"/>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8">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9">
    <w:nsid w:val="61BD0F6F"/>
    <w:multiLevelType w:val="singleLevel"/>
    <w:tmpl w:val="61BD0F6F"/>
    <w:lvl w:ilvl="0" w:tentative="0">
      <w:start w:val="1"/>
      <w:numFmt w:val="decimal"/>
      <w:suff w:val="nothing"/>
      <w:lvlText w:val="（%1）"/>
      <w:lvlJc w:val="left"/>
    </w:lvl>
  </w:abstractNum>
  <w:abstractNum w:abstractNumId="20">
    <w:nsid w:val="7A0F6431"/>
    <w:multiLevelType w:val="singleLevel"/>
    <w:tmpl w:val="7A0F6431"/>
    <w:lvl w:ilvl="0" w:tentative="0">
      <w:start w:val="1"/>
      <w:numFmt w:val="decimal"/>
      <w:suff w:val="space"/>
      <w:lvlText w:val="%1."/>
      <w:lvlJc w:val="left"/>
    </w:lvl>
  </w:abstractNum>
  <w:abstractNum w:abstractNumId="21">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0"/>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14"/>
  </w:num>
  <w:num w:numId="3">
    <w:abstractNumId w:val="16"/>
  </w:num>
  <w:num w:numId="4">
    <w:abstractNumId w:val="21"/>
  </w:num>
  <w:num w:numId="5">
    <w:abstractNumId w:val="17"/>
  </w:num>
  <w:num w:numId="6">
    <w:abstractNumId w:val="13"/>
  </w:num>
  <w:num w:numId="7">
    <w:abstractNumId w:val="12"/>
  </w:num>
  <w:num w:numId="8">
    <w:abstractNumId w:val="10"/>
  </w:num>
  <w:num w:numId="9">
    <w:abstractNumId w:val="11"/>
  </w:num>
  <w:num w:numId="10">
    <w:abstractNumId w:val="18"/>
  </w:num>
  <w:num w:numId="11">
    <w:abstractNumId w:val="3"/>
  </w:num>
  <w:num w:numId="12">
    <w:abstractNumId w:val="19"/>
  </w:num>
  <w:num w:numId="13">
    <w:abstractNumId w:val="7"/>
  </w:num>
  <w:num w:numId="14">
    <w:abstractNumId w:val="2"/>
  </w:num>
  <w:num w:numId="15">
    <w:abstractNumId w:val="20"/>
  </w:num>
  <w:num w:numId="16">
    <w:abstractNumId w:val="1"/>
  </w:num>
  <w:num w:numId="17">
    <w:abstractNumId w:val="9"/>
  </w:num>
  <w:num w:numId="18">
    <w:abstractNumId w:val="5"/>
  </w:num>
  <w:num w:numId="19">
    <w:abstractNumId w:val="4"/>
  </w:num>
  <w:num w:numId="20">
    <w:abstractNumId w:val="0"/>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dit="forms" w:formatting="1" w:enforcement="0"/>
  <w:defaultTabStop w:val="420"/>
  <w:drawingGridHorizontalSpacing w:val="109"/>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172A27"/>
    <w:rsid w:val="00012A12"/>
    <w:rsid w:val="000610BD"/>
    <w:rsid w:val="000616EB"/>
    <w:rsid w:val="000630A4"/>
    <w:rsid w:val="000D2363"/>
    <w:rsid w:val="000E39BA"/>
    <w:rsid w:val="000E4E55"/>
    <w:rsid w:val="000F16EB"/>
    <w:rsid w:val="00102968"/>
    <w:rsid w:val="0011628C"/>
    <w:rsid w:val="00133932"/>
    <w:rsid w:val="00136A2C"/>
    <w:rsid w:val="00172A27"/>
    <w:rsid w:val="00174784"/>
    <w:rsid w:val="0017704F"/>
    <w:rsid w:val="0018000E"/>
    <w:rsid w:val="001A3C28"/>
    <w:rsid w:val="001A78DF"/>
    <w:rsid w:val="001C646F"/>
    <w:rsid w:val="001F0EDF"/>
    <w:rsid w:val="0026323F"/>
    <w:rsid w:val="002844E7"/>
    <w:rsid w:val="00294E59"/>
    <w:rsid w:val="002D1F9B"/>
    <w:rsid w:val="00302497"/>
    <w:rsid w:val="0030336D"/>
    <w:rsid w:val="00304715"/>
    <w:rsid w:val="00310305"/>
    <w:rsid w:val="00313114"/>
    <w:rsid w:val="003171D1"/>
    <w:rsid w:val="003343D0"/>
    <w:rsid w:val="00353071"/>
    <w:rsid w:val="00380FA2"/>
    <w:rsid w:val="003A267E"/>
    <w:rsid w:val="00415D37"/>
    <w:rsid w:val="00426B6A"/>
    <w:rsid w:val="004418B0"/>
    <w:rsid w:val="00443897"/>
    <w:rsid w:val="004449F0"/>
    <w:rsid w:val="0044737A"/>
    <w:rsid w:val="00450D5C"/>
    <w:rsid w:val="004665C2"/>
    <w:rsid w:val="00472058"/>
    <w:rsid w:val="0049417E"/>
    <w:rsid w:val="004C1EB6"/>
    <w:rsid w:val="004D18E1"/>
    <w:rsid w:val="004F144E"/>
    <w:rsid w:val="00513F71"/>
    <w:rsid w:val="00543934"/>
    <w:rsid w:val="00561E45"/>
    <w:rsid w:val="005B01E6"/>
    <w:rsid w:val="005C01BA"/>
    <w:rsid w:val="005C6A4B"/>
    <w:rsid w:val="005D2BB5"/>
    <w:rsid w:val="005E0579"/>
    <w:rsid w:val="006224D8"/>
    <w:rsid w:val="006405E4"/>
    <w:rsid w:val="00695B98"/>
    <w:rsid w:val="006A0CAB"/>
    <w:rsid w:val="006B4383"/>
    <w:rsid w:val="006D65FE"/>
    <w:rsid w:val="006E0A1E"/>
    <w:rsid w:val="00726C07"/>
    <w:rsid w:val="0073207D"/>
    <w:rsid w:val="00741C56"/>
    <w:rsid w:val="00746EEB"/>
    <w:rsid w:val="007B3060"/>
    <w:rsid w:val="007D0F25"/>
    <w:rsid w:val="007D20F5"/>
    <w:rsid w:val="00810EF8"/>
    <w:rsid w:val="008129DF"/>
    <w:rsid w:val="00820A54"/>
    <w:rsid w:val="00863399"/>
    <w:rsid w:val="00865454"/>
    <w:rsid w:val="0087569F"/>
    <w:rsid w:val="00885508"/>
    <w:rsid w:val="008A7399"/>
    <w:rsid w:val="008B0DEA"/>
    <w:rsid w:val="008D6020"/>
    <w:rsid w:val="00911892"/>
    <w:rsid w:val="00921BD3"/>
    <w:rsid w:val="009226B3"/>
    <w:rsid w:val="00945148"/>
    <w:rsid w:val="00960243"/>
    <w:rsid w:val="00993CA1"/>
    <w:rsid w:val="009B3819"/>
    <w:rsid w:val="009C4483"/>
    <w:rsid w:val="009D1FD6"/>
    <w:rsid w:val="009E4919"/>
    <w:rsid w:val="009F2D4E"/>
    <w:rsid w:val="009F3C0F"/>
    <w:rsid w:val="00A31FA8"/>
    <w:rsid w:val="00A755B5"/>
    <w:rsid w:val="00A82D13"/>
    <w:rsid w:val="00A91DE6"/>
    <w:rsid w:val="00A91EC1"/>
    <w:rsid w:val="00A93A34"/>
    <w:rsid w:val="00AC5B73"/>
    <w:rsid w:val="00AD5CC6"/>
    <w:rsid w:val="00AD76C6"/>
    <w:rsid w:val="00AF38A4"/>
    <w:rsid w:val="00AF4151"/>
    <w:rsid w:val="00B24996"/>
    <w:rsid w:val="00B26EF4"/>
    <w:rsid w:val="00B623C8"/>
    <w:rsid w:val="00BA0A78"/>
    <w:rsid w:val="00BB2C98"/>
    <w:rsid w:val="00BD34A2"/>
    <w:rsid w:val="00BD78D0"/>
    <w:rsid w:val="00BE0622"/>
    <w:rsid w:val="00C71BE6"/>
    <w:rsid w:val="00C732C7"/>
    <w:rsid w:val="00C804A3"/>
    <w:rsid w:val="00C85473"/>
    <w:rsid w:val="00C854D0"/>
    <w:rsid w:val="00CA54D9"/>
    <w:rsid w:val="00CB76DA"/>
    <w:rsid w:val="00CD76DF"/>
    <w:rsid w:val="00CE7397"/>
    <w:rsid w:val="00CF1885"/>
    <w:rsid w:val="00CF469C"/>
    <w:rsid w:val="00D45784"/>
    <w:rsid w:val="00D46511"/>
    <w:rsid w:val="00D540DA"/>
    <w:rsid w:val="00D54ABC"/>
    <w:rsid w:val="00D619E5"/>
    <w:rsid w:val="00D61A91"/>
    <w:rsid w:val="00D636C0"/>
    <w:rsid w:val="00E26A29"/>
    <w:rsid w:val="00E32034"/>
    <w:rsid w:val="00E503C9"/>
    <w:rsid w:val="00E719E1"/>
    <w:rsid w:val="00E91867"/>
    <w:rsid w:val="00EA2F3E"/>
    <w:rsid w:val="00EA34BD"/>
    <w:rsid w:val="00EB7890"/>
    <w:rsid w:val="00EC10E7"/>
    <w:rsid w:val="00EC4A64"/>
    <w:rsid w:val="00EC6073"/>
    <w:rsid w:val="00EC745E"/>
    <w:rsid w:val="00ED6F5D"/>
    <w:rsid w:val="00F5211E"/>
    <w:rsid w:val="00F60830"/>
    <w:rsid w:val="00F62010"/>
    <w:rsid w:val="00F773DD"/>
    <w:rsid w:val="00F95291"/>
    <w:rsid w:val="00FA0BD1"/>
    <w:rsid w:val="00FD2E3E"/>
    <w:rsid w:val="00FD4E25"/>
    <w:rsid w:val="00FE0B5C"/>
    <w:rsid w:val="01041902"/>
    <w:rsid w:val="011B0745"/>
    <w:rsid w:val="011C1120"/>
    <w:rsid w:val="01202218"/>
    <w:rsid w:val="013D123D"/>
    <w:rsid w:val="0155601B"/>
    <w:rsid w:val="018D6632"/>
    <w:rsid w:val="01971D57"/>
    <w:rsid w:val="01A3636E"/>
    <w:rsid w:val="01A9781D"/>
    <w:rsid w:val="01B95F5B"/>
    <w:rsid w:val="01C93ABD"/>
    <w:rsid w:val="01CE24C1"/>
    <w:rsid w:val="01D23F28"/>
    <w:rsid w:val="01F053E6"/>
    <w:rsid w:val="020E5F18"/>
    <w:rsid w:val="020E7C68"/>
    <w:rsid w:val="023805A5"/>
    <w:rsid w:val="02622915"/>
    <w:rsid w:val="027748AE"/>
    <w:rsid w:val="029522D0"/>
    <w:rsid w:val="02980A29"/>
    <w:rsid w:val="02A76009"/>
    <w:rsid w:val="02BF74D3"/>
    <w:rsid w:val="02E12496"/>
    <w:rsid w:val="02EE451F"/>
    <w:rsid w:val="03261A03"/>
    <w:rsid w:val="0332763A"/>
    <w:rsid w:val="033B1910"/>
    <w:rsid w:val="0342341C"/>
    <w:rsid w:val="036115F1"/>
    <w:rsid w:val="036363D4"/>
    <w:rsid w:val="039C6B52"/>
    <w:rsid w:val="03A61318"/>
    <w:rsid w:val="03A74512"/>
    <w:rsid w:val="03AE5C64"/>
    <w:rsid w:val="03FE1390"/>
    <w:rsid w:val="040B5DC6"/>
    <w:rsid w:val="041A7CCF"/>
    <w:rsid w:val="045C5983"/>
    <w:rsid w:val="046659CE"/>
    <w:rsid w:val="046D2F15"/>
    <w:rsid w:val="046D788F"/>
    <w:rsid w:val="0482288A"/>
    <w:rsid w:val="04830260"/>
    <w:rsid w:val="04C7112E"/>
    <w:rsid w:val="04FE687D"/>
    <w:rsid w:val="050D2A9B"/>
    <w:rsid w:val="052B6FFE"/>
    <w:rsid w:val="055E1ED8"/>
    <w:rsid w:val="056062C2"/>
    <w:rsid w:val="05635592"/>
    <w:rsid w:val="05685668"/>
    <w:rsid w:val="056A2A73"/>
    <w:rsid w:val="057749A7"/>
    <w:rsid w:val="058F3E77"/>
    <w:rsid w:val="0594789F"/>
    <w:rsid w:val="05A3067D"/>
    <w:rsid w:val="05A806B4"/>
    <w:rsid w:val="05A827C4"/>
    <w:rsid w:val="05C078DC"/>
    <w:rsid w:val="05C4535A"/>
    <w:rsid w:val="05D76C05"/>
    <w:rsid w:val="05DC75FA"/>
    <w:rsid w:val="05EC2370"/>
    <w:rsid w:val="05F256ED"/>
    <w:rsid w:val="061C1F17"/>
    <w:rsid w:val="061F33FD"/>
    <w:rsid w:val="06210036"/>
    <w:rsid w:val="062C5D9A"/>
    <w:rsid w:val="065E2E1F"/>
    <w:rsid w:val="066D2196"/>
    <w:rsid w:val="067B57E2"/>
    <w:rsid w:val="0680783F"/>
    <w:rsid w:val="06B8631D"/>
    <w:rsid w:val="06BB1582"/>
    <w:rsid w:val="06CE6494"/>
    <w:rsid w:val="06D575E9"/>
    <w:rsid w:val="07374B5F"/>
    <w:rsid w:val="074F739B"/>
    <w:rsid w:val="07604846"/>
    <w:rsid w:val="07690581"/>
    <w:rsid w:val="0777785B"/>
    <w:rsid w:val="07827641"/>
    <w:rsid w:val="078661B3"/>
    <w:rsid w:val="078709DA"/>
    <w:rsid w:val="078A0456"/>
    <w:rsid w:val="07A84DCB"/>
    <w:rsid w:val="07B76E93"/>
    <w:rsid w:val="07BB2B24"/>
    <w:rsid w:val="07C4402A"/>
    <w:rsid w:val="07D72A2D"/>
    <w:rsid w:val="07E37EC6"/>
    <w:rsid w:val="07FD78BA"/>
    <w:rsid w:val="080A2405"/>
    <w:rsid w:val="08324C35"/>
    <w:rsid w:val="085D7F87"/>
    <w:rsid w:val="086110D2"/>
    <w:rsid w:val="08624EAC"/>
    <w:rsid w:val="08720C3F"/>
    <w:rsid w:val="087C4DF9"/>
    <w:rsid w:val="08A1640D"/>
    <w:rsid w:val="08A454C4"/>
    <w:rsid w:val="08A703D9"/>
    <w:rsid w:val="08C2404C"/>
    <w:rsid w:val="08D35DAA"/>
    <w:rsid w:val="08F219D6"/>
    <w:rsid w:val="09074686"/>
    <w:rsid w:val="09166F09"/>
    <w:rsid w:val="091F3C55"/>
    <w:rsid w:val="09305B90"/>
    <w:rsid w:val="09381D91"/>
    <w:rsid w:val="09420839"/>
    <w:rsid w:val="09532A47"/>
    <w:rsid w:val="096358FF"/>
    <w:rsid w:val="097038C9"/>
    <w:rsid w:val="09840974"/>
    <w:rsid w:val="098660B8"/>
    <w:rsid w:val="09887D1F"/>
    <w:rsid w:val="09A55AFC"/>
    <w:rsid w:val="09C72936"/>
    <w:rsid w:val="0A012C11"/>
    <w:rsid w:val="0A025B20"/>
    <w:rsid w:val="0A392BB3"/>
    <w:rsid w:val="0A3B205C"/>
    <w:rsid w:val="0A422A41"/>
    <w:rsid w:val="0A5529A3"/>
    <w:rsid w:val="0A6D54C1"/>
    <w:rsid w:val="0A9D6E39"/>
    <w:rsid w:val="0AA00C47"/>
    <w:rsid w:val="0AA14449"/>
    <w:rsid w:val="0AB14F8A"/>
    <w:rsid w:val="0AD64336"/>
    <w:rsid w:val="0AFB0953"/>
    <w:rsid w:val="0B4D32FF"/>
    <w:rsid w:val="0B954E47"/>
    <w:rsid w:val="0BA81885"/>
    <w:rsid w:val="0BC65B7E"/>
    <w:rsid w:val="0BDC6D23"/>
    <w:rsid w:val="0BEF26D8"/>
    <w:rsid w:val="0C0E290E"/>
    <w:rsid w:val="0C174A1A"/>
    <w:rsid w:val="0C207896"/>
    <w:rsid w:val="0C3A346F"/>
    <w:rsid w:val="0C3A444D"/>
    <w:rsid w:val="0C3C698A"/>
    <w:rsid w:val="0C54227B"/>
    <w:rsid w:val="0C5A58C7"/>
    <w:rsid w:val="0C7F5C11"/>
    <w:rsid w:val="0CB677F4"/>
    <w:rsid w:val="0CB95F77"/>
    <w:rsid w:val="0CD66EE8"/>
    <w:rsid w:val="0CF46702"/>
    <w:rsid w:val="0CFC5C75"/>
    <w:rsid w:val="0D551B0D"/>
    <w:rsid w:val="0D8D29CB"/>
    <w:rsid w:val="0DA47FE5"/>
    <w:rsid w:val="0DA70CBA"/>
    <w:rsid w:val="0DAD3475"/>
    <w:rsid w:val="0DC6449F"/>
    <w:rsid w:val="0DCE6F95"/>
    <w:rsid w:val="0DDB39B6"/>
    <w:rsid w:val="0DDF61AF"/>
    <w:rsid w:val="0DF17646"/>
    <w:rsid w:val="0E176739"/>
    <w:rsid w:val="0E212F0B"/>
    <w:rsid w:val="0E36071A"/>
    <w:rsid w:val="0E3C43A7"/>
    <w:rsid w:val="0E5900A8"/>
    <w:rsid w:val="0E673C8D"/>
    <w:rsid w:val="0E800F9A"/>
    <w:rsid w:val="0E8739DE"/>
    <w:rsid w:val="0E985C4A"/>
    <w:rsid w:val="0EAC0516"/>
    <w:rsid w:val="0EC0292C"/>
    <w:rsid w:val="0ECB620F"/>
    <w:rsid w:val="0F2743A8"/>
    <w:rsid w:val="0F5D75AE"/>
    <w:rsid w:val="0F72397C"/>
    <w:rsid w:val="0F73060B"/>
    <w:rsid w:val="0F730C2E"/>
    <w:rsid w:val="0F826401"/>
    <w:rsid w:val="0F87169C"/>
    <w:rsid w:val="0F8D5A6E"/>
    <w:rsid w:val="0F9839E3"/>
    <w:rsid w:val="0FC31AEF"/>
    <w:rsid w:val="0FD7253D"/>
    <w:rsid w:val="0FDC0699"/>
    <w:rsid w:val="0FF665BB"/>
    <w:rsid w:val="10200C1D"/>
    <w:rsid w:val="102313C5"/>
    <w:rsid w:val="102556E4"/>
    <w:rsid w:val="1033623D"/>
    <w:rsid w:val="1041039B"/>
    <w:rsid w:val="104B2691"/>
    <w:rsid w:val="105416B0"/>
    <w:rsid w:val="10773C86"/>
    <w:rsid w:val="10AC14F7"/>
    <w:rsid w:val="10B16491"/>
    <w:rsid w:val="10B34478"/>
    <w:rsid w:val="10B4594F"/>
    <w:rsid w:val="10BB4648"/>
    <w:rsid w:val="10D4591E"/>
    <w:rsid w:val="10E72D9F"/>
    <w:rsid w:val="112D4C12"/>
    <w:rsid w:val="11423E3C"/>
    <w:rsid w:val="11775760"/>
    <w:rsid w:val="11847F51"/>
    <w:rsid w:val="118C7C9D"/>
    <w:rsid w:val="118D68ED"/>
    <w:rsid w:val="11A275F0"/>
    <w:rsid w:val="11A60C03"/>
    <w:rsid w:val="11B5604C"/>
    <w:rsid w:val="11CD76D7"/>
    <w:rsid w:val="11E94C8E"/>
    <w:rsid w:val="11EA1D20"/>
    <w:rsid w:val="120C2D43"/>
    <w:rsid w:val="120D7F72"/>
    <w:rsid w:val="122044C4"/>
    <w:rsid w:val="125F245C"/>
    <w:rsid w:val="1263520C"/>
    <w:rsid w:val="12A22E37"/>
    <w:rsid w:val="12A50602"/>
    <w:rsid w:val="12BA3DE4"/>
    <w:rsid w:val="12C46D7E"/>
    <w:rsid w:val="12CE7795"/>
    <w:rsid w:val="12D20E80"/>
    <w:rsid w:val="12F80F62"/>
    <w:rsid w:val="13116A11"/>
    <w:rsid w:val="131D2149"/>
    <w:rsid w:val="13382B0E"/>
    <w:rsid w:val="1340403C"/>
    <w:rsid w:val="134F44D9"/>
    <w:rsid w:val="13622B29"/>
    <w:rsid w:val="13762DCD"/>
    <w:rsid w:val="13960C19"/>
    <w:rsid w:val="13A02D2C"/>
    <w:rsid w:val="13AA04E3"/>
    <w:rsid w:val="13B74DE6"/>
    <w:rsid w:val="13BE5A05"/>
    <w:rsid w:val="13E23904"/>
    <w:rsid w:val="14096B23"/>
    <w:rsid w:val="14097A60"/>
    <w:rsid w:val="140B4317"/>
    <w:rsid w:val="140D5254"/>
    <w:rsid w:val="1413668E"/>
    <w:rsid w:val="141B28C9"/>
    <w:rsid w:val="146E63CE"/>
    <w:rsid w:val="14946E45"/>
    <w:rsid w:val="14C97064"/>
    <w:rsid w:val="14CB0CE4"/>
    <w:rsid w:val="14D546F6"/>
    <w:rsid w:val="14ED1898"/>
    <w:rsid w:val="14FE7D0A"/>
    <w:rsid w:val="151470D0"/>
    <w:rsid w:val="152139F9"/>
    <w:rsid w:val="15217A9E"/>
    <w:rsid w:val="152425A4"/>
    <w:rsid w:val="15454302"/>
    <w:rsid w:val="15464F7B"/>
    <w:rsid w:val="15580101"/>
    <w:rsid w:val="156C2314"/>
    <w:rsid w:val="158F4E06"/>
    <w:rsid w:val="15A863DA"/>
    <w:rsid w:val="15AC771C"/>
    <w:rsid w:val="15C74387"/>
    <w:rsid w:val="15ED08DC"/>
    <w:rsid w:val="16154D2B"/>
    <w:rsid w:val="162163A6"/>
    <w:rsid w:val="163032CF"/>
    <w:rsid w:val="16355697"/>
    <w:rsid w:val="16497104"/>
    <w:rsid w:val="166455C0"/>
    <w:rsid w:val="16645BE5"/>
    <w:rsid w:val="16761AB0"/>
    <w:rsid w:val="16822E67"/>
    <w:rsid w:val="168615A5"/>
    <w:rsid w:val="16D77669"/>
    <w:rsid w:val="16FA0714"/>
    <w:rsid w:val="17016379"/>
    <w:rsid w:val="170B2282"/>
    <w:rsid w:val="17167D2F"/>
    <w:rsid w:val="173256ED"/>
    <w:rsid w:val="173541BF"/>
    <w:rsid w:val="17356879"/>
    <w:rsid w:val="173F57BE"/>
    <w:rsid w:val="17467BAA"/>
    <w:rsid w:val="17500138"/>
    <w:rsid w:val="17516F31"/>
    <w:rsid w:val="176543D6"/>
    <w:rsid w:val="17802194"/>
    <w:rsid w:val="179112EC"/>
    <w:rsid w:val="179728CF"/>
    <w:rsid w:val="179B4729"/>
    <w:rsid w:val="17A03412"/>
    <w:rsid w:val="17C3628B"/>
    <w:rsid w:val="17C701D9"/>
    <w:rsid w:val="17E8181A"/>
    <w:rsid w:val="18015243"/>
    <w:rsid w:val="18164071"/>
    <w:rsid w:val="183B6EF9"/>
    <w:rsid w:val="183C2CDB"/>
    <w:rsid w:val="185A7133"/>
    <w:rsid w:val="185E2DA2"/>
    <w:rsid w:val="18722436"/>
    <w:rsid w:val="18823D6A"/>
    <w:rsid w:val="18882FA7"/>
    <w:rsid w:val="18A63A64"/>
    <w:rsid w:val="18BB1030"/>
    <w:rsid w:val="18CD01D8"/>
    <w:rsid w:val="18DB5C7B"/>
    <w:rsid w:val="18E52698"/>
    <w:rsid w:val="18ED0099"/>
    <w:rsid w:val="18F43788"/>
    <w:rsid w:val="18FC1E65"/>
    <w:rsid w:val="1901260B"/>
    <w:rsid w:val="19087540"/>
    <w:rsid w:val="19112309"/>
    <w:rsid w:val="191A4A86"/>
    <w:rsid w:val="1950523A"/>
    <w:rsid w:val="19855173"/>
    <w:rsid w:val="198D0535"/>
    <w:rsid w:val="19B35656"/>
    <w:rsid w:val="19BA432E"/>
    <w:rsid w:val="1A0A41A6"/>
    <w:rsid w:val="1A281C09"/>
    <w:rsid w:val="1A2A3937"/>
    <w:rsid w:val="1A2B408A"/>
    <w:rsid w:val="1A404D26"/>
    <w:rsid w:val="1A50685A"/>
    <w:rsid w:val="1A594660"/>
    <w:rsid w:val="1A7F7D1C"/>
    <w:rsid w:val="1AC814CF"/>
    <w:rsid w:val="1AFA71C6"/>
    <w:rsid w:val="1B1B1F31"/>
    <w:rsid w:val="1B1B2C88"/>
    <w:rsid w:val="1B1D3307"/>
    <w:rsid w:val="1B2F27B1"/>
    <w:rsid w:val="1B4D72F6"/>
    <w:rsid w:val="1B707384"/>
    <w:rsid w:val="1B9D0F80"/>
    <w:rsid w:val="1BAA77AF"/>
    <w:rsid w:val="1BD74422"/>
    <w:rsid w:val="1BEB27DD"/>
    <w:rsid w:val="1C0A0365"/>
    <w:rsid w:val="1C394437"/>
    <w:rsid w:val="1C48457C"/>
    <w:rsid w:val="1C622EC7"/>
    <w:rsid w:val="1CBE4C89"/>
    <w:rsid w:val="1CFF3808"/>
    <w:rsid w:val="1D061E52"/>
    <w:rsid w:val="1D3533D5"/>
    <w:rsid w:val="1D3C37A9"/>
    <w:rsid w:val="1D52370D"/>
    <w:rsid w:val="1D7E13C4"/>
    <w:rsid w:val="1D8B4DA1"/>
    <w:rsid w:val="1D8B7415"/>
    <w:rsid w:val="1D934707"/>
    <w:rsid w:val="1D9A3D75"/>
    <w:rsid w:val="1DAF3EBB"/>
    <w:rsid w:val="1DAF5C2E"/>
    <w:rsid w:val="1DB97218"/>
    <w:rsid w:val="1DC24B21"/>
    <w:rsid w:val="1DCD6F46"/>
    <w:rsid w:val="1DE801E4"/>
    <w:rsid w:val="1DEF07B0"/>
    <w:rsid w:val="1DF15A95"/>
    <w:rsid w:val="1DF76A51"/>
    <w:rsid w:val="1E096328"/>
    <w:rsid w:val="1E235B9B"/>
    <w:rsid w:val="1E325F80"/>
    <w:rsid w:val="1E3C2AFA"/>
    <w:rsid w:val="1E67123F"/>
    <w:rsid w:val="1E745A3E"/>
    <w:rsid w:val="1E8E07F1"/>
    <w:rsid w:val="1EC10726"/>
    <w:rsid w:val="1EE55B3B"/>
    <w:rsid w:val="1EE91FF7"/>
    <w:rsid w:val="1F191804"/>
    <w:rsid w:val="1F2062E7"/>
    <w:rsid w:val="1F2E3D18"/>
    <w:rsid w:val="1F434056"/>
    <w:rsid w:val="1F63358C"/>
    <w:rsid w:val="1F703620"/>
    <w:rsid w:val="1F8563B1"/>
    <w:rsid w:val="1F882FF2"/>
    <w:rsid w:val="1F9E5DD8"/>
    <w:rsid w:val="1FF00B97"/>
    <w:rsid w:val="1FF411BE"/>
    <w:rsid w:val="20086627"/>
    <w:rsid w:val="204D41D5"/>
    <w:rsid w:val="205B1AB2"/>
    <w:rsid w:val="207015FB"/>
    <w:rsid w:val="207D797D"/>
    <w:rsid w:val="20961C9B"/>
    <w:rsid w:val="20C31088"/>
    <w:rsid w:val="20D15BC5"/>
    <w:rsid w:val="20EF1DC3"/>
    <w:rsid w:val="21124257"/>
    <w:rsid w:val="211251F5"/>
    <w:rsid w:val="21274F6E"/>
    <w:rsid w:val="212A5211"/>
    <w:rsid w:val="213709D3"/>
    <w:rsid w:val="214567C5"/>
    <w:rsid w:val="216262E2"/>
    <w:rsid w:val="21776578"/>
    <w:rsid w:val="219C3D68"/>
    <w:rsid w:val="21A22E7A"/>
    <w:rsid w:val="21AE2AB8"/>
    <w:rsid w:val="21CB1851"/>
    <w:rsid w:val="21DB2573"/>
    <w:rsid w:val="21E36C80"/>
    <w:rsid w:val="21F66548"/>
    <w:rsid w:val="21F856E4"/>
    <w:rsid w:val="22115088"/>
    <w:rsid w:val="22244CD7"/>
    <w:rsid w:val="222A288C"/>
    <w:rsid w:val="222B6D0B"/>
    <w:rsid w:val="22364F87"/>
    <w:rsid w:val="22603DB2"/>
    <w:rsid w:val="22684480"/>
    <w:rsid w:val="22795131"/>
    <w:rsid w:val="228A6A90"/>
    <w:rsid w:val="22910410"/>
    <w:rsid w:val="22C62CE9"/>
    <w:rsid w:val="22D53917"/>
    <w:rsid w:val="22E41AB5"/>
    <w:rsid w:val="22EC7BD5"/>
    <w:rsid w:val="22F70196"/>
    <w:rsid w:val="231132FF"/>
    <w:rsid w:val="232753C5"/>
    <w:rsid w:val="236C4582"/>
    <w:rsid w:val="238800D9"/>
    <w:rsid w:val="23901184"/>
    <w:rsid w:val="23955E35"/>
    <w:rsid w:val="23AC5C76"/>
    <w:rsid w:val="23ED6029"/>
    <w:rsid w:val="241C7E03"/>
    <w:rsid w:val="24415A5A"/>
    <w:rsid w:val="245228B4"/>
    <w:rsid w:val="24605E80"/>
    <w:rsid w:val="249365D1"/>
    <w:rsid w:val="24BB53F3"/>
    <w:rsid w:val="25002B92"/>
    <w:rsid w:val="250D7EF0"/>
    <w:rsid w:val="250E1537"/>
    <w:rsid w:val="252142EA"/>
    <w:rsid w:val="252E0198"/>
    <w:rsid w:val="252F223E"/>
    <w:rsid w:val="256F1EA2"/>
    <w:rsid w:val="2575159A"/>
    <w:rsid w:val="25755DC7"/>
    <w:rsid w:val="25A24CD7"/>
    <w:rsid w:val="25A3323B"/>
    <w:rsid w:val="25B763DF"/>
    <w:rsid w:val="25CF60E7"/>
    <w:rsid w:val="264F77C7"/>
    <w:rsid w:val="26660DE0"/>
    <w:rsid w:val="266917B0"/>
    <w:rsid w:val="26723129"/>
    <w:rsid w:val="267F47CD"/>
    <w:rsid w:val="26CD2065"/>
    <w:rsid w:val="26CE1AE4"/>
    <w:rsid w:val="26E2748C"/>
    <w:rsid w:val="26EA59AA"/>
    <w:rsid w:val="27420E35"/>
    <w:rsid w:val="27575E29"/>
    <w:rsid w:val="27761C90"/>
    <w:rsid w:val="27901611"/>
    <w:rsid w:val="27CF4621"/>
    <w:rsid w:val="27E0008C"/>
    <w:rsid w:val="2839380D"/>
    <w:rsid w:val="28701DB4"/>
    <w:rsid w:val="28832A7D"/>
    <w:rsid w:val="288860A8"/>
    <w:rsid w:val="28C527DF"/>
    <w:rsid w:val="28CC03F4"/>
    <w:rsid w:val="28D818EA"/>
    <w:rsid w:val="28E77A9D"/>
    <w:rsid w:val="29093A18"/>
    <w:rsid w:val="29095D75"/>
    <w:rsid w:val="290966B1"/>
    <w:rsid w:val="290C0E02"/>
    <w:rsid w:val="293A23DD"/>
    <w:rsid w:val="29432973"/>
    <w:rsid w:val="294B46FD"/>
    <w:rsid w:val="29583A35"/>
    <w:rsid w:val="298011DE"/>
    <w:rsid w:val="299A2E1B"/>
    <w:rsid w:val="299A404E"/>
    <w:rsid w:val="29AE540B"/>
    <w:rsid w:val="29C6628C"/>
    <w:rsid w:val="29DA6134"/>
    <w:rsid w:val="29F13158"/>
    <w:rsid w:val="29F573D4"/>
    <w:rsid w:val="2A09588C"/>
    <w:rsid w:val="2A0F0B76"/>
    <w:rsid w:val="2A1D247F"/>
    <w:rsid w:val="2A4B0B8A"/>
    <w:rsid w:val="2A7B7463"/>
    <w:rsid w:val="2A816FBC"/>
    <w:rsid w:val="2A8933A2"/>
    <w:rsid w:val="2AA61561"/>
    <w:rsid w:val="2AD90646"/>
    <w:rsid w:val="2AE91DB8"/>
    <w:rsid w:val="2AF0379A"/>
    <w:rsid w:val="2AF31A43"/>
    <w:rsid w:val="2AFE561C"/>
    <w:rsid w:val="2B057BED"/>
    <w:rsid w:val="2B155A79"/>
    <w:rsid w:val="2B217D2B"/>
    <w:rsid w:val="2B2F316D"/>
    <w:rsid w:val="2B3955BE"/>
    <w:rsid w:val="2B642979"/>
    <w:rsid w:val="2B727485"/>
    <w:rsid w:val="2B75286B"/>
    <w:rsid w:val="2B8D408C"/>
    <w:rsid w:val="2BD66E29"/>
    <w:rsid w:val="2BDA2E60"/>
    <w:rsid w:val="2C222E18"/>
    <w:rsid w:val="2C267E1B"/>
    <w:rsid w:val="2C4F42C9"/>
    <w:rsid w:val="2C5655BF"/>
    <w:rsid w:val="2C5A1872"/>
    <w:rsid w:val="2C5E3DE2"/>
    <w:rsid w:val="2C710636"/>
    <w:rsid w:val="2C7717CC"/>
    <w:rsid w:val="2CB43CE4"/>
    <w:rsid w:val="2CC82C80"/>
    <w:rsid w:val="2CDE5B2D"/>
    <w:rsid w:val="2CDF5D94"/>
    <w:rsid w:val="2CF125E2"/>
    <w:rsid w:val="2CF92272"/>
    <w:rsid w:val="2CFD0E01"/>
    <w:rsid w:val="2CFD72C2"/>
    <w:rsid w:val="2D1B72E1"/>
    <w:rsid w:val="2D222BA6"/>
    <w:rsid w:val="2D2D1229"/>
    <w:rsid w:val="2D2F71A3"/>
    <w:rsid w:val="2D33253A"/>
    <w:rsid w:val="2D3B5F39"/>
    <w:rsid w:val="2D3B5FD5"/>
    <w:rsid w:val="2D646679"/>
    <w:rsid w:val="2D6E249B"/>
    <w:rsid w:val="2D946092"/>
    <w:rsid w:val="2DA56B01"/>
    <w:rsid w:val="2DC378EB"/>
    <w:rsid w:val="2DC53AFC"/>
    <w:rsid w:val="2DD34CDB"/>
    <w:rsid w:val="2DD84143"/>
    <w:rsid w:val="2DE3196B"/>
    <w:rsid w:val="2DE319BF"/>
    <w:rsid w:val="2DEA4302"/>
    <w:rsid w:val="2DEC1632"/>
    <w:rsid w:val="2DFC4F70"/>
    <w:rsid w:val="2E076463"/>
    <w:rsid w:val="2E1D5035"/>
    <w:rsid w:val="2E362D1A"/>
    <w:rsid w:val="2E5B1F74"/>
    <w:rsid w:val="2E7A6874"/>
    <w:rsid w:val="2E7B637C"/>
    <w:rsid w:val="2E884DBD"/>
    <w:rsid w:val="2EBC3309"/>
    <w:rsid w:val="2EBC69F6"/>
    <w:rsid w:val="2EDE564A"/>
    <w:rsid w:val="2EE43201"/>
    <w:rsid w:val="2EF75802"/>
    <w:rsid w:val="2EFB6817"/>
    <w:rsid w:val="2F0C1F76"/>
    <w:rsid w:val="2F1200BF"/>
    <w:rsid w:val="2F184BEA"/>
    <w:rsid w:val="2F2627EF"/>
    <w:rsid w:val="2F4C5DCE"/>
    <w:rsid w:val="2F921FBD"/>
    <w:rsid w:val="2F97415F"/>
    <w:rsid w:val="2F9A09AF"/>
    <w:rsid w:val="2FA403A8"/>
    <w:rsid w:val="2FAC22FC"/>
    <w:rsid w:val="2FAC50BE"/>
    <w:rsid w:val="2FC20F12"/>
    <w:rsid w:val="2FDE5D01"/>
    <w:rsid w:val="2FEA0BDB"/>
    <w:rsid w:val="2FF812D8"/>
    <w:rsid w:val="300C49DE"/>
    <w:rsid w:val="30144C2C"/>
    <w:rsid w:val="3033227E"/>
    <w:rsid w:val="30401E62"/>
    <w:rsid w:val="30536257"/>
    <w:rsid w:val="305F6159"/>
    <w:rsid w:val="308F0036"/>
    <w:rsid w:val="30995CE4"/>
    <w:rsid w:val="309B15FE"/>
    <w:rsid w:val="30A24D4F"/>
    <w:rsid w:val="30A34DBC"/>
    <w:rsid w:val="30C916BD"/>
    <w:rsid w:val="30D068DC"/>
    <w:rsid w:val="30DC546C"/>
    <w:rsid w:val="30EB6230"/>
    <w:rsid w:val="30F910AF"/>
    <w:rsid w:val="30F9494E"/>
    <w:rsid w:val="30FD24AB"/>
    <w:rsid w:val="30FD3114"/>
    <w:rsid w:val="31051209"/>
    <w:rsid w:val="31133E72"/>
    <w:rsid w:val="313079E4"/>
    <w:rsid w:val="313C56AD"/>
    <w:rsid w:val="313F0B5A"/>
    <w:rsid w:val="31606342"/>
    <w:rsid w:val="317242F4"/>
    <w:rsid w:val="31BC3435"/>
    <w:rsid w:val="31BF29D4"/>
    <w:rsid w:val="31C53C32"/>
    <w:rsid w:val="31CD297B"/>
    <w:rsid w:val="31DB3455"/>
    <w:rsid w:val="31E3377A"/>
    <w:rsid w:val="32750924"/>
    <w:rsid w:val="327A73D7"/>
    <w:rsid w:val="32DF5353"/>
    <w:rsid w:val="32E24F91"/>
    <w:rsid w:val="32FE6A78"/>
    <w:rsid w:val="3319615A"/>
    <w:rsid w:val="331D7A9E"/>
    <w:rsid w:val="333239ED"/>
    <w:rsid w:val="334A63FA"/>
    <w:rsid w:val="33596D28"/>
    <w:rsid w:val="33811D7E"/>
    <w:rsid w:val="33AD497E"/>
    <w:rsid w:val="33E20F59"/>
    <w:rsid w:val="34027AE1"/>
    <w:rsid w:val="340623D2"/>
    <w:rsid w:val="34094CBA"/>
    <w:rsid w:val="340B05AD"/>
    <w:rsid w:val="340E7D3E"/>
    <w:rsid w:val="34513BC3"/>
    <w:rsid w:val="3456389F"/>
    <w:rsid w:val="345C6C0C"/>
    <w:rsid w:val="3481702B"/>
    <w:rsid w:val="34AF0FB4"/>
    <w:rsid w:val="34C05636"/>
    <w:rsid w:val="34D04DC8"/>
    <w:rsid w:val="34D14765"/>
    <w:rsid w:val="350A5EE2"/>
    <w:rsid w:val="352368B6"/>
    <w:rsid w:val="35261219"/>
    <w:rsid w:val="35262147"/>
    <w:rsid w:val="353072BF"/>
    <w:rsid w:val="35407021"/>
    <w:rsid w:val="35503444"/>
    <w:rsid w:val="355C6731"/>
    <w:rsid w:val="358B6F41"/>
    <w:rsid w:val="359D056D"/>
    <w:rsid w:val="35BA0401"/>
    <w:rsid w:val="35BC534C"/>
    <w:rsid w:val="35DB3694"/>
    <w:rsid w:val="35F4451A"/>
    <w:rsid w:val="35FF4E5F"/>
    <w:rsid w:val="36194DAD"/>
    <w:rsid w:val="363C5B99"/>
    <w:rsid w:val="363C648D"/>
    <w:rsid w:val="36474142"/>
    <w:rsid w:val="364A3B53"/>
    <w:rsid w:val="36527B36"/>
    <w:rsid w:val="36554685"/>
    <w:rsid w:val="36682E6D"/>
    <w:rsid w:val="36683CE1"/>
    <w:rsid w:val="368475AB"/>
    <w:rsid w:val="36895CD1"/>
    <w:rsid w:val="36952A73"/>
    <w:rsid w:val="369E4A52"/>
    <w:rsid w:val="36C3530F"/>
    <w:rsid w:val="36DF0991"/>
    <w:rsid w:val="36E07977"/>
    <w:rsid w:val="36EF08EE"/>
    <w:rsid w:val="36EF6F79"/>
    <w:rsid w:val="36FB6021"/>
    <w:rsid w:val="37104D78"/>
    <w:rsid w:val="3716221D"/>
    <w:rsid w:val="37290780"/>
    <w:rsid w:val="374327F1"/>
    <w:rsid w:val="374D3E17"/>
    <w:rsid w:val="37654AE4"/>
    <w:rsid w:val="376A5BCD"/>
    <w:rsid w:val="376B7B7F"/>
    <w:rsid w:val="377977BE"/>
    <w:rsid w:val="3796787A"/>
    <w:rsid w:val="37D87406"/>
    <w:rsid w:val="37EA330D"/>
    <w:rsid w:val="38041602"/>
    <w:rsid w:val="3833582A"/>
    <w:rsid w:val="383A2933"/>
    <w:rsid w:val="385525E8"/>
    <w:rsid w:val="38565F54"/>
    <w:rsid w:val="38836E82"/>
    <w:rsid w:val="389E349B"/>
    <w:rsid w:val="389F3015"/>
    <w:rsid w:val="38A910BA"/>
    <w:rsid w:val="38AA239D"/>
    <w:rsid w:val="38B83A47"/>
    <w:rsid w:val="38DE5B62"/>
    <w:rsid w:val="38EA7DDC"/>
    <w:rsid w:val="390359EF"/>
    <w:rsid w:val="39205BF2"/>
    <w:rsid w:val="396B6952"/>
    <w:rsid w:val="397F2F15"/>
    <w:rsid w:val="39903F3D"/>
    <w:rsid w:val="39A97CC8"/>
    <w:rsid w:val="39E90129"/>
    <w:rsid w:val="39F01BFB"/>
    <w:rsid w:val="39F24B8B"/>
    <w:rsid w:val="3A0A1103"/>
    <w:rsid w:val="3A0A287C"/>
    <w:rsid w:val="3A18062D"/>
    <w:rsid w:val="3A323E3B"/>
    <w:rsid w:val="3A4A21E2"/>
    <w:rsid w:val="3A5267F7"/>
    <w:rsid w:val="3A646991"/>
    <w:rsid w:val="3ACA4C76"/>
    <w:rsid w:val="3AE315CD"/>
    <w:rsid w:val="3AE7034D"/>
    <w:rsid w:val="3AEF5D9E"/>
    <w:rsid w:val="3B07722A"/>
    <w:rsid w:val="3B2C3475"/>
    <w:rsid w:val="3B581224"/>
    <w:rsid w:val="3B732951"/>
    <w:rsid w:val="3B736CDC"/>
    <w:rsid w:val="3B830760"/>
    <w:rsid w:val="3BA468C0"/>
    <w:rsid w:val="3BB06296"/>
    <w:rsid w:val="3BE56A7F"/>
    <w:rsid w:val="3BF145E4"/>
    <w:rsid w:val="3C444D05"/>
    <w:rsid w:val="3C5D5594"/>
    <w:rsid w:val="3C703500"/>
    <w:rsid w:val="3C9B4B84"/>
    <w:rsid w:val="3CF118A7"/>
    <w:rsid w:val="3CFA1C45"/>
    <w:rsid w:val="3D04592A"/>
    <w:rsid w:val="3D3B4234"/>
    <w:rsid w:val="3D3F00F7"/>
    <w:rsid w:val="3D423B46"/>
    <w:rsid w:val="3D446773"/>
    <w:rsid w:val="3D46053A"/>
    <w:rsid w:val="3D641A95"/>
    <w:rsid w:val="3D9353D8"/>
    <w:rsid w:val="3DC83D75"/>
    <w:rsid w:val="3DE1179D"/>
    <w:rsid w:val="3DFF5EAC"/>
    <w:rsid w:val="3E022216"/>
    <w:rsid w:val="3E054B75"/>
    <w:rsid w:val="3E056E51"/>
    <w:rsid w:val="3E2972F7"/>
    <w:rsid w:val="3E46058D"/>
    <w:rsid w:val="3E79033B"/>
    <w:rsid w:val="3E7F6C11"/>
    <w:rsid w:val="3E857089"/>
    <w:rsid w:val="3E941390"/>
    <w:rsid w:val="3E977078"/>
    <w:rsid w:val="3EA93578"/>
    <w:rsid w:val="3EB14F9C"/>
    <w:rsid w:val="3EC414A4"/>
    <w:rsid w:val="3ED30884"/>
    <w:rsid w:val="3EE57420"/>
    <w:rsid w:val="3EF97B67"/>
    <w:rsid w:val="3F043BE9"/>
    <w:rsid w:val="3F151838"/>
    <w:rsid w:val="3F217B6F"/>
    <w:rsid w:val="3F6C72CF"/>
    <w:rsid w:val="3F704298"/>
    <w:rsid w:val="3F7B6E27"/>
    <w:rsid w:val="3F7F5350"/>
    <w:rsid w:val="3FA17924"/>
    <w:rsid w:val="3FAC0B12"/>
    <w:rsid w:val="3FD55F92"/>
    <w:rsid w:val="3FDF1823"/>
    <w:rsid w:val="3FF60F0A"/>
    <w:rsid w:val="3FFB4CC3"/>
    <w:rsid w:val="400F22A9"/>
    <w:rsid w:val="401B2965"/>
    <w:rsid w:val="402E11DC"/>
    <w:rsid w:val="403139CC"/>
    <w:rsid w:val="40450699"/>
    <w:rsid w:val="40573F7E"/>
    <w:rsid w:val="4057746F"/>
    <w:rsid w:val="405B57EB"/>
    <w:rsid w:val="405C6E0A"/>
    <w:rsid w:val="406C3720"/>
    <w:rsid w:val="406E5283"/>
    <w:rsid w:val="40A627E1"/>
    <w:rsid w:val="40BB4680"/>
    <w:rsid w:val="40C3728C"/>
    <w:rsid w:val="40CE4185"/>
    <w:rsid w:val="40D31365"/>
    <w:rsid w:val="40D53305"/>
    <w:rsid w:val="40DF46EB"/>
    <w:rsid w:val="40E93C95"/>
    <w:rsid w:val="41122C02"/>
    <w:rsid w:val="41345A84"/>
    <w:rsid w:val="4139554C"/>
    <w:rsid w:val="413C78A6"/>
    <w:rsid w:val="41472496"/>
    <w:rsid w:val="414A52BC"/>
    <w:rsid w:val="414B6901"/>
    <w:rsid w:val="41563CDA"/>
    <w:rsid w:val="41787A6A"/>
    <w:rsid w:val="41826344"/>
    <w:rsid w:val="418F0F7A"/>
    <w:rsid w:val="4193231D"/>
    <w:rsid w:val="41CB215A"/>
    <w:rsid w:val="41D77300"/>
    <w:rsid w:val="41DA7282"/>
    <w:rsid w:val="420B2A9C"/>
    <w:rsid w:val="42225849"/>
    <w:rsid w:val="4226054F"/>
    <w:rsid w:val="42417BAD"/>
    <w:rsid w:val="424322C4"/>
    <w:rsid w:val="424E4508"/>
    <w:rsid w:val="425857A3"/>
    <w:rsid w:val="42644B37"/>
    <w:rsid w:val="428146C2"/>
    <w:rsid w:val="429F50DE"/>
    <w:rsid w:val="42A433C7"/>
    <w:rsid w:val="42A778A8"/>
    <w:rsid w:val="42C21BB7"/>
    <w:rsid w:val="42CC295F"/>
    <w:rsid w:val="42F67374"/>
    <w:rsid w:val="42FF0334"/>
    <w:rsid w:val="42FF1084"/>
    <w:rsid w:val="43071B8B"/>
    <w:rsid w:val="43116DE7"/>
    <w:rsid w:val="43223120"/>
    <w:rsid w:val="432B15E1"/>
    <w:rsid w:val="434555E7"/>
    <w:rsid w:val="434D7F2B"/>
    <w:rsid w:val="435076C6"/>
    <w:rsid w:val="435B4A9C"/>
    <w:rsid w:val="43733CAB"/>
    <w:rsid w:val="43787BA4"/>
    <w:rsid w:val="43827BD5"/>
    <w:rsid w:val="43DA063C"/>
    <w:rsid w:val="43DB3117"/>
    <w:rsid w:val="43DC058F"/>
    <w:rsid w:val="43FE4122"/>
    <w:rsid w:val="44096126"/>
    <w:rsid w:val="44180DD6"/>
    <w:rsid w:val="441F5129"/>
    <w:rsid w:val="444D43E8"/>
    <w:rsid w:val="444E4825"/>
    <w:rsid w:val="446761B6"/>
    <w:rsid w:val="447269CD"/>
    <w:rsid w:val="447649E2"/>
    <w:rsid w:val="447A41FD"/>
    <w:rsid w:val="44BC12AA"/>
    <w:rsid w:val="44D81C97"/>
    <w:rsid w:val="44E65F41"/>
    <w:rsid w:val="45031F24"/>
    <w:rsid w:val="45084CD7"/>
    <w:rsid w:val="452559C9"/>
    <w:rsid w:val="454308A2"/>
    <w:rsid w:val="454F300E"/>
    <w:rsid w:val="4583114E"/>
    <w:rsid w:val="45A362B9"/>
    <w:rsid w:val="45B61363"/>
    <w:rsid w:val="45BF5D6D"/>
    <w:rsid w:val="45C37721"/>
    <w:rsid w:val="45D31059"/>
    <w:rsid w:val="46032B23"/>
    <w:rsid w:val="460A1655"/>
    <w:rsid w:val="460A66C2"/>
    <w:rsid w:val="46190817"/>
    <w:rsid w:val="46252A2C"/>
    <w:rsid w:val="46534277"/>
    <w:rsid w:val="465B47BA"/>
    <w:rsid w:val="4663642B"/>
    <w:rsid w:val="466673F0"/>
    <w:rsid w:val="4676352A"/>
    <w:rsid w:val="469043B7"/>
    <w:rsid w:val="46947406"/>
    <w:rsid w:val="46D41CA9"/>
    <w:rsid w:val="46DA72CF"/>
    <w:rsid w:val="46EC0A1D"/>
    <w:rsid w:val="46EF7627"/>
    <w:rsid w:val="47272598"/>
    <w:rsid w:val="472C61FD"/>
    <w:rsid w:val="47370F60"/>
    <w:rsid w:val="47412EF8"/>
    <w:rsid w:val="475353E4"/>
    <w:rsid w:val="47733B6B"/>
    <w:rsid w:val="47A0687C"/>
    <w:rsid w:val="47AE4AED"/>
    <w:rsid w:val="47B857BC"/>
    <w:rsid w:val="47BE1EB7"/>
    <w:rsid w:val="47EE7AE6"/>
    <w:rsid w:val="47F8672D"/>
    <w:rsid w:val="481564EA"/>
    <w:rsid w:val="48406BBD"/>
    <w:rsid w:val="48440311"/>
    <w:rsid w:val="48612B90"/>
    <w:rsid w:val="4880045B"/>
    <w:rsid w:val="48836C6A"/>
    <w:rsid w:val="48C079BC"/>
    <w:rsid w:val="48D752B4"/>
    <w:rsid w:val="48D85C59"/>
    <w:rsid w:val="48E128AF"/>
    <w:rsid w:val="48E53927"/>
    <w:rsid w:val="48EE0CEB"/>
    <w:rsid w:val="48EE43F2"/>
    <w:rsid w:val="49271765"/>
    <w:rsid w:val="49650F85"/>
    <w:rsid w:val="49665F17"/>
    <w:rsid w:val="49980DF2"/>
    <w:rsid w:val="49BB4F0F"/>
    <w:rsid w:val="49C54C2C"/>
    <w:rsid w:val="49CF7690"/>
    <w:rsid w:val="49D6163A"/>
    <w:rsid w:val="49E863D8"/>
    <w:rsid w:val="49EF4FBE"/>
    <w:rsid w:val="4A0900AD"/>
    <w:rsid w:val="4A2E4DBA"/>
    <w:rsid w:val="4A594789"/>
    <w:rsid w:val="4A6112F9"/>
    <w:rsid w:val="4A6D6BDA"/>
    <w:rsid w:val="4A730D7A"/>
    <w:rsid w:val="4A7518D0"/>
    <w:rsid w:val="4A78588E"/>
    <w:rsid w:val="4ABA1304"/>
    <w:rsid w:val="4ABA73E0"/>
    <w:rsid w:val="4ABB14C7"/>
    <w:rsid w:val="4AD826C3"/>
    <w:rsid w:val="4AD9363D"/>
    <w:rsid w:val="4AEB2EFC"/>
    <w:rsid w:val="4AED4948"/>
    <w:rsid w:val="4B041217"/>
    <w:rsid w:val="4B1B60A3"/>
    <w:rsid w:val="4B1E2525"/>
    <w:rsid w:val="4B21633F"/>
    <w:rsid w:val="4B372895"/>
    <w:rsid w:val="4B5B6956"/>
    <w:rsid w:val="4B951DCB"/>
    <w:rsid w:val="4BA11A27"/>
    <w:rsid w:val="4BAA3A61"/>
    <w:rsid w:val="4BAB303C"/>
    <w:rsid w:val="4BBF197A"/>
    <w:rsid w:val="4BE96819"/>
    <w:rsid w:val="4C0373D9"/>
    <w:rsid w:val="4C0719F3"/>
    <w:rsid w:val="4C362899"/>
    <w:rsid w:val="4C3D2942"/>
    <w:rsid w:val="4C460A53"/>
    <w:rsid w:val="4C5E0AA5"/>
    <w:rsid w:val="4C7B4B11"/>
    <w:rsid w:val="4C9C3C4B"/>
    <w:rsid w:val="4CC22EF7"/>
    <w:rsid w:val="4D027EC4"/>
    <w:rsid w:val="4D8D6F09"/>
    <w:rsid w:val="4DAA3896"/>
    <w:rsid w:val="4DD454D1"/>
    <w:rsid w:val="4DF207D3"/>
    <w:rsid w:val="4E1B6084"/>
    <w:rsid w:val="4E2011D9"/>
    <w:rsid w:val="4E50548A"/>
    <w:rsid w:val="4E6D514B"/>
    <w:rsid w:val="4E8A589D"/>
    <w:rsid w:val="4EDA329F"/>
    <w:rsid w:val="4EDB1436"/>
    <w:rsid w:val="4EFE0F5F"/>
    <w:rsid w:val="4EFE327C"/>
    <w:rsid w:val="4F0802CD"/>
    <w:rsid w:val="4F31534C"/>
    <w:rsid w:val="4F3C1208"/>
    <w:rsid w:val="4F3C2263"/>
    <w:rsid w:val="4F4154B6"/>
    <w:rsid w:val="4F4777AB"/>
    <w:rsid w:val="4F547306"/>
    <w:rsid w:val="4FB661D0"/>
    <w:rsid w:val="4FC677AA"/>
    <w:rsid w:val="4FE82E0D"/>
    <w:rsid w:val="4FF91ACA"/>
    <w:rsid w:val="50235340"/>
    <w:rsid w:val="50316D78"/>
    <w:rsid w:val="504B6D2F"/>
    <w:rsid w:val="506B1F99"/>
    <w:rsid w:val="5071603C"/>
    <w:rsid w:val="507A1C34"/>
    <w:rsid w:val="507C3EEE"/>
    <w:rsid w:val="508B4062"/>
    <w:rsid w:val="508F6A31"/>
    <w:rsid w:val="50935C6D"/>
    <w:rsid w:val="50AC144F"/>
    <w:rsid w:val="50BA4E3C"/>
    <w:rsid w:val="50DC3CC1"/>
    <w:rsid w:val="50F07E78"/>
    <w:rsid w:val="51052394"/>
    <w:rsid w:val="5122197A"/>
    <w:rsid w:val="51226CE7"/>
    <w:rsid w:val="51234ACD"/>
    <w:rsid w:val="513A1AEF"/>
    <w:rsid w:val="51522B01"/>
    <w:rsid w:val="51542C3D"/>
    <w:rsid w:val="515C158D"/>
    <w:rsid w:val="516806F9"/>
    <w:rsid w:val="518C5D92"/>
    <w:rsid w:val="51984A67"/>
    <w:rsid w:val="51AC1E46"/>
    <w:rsid w:val="51AC1F6E"/>
    <w:rsid w:val="51D26506"/>
    <w:rsid w:val="52092769"/>
    <w:rsid w:val="521A35C2"/>
    <w:rsid w:val="523E1F05"/>
    <w:rsid w:val="524A61C0"/>
    <w:rsid w:val="52923265"/>
    <w:rsid w:val="529F34F7"/>
    <w:rsid w:val="52B92C66"/>
    <w:rsid w:val="52C66EED"/>
    <w:rsid w:val="52CD7D77"/>
    <w:rsid w:val="52D379F1"/>
    <w:rsid w:val="52D675F5"/>
    <w:rsid w:val="52E818CF"/>
    <w:rsid w:val="52F46374"/>
    <w:rsid w:val="53024AD3"/>
    <w:rsid w:val="53057EDB"/>
    <w:rsid w:val="531F7088"/>
    <w:rsid w:val="53204D8F"/>
    <w:rsid w:val="53291CEC"/>
    <w:rsid w:val="533407C0"/>
    <w:rsid w:val="53617FDD"/>
    <w:rsid w:val="53AF3C55"/>
    <w:rsid w:val="53BF68CF"/>
    <w:rsid w:val="53D456F6"/>
    <w:rsid w:val="53E0646C"/>
    <w:rsid w:val="53F94218"/>
    <w:rsid w:val="540F6101"/>
    <w:rsid w:val="543E20B6"/>
    <w:rsid w:val="54417DDC"/>
    <w:rsid w:val="5455279C"/>
    <w:rsid w:val="54710FB3"/>
    <w:rsid w:val="54721B28"/>
    <w:rsid w:val="54783F6A"/>
    <w:rsid w:val="54A23B9E"/>
    <w:rsid w:val="54B2372C"/>
    <w:rsid w:val="54B33073"/>
    <w:rsid w:val="54E7277A"/>
    <w:rsid w:val="54E757D0"/>
    <w:rsid w:val="550D5CB7"/>
    <w:rsid w:val="55232CA8"/>
    <w:rsid w:val="554A12A4"/>
    <w:rsid w:val="554B0299"/>
    <w:rsid w:val="555B6C9F"/>
    <w:rsid w:val="558F6181"/>
    <w:rsid w:val="55AF140A"/>
    <w:rsid w:val="55B442A9"/>
    <w:rsid w:val="55B634CD"/>
    <w:rsid w:val="55BA3319"/>
    <w:rsid w:val="55C62C16"/>
    <w:rsid w:val="55E40B0D"/>
    <w:rsid w:val="56104841"/>
    <w:rsid w:val="568C728E"/>
    <w:rsid w:val="56950095"/>
    <w:rsid w:val="56AE3022"/>
    <w:rsid w:val="56C4016B"/>
    <w:rsid w:val="56CF5288"/>
    <w:rsid w:val="56E973CF"/>
    <w:rsid w:val="56F37C7C"/>
    <w:rsid w:val="56FE71BD"/>
    <w:rsid w:val="57181CA7"/>
    <w:rsid w:val="572710C5"/>
    <w:rsid w:val="572C2443"/>
    <w:rsid w:val="57502739"/>
    <w:rsid w:val="5754014C"/>
    <w:rsid w:val="576E3FE8"/>
    <w:rsid w:val="57761929"/>
    <w:rsid w:val="5777410C"/>
    <w:rsid w:val="577B6387"/>
    <w:rsid w:val="579444FE"/>
    <w:rsid w:val="57982D45"/>
    <w:rsid w:val="57A42597"/>
    <w:rsid w:val="57AD1ACD"/>
    <w:rsid w:val="57AE34B1"/>
    <w:rsid w:val="58060827"/>
    <w:rsid w:val="581C4A3B"/>
    <w:rsid w:val="58293016"/>
    <w:rsid w:val="5875165E"/>
    <w:rsid w:val="58792570"/>
    <w:rsid w:val="5893607A"/>
    <w:rsid w:val="58AB386E"/>
    <w:rsid w:val="58C24AEE"/>
    <w:rsid w:val="58C84161"/>
    <w:rsid w:val="58CA0363"/>
    <w:rsid w:val="58E10713"/>
    <w:rsid w:val="58E347C8"/>
    <w:rsid w:val="58E90226"/>
    <w:rsid w:val="59155E53"/>
    <w:rsid w:val="59231B0B"/>
    <w:rsid w:val="59246BE1"/>
    <w:rsid w:val="5938062E"/>
    <w:rsid w:val="5939268C"/>
    <w:rsid w:val="594E609C"/>
    <w:rsid w:val="59564B9D"/>
    <w:rsid w:val="595C0995"/>
    <w:rsid w:val="59727804"/>
    <w:rsid w:val="599A23C2"/>
    <w:rsid w:val="59B2285A"/>
    <w:rsid w:val="59C25874"/>
    <w:rsid w:val="5A040C5A"/>
    <w:rsid w:val="5A276526"/>
    <w:rsid w:val="5A2A5902"/>
    <w:rsid w:val="5A4F0A0E"/>
    <w:rsid w:val="5A716AF3"/>
    <w:rsid w:val="5A983D1A"/>
    <w:rsid w:val="5AA66C17"/>
    <w:rsid w:val="5AAE4285"/>
    <w:rsid w:val="5AE64A95"/>
    <w:rsid w:val="5AEA4800"/>
    <w:rsid w:val="5AEF2C5B"/>
    <w:rsid w:val="5AFC18C7"/>
    <w:rsid w:val="5AFE02A8"/>
    <w:rsid w:val="5B05449E"/>
    <w:rsid w:val="5B0F62E2"/>
    <w:rsid w:val="5B167545"/>
    <w:rsid w:val="5B292E90"/>
    <w:rsid w:val="5B3E424A"/>
    <w:rsid w:val="5B4A79FD"/>
    <w:rsid w:val="5B5255AC"/>
    <w:rsid w:val="5B53012E"/>
    <w:rsid w:val="5B6571C6"/>
    <w:rsid w:val="5B691383"/>
    <w:rsid w:val="5BAF7035"/>
    <w:rsid w:val="5BB26450"/>
    <w:rsid w:val="5BB32755"/>
    <w:rsid w:val="5BC26FB5"/>
    <w:rsid w:val="5C2C297C"/>
    <w:rsid w:val="5C7B18B8"/>
    <w:rsid w:val="5C801EB9"/>
    <w:rsid w:val="5C8B3982"/>
    <w:rsid w:val="5CA769FA"/>
    <w:rsid w:val="5CC71557"/>
    <w:rsid w:val="5CD05745"/>
    <w:rsid w:val="5CD43973"/>
    <w:rsid w:val="5CD6119F"/>
    <w:rsid w:val="5CE04DC4"/>
    <w:rsid w:val="5D0109C6"/>
    <w:rsid w:val="5D153000"/>
    <w:rsid w:val="5D2243ED"/>
    <w:rsid w:val="5D497196"/>
    <w:rsid w:val="5D8D4C86"/>
    <w:rsid w:val="5D8E66F2"/>
    <w:rsid w:val="5DA12EF6"/>
    <w:rsid w:val="5DA87DD9"/>
    <w:rsid w:val="5DA971E9"/>
    <w:rsid w:val="5DD02859"/>
    <w:rsid w:val="5DE204BD"/>
    <w:rsid w:val="5DEB2786"/>
    <w:rsid w:val="5DF81C01"/>
    <w:rsid w:val="5DFB3B3A"/>
    <w:rsid w:val="5E12284A"/>
    <w:rsid w:val="5E126AFD"/>
    <w:rsid w:val="5E265336"/>
    <w:rsid w:val="5E2A7D4B"/>
    <w:rsid w:val="5E35548F"/>
    <w:rsid w:val="5E3854F2"/>
    <w:rsid w:val="5E535167"/>
    <w:rsid w:val="5E8828C6"/>
    <w:rsid w:val="5EA239A4"/>
    <w:rsid w:val="5ECC1817"/>
    <w:rsid w:val="5ED46244"/>
    <w:rsid w:val="5EEE2239"/>
    <w:rsid w:val="5EF258F9"/>
    <w:rsid w:val="5F071211"/>
    <w:rsid w:val="5F0F1FF0"/>
    <w:rsid w:val="5F21731E"/>
    <w:rsid w:val="5F401AE4"/>
    <w:rsid w:val="5F7472DB"/>
    <w:rsid w:val="5F79112A"/>
    <w:rsid w:val="5F8A061B"/>
    <w:rsid w:val="5F8D1984"/>
    <w:rsid w:val="5F931EAC"/>
    <w:rsid w:val="5F9A5E4E"/>
    <w:rsid w:val="5FA15523"/>
    <w:rsid w:val="5FB61550"/>
    <w:rsid w:val="5FBD2CF3"/>
    <w:rsid w:val="5FC96B96"/>
    <w:rsid w:val="5FDC0215"/>
    <w:rsid w:val="60094960"/>
    <w:rsid w:val="604A1623"/>
    <w:rsid w:val="60565E02"/>
    <w:rsid w:val="6060299A"/>
    <w:rsid w:val="606840FC"/>
    <w:rsid w:val="60811B73"/>
    <w:rsid w:val="60A02DDC"/>
    <w:rsid w:val="61073FCF"/>
    <w:rsid w:val="612C01D4"/>
    <w:rsid w:val="61323A96"/>
    <w:rsid w:val="616F7343"/>
    <w:rsid w:val="61724462"/>
    <w:rsid w:val="61811A7D"/>
    <w:rsid w:val="618C38FD"/>
    <w:rsid w:val="61931733"/>
    <w:rsid w:val="61A26A49"/>
    <w:rsid w:val="61A8142D"/>
    <w:rsid w:val="61D1158F"/>
    <w:rsid w:val="61DA61FE"/>
    <w:rsid w:val="62146AD0"/>
    <w:rsid w:val="62224132"/>
    <w:rsid w:val="624C3567"/>
    <w:rsid w:val="62871D54"/>
    <w:rsid w:val="629A5ACE"/>
    <w:rsid w:val="62BF4579"/>
    <w:rsid w:val="62C376AE"/>
    <w:rsid w:val="62D80973"/>
    <w:rsid w:val="63104B4E"/>
    <w:rsid w:val="632C14B3"/>
    <w:rsid w:val="63523E33"/>
    <w:rsid w:val="6365673F"/>
    <w:rsid w:val="638A57F9"/>
    <w:rsid w:val="63A23524"/>
    <w:rsid w:val="63A675D8"/>
    <w:rsid w:val="63B67630"/>
    <w:rsid w:val="63C13E4D"/>
    <w:rsid w:val="63CA480D"/>
    <w:rsid w:val="63CB5658"/>
    <w:rsid w:val="63E73243"/>
    <w:rsid w:val="640D2154"/>
    <w:rsid w:val="643F135A"/>
    <w:rsid w:val="6443107F"/>
    <w:rsid w:val="644E09C0"/>
    <w:rsid w:val="646422F4"/>
    <w:rsid w:val="647677F4"/>
    <w:rsid w:val="648242E4"/>
    <w:rsid w:val="64835AE5"/>
    <w:rsid w:val="649317EA"/>
    <w:rsid w:val="64B0317D"/>
    <w:rsid w:val="64D57D88"/>
    <w:rsid w:val="64F12943"/>
    <w:rsid w:val="64F14285"/>
    <w:rsid w:val="65061414"/>
    <w:rsid w:val="651915C4"/>
    <w:rsid w:val="65357A6C"/>
    <w:rsid w:val="65504048"/>
    <w:rsid w:val="6550424B"/>
    <w:rsid w:val="655518AB"/>
    <w:rsid w:val="657A52B3"/>
    <w:rsid w:val="65830AE5"/>
    <w:rsid w:val="65D00099"/>
    <w:rsid w:val="65E24FEA"/>
    <w:rsid w:val="65E473D6"/>
    <w:rsid w:val="65F4096B"/>
    <w:rsid w:val="661855D0"/>
    <w:rsid w:val="664D4733"/>
    <w:rsid w:val="665172BE"/>
    <w:rsid w:val="6652593B"/>
    <w:rsid w:val="665F5347"/>
    <w:rsid w:val="6661636D"/>
    <w:rsid w:val="666A0801"/>
    <w:rsid w:val="6673681B"/>
    <w:rsid w:val="66AA3E9D"/>
    <w:rsid w:val="66AF4DAC"/>
    <w:rsid w:val="66B6406F"/>
    <w:rsid w:val="66EE7BAF"/>
    <w:rsid w:val="67276355"/>
    <w:rsid w:val="674C7A59"/>
    <w:rsid w:val="678C4A9D"/>
    <w:rsid w:val="679727FC"/>
    <w:rsid w:val="67984B6D"/>
    <w:rsid w:val="67A64876"/>
    <w:rsid w:val="67A71109"/>
    <w:rsid w:val="67AC2F64"/>
    <w:rsid w:val="67E63EA4"/>
    <w:rsid w:val="67EB49AF"/>
    <w:rsid w:val="681F67BE"/>
    <w:rsid w:val="682C2A57"/>
    <w:rsid w:val="68302D7A"/>
    <w:rsid w:val="683C6F49"/>
    <w:rsid w:val="68630C7B"/>
    <w:rsid w:val="686553E0"/>
    <w:rsid w:val="687E1059"/>
    <w:rsid w:val="68934049"/>
    <w:rsid w:val="68AD02C4"/>
    <w:rsid w:val="68DC0C35"/>
    <w:rsid w:val="68DF2A5D"/>
    <w:rsid w:val="690C1360"/>
    <w:rsid w:val="691107DA"/>
    <w:rsid w:val="69164ACC"/>
    <w:rsid w:val="692B3259"/>
    <w:rsid w:val="692D388F"/>
    <w:rsid w:val="693C5F44"/>
    <w:rsid w:val="694C0168"/>
    <w:rsid w:val="69664F5C"/>
    <w:rsid w:val="698127F0"/>
    <w:rsid w:val="69921F6F"/>
    <w:rsid w:val="69AD4216"/>
    <w:rsid w:val="69B72BB2"/>
    <w:rsid w:val="69C610A8"/>
    <w:rsid w:val="69CC7537"/>
    <w:rsid w:val="69D467B8"/>
    <w:rsid w:val="69DB43E8"/>
    <w:rsid w:val="69EA041D"/>
    <w:rsid w:val="69EC168D"/>
    <w:rsid w:val="69F76A8A"/>
    <w:rsid w:val="6A182EAE"/>
    <w:rsid w:val="6A442839"/>
    <w:rsid w:val="6A5C5FC7"/>
    <w:rsid w:val="6A7314DA"/>
    <w:rsid w:val="6A903588"/>
    <w:rsid w:val="6AAE1F8B"/>
    <w:rsid w:val="6AB44BE2"/>
    <w:rsid w:val="6ADB69B3"/>
    <w:rsid w:val="6AE2467F"/>
    <w:rsid w:val="6AF91C7B"/>
    <w:rsid w:val="6B071859"/>
    <w:rsid w:val="6B0D0D74"/>
    <w:rsid w:val="6B927B68"/>
    <w:rsid w:val="6BB1343A"/>
    <w:rsid w:val="6BC81402"/>
    <w:rsid w:val="6BD44A0F"/>
    <w:rsid w:val="6BE40CDD"/>
    <w:rsid w:val="6C080D31"/>
    <w:rsid w:val="6C0F18D7"/>
    <w:rsid w:val="6C2052C5"/>
    <w:rsid w:val="6C2C495A"/>
    <w:rsid w:val="6C5201AE"/>
    <w:rsid w:val="6C5B5A00"/>
    <w:rsid w:val="6C7426A7"/>
    <w:rsid w:val="6CBB4588"/>
    <w:rsid w:val="6CBD23E0"/>
    <w:rsid w:val="6CBF6EF4"/>
    <w:rsid w:val="6CC330F3"/>
    <w:rsid w:val="6CE9581B"/>
    <w:rsid w:val="6D0B0567"/>
    <w:rsid w:val="6D28540C"/>
    <w:rsid w:val="6D2E5516"/>
    <w:rsid w:val="6D3D34E5"/>
    <w:rsid w:val="6D480B83"/>
    <w:rsid w:val="6D512242"/>
    <w:rsid w:val="6D816B1C"/>
    <w:rsid w:val="6D816C4F"/>
    <w:rsid w:val="6D845281"/>
    <w:rsid w:val="6D88202B"/>
    <w:rsid w:val="6D8A0F0F"/>
    <w:rsid w:val="6DAD5E1A"/>
    <w:rsid w:val="6DE017D7"/>
    <w:rsid w:val="6DE259E2"/>
    <w:rsid w:val="6DE319DE"/>
    <w:rsid w:val="6DE650D9"/>
    <w:rsid w:val="6DEB3763"/>
    <w:rsid w:val="6DF17682"/>
    <w:rsid w:val="6DF24C99"/>
    <w:rsid w:val="6DF64D01"/>
    <w:rsid w:val="6E0C0569"/>
    <w:rsid w:val="6E113780"/>
    <w:rsid w:val="6E1F2072"/>
    <w:rsid w:val="6E20720E"/>
    <w:rsid w:val="6E235555"/>
    <w:rsid w:val="6E3D281D"/>
    <w:rsid w:val="6E4678CD"/>
    <w:rsid w:val="6E524DD4"/>
    <w:rsid w:val="6E5D6DD7"/>
    <w:rsid w:val="6E646050"/>
    <w:rsid w:val="6E654E40"/>
    <w:rsid w:val="6E84287A"/>
    <w:rsid w:val="6EB42F2D"/>
    <w:rsid w:val="6EBA4918"/>
    <w:rsid w:val="6ED2740D"/>
    <w:rsid w:val="6EE9509A"/>
    <w:rsid w:val="6EED4FF7"/>
    <w:rsid w:val="6F116913"/>
    <w:rsid w:val="6F1C7716"/>
    <w:rsid w:val="6F435D33"/>
    <w:rsid w:val="6F495A6B"/>
    <w:rsid w:val="6F6167AB"/>
    <w:rsid w:val="6F843EE4"/>
    <w:rsid w:val="6F8C5650"/>
    <w:rsid w:val="6F9057EF"/>
    <w:rsid w:val="6F961941"/>
    <w:rsid w:val="6F974FB6"/>
    <w:rsid w:val="6FBD4FD9"/>
    <w:rsid w:val="6FDF1A38"/>
    <w:rsid w:val="700510C2"/>
    <w:rsid w:val="700D7F77"/>
    <w:rsid w:val="701877DD"/>
    <w:rsid w:val="701B2694"/>
    <w:rsid w:val="70256A72"/>
    <w:rsid w:val="702E31C1"/>
    <w:rsid w:val="702F2CDB"/>
    <w:rsid w:val="70517BA3"/>
    <w:rsid w:val="706C685F"/>
    <w:rsid w:val="707D2270"/>
    <w:rsid w:val="708D690F"/>
    <w:rsid w:val="70952446"/>
    <w:rsid w:val="70A839B4"/>
    <w:rsid w:val="70AA3505"/>
    <w:rsid w:val="70AC59E2"/>
    <w:rsid w:val="70BB6AB4"/>
    <w:rsid w:val="70C66AA3"/>
    <w:rsid w:val="70D85791"/>
    <w:rsid w:val="70DA2536"/>
    <w:rsid w:val="70F6139B"/>
    <w:rsid w:val="70F6489B"/>
    <w:rsid w:val="71184F69"/>
    <w:rsid w:val="712F6EE1"/>
    <w:rsid w:val="713C5148"/>
    <w:rsid w:val="71626C63"/>
    <w:rsid w:val="71732021"/>
    <w:rsid w:val="71751537"/>
    <w:rsid w:val="717D5CB2"/>
    <w:rsid w:val="71A937D7"/>
    <w:rsid w:val="71AB08DC"/>
    <w:rsid w:val="71AB6345"/>
    <w:rsid w:val="71B0705C"/>
    <w:rsid w:val="71B97380"/>
    <w:rsid w:val="71C010C6"/>
    <w:rsid w:val="71C81A6D"/>
    <w:rsid w:val="71ED6EA6"/>
    <w:rsid w:val="721C7D30"/>
    <w:rsid w:val="723D70E5"/>
    <w:rsid w:val="724676DD"/>
    <w:rsid w:val="727F0E26"/>
    <w:rsid w:val="72847C62"/>
    <w:rsid w:val="72874010"/>
    <w:rsid w:val="728D5EB1"/>
    <w:rsid w:val="72DD21F4"/>
    <w:rsid w:val="72EE408F"/>
    <w:rsid w:val="72FD2525"/>
    <w:rsid w:val="72FD384C"/>
    <w:rsid w:val="73160455"/>
    <w:rsid w:val="73277B87"/>
    <w:rsid w:val="735F0AE9"/>
    <w:rsid w:val="735F6111"/>
    <w:rsid w:val="7373139E"/>
    <w:rsid w:val="737915F3"/>
    <w:rsid w:val="73905854"/>
    <w:rsid w:val="73973434"/>
    <w:rsid w:val="73A0182E"/>
    <w:rsid w:val="73E55418"/>
    <w:rsid w:val="74041488"/>
    <w:rsid w:val="74085625"/>
    <w:rsid w:val="740A37A8"/>
    <w:rsid w:val="741870E6"/>
    <w:rsid w:val="74301F98"/>
    <w:rsid w:val="743D2752"/>
    <w:rsid w:val="743D52CE"/>
    <w:rsid w:val="74401896"/>
    <w:rsid w:val="74710AE0"/>
    <w:rsid w:val="747C4E14"/>
    <w:rsid w:val="74976277"/>
    <w:rsid w:val="749D632F"/>
    <w:rsid w:val="74AB40A7"/>
    <w:rsid w:val="74B71836"/>
    <w:rsid w:val="74C06A74"/>
    <w:rsid w:val="74FA43A8"/>
    <w:rsid w:val="75045466"/>
    <w:rsid w:val="75241AB9"/>
    <w:rsid w:val="752C1A9F"/>
    <w:rsid w:val="75484C21"/>
    <w:rsid w:val="75612B5C"/>
    <w:rsid w:val="75827CF7"/>
    <w:rsid w:val="759E0E7A"/>
    <w:rsid w:val="75D562B6"/>
    <w:rsid w:val="75E108F2"/>
    <w:rsid w:val="75F46443"/>
    <w:rsid w:val="762468AE"/>
    <w:rsid w:val="762933A9"/>
    <w:rsid w:val="767F0681"/>
    <w:rsid w:val="76967010"/>
    <w:rsid w:val="769F120B"/>
    <w:rsid w:val="76B873B3"/>
    <w:rsid w:val="76BA3C84"/>
    <w:rsid w:val="76C60DED"/>
    <w:rsid w:val="76DE53A0"/>
    <w:rsid w:val="76DF722C"/>
    <w:rsid w:val="76F0487A"/>
    <w:rsid w:val="770201DA"/>
    <w:rsid w:val="7708782F"/>
    <w:rsid w:val="77093CF3"/>
    <w:rsid w:val="77377EFD"/>
    <w:rsid w:val="77526679"/>
    <w:rsid w:val="775A7E43"/>
    <w:rsid w:val="7763493D"/>
    <w:rsid w:val="779A3310"/>
    <w:rsid w:val="779C6341"/>
    <w:rsid w:val="77A47A68"/>
    <w:rsid w:val="77D676C5"/>
    <w:rsid w:val="77E85E22"/>
    <w:rsid w:val="780C3FD2"/>
    <w:rsid w:val="78342545"/>
    <w:rsid w:val="78457441"/>
    <w:rsid w:val="78516327"/>
    <w:rsid w:val="78534B39"/>
    <w:rsid w:val="7872306D"/>
    <w:rsid w:val="787E5A47"/>
    <w:rsid w:val="7886780E"/>
    <w:rsid w:val="788745EE"/>
    <w:rsid w:val="78AD248D"/>
    <w:rsid w:val="78BF5A0A"/>
    <w:rsid w:val="78C409E2"/>
    <w:rsid w:val="78DE792B"/>
    <w:rsid w:val="78E1059F"/>
    <w:rsid w:val="78EE7AFA"/>
    <w:rsid w:val="78F30652"/>
    <w:rsid w:val="78F416D0"/>
    <w:rsid w:val="78FC3F76"/>
    <w:rsid w:val="791D710D"/>
    <w:rsid w:val="792E03F6"/>
    <w:rsid w:val="794E7636"/>
    <w:rsid w:val="795E4DF5"/>
    <w:rsid w:val="79876A42"/>
    <w:rsid w:val="798877AC"/>
    <w:rsid w:val="799D3F39"/>
    <w:rsid w:val="79DA09C3"/>
    <w:rsid w:val="79E52FD2"/>
    <w:rsid w:val="79EC31F3"/>
    <w:rsid w:val="79F33B49"/>
    <w:rsid w:val="7A1922BA"/>
    <w:rsid w:val="7A3435D3"/>
    <w:rsid w:val="7A3E6B24"/>
    <w:rsid w:val="7A4360DC"/>
    <w:rsid w:val="7A4C524B"/>
    <w:rsid w:val="7A57076C"/>
    <w:rsid w:val="7A661EDA"/>
    <w:rsid w:val="7A685028"/>
    <w:rsid w:val="7A727944"/>
    <w:rsid w:val="7A7F54A3"/>
    <w:rsid w:val="7A816C72"/>
    <w:rsid w:val="7AA32FB9"/>
    <w:rsid w:val="7AAA2F92"/>
    <w:rsid w:val="7AD004BC"/>
    <w:rsid w:val="7AD83775"/>
    <w:rsid w:val="7AE57586"/>
    <w:rsid w:val="7AED570B"/>
    <w:rsid w:val="7B003259"/>
    <w:rsid w:val="7B054BE1"/>
    <w:rsid w:val="7B102143"/>
    <w:rsid w:val="7B352B08"/>
    <w:rsid w:val="7B413D1F"/>
    <w:rsid w:val="7B797300"/>
    <w:rsid w:val="7B815F5E"/>
    <w:rsid w:val="7B8A120C"/>
    <w:rsid w:val="7B8B4B71"/>
    <w:rsid w:val="7B8D3895"/>
    <w:rsid w:val="7BAF37C2"/>
    <w:rsid w:val="7BB2020E"/>
    <w:rsid w:val="7BB51E17"/>
    <w:rsid w:val="7BBC696B"/>
    <w:rsid w:val="7BC92567"/>
    <w:rsid w:val="7BCF7FD5"/>
    <w:rsid w:val="7C015D67"/>
    <w:rsid w:val="7C0A5C2E"/>
    <w:rsid w:val="7C1D1542"/>
    <w:rsid w:val="7C257112"/>
    <w:rsid w:val="7C34535C"/>
    <w:rsid w:val="7C3D0929"/>
    <w:rsid w:val="7C491554"/>
    <w:rsid w:val="7C4B2082"/>
    <w:rsid w:val="7C584FE6"/>
    <w:rsid w:val="7C666AC1"/>
    <w:rsid w:val="7C703D67"/>
    <w:rsid w:val="7C8C6FE5"/>
    <w:rsid w:val="7C901658"/>
    <w:rsid w:val="7CBB7C81"/>
    <w:rsid w:val="7CC40F03"/>
    <w:rsid w:val="7CD2039C"/>
    <w:rsid w:val="7CD21DA7"/>
    <w:rsid w:val="7D0D1348"/>
    <w:rsid w:val="7D2A5F70"/>
    <w:rsid w:val="7D2D60B4"/>
    <w:rsid w:val="7D403916"/>
    <w:rsid w:val="7D4653F4"/>
    <w:rsid w:val="7D63567A"/>
    <w:rsid w:val="7D6458FE"/>
    <w:rsid w:val="7D6853B2"/>
    <w:rsid w:val="7D716AF0"/>
    <w:rsid w:val="7D736119"/>
    <w:rsid w:val="7D7864E4"/>
    <w:rsid w:val="7D951CD7"/>
    <w:rsid w:val="7D9C7257"/>
    <w:rsid w:val="7DB76FAF"/>
    <w:rsid w:val="7DCE31A9"/>
    <w:rsid w:val="7E250326"/>
    <w:rsid w:val="7E2D244A"/>
    <w:rsid w:val="7E513875"/>
    <w:rsid w:val="7E530EA4"/>
    <w:rsid w:val="7E57765B"/>
    <w:rsid w:val="7E5E15BA"/>
    <w:rsid w:val="7E690C76"/>
    <w:rsid w:val="7E6A5606"/>
    <w:rsid w:val="7E73538F"/>
    <w:rsid w:val="7E8777AF"/>
    <w:rsid w:val="7E880C06"/>
    <w:rsid w:val="7EB44590"/>
    <w:rsid w:val="7EDC39FB"/>
    <w:rsid w:val="7EF7251E"/>
    <w:rsid w:val="7EFB1D10"/>
    <w:rsid w:val="7F01651A"/>
    <w:rsid w:val="7F09481B"/>
    <w:rsid w:val="7F181FE7"/>
    <w:rsid w:val="7F29194A"/>
    <w:rsid w:val="7F2A7B51"/>
    <w:rsid w:val="7F2D239A"/>
    <w:rsid w:val="7F393B46"/>
    <w:rsid w:val="7F5C44C1"/>
    <w:rsid w:val="7F603F05"/>
    <w:rsid w:val="7F6A6612"/>
    <w:rsid w:val="7F7D455D"/>
    <w:rsid w:val="7F850D0C"/>
    <w:rsid w:val="7F857DF0"/>
    <w:rsid w:val="7F89477F"/>
    <w:rsid w:val="7F98056D"/>
    <w:rsid w:val="7FAD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5"/>
    <w:autoRedefine/>
    <w:unhideWhenUsed/>
    <w:qFormat/>
    <w:uiPriority w:val="9"/>
    <w:pPr>
      <w:keepNext/>
      <w:keepLines/>
      <w:numPr>
        <w:ilvl w:val="2"/>
        <w:numId w:val="1"/>
      </w:numPr>
      <w:tabs>
        <w:tab w:val="left" w:pos="0"/>
      </w:tabs>
      <w:spacing w:line="360" w:lineRule="auto"/>
      <w:outlineLvl w:val="2"/>
    </w:pPr>
    <w:rPr>
      <w:b/>
      <w:bCs/>
      <w:kern w:val="28"/>
      <w:szCs w:val="28"/>
    </w:rPr>
  </w:style>
  <w:style w:type="paragraph" w:styleId="6">
    <w:name w:val="heading 4"/>
    <w:basedOn w:val="1"/>
    <w:next w:val="1"/>
    <w:autoRedefine/>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5">
    <w:name w:val="报告正文"/>
    <w:autoRedefine/>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styleId="7">
    <w:name w:val="Normal Indent"/>
    <w:basedOn w:val="1"/>
    <w:next w:val="8"/>
    <w:autoRedefine/>
    <w:qFormat/>
    <w:uiPriority w:val="99"/>
    <w:pPr>
      <w:ind w:firstLine="420"/>
    </w:pPr>
    <w:rPr>
      <w:szCs w:val="20"/>
    </w:rPr>
  </w:style>
  <w:style w:type="paragraph" w:styleId="8">
    <w:name w:val="Body Text Indent"/>
    <w:basedOn w:val="1"/>
    <w:next w:val="7"/>
    <w:autoRedefine/>
    <w:qFormat/>
    <w:uiPriority w:val="0"/>
    <w:pPr>
      <w:spacing w:after="120"/>
      <w:ind w:left="420" w:leftChars="200"/>
    </w:pPr>
  </w:style>
  <w:style w:type="paragraph" w:styleId="9">
    <w:name w:val="caption"/>
    <w:basedOn w:val="1"/>
    <w:next w:val="1"/>
    <w:autoRedefine/>
    <w:unhideWhenUsed/>
    <w:qFormat/>
    <w:uiPriority w:val="35"/>
    <w:pPr>
      <w:numPr>
        <w:ilvl w:val="0"/>
        <w:numId w:val="2"/>
      </w:numPr>
      <w:ind w:firstLine="0"/>
      <w:jc w:val="center"/>
    </w:pPr>
    <w:rPr>
      <w:rFonts w:cs="宋体" w:asciiTheme="minorEastAsia" w:hAnsiTheme="minorEastAsia"/>
      <w:szCs w:val="20"/>
    </w:rPr>
  </w:style>
  <w:style w:type="paragraph" w:styleId="10">
    <w:name w:val="Document Map"/>
    <w:basedOn w:val="1"/>
    <w:autoRedefine/>
    <w:qFormat/>
    <w:uiPriority w:val="0"/>
    <w:rPr>
      <w:rFonts w:ascii="宋体"/>
      <w:sz w:val="18"/>
      <w:szCs w:val="18"/>
    </w:rPr>
  </w:style>
  <w:style w:type="paragraph" w:styleId="11">
    <w:name w:val="annotation text"/>
    <w:basedOn w:val="1"/>
    <w:link w:val="55"/>
    <w:autoRedefine/>
    <w:qFormat/>
    <w:uiPriority w:val="0"/>
    <w:pPr>
      <w:jc w:val="left"/>
    </w:pPr>
  </w:style>
  <w:style w:type="paragraph" w:styleId="12">
    <w:name w:val="Body Text"/>
    <w:basedOn w:val="1"/>
    <w:next w:val="13"/>
    <w:autoRedefine/>
    <w:qFormat/>
    <w:uiPriority w:val="0"/>
    <w:pPr>
      <w:tabs>
        <w:tab w:val="left" w:pos="0"/>
      </w:tabs>
    </w:pPr>
  </w:style>
  <w:style w:type="paragraph" w:styleId="13">
    <w:name w:val="Body Text First Indent"/>
    <w:basedOn w:val="12"/>
    <w:autoRedefine/>
    <w:qFormat/>
    <w:uiPriority w:val="0"/>
    <w:pPr>
      <w:spacing w:line="312" w:lineRule="auto"/>
      <w:ind w:firstLine="420"/>
    </w:pPr>
  </w:style>
  <w:style w:type="paragraph" w:styleId="14">
    <w:name w:val="Block Text"/>
    <w:basedOn w:val="1"/>
    <w:autoRedefine/>
    <w:qFormat/>
    <w:uiPriority w:val="0"/>
    <w:pPr>
      <w:adjustRightInd w:val="0"/>
      <w:spacing w:line="300" w:lineRule="auto"/>
      <w:ind w:left="958" w:right="-120" w:rightChars="-120"/>
      <w:jc w:val="left"/>
    </w:pPr>
    <w:rPr>
      <w:rFonts w:ascii="宋体" w:hAnsi="宋体"/>
      <w:sz w:val="28"/>
    </w:rPr>
  </w:style>
  <w:style w:type="paragraph" w:styleId="15">
    <w:name w:val="toc 3"/>
    <w:basedOn w:val="1"/>
    <w:next w:val="1"/>
    <w:autoRedefine/>
    <w:qFormat/>
    <w:uiPriority w:val="0"/>
    <w:pPr>
      <w:ind w:left="840" w:leftChars="400"/>
    </w:pPr>
  </w:style>
  <w:style w:type="paragraph" w:styleId="16">
    <w:name w:val="Plain Text"/>
    <w:basedOn w:val="1"/>
    <w:next w:val="1"/>
    <w:autoRedefine/>
    <w:qFormat/>
    <w:uiPriority w:val="0"/>
    <w:rPr>
      <w:rFonts w:ascii="宋体" w:hAnsi="Courier New"/>
      <w:kern w:val="0"/>
      <w:sz w:val="20"/>
      <w:szCs w:val="21"/>
    </w:rPr>
  </w:style>
  <w:style w:type="paragraph" w:styleId="17">
    <w:name w:val="Body Text Indent 2"/>
    <w:basedOn w:val="1"/>
    <w:autoRedefine/>
    <w:qFormat/>
    <w:uiPriority w:val="0"/>
    <w:pPr>
      <w:widowControl/>
      <w:spacing w:line="480" w:lineRule="atLeast"/>
      <w:ind w:firstLine="480"/>
    </w:pPr>
    <w:rPr>
      <w:rFonts w:ascii="宋体" w:hAnsi="Times New Roman" w:cs="宋体"/>
      <w:b/>
      <w:bCs/>
      <w:color w:val="000000"/>
      <w:sz w:val="24"/>
    </w:rPr>
  </w:style>
  <w:style w:type="paragraph" w:styleId="18">
    <w:name w:val="Balloon Text"/>
    <w:basedOn w:val="1"/>
    <w:link w:val="57"/>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szCs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22"/>
    <w:next w:val="1"/>
    <w:autoRedefine/>
    <w:qFormat/>
    <w:uiPriority w:val="0"/>
    <w:pPr>
      <w:tabs>
        <w:tab w:val="right" w:leader="dot" w:pos="9118"/>
      </w:tabs>
      <w:spacing w:line="400" w:lineRule="exact"/>
    </w:pPr>
    <w:rPr>
      <w:szCs w:val="20"/>
    </w:rPr>
  </w:style>
  <w:style w:type="paragraph" w:styleId="22">
    <w:name w:val="index 1"/>
    <w:basedOn w:val="1"/>
    <w:next w:val="1"/>
    <w:autoRedefine/>
    <w:qFormat/>
    <w:uiPriority w:val="0"/>
    <w:pPr>
      <w:spacing w:line="220" w:lineRule="exact"/>
      <w:jc w:val="center"/>
    </w:pPr>
    <w:rPr>
      <w:rFonts w:ascii="仿宋_GB2312" w:eastAsia="仿宋_GB2312"/>
      <w:szCs w:val="21"/>
    </w:rPr>
  </w:style>
  <w:style w:type="paragraph" w:styleId="23">
    <w:name w:val="toc 6"/>
    <w:basedOn w:val="1"/>
    <w:next w:val="1"/>
    <w:autoRedefine/>
    <w:qFormat/>
    <w:uiPriority w:val="0"/>
    <w:pPr>
      <w:ind w:left="1050"/>
      <w:jc w:val="left"/>
    </w:pPr>
    <w:rPr>
      <w:rFonts w:ascii="Century Gothic" w:hAnsi="Century Gothic"/>
      <w:sz w:val="18"/>
      <w:szCs w:val="18"/>
    </w:rPr>
  </w:style>
  <w:style w:type="paragraph" w:styleId="24">
    <w:name w:val="Body Text Indent 3"/>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styleId="25">
    <w:name w:val="toc 2"/>
    <w:basedOn w:val="1"/>
    <w:next w:val="1"/>
    <w:autoRedefine/>
    <w:qFormat/>
    <w:uiPriority w:val="0"/>
    <w:pPr>
      <w:ind w:left="420" w:leftChars="200"/>
    </w:pPr>
  </w:style>
  <w:style w:type="paragraph" w:styleId="26">
    <w:name w:val="Body Text 2"/>
    <w:basedOn w:val="1"/>
    <w:autoRedefine/>
    <w:qFormat/>
    <w:uiPriority w:val="0"/>
    <w:pPr>
      <w:ind w:right="-512" w:rightChars="-244"/>
    </w:pPr>
    <w:rPr>
      <w:rFonts w:ascii="宋体"/>
      <w:sz w:val="24"/>
    </w:rPr>
  </w:style>
  <w:style w:type="paragraph" w:styleId="27">
    <w:name w:val="Normal (Web)"/>
    <w:basedOn w:val="1"/>
    <w:autoRedefine/>
    <w:qFormat/>
    <w:uiPriority w:val="0"/>
    <w:pPr>
      <w:spacing w:beforeAutospacing="1" w:afterAutospacing="1"/>
      <w:jc w:val="left"/>
    </w:pPr>
    <w:rPr>
      <w:kern w:val="0"/>
      <w:sz w:val="24"/>
    </w:rPr>
  </w:style>
  <w:style w:type="paragraph" w:styleId="28">
    <w:name w:val="Title"/>
    <w:basedOn w:val="1"/>
    <w:next w:val="1"/>
    <w:autoRedefine/>
    <w:qFormat/>
    <w:uiPriority w:val="0"/>
    <w:pPr>
      <w:spacing w:before="240" w:after="60"/>
      <w:jc w:val="center"/>
      <w:outlineLvl w:val="0"/>
    </w:pPr>
    <w:rPr>
      <w:rFonts w:ascii="Arial" w:hAnsi="Arial" w:cs="Times New Roman"/>
      <w:sz w:val="32"/>
      <w:szCs w:val="32"/>
    </w:rPr>
  </w:style>
  <w:style w:type="paragraph" w:styleId="29">
    <w:name w:val="annotation subject"/>
    <w:basedOn w:val="11"/>
    <w:next w:val="11"/>
    <w:link w:val="56"/>
    <w:autoRedefine/>
    <w:qFormat/>
    <w:uiPriority w:val="0"/>
    <w:rPr>
      <w:b/>
      <w:bCs/>
    </w:rPr>
  </w:style>
  <w:style w:type="paragraph" w:styleId="30">
    <w:name w:val="Body Text First Indent 2"/>
    <w:basedOn w:val="8"/>
    <w:next w:val="31"/>
    <w:autoRedefine/>
    <w:unhideWhenUsed/>
    <w:qFormat/>
    <w:uiPriority w:val="99"/>
    <w:pPr>
      <w:ind w:firstLine="420" w:firstLineChars="200"/>
    </w:pPr>
  </w:style>
  <w:style w:type="paragraph" w:customStyle="1" w:styleId="31">
    <w:name w:val="xl53"/>
    <w:basedOn w:val="1"/>
    <w:next w:val="1"/>
    <w:autoRedefine/>
    <w:qFormat/>
    <w:uiPriority w:val="0"/>
    <w:pPr>
      <w:spacing w:before="280" w:after="280" w:line="100" w:lineRule="exact"/>
      <w:jc w:val="center"/>
    </w:pPr>
    <w:rPr>
      <w:b/>
      <w:sz w:val="20"/>
    </w:rPr>
  </w:style>
  <w:style w:type="table" w:styleId="33">
    <w:name w:val="Table Grid"/>
    <w:basedOn w:val="3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autoRedefine/>
    <w:qFormat/>
    <w:uiPriority w:val="0"/>
    <w:rPr>
      <w:b/>
    </w:rPr>
  </w:style>
  <w:style w:type="character" w:styleId="36">
    <w:name w:val="page number"/>
    <w:basedOn w:val="34"/>
    <w:autoRedefine/>
    <w:qFormat/>
    <w:uiPriority w:val="0"/>
    <w:rPr>
      <w:rFonts w:cs="Times New Roman"/>
    </w:rPr>
  </w:style>
  <w:style w:type="character" w:styleId="37">
    <w:name w:val="Hyperlink"/>
    <w:basedOn w:val="34"/>
    <w:autoRedefine/>
    <w:qFormat/>
    <w:uiPriority w:val="0"/>
    <w:rPr>
      <w:color w:val="0000FF"/>
      <w:u w:val="single"/>
    </w:rPr>
  </w:style>
  <w:style w:type="character" w:styleId="38">
    <w:name w:val="annotation reference"/>
    <w:basedOn w:val="34"/>
    <w:autoRedefine/>
    <w:qFormat/>
    <w:uiPriority w:val="0"/>
    <w:rPr>
      <w:sz w:val="21"/>
      <w:szCs w:val="21"/>
    </w:rPr>
  </w:style>
  <w:style w:type="paragraph" w:customStyle="1" w:styleId="39">
    <w:name w:val="[Normal]"/>
    <w:autoRedefine/>
    <w:qFormat/>
    <w:uiPriority w:val="0"/>
    <w:rPr>
      <w:rFonts w:ascii="宋体" w:hAnsi="宋体" w:eastAsia="Calibri" w:cs="Times New Roman"/>
      <w:sz w:val="24"/>
      <w:lang w:val="en-US" w:eastAsia="en-US" w:bidi="ar-SA"/>
    </w:rPr>
  </w:style>
  <w:style w:type="paragraph" w:customStyle="1" w:styleId="40">
    <w:name w:val="表格文字"/>
    <w:basedOn w:val="16"/>
    <w:next w:val="12"/>
    <w:autoRedefine/>
    <w:qFormat/>
    <w:uiPriority w:val="0"/>
    <w:pPr>
      <w:adjustRightInd w:val="0"/>
      <w:spacing w:line="420" w:lineRule="atLeast"/>
      <w:jc w:val="left"/>
      <w:textAlignment w:val="baseline"/>
    </w:pPr>
    <w:rPr>
      <w:rFonts w:ascii="Times New Roman" w:hAnsi="Times New Roman"/>
    </w:rPr>
  </w:style>
  <w:style w:type="paragraph" w:customStyle="1" w:styleId="41">
    <w:name w:val="表格文字（两侧对齐）"/>
    <w:basedOn w:val="1"/>
    <w:autoRedefine/>
    <w:qFormat/>
    <w:uiPriority w:val="0"/>
    <w:pPr>
      <w:snapToGrid w:val="0"/>
    </w:pPr>
    <w:rPr>
      <w:sz w:val="20"/>
    </w:rPr>
  </w:style>
  <w:style w:type="paragraph" w:customStyle="1" w:styleId="42">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3">
    <w:name w:val="Plain Text1"/>
    <w:basedOn w:val="1"/>
    <w:autoRedefine/>
    <w:qFormat/>
    <w:uiPriority w:val="0"/>
    <w:rPr>
      <w:rFonts w:ascii="宋体" w:hAnsi="Courier New"/>
      <w:szCs w:val="20"/>
    </w:rPr>
  </w:style>
  <w:style w:type="paragraph" w:customStyle="1" w:styleId="44">
    <w:name w:val="正文2"/>
    <w:basedOn w:val="1"/>
    <w:autoRedefine/>
    <w:qFormat/>
    <w:uiPriority w:val="0"/>
    <w:pPr>
      <w:spacing w:line="360" w:lineRule="auto"/>
      <w:ind w:firstLine="510" w:firstLineChars="200"/>
    </w:pPr>
    <w:rPr>
      <w:sz w:val="24"/>
      <w:szCs w:val="20"/>
    </w:rPr>
  </w:style>
  <w:style w:type="paragraph" w:customStyle="1" w:styleId="45">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6">
    <w:name w:val="Normal Indent1"/>
    <w:basedOn w:val="1"/>
    <w:autoRedefine/>
    <w:qFormat/>
    <w:uiPriority w:val="0"/>
    <w:pPr>
      <w:ind w:firstLine="420" w:firstLineChars="200"/>
    </w:pPr>
  </w:style>
  <w:style w:type="paragraph" w:customStyle="1" w:styleId="47">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8">
    <w:name w:val="无间隔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styleId="49">
    <w:name w:val="List Paragraph"/>
    <w:basedOn w:val="1"/>
    <w:autoRedefine/>
    <w:qFormat/>
    <w:uiPriority w:val="34"/>
    <w:pPr>
      <w:ind w:firstLine="420" w:firstLineChars="200"/>
    </w:pPr>
    <w:rPr>
      <w:rFonts w:ascii="Times New Roman" w:hAnsi="Times New Roman"/>
    </w:rPr>
  </w:style>
  <w:style w:type="paragraph" w:customStyle="1" w:styleId="50">
    <w:name w:val="列出段落1"/>
    <w:basedOn w:val="1"/>
    <w:autoRedefine/>
    <w:qFormat/>
    <w:uiPriority w:val="34"/>
    <w:pPr>
      <w:ind w:firstLine="420" w:firstLineChars="200"/>
    </w:pPr>
    <w:rPr>
      <w:szCs w:val="22"/>
    </w:rPr>
  </w:style>
  <w:style w:type="paragraph" w:customStyle="1" w:styleId="51">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52">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4">
    <w:name w:val="※正文"/>
    <w:basedOn w:val="1"/>
    <w:next w:val="1"/>
    <w:autoRedefine/>
    <w:qFormat/>
    <w:uiPriority w:val="0"/>
    <w:pPr>
      <w:widowControl/>
      <w:wordWrap w:val="0"/>
      <w:spacing w:line="400" w:lineRule="exact"/>
    </w:pPr>
    <w:rPr>
      <w:rFonts w:ascii="Calibri Light" w:hAnsi="Calibri Light" w:eastAsia="华文仿宋" w:cstheme="minorBidi"/>
      <w:sz w:val="28"/>
      <w:szCs w:val="28"/>
    </w:rPr>
  </w:style>
  <w:style w:type="character" w:customStyle="1" w:styleId="55">
    <w:name w:val="批注文字 Char"/>
    <w:basedOn w:val="34"/>
    <w:link w:val="11"/>
    <w:autoRedefine/>
    <w:qFormat/>
    <w:uiPriority w:val="0"/>
    <w:rPr>
      <w:rFonts w:ascii="Calibri" w:hAnsi="Calibri" w:eastAsia="宋体" w:cs="黑体"/>
      <w:kern w:val="2"/>
      <w:sz w:val="21"/>
      <w:szCs w:val="24"/>
    </w:rPr>
  </w:style>
  <w:style w:type="character" w:customStyle="1" w:styleId="56">
    <w:name w:val="批注主题 Char"/>
    <w:basedOn w:val="55"/>
    <w:link w:val="29"/>
    <w:autoRedefine/>
    <w:qFormat/>
    <w:uiPriority w:val="0"/>
    <w:rPr>
      <w:rFonts w:ascii="Calibri" w:hAnsi="Calibri" w:eastAsia="宋体" w:cs="黑体"/>
      <w:b/>
      <w:bCs/>
      <w:kern w:val="2"/>
      <w:sz w:val="21"/>
      <w:szCs w:val="24"/>
    </w:rPr>
  </w:style>
  <w:style w:type="character" w:customStyle="1" w:styleId="57">
    <w:name w:val="批注框文本 Char"/>
    <w:basedOn w:val="34"/>
    <w:link w:val="18"/>
    <w:autoRedefine/>
    <w:qFormat/>
    <w:uiPriority w:val="0"/>
    <w:rPr>
      <w:rFonts w:ascii="Calibri" w:hAnsi="Calibri" w:eastAsia="宋体" w:cs="黑体"/>
      <w:kern w:val="2"/>
      <w:sz w:val="18"/>
      <w:szCs w:val="18"/>
    </w:rPr>
  </w:style>
  <w:style w:type="paragraph" w:customStyle="1" w:styleId="58">
    <w:name w:val="正文首行缩进2字符"/>
    <w:basedOn w:val="1"/>
    <w:autoRedefine/>
    <w:qFormat/>
    <w:uiPriority w:val="0"/>
    <w:pPr>
      <w:spacing w:before="60" w:after="60"/>
      <w:ind w:firstLine="482"/>
      <w:jc w:val="left"/>
    </w:pPr>
    <w:rPr>
      <w:rFonts w:ascii="Times New Roman" w:hAnsi="Times New Roman" w:cs="Times New Roman"/>
      <w:iCs/>
      <w:kern w:val="0"/>
    </w:rPr>
  </w:style>
  <w:style w:type="paragraph" w:customStyle="1" w:styleId="59">
    <w:name w:val="标识2"/>
    <w:basedOn w:val="1"/>
    <w:autoRedefine/>
    <w:qFormat/>
    <w:uiPriority w:val="0"/>
    <w:pPr>
      <w:numPr>
        <w:ilvl w:val="0"/>
        <w:numId w:val="3"/>
      </w:numPr>
      <w:ind w:left="278" w:hanging="193"/>
      <w:jc w:val="left"/>
    </w:pPr>
    <w:rPr>
      <w:rFonts w:ascii="Times New Roman" w:hAnsi="Times New Roman"/>
      <w:kern w:val="0"/>
    </w:rPr>
  </w:style>
  <w:style w:type="paragraph" w:customStyle="1" w:styleId="60">
    <w:name w:val="编号1"/>
    <w:basedOn w:val="1"/>
    <w:autoRedefine/>
    <w:qFormat/>
    <w:uiPriority w:val="0"/>
    <w:pPr>
      <w:numPr>
        <w:ilvl w:val="4"/>
        <w:numId w:val="4"/>
      </w:numPr>
      <w:spacing w:before="120" w:after="120"/>
      <w:ind w:firstLine="0"/>
    </w:pPr>
    <w:rPr>
      <w:rFonts w:ascii="Times New Roman" w:hAnsi="Times New Roman"/>
      <w:b/>
      <w:color w:val="000000"/>
      <w:szCs w:val="21"/>
    </w:rPr>
  </w:style>
  <w:style w:type="paragraph" w:customStyle="1" w:styleId="61">
    <w:name w:val="标准正文"/>
    <w:basedOn w:val="1"/>
    <w:autoRedefine/>
    <w:qFormat/>
    <w:uiPriority w:val="0"/>
    <w:pPr>
      <w:spacing w:before="156" w:after="156"/>
      <w:ind w:firstLine="480"/>
    </w:pPr>
    <w:rPr>
      <w:rFonts w:ascii="Times New Roman" w:hAnsi="Times New Roman" w:cs="宋体"/>
      <w:szCs w:val="20"/>
    </w:rPr>
  </w:style>
  <w:style w:type="paragraph" w:customStyle="1" w:styleId="62">
    <w:name w:val="a14"/>
    <w:basedOn w:val="1"/>
    <w:autoRedefine/>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3">
    <w:name w:val="表格标题"/>
    <w:basedOn w:val="1"/>
    <w:autoRedefine/>
    <w:qFormat/>
    <w:uiPriority w:val="0"/>
    <w:pPr>
      <w:jc w:val="center"/>
    </w:pPr>
    <w:rPr>
      <w:rFonts w:ascii="Times New Roman" w:hAnsi="Times New Roman" w:cs="Microsoft JhengHei Light"/>
      <w:b/>
      <w:kern w:val="0"/>
      <w:sz w:val="18"/>
      <w:lang w:val="zh-CN" w:bidi="zh-CN"/>
    </w:rPr>
  </w:style>
  <w:style w:type="paragraph" w:customStyle="1" w:styleId="64">
    <w:name w:val="表格正文"/>
    <w:basedOn w:val="1"/>
    <w:autoRedefine/>
    <w:qFormat/>
    <w:uiPriority w:val="0"/>
    <w:pPr>
      <w:jc w:val="left"/>
    </w:pPr>
    <w:rPr>
      <w:rFonts w:ascii="Times New Roman" w:hAnsi="Times New Roman"/>
      <w:kern w:val="0"/>
    </w:rPr>
  </w:style>
  <w:style w:type="paragraph" w:customStyle="1" w:styleId="65">
    <w:name w:val="DH 正文"/>
    <w:basedOn w:val="1"/>
    <w:autoRedefine/>
    <w:qFormat/>
    <w:uiPriority w:val="99"/>
    <w:rPr>
      <w:rFonts w:ascii="宋体" w:hAnsi="Times New Roman" w:cs="宋体"/>
    </w:rPr>
  </w:style>
  <w:style w:type="paragraph" w:customStyle="1" w:styleId="66">
    <w:name w:val="编号2"/>
    <w:basedOn w:val="1"/>
    <w:autoRedefine/>
    <w:qFormat/>
    <w:uiPriority w:val="0"/>
    <w:pPr>
      <w:numPr>
        <w:ilvl w:val="0"/>
        <w:numId w:val="5"/>
      </w:numPr>
      <w:ind w:firstLine="0"/>
      <w:jc w:val="left"/>
    </w:pPr>
    <w:rPr>
      <w:rFonts w:ascii="Times New Roman" w:hAnsi="Times New Roman" w:cs="Arial"/>
      <w:kern w:val="0"/>
    </w:rPr>
  </w:style>
  <w:style w:type="paragraph" w:customStyle="1" w:styleId="67">
    <w:name w:val="样式 首行缩进:  0 字符"/>
    <w:basedOn w:val="1"/>
    <w:autoRedefine/>
    <w:qFormat/>
    <w:uiPriority w:val="0"/>
    <w:rPr>
      <w:rFonts w:ascii="Times New Roman" w:hAnsi="Times New Roman" w:cs="宋体"/>
      <w:szCs w:val="20"/>
    </w:rPr>
  </w:style>
  <w:style w:type="paragraph" w:customStyle="1" w:styleId="68">
    <w:name w:val="表格内容"/>
    <w:basedOn w:val="1"/>
    <w:autoRedefine/>
    <w:qFormat/>
    <w:uiPriority w:val="2"/>
    <w:pPr>
      <w:jc w:val="center"/>
    </w:pPr>
  </w:style>
  <w:style w:type="paragraph" w:customStyle="1" w:styleId="69">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character" w:customStyle="1" w:styleId="70">
    <w:name w:val="NormalCharacter"/>
    <w:autoRedefine/>
    <w:qFormat/>
    <w:uiPriority w:val="0"/>
    <w:rPr>
      <w:rFonts w:ascii="等线" w:hAnsi="等线" w:eastAsia="等线"/>
    </w:rPr>
  </w:style>
  <w:style w:type="paragraph" w:customStyle="1" w:styleId="71">
    <w:name w:val="章正文"/>
    <w:basedOn w:val="1"/>
    <w:autoRedefine/>
    <w:qFormat/>
    <w:uiPriority w:val="0"/>
    <w:pPr>
      <w:spacing w:beforeLines="50" w:after="120" w:line="300" w:lineRule="auto"/>
      <w:ind w:firstLine="480"/>
    </w:pPr>
    <w:rPr>
      <w:rFonts w:ascii="Helvetica" w:hAnsi="Helvetica" w:cs="Times New Roman"/>
      <w:kern w:val="0"/>
      <w:sz w:val="24"/>
      <w:szCs w:val="20"/>
    </w:rPr>
  </w:style>
  <w:style w:type="paragraph" w:customStyle="1" w:styleId="72">
    <w:name w:val="纯文本1"/>
    <w:basedOn w:val="73"/>
    <w:autoRedefine/>
    <w:qFormat/>
    <w:uiPriority w:val="99"/>
    <w:pPr>
      <w:widowControl/>
      <w:jc w:val="left"/>
    </w:pPr>
    <w:rPr>
      <w:rFonts w:ascii="宋体" w:hAnsi="Courier New" w:cs="宋体"/>
    </w:rPr>
  </w:style>
  <w:style w:type="paragraph" w:customStyle="1" w:styleId="73">
    <w:name w:val="正文1"/>
    <w:basedOn w:val="15"/>
    <w:next w:val="1"/>
    <w:autoRedefine/>
    <w:qFormat/>
    <w:uiPriority w:val="99"/>
    <w:rPr>
      <w:rFonts w:cs="Calibri"/>
      <w:szCs w:val="21"/>
    </w:rPr>
  </w:style>
  <w:style w:type="character" w:customStyle="1" w:styleId="74">
    <w:name w:val="font51"/>
    <w:basedOn w:val="34"/>
    <w:autoRedefine/>
    <w:qFormat/>
    <w:uiPriority w:val="0"/>
    <w:rPr>
      <w:rFonts w:hint="eastAsia" w:ascii="宋体" w:hAnsi="宋体" w:eastAsia="宋体" w:cs="宋体"/>
      <w:color w:val="000000"/>
      <w:sz w:val="20"/>
      <w:szCs w:val="20"/>
      <w:u w:val="none"/>
    </w:rPr>
  </w:style>
  <w:style w:type="character" w:customStyle="1" w:styleId="75">
    <w:name w:val="font01"/>
    <w:basedOn w:val="34"/>
    <w:autoRedefine/>
    <w:qFormat/>
    <w:uiPriority w:val="0"/>
    <w:rPr>
      <w:rFonts w:hint="default" w:ascii="Times New Roman" w:hAnsi="Times New Roman" w:cs="Times New Roman"/>
      <w:color w:val="000000"/>
      <w:sz w:val="20"/>
      <w:szCs w:val="20"/>
      <w:u w:val="none"/>
    </w:rPr>
  </w:style>
  <w:style w:type="character" w:customStyle="1" w:styleId="76">
    <w:name w:val="font61"/>
    <w:basedOn w:val="34"/>
    <w:autoRedefine/>
    <w:qFormat/>
    <w:uiPriority w:val="0"/>
    <w:rPr>
      <w:rFonts w:hint="eastAsia" w:ascii="宋体" w:hAnsi="宋体" w:eastAsia="宋体" w:cs="宋体"/>
      <w:color w:val="000000"/>
      <w:sz w:val="20"/>
      <w:szCs w:val="20"/>
      <w:u w:val="none"/>
    </w:rPr>
  </w:style>
  <w:style w:type="character" w:customStyle="1" w:styleId="77">
    <w:name w:val="font81"/>
    <w:basedOn w:val="34"/>
    <w:autoRedefine/>
    <w:qFormat/>
    <w:uiPriority w:val="0"/>
    <w:rPr>
      <w:rFonts w:hint="default" w:ascii="Times New Roman" w:hAnsi="Times New Roman" w:cs="Times New Roman"/>
      <w:color w:val="000000"/>
      <w:sz w:val="20"/>
      <w:szCs w:val="20"/>
      <w:u w:val="none"/>
    </w:rPr>
  </w:style>
  <w:style w:type="paragraph" w:customStyle="1" w:styleId="78">
    <w:name w:val="List Paragraph1"/>
    <w:basedOn w:val="1"/>
    <w:autoRedefine/>
    <w:qFormat/>
    <w:uiPriority w:val="0"/>
    <w:pPr>
      <w:ind w:firstLine="420" w:firstLineChars="200"/>
    </w:pPr>
    <w:rPr>
      <w:rFonts w:cs="宋体"/>
      <w:szCs w:val="21"/>
    </w:rPr>
  </w:style>
  <w:style w:type="character" w:customStyle="1" w:styleId="79">
    <w:name w:val="font91"/>
    <w:basedOn w:val="34"/>
    <w:autoRedefine/>
    <w:qFormat/>
    <w:uiPriority w:val="0"/>
    <w:rPr>
      <w:rFonts w:ascii="仿宋_GB2312" w:eastAsia="仿宋_GB2312" w:cs="仿宋_GB2312"/>
      <w:color w:val="000000"/>
      <w:sz w:val="22"/>
      <w:szCs w:val="22"/>
      <w:u w:val="none"/>
    </w:rPr>
  </w:style>
  <w:style w:type="character" w:customStyle="1" w:styleId="80">
    <w:name w:val="font31"/>
    <w:basedOn w:val="34"/>
    <w:autoRedefine/>
    <w:qFormat/>
    <w:uiPriority w:val="0"/>
    <w:rPr>
      <w:rFonts w:hint="eastAsia" w:ascii="宋体" w:hAnsi="宋体" w:eastAsia="宋体" w:cs="宋体"/>
      <w:color w:val="000000"/>
      <w:sz w:val="20"/>
      <w:szCs w:val="20"/>
      <w:u w:val="none"/>
    </w:rPr>
  </w:style>
  <w:style w:type="paragraph" w:customStyle="1" w:styleId="81">
    <w:name w:val="附件正文"/>
    <w:basedOn w:val="1"/>
    <w:autoRedefine/>
    <w:qFormat/>
    <w:uiPriority w:val="0"/>
    <w:pPr>
      <w:snapToGrid w:val="0"/>
    </w:pPr>
    <w:rPr>
      <w:kern w:val="0"/>
      <w:sz w:val="28"/>
      <w:szCs w:val="28"/>
    </w:rPr>
  </w:style>
  <w:style w:type="paragraph" w:customStyle="1" w:styleId="82">
    <w:name w:val="_Style 11"/>
    <w:basedOn w:val="1"/>
    <w:next w:val="49"/>
    <w:autoRedefine/>
    <w:qFormat/>
    <w:uiPriority w:val="34"/>
    <w:pPr>
      <w:ind w:firstLine="420" w:firstLineChars="200"/>
    </w:pPr>
    <w:rPr>
      <w:rFonts w:cs="Times New Roman"/>
      <w:lang w:val="zh-CN"/>
    </w:rPr>
  </w:style>
  <w:style w:type="paragraph" w:customStyle="1" w:styleId="83">
    <w:name w:val="表格序号"/>
    <w:autoRedefine/>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4">
    <w:name w:val="表格内字体"/>
    <w:autoRedefine/>
    <w:qFormat/>
    <w:uiPriority w:val="0"/>
    <w:pPr>
      <w:spacing w:line="320" w:lineRule="exact"/>
      <w:jc w:val="center"/>
    </w:pPr>
    <w:rPr>
      <w:rFonts w:ascii="宋体" w:hAnsi="宋体" w:eastAsia="宋体" w:cs="宋体"/>
      <w:kern w:val="2"/>
      <w:sz w:val="22"/>
      <w:lang w:val="en-US" w:eastAsia="zh-CN" w:bidi="ar-SA"/>
    </w:rPr>
  </w:style>
  <w:style w:type="paragraph" w:customStyle="1" w:styleId="8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Other|1"/>
    <w:basedOn w:val="1"/>
    <w:autoRedefine/>
    <w:qFormat/>
    <w:uiPriority w:val="0"/>
    <w:pPr>
      <w:spacing w:after="140" w:line="434" w:lineRule="auto"/>
      <w:ind w:firstLine="400"/>
      <w:jc w:val="left"/>
    </w:pPr>
    <w:rPr>
      <w:rFonts w:ascii="宋体" w:hAnsi="宋体" w:cs="宋体"/>
      <w:sz w:val="22"/>
      <w:lang w:val="zh-TW" w:eastAsia="zh-TW" w:bidi="zh-TW"/>
    </w:rPr>
  </w:style>
  <w:style w:type="paragraph" w:customStyle="1" w:styleId="87">
    <w:name w:val="BodyText"/>
    <w:basedOn w:val="1"/>
    <w:autoRedefine/>
    <w:qFormat/>
    <w:uiPriority w:val="0"/>
    <w:pPr>
      <w:spacing w:after="120"/>
    </w:pPr>
    <w:rPr>
      <w:sz w:val="28"/>
    </w:rPr>
  </w:style>
  <w:style w:type="paragraph" w:customStyle="1" w:styleId="88">
    <w:name w:val="BodyText1I"/>
    <w:basedOn w:val="87"/>
    <w:autoRedefine/>
    <w:qFormat/>
    <w:uiPriority w:val="0"/>
    <w:pPr>
      <w:ind w:firstLine="420" w:firstLineChars="100"/>
    </w:pPr>
  </w:style>
  <w:style w:type="character" w:customStyle="1" w:styleId="89">
    <w:name w:val="font231"/>
    <w:basedOn w:val="34"/>
    <w:autoRedefine/>
    <w:qFormat/>
    <w:uiPriority w:val="0"/>
    <w:rPr>
      <w:rFonts w:hint="eastAsia" w:ascii="宋体" w:hAnsi="宋体" w:eastAsia="宋体" w:cs="宋体"/>
      <w:color w:val="000000"/>
      <w:sz w:val="22"/>
      <w:szCs w:val="22"/>
      <w:u w:val="none"/>
    </w:rPr>
  </w:style>
  <w:style w:type="character" w:customStyle="1" w:styleId="90">
    <w:name w:val="font11"/>
    <w:basedOn w:val="34"/>
    <w:autoRedefine/>
    <w:qFormat/>
    <w:uiPriority w:val="0"/>
    <w:rPr>
      <w:rFonts w:hint="eastAsia" w:ascii="宋体" w:hAnsi="宋体" w:eastAsia="宋体" w:cs="宋体"/>
      <w:color w:val="000000"/>
      <w:sz w:val="22"/>
      <w:szCs w:val="22"/>
      <w:u w:val="none"/>
    </w:rPr>
  </w:style>
  <w:style w:type="character" w:customStyle="1" w:styleId="91">
    <w:name w:val="font101"/>
    <w:basedOn w:val="34"/>
    <w:autoRedefine/>
    <w:qFormat/>
    <w:uiPriority w:val="0"/>
    <w:rPr>
      <w:rFonts w:hint="eastAsia" w:ascii="宋体" w:hAnsi="宋体" w:eastAsia="宋体" w:cs="宋体"/>
      <w:color w:val="000000"/>
      <w:sz w:val="22"/>
      <w:szCs w:val="22"/>
      <w:u w:val="none"/>
    </w:rPr>
  </w:style>
  <w:style w:type="character" w:customStyle="1" w:styleId="92">
    <w:name w:val="font222"/>
    <w:basedOn w:val="34"/>
    <w:autoRedefine/>
    <w:qFormat/>
    <w:uiPriority w:val="0"/>
    <w:rPr>
      <w:rFonts w:hint="default" w:ascii="Tahoma" w:hAnsi="Tahoma" w:eastAsia="Tahoma" w:cs="Tahoma"/>
      <w:color w:val="000000"/>
      <w:sz w:val="20"/>
      <w:szCs w:val="20"/>
      <w:u w:val="none"/>
    </w:rPr>
  </w:style>
  <w:style w:type="character" w:customStyle="1" w:styleId="93">
    <w:name w:val="font361"/>
    <w:basedOn w:val="34"/>
    <w:autoRedefine/>
    <w:qFormat/>
    <w:uiPriority w:val="0"/>
    <w:rPr>
      <w:rFonts w:hint="eastAsia" w:ascii="宋体" w:hAnsi="宋体" w:eastAsia="宋体" w:cs="宋体"/>
      <w:color w:val="000000"/>
      <w:sz w:val="20"/>
      <w:szCs w:val="20"/>
      <w:u w:val="none"/>
      <w:vertAlign w:val="superscript"/>
    </w:rPr>
  </w:style>
  <w:style w:type="character" w:customStyle="1" w:styleId="94">
    <w:name w:val="font371"/>
    <w:basedOn w:val="34"/>
    <w:autoRedefine/>
    <w:qFormat/>
    <w:uiPriority w:val="0"/>
    <w:rPr>
      <w:rFonts w:hint="eastAsia" w:ascii="宋体" w:hAnsi="宋体" w:eastAsia="宋体" w:cs="宋体"/>
      <w:color w:val="000000"/>
      <w:sz w:val="20"/>
      <w:szCs w:val="20"/>
      <w:u w:val="none"/>
      <w:vertAlign w:val="subscript"/>
    </w:rPr>
  </w:style>
  <w:style w:type="paragraph" w:customStyle="1" w:styleId="9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
    <w:name w:val="列出段落11"/>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H3C</Company>
  <Pages>69</Pages>
  <Words>5421</Words>
  <Characters>6210</Characters>
  <Lines>378</Lines>
  <Paragraphs>106</Paragraphs>
  <TotalTime>3</TotalTime>
  <ScaleCrop>false</ScaleCrop>
  <LinksUpToDate>false</LinksUpToDate>
  <CharactersWithSpaces>6640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2023-10-24T02:31:00Z</dcterms:created>
  <dc:creator>0604</dc:creator>
  <cp:lastModifiedBy>Le.YonG.</cp:lastModifiedBy>
  <cp:lastPrinted>2025-08-14T02:04:00Z</cp:lastPrinted>
  <dcterms:modified xsi:type="dcterms:W3CDTF">2025-11-03T07:42:32Z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33C4E480782A48D18D2B1CD1991BE330_13</vt:lpwstr>
  </property>
  <property fmtid="{D5CDD505-2E9C-101B-9397-08002B2CF9AE}" pid="4" name="KSOTemplateDocerSaveRecord">
    <vt:lpwstr>eyJoZGlkIjoiZGZlNjk0ZGYzYzk1OTZiYzA2NTYwZTg1ODY0OGMwOGEiLCJ1c2VySWQiOiIyODM3OTY2MjMifQ==</vt:lpwstr>
  </property>
</Properties>
</file>