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5A229">
      <w:pPr>
        <w:jc w:val="center"/>
        <w:rPr>
          <w:rFonts w:ascii="宋体" w:cs="宋体"/>
          <w:b/>
          <w:bCs/>
          <w:color w:val="auto"/>
          <w:spacing w:val="100"/>
          <w:sz w:val="72"/>
          <w:szCs w:val="72"/>
          <w:highlight w:val="none"/>
        </w:rPr>
      </w:pPr>
    </w:p>
    <w:p w14:paraId="4AC29D38">
      <w:pPr>
        <w:jc w:val="center"/>
        <w:rPr>
          <w:rFonts w:ascii="宋体" w:cs="宋体"/>
          <w:b/>
          <w:bCs/>
          <w:color w:val="auto"/>
          <w:spacing w:val="100"/>
          <w:sz w:val="72"/>
          <w:szCs w:val="72"/>
          <w:highlight w:val="none"/>
        </w:rPr>
      </w:pPr>
      <w:r>
        <w:rPr>
          <w:rFonts w:hint="eastAsia" w:ascii="宋体" w:cs="宋体"/>
          <w:b/>
          <w:bCs/>
          <w:color w:val="auto"/>
          <w:spacing w:val="100"/>
          <w:sz w:val="72"/>
          <w:szCs w:val="72"/>
          <w:highlight w:val="none"/>
        </w:rPr>
        <w:t xml:space="preserve">泰顺县政府采购 </w:t>
      </w:r>
    </w:p>
    <w:p w14:paraId="67DDE04C">
      <w:pPr>
        <w:jc w:val="center"/>
        <w:rPr>
          <w:rFonts w:ascii="宋体" w:cs="宋体"/>
          <w:b/>
          <w:bCs/>
          <w:color w:val="auto"/>
          <w:kern w:val="0"/>
          <w:szCs w:val="24"/>
          <w:highlight w:val="none"/>
        </w:rPr>
      </w:pPr>
    </w:p>
    <w:p w14:paraId="305A3DB9">
      <w:pPr>
        <w:pStyle w:val="84"/>
        <w:rPr>
          <w:rFonts w:ascii="宋体" w:cs="宋体"/>
          <w:color w:val="auto"/>
          <w:highlight w:val="none"/>
        </w:rPr>
      </w:pPr>
    </w:p>
    <w:p w14:paraId="2459EFE1">
      <w:pPr>
        <w:jc w:val="center"/>
        <w:rPr>
          <w:rFonts w:ascii="宋体" w:cs="宋体"/>
          <w:b/>
          <w:bCs/>
          <w:color w:val="auto"/>
          <w:kern w:val="0"/>
          <w:szCs w:val="24"/>
          <w:highlight w:val="none"/>
        </w:rPr>
      </w:pPr>
    </w:p>
    <w:p w14:paraId="6B8186ED">
      <w:pPr>
        <w:jc w:val="center"/>
        <w:rPr>
          <w:rFonts w:ascii="宋体" w:cs="宋体"/>
          <w:b/>
          <w:bCs/>
          <w:color w:val="auto"/>
          <w:kern w:val="0"/>
          <w:szCs w:val="24"/>
          <w:highlight w:val="none"/>
        </w:rPr>
      </w:pPr>
    </w:p>
    <w:p w14:paraId="4E5E39A6">
      <w:pPr>
        <w:pStyle w:val="84"/>
        <w:rPr>
          <w:rFonts w:ascii="宋体" w:cs="宋体"/>
          <w:color w:val="auto"/>
          <w:highlight w:val="none"/>
        </w:rPr>
      </w:pPr>
    </w:p>
    <w:p w14:paraId="740D783F">
      <w:pPr>
        <w:pStyle w:val="15"/>
        <w:rPr>
          <w:color w:val="auto"/>
          <w:highlight w:val="none"/>
        </w:rPr>
      </w:pPr>
    </w:p>
    <w:p w14:paraId="5C7E93A0">
      <w:pPr>
        <w:pStyle w:val="46"/>
        <w:rPr>
          <w:rFonts w:ascii="宋体" w:cs="宋体"/>
          <w:b/>
          <w:color w:val="auto"/>
          <w:highlight w:val="none"/>
        </w:rPr>
      </w:pPr>
    </w:p>
    <w:p w14:paraId="3922B2F2">
      <w:pPr>
        <w:pStyle w:val="46"/>
        <w:rPr>
          <w:rFonts w:ascii="宋体" w:cs="宋体"/>
          <w:b/>
          <w:color w:val="auto"/>
          <w:highlight w:val="none"/>
        </w:rPr>
      </w:pPr>
    </w:p>
    <w:p w14:paraId="28B41DB9">
      <w:pPr>
        <w:spacing w:line="900" w:lineRule="exact"/>
        <w:jc w:val="center"/>
        <w:rPr>
          <w:rFonts w:ascii="宋体" w:cs="宋体"/>
          <w:b/>
          <w:bCs/>
          <w:color w:val="auto"/>
          <w:spacing w:val="140"/>
          <w:sz w:val="72"/>
          <w:szCs w:val="72"/>
          <w:highlight w:val="none"/>
        </w:rPr>
      </w:pPr>
      <w:r>
        <w:rPr>
          <w:rFonts w:hint="eastAsia" w:ascii="宋体" w:cs="宋体"/>
          <w:b/>
          <w:bCs/>
          <w:color w:val="auto"/>
          <w:spacing w:val="140"/>
          <w:sz w:val="72"/>
          <w:szCs w:val="72"/>
          <w:highlight w:val="none"/>
        </w:rPr>
        <w:t>竞争性磋商文件</w:t>
      </w:r>
    </w:p>
    <w:p w14:paraId="2FD8107C">
      <w:pPr>
        <w:jc w:val="center"/>
        <w:rPr>
          <w:rFonts w:ascii="宋体" w:cs="宋体"/>
          <w:b/>
          <w:color w:val="auto"/>
          <w:sz w:val="32"/>
          <w:szCs w:val="32"/>
          <w:highlight w:val="none"/>
        </w:rPr>
      </w:pPr>
      <w:r>
        <w:rPr>
          <w:rFonts w:hint="eastAsia" w:ascii="宋体" w:cs="宋体"/>
          <w:b/>
          <w:color w:val="auto"/>
          <w:sz w:val="32"/>
          <w:szCs w:val="32"/>
          <w:highlight w:val="none"/>
        </w:rPr>
        <w:t>（线上电子招投标）</w:t>
      </w:r>
    </w:p>
    <w:p w14:paraId="436809EC">
      <w:pPr>
        <w:pStyle w:val="19"/>
        <w:ind w:left="840" w:hanging="420"/>
        <w:rPr>
          <w:rFonts w:ascii="宋体"/>
          <w:color w:val="auto"/>
          <w:highlight w:val="none"/>
        </w:rPr>
      </w:pPr>
    </w:p>
    <w:tbl>
      <w:tblPr>
        <w:tblStyle w:val="36"/>
        <w:tblpPr w:leftFromText="180" w:rightFromText="180" w:vertAnchor="text" w:tblpXSpec="right" w:tblpY="1"/>
        <w:tblOverlap w:val="never"/>
        <w:tblW w:w="8751"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406"/>
        <w:gridCol w:w="6345"/>
      </w:tblGrid>
      <w:tr w14:paraId="140DE3C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vAlign w:val="center"/>
          </w:tcPr>
          <w:p w14:paraId="05E5033A">
            <w:pPr>
              <w:rPr>
                <w:rFonts w:ascii="宋体" w:cs="宋体"/>
                <w:b/>
                <w:color w:val="auto"/>
                <w:sz w:val="30"/>
                <w:szCs w:val="30"/>
                <w:highlight w:val="none"/>
              </w:rPr>
            </w:pPr>
            <w:r>
              <w:rPr>
                <w:rFonts w:hint="eastAsia" w:ascii="宋体" w:cs="宋体"/>
                <w:b/>
                <w:color w:val="auto"/>
                <w:sz w:val="30"/>
                <w:szCs w:val="30"/>
                <w:highlight w:val="none"/>
              </w:rPr>
              <w:t>采购编号</w:t>
            </w:r>
          </w:p>
        </w:tc>
        <w:tc>
          <w:tcPr>
            <w:tcW w:w="6345" w:type="dxa"/>
            <w:vAlign w:val="center"/>
          </w:tcPr>
          <w:p w14:paraId="2E4EE1E3">
            <w:pPr>
              <w:rPr>
                <w:rFonts w:hint="eastAsia" w:ascii="宋体" w:eastAsia="宋体" w:cs="宋体"/>
                <w:b/>
                <w:color w:val="auto"/>
                <w:sz w:val="30"/>
                <w:szCs w:val="30"/>
                <w:highlight w:val="none"/>
                <w:lang w:eastAsia="zh-CN"/>
              </w:rPr>
            </w:pPr>
            <w:r>
              <w:rPr>
                <w:rFonts w:hint="eastAsia" w:ascii="宋体" w:cs="宋体"/>
                <w:b/>
                <w:color w:val="auto"/>
                <w:sz w:val="30"/>
                <w:szCs w:val="30"/>
                <w:highlight w:val="none"/>
                <w:lang w:eastAsia="zh-CN"/>
              </w:rPr>
              <w:t>TSCG202510020</w:t>
            </w:r>
          </w:p>
        </w:tc>
      </w:tr>
      <w:tr w14:paraId="6AF7686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7CC8657D">
            <w:pPr>
              <w:rPr>
                <w:rFonts w:ascii="宋体" w:cs="宋体"/>
                <w:b/>
                <w:color w:val="auto"/>
                <w:sz w:val="30"/>
                <w:szCs w:val="30"/>
                <w:highlight w:val="none"/>
              </w:rPr>
            </w:pPr>
            <w:r>
              <w:rPr>
                <w:rFonts w:hint="eastAsia" w:ascii="宋体" w:cs="宋体"/>
                <w:b/>
                <w:color w:val="auto"/>
                <w:sz w:val="30"/>
                <w:szCs w:val="30"/>
                <w:highlight w:val="none"/>
              </w:rPr>
              <w:t>项目名称</w:t>
            </w:r>
          </w:p>
        </w:tc>
        <w:tc>
          <w:tcPr>
            <w:tcW w:w="6345" w:type="dxa"/>
            <w:tcBorders>
              <w:top w:val="dashSmallGap" w:color="auto" w:sz="4" w:space="0"/>
              <w:left w:val="dashSmallGap" w:color="auto" w:sz="4" w:space="0"/>
              <w:right w:val="dashSmallGap" w:color="auto" w:sz="4" w:space="0"/>
            </w:tcBorders>
            <w:vAlign w:val="center"/>
          </w:tcPr>
          <w:p w14:paraId="3DA0743B">
            <w:pPr>
              <w:rPr>
                <w:rFonts w:hint="eastAsia" w:ascii="宋体" w:eastAsia="宋体" w:cs="宋体"/>
                <w:b/>
                <w:color w:val="auto"/>
                <w:sz w:val="30"/>
                <w:szCs w:val="30"/>
                <w:highlight w:val="none"/>
                <w:lang w:eastAsia="zh-CN"/>
              </w:rPr>
            </w:pPr>
            <w:r>
              <w:rPr>
                <w:rFonts w:hint="eastAsia" w:ascii="宋体" w:cs="宋体"/>
                <w:b/>
                <w:color w:val="auto"/>
                <w:sz w:val="30"/>
                <w:szCs w:val="30"/>
                <w:highlight w:val="none"/>
                <w:lang w:eastAsia="zh-CN"/>
              </w:rPr>
              <w:t>泰顺县”慢病智管“数智化服务（三年）</w:t>
            </w:r>
          </w:p>
        </w:tc>
      </w:tr>
      <w:tr w14:paraId="00546B8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228827DC">
            <w:pPr>
              <w:rPr>
                <w:rFonts w:ascii="宋体" w:cs="宋体"/>
                <w:b/>
                <w:color w:val="auto"/>
                <w:sz w:val="30"/>
                <w:szCs w:val="30"/>
                <w:highlight w:val="none"/>
              </w:rPr>
            </w:pPr>
            <w:r>
              <w:rPr>
                <w:rFonts w:hint="eastAsia" w:ascii="宋体" w:cs="宋体"/>
                <w:b/>
                <w:color w:val="auto"/>
                <w:sz w:val="30"/>
                <w:szCs w:val="30"/>
                <w:highlight w:val="none"/>
              </w:rPr>
              <w:t>采购方式</w:t>
            </w:r>
          </w:p>
        </w:tc>
        <w:tc>
          <w:tcPr>
            <w:tcW w:w="6345" w:type="dxa"/>
            <w:tcBorders>
              <w:top w:val="dashSmallGap" w:color="auto" w:sz="4" w:space="0"/>
              <w:left w:val="dashSmallGap" w:color="auto" w:sz="4" w:space="0"/>
              <w:right w:val="dashSmallGap" w:color="auto" w:sz="4" w:space="0"/>
            </w:tcBorders>
            <w:vAlign w:val="center"/>
          </w:tcPr>
          <w:p w14:paraId="533B322E">
            <w:pPr>
              <w:rPr>
                <w:rFonts w:ascii="宋体" w:cs="宋体"/>
                <w:b/>
                <w:color w:val="auto"/>
                <w:sz w:val="30"/>
                <w:szCs w:val="30"/>
                <w:highlight w:val="none"/>
              </w:rPr>
            </w:pPr>
            <w:r>
              <w:rPr>
                <w:rFonts w:hint="eastAsia" w:ascii="宋体" w:cs="宋体"/>
                <w:b/>
                <w:color w:val="auto"/>
                <w:sz w:val="30"/>
                <w:szCs w:val="30"/>
                <w:highlight w:val="none"/>
              </w:rPr>
              <w:t>竞争性磋商</w:t>
            </w:r>
          </w:p>
        </w:tc>
      </w:tr>
      <w:tr w14:paraId="03FA3D0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406" w:type="dxa"/>
            <w:tcBorders>
              <w:top w:val="dashSmallGap" w:color="auto" w:sz="4" w:space="0"/>
              <w:left w:val="dashSmallGap" w:color="auto" w:sz="4" w:space="0"/>
              <w:right w:val="dashSmallGap" w:color="auto" w:sz="4" w:space="0"/>
            </w:tcBorders>
            <w:vAlign w:val="center"/>
          </w:tcPr>
          <w:p w14:paraId="3CCB04C5">
            <w:pPr>
              <w:rPr>
                <w:rFonts w:ascii="宋体" w:cs="宋体"/>
                <w:b/>
                <w:color w:val="auto"/>
                <w:sz w:val="30"/>
                <w:szCs w:val="30"/>
                <w:highlight w:val="none"/>
              </w:rPr>
            </w:pPr>
            <w:r>
              <w:rPr>
                <w:rFonts w:hint="eastAsia" w:ascii="宋体" w:cs="宋体"/>
                <w:b/>
                <w:color w:val="auto"/>
                <w:sz w:val="30"/>
                <w:szCs w:val="30"/>
                <w:highlight w:val="none"/>
              </w:rPr>
              <w:t>采购单位</w:t>
            </w:r>
          </w:p>
        </w:tc>
        <w:tc>
          <w:tcPr>
            <w:tcW w:w="6345" w:type="dxa"/>
            <w:tcBorders>
              <w:top w:val="dashSmallGap" w:color="auto" w:sz="4" w:space="0"/>
              <w:left w:val="dashSmallGap" w:color="auto" w:sz="4" w:space="0"/>
              <w:right w:val="dashSmallGap" w:color="auto" w:sz="4" w:space="0"/>
            </w:tcBorders>
            <w:vAlign w:val="center"/>
          </w:tcPr>
          <w:p w14:paraId="42578168">
            <w:pPr>
              <w:snapToGrid w:val="0"/>
              <w:spacing w:line="500" w:lineRule="atLeast"/>
              <w:rPr>
                <w:rFonts w:hint="eastAsia" w:ascii="宋体" w:eastAsia="宋体" w:cs="宋体"/>
                <w:b/>
                <w:color w:val="auto"/>
                <w:sz w:val="30"/>
                <w:szCs w:val="30"/>
                <w:highlight w:val="none"/>
                <w:lang w:eastAsia="zh-CN"/>
              </w:rPr>
            </w:pPr>
            <w:r>
              <w:rPr>
                <w:rFonts w:hint="eastAsia" w:ascii="宋体" w:cs="宋体"/>
                <w:b/>
                <w:color w:val="auto"/>
                <w:sz w:val="30"/>
                <w:szCs w:val="30"/>
                <w:highlight w:val="none"/>
                <w:lang w:eastAsia="zh-CN"/>
              </w:rPr>
              <w:t>泰顺县卫生健康局</w:t>
            </w:r>
          </w:p>
        </w:tc>
      </w:tr>
      <w:tr w14:paraId="75C1A38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5FEA0F48">
            <w:pPr>
              <w:rPr>
                <w:rFonts w:ascii="宋体" w:cs="宋体"/>
                <w:b/>
                <w:color w:val="auto"/>
                <w:sz w:val="30"/>
                <w:szCs w:val="30"/>
                <w:highlight w:val="none"/>
              </w:rPr>
            </w:pPr>
            <w:r>
              <w:rPr>
                <w:rFonts w:hint="eastAsia" w:ascii="宋体" w:cs="宋体"/>
                <w:b/>
                <w:color w:val="auto"/>
                <w:sz w:val="30"/>
                <w:szCs w:val="30"/>
                <w:highlight w:val="none"/>
              </w:rPr>
              <w:t>招标代理机构</w:t>
            </w:r>
          </w:p>
        </w:tc>
        <w:tc>
          <w:tcPr>
            <w:tcW w:w="6345" w:type="dxa"/>
            <w:tcBorders>
              <w:top w:val="dashSmallGap" w:color="auto" w:sz="4" w:space="0"/>
              <w:left w:val="dashSmallGap" w:color="auto" w:sz="4" w:space="0"/>
              <w:right w:val="dashSmallGap" w:color="auto" w:sz="4" w:space="0"/>
            </w:tcBorders>
            <w:vAlign w:val="center"/>
          </w:tcPr>
          <w:p w14:paraId="2C726448">
            <w:pPr>
              <w:rPr>
                <w:rFonts w:ascii="宋体" w:cs="宋体"/>
                <w:b/>
                <w:color w:val="auto"/>
                <w:sz w:val="30"/>
                <w:szCs w:val="30"/>
                <w:highlight w:val="none"/>
              </w:rPr>
            </w:pPr>
            <w:r>
              <w:rPr>
                <w:rFonts w:hint="eastAsia" w:ascii="宋体" w:cs="宋体"/>
                <w:b/>
                <w:color w:val="auto"/>
                <w:sz w:val="30"/>
                <w:szCs w:val="30"/>
                <w:highlight w:val="none"/>
              </w:rPr>
              <w:t>泰顺县公共资源交易中心</w:t>
            </w:r>
          </w:p>
        </w:tc>
      </w:tr>
      <w:tr w14:paraId="07E9ECB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723F8E9F">
            <w:pPr>
              <w:rPr>
                <w:rFonts w:ascii="宋体" w:cs="宋体"/>
                <w:b/>
                <w:bCs/>
                <w:color w:val="auto"/>
                <w:sz w:val="28"/>
                <w:szCs w:val="28"/>
                <w:highlight w:val="none"/>
              </w:rPr>
            </w:pPr>
            <w:r>
              <w:rPr>
                <w:rFonts w:hint="eastAsia" w:ascii="宋体" w:cs="宋体"/>
                <w:b/>
                <w:color w:val="auto"/>
                <w:sz w:val="30"/>
                <w:szCs w:val="30"/>
                <w:highlight w:val="none"/>
              </w:rPr>
              <w:t>监督及备案机构</w:t>
            </w:r>
          </w:p>
        </w:tc>
        <w:tc>
          <w:tcPr>
            <w:tcW w:w="6345" w:type="dxa"/>
            <w:tcBorders>
              <w:top w:val="dashSmallGap" w:color="auto" w:sz="4" w:space="0"/>
              <w:left w:val="dashSmallGap" w:color="auto" w:sz="4" w:space="0"/>
              <w:right w:val="dashSmallGap" w:color="auto" w:sz="4" w:space="0"/>
            </w:tcBorders>
            <w:vAlign w:val="center"/>
          </w:tcPr>
          <w:p w14:paraId="41B5EC0D">
            <w:pPr>
              <w:rPr>
                <w:rFonts w:ascii="宋体" w:cs="宋体"/>
                <w:b/>
                <w:bCs/>
                <w:color w:val="auto"/>
                <w:sz w:val="28"/>
                <w:szCs w:val="28"/>
                <w:highlight w:val="none"/>
              </w:rPr>
            </w:pPr>
            <w:r>
              <w:rPr>
                <w:rFonts w:hint="eastAsia" w:ascii="宋体" w:hAnsi="宋体"/>
                <w:b/>
                <w:color w:val="auto"/>
                <w:sz w:val="30"/>
                <w:szCs w:val="30"/>
                <w:highlight w:val="none"/>
              </w:rPr>
              <w:t>泰顺县财政局（浙江省政府采购行政裁决服务中心（温州）</w:t>
            </w:r>
          </w:p>
        </w:tc>
      </w:tr>
    </w:tbl>
    <w:p w14:paraId="640F6B3C">
      <w:pPr>
        <w:autoSpaceDE w:val="0"/>
        <w:autoSpaceDN w:val="0"/>
        <w:adjustRightInd w:val="0"/>
        <w:spacing w:line="440" w:lineRule="atLeast"/>
        <w:rPr>
          <w:rFonts w:ascii="宋体" w:cs="宋体"/>
          <w:b/>
          <w:color w:val="auto"/>
          <w:sz w:val="30"/>
          <w:szCs w:val="30"/>
          <w:highlight w:val="none"/>
        </w:rPr>
      </w:pPr>
    </w:p>
    <w:p w14:paraId="3F500DEB">
      <w:pPr>
        <w:autoSpaceDE w:val="0"/>
        <w:autoSpaceDN w:val="0"/>
        <w:adjustRightInd w:val="0"/>
        <w:spacing w:line="440" w:lineRule="atLeast"/>
        <w:rPr>
          <w:rFonts w:ascii="宋体" w:cs="宋体"/>
          <w:b/>
          <w:color w:val="auto"/>
          <w:sz w:val="30"/>
          <w:szCs w:val="30"/>
          <w:highlight w:val="none"/>
        </w:rPr>
      </w:pPr>
    </w:p>
    <w:p w14:paraId="694F17BF">
      <w:pPr>
        <w:autoSpaceDE w:val="0"/>
        <w:autoSpaceDN w:val="0"/>
        <w:adjustRightInd w:val="0"/>
        <w:spacing w:line="440" w:lineRule="atLeast"/>
        <w:jc w:val="center"/>
        <w:rPr>
          <w:rFonts w:hint="eastAsia" w:ascii="宋体" w:eastAsia="宋体" w:cs="宋体"/>
          <w:b/>
          <w:color w:val="auto"/>
          <w:sz w:val="30"/>
          <w:szCs w:val="30"/>
          <w:highlight w:val="none"/>
          <w:lang w:eastAsia="zh-CN"/>
        </w:rPr>
      </w:pPr>
      <w:r>
        <w:rPr>
          <w:rFonts w:hint="eastAsia" w:ascii="宋体" w:cs="宋体"/>
          <w:b/>
          <w:color w:val="auto"/>
          <w:sz w:val="30"/>
          <w:szCs w:val="30"/>
          <w:highlight w:val="none"/>
        </w:rPr>
        <w:t>二○二五年</w:t>
      </w:r>
      <w:r>
        <w:rPr>
          <w:rFonts w:hint="eastAsia" w:ascii="宋体" w:cs="宋体"/>
          <w:b/>
          <w:color w:val="auto"/>
          <w:sz w:val="30"/>
          <w:szCs w:val="30"/>
          <w:highlight w:val="none"/>
          <w:lang w:eastAsia="zh-CN"/>
        </w:rPr>
        <w:t>十月</w:t>
      </w:r>
    </w:p>
    <w:p w14:paraId="461793F0">
      <w:pPr>
        <w:autoSpaceDE w:val="0"/>
        <w:autoSpaceDN w:val="0"/>
        <w:adjustRightInd w:val="0"/>
        <w:spacing w:line="1180" w:lineRule="exact"/>
        <w:rPr>
          <w:rFonts w:ascii="宋体" w:cs="宋体"/>
          <w:color w:val="auto"/>
          <w:highlight w:val="none"/>
        </w:rPr>
        <w:sectPr>
          <w:headerReference r:id="rId4" w:type="first"/>
          <w:headerReference r:id="rId3" w:type="default"/>
          <w:footerReference r:id="rId5" w:type="default"/>
          <w:pgSz w:w="11906" w:h="16838"/>
          <w:pgMar w:top="1440" w:right="1800" w:bottom="1440" w:left="1800" w:header="851" w:footer="992" w:gutter="0"/>
          <w:cols w:space="720" w:num="1"/>
          <w:formProt w:val="0"/>
          <w:docGrid w:type="lines" w:linePitch="312" w:charSpace="0"/>
        </w:sectPr>
      </w:pPr>
    </w:p>
    <w:p w14:paraId="6478FFD3">
      <w:pPr>
        <w:jc w:val="center"/>
        <w:rPr>
          <w:rFonts w:ascii="宋体" w:cs="宋体"/>
          <w:b/>
          <w:bCs/>
          <w:color w:val="auto"/>
          <w:sz w:val="32"/>
          <w:szCs w:val="32"/>
          <w:highlight w:val="none"/>
        </w:rPr>
      </w:pPr>
      <w:bookmarkStart w:id="0" w:name="_Toc14929_WPSOffice_Type3"/>
    </w:p>
    <w:p w14:paraId="051C043E">
      <w:pPr>
        <w:pStyle w:val="15"/>
        <w:rPr>
          <w:rFonts w:ascii="宋体" w:cs="宋体"/>
          <w:color w:val="auto"/>
          <w:highlight w:val="none"/>
        </w:rPr>
      </w:pPr>
    </w:p>
    <w:p w14:paraId="1A3FFC6D">
      <w:pPr>
        <w:spacing w:line="440" w:lineRule="exact"/>
        <w:jc w:val="center"/>
        <w:rPr>
          <w:rFonts w:ascii="宋体" w:cs="宋体"/>
          <w:b/>
          <w:bCs/>
          <w:color w:val="auto"/>
          <w:sz w:val="36"/>
          <w:szCs w:val="36"/>
          <w:highlight w:val="none"/>
        </w:rPr>
      </w:pPr>
    </w:p>
    <w:p w14:paraId="13436656">
      <w:pPr>
        <w:autoSpaceDE w:val="0"/>
        <w:autoSpaceDN w:val="0"/>
        <w:spacing w:line="480" w:lineRule="exact"/>
        <w:jc w:val="center"/>
        <w:textAlignment w:val="bottom"/>
        <w:rPr>
          <w:rFonts w:ascii="楷体" w:hAnsi="楷体" w:eastAsia="楷体"/>
          <w:b/>
          <w:color w:val="auto"/>
          <w:sz w:val="44"/>
          <w:szCs w:val="44"/>
          <w:highlight w:val="none"/>
        </w:rPr>
      </w:pPr>
      <w:r>
        <w:rPr>
          <w:rFonts w:hint="eastAsia" w:ascii="楷体" w:hAnsi="楷体" w:eastAsia="楷体"/>
          <w:b/>
          <w:color w:val="auto"/>
          <w:sz w:val="44"/>
          <w:szCs w:val="44"/>
          <w:highlight w:val="none"/>
        </w:rPr>
        <w:t>招标文件目录</w:t>
      </w:r>
    </w:p>
    <w:p w14:paraId="16427991">
      <w:pPr>
        <w:autoSpaceDE w:val="0"/>
        <w:autoSpaceDN w:val="0"/>
        <w:adjustRightInd w:val="0"/>
        <w:spacing w:line="580" w:lineRule="atLeast"/>
        <w:ind w:left="1065" w:leftChars="500" w:firstLine="424" w:firstLineChars="150"/>
        <w:textAlignment w:val="baseline"/>
        <w:rPr>
          <w:rFonts w:ascii="宋体"/>
          <w:color w:val="auto"/>
          <w:sz w:val="28"/>
          <w:szCs w:val="28"/>
          <w:highlight w:val="none"/>
          <w:lang w:val="zh-CN"/>
        </w:rPr>
      </w:pPr>
      <w:r>
        <w:rPr>
          <w:rFonts w:hint="eastAsia" w:ascii="宋体"/>
          <w:color w:val="auto"/>
          <w:sz w:val="28"/>
          <w:szCs w:val="28"/>
          <w:highlight w:val="none"/>
          <w:lang w:val="zh-CN"/>
        </w:rPr>
        <w:t>第一部分、投标邀请函（投标须知前附表）</w:t>
      </w:r>
    </w:p>
    <w:p w14:paraId="5BA51F0F">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zh-CN"/>
        </w:rPr>
        <w:t>第二部分、招标内容及技术要求</w:t>
      </w:r>
    </w:p>
    <w:p w14:paraId="1FA59D26">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zh-CN"/>
        </w:rPr>
        <w:t>第三部分、供应商须知</w:t>
      </w:r>
    </w:p>
    <w:p w14:paraId="2D45C4D8">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zh-CN"/>
        </w:rPr>
        <w:t>一、说明</w:t>
      </w:r>
    </w:p>
    <w:p w14:paraId="52277650">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zh-CN"/>
        </w:rPr>
        <w:t>二、招标文件</w:t>
      </w:r>
    </w:p>
    <w:p w14:paraId="28E66AE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zh-CN"/>
        </w:rPr>
        <w:t>三、投标文件</w:t>
      </w:r>
    </w:p>
    <w:p w14:paraId="33B84D1C">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zh-CN"/>
        </w:rPr>
        <w:t>四、投标文件的密封与递交</w:t>
      </w:r>
    </w:p>
    <w:p w14:paraId="745CDEA1">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zh-CN"/>
        </w:rPr>
        <w:t>五、开标和评标</w:t>
      </w:r>
    </w:p>
    <w:p w14:paraId="6E76A5C5">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zh-CN"/>
        </w:rPr>
        <w:t>六、授予合同</w:t>
      </w:r>
    </w:p>
    <w:p w14:paraId="77E91166">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zh-CN"/>
        </w:rPr>
        <w:t>第四部分、政府采购政策功能相关说明</w:t>
      </w:r>
    </w:p>
    <w:p w14:paraId="6F7EC540">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zh-CN"/>
        </w:rPr>
        <w:t>第五部分、合同格式</w:t>
      </w:r>
    </w:p>
    <w:p w14:paraId="2025DE2C">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zh-CN"/>
        </w:rPr>
        <w:t>第六部分、附件：投标文件格式</w:t>
      </w:r>
    </w:p>
    <w:p w14:paraId="7E42B873">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hint="eastAsia" w:ascii="宋体"/>
          <w:color w:val="auto"/>
          <w:sz w:val="28"/>
          <w:szCs w:val="28"/>
          <w:highlight w:val="none"/>
          <w:lang w:val="zh-CN"/>
        </w:rPr>
        <w:t>第七部分、评标办法</w:t>
      </w:r>
    </w:p>
    <w:p w14:paraId="3236BE37">
      <w:pPr>
        <w:snapToGrid w:val="0"/>
        <w:spacing w:line="440" w:lineRule="exact"/>
        <w:rPr>
          <w:rFonts w:ascii="宋体" w:hAnsi="宋体" w:cs="新宋体"/>
          <w:b/>
          <w:bCs/>
          <w:color w:val="auto"/>
          <w:sz w:val="22"/>
          <w:highlight w:val="none"/>
          <w:u w:val="single"/>
        </w:rPr>
      </w:pPr>
    </w:p>
    <w:p w14:paraId="76526221">
      <w:pPr>
        <w:snapToGrid w:val="0"/>
        <w:spacing w:line="440" w:lineRule="exact"/>
        <w:ind w:firstLine="446" w:firstLineChars="200"/>
        <w:rPr>
          <w:rFonts w:ascii="楷体" w:hAnsi="楷体" w:eastAsia="楷体"/>
          <w:b/>
          <w:bCs/>
          <w:color w:val="auto"/>
          <w:sz w:val="22"/>
          <w:highlight w:val="none"/>
        </w:rPr>
      </w:pPr>
      <w:r>
        <w:rPr>
          <w:rFonts w:hint="eastAsia" w:ascii="宋体" w:hAnsi="宋体" w:cs="新宋体"/>
          <w:b/>
          <w:bCs/>
          <w:color w:val="auto"/>
          <w:sz w:val="22"/>
          <w:highlight w:val="none"/>
          <w:u w:val="single"/>
        </w:rPr>
        <w:t>注：招标文件中标“▲”号的为招标的实质性要求和条件，不允许负偏离，否则作无效标处理，着重提醒各供应商必须响应。标“★”号的为关键技术参数条款，按本标书第七部分规定执行。各供应商必须认真阅读和理解招标文件中的每一个条款及要求，因误读招标文件而造成的后果，采购人概不负责。</w:t>
      </w:r>
    </w:p>
    <w:bookmarkEnd w:id="0"/>
    <w:p w14:paraId="0752E8EC">
      <w:pPr>
        <w:pStyle w:val="8"/>
        <w:ind w:firstLine="0"/>
        <w:rPr>
          <w:rFonts w:ascii="宋体" w:cs="宋体"/>
          <w:b/>
          <w:bCs/>
          <w:color w:val="auto"/>
          <w:sz w:val="30"/>
          <w:szCs w:val="30"/>
          <w:highlight w:val="none"/>
        </w:rPr>
      </w:pPr>
      <w:bookmarkStart w:id="1" w:name="_Toc19097_WPSOffice_Level1"/>
    </w:p>
    <w:p w14:paraId="2409F8DE">
      <w:pPr>
        <w:pStyle w:val="8"/>
        <w:ind w:firstLine="0"/>
        <w:rPr>
          <w:rFonts w:ascii="宋体" w:cs="宋体"/>
          <w:b/>
          <w:bCs/>
          <w:color w:val="auto"/>
          <w:sz w:val="30"/>
          <w:szCs w:val="30"/>
          <w:highlight w:val="none"/>
        </w:rPr>
      </w:pPr>
    </w:p>
    <w:bookmarkEnd w:id="1"/>
    <w:p w14:paraId="254FA983">
      <w:pPr>
        <w:pStyle w:val="2"/>
        <w:keepNext w:val="0"/>
        <w:numPr>
          <w:ilvl w:val="0"/>
          <w:numId w:val="0"/>
        </w:numPr>
        <w:spacing w:before="0" w:after="0" w:line="225" w:lineRule="atLeast"/>
        <w:jc w:val="center"/>
        <w:rPr>
          <w:rFonts w:ascii="宋体" w:cs="宋体"/>
          <w:color w:val="auto"/>
          <w:sz w:val="28"/>
          <w:szCs w:val="28"/>
          <w:highlight w:val="none"/>
        </w:rPr>
      </w:pPr>
      <w:bookmarkStart w:id="2" w:name="_Toc6035_WPSOffice_Level1"/>
      <w:r>
        <w:rPr>
          <w:rFonts w:hint="eastAsia" w:ascii="宋体" w:cs="宋体"/>
          <w:color w:val="auto"/>
          <w:sz w:val="28"/>
          <w:szCs w:val="28"/>
          <w:highlight w:val="none"/>
        </w:rPr>
        <w:t>关于</w:t>
      </w:r>
      <w:r>
        <w:rPr>
          <w:rFonts w:hint="eastAsia" w:ascii="宋体" w:cs="宋体"/>
          <w:color w:val="auto"/>
          <w:sz w:val="30"/>
          <w:szCs w:val="30"/>
          <w:highlight w:val="none"/>
          <w:lang w:eastAsia="zh-CN"/>
        </w:rPr>
        <w:t>泰顺县”慢病智管“数智化服务（三年）</w:t>
      </w:r>
      <w:r>
        <w:rPr>
          <w:rFonts w:hint="eastAsia" w:ascii="宋体" w:cs="宋体"/>
          <w:color w:val="auto"/>
          <w:sz w:val="28"/>
          <w:szCs w:val="28"/>
          <w:highlight w:val="none"/>
        </w:rPr>
        <w:t>竞争性磋商公告</w:t>
      </w:r>
    </w:p>
    <w:tbl>
      <w:tblPr>
        <w:tblStyle w:val="36"/>
        <w:tblpPr w:leftFromText="180" w:rightFromText="180" w:vertAnchor="text" w:tblpX="-44" w:tblpY="20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24621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5000" w:type="pct"/>
          </w:tcPr>
          <w:p w14:paraId="30741D9A">
            <w:pPr>
              <w:pStyle w:val="33"/>
              <w:widowControl/>
              <w:spacing w:beforeAutospacing="0" w:afterAutospacing="0" w:line="400" w:lineRule="exact"/>
              <w:rPr>
                <w:rFonts w:ascii="仿宋" w:hAnsi="仿宋" w:eastAsia="仿宋" w:cs="仿宋"/>
                <w:color w:val="auto"/>
                <w:sz w:val="22"/>
                <w:highlight w:val="none"/>
              </w:rPr>
            </w:pPr>
            <w:r>
              <w:rPr>
                <w:rFonts w:hint="eastAsia" w:ascii="仿宋" w:hAnsi="仿宋" w:eastAsia="仿宋" w:cs="仿宋"/>
                <w:color w:val="auto"/>
                <w:sz w:val="22"/>
                <w:highlight w:val="none"/>
              </w:rPr>
              <w:t>项目概况</w:t>
            </w:r>
          </w:p>
          <w:p w14:paraId="0B2ED13F">
            <w:pPr>
              <w:pStyle w:val="33"/>
              <w:widowControl/>
              <w:spacing w:beforeAutospacing="0" w:afterAutospacing="0" w:line="400" w:lineRule="exact"/>
              <w:ind w:firstLine="446" w:firstLineChars="200"/>
              <w:rPr>
                <w:rFonts w:ascii="宋体" w:cs="宋体"/>
                <w:color w:val="auto"/>
                <w:sz w:val="22"/>
                <w:highlight w:val="none"/>
                <w:shd w:val="clear" w:color="auto" w:fill="FFFFFF"/>
              </w:rPr>
            </w:pPr>
            <w:r>
              <w:rPr>
                <w:rFonts w:hint="eastAsia" w:ascii="仿宋" w:hAnsi="仿宋" w:eastAsia="仿宋" w:cs="仿宋"/>
                <w:color w:val="auto"/>
                <w:sz w:val="22"/>
                <w:highlight w:val="none"/>
                <w:lang w:eastAsia="zh-CN"/>
              </w:rPr>
              <w:t>泰顺县”慢病智管“数智化服务（三年）</w:t>
            </w:r>
            <w:r>
              <w:rPr>
                <w:rFonts w:hint="eastAsia" w:ascii="仿宋" w:hAnsi="仿宋" w:eastAsia="仿宋" w:cs="仿宋"/>
                <w:color w:val="auto"/>
                <w:sz w:val="22"/>
                <w:highlight w:val="none"/>
              </w:rPr>
              <w:t>公告平台为泰顺县公共资源交易平台（</w:t>
            </w:r>
            <w:r>
              <w:rPr>
                <w:rFonts w:ascii="仿宋" w:hAnsi="仿宋" w:eastAsia="仿宋" w:cs="仿宋"/>
                <w:color w:val="auto"/>
                <w:sz w:val="22"/>
                <w:highlight w:val="none"/>
              </w:rPr>
              <w:t>http://dzjy.ts.gov.cn/TPFront/</w:t>
            </w:r>
            <w:r>
              <w:rPr>
                <w:rFonts w:hint="eastAsia" w:ascii="仿宋" w:hAnsi="仿宋" w:eastAsia="仿宋" w:cs="仿宋"/>
                <w:color w:val="auto"/>
                <w:sz w:val="22"/>
                <w:highlight w:val="none"/>
              </w:rPr>
              <w:t>）政府采购云平台（ http://zfcg.czt.zj.gov.cn/），采购项目的潜在供应商应在政采云平台http://zfcg.czt.zj.gov.cn/ 获取（下载）采购文件，并于2025年</w:t>
            </w:r>
            <w:r>
              <w:rPr>
                <w:rFonts w:hint="eastAsia" w:ascii="仿宋" w:hAnsi="仿宋" w:eastAsia="仿宋" w:cs="仿宋"/>
                <w:color w:val="auto"/>
                <w:sz w:val="22"/>
                <w:highlight w:val="none"/>
                <w:lang w:eastAsia="zh-CN"/>
              </w:rPr>
              <w:t>11月10日</w:t>
            </w:r>
            <w:r>
              <w:rPr>
                <w:rFonts w:hint="eastAsia" w:ascii="仿宋" w:hAnsi="仿宋" w:eastAsia="仿宋" w:cs="仿宋"/>
                <w:color w:val="auto"/>
                <w:sz w:val="22"/>
                <w:highlight w:val="none"/>
              </w:rPr>
              <w:t>15:00（北京时间）前提交（上传）响应文件</w:t>
            </w:r>
            <w:r>
              <w:rPr>
                <w:rFonts w:hint="eastAsia" w:ascii="宋体" w:cs="宋体"/>
                <w:color w:val="auto"/>
                <w:sz w:val="22"/>
                <w:highlight w:val="none"/>
                <w:shd w:val="clear" w:color="auto" w:fill="FFFFFF"/>
              </w:rPr>
              <w:t xml:space="preserve">。    </w:t>
            </w:r>
          </w:p>
        </w:tc>
      </w:tr>
    </w:tbl>
    <w:p w14:paraId="5F5490EF">
      <w:pPr>
        <w:pStyle w:val="33"/>
        <w:widowControl/>
        <w:spacing w:before="38" w:beforeAutospacing="0" w:after="38" w:afterAutospacing="0"/>
        <w:rPr>
          <w:color w:val="auto"/>
          <w:sz w:val="22"/>
          <w:highlight w:val="none"/>
        </w:rPr>
      </w:pPr>
      <w:r>
        <w:rPr>
          <w:rFonts w:hint="eastAsia" w:ascii="仿宋" w:hAnsi="仿宋" w:eastAsia="仿宋" w:cs="仿宋"/>
          <w:color w:val="auto"/>
          <w:sz w:val="22"/>
          <w:highlight w:val="none"/>
        </w:rPr>
        <w:t xml:space="preserve">                     </w:t>
      </w:r>
    </w:p>
    <w:p w14:paraId="083C8D8E">
      <w:pPr>
        <w:pStyle w:val="33"/>
        <w:widowControl/>
        <w:spacing w:before="38" w:beforeAutospacing="0" w:after="38" w:afterAutospacing="0" w:line="150" w:lineRule="atLeast"/>
        <w:ind w:left="0" w:leftChars="0" w:firstLine="223" w:firstLineChars="100"/>
        <w:rPr>
          <w:rFonts w:ascii="仿宋" w:hAnsi="仿宋" w:eastAsia="仿宋" w:cs="仿宋"/>
          <w:color w:val="auto"/>
          <w:sz w:val="22"/>
          <w:highlight w:val="none"/>
        </w:rPr>
      </w:pPr>
      <w:r>
        <w:rPr>
          <w:rFonts w:hint="eastAsia" w:ascii="仿宋" w:hAnsi="仿宋" w:eastAsia="仿宋" w:cs="仿宋"/>
          <w:color w:val="auto"/>
          <w:sz w:val="22"/>
          <w:highlight w:val="none"/>
        </w:rPr>
        <w:t>项目编号：</w:t>
      </w:r>
      <w:r>
        <w:rPr>
          <w:rFonts w:hint="eastAsia" w:ascii="仿宋" w:hAnsi="仿宋" w:eastAsia="仿宋" w:cs="仿宋"/>
          <w:color w:val="auto"/>
          <w:sz w:val="22"/>
          <w:highlight w:val="none"/>
          <w:lang w:eastAsia="zh-CN"/>
        </w:rPr>
        <w:t>TSCG202510020</w:t>
      </w:r>
      <w:r>
        <w:rPr>
          <w:rFonts w:hint="eastAsia" w:ascii="仿宋" w:hAnsi="仿宋" w:eastAsia="仿宋" w:cs="仿宋"/>
          <w:color w:val="auto"/>
          <w:sz w:val="22"/>
          <w:highlight w:val="none"/>
        </w:rPr>
        <w:t> </w:t>
      </w:r>
    </w:p>
    <w:p w14:paraId="5EFFF468">
      <w:pPr>
        <w:pStyle w:val="33"/>
        <w:widowControl/>
        <w:spacing w:before="38" w:beforeAutospacing="0" w:after="38" w:afterAutospacing="0" w:line="150" w:lineRule="atLeast"/>
        <w:ind w:left="0" w:leftChars="0" w:firstLine="223" w:firstLineChars="100"/>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项目名称：</w:t>
      </w:r>
      <w:r>
        <w:rPr>
          <w:rFonts w:hint="eastAsia" w:ascii="仿宋" w:hAnsi="仿宋" w:eastAsia="仿宋" w:cs="仿宋"/>
          <w:color w:val="auto"/>
          <w:sz w:val="22"/>
          <w:highlight w:val="none"/>
          <w:lang w:eastAsia="zh-CN"/>
        </w:rPr>
        <w:t>泰顺县”慢病智管“数智化服务（三年）</w:t>
      </w:r>
    </w:p>
    <w:p w14:paraId="79866045">
      <w:pPr>
        <w:pStyle w:val="33"/>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采购方式：竞争性磋商 </w:t>
      </w:r>
    </w:p>
    <w:p w14:paraId="7FB7282F">
      <w:pPr>
        <w:pStyle w:val="33"/>
        <w:widowControl/>
        <w:spacing w:before="38" w:beforeAutospacing="0" w:after="38" w:afterAutospacing="0" w:line="150" w:lineRule="atLeast"/>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   预算金额（元）：</w:t>
      </w:r>
      <w:r>
        <w:rPr>
          <w:rFonts w:hint="eastAsia" w:ascii="仿宋" w:hAnsi="仿宋" w:eastAsia="仿宋" w:cs="仿宋"/>
          <w:color w:val="auto"/>
          <w:sz w:val="22"/>
          <w:highlight w:val="none"/>
          <w:lang w:eastAsia="zh-CN"/>
        </w:rPr>
        <w:t>930000</w:t>
      </w:r>
    </w:p>
    <w:p w14:paraId="06EBB6DB">
      <w:pPr>
        <w:pStyle w:val="33"/>
        <w:widowControl/>
        <w:spacing w:before="38" w:beforeAutospacing="0" w:after="38" w:afterAutospacing="0" w:line="150" w:lineRule="atLeast"/>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   最高限价（元）：</w:t>
      </w:r>
      <w:r>
        <w:rPr>
          <w:rFonts w:hint="eastAsia" w:ascii="仿宋" w:hAnsi="仿宋" w:eastAsia="仿宋" w:cs="仿宋"/>
          <w:color w:val="auto"/>
          <w:sz w:val="22"/>
          <w:highlight w:val="none"/>
          <w:lang w:eastAsia="zh-CN"/>
        </w:rPr>
        <w:t>930000</w:t>
      </w:r>
    </w:p>
    <w:p w14:paraId="32168C3D">
      <w:pPr>
        <w:pStyle w:val="33"/>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采购需求：</w:t>
      </w:r>
    </w:p>
    <w:p w14:paraId="7FA94454">
      <w:pPr>
        <w:pStyle w:val="33"/>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w:t>
      </w:r>
    </w:p>
    <w:p w14:paraId="21897BB8">
      <w:pPr>
        <w:pStyle w:val="33"/>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数量：不限       </w:t>
      </w:r>
    </w:p>
    <w:p w14:paraId="3A2E7515">
      <w:pPr>
        <w:pStyle w:val="33"/>
        <w:widowControl/>
        <w:spacing w:before="38" w:beforeAutospacing="0" w:after="38" w:afterAutospacing="0" w:line="150" w:lineRule="atLeast"/>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   预算金额（元）：</w:t>
      </w:r>
      <w:r>
        <w:rPr>
          <w:rFonts w:hint="eastAsia" w:ascii="仿宋" w:hAnsi="仿宋" w:eastAsia="仿宋" w:cs="仿宋"/>
          <w:color w:val="auto"/>
          <w:sz w:val="22"/>
          <w:highlight w:val="none"/>
          <w:lang w:eastAsia="zh-CN"/>
        </w:rPr>
        <w:t>930000</w:t>
      </w:r>
    </w:p>
    <w:p w14:paraId="0CB284AF">
      <w:pPr>
        <w:pStyle w:val="33"/>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单位：项 </w:t>
      </w:r>
    </w:p>
    <w:p w14:paraId="366DCC52">
      <w:pPr>
        <w:pStyle w:val="33"/>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简要规格描述：</w:t>
      </w:r>
      <w:r>
        <w:rPr>
          <w:rFonts w:hint="eastAsia" w:ascii="仿宋" w:hAnsi="仿宋" w:eastAsia="仿宋" w:cs="仿宋"/>
          <w:color w:val="auto"/>
          <w:sz w:val="22"/>
          <w:highlight w:val="none"/>
          <w:lang w:eastAsia="zh-CN"/>
        </w:rPr>
        <w:t>泰顺县”慢病智管“数智化服务（三年）</w:t>
      </w:r>
      <w:r>
        <w:rPr>
          <w:rFonts w:hint="eastAsia" w:ascii="仿宋" w:hAnsi="仿宋" w:eastAsia="仿宋" w:cs="仿宋"/>
          <w:color w:val="auto"/>
          <w:sz w:val="22"/>
          <w:highlight w:val="none"/>
        </w:rPr>
        <w:t xml:space="preserve"> 。 </w:t>
      </w:r>
    </w:p>
    <w:p w14:paraId="302CCBA7">
      <w:pPr>
        <w:pStyle w:val="33"/>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备注： </w:t>
      </w:r>
    </w:p>
    <w:p w14:paraId="67E2EB69">
      <w:pPr>
        <w:pStyle w:val="33"/>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合同履约期限：标项 1，自合同签订之日起至质保期结束。  </w:t>
      </w:r>
    </w:p>
    <w:p w14:paraId="7130408D">
      <w:pPr>
        <w:pStyle w:val="33"/>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本项目不接受联合体投标。  </w:t>
      </w:r>
    </w:p>
    <w:p w14:paraId="25F69F4E">
      <w:pPr>
        <w:pStyle w:val="33"/>
        <w:widowControl/>
        <w:spacing w:before="128" w:beforeAutospacing="0" w:after="128" w:afterAutospacing="0" w:line="225" w:lineRule="atLeast"/>
        <w:jc w:val="both"/>
        <w:rPr>
          <w:rFonts w:ascii="黑体" w:hAnsi="宋体" w:eastAsia="黑体" w:cs="黑体"/>
          <w:color w:val="auto"/>
          <w:sz w:val="22"/>
          <w:highlight w:val="none"/>
        </w:rPr>
      </w:pPr>
      <w:r>
        <w:rPr>
          <w:rStyle w:val="38"/>
          <w:rFonts w:ascii="黑体" w:hAnsi="宋体" w:eastAsia="黑体" w:cs="黑体"/>
          <w:color w:val="auto"/>
          <w:sz w:val="22"/>
          <w:highlight w:val="none"/>
        </w:rPr>
        <w:t>二、申请人的资格要求：</w:t>
      </w:r>
    </w:p>
    <w:p w14:paraId="2BA099F9">
      <w:pPr>
        <w:pStyle w:val="33"/>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1.满足《中华人民共和国政府采购法》第二十二条规定；未被“信用中国”（www.creditchina.gov.cn)、中国政府采购网（www.ccgp.gov.cn）列入失信被执行人、重大税收违法案件当事人名单、政府采购严重违法失信行为记录名单。</w:t>
      </w:r>
    </w:p>
    <w:p w14:paraId="0AC13115">
      <w:pPr>
        <w:pStyle w:val="33"/>
        <w:widowControl/>
        <w:spacing w:before="38" w:beforeAutospacing="0" w:after="38" w:afterAutospacing="0" w:line="150" w:lineRule="atLeast"/>
        <w:rPr>
          <w:rFonts w:hint="eastAsia" w:eastAsia="仿宋"/>
          <w:color w:val="auto"/>
          <w:sz w:val="22"/>
          <w:highlight w:val="none"/>
          <w:lang w:val="en-US" w:eastAsia="zh-CN"/>
        </w:rPr>
      </w:pPr>
      <w:r>
        <w:rPr>
          <w:rFonts w:hint="eastAsia" w:ascii="仿宋" w:hAnsi="仿宋" w:eastAsia="仿宋" w:cs="仿宋"/>
          <w:color w:val="auto"/>
          <w:sz w:val="22"/>
          <w:highlight w:val="none"/>
        </w:rPr>
        <w:t>    2.落实政府采购政策需满足的资格要求：</w:t>
      </w:r>
      <w:r>
        <w:rPr>
          <w:rFonts w:hint="eastAsia" w:ascii="仿宋" w:hAnsi="仿宋" w:eastAsia="仿宋" w:cs="仿宋"/>
          <w:color w:val="auto"/>
          <w:sz w:val="22"/>
          <w:highlight w:val="none"/>
          <w:lang w:val="en-US" w:eastAsia="zh-CN"/>
        </w:rPr>
        <w:t>无。</w:t>
      </w:r>
    </w:p>
    <w:p w14:paraId="2F6E56FD">
      <w:pPr>
        <w:pStyle w:val="33"/>
        <w:widowControl/>
        <w:spacing w:before="38" w:beforeAutospacing="0" w:after="38" w:afterAutospacing="0" w:line="150" w:lineRule="atLeast"/>
        <w:rPr>
          <w:rFonts w:eastAsia="仿宋"/>
          <w:color w:val="auto"/>
          <w:sz w:val="22"/>
          <w:highlight w:val="none"/>
        </w:rPr>
      </w:pPr>
      <w:r>
        <w:rPr>
          <w:rFonts w:hint="eastAsia" w:ascii="仿宋" w:hAnsi="仿宋" w:eastAsia="仿宋" w:cs="仿宋"/>
          <w:color w:val="auto"/>
          <w:sz w:val="22"/>
          <w:highlight w:val="none"/>
        </w:rPr>
        <w:t>    3.本项目的特定资格要求：无。</w:t>
      </w:r>
    </w:p>
    <w:p w14:paraId="585F3B6C">
      <w:pPr>
        <w:pStyle w:val="33"/>
        <w:widowControl/>
        <w:spacing w:before="128" w:beforeAutospacing="0" w:after="128" w:afterAutospacing="0" w:line="225" w:lineRule="atLeast"/>
        <w:jc w:val="both"/>
        <w:rPr>
          <w:rFonts w:ascii="黑体" w:hAnsi="宋体" w:eastAsia="黑体" w:cs="黑体"/>
          <w:color w:val="auto"/>
          <w:sz w:val="22"/>
          <w:highlight w:val="none"/>
        </w:rPr>
      </w:pPr>
      <w:r>
        <w:rPr>
          <w:rStyle w:val="38"/>
          <w:rFonts w:ascii="黑体" w:hAnsi="宋体" w:eastAsia="黑体" w:cs="黑体"/>
          <w:color w:val="auto"/>
          <w:sz w:val="22"/>
          <w:highlight w:val="none"/>
        </w:rPr>
        <w:t>三、获取（下载）采购文件</w:t>
      </w:r>
    </w:p>
    <w:p w14:paraId="281D4F5E">
      <w:pPr>
        <w:pStyle w:val="33"/>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时间：/至2025年</w:t>
      </w:r>
      <w:r>
        <w:rPr>
          <w:rFonts w:hint="eastAsia" w:ascii="仿宋" w:hAnsi="仿宋" w:eastAsia="仿宋" w:cs="仿宋"/>
          <w:color w:val="auto"/>
          <w:sz w:val="22"/>
          <w:highlight w:val="none"/>
          <w:lang w:eastAsia="zh-CN"/>
        </w:rPr>
        <w:t>11月10日</w:t>
      </w:r>
      <w:r>
        <w:rPr>
          <w:rFonts w:hint="eastAsia" w:ascii="仿宋" w:hAnsi="仿宋" w:eastAsia="仿宋" w:cs="仿宋"/>
          <w:color w:val="auto"/>
          <w:sz w:val="22"/>
          <w:highlight w:val="none"/>
        </w:rPr>
        <w:t>，每天上午00:00至12:00，下午12:00至23:59（北京时间，线上获取法定节假日均可，线下获取文件法定节假日除外）</w:t>
      </w:r>
    </w:p>
    <w:p w14:paraId="3DC08205">
      <w:pPr>
        <w:pStyle w:val="33"/>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地点（网址）：政采云平台http://zfcg.czt.zj.gov.cn/  </w:t>
      </w:r>
    </w:p>
    <w:p w14:paraId="43F1B949">
      <w:pPr>
        <w:pStyle w:val="33"/>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方式：供应商登录政采云平台http://zfcg.czt.zj.gov.cn/在线申请获取采购文件（进入“项目采购”应用，在获取采购文件菜单中选择项目，申请获取采购文件）  </w:t>
      </w:r>
    </w:p>
    <w:p w14:paraId="3B468AF4">
      <w:pPr>
        <w:pStyle w:val="33"/>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售价（元）：0 </w:t>
      </w:r>
    </w:p>
    <w:p w14:paraId="727672F5">
      <w:pPr>
        <w:pStyle w:val="33"/>
        <w:widowControl/>
        <w:spacing w:before="128" w:beforeAutospacing="0" w:after="128" w:afterAutospacing="0" w:line="225" w:lineRule="atLeast"/>
        <w:jc w:val="both"/>
        <w:rPr>
          <w:rFonts w:ascii="黑体" w:hAnsi="宋体" w:eastAsia="黑体" w:cs="黑体"/>
          <w:color w:val="auto"/>
          <w:sz w:val="22"/>
          <w:highlight w:val="none"/>
        </w:rPr>
      </w:pPr>
      <w:r>
        <w:rPr>
          <w:rStyle w:val="38"/>
          <w:rFonts w:ascii="黑体" w:hAnsi="宋体" w:eastAsia="黑体" w:cs="黑体"/>
          <w:color w:val="auto"/>
          <w:sz w:val="22"/>
          <w:highlight w:val="none"/>
        </w:rPr>
        <w:t>四、响应文件提交（上传）</w:t>
      </w:r>
      <w:r>
        <w:rPr>
          <w:rFonts w:ascii="黑体" w:hAnsi="宋体" w:eastAsia="黑体" w:cs="黑体"/>
          <w:color w:val="auto"/>
          <w:sz w:val="22"/>
          <w:highlight w:val="none"/>
        </w:rPr>
        <w:t> </w:t>
      </w:r>
    </w:p>
    <w:p w14:paraId="4F3839FB">
      <w:pPr>
        <w:pStyle w:val="33"/>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截止时间：2025年</w:t>
      </w:r>
      <w:r>
        <w:rPr>
          <w:rFonts w:hint="eastAsia" w:ascii="仿宋" w:hAnsi="仿宋" w:eastAsia="仿宋" w:cs="仿宋"/>
          <w:color w:val="auto"/>
          <w:sz w:val="22"/>
          <w:highlight w:val="none"/>
          <w:lang w:eastAsia="zh-CN"/>
        </w:rPr>
        <w:t>11月10日</w:t>
      </w:r>
      <w:r>
        <w:rPr>
          <w:rFonts w:hint="eastAsia" w:ascii="仿宋" w:hAnsi="仿宋" w:eastAsia="仿宋" w:cs="仿宋"/>
          <w:color w:val="auto"/>
          <w:sz w:val="22"/>
          <w:highlight w:val="none"/>
        </w:rPr>
        <w:t>15:00（北京时间）</w:t>
      </w:r>
    </w:p>
    <w:p w14:paraId="4421F9BC">
      <w:pPr>
        <w:pStyle w:val="33"/>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地点（网址）：“政府采购云平台（http://zfcg.czt.zj.gov.cn/）”在线递交  </w:t>
      </w:r>
    </w:p>
    <w:p w14:paraId="11D8909C">
      <w:pPr>
        <w:pStyle w:val="33"/>
        <w:widowControl/>
        <w:spacing w:before="128" w:beforeAutospacing="0" w:after="128" w:afterAutospacing="0" w:line="225" w:lineRule="atLeast"/>
        <w:jc w:val="both"/>
        <w:rPr>
          <w:rFonts w:ascii="黑体" w:hAnsi="宋体" w:eastAsia="黑体" w:cs="黑体"/>
          <w:color w:val="auto"/>
          <w:sz w:val="22"/>
          <w:highlight w:val="none"/>
        </w:rPr>
      </w:pPr>
      <w:r>
        <w:rPr>
          <w:rStyle w:val="38"/>
          <w:rFonts w:ascii="黑体" w:hAnsi="宋体" w:eastAsia="黑体" w:cs="黑体"/>
          <w:color w:val="auto"/>
          <w:sz w:val="22"/>
          <w:highlight w:val="none"/>
        </w:rPr>
        <w:t>五、响应文件开启</w:t>
      </w:r>
      <w:r>
        <w:rPr>
          <w:rFonts w:ascii="黑体" w:hAnsi="宋体" w:eastAsia="黑体" w:cs="黑体"/>
          <w:color w:val="auto"/>
          <w:sz w:val="22"/>
          <w:highlight w:val="none"/>
        </w:rPr>
        <w:t> </w:t>
      </w:r>
    </w:p>
    <w:p w14:paraId="48028C76">
      <w:pPr>
        <w:pStyle w:val="33"/>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开启时间：2025年</w:t>
      </w:r>
      <w:r>
        <w:rPr>
          <w:rFonts w:hint="eastAsia" w:ascii="仿宋" w:hAnsi="仿宋" w:eastAsia="仿宋" w:cs="仿宋"/>
          <w:color w:val="auto"/>
          <w:sz w:val="22"/>
          <w:highlight w:val="none"/>
          <w:lang w:eastAsia="zh-CN"/>
        </w:rPr>
        <w:t>11月10日</w:t>
      </w:r>
      <w:r>
        <w:rPr>
          <w:rFonts w:hint="eastAsia" w:ascii="仿宋" w:hAnsi="仿宋" w:eastAsia="仿宋" w:cs="仿宋"/>
          <w:color w:val="auto"/>
          <w:sz w:val="22"/>
          <w:highlight w:val="none"/>
        </w:rPr>
        <w:t> 15:00（北京时间）</w:t>
      </w:r>
    </w:p>
    <w:p w14:paraId="75DB07F8">
      <w:pPr>
        <w:pStyle w:val="33"/>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地点（网址）：“政府采购云平台（http://zfcg.czt.zj.gov.cn/）”在线开标 </w:t>
      </w:r>
    </w:p>
    <w:p w14:paraId="4C03FAD4">
      <w:pPr>
        <w:pStyle w:val="33"/>
        <w:widowControl/>
        <w:spacing w:before="128" w:beforeAutospacing="0" w:after="128" w:afterAutospacing="0" w:line="225" w:lineRule="atLeast"/>
        <w:jc w:val="both"/>
        <w:rPr>
          <w:rFonts w:ascii="黑体" w:hAnsi="宋体" w:eastAsia="黑体" w:cs="黑体"/>
          <w:color w:val="auto"/>
          <w:sz w:val="22"/>
          <w:highlight w:val="none"/>
        </w:rPr>
      </w:pPr>
      <w:r>
        <w:rPr>
          <w:rStyle w:val="38"/>
          <w:rFonts w:ascii="黑体" w:hAnsi="宋体" w:eastAsia="黑体" w:cs="黑体"/>
          <w:color w:val="auto"/>
          <w:sz w:val="22"/>
          <w:highlight w:val="none"/>
        </w:rPr>
        <w:t>六、公告期限</w:t>
      </w:r>
    </w:p>
    <w:p w14:paraId="17B89A5B">
      <w:pPr>
        <w:pStyle w:val="33"/>
        <w:widowControl/>
        <w:spacing w:before="38" w:beforeAutospacing="0" w:after="38" w:afterAutospacing="0"/>
        <w:rPr>
          <w:color w:val="auto"/>
          <w:sz w:val="22"/>
          <w:highlight w:val="none"/>
        </w:rPr>
      </w:pPr>
      <w:r>
        <w:rPr>
          <w:rFonts w:hint="eastAsia" w:ascii="仿宋" w:hAnsi="仿宋" w:eastAsia="仿宋" w:cs="仿宋"/>
          <w:color w:val="auto"/>
          <w:sz w:val="22"/>
          <w:highlight w:val="none"/>
        </w:rPr>
        <w:t>    自本公告发布之日起3个工作日。</w:t>
      </w:r>
    </w:p>
    <w:p w14:paraId="1E0978DE">
      <w:pPr>
        <w:pStyle w:val="33"/>
        <w:widowControl/>
        <w:spacing w:before="128" w:beforeAutospacing="0" w:after="128" w:afterAutospacing="0" w:line="225" w:lineRule="atLeast"/>
        <w:jc w:val="both"/>
        <w:rPr>
          <w:rFonts w:ascii="黑体" w:hAnsi="宋体" w:eastAsia="黑体" w:cs="黑体"/>
          <w:color w:val="auto"/>
          <w:sz w:val="22"/>
          <w:highlight w:val="none"/>
        </w:rPr>
      </w:pPr>
      <w:r>
        <w:rPr>
          <w:rStyle w:val="38"/>
          <w:rFonts w:ascii="黑体" w:hAnsi="宋体" w:eastAsia="黑体" w:cs="黑体"/>
          <w:color w:val="auto"/>
          <w:sz w:val="22"/>
          <w:highlight w:val="none"/>
        </w:rPr>
        <w:t>七、其他补充事宜</w:t>
      </w:r>
      <w:r>
        <w:rPr>
          <w:rFonts w:ascii="黑体" w:hAnsi="宋体" w:eastAsia="黑体" w:cs="黑体"/>
          <w:color w:val="auto"/>
          <w:sz w:val="22"/>
          <w:highlight w:val="none"/>
        </w:rPr>
        <w:t> </w:t>
      </w:r>
    </w:p>
    <w:p w14:paraId="0267C074">
      <w:pPr>
        <w:pStyle w:val="33"/>
        <w:widowControl/>
        <w:spacing w:before="128" w:beforeAutospacing="0" w:after="128" w:afterAutospacing="0" w:line="150" w:lineRule="atLeast"/>
        <w:ind w:firstLine="420"/>
        <w:jc w:val="both"/>
        <w:rPr>
          <w:rFonts w:ascii="黑体" w:hAnsi="宋体" w:eastAsia="黑体" w:cs="黑体"/>
          <w:color w:val="auto"/>
          <w:sz w:val="22"/>
          <w:highlight w:val="none"/>
        </w:rPr>
      </w:pPr>
      <w:r>
        <w:rPr>
          <w:rFonts w:hint="eastAsia" w:ascii="仿宋" w:hAnsi="仿宋" w:eastAsia="仿宋" w:cs="仿宋"/>
          <w:color w:val="auto"/>
          <w:sz w:val="22"/>
          <w:highlight w:val="none"/>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03ED459C">
      <w:pPr>
        <w:pStyle w:val="33"/>
        <w:widowControl/>
        <w:spacing w:before="128" w:beforeAutospacing="0" w:after="128" w:afterAutospacing="0" w:line="150" w:lineRule="atLeast"/>
        <w:ind w:firstLine="420"/>
        <w:jc w:val="both"/>
        <w:rPr>
          <w:rFonts w:ascii="黑体" w:hAnsi="宋体" w:eastAsia="黑体" w:cs="黑体"/>
          <w:color w:val="auto"/>
          <w:sz w:val="22"/>
          <w:highlight w:val="none"/>
        </w:rPr>
      </w:pPr>
      <w:r>
        <w:rPr>
          <w:rFonts w:hint="eastAsia" w:ascii="仿宋" w:hAnsi="仿宋" w:eastAsia="仿宋" w:cs="仿宋"/>
          <w:color w:val="auto"/>
          <w:sz w:val="22"/>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5F5954DE">
      <w:pPr>
        <w:pStyle w:val="33"/>
        <w:widowControl/>
        <w:spacing w:before="38" w:beforeAutospacing="0" w:after="38" w:afterAutospacing="0" w:line="315" w:lineRule="atLeast"/>
        <w:ind w:firstLine="420"/>
        <w:rPr>
          <w:color w:val="auto"/>
          <w:sz w:val="22"/>
          <w:highlight w:val="none"/>
        </w:rPr>
      </w:pPr>
      <w:r>
        <w:rPr>
          <w:rFonts w:hint="eastAsia" w:ascii="仿宋" w:hAnsi="仿宋" w:eastAsia="仿宋" w:cs="仿宋"/>
          <w:color w:val="auto"/>
          <w:sz w:val="22"/>
          <w:highlight w:val="none"/>
        </w:rPr>
        <w:t>3.其他事项：/</w:t>
      </w:r>
    </w:p>
    <w:p w14:paraId="41B64B1E">
      <w:pPr>
        <w:pStyle w:val="33"/>
        <w:widowControl/>
        <w:spacing w:before="128" w:beforeAutospacing="0" w:after="128" w:afterAutospacing="0" w:line="240" w:lineRule="atLeast"/>
        <w:jc w:val="both"/>
        <w:rPr>
          <w:rFonts w:ascii="黑体" w:hAnsi="宋体" w:eastAsia="黑体" w:cs="黑体"/>
          <w:color w:val="auto"/>
          <w:sz w:val="22"/>
          <w:highlight w:val="none"/>
        </w:rPr>
      </w:pPr>
      <w:r>
        <w:rPr>
          <w:rStyle w:val="38"/>
          <w:rFonts w:ascii="黑体" w:hAnsi="宋体" w:eastAsia="黑体" w:cs="黑体"/>
          <w:color w:val="auto"/>
          <w:sz w:val="22"/>
          <w:highlight w:val="none"/>
        </w:rPr>
        <w:t>八、凡对本次招标提出询问、质疑、投诉，请按以下方式联系</w:t>
      </w:r>
    </w:p>
    <w:p w14:paraId="55D9904C">
      <w:pPr>
        <w:pStyle w:val="33"/>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1.采购人信息</w:t>
      </w:r>
    </w:p>
    <w:p w14:paraId="79666CDD">
      <w:pPr>
        <w:pStyle w:val="33"/>
        <w:widowControl/>
        <w:spacing w:before="38" w:beforeAutospacing="0" w:after="38" w:afterAutospacing="0"/>
        <w:ind w:firstLine="223" w:firstLineChars="100"/>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名    称：</w:t>
      </w:r>
      <w:r>
        <w:rPr>
          <w:rFonts w:hint="eastAsia" w:ascii="仿宋" w:hAnsi="仿宋" w:eastAsia="仿宋" w:cs="仿宋"/>
          <w:color w:val="auto"/>
          <w:sz w:val="22"/>
          <w:highlight w:val="none"/>
          <w:lang w:eastAsia="zh-CN"/>
        </w:rPr>
        <w:t>泰顺县卫生健康局</w:t>
      </w:r>
    </w:p>
    <w:p w14:paraId="0F278FB0">
      <w:pPr>
        <w:pStyle w:val="33"/>
        <w:widowControl/>
        <w:spacing w:before="38" w:beforeAutospacing="0" w:after="38" w:afterAutospacing="0"/>
        <w:ind w:firstLine="223" w:firstLineChars="100"/>
        <w:rPr>
          <w:rFonts w:ascii="仿宋" w:hAnsi="仿宋" w:eastAsia="仿宋" w:cs="仿宋"/>
          <w:color w:val="auto"/>
          <w:sz w:val="22"/>
          <w:highlight w:val="none"/>
        </w:rPr>
      </w:pPr>
      <w:r>
        <w:rPr>
          <w:rFonts w:hint="eastAsia" w:ascii="仿宋" w:hAnsi="仿宋" w:eastAsia="仿宋" w:cs="仿宋"/>
          <w:color w:val="auto"/>
          <w:sz w:val="22"/>
          <w:highlight w:val="none"/>
        </w:rPr>
        <w:t>地    址：浙江省温州市泰顺县罗阳镇新城大道191号</w:t>
      </w:r>
    </w:p>
    <w:p w14:paraId="1898380A">
      <w:pPr>
        <w:pStyle w:val="33"/>
        <w:widowControl/>
        <w:spacing w:before="38" w:beforeAutospacing="0" w:after="38" w:afterAutospacing="0"/>
        <w:ind w:firstLine="223" w:firstLineChars="100"/>
        <w:rPr>
          <w:rFonts w:ascii="仿宋" w:hAnsi="仿宋" w:eastAsia="仿宋" w:cs="仿宋"/>
          <w:color w:val="auto"/>
          <w:sz w:val="22"/>
          <w:highlight w:val="none"/>
        </w:rPr>
      </w:pPr>
      <w:r>
        <w:rPr>
          <w:rFonts w:hint="eastAsia" w:ascii="仿宋" w:hAnsi="仿宋" w:eastAsia="仿宋" w:cs="仿宋"/>
          <w:color w:val="auto"/>
          <w:sz w:val="22"/>
          <w:highlight w:val="none"/>
        </w:rPr>
        <w:t>传    真：</w:t>
      </w:r>
    </w:p>
    <w:p w14:paraId="74082770">
      <w:pPr>
        <w:pStyle w:val="33"/>
        <w:widowControl/>
        <w:spacing w:before="38" w:beforeAutospacing="0" w:after="38" w:afterAutospacing="0"/>
        <w:ind w:firstLine="223" w:firstLineChars="100"/>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项目联系人（询问）：</w:t>
      </w:r>
      <w:r>
        <w:rPr>
          <w:rFonts w:hint="eastAsia" w:ascii="仿宋" w:hAnsi="仿宋" w:eastAsia="仿宋" w:cs="仿宋"/>
          <w:color w:val="auto"/>
          <w:sz w:val="22"/>
          <w:highlight w:val="none"/>
          <w:lang w:eastAsia="zh-CN"/>
        </w:rPr>
        <w:t>夏</w:t>
      </w:r>
      <w:r>
        <w:rPr>
          <w:rFonts w:hint="eastAsia" w:ascii="仿宋" w:hAnsi="仿宋" w:eastAsia="仿宋" w:cs="仿宋"/>
          <w:color w:val="auto"/>
          <w:sz w:val="22"/>
          <w:highlight w:val="none"/>
          <w:lang w:val="en-US" w:eastAsia="zh-CN"/>
        </w:rPr>
        <w:t>女士</w:t>
      </w:r>
    </w:p>
    <w:p w14:paraId="6F88F92D">
      <w:pPr>
        <w:pStyle w:val="33"/>
        <w:widowControl/>
        <w:spacing w:before="38" w:beforeAutospacing="0" w:after="38" w:afterAutospacing="0"/>
        <w:ind w:firstLine="223" w:firstLineChars="100"/>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项目联系方式（询问）：</w:t>
      </w:r>
      <w:r>
        <w:rPr>
          <w:rFonts w:hint="eastAsia" w:ascii="仿宋" w:hAnsi="仿宋" w:eastAsia="仿宋" w:cs="仿宋"/>
          <w:color w:val="auto"/>
          <w:sz w:val="22"/>
          <w:highlight w:val="none"/>
          <w:lang w:val="en-US" w:eastAsia="zh-CN"/>
        </w:rPr>
        <w:t>0577-67695612</w:t>
      </w:r>
    </w:p>
    <w:p w14:paraId="34C0CD8A">
      <w:pPr>
        <w:pStyle w:val="33"/>
        <w:widowControl/>
        <w:spacing w:before="38" w:beforeAutospacing="0" w:after="38" w:afterAutospacing="0"/>
        <w:ind w:firstLine="223" w:firstLineChars="100"/>
        <w:rPr>
          <w:rFonts w:hint="eastAsia" w:ascii="仿宋" w:hAnsi="仿宋" w:eastAsia="仿宋" w:cs="仿宋"/>
          <w:color w:val="auto"/>
          <w:sz w:val="22"/>
          <w:highlight w:val="none"/>
        </w:rPr>
      </w:pPr>
      <w:r>
        <w:rPr>
          <w:rFonts w:hint="eastAsia" w:ascii="仿宋" w:hAnsi="仿宋" w:eastAsia="仿宋" w:cs="仿宋"/>
          <w:color w:val="auto"/>
          <w:sz w:val="22"/>
          <w:highlight w:val="none"/>
        </w:rPr>
        <w:t>质疑联系人：</w:t>
      </w:r>
      <w:r>
        <w:rPr>
          <w:rFonts w:hint="eastAsia" w:ascii="仿宋" w:hAnsi="仿宋" w:eastAsia="仿宋" w:cs="仿宋"/>
          <w:color w:val="auto"/>
          <w:sz w:val="22"/>
          <w:highlight w:val="none"/>
          <w:lang w:eastAsia="zh-CN"/>
        </w:rPr>
        <w:t>徐</w:t>
      </w:r>
      <w:r>
        <w:rPr>
          <w:rFonts w:hint="eastAsia" w:ascii="仿宋" w:hAnsi="仿宋" w:eastAsia="仿宋" w:cs="仿宋"/>
          <w:color w:val="auto"/>
          <w:sz w:val="22"/>
          <w:highlight w:val="none"/>
          <w:lang w:val="en-US" w:eastAsia="zh-CN"/>
        </w:rPr>
        <w:t>先生</w:t>
      </w:r>
      <w:r>
        <w:rPr>
          <w:rFonts w:hint="eastAsia" w:ascii="仿宋" w:hAnsi="仿宋" w:eastAsia="仿宋" w:cs="仿宋"/>
          <w:color w:val="auto"/>
          <w:sz w:val="22"/>
          <w:highlight w:val="none"/>
        </w:rPr>
        <w:t xml:space="preserve">  </w:t>
      </w:r>
    </w:p>
    <w:p w14:paraId="2555BDBC">
      <w:pPr>
        <w:pStyle w:val="33"/>
        <w:widowControl/>
        <w:spacing w:before="38" w:beforeAutospacing="0" w:after="38" w:afterAutospacing="0"/>
        <w:ind w:firstLine="223" w:firstLineChars="100"/>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质疑联系方式：</w:t>
      </w:r>
      <w:r>
        <w:rPr>
          <w:rFonts w:hint="eastAsia" w:ascii="仿宋" w:hAnsi="仿宋" w:eastAsia="仿宋" w:cs="仿宋"/>
          <w:color w:val="auto"/>
          <w:sz w:val="22"/>
          <w:highlight w:val="none"/>
          <w:lang w:val="en-US" w:eastAsia="zh-CN"/>
        </w:rPr>
        <w:t>0577-67695612</w:t>
      </w:r>
    </w:p>
    <w:p w14:paraId="5650FFB7">
      <w:pPr>
        <w:pStyle w:val="33"/>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xml:space="preserve">  </w:t>
      </w:r>
    </w:p>
    <w:p w14:paraId="3B46F152">
      <w:pPr>
        <w:pStyle w:val="33"/>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xml:space="preserve"> 2.采购代理机构信息</w:t>
      </w:r>
    </w:p>
    <w:p w14:paraId="0965515B">
      <w:pPr>
        <w:pStyle w:val="33"/>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名    称：泰顺县公共资源交易中心</w:t>
      </w:r>
    </w:p>
    <w:p w14:paraId="0BCB0370">
      <w:pPr>
        <w:pStyle w:val="33"/>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地    址：温州市泰顺县罗阳镇新城大道123号 </w:t>
      </w:r>
    </w:p>
    <w:p w14:paraId="4DEEC9AA">
      <w:pPr>
        <w:pStyle w:val="33"/>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传    真：</w:t>
      </w:r>
    </w:p>
    <w:p w14:paraId="55D10E2F">
      <w:pPr>
        <w:pStyle w:val="33"/>
        <w:widowControl/>
        <w:spacing w:before="38" w:beforeAutospacing="0" w:after="38" w:afterAutospacing="0"/>
        <w:ind w:firstLine="350"/>
        <w:rPr>
          <w:rFonts w:ascii="仿宋" w:hAnsi="仿宋" w:eastAsia="仿宋" w:cs="仿宋"/>
          <w:color w:val="auto"/>
          <w:sz w:val="22"/>
          <w:highlight w:val="none"/>
        </w:rPr>
      </w:pPr>
      <w:r>
        <w:rPr>
          <w:rFonts w:hint="eastAsia" w:ascii="仿宋" w:hAnsi="仿宋" w:eastAsia="仿宋" w:cs="仿宋"/>
          <w:color w:val="auto"/>
          <w:sz w:val="22"/>
          <w:highlight w:val="none"/>
        </w:rPr>
        <w:t>项目联系人（询问）：吴先生</w:t>
      </w:r>
    </w:p>
    <w:p w14:paraId="53E47EBD">
      <w:pPr>
        <w:pStyle w:val="33"/>
        <w:widowControl/>
        <w:spacing w:before="38" w:beforeAutospacing="0" w:after="38" w:afterAutospacing="0"/>
        <w:ind w:firstLine="350"/>
        <w:rPr>
          <w:rFonts w:ascii="仿宋" w:hAnsi="仿宋" w:eastAsia="仿宋" w:cs="仿宋"/>
          <w:color w:val="auto"/>
          <w:sz w:val="22"/>
          <w:highlight w:val="none"/>
        </w:rPr>
      </w:pPr>
      <w:r>
        <w:rPr>
          <w:rFonts w:hint="eastAsia" w:ascii="仿宋" w:hAnsi="仿宋" w:eastAsia="仿宋" w:cs="仿宋"/>
          <w:color w:val="auto"/>
          <w:sz w:val="22"/>
          <w:highlight w:val="none"/>
        </w:rPr>
        <w:t>项目联系方式（询问）：0577-67592508</w:t>
      </w:r>
    </w:p>
    <w:p w14:paraId="6909C261">
      <w:pPr>
        <w:pStyle w:val="33"/>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质疑联系人：陶先生</w:t>
      </w:r>
    </w:p>
    <w:p w14:paraId="3146FF49">
      <w:pPr>
        <w:pStyle w:val="33"/>
        <w:widowControl/>
        <w:spacing w:before="38" w:beforeAutospacing="0" w:after="38" w:afterAutospacing="0"/>
        <w:ind w:firstLine="350"/>
        <w:rPr>
          <w:rFonts w:ascii="仿宋" w:hAnsi="仿宋" w:eastAsia="仿宋" w:cs="仿宋"/>
          <w:color w:val="auto"/>
          <w:sz w:val="22"/>
          <w:highlight w:val="none"/>
        </w:rPr>
      </w:pPr>
      <w:r>
        <w:rPr>
          <w:rFonts w:hint="eastAsia" w:ascii="仿宋" w:hAnsi="仿宋" w:eastAsia="仿宋" w:cs="仿宋"/>
          <w:color w:val="auto"/>
          <w:sz w:val="22"/>
          <w:highlight w:val="none"/>
        </w:rPr>
        <w:t>质疑联系方式：0577-67592508</w:t>
      </w:r>
    </w:p>
    <w:p w14:paraId="7E124358">
      <w:pPr>
        <w:pStyle w:val="33"/>
        <w:widowControl/>
        <w:spacing w:before="38" w:beforeAutospacing="0" w:after="38" w:afterAutospacing="0"/>
        <w:ind w:firstLine="223" w:firstLineChars="100"/>
        <w:rPr>
          <w:rFonts w:ascii="仿宋" w:hAnsi="仿宋" w:eastAsia="仿宋" w:cs="仿宋"/>
          <w:color w:val="auto"/>
          <w:sz w:val="22"/>
          <w:highlight w:val="none"/>
        </w:rPr>
      </w:pPr>
    </w:p>
    <w:p w14:paraId="2D319E77">
      <w:pPr>
        <w:pStyle w:val="33"/>
        <w:widowControl/>
        <w:spacing w:before="38" w:beforeAutospacing="0" w:after="38" w:afterAutospacing="0"/>
        <w:ind w:firstLine="223" w:firstLineChars="100"/>
        <w:rPr>
          <w:rFonts w:ascii="仿宋" w:hAnsi="仿宋" w:eastAsia="仿宋" w:cs="仿宋"/>
          <w:color w:val="auto"/>
          <w:sz w:val="22"/>
          <w:highlight w:val="none"/>
        </w:rPr>
      </w:pPr>
    </w:p>
    <w:p w14:paraId="618C438F">
      <w:pPr>
        <w:widowControl/>
        <w:spacing w:line="225" w:lineRule="atLeast"/>
        <w:jc w:val="left"/>
        <w:rPr>
          <w:rFonts w:ascii="仿宋" w:hAnsi="仿宋" w:eastAsia="仿宋" w:cs="仿宋"/>
          <w:color w:val="auto"/>
          <w:highlight w:val="none"/>
        </w:rPr>
      </w:pPr>
      <w:r>
        <w:rPr>
          <w:rFonts w:hint="eastAsia" w:ascii="仿宋" w:hAnsi="仿宋" w:eastAsia="仿宋" w:cs="仿宋"/>
          <w:color w:val="auto"/>
          <w:highlight w:val="none"/>
        </w:rPr>
        <w:t>3.同级政府采购监督管理部门</w:t>
      </w:r>
    </w:p>
    <w:p w14:paraId="3AE230BB">
      <w:pPr>
        <w:widowControl/>
        <w:spacing w:line="225" w:lineRule="atLeast"/>
        <w:jc w:val="left"/>
        <w:rPr>
          <w:rFonts w:ascii="仿宋" w:hAnsi="仿宋" w:eastAsia="仿宋" w:cs="仿宋"/>
          <w:color w:val="auto"/>
          <w:highlight w:val="none"/>
        </w:rPr>
      </w:pPr>
      <w:r>
        <w:rPr>
          <w:rFonts w:hint="eastAsia" w:ascii="仿宋" w:hAnsi="仿宋" w:eastAsia="仿宋" w:cs="仿宋"/>
          <w:color w:val="auto"/>
          <w:highlight w:val="none"/>
        </w:rPr>
        <w:t>     名    称：泰顺县财政局（浙江省政府采购行政裁决服务中心（温州））</w:t>
      </w:r>
    </w:p>
    <w:p w14:paraId="7B85351E">
      <w:pPr>
        <w:widowControl/>
        <w:spacing w:line="225" w:lineRule="atLeast"/>
        <w:jc w:val="left"/>
        <w:rPr>
          <w:rFonts w:ascii="仿宋" w:hAnsi="仿宋" w:eastAsia="仿宋" w:cs="仿宋"/>
          <w:color w:val="auto"/>
          <w:highlight w:val="none"/>
        </w:rPr>
      </w:pPr>
      <w:r>
        <w:rPr>
          <w:rFonts w:hint="eastAsia" w:ascii="仿宋" w:hAnsi="仿宋" w:eastAsia="仿宋" w:cs="仿宋"/>
          <w:color w:val="auto"/>
          <w:highlight w:val="none"/>
        </w:rPr>
        <w:t>     地    址：温州市鹿城区滨江街道瓯江路展银大厦1606室</w:t>
      </w:r>
    </w:p>
    <w:p w14:paraId="25E5AB4F">
      <w:pPr>
        <w:widowControl/>
        <w:spacing w:line="225" w:lineRule="atLeast"/>
        <w:jc w:val="left"/>
        <w:rPr>
          <w:rFonts w:ascii="仿宋" w:hAnsi="仿宋" w:eastAsia="仿宋" w:cs="仿宋"/>
          <w:color w:val="auto"/>
          <w:highlight w:val="none"/>
        </w:rPr>
      </w:pPr>
      <w:r>
        <w:rPr>
          <w:rFonts w:hint="eastAsia" w:ascii="仿宋" w:hAnsi="仿宋" w:eastAsia="仿宋" w:cs="仿宋"/>
          <w:color w:val="auto"/>
          <w:highlight w:val="none"/>
        </w:rPr>
        <w:t>     传    真：/</w:t>
      </w:r>
    </w:p>
    <w:p w14:paraId="4CF5069F">
      <w:pPr>
        <w:widowControl/>
        <w:spacing w:line="225" w:lineRule="atLeast"/>
        <w:jc w:val="left"/>
        <w:rPr>
          <w:rFonts w:ascii="仿宋" w:hAnsi="仿宋" w:eastAsia="仿宋" w:cs="仿宋"/>
          <w:color w:val="auto"/>
          <w:highlight w:val="none"/>
        </w:rPr>
      </w:pPr>
      <w:r>
        <w:rPr>
          <w:rFonts w:hint="eastAsia" w:ascii="仿宋" w:hAnsi="仿宋" w:eastAsia="仿宋" w:cs="仿宋"/>
          <w:color w:val="auto"/>
          <w:highlight w:val="none"/>
        </w:rPr>
        <w:t>     联 系 人：李老师、王老师</w:t>
      </w:r>
    </w:p>
    <w:p w14:paraId="1609B88D">
      <w:pPr>
        <w:widowControl/>
        <w:spacing w:line="225" w:lineRule="atLeast"/>
        <w:jc w:val="left"/>
        <w:rPr>
          <w:rFonts w:ascii="仿宋" w:hAnsi="仿宋" w:eastAsia="仿宋" w:cs="仿宋"/>
          <w:color w:val="auto"/>
          <w:highlight w:val="none"/>
        </w:rPr>
      </w:pPr>
      <w:r>
        <w:rPr>
          <w:rFonts w:hint="eastAsia" w:ascii="仿宋" w:hAnsi="仿宋" w:eastAsia="仿宋" w:cs="仿宋"/>
          <w:color w:val="auto"/>
          <w:highlight w:val="none"/>
        </w:rPr>
        <w:t>     监督投诉电话：0577-85501561，0577-85501562</w:t>
      </w:r>
    </w:p>
    <w:p w14:paraId="06578B3F">
      <w:pPr>
        <w:widowControl/>
        <w:spacing w:line="225" w:lineRule="atLeast"/>
        <w:jc w:val="left"/>
        <w:rPr>
          <w:rFonts w:ascii="仿宋" w:hAnsi="仿宋" w:eastAsia="仿宋" w:cs="仿宋"/>
          <w:color w:val="auto"/>
          <w:highlight w:val="none"/>
        </w:rPr>
      </w:pPr>
    </w:p>
    <w:p w14:paraId="64CE309A">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2E79F9DD">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2B291221">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088EB78E">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31627522">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7090CABD">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3FC0CD11">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682E5C0B">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57CF6E2B">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67535F19">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0C388B7E">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2A01B3A6">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20C00BBC">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2A1528E1">
      <w:pPr>
        <w:pStyle w:val="23"/>
        <w:rPr>
          <w:rFonts w:ascii="宋体" w:cs="宋体"/>
          <w:b/>
          <w:bCs/>
          <w:color w:val="auto"/>
          <w:sz w:val="32"/>
          <w:szCs w:val="32"/>
          <w:highlight w:val="none"/>
          <w:lang w:val="zh-CN"/>
        </w:rPr>
      </w:pPr>
    </w:p>
    <w:p w14:paraId="31E99F5A">
      <w:pPr>
        <w:pStyle w:val="23"/>
        <w:rPr>
          <w:rFonts w:ascii="宋体" w:cs="宋体"/>
          <w:b/>
          <w:bCs/>
          <w:color w:val="auto"/>
          <w:sz w:val="32"/>
          <w:szCs w:val="32"/>
          <w:highlight w:val="none"/>
          <w:lang w:val="zh-CN"/>
        </w:rPr>
      </w:pPr>
    </w:p>
    <w:p w14:paraId="4B346021">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3FD28106">
      <w:pPr>
        <w:pStyle w:val="3"/>
        <w:rPr>
          <w:color w:val="auto"/>
          <w:lang w:val="zh-CN"/>
        </w:rPr>
      </w:pPr>
    </w:p>
    <w:p w14:paraId="458BB497">
      <w:pPr>
        <w:tabs>
          <w:tab w:val="left" w:pos="1080"/>
        </w:tabs>
        <w:autoSpaceDE w:val="0"/>
        <w:autoSpaceDN w:val="0"/>
        <w:adjustRightInd w:val="0"/>
        <w:spacing w:line="500" w:lineRule="atLeast"/>
        <w:textAlignment w:val="baseline"/>
        <w:rPr>
          <w:rFonts w:ascii="宋体" w:cs="宋体"/>
          <w:b/>
          <w:bCs/>
          <w:color w:val="auto"/>
          <w:sz w:val="32"/>
          <w:szCs w:val="32"/>
          <w:highlight w:val="none"/>
          <w:lang w:val="zh-CN"/>
        </w:rPr>
      </w:pPr>
    </w:p>
    <w:p w14:paraId="31028778">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r>
        <w:rPr>
          <w:rFonts w:hint="eastAsia" w:ascii="宋体" w:cs="宋体"/>
          <w:b/>
          <w:bCs/>
          <w:color w:val="auto"/>
          <w:sz w:val="32"/>
          <w:szCs w:val="32"/>
          <w:highlight w:val="none"/>
          <w:lang w:val="zh-CN"/>
        </w:rPr>
        <w:t>第一部分、投标邀请函（投标须知前附表）</w:t>
      </w:r>
      <w:bookmarkEnd w:id="2"/>
    </w:p>
    <w:tbl>
      <w:tblPr>
        <w:tblStyle w:val="36"/>
        <w:tblW w:w="93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692"/>
        <w:gridCol w:w="1650"/>
        <w:gridCol w:w="6998"/>
      </w:tblGrid>
      <w:tr w14:paraId="3AEB99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9" w:hRule="atLeast"/>
          <w:jc w:val="center"/>
        </w:trPr>
        <w:tc>
          <w:tcPr>
            <w:tcW w:w="692" w:type="dxa"/>
            <w:tcBorders>
              <w:top w:val="single" w:color="auto" w:sz="12" w:space="0"/>
            </w:tcBorders>
            <w:vAlign w:val="center"/>
          </w:tcPr>
          <w:p w14:paraId="3D2735B9">
            <w:pPr>
              <w:spacing w:line="400" w:lineRule="atLeast"/>
              <w:jc w:val="right"/>
              <w:rPr>
                <w:rFonts w:ascii="宋体" w:cs="宋体"/>
                <w:color w:val="auto"/>
                <w:sz w:val="22"/>
                <w:highlight w:val="none"/>
              </w:rPr>
            </w:pPr>
            <w:r>
              <w:rPr>
                <w:rFonts w:hint="eastAsia" w:ascii="宋体" w:cs="宋体"/>
                <w:color w:val="auto"/>
                <w:sz w:val="22"/>
                <w:highlight w:val="none"/>
              </w:rPr>
              <w:t>项号</w:t>
            </w:r>
          </w:p>
        </w:tc>
        <w:tc>
          <w:tcPr>
            <w:tcW w:w="1650" w:type="dxa"/>
            <w:tcBorders>
              <w:top w:val="single" w:color="auto" w:sz="12" w:space="0"/>
            </w:tcBorders>
            <w:vAlign w:val="center"/>
          </w:tcPr>
          <w:p w14:paraId="0A087784">
            <w:pPr>
              <w:spacing w:line="400" w:lineRule="atLeast"/>
              <w:jc w:val="center"/>
              <w:rPr>
                <w:rFonts w:ascii="宋体" w:cs="宋体"/>
                <w:color w:val="auto"/>
                <w:sz w:val="22"/>
                <w:highlight w:val="none"/>
              </w:rPr>
            </w:pPr>
            <w:r>
              <w:rPr>
                <w:rFonts w:hint="eastAsia" w:ascii="宋体" w:cs="宋体"/>
                <w:color w:val="auto"/>
                <w:sz w:val="22"/>
                <w:highlight w:val="none"/>
              </w:rPr>
              <w:t>内容</w:t>
            </w:r>
          </w:p>
        </w:tc>
        <w:tc>
          <w:tcPr>
            <w:tcW w:w="6998" w:type="dxa"/>
            <w:tcBorders>
              <w:top w:val="single" w:color="auto" w:sz="12" w:space="0"/>
            </w:tcBorders>
            <w:vAlign w:val="center"/>
          </w:tcPr>
          <w:p w14:paraId="755704D2">
            <w:pPr>
              <w:spacing w:line="400" w:lineRule="atLeast"/>
              <w:jc w:val="center"/>
              <w:rPr>
                <w:rFonts w:ascii="宋体" w:cs="宋体"/>
                <w:color w:val="auto"/>
                <w:sz w:val="22"/>
                <w:highlight w:val="none"/>
              </w:rPr>
            </w:pPr>
            <w:r>
              <w:rPr>
                <w:rFonts w:hint="eastAsia" w:ascii="宋体" w:cs="宋体"/>
                <w:color w:val="auto"/>
                <w:sz w:val="22"/>
                <w:highlight w:val="none"/>
              </w:rPr>
              <w:t>说明与要求</w:t>
            </w:r>
          </w:p>
        </w:tc>
      </w:tr>
      <w:tr w14:paraId="2CD30B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92" w:type="dxa"/>
            <w:tcBorders>
              <w:top w:val="single" w:color="auto" w:sz="4" w:space="0"/>
              <w:left w:val="single" w:color="auto" w:sz="12" w:space="0"/>
              <w:right w:val="single" w:color="auto" w:sz="4" w:space="0"/>
            </w:tcBorders>
            <w:vAlign w:val="center"/>
          </w:tcPr>
          <w:p w14:paraId="1F3CBF19">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243DA55E">
            <w:pPr>
              <w:jc w:val="left"/>
              <w:rPr>
                <w:rFonts w:ascii="宋体" w:cs="宋体"/>
                <w:color w:val="auto"/>
                <w:sz w:val="22"/>
                <w:highlight w:val="none"/>
              </w:rPr>
            </w:pPr>
            <w:r>
              <w:rPr>
                <w:rFonts w:hint="eastAsia" w:ascii="宋体" w:cs="宋体"/>
                <w:color w:val="auto"/>
                <w:sz w:val="22"/>
                <w:highlight w:val="none"/>
              </w:rPr>
              <w:t>项目名称</w:t>
            </w:r>
          </w:p>
        </w:tc>
        <w:tc>
          <w:tcPr>
            <w:tcW w:w="6998" w:type="dxa"/>
            <w:tcBorders>
              <w:top w:val="single" w:color="auto" w:sz="4" w:space="0"/>
              <w:left w:val="single" w:color="auto" w:sz="4" w:space="0"/>
              <w:right w:val="single" w:color="auto" w:sz="12" w:space="0"/>
            </w:tcBorders>
            <w:vAlign w:val="center"/>
          </w:tcPr>
          <w:p w14:paraId="5066172C">
            <w:pPr>
              <w:rPr>
                <w:rFonts w:hint="eastAsia" w:ascii="宋体" w:eastAsia="宋体" w:cs="宋体"/>
                <w:color w:val="auto"/>
                <w:sz w:val="22"/>
                <w:highlight w:val="none"/>
                <w:lang w:eastAsia="zh-CN"/>
              </w:rPr>
            </w:pPr>
            <w:r>
              <w:rPr>
                <w:rFonts w:hint="eastAsia" w:ascii="宋体" w:cs="宋体"/>
                <w:color w:val="auto"/>
                <w:sz w:val="22"/>
                <w:highlight w:val="none"/>
                <w:lang w:eastAsia="zh-CN"/>
              </w:rPr>
              <w:t>泰顺县”慢病智管“数智化服务（三年）</w:t>
            </w:r>
          </w:p>
        </w:tc>
      </w:tr>
      <w:tr w14:paraId="1BEAA1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92" w:type="dxa"/>
            <w:tcBorders>
              <w:top w:val="single" w:color="auto" w:sz="4" w:space="0"/>
              <w:left w:val="single" w:color="auto" w:sz="12" w:space="0"/>
              <w:right w:val="single" w:color="auto" w:sz="4" w:space="0"/>
            </w:tcBorders>
            <w:vAlign w:val="center"/>
          </w:tcPr>
          <w:p w14:paraId="3EE18CB7">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11DF43C5">
            <w:pPr>
              <w:jc w:val="left"/>
              <w:rPr>
                <w:rFonts w:ascii="宋体" w:cs="宋体"/>
                <w:color w:val="auto"/>
                <w:sz w:val="22"/>
                <w:highlight w:val="none"/>
              </w:rPr>
            </w:pPr>
            <w:r>
              <w:rPr>
                <w:rFonts w:hint="eastAsia" w:ascii="宋体" w:cs="宋体"/>
                <w:color w:val="auto"/>
                <w:sz w:val="22"/>
                <w:highlight w:val="none"/>
              </w:rPr>
              <w:t>项目编号</w:t>
            </w:r>
          </w:p>
        </w:tc>
        <w:tc>
          <w:tcPr>
            <w:tcW w:w="6998" w:type="dxa"/>
            <w:tcBorders>
              <w:top w:val="single" w:color="auto" w:sz="4" w:space="0"/>
              <w:left w:val="single" w:color="auto" w:sz="4" w:space="0"/>
              <w:right w:val="single" w:color="auto" w:sz="12" w:space="0"/>
            </w:tcBorders>
            <w:vAlign w:val="center"/>
          </w:tcPr>
          <w:p w14:paraId="5D3CFF9A">
            <w:pPr>
              <w:rPr>
                <w:rFonts w:hint="eastAsia" w:ascii="宋体" w:eastAsia="宋体" w:cs="宋体"/>
                <w:color w:val="auto"/>
                <w:sz w:val="22"/>
                <w:highlight w:val="none"/>
                <w:lang w:eastAsia="zh-CN"/>
              </w:rPr>
            </w:pPr>
            <w:r>
              <w:rPr>
                <w:rFonts w:hint="eastAsia" w:ascii="宋体" w:cs="宋体"/>
                <w:color w:val="auto"/>
                <w:sz w:val="22"/>
                <w:highlight w:val="none"/>
                <w:lang w:eastAsia="zh-CN"/>
              </w:rPr>
              <w:t>TSCG202510020</w:t>
            </w:r>
          </w:p>
        </w:tc>
      </w:tr>
      <w:tr w14:paraId="40CD9A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92" w:type="dxa"/>
            <w:tcBorders>
              <w:top w:val="single" w:color="auto" w:sz="4" w:space="0"/>
              <w:left w:val="single" w:color="auto" w:sz="12" w:space="0"/>
              <w:right w:val="single" w:color="auto" w:sz="4" w:space="0"/>
            </w:tcBorders>
            <w:vAlign w:val="center"/>
          </w:tcPr>
          <w:p w14:paraId="50A73AE2">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629D0225">
            <w:pPr>
              <w:jc w:val="left"/>
              <w:rPr>
                <w:rFonts w:ascii="宋体" w:cs="宋体"/>
                <w:color w:val="auto"/>
                <w:sz w:val="22"/>
                <w:highlight w:val="none"/>
              </w:rPr>
            </w:pPr>
            <w:r>
              <w:rPr>
                <w:rFonts w:hint="eastAsia" w:ascii="宋体" w:cs="宋体"/>
                <w:color w:val="auto"/>
                <w:sz w:val="22"/>
                <w:highlight w:val="none"/>
              </w:rPr>
              <w:t>资金来源</w:t>
            </w:r>
          </w:p>
        </w:tc>
        <w:tc>
          <w:tcPr>
            <w:tcW w:w="6998" w:type="dxa"/>
            <w:tcBorders>
              <w:top w:val="single" w:color="auto" w:sz="4" w:space="0"/>
              <w:left w:val="single" w:color="auto" w:sz="4" w:space="0"/>
              <w:right w:val="single" w:color="auto" w:sz="12" w:space="0"/>
            </w:tcBorders>
            <w:vAlign w:val="center"/>
          </w:tcPr>
          <w:p w14:paraId="58A146A4">
            <w:pPr>
              <w:rPr>
                <w:rFonts w:ascii="宋体" w:cs="宋体"/>
                <w:color w:val="auto"/>
                <w:sz w:val="22"/>
                <w:highlight w:val="none"/>
              </w:rPr>
            </w:pPr>
            <w:r>
              <w:rPr>
                <w:rFonts w:hint="eastAsia" w:ascii="宋体" w:cs="宋体"/>
                <w:color w:val="auto"/>
                <w:sz w:val="22"/>
                <w:highlight w:val="none"/>
              </w:rPr>
              <w:t>财政性资金</w:t>
            </w:r>
          </w:p>
        </w:tc>
      </w:tr>
      <w:tr w14:paraId="3F8E4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92" w:type="dxa"/>
            <w:tcBorders>
              <w:top w:val="single" w:color="auto" w:sz="4" w:space="0"/>
              <w:left w:val="single" w:color="auto" w:sz="12" w:space="0"/>
              <w:right w:val="single" w:color="auto" w:sz="4" w:space="0"/>
            </w:tcBorders>
            <w:vAlign w:val="center"/>
          </w:tcPr>
          <w:p w14:paraId="1764EDDD">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4EE541F7">
            <w:pPr>
              <w:jc w:val="left"/>
              <w:rPr>
                <w:rFonts w:ascii="宋体" w:cs="宋体"/>
                <w:color w:val="auto"/>
                <w:sz w:val="22"/>
                <w:highlight w:val="none"/>
              </w:rPr>
            </w:pPr>
            <w:r>
              <w:rPr>
                <w:rFonts w:hint="eastAsia" w:ascii="宋体" w:cs="宋体"/>
                <w:color w:val="auto"/>
                <w:sz w:val="22"/>
                <w:highlight w:val="none"/>
              </w:rPr>
              <w:t>采购方式</w:t>
            </w:r>
          </w:p>
        </w:tc>
        <w:tc>
          <w:tcPr>
            <w:tcW w:w="6998" w:type="dxa"/>
            <w:tcBorders>
              <w:top w:val="single" w:color="auto" w:sz="4" w:space="0"/>
              <w:left w:val="single" w:color="auto" w:sz="4" w:space="0"/>
              <w:right w:val="single" w:color="auto" w:sz="12" w:space="0"/>
            </w:tcBorders>
            <w:vAlign w:val="center"/>
          </w:tcPr>
          <w:p w14:paraId="3E1FD0A4">
            <w:pPr>
              <w:rPr>
                <w:rFonts w:ascii="宋体" w:cs="宋体"/>
                <w:color w:val="auto"/>
                <w:sz w:val="22"/>
                <w:highlight w:val="none"/>
              </w:rPr>
            </w:pPr>
            <w:r>
              <w:rPr>
                <w:rFonts w:hint="eastAsia" w:ascii="宋体" w:cs="宋体"/>
                <w:color w:val="auto"/>
                <w:sz w:val="22"/>
                <w:highlight w:val="none"/>
              </w:rPr>
              <w:t>竞争性磋商</w:t>
            </w:r>
          </w:p>
        </w:tc>
      </w:tr>
      <w:tr w14:paraId="0BB77C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92" w:type="dxa"/>
            <w:tcBorders>
              <w:top w:val="single" w:color="auto" w:sz="4" w:space="0"/>
              <w:left w:val="single" w:color="auto" w:sz="12" w:space="0"/>
              <w:right w:val="single" w:color="auto" w:sz="4" w:space="0"/>
            </w:tcBorders>
            <w:vAlign w:val="center"/>
          </w:tcPr>
          <w:p w14:paraId="71B53896">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0C3E5787">
            <w:pPr>
              <w:jc w:val="left"/>
              <w:rPr>
                <w:rFonts w:ascii="宋体" w:cs="宋体"/>
                <w:color w:val="auto"/>
                <w:sz w:val="22"/>
                <w:highlight w:val="none"/>
              </w:rPr>
            </w:pPr>
            <w:r>
              <w:rPr>
                <w:rFonts w:hint="eastAsia" w:ascii="宋体" w:cs="宋体"/>
                <w:color w:val="auto"/>
                <w:sz w:val="22"/>
                <w:highlight w:val="none"/>
              </w:rPr>
              <w:t>采购预算</w:t>
            </w:r>
          </w:p>
          <w:p w14:paraId="6018158B">
            <w:pPr>
              <w:jc w:val="left"/>
              <w:rPr>
                <w:rFonts w:ascii="宋体" w:cs="宋体"/>
                <w:color w:val="auto"/>
                <w:sz w:val="22"/>
                <w:highlight w:val="none"/>
              </w:rPr>
            </w:pPr>
            <w:r>
              <w:rPr>
                <w:rFonts w:hint="eastAsia" w:ascii="宋体" w:cs="宋体"/>
                <w:color w:val="auto"/>
                <w:sz w:val="22"/>
                <w:highlight w:val="none"/>
              </w:rPr>
              <w:t>（最高限价）</w:t>
            </w:r>
          </w:p>
        </w:tc>
        <w:tc>
          <w:tcPr>
            <w:tcW w:w="6998" w:type="dxa"/>
            <w:tcBorders>
              <w:top w:val="single" w:color="auto" w:sz="4" w:space="0"/>
              <w:left w:val="single" w:color="auto" w:sz="4" w:space="0"/>
              <w:right w:val="single" w:color="auto" w:sz="12" w:space="0"/>
            </w:tcBorders>
            <w:vAlign w:val="center"/>
          </w:tcPr>
          <w:p w14:paraId="73DAE4AB">
            <w:pPr>
              <w:rPr>
                <w:rFonts w:ascii="宋体" w:cs="宋体"/>
                <w:color w:val="auto"/>
                <w:sz w:val="22"/>
                <w:highlight w:val="none"/>
              </w:rPr>
            </w:pPr>
            <w:r>
              <w:rPr>
                <w:rFonts w:hint="eastAsia" w:ascii="宋体" w:cs="宋体"/>
                <w:color w:val="auto"/>
                <w:sz w:val="22"/>
                <w:highlight w:val="none"/>
                <w:lang w:eastAsia="zh-CN"/>
              </w:rPr>
              <w:t>930000</w:t>
            </w:r>
            <w:r>
              <w:rPr>
                <w:rFonts w:hint="eastAsia" w:ascii="宋体" w:cs="宋体"/>
                <w:color w:val="auto"/>
                <w:sz w:val="22"/>
                <w:highlight w:val="none"/>
              </w:rPr>
              <w:t>元</w:t>
            </w:r>
          </w:p>
        </w:tc>
      </w:tr>
      <w:tr w14:paraId="3A34E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92" w:type="dxa"/>
            <w:tcBorders>
              <w:top w:val="single" w:color="auto" w:sz="4" w:space="0"/>
              <w:left w:val="single" w:color="auto" w:sz="12" w:space="0"/>
              <w:right w:val="single" w:color="auto" w:sz="4" w:space="0"/>
            </w:tcBorders>
            <w:vAlign w:val="center"/>
          </w:tcPr>
          <w:p w14:paraId="4161E0BA">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51611A52">
            <w:pPr>
              <w:adjustRightInd w:val="0"/>
              <w:jc w:val="left"/>
              <w:rPr>
                <w:rFonts w:ascii="宋体" w:cs="宋体"/>
                <w:color w:val="auto"/>
                <w:sz w:val="22"/>
                <w:highlight w:val="none"/>
              </w:rPr>
            </w:pPr>
            <w:r>
              <w:rPr>
                <w:rFonts w:hint="eastAsia" w:ascii="宋体" w:cs="宋体"/>
                <w:color w:val="auto"/>
                <w:sz w:val="22"/>
                <w:highlight w:val="none"/>
              </w:rPr>
              <w:t>采购人</w:t>
            </w:r>
          </w:p>
        </w:tc>
        <w:tc>
          <w:tcPr>
            <w:tcW w:w="6998" w:type="dxa"/>
            <w:tcBorders>
              <w:top w:val="single" w:color="auto" w:sz="4" w:space="0"/>
              <w:left w:val="single" w:color="auto" w:sz="4" w:space="0"/>
              <w:right w:val="single" w:color="auto" w:sz="12" w:space="0"/>
            </w:tcBorders>
            <w:vAlign w:val="center"/>
          </w:tcPr>
          <w:p w14:paraId="615C5954">
            <w:pPr>
              <w:rPr>
                <w:rFonts w:hint="eastAsia" w:ascii="宋体" w:eastAsia="宋体" w:cs="宋体"/>
                <w:color w:val="auto"/>
                <w:sz w:val="22"/>
                <w:highlight w:val="none"/>
                <w:lang w:eastAsia="zh-CN"/>
              </w:rPr>
            </w:pPr>
            <w:r>
              <w:rPr>
                <w:rFonts w:hint="eastAsia" w:ascii="宋体" w:cs="宋体"/>
                <w:color w:val="auto"/>
                <w:sz w:val="22"/>
                <w:highlight w:val="none"/>
                <w:lang w:eastAsia="zh-CN"/>
              </w:rPr>
              <w:t>泰顺县卫生健康局</w:t>
            </w:r>
          </w:p>
        </w:tc>
      </w:tr>
      <w:tr w14:paraId="52AB68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92" w:type="dxa"/>
            <w:tcBorders>
              <w:top w:val="single" w:color="auto" w:sz="4" w:space="0"/>
              <w:left w:val="single" w:color="auto" w:sz="12" w:space="0"/>
              <w:right w:val="single" w:color="auto" w:sz="4" w:space="0"/>
            </w:tcBorders>
            <w:vAlign w:val="center"/>
          </w:tcPr>
          <w:p w14:paraId="12BE1CF8">
            <w:pPr>
              <w:widowControl/>
              <w:numPr>
                <w:ilvl w:val="0"/>
                <w:numId w:val="5"/>
              </w:numPr>
              <w:tabs>
                <w:tab w:val="left" w:pos="420"/>
                <w:tab w:val="clear" w:pos="720"/>
              </w:tabs>
              <w:ind w:left="420" w:right="105"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35275C40">
            <w:pPr>
              <w:jc w:val="left"/>
              <w:rPr>
                <w:rFonts w:ascii="宋体" w:cs="宋体"/>
                <w:color w:val="auto"/>
                <w:sz w:val="22"/>
                <w:highlight w:val="none"/>
              </w:rPr>
            </w:pPr>
            <w:r>
              <w:rPr>
                <w:rFonts w:hint="eastAsia" w:ascii="宋体" w:cs="宋体"/>
                <w:color w:val="auto"/>
                <w:sz w:val="22"/>
                <w:highlight w:val="none"/>
              </w:rPr>
              <w:t>招标代理机构</w:t>
            </w:r>
          </w:p>
        </w:tc>
        <w:tc>
          <w:tcPr>
            <w:tcW w:w="6998" w:type="dxa"/>
            <w:tcBorders>
              <w:top w:val="single" w:color="auto" w:sz="4" w:space="0"/>
              <w:left w:val="single" w:color="auto" w:sz="4" w:space="0"/>
              <w:right w:val="single" w:color="auto" w:sz="12" w:space="0"/>
            </w:tcBorders>
            <w:vAlign w:val="center"/>
          </w:tcPr>
          <w:p w14:paraId="283931BF">
            <w:pPr>
              <w:rPr>
                <w:rFonts w:ascii="宋体" w:cs="宋体"/>
                <w:color w:val="auto"/>
                <w:sz w:val="22"/>
                <w:highlight w:val="none"/>
              </w:rPr>
            </w:pPr>
            <w:r>
              <w:rPr>
                <w:rFonts w:hint="eastAsia" w:ascii="宋体" w:cs="宋体"/>
                <w:color w:val="auto"/>
                <w:sz w:val="22"/>
                <w:highlight w:val="none"/>
              </w:rPr>
              <w:t>泰顺县公共资源交易中心</w:t>
            </w:r>
          </w:p>
        </w:tc>
      </w:tr>
      <w:tr w14:paraId="6CD0A0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92" w:type="dxa"/>
            <w:tcBorders>
              <w:top w:val="single" w:color="auto" w:sz="4" w:space="0"/>
              <w:left w:val="single" w:color="auto" w:sz="12" w:space="0"/>
              <w:right w:val="single" w:color="auto" w:sz="4" w:space="0"/>
            </w:tcBorders>
            <w:vAlign w:val="center"/>
          </w:tcPr>
          <w:p w14:paraId="4D43AE1D">
            <w:pPr>
              <w:widowControl/>
              <w:numPr>
                <w:ilvl w:val="0"/>
                <w:numId w:val="5"/>
              </w:numPr>
              <w:tabs>
                <w:tab w:val="left" w:pos="420"/>
                <w:tab w:val="clear" w:pos="720"/>
              </w:tabs>
              <w:ind w:left="420" w:right="105"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2B76801B">
            <w:pPr>
              <w:jc w:val="left"/>
              <w:rPr>
                <w:rFonts w:ascii="宋体" w:cs="宋体"/>
                <w:color w:val="auto"/>
                <w:sz w:val="22"/>
                <w:highlight w:val="none"/>
              </w:rPr>
            </w:pPr>
            <w:r>
              <w:rPr>
                <w:rFonts w:hint="eastAsia" w:ascii="宋体" w:cs="宋体"/>
                <w:color w:val="auto"/>
                <w:sz w:val="22"/>
                <w:highlight w:val="none"/>
              </w:rPr>
              <w:t>评标办法</w:t>
            </w:r>
          </w:p>
        </w:tc>
        <w:tc>
          <w:tcPr>
            <w:tcW w:w="6998" w:type="dxa"/>
            <w:tcBorders>
              <w:top w:val="single" w:color="auto" w:sz="4" w:space="0"/>
              <w:left w:val="single" w:color="auto" w:sz="4" w:space="0"/>
              <w:right w:val="single" w:color="auto" w:sz="12" w:space="0"/>
            </w:tcBorders>
            <w:vAlign w:val="center"/>
          </w:tcPr>
          <w:p w14:paraId="0FDC5939">
            <w:pPr>
              <w:adjustRightInd w:val="0"/>
              <w:rPr>
                <w:rFonts w:ascii="宋体" w:cs="宋体"/>
                <w:color w:val="auto"/>
                <w:sz w:val="22"/>
                <w:highlight w:val="none"/>
              </w:rPr>
            </w:pPr>
            <w:r>
              <w:rPr>
                <w:rFonts w:hint="eastAsia" w:ascii="宋体" w:cs="宋体"/>
                <w:color w:val="auto"/>
                <w:sz w:val="22"/>
                <w:highlight w:val="none"/>
              </w:rPr>
              <w:t>综合评分法</w:t>
            </w:r>
          </w:p>
        </w:tc>
      </w:tr>
      <w:tr w14:paraId="5AD7A0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692" w:type="dxa"/>
            <w:tcBorders>
              <w:top w:val="single" w:color="auto" w:sz="4" w:space="0"/>
              <w:left w:val="single" w:color="auto" w:sz="12" w:space="0"/>
              <w:right w:val="single" w:color="auto" w:sz="4" w:space="0"/>
            </w:tcBorders>
            <w:vAlign w:val="center"/>
          </w:tcPr>
          <w:p w14:paraId="0B1332E3">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538E7F30">
            <w:pPr>
              <w:jc w:val="left"/>
              <w:rPr>
                <w:rFonts w:ascii="宋体" w:cs="宋体"/>
                <w:color w:val="auto"/>
                <w:sz w:val="22"/>
                <w:highlight w:val="none"/>
              </w:rPr>
            </w:pPr>
            <w:r>
              <w:rPr>
                <w:rFonts w:hint="eastAsia" w:ascii="宋体" w:cs="宋体"/>
                <w:color w:val="auto"/>
                <w:sz w:val="22"/>
                <w:highlight w:val="none"/>
              </w:rPr>
              <w:t>招标内容</w:t>
            </w:r>
          </w:p>
        </w:tc>
        <w:tc>
          <w:tcPr>
            <w:tcW w:w="6998" w:type="dxa"/>
            <w:tcBorders>
              <w:top w:val="single" w:color="auto" w:sz="4" w:space="0"/>
              <w:left w:val="single" w:color="auto" w:sz="4" w:space="0"/>
              <w:right w:val="single" w:color="auto" w:sz="12" w:space="0"/>
            </w:tcBorders>
            <w:vAlign w:val="center"/>
          </w:tcPr>
          <w:p w14:paraId="47BFD863">
            <w:pPr>
              <w:adjustRightInd w:val="0"/>
              <w:rPr>
                <w:rFonts w:ascii="宋体" w:cs="宋体"/>
                <w:color w:val="auto"/>
                <w:sz w:val="22"/>
                <w:highlight w:val="none"/>
              </w:rPr>
            </w:pPr>
            <w:r>
              <w:rPr>
                <w:rFonts w:hint="eastAsia" w:ascii="宋体" w:cs="宋体"/>
                <w:color w:val="auto"/>
                <w:sz w:val="22"/>
                <w:highlight w:val="none"/>
              </w:rPr>
              <w:t>具体内容见竞争性磋商文件。</w:t>
            </w:r>
          </w:p>
        </w:tc>
      </w:tr>
      <w:tr w14:paraId="128B27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08" w:hRule="atLeast"/>
          <w:jc w:val="center"/>
        </w:trPr>
        <w:tc>
          <w:tcPr>
            <w:tcW w:w="692" w:type="dxa"/>
            <w:tcBorders>
              <w:top w:val="single" w:color="auto" w:sz="4" w:space="0"/>
              <w:left w:val="single" w:color="auto" w:sz="12" w:space="0"/>
              <w:right w:val="single" w:color="auto" w:sz="4" w:space="0"/>
            </w:tcBorders>
            <w:vAlign w:val="center"/>
          </w:tcPr>
          <w:p w14:paraId="25F5ABB3">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6BFF3822">
            <w:pPr>
              <w:jc w:val="left"/>
              <w:rPr>
                <w:rFonts w:ascii="宋体" w:cs="宋体"/>
                <w:color w:val="auto"/>
                <w:sz w:val="22"/>
                <w:highlight w:val="none"/>
              </w:rPr>
            </w:pPr>
            <w:r>
              <w:rPr>
                <w:rFonts w:hint="eastAsia" w:ascii="宋体" w:cs="宋体"/>
                <w:color w:val="auto"/>
                <w:sz w:val="22"/>
                <w:highlight w:val="none"/>
              </w:rPr>
              <w:t>投标供应商</w:t>
            </w:r>
          </w:p>
          <w:p w14:paraId="205B058F">
            <w:pPr>
              <w:jc w:val="left"/>
              <w:rPr>
                <w:rFonts w:ascii="宋体" w:cs="宋体"/>
                <w:color w:val="auto"/>
                <w:sz w:val="22"/>
                <w:highlight w:val="none"/>
              </w:rPr>
            </w:pPr>
            <w:r>
              <w:rPr>
                <w:rFonts w:hint="eastAsia" w:ascii="宋体" w:cs="宋体"/>
                <w:color w:val="auto"/>
                <w:sz w:val="22"/>
                <w:highlight w:val="none"/>
              </w:rPr>
              <w:t>资格要求</w:t>
            </w:r>
          </w:p>
        </w:tc>
        <w:tc>
          <w:tcPr>
            <w:tcW w:w="6998" w:type="dxa"/>
            <w:tcBorders>
              <w:top w:val="single" w:color="auto" w:sz="4" w:space="0"/>
              <w:left w:val="single" w:color="auto" w:sz="4" w:space="0"/>
              <w:right w:val="single" w:color="auto" w:sz="12" w:space="0"/>
            </w:tcBorders>
            <w:vAlign w:val="center"/>
          </w:tcPr>
          <w:p w14:paraId="349A7C3E">
            <w:pPr>
              <w:rPr>
                <w:rFonts w:ascii="宋体" w:cs="宋体"/>
                <w:color w:val="auto"/>
                <w:sz w:val="22"/>
                <w:highlight w:val="none"/>
              </w:rPr>
            </w:pPr>
            <w:r>
              <w:rPr>
                <w:rFonts w:hint="eastAsia" w:ascii="宋体" w:cs="宋体"/>
                <w:color w:val="auto"/>
                <w:sz w:val="22"/>
                <w:highlight w:val="none"/>
              </w:rPr>
              <w:t>详见采购公告</w:t>
            </w:r>
          </w:p>
        </w:tc>
      </w:tr>
      <w:tr w14:paraId="740A42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92" w:type="dxa"/>
            <w:tcBorders>
              <w:top w:val="single" w:color="auto" w:sz="4" w:space="0"/>
              <w:left w:val="single" w:color="auto" w:sz="12" w:space="0"/>
              <w:right w:val="single" w:color="auto" w:sz="4" w:space="0"/>
            </w:tcBorders>
            <w:vAlign w:val="center"/>
          </w:tcPr>
          <w:p w14:paraId="69DE132D">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6835BCE0">
            <w:pPr>
              <w:adjustRightInd w:val="0"/>
              <w:jc w:val="left"/>
              <w:rPr>
                <w:rFonts w:ascii="宋体" w:cs="宋体"/>
                <w:color w:val="auto"/>
                <w:sz w:val="22"/>
                <w:highlight w:val="none"/>
              </w:rPr>
            </w:pPr>
            <w:r>
              <w:rPr>
                <w:rFonts w:hint="eastAsia" w:ascii="宋体" w:cs="宋体"/>
                <w:color w:val="auto"/>
                <w:sz w:val="22"/>
                <w:highlight w:val="none"/>
              </w:rPr>
              <w:t>踏勘现场</w:t>
            </w:r>
          </w:p>
        </w:tc>
        <w:tc>
          <w:tcPr>
            <w:tcW w:w="6998" w:type="dxa"/>
            <w:tcBorders>
              <w:top w:val="single" w:color="auto" w:sz="4" w:space="0"/>
              <w:left w:val="single" w:color="auto" w:sz="4" w:space="0"/>
              <w:right w:val="single" w:color="auto" w:sz="12" w:space="0"/>
            </w:tcBorders>
            <w:vAlign w:val="center"/>
          </w:tcPr>
          <w:p w14:paraId="2A62F8D0">
            <w:pPr>
              <w:rPr>
                <w:rFonts w:ascii="宋体" w:cs="宋体"/>
                <w:color w:val="auto"/>
                <w:sz w:val="22"/>
                <w:highlight w:val="none"/>
              </w:rPr>
            </w:pPr>
            <w:r>
              <w:rPr>
                <w:rFonts w:hint="eastAsia" w:ascii="宋体" w:cs="宋体"/>
                <w:color w:val="auto"/>
                <w:sz w:val="22"/>
                <w:highlight w:val="none"/>
              </w:rPr>
              <w:t>☑不组织  □组织</w:t>
            </w:r>
          </w:p>
        </w:tc>
      </w:tr>
      <w:tr w14:paraId="6877F8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92" w:type="dxa"/>
            <w:tcBorders>
              <w:top w:val="single" w:color="auto" w:sz="4" w:space="0"/>
              <w:left w:val="single" w:color="auto" w:sz="12" w:space="0"/>
              <w:right w:val="single" w:color="auto" w:sz="4" w:space="0"/>
            </w:tcBorders>
            <w:vAlign w:val="center"/>
          </w:tcPr>
          <w:p w14:paraId="324F3E8B">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4D3A1293">
            <w:pPr>
              <w:adjustRightInd w:val="0"/>
              <w:jc w:val="left"/>
              <w:rPr>
                <w:rFonts w:ascii="宋体" w:cs="宋体"/>
                <w:color w:val="auto"/>
                <w:sz w:val="22"/>
                <w:highlight w:val="none"/>
              </w:rPr>
            </w:pPr>
            <w:r>
              <w:rPr>
                <w:rFonts w:hint="eastAsia" w:ascii="宋体" w:cs="宋体"/>
                <w:color w:val="auto"/>
                <w:sz w:val="22"/>
                <w:highlight w:val="none"/>
              </w:rPr>
              <w:t>是否允许递交备选投标方案</w:t>
            </w:r>
          </w:p>
        </w:tc>
        <w:tc>
          <w:tcPr>
            <w:tcW w:w="6998" w:type="dxa"/>
            <w:tcBorders>
              <w:top w:val="single" w:color="auto" w:sz="4" w:space="0"/>
              <w:left w:val="single" w:color="auto" w:sz="4" w:space="0"/>
              <w:right w:val="single" w:color="auto" w:sz="12" w:space="0"/>
            </w:tcBorders>
            <w:vAlign w:val="center"/>
          </w:tcPr>
          <w:p w14:paraId="40F675DB">
            <w:pPr>
              <w:rPr>
                <w:rFonts w:ascii="宋体" w:cs="宋体"/>
                <w:color w:val="auto"/>
                <w:sz w:val="22"/>
                <w:highlight w:val="none"/>
              </w:rPr>
            </w:pPr>
            <w:r>
              <w:rPr>
                <w:rFonts w:hint="eastAsia" w:ascii="宋体" w:cs="宋体"/>
                <w:color w:val="auto"/>
                <w:sz w:val="22"/>
                <w:highlight w:val="none"/>
              </w:rPr>
              <w:t>☑不允许  □允许</w:t>
            </w:r>
          </w:p>
        </w:tc>
      </w:tr>
      <w:tr w14:paraId="4DCE15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97" w:hRule="atLeast"/>
          <w:jc w:val="center"/>
        </w:trPr>
        <w:tc>
          <w:tcPr>
            <w:tcW w:w="692" w:type="dxa"/>
            <w:tcBorders>
              <w:top w:val="single" w:color="auto" w:sz="4" w:space="0"/>
              <w:left w:val="single" w:color="auto" w:sz="12" w:space="0"/>
              <w:right w:val="single" w:color="auto" w:sz="4" w:space="0"/>
            </w:tcBorders>
            <w:vAlign w:val="center"/>
          </w:tcPr>
          <w:p w14:paraId="589164B7">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3A2FFC4A">
            <w:pPr>
              <w:adjustRightInd w:val="0"/>
              <w:jc w:val="left"/>
              <w:rPr>
                <w:rFonts w:ascii="宋体" w:cs="宋体"/>
                <w:color w:val="auto"/>
                <w:sz w:val="22"/>
                <w:highlight w:val="none"/>
              </w:rPr>
            </w:pPr>
            <w:r>
              <w:rPr>
                <w:rFonts w:hint="eastAsia" w:ascii="宋体" w:cs="宋体"/>
                <w:color w:val="auto"/>
                <w:sz w:val="22"/>
                <w:highlight w:val="none"/>
              </w:rPr>
              <w:t>是否接收联体</w:t>
            </w:r>
          </w:p>
        </w:tc>
        <w:tc>
          <w:tcPr>
            <w:tcW w:w="6998" w:type="dxa"/>
            <w:tcBorders>
              <w:top w:val="single" w:color="auto" w:sz="4" w:space="0"/>
              <w:left w:val="single" w:color="auto" w:sz="4" w:space="0"/>
              <w:right w:val="single" w:color="auto" w:sz="12" w:space="0"/>
            </w:tcBorders>
            <w:vAlign w:val="center"/>
          </w:tcPr>
          <w:p w14:paraId="5114DF89">
            <w:pPr>
              <w:rPr>
                <w:rFonts w:ascii="宋体" w:cs="宋体"/>
                <w:color w:val="auto"/>
                <w:sz w:val="22"/>
                <w:highlight w:val="none"/>
              </w:rPr>
            </w:pPr>
            <w:r>
              <w:rPr>
                <w:rFonts w:hint="eastAsia" w:ascii="宋体" w:cs="宋体"/>
                <w:color w:val="auto"/>
                <w:sz w:val="22"/>
                <w:highlight w:val="none"/>
              </w:rPr>
              <w:t>□是   ☑否</w:t>
            </w:r>
          </w:p>
        </w:tc>
      </w:tr>
      <w:tr w14:paraId="673A67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92" w:type="dxa"/>
            <w:tcBorders>
              <w:top w:val="single" w:color="auto" w:sz="4" w:space="0"/>
              <w:left w:val="single" w:color="auto" w:sz="12" w:space="0"/>
              <w:right w:val="single" w:color="auto" w:sz="4" w:space="0"/>
            </w:tcBorders>
            <w:vAlign w:val="center"/>
          </w:tcPr>
          <w:p w14:paraId="4C14720E">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016067C1">
            <w:pPr>
              <w:adjustRightInd w:val="0"/>
              <w:jc w:val="left"/>
              <w:rPr>
                <w:rFonts w:ascii="宋体" w:cs="宋体"/>
                <w:color w:val="auto"/>
                <w:sz w:val="22"/>
                <w:highlight w:val="none"/>
              </w:rPr>
            </w:pPr>
            <w:r>
              <w:rPr>
                <w:rFonts w:hint="eastAsia" w:ascii="宋体" w:cs="宋体"/>
                <w:color w:val="auto"/>
                <w:sz w:val="22"/>
                <w:highlight w:val="none"/>
              </w:rPr>
              <w:t>投标货币</w:t>
            </w:r>
          </w:p>
        </w:tc>
        <w:tc>
          <w:tcPr>
            <w:tcW w:w="6998" w:type="dxa"/>
            <w:tcBorders>
              <w:top w:val="single" w:color="auto" w:sz="4" w:space="0"/>
              <w:left w:val="single" w:color="auto" w:sz="4" w:space="0"/>
              <w:right w:val="single" w:color="auto" w:sz="12" w:space="0"/>
            </w:tcBorders>
            <w:vAlign w:val="center"/>
          </w:tcPr>
          <w:p w14:paraId="3C3EC18C">
            <w:pPr>
              <w:adjustRightInd w:val="0"/>
              <w:rPr>
                <w:rFonts w:ascii="宋体" w:cs="宋体"/>
                <w:color w:val="auto"/>
                <w:sz w:val="22"/>
                <w:highlight w:val="none"/>
              </w:rPr>
            </w:pPr>
            <w:r>
              <w:rPr>
                <w:rFonts w:hint="eastAsia" w:ascii="宋体" w:cs="宋体"/>
                <w:color w:val="auto"/>
                <w:sz w:val="22"/>
                <w:highlight w:val="none"/>
              </w:rPr>
              <w:t>人民币</w:t>
            </w:r>
          </w:p>
        </w:tc>
      </w:tr>
      <w:tr w14:paraId="4AE003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92" w:type="dxa"/>
            <w:tcBorders>
              <w:top w:val="single" w:color="auto" w:sz="4" w:space="0"/>
              <w:left w:val="single" w:color="auto" w:sz="12" w:space="0"/>
              <w:right w:val="single" w:color="auto" w:sz="4" w:space="0"/>
            </w:tcBorders>
            <w:vAlign w:val="center"/>
          </w:tcPr>
          <w:p w14:paraId="1C88961A">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10F909A1">
            <w:pPr>
              <w:adjustRightInd w:val="0"/>
              <w:jc w:val="left"/>
              <w:rPr>
                <w:rFonts w:ascii="宋体" w:cs="宋体"/>
                <w:color w:val="auto"/>
                <w:sz w:val="22"/>
                <w:highlight w:val="none"/>
              </w:rPr>
            </w:pPr>
            <w:r>
              <w:rPr>
                <w:rFonts w:hint="eastAsia" w:ascii="宋体" w:cs="宋体"/>
                <w:color w:val="auto"/>
                <w:sz w:val="22"/>
                <w:highlight w:val="none"/>
              </w:rPr>
              <w:t>投标语言</w:t>
            </w:r>
          </w:p>
        </w:tc>
        <w:tc>
          <w:tcPr>
            <w:tcW w:w="6998" w:type="dxa"/>
            <w:tcBorders>
              <w:top w:val="single" w:color="auto" w:sz="4" w:space="0"/>
              <w:left w:val="single" w:color="auto" w:sz="4" w:space="0"/>
              <w:right w:val="single" w:color="auto" w:sz="12" w:space="0"/>
            </w:tcBorders>
            <w:vAlign w:val="center"/>
          </w:tcPr>
          <w:p w14:paraId="00A1AB31">
            <w:pPr>
              <w:adjustRightInd w:val="0"/>
              <w:rPr>
                <w:rFonts w:ascii="宋体" w:cs="宋体"/>
                <w:color w:val="auto"/>
                <w:sz w:val="22"/>
                <w:highlight w:val="none"/>
              </w:rPr>
            </w:pPr>
            <w:r>
              <w:rPr>
                <w:rFonts w:hint="eastAsia" w:ascii="宋体" w:cs="宋体"/>
                <w:color w:val="auto"/>
                <w:sz w:val="22"/>
                <w:highlight w:val="none"/>
              </w:rPr>
              <w:t>中文</w:t>
            </w:r>
          </w:p>
        </w:tc>
      </w:tr>
      <w:tr w14:paraId="6AC4A7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92" w:type="dxa"/>
            <w:tcBorders>
              <w:top w:val="single" w:color="auto" w:sz="4" w:space="0"/>
              <w:left w:val="single" w:color="auto" w:sz="12" w:space="0"/>
              <w:right w:val="single" w:color="auto" w:sz="4" w:space="0"/>
            </w:tcBorders>
            <w:vAlign w:val="center"/>
          </w:tcPr>
          <w:p w14:paraId="3A3C9ED5">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74F1C7EC">
            <w:pPr>
              <w:rPr>
                <w:rFonts w:ascii="宋体" w:cs="宋体"/>
                <w:color w:val="auto"/>
                <w:sz w:val="22"/>
                <w:highlight w:val="none"/>
              </w:rPr>
            </w:pPr>
            <w:r>
              <w:rPr>
                <w:rFonts w:hint="eastAsia" w:ascii="宋体" w:cs="宋体"/>
                <w:color w:val="auto"/>
                <w:sz w:val="22"/>
                <w:highlight w:val="none"/>
                <w:lang w:val="zh-CN"/>
              </w:rPr>
              <w:t>投标文件</w:t>
            </w:r>
            <w:r>
              <w:rPr>
                <w:rFonts w:hint="eastAsia" w:ascii="宋体" w:cs="宋体"/>
                <w:color w:val="auto"/>
                <w:sz w:val="22"/>
                <w:highlight w:val="none"/>
              </w:rPr>
              <w:t>说明</w:t>
            </w:r>
          </w:p>
        </w:tc>
        <w:tc>
          <w:tcPr>
            <w:tcW w:w="6998" w:type="dxa"/>
            <w:tcBorders>
              <w:top w:val="single" w:color="auto" w:sz="4" w:space="0"/>
              <w:left w:val="single" w:color="auto" w:sz="4" w:space="0"/>
              <w:right w:val="single" w:color="auto" w:sz="12" w:space="0"/>
            </w:tcBorders>
            <w:vAlign w:val="center"/>
          </w:tcPr>
          <w:p w14:paraId="6CE4ACF4">
            <w:pPr>
              <w:autoSpaceDE w:val="0"/>
              <w:autoSpaceDN w:val="0"/>
              <w:adjustRightInd w:val="0"/>
              <w:jc w:val="left"/>
              <w:rPr>
                <w:rFonts w:ascii="宋体" w:cs="宋体"/>
                <w:color w:val="auto"/>
                <w:sz w:val="22"/>
                <w:highlight w:val="none"/>
                <w:lang w:val="zh-CN"/>
              </w:rPr>
            </w:pPr>
            <w:r>
              <w:rPr>
                <w:rFonts w:hint="eastAsia" w:ascii="宋体" w:cs="宋体"/>
                <w:color w:val="auto"/>
                <w:sz w:val="22"/>
                <w:highlight w:val="none"/>
                <w:lang w:val="zh-CN"/>
              </w:rPr>
              <w:t>1、</w:t>
            </w:r>
            <w:r>
              <w:rPr>
                <w:rFonts w:hint="eastAsia" w:ascii="宋体" w:cs="宋体"/>
                <w:b/>
                <w:bCs/>
                <w:color w:val="auto"/>
                <w:sz w:val="22"/>
                <w:highlight w:val="none"/>
                <w:lang w:val="zh-CN"/>
              </w:rPr>
              <w:t>投标文件组成：</w:t>
            </w:r>
            <w:r>
              <w:rPr>
                <w:rFonts w:hint="eastAsia" w:ascii="宋体" w:cs="宋体"/>
                <w:color w:val="auto"/>
                <w:sz w:val="22"/>
                <w:highlight w:val="none"/>
                <w:lang w:val="zh-CN"/>
              </w:rPr>
              <w:t>《资格文件》《商务技术文件》《报价文件》。</w:t>
            </w:r>
          </w:p>
          <w:p w14:paraId="184FE0F4">
            <w:pPr>
              <w:rPr>
                <w:rFonts w:ascii="宋体" w:cs="宋体"/>
                <w:color w:val="auto"/>
                <w:sz w:val="22"/>
                <w:highlight w:val="none"/>
              </w:rPr>
            </w:pPr>
            <w:r>
              <w:rPr>
                <w:rFonts w:hint="eastAsia" w:ascii="宋体" w:cs="宋体"/>
                <w:color w:val="auto"/>
                <w:sz w:val="22"/>
                <w:highlight w:val="none"/>
              </w:rPr>
              <w:t>2、</w:t>
            </w:r>
            <w:r>
              <w:rPr>
                <w:rFonts w:hint="eastAsia" w:ascii="宋体" w:cs="宋体"/>
                <w:b/>
                <w:bCs/>
                <w:color w:val="auto"/>
                <w:sz w:val="22"/>
                <w:highlight w:val="none"/>
              </w:rPr>
              <w:t>投标文件编制：</w:t>
            </w:r>
            <w:r>
              <w:rPr>
                <w:rFonts w:hint="eastAsia" w:ascii="宋体" w:cs="宋体"/>
                <w:color w:val="auto"/>
                <w:sz w:val="22"/>
                <w:highlight w:val="none"/>
              </w:rPr>
              <w:t>供应商应先安装“政采云电子交易客户端”，并按照本采购文件和“政府采购云平台”的要求，通过“政采云电子交易客户端”编制并加密投标文件。</w:t>
            </w:r>
          </w:p>
          <w:p w14:paraId="7B848F64">
            <w:pPr>
              <w:rPr>
                <w:rFonts w:ascii="宋体" w:cs="宋体"/>
                <w:color w:val="auto"/>
                <w:sz w:val="22"/>
                <w:highlight w:val="none"/>
              </w:rPr>
            </w:pPr>
            <w:r>
              <w:rPr>
                <w:rFonts w:hint="eastAsia" w:ascii="宋体" w:cs="宋体"/>
                <w:color w:val="auto"/>
                <w:sz w:val="22"/>
                <w:highlight w:val="none"/>
              </w:rPr>
              <w:t>3、</w:t>
            </w:r>
            <w:r>
              <w:rPr>
                <w:rFonts w:hint="eastAsia" w:ascii="宋体" w:cs="宋体"/>
                <w:b/>
                <w:bCs/>
                <w:color w:val="auto"/>
                <w:sz w:val="22"/>
                <w:highlight w:val="none"/>
              </w:rPr>
              <w:t>投标文件的签章：</w:t>
            </w:r>
            <w:r>
              <w:rPr>
                <w:rFonts w:hint="eastAsia" w:ascii="宋体" w:cs="宋体"/>
                <w:color w:val="auto"/>
                <w:sz w:val="22"/>
                <w:highlight w:val="none"/>
              </w:rPr>
              <w:t>电子签章。</w:t>
            </w:r>
          </w:p>
          <w:p w14:paraId="2AA9BE91">
            <w:pPr>
              <w:rPr>
                <w:rFonts w:ascii="宋体" w:cs="宋体"/>
                <w:color w:val="auto"/>
                <w:sz w:val="22"/>
                <w:highlight w:val="none"/>
              </w:rPr>
            </w:pPr>
            <w:r>
              <w:rPr>
                <w:rFonts w:hint="eastAsia" w:ascii="宋体" w:cs="宋体"/>
                <w:color w:val="auto"/>
                <w:sz w:val="22"/>
                <w:highlight w:val="none"/>
              </w:rPr>
              <w:t>4、</w:t>
            </w:r>
            <w:r>
              <w:rPr>
                <w:rFonts w:hint="eastAsia" w:ascii="宋体" w:cs="宋体"/>
                <w:b/>
                <w:bCs/>
                <w:color w:val="auto"/>
                <w:sz w:val="22"/>
                <w:highlight w:val="none"/>
              </w:rPr>
              <w:t>投标文件的形式：</w:t>
            </w:r>
            <w:r>
              <w:rPr>
                <w:rFonts w:hint="eastAsia" w:ascii="宋体" w:cs="宋体"/>
                <w:color w:val="auto"/>
                <w:sz w:val="22"/>
                <w:highlight w:val="none"/>
              </w:rPr>
              <w:t>☑电子投标文件（“电子加密投标文件”）；</w:t>
            </w:r>
          </w:p>
          <w:p w14:paraId="6167C19E">
            <w:pPr>
              <w:rPr>
                <w:rFonts w:ascii="宋体" w:cs="宋体"/>
                <w:color w:val="auto"/>
                <w:sz w:val="22"/>
                <w:highlight w:val="none"/>
              </w:rPr>
            </w:pPr>
            <w:r>
              <w:rPr>
                <w:rFonts w:hint="eastAsia" w:ascii="宋体" w:cs="宋体"/>
                <w:color w:val="auto"/>
                <w:sz w:val="22"/>
                <w:highlight w:val="none"/>
              </w:rPr>
              <w:t>“电子加密投标文件”是指通过“政采云电子交易客户端”完成投标文件编制后生成并加密的数据电文形式的投标文件。</w:t>
            </w:r>
          </w:p>
          <w:p w14:paraId="08689382">
            <w:pPr>
              <w:autoSpaceDE w:val="0"/>
              <w:autoSpaceDN w:val="0"/>
              <w:adjustRightInd w:val="0"/>
              <w:jc w:val="left"/>
              <w:rPr>
                <w:rFonts w:ascii="宋体" w:cs="宋体"/>
                <w:color w:val="auto"/>
                <w:sz w:val="22"/>
                <w:highlight w:val="none"/>
              </w:rPr>
            </w:pPr>
            <w:r>
              <w:rPr>
                <w:rFonts w:hint="eastAsia" w:ascii="宋体" w:cs="宋体"/>
                <w:b/>
                <w:bCs/>
                <w:color w:val="auto"/>
                <w:sz w:val="22"/>
                <w:highlight w:val="none"/>
              </w:rPr>
              <w:t>5、投标文件份数：</w:t>
            </w:r>
            <w:r>
              <w:rPr>
                <w:rFonts w:hint="eastAsia" w:ascii="宋体" w:cs="宋体"/>
                <w:color w:val="auto"/>
                <w:sz w:val="22"/>
                <w:highlight w:val="none"/>
              </w:rPr>
              <w:t>“电子加密投标文件”：在线上传递交。</w:t>
            </w:r>
          </w:p>
          <w:p w14:paraId="18277F21">
            <w:pPr>
              <w:rPr>
                <w:rFonts w:ascii="宋体" w:cs="宋体"/>
                <w:b/>
                <w:bCs/>
                <w:color w:val="auto"/>
                <w:sz w:val="22"/>
                <w:highlight w:val="none"/>
              </w:rPr>
            </w:pPr>
            <w:r>
              <w:rPr>
                <w:rFonts w:hint="eastAsia" w:ascii="宋体" w:cs="宋体"/>
                <w:color w:val="auto"/>
                <w:sz w:val="22"/>
                <w:highlight w:val="none"/>
              </w:rPr>
              <w:t>6、</w:t>
            </w:r>
            <w:r>
              <w:rPr>
                <w:rFonts w:hint="eastAsia" w:ascii="宋体" w:cs="宋体"/>
                <w:b/>
                <w:bCs/>
                <w:color w:val="auto"/>
                <w:sz w:val="22"/>
                <w:highlight w:val="none"/>
              </w:rPr>
              <w:t>投标文件的上传和递交：</w:t>
            </w:r>
          </w:p>
          <w:p w14:paraId="2F5706EC">
            <w:pPr>
              <w:rPr>
                <w:rFonts w:ascii="宋体" w:cs="宋体"/>
                <w:color w:val="auto"/>
                <w:sz w:val="22"/>
                <w:highlight w:val="none"/>
              </w:rPr>
            </w:pPr>
            <w:r>
              <w:rPr>
                <w:rFonts w:hint="eastAsia" w:ascii="宋体" w:cs="宋体"/>
                <w:color w:val="auto"/>
                <w:sz w:val="22"/>
                <w:highlight w:val="none"/>
              </w:rPr>
              <w:t>“电子加密投标文件”的上传、递交：</w:t>
            </w:r>
          </w:p>
          <w:p w14:paraId="4DA9AA32">
            <w:pPr>
              <w:rPr>
                <w:rFonts w:ascii="宋体" w:cs="宋体"/>
                <w:color w:val="auto"/>
                <w:sz w:val="22"/>
                <w:highlight w:val="none"/>
              </w:rPr>
            </w:pPr>
            <w:r>
              <w:rPr>
                <w:rFonts w:hint="eastAsia" w:ascii="宋体" w:cs="宋体"/>
                <w:color w:val="auto"/>
                <w:sz w:val="22"/>
                <w:highlight w:val="none"/>
              </w:rPr>
              <w:t>a.供应商应在投标截止时间前将“电子加密投标文件”成功上传递交至“政府采购云平台”，否则投标无效。</w:t>
            </w:r>
          </w:p>
          <w:p w14:paraId="6129A9FC">
            <w:pPr>
              <w:rPr>
                <w:rFonts w:ascii="宋体" w:cs="宋体"/>
                <w:color w:val="auto"/>
                <w:sz w:val="22"/>
                <w:highlight w:val="none"/>
              </w:rPr>
            </w:pPr>
            <w:r>
              <w:rPr>
                <w:rFonts w:hint="eastAsia" w:ascii="宋体" w:cs="宋体"/>
                <w:color w:val="auto"/>
                <w:sz w:val="22"/>
                <w:highlight w:val="none"/>
              </w:rPr>
              <w:t>b.“电子加密投标文件”成功上传递交后，供应商可自行打印投标文件接收回执。</w:t>
            </w:r>
          </w:p>
          <w:p w14:paraId="6A4B8FB5">
            <w:pPr>
              <w:rPr>
                <w:rFonts w:ascii="宋体" w:cs="宋体"/>
                <w:b/>
                <w:bCs/>
                <w:color w:val="auto"/>
                <w:sz w:val="22"/>
                <w:highlight w:val="none"/>
              </w:rPr>
            </w:pPr>
            <w:r>
              <w:rPr>
                <w:rFonts w:hint="eastAsia" w:ascii="宋体" w:cs="宋体"/>
                <w:b/>
                <w:bCs/>
                <w:color w:val="auto"/>
                <w:sz w:val="22"/>
                <w:highlight w:val="none"/>
              </w:rPr>
              <w:t>7、电子加密投标文件的解密：</w:t>
            </w:r>
          </w:p>
          <w:p w14:paraId="6E8BE8F3">
            <w:pPr>
              <w:autoSpaceDE w:val="0"/>
              <w:autoSpaceDN w:val="0"/>
              <w:adjustRightInd w:val="0"/>
              <w:jc w:val="left"/>
              <w:rPr>
                <w:rFonts w:ascii="宋体" w:cs="宋体"/>
                <w:color w:val="auto"/>
                <w:sz w:val="22"/>
                <w:highlight w:val="none"/>
              </w:rPr>
            </w:pPr>
            <w:r>
              <w:rPr>
                <w:rFonts w:hint="eastAsia" w:ascii="宋体" w:cs="宋体"/>
                <w:color w:val="auto"/>
                <w:sz w:val="22"/>
                <w:highlight w:val="none"/>
              </w:rPr>
              <w:t>（1）开标后，采购组织机构将向各供应商发出“电子加密投标文件”的解密通知，各供应商代表应当在接到解密通知后30分钟内自行完成“电子加密投标文件”的在线解密。</w:t>
            </w:r>
          </w:p>
          <w:p w14:paraId="6EE8CE80">
            <w:pPr>
              <w:snapToGrid w:val="0"/>
              <w:rPr>
                <w:rFonts w:ascii="宋体" w:cs="宋体"/>
                <w:color w:val="auto"/>
                <w:sz w:val="22"/>
                <w:highlight w:val="none"/>
              </w:rPr>
            </w:pPr>
            <w:r>
              <w:rPr>
                <w:rFonts w:hint="eastAsia" w:ascii="宋体" w:cs="宋体"/>
                <w:color w:val="auto"/>
                <w:sz w:val="22"/>
                <w:highlight w:val="none"/>
              </w:rPr>
              <w:t>（2）通过“政府采购云平台”成功上传递交的“电子加密投标文件”无法按时解密的，其投标无效。</w:t>
            </w:r>
          </w:p>
          <w:p w14:paraId="7BE8AE23">
            <w:pPr>
              <w:snapToGrid w:val="0"/>
              <w:rPr>
                <w:rFonts w:ascii="宋体" w:cs="宋体"/>
                <w:color w:val="auto"/>
                <w:sz w:val="22"/>
                <w:highlight w:val="none"/>
              </w:rPr>
            </w:pPr>
            <w:r>
              <w:rPr>
                <w:rFonts w:hint="eastAsia" w:ascii="宋体" w:cs="宋体"/>
                <w:color w:val="auto"/>
                <w:sz w:val="22"/>
                <w:highlight w:val="none"/>
              </w:rPr>
              <w:t>8、投标截止后，在投标有效期内，供应商不能撤销投标文件。</w:t>
            </w:r>
          </w:p>
          <w:p w14:paraId="62E2A6C2">
            <w:pPr>
              <w:snapToGrid w:val="0"/>
              <w:rPr>
                <w:rFonts w:ascii="宋体" w:cs="宋体"/>
                <w:color w:val="auto"/>
                <w:sz w:val="22"/>
                <w:highlight w:val="none"/>
              </w:rPr>
            </w:pPr>
            <w:r>
              <w:rPr>
                <w:rFonts w:hint="eastAsia" w:ascii="宋体" w:cs="宋体"/>
                <w:color w:val="auto"/>
                <w:sz w:val="22"/>
                <w:highlight w:val="none"/>
              </w:rPr>
              <w:t>9、存在下列行为的，招标代理机构将其失信行为上报政府采购主管部门，由主管部门按有关规定对其违法失信行为记录进行公开：</w:t>
            </w:r>
          </w:p>
          <w:p w14:paraId="4BA652D5">
            <w:pPr>
              <w:snapToGrid w:val="0"/>
              <w:rPr>
                <w:rFonts w:ascii="宋体" w:cs="宋体"/>
                <w:color w:val="auto"/>
                <w:sz w:val="22"/>
                <w:highlight w:val="none"/>
              </w:rPr>
            </w:pPr>
            <w:r>
              <w:rPr>
                <w:rFonts w:hint="eastAsia" w:ascii="宋体" w:cs="宋体"/>
                <w:color w:val="auto"/>
                <w:sz w:val="22"/>
                <w:highlight w:val="none"/>
              </w:rPr>
              <w:t>（1）中标或者成交后，拒绝签订政府采购合同的；</w:t>
            </w:r>
          </w:p>
          <w:p w14:paraId="52A21456">
            <w:pPr>
              <w:rPr>
                <w:rFonts w:ascii="宋体" w:cs="宋体"/>
                <w:color w:val="auto"/>
                <w:sz w:val="22"/>
                <w:highlight w:val="none"/>
              </w:rPr>
            </w:pPr>
            <w:r>
              <w:rPr>
                <w:rFonts w:hint="eastAsia" w:ascii="宋体" w:cs="宋体"/>
                <w:color w:val="auto"/>
                <w:sz w:val="22"/>
                <w:highlight w:val="none"/>
              </w:rPr>
              <w:t>（2）投标有效期内撤销投标文件的。</w:t>
            </w:r>
          </w:p>
          <w:p w14:paraId="7D204FB5">
            <w:pPr>
              <w:rPr>
                <w:rFonts w:ascii="宋体" w:cs="宋体"/>
                <w:color w:val="auto"/>
                <w:sz w:val="22"/>
                <w:highlight w:val="none"/>
              </w:rPr>
            </w:pPr>
            <w:r>
              <w:rPr>
                <w:rFonts w:hint="eastAsia" w:ascii="宋体" w:cs="宋体"/>
                <w:color w:val="auto"/>
                <w:sz w:val="22"/>
                <w:highlight w:val="none"/>
              </w:rPr>
              <w:t>10、</w:t>
            </w:r>
            <w:r>
              <w:rPr>
                <w:rFonts w:hint="eastAsia" w:ascii="宋体" w:cs="宋体"/>
                <w:b/>
                <w:bCs/>
                <w:color w:val="auto"/>
                <w:sz w:val="22"/>
                <w:highlight w:val="none"/>
                <w:u w:val="single"/>
              </w:rPr>
              <w:t>中标后，中标供应商须提供3份纸质投标文件至招标代理机构处作为纸质存档（正本一份，副本二份）邮寄至泰顺县公共资源交易中心政府采购科（邮寄信息：温州市泰顺县罗阳镇新城大道123号204室，吴先生，0577-67592508）。</w:t>
            </w:r>
          </w:p>
        </w:tc>
      </w:tr>
      <w:tr w14:paraId="5F07E5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92" w:type="dxa"/>
            <w:tcBorders>
              <w:top w:val="single" w:color="auto" w:sz="4" w:space="0"/>
              <w:left w:val="single" w:color="auto" w:sz="12" w:space="0"/>
              <w:right w:val="single" w:color="auto" w:sz="4" w:space="0"/>
            </w:tcBorders>
            <w:vAlign w:val="center"/>
          </w:tcPr>
          <w:p w14:paraId="6BC2C671">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715E2D16">
            <w:pPr>
              <w:adjustRightInd w:val="0"/>
              <w:jc w:val="center"/>
              <w:rPr>
                <w:rFonts w:ascii="宋体" w:cs="宋体"/>
                <w:color w:val="auto"/>
                <w:sz w:val="22"/>
                <w:highlight w:val="none"/>
              </w:rPr>
            </w:pPr>
            <w:r>
              <w:rPr>
                <w:rFonts w:hint="eastAsia" w:ascii="宋体" w:cs="宋体"/>
                <w:color w:val="auto"/>
                <w:sz w:val="22"/>
                <w:highlight w:val="none"/>
              </w:rPr>
              <w:t>投标样品</w:t>
            </w:r>
          </w:p>
        </w:tc>
        <w:tc>
          <w:tcPr>
            <w:tcW w:w="6998" w:type="dxa"/>
            <w:tcBorders>
              <w:top w:val="single" w:color="auto" w:sz="4" w:space="0"/>
              <w:left w:val="single" w:color="auto" w:sz="4" w:space="0"/>
              <w:right w:val="single" w:color="auto" w:sz="12" w:space="0"/>
            </w:tcBorders>
            <w:vAlign w:val="center"/>
          </w:tcPr>
          <w:p w14:paraId="06620F56">
            <w:pPr>
              <w:adjustRightInd w:val="0"/>
              <w:snapToGrid w:val="0"/>
              <w:rPr>
                <w:rFonts w:ascii="宋体" w:cs="宋体"/>
                <w:color w:val="auto"/>
                <w:sz w:val="22"/>
                <w:highlight w:val="none"/>
              </w:rPr>
            </w:pPr>
            <w:r>
              <w:rPr>
                <w:rFonts w:hint="eastAsia" w:ascii="宋体" w:cs="宋体"/>
                <w:color w:val="auto"/>
                <w:sz w:val="22"/>
                <w:highlight w:val="none"/>
              </w:rPr>
              <w:t>☑</w:t>
            </w:r>
            <w:r>
              <w:rPr>
                <w:rFonts w:hint="eastAsia" w:ascii="宋体" w:cs="宋体"/>
                <w:color w:val="auto"/>
                <w:kern w:val="0"/>
                <w:sz w:val="22"/>
                <w:highlight w:val="none"/>
              </w:rPr>
              <w:t xml:space="preserve">不需要 </w:t>
            </w:r>
            <w:r>
              <w:rPr>
                <w:rFonts w:hint="eastAsia" w:ascii="宋体" w:cs="宋体"/>
                <w:color w:val="auto"/>
                <w:sz w:val="22"/>
                <w:highlight w:val="none"/>
              </w:rPr>
              <w:t>□</w:t>
            </w:r>
            <w:r>
              <w:rPr>
                <w:rFonts w:hint="eastAsia" w:ascii="宋体" w:cs="宋体"/>
                <w:color w:val="auto"/>
                <w:kern w:val="0"/>
                <w:sz w:val="22"/>
                <w:highlight w:val="none"/>
              </w:rPr>
              <w:t>需要</w:t>
            </w:r>
          </w:p>
        </w:tc>
      </w:tr>
      <w:tr w14:paraId="4A2FDF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92" w:type="dxa"/>
            <w:tcBorders>
              <w:top w:val="single" w:color="auto" w:sz="4" w:space="0"/>
              <w:left w:val="single" w:color="auto" w:sz="12" w:space="0"/>
              <w:right w:val="single" w:color="auto" w:sz="4" w:space="0"/>
            </w:tcBorders>
            <w:vAlign w:val="center"/>
          </w:tcPr>
          <w:p w14:paraId="31E6A463">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051B9374">
            <w:pPr>
              <w:jc w:val="center"/>
              <w:rPr>
                <w:rFonts w:ascii="宋体" w:cs="宋体"/>
                <w:color w:val="auto"/>
                <w:sz w:val="22"/>
                <w:highlight w:val="none"/>
              </w:rPr>
            </w:pPr>
            <w:r>
              <w:rPr>
                <w:rFonts w:hint="eastAsia" w:ascii="宋体" w:cs="宋体"/>
                <w:color w:val="auto"/>
                <w:sz w:val="22"/>
                <w:highlight w:val="none"/>
              </w:rPr>
              <w:t>投标保证金</w:t>
            </w:r>
          </w:p>
        </w:tc>
        <w:tc>
          <w:tcPr>
            <w:tcW w:w="6998" w:type="dxa"/>
            <w:tcBorders>
              <w:top w:val="single" w:color="auto" w:sz="4" w:space="0"/>
              <w:left w:val="single" w:color="auto" w:sz="4" w:space="0"/>
              <w:right w:val="single" w:color="auto" w:sz="12" w:space="0"/>
            </w:tcBorders>
            <w:vAlign w:val="center"/>
          </w:tcPr>
          <w:p w14:paraId="6ACBE460">
            <w:pPr>
              <w:adjustRightInd w:val="0"/>
              <w:snapToGrid w:val="0"/>
              <w:rPr>
                <w:rFonts w:ascii="宋体" w:cs="宋体"/>
                <w:color w:val="auto"/>
                <w:sz w:val="22"/>
                <w:highlight w:val="none"/>
              </w:rPr>
            </w:pPr>
            <w:r>
              <w:rPr>
                <w:rFonts w:hint="eastAsia" w:ascii="宋体" w:cs="宋体"/>
                <w:color w:val="auto"/>
                <w:sz w:val="22"/>
                <w:highlight w:val="none"/>
              </w:rPr>
              <w:t>☑</w:t>
            </w:r>
            <w:r>
              <w:rPr>
                <w:rFonts w:hint="eastAsia" w:ascii="宋体" w:cs="宋体"/>
                <w:color w:val="auto"/>
                <w:kern w:val="0"/>
                <w:sz w:val="22"/>
                <w:highlight w:val="none"/>
              </w:rPr>
              <w:t xml:space="preserve">不需要 </w:t>
            </w:r>
            <w:bookmarkStart w:id="3" w:name="OLE_LINK7"/>
            <w:r>
              <w:rPr>
                <w:rFonts w:hint="eastAsia" w:ascii="宋体" w:cs="宋体"/>
                <w:color w:val="auto"/>
                <w:sz w:val="22"/>
                <w:highlight w:val="none"/>
              </w:rPr>
              <w:t>□</w:t>
            </w:r>
            <w:bookmarkEnd w:id="3"/>
            <w:r>
              <w:rPr>
                <w:rFonts w:hint="eastAsia" w:ascii="宋体" w:cs="宋体"/>
                <w:color w:val="auto"/>
                <w:kern w:val="0"/>
                <w:sz w:val="22"/>
                <w:highlight w:val="none"/>
              </w:rPr>
              <w:t>需要</w:t>
            </w:r>
          </w:p>
        </w:tc>
      </w:tr>
      <w:tr w14:paraId="0F0762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92" w:type="dxa"/>
            <w:tcBorders>
              <w:top w:val="single" w:color="auto" w:sz="4" w:space="0"/>
              <w:left w:val="single" w:color="auto" w:sz="12" w:space="0"/>
              <w:right w:val="single" w:color="auto" w:sz="4" w:space="0"/>
            </w:tcBorders>
            <w:vAlign w:val="center"/>
          </w:tcPr>
          <w:p w14:paraId="5C85F4CC">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3343EEB3">
            <w:pPr>
              <w:adjustRightInd w:val="0"/>
              <w:jc w:val="center"/>
              <w:rPr>
                <w:rFonts w:ascii="宋体" w:cs="宋体"/>
                <w:color w:val="auto"/>
                <w:sz w:val="22"/>
                <w:highlight w:val="none"/>
              </w:rPr>
            </w:pPr>
            <w:r>
              <w:rPr>
                <w:rFonts w:hint="eastAsia" w:ascii="宋体" w:cs="宋体"/>
                <w:color w:val="auto"/>
                <w:sz w:val="22"/>
                <w:highlight w:val="none"/>
              </w:rPr>
              <w:t>履约担保</w:t>
            </w:r>
          </w:p>
        </w:tc>
        <w:tc>
          <w:tcPr>
            <w:tcW w:w="6998" w:type="dxa"/>
            <w:tcBorders>
              <w:top w:val="single" w:color="auto" w:sz="4" w:space="0"/>
              <w:left w:val="single" w:color="auto" w:sz="4" w:space="0"/>
              <w:right w:val="single" w:color="auto" w:sz="12" w:space="0"/>
            </w:tcBorders>
            <w:vAlign w:val="center"/>
          </w:tcPr>
          <w:p w14:paraId="4F065C59">
            <w:pPr>
              <w:rPr>
                <w:rFonts w:ascii="宋体" w:cs="宋体"/>
                <w:color w:val="auto"/>
                <w:sz w:val="22"/>
                <w:highlight w:val="none"/>
              </w:rPr>
            </w:pPr>
            <w:r>
              <w:rPr>
                <w:rFonts w:hint="eastAsia" w:ascii="宋体" w:cs="宋体"/>
                <w:color w:val="auto"/>
                <w:sz w:val="22"/>
                <w:highlight w:val="none"/>
              </w:rPr>
              <w:t>□不需要</w:t>
            </w:r>
          </w:p>
          <w:p w14:paraId="78BE958B">
            <w:pPr>
              <w:rPr>
                <w:rFonts w:ascii="宋体" w:cs="宋体"/>
                <w:color w:val="auto"/>
                <w:sz w:val="22"/>
                <w:highlight w:val="none"/>
              </w:rPr>
            </w:pPr>
            <w:r>
              <w:rPr>
                <w:rFonts w:hint="eastAsia" w:ascii="宋体" w:cs="宋体"/>
                <w:color w:val="auto"/>
                <w:sz w:val="22"/>
                <w:highlight w:val="none"/>
              </w:rPr>
              <w:t>☑需要</w:t>
            </w:r>
            <w:r>
              <w:rPr>
                <w:rFonts w:hint="eastAsia" w:ascii="宋体" w:cs="宋体"/>
                <w:color w:val="auto"/>
                <w:kern w:val="0"/>
                <w:sz w:val="22"/>
                <w:highlight w:val="none"/>
              </w:rPr>
              <w:t>：合同签订后5个工作日内成交供应商应提供合同总金额1%的履约保证金至采购单位指定账户，供应商以银行、保险公司出具保函形式提交履约保证金的，采购人不得拒收</w:t>
            </w:r>
            <w:r>
              <w:rPr>
                <w:rFonts w:hint="eastAsia" w:ascii="宋体" w:cs="宋体"/>
                <w:color w:val="auto"/>
                <w:kern w:val="0"/>
                <w:sz w:val="22"/>
                <w:highlight w:val="none"/>
                <w:lang w:val="zh-CN"/>
              </w:rPr>
              <w:t>。</w:t>
            </w:r>
          </w:p>
        </w:tc>
      </w:tr>
      <w:tr w14:paraId="07A55D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92" w:type="dxa"/>
            <w:tcBorders>
              <w:top w:val="single" w:color="auto" w:sz="4" w:space="0"/>
              <w:left w:val="single" w:color="auto" w:sz="12" w:space="0"/>
              <w:right w:val="single" w:color="auto" w:sz="4" w:space="0"/>
            </w:tcBorders>
            <w:vAlign w:val="center"/>
          </w:tcPr>
          <w:p w14:paraId="5EA908DC">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2D80AED5">
            <w:pPr>
              <w:jc w:val="center"/>
              <w:rPr>
                <w:rFonts w:ascii="宋体" w:cs="宋体"/>
                <w:color w:val="auto"/>
                <w:sz w:val="22"/>
                <w:highlight w:val="none"/>
              </w:rPr>
            </w:pPr>
            <w:r>
              <w:rPr>
                <w:rFonts w:hint="eastAsia" w:ascii="宋体" w:cs="宋体"/>
                <w:color w:val="auto"/>
                <w:sz w:val="22"/>
                <w:highlight w:val="none"/>
              </w:rPr>
              <w:t>竞争性磋商文件发售时间及获取方式</w:t>
            </w:r>
          </w:p>
        </w:tc>
        <w:tc>
          <w:tcPr>
            <w:tcW w:w="6998" w:type="dxa"/>
            <w:tcBorders>
              <w:top w:val="single" w:color="auto" w:sz="4" w:space="0"/>
              <w:left w:val="single" w:color="auto" w:sz="4" w:space="0"/>
              <w:right w:val="single" w:color="auto" w:sz="12" w:space="0"/>
            </w:tcBorders>
            <w:vAlign w:val="center"/>
          </w:tcPr>
          <w:p w14:paraId="668AB6F3">
            <w:pPr>
              <w:jc w:val="left"/>
              <w:rPr>
                <w:rFonts w:ascii="宋体" w:cs="宋体"/>
                <w:color w:val="auto"/>
                <w:sz w:val="22"/>
                <w:highlight w:val="none"/>
              </w:rPr>
            </w:pPr>
            <w:r>
              <w:rPr>
                <w:rFonts w:hint="eastAsia" w:ascii="宋体" w:cs="宋体"/>
                <w:color w:val="auto"/>
                <w:sz w:val="22"/>
                <w:highlight w:val="none"/>
              </w:rPr>
              <w:t>登录浙江省政府采购网（网址：</w:t>
            </w:r>
            <w:r>
              <w:rPr>
                <w:rFonts w:hint="eastAsia" w:ascii="宋体" w:cs="宋体"/>
                <w:color w:val="auto"/>
                <w:sz w:val="22"/>
                <w:highlight w:val="none"/>
              </w:rPr>
              <w:fldChar w:fldCharType="begin"/>
            </w:r>
            <w:r>
              <w:rPr>
                <w:color w:val="auto"/>
                <w:highlight w:val="none"/>
              </w:rPr>
              <w:instrText xml:space="preserve">HYPERLINK "http://www.zjzfcg.gov.cn）查找本项目并获取采购文件，获取采购文件时应填写正确的电子邮箱。"</w:instrText>
            </w:r>
            <w:r>
              <w:rPr>
                <w:rFonts w:hint="eastAsia" w:ascii="宋体" w:cs="宋体"/>
                <w:color w:val="auto"/>
                <w:sz w:val="22"/>
                <w:highlight w:val="none"/>
              </w:rPr>
              <w:fldChar w:fldCharType="separate"/>
            </w:r>
            <w:r>
              <w:rPr>
                <w:rFonts w:hint="eastAsia" w:ascii="宋体" w:cs="宋体"/>
                <w:color w:val="auto"/>
                <w:sz w:val="22"/>
                <w:highlight w:val="none"/>
              </w:rPr>
              <w:t>http://zfcg.czt.zj.gov.cn/）查找本项目并获取采购文件，获取采购文件时应填写正确的电子邮箱（开标时文件传输均发至此邮箱）。</w:t>
            </w:r>
          </w:p>
          <w:p w14:paraId="31D7737D">
            <w:pPr>
              <w:jc w:val="left"/>
              <w:rPr>
                <w:rFonts w:ascii="宋体" w:cs="宋体"/>
                <w:color w:val="auto"/>
                <w:sz w:val="22"/>
                <w:highlight w:val="none"/>
              </w:rPr>
            </w:pPr>
            <w:r>
              <w:rPr>
                <w:rFonts w:hint="eastAsia" w:ascii="宋体" w:cs="宋体"/>
                <w:color w:val="auto"/>
                <w:sz w:val="22"/>
                <w:highlight w:val="none"/>
              </w:rPr>
              <w:fldChar w:fldCharType="end"/>
            </w:r>
            <w:r>
              <w:rPr>
                <w:rFonts w:hint="eastAsia" w:ascii="宋体" w:cs="宋体"/>
                <w:color w:val="auto"/>
                <w:sz w:val="22"/>
                <w:highlight w:val="none"/>
              </w:rPr>
              <w:t>采购文件获取截止时间：本项目开标时间。</w:t>
            </w:r>
          </w:p>
        </w:tc>
      </w:tr>
      <w:tr w14:paraId="4B7439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92" w:type="dxa"/>
            <w:tcBorders>
              <w:top w:val="single" w:color="auto" w:sz="4" w:space="0"/>
              <w:left w:val="single" w:color="auto" w:sz="12" w:space="0"/>
              <w:right w:val="single" w:color="auto" w:sz="4" w:space="0"/>
            </w:tcBorders>
            <w:vAlign w:val="center"/>
          </w:tcPr>
          <w:p w14:paraId="1BF746C9">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0BE18FFC">
            <w:pPr>
              <w:jc w:val="center"/>
              <w:rPr>
                <w:rFonts w:ascii="宋体" w:cs="宋体"/>
                <w:color w:val="auto"/>
                <w:sz w:val="22"/>
                <w:highlight w:val="none"/>
              </w:rPr>
            </w:pPr>
            <w:r>
              <w:rPr>
                <w:rFonts w:hint="eastAsia" w:ascii="宋体" w:cs="宋体"/>
                <w:color w:val="auto"/>
                <w:sz w:val="22"/>
                <w:highlight w:val="none"/>
              </w:rPr>
              <w:t>投标文件递交截止时间及地点</w:t>
            </w:r>
          </w:p>
        </w:tc>
        <w:tc>
          <w:tcPr>
            <w:tcW w:w="6998" w:type="dxa"/>
            <w:tcBorders>
              <w:top w:val="single" w:color="auto" w:sz="4" w:space="0"/>
              <w:left w:val="single" w:color="auto" w:sz="4" w:space="0"/>
              <w:right w:val="single" w:color="auto" w:sz="12" w:space="0"/>
            </w:tcBorders>
            <w:vAlign w:val="center"/>
          </w:tcPr>
          <w:p w14:paraId="46AE368A">
            <w:pPr>
              <w:jc w:val="left"/>
              <w:rPr>
                <w:rFonts w:ascii="宋体" w:cs="宋体"/>
                <w:color w:val="auto"/>
                <w:sz w:val="22"/>
                <w:highlight w:val="none"/>
              </w:rPr>
            </w:pPr>
            <w:r>
              <w:rPr>
                <w:rFonts w:hint="eastAsia" w:ascii="宋体" w:cs="宋体"/>
                <w:color w:val="auto"/>
                <w:sz w:val="22"/>
                <w:highlight w:val="none"/>
              </w:rPr>
              <w:t>2025年</w:t>
            </w:r>
            <w:r>
              <w:rPr>
                <w:rFonts w:hint="eastAsia" w:ascii="宋体" w:cs="宋体"/>
                <w:color w:val="auto"/>
                <w:sz w:val="22"/>
                <w:highlight w:val="none"/>
                <w:lang w:eastAsia="zh-CN"/>
              </w:rPr>
              <w:t>11月10日</w:t>
            </w:r>
            <w:r>
              <w:rPr>
                <w:rFonts w:hint="eastAsia" w:ascii="仿宋" w:hAnsi="仿宋" w:eastAsia="仿宋" w:cs="仿宋"/>
                <w:color w:val="auto"/>
                <w:sz w:val="22"/>
                <w:highlight w:val="none"/>
              </w:rPr>
              <w:t>15:00</w:t>
            </w:r>
            <w:r>
              <w:rPr>
                <w:rFonts w:hint="eastAsia" w:ascii="宋体" w:cs="宋体"/>
                <w:color w:val="auto"/>
                <w:sz w:val="22"/>
                <w:highlight w:val="none"/>
              </w:rPr>
              <w:t>（（北京时间）；</w:t>
            </w:r>
          </w:p>
          <w:p w14:paraId="2CC070FF">
            <w:pPr>
              <w:jc w:val="left"/>
              <w:rPr>
                <w:rFonts w:ascii="宋体" w:cs="宋体"/>
                <w:color w:val="auto"/>
                <w:sz w:val="22"/>
                <w:highlight w:val="none"/>
              </w:rPr>
            </w:pPr>
            <w:r>
              <w:rPr>
                <w:rFonts w:hint="eastAsia" w:ascii="宋体" w:cs="宋体"/>
                <w:color w:val="auto"/>
                <w:sz w:val="22"/>
                <w:highlight w:val="none"/>
              </w:rPr>
              <w:t>投标文件递交地点：“政府采购云平台（http://zfcg.czt.zj.gov.cn/）”在线递交</w:t>
            </w:r>
          </w:p>
        </w:tc>
      </w:tr>
      <w:tr w14:paraId="49B538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92" w:type="dxa"/>
            <w:tcBorders>
              <w:top w:val="single" w:color="auto" w:sz="4" w:space="0"/>
              <w:left w:val="single" w:color="auto" w:sz="12" w:space="0"/>
              <w:right w:val="single" w:color="auto" w:sz="4" w:space="0"/>
            </w:tcBorders>
            <w:vAlign w:val="center"/>
          </w:tcPr>
          <w:p w14:paraId="511DE419">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7424748C">
            <w:pPr>
              <w:jc w:val="center"/>
              <w:rPr>
                <w:rFonts w:ascii="宋体" w:cs="宋体"/>
                <w:color w:val="auto"/>
                <w:sz w:val="22"/>
                <w:highlight w:val="none"/>
              </w:rPr>
            </w:pPr>
            <w:r>
              <w:rPr>
                <w:rFonts w:hint="eastAsia" w:ascii="宋体" w:cs="宋体"/>
                <w:color w:val="auto"/>
                <w:sz w:val="22"/>
                <w:highlight w:val="none"/>
              </w:rPr>
              <w:t>开标时间</w:t>
            </w:r>
          </w:p>
          <w:p w14:paraId="3F8AA065">
            <w:pPr>
              <w:jc w:val="center"/>
              <w:rPr>
                <w:rFonts w:ascii="宋体" w:cs="宋体"/>
                <w:color w:val="auto"/>
                <w:sz w:val="22"/>
                <w:highlight w:val="none"/>
              </w:rPr>
            </w:pPr>
            <w:r>
              <w:rPr>
                <w:rFonts w:hint="eastAsia" w:ascii="宋体" w:cs="宋体"/>
                <w:color w:val="auto"/>
                <w:sz w:val="22"/>
                <w:highlight w:val="none"/>
              </w:rPr>
              <w:t>开标地点</w:t>
            </w:r>
          </w:p>
        </w:tc>
        <w:tc>
          <w:tcPr>
            <w:tcW w:w="6998" w:type="dxa"/>
            <w:tcBorders>
              <w:top w:val="single" w:color="auto" w:sz="4" w:space="0"/>
              <w:left w:val="single" w:color="auto" w:sz="4" w:space="0"/>
              <w:right w:val="single" w:color="auto" w:sz="12" w:space="0"/>
            </w:tcBorders>
            <w:vAlign w:val="center"/>
          </w:tcPr>
          <w:p w14:paraId="1F264D9E">
            <w:pPr>
              <w:jc w:val="left"/>
              <w:rPr>
                <w:rFonts w:ascii="宋体" w:cs="宋体"/>
                <w:color w:val="auto"/>
                <w:sz w:val="22"/>
                <w:highlight w:val="none"/>
              </w:rPr>
            </w:pPr>
            <w:r>
              <w:rPr>
                <w:rFonts w:hint="eastAsia" w:ascii="宋体" w:cs="宋体"/>
                <w:color w:val="auto"/>
                <w:sz w:val="22"/>
                <w:highlight w:val="none"/>
              </w:rPr>
              <w:t>开标时间：2025年</w:t>
            </w:r>
            <w:r>
              <w:rPr>
                <w:rFonts w:hint="eastAsia" w:ascii="宋体" w:cs="宋体"/>
                <w:color w:val="auto"/>
                <w:sz w:val="22"/>
                <w:highlight w:val="none"/>
                <w:lang w:eastAsia="zh-CN"/>
              </w:rPr>
              <w:t>11月10日</w:t>
            </w:r>
            <w:r>
              <w:rPr>
                <w:rFonts w:hint="eastAsia" w:ascii="仿宋" w:hAnsi="仿宋" w:eastAsia="仿宋" w:cs="仿宋"/>
                <w:color w:val="auto"/>
                <w:sz w:val="22"/>
                <w:highlight w:val="none"/>
              </w:rPr>
              <w:t>15:00</w:t>
            </w:r>
            <w:r>
              <w:rPr>
                <w:rFonts w:hint="eastAsia" w:ascii="宋体" w:cs="宋体"/>
                <w:color w:val="auto"/>
                <w:sz w:val="22"/>
                <w:highlight w:val="none"/>
              </w:rPr>
              <w:t>（（北京时间）；</w:t>
            </w:r>
          </w:p>
          <w:p w14:paraId="0E0F3374">
            <w:pPr>
              <w:jc w:val="left"/>
              <w:rPr>
                <w:rFonts w:ascii="宋体" w:cs="宋体"/>
                <w:color w:val="auto"/>
                <w:sz w:val="22"/>
                <w:highlight w:val="none"/>
              </w:rPr>
            </w:pPr>
            <w:r>
              <w:rPr>
                <w:rFonts w:hint="eastAsia" w:ascii="宋体" w:cs="宋体"/>
                <w:color w:val="auto"/>
                <w:sz w:val="22"/>
                <w:highlight w:val="none"/>
              </w:rPr>
              <w:t>开标地点：“政府采购云平台（http://zfcg.czt.zj.gov.cn/）”在线开标</w:t>
            </w:r>
          </w:p>
        </w:tc>
      </w:tr>
      <w:tr w14:paraId="6F2F3A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92" w:type="dxa"/>
            <w:tcBorders>
              <w:top w:val="single" w:color="auto" w:sz="4" w:space="0"/>
              <w:left w:val="single" w:color="auto" w:sz="12" w:space="0"/>
              <w:right w:val="single" w:color="auto" w:sz="4" w:space="0"/>
            </w:tcBorders>
            <w:vAlign w:val="center"/>
          </w:tcPr>
          <w:p w14:paraId="12C47EDC">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6E81E797">
            <w:pPr>
              <w:jc w:val="center"/>
              <w:rPr>
                <w:rFonts w:ascii="宋体" w:cs="宋体"/>
                <w:color w:val="auto"/>
                <w:sz w:val="22"/>
                <w:highlight w:val="none"/>
              </w:rPr>
            </w:pPr>
            <w:r>
              <w:rPr>
                <w:rFonts w:hint="eastAsia" w:ascii="宋体" w:cs="宋体"/>
                <w:color w:val="auto"/>
                <w:sz w:val="22"/>
                <w:highlight w:val="none"/>
              </w:rPr>
              <w:t>评审地点</w:t>
            </w:r>
          </w:p>
        </w:tc>
        <w:tc>
          <w:tcPr>
            <w:tcW w:w="6998" w:type="dxa"/>
            <w:tcBorders>
              <w:top w:val="single" w:color="auto" w:sz="4" w:space="0"/>
              <w:left w:val="single" w:color="auto" w:sz="4" w:space="0"/>
              <w:right w:val="single" w:color="auto" w:sz="12" w:space="0"/>
            </w:tcBorders>
            <w:vAlign w:val="center"/>
          </w:tcPr>
          <w:p w14:paraId="04BCB08F">
            <w:pPr>
              <w:tabs>
                <w:tab w:val="left" w:pos="1069"/>
                <w:tab w:val="left" w:pos="2352"/>
              </w:tabs>
              <w:jc w:val="left"/>
              <w:rPr>
                <w:rFonts w:ascii="宋体" w:cs="宋体"/>
                <w:color w:val="auto"/>
                <w:sz w:val="22"/>
                <w:highlight w:val="none"/>
              </w:rPr>
            </w:pPr>
            <w:r>
              <w:rPr>
                <w:rFonts w:hint="eastAsia" w:ascii="宋体" w:hAnsi="宋体" w:cs="宋体"/>
                <w:color w:val="auto"/>
                <w:sz w:val="22"/>
                <w:highlight w:val="none"/>
              </w:rPr>
              <w:t>泰顺县公共资源交易中心五楼评标室（温州市泰顺县罗阳镇新城大道123号）</w:t>
            </w:r>
          </w:p>
        </w:tc>
      </w:tr>
      <w:tr w14:paraId="55CD98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92" w:type="dxa"/>
            <w:tcBorders>
              <w:top w:val="single" w:color="auto" w:sz="4" w:space="0"/>
              <w:left w:val="single" w:color="auto" w:sz="12" w:space="0"/>
              <w:right w:val="single" w:color="auto" w:sz="4" w:space="0"/>
            </w:tcBorders>
            <w:vAlign w:val="center"/>
          </w:tcPr>
          <w:p w14:paraId="51C5C616">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67F6C575">
            <w:pPr>
              <w:jc w:val="center"/>
              <w:rPr>
                <w:rFonts w:ascii="宋体" w:cs="宋体"/>
                <w:color w:val="auto"/>
                <w:sz w:val="22"/>
                <w:highlight w:val="none"/>
              </w:rPr>
            </w:pPr>
            <w:r>
              <w:rPr>
                <w:rFonts w:hint="eastAsia" w:ascii="宋体" w:cs="宋体"/>
                <w:color w:val="auto"/>
                <w:sz w:val="22"/>
                <w:highlight w:val="none"/>
              </w:rPr>
              <w:t>开标程序</w:t>
            </w:r>
          </w:p>
        </w:tc>
        <w:tc>
          <w:tcPr>
            <w:tcW w:w="6998" w:type="dxa"/>
            <w:tcBorders>
              <w:top w:val="single" w:color="auto" w:sz="4" w:space="0"/>
              <w:left w:val="single" w:color="auto" w:sz="4" w:space="0"/>
              <w:right w:val="single" w:color="auto" w:sz="12" w:space="0"/>
            </w:tcBorders>
            <w:vAlign w:val="center"/>
          </w:tcPr>
          <w:p w14:paraId="720B3128">
            <w:pPr>
              <w:rPr>
                <w:rFonts w:ascii="宋体" w:cs="宋体"/>
                <w:color w:val="auto"/>
                <w:sz w:val="22"/>
                <w:highlight w:val="none"/>
              </w:rPr>
            </w:pPr>
            <w:r>
              <w:rPr>
                <w:rFonts w:hint="eastAsia" w:ascii="宋体" w:cs="宋体"/>
                <w:color w:val="auto"/>
                <w:sz w:val="22"/>
                <w:highlight w:val="none"/>
              </w:rPr>
              <w:t>（一）开标准备</w:t>
            </w:r>
          </w:p>
          <w:p w14:paraId="279711ED">
            <w:pPr>
              <w:rPr>
                <w:rFonts w:ascii="宋体" w:cs="宋体"/>
                <w:color w:val="auto"/>
                <w:sz w:val="22"/>
                <w:highlight w:val="none"/>
              </w:rPr>
            </w:pPr>
            <w:r>
              <w:rPr>
                <w:rFonts w:hint="eastAsia" w:ascii="宋体" w:cs="宋体"/>
                <w:color w:val="auto"/>
                <w:sz w:val="22"/>
                <w:highlight w:val="none"/>
              </w:rPr>
              <w:t>1.采购组织机构原则上采用电子评标，按照投标文件规定的时间通过“政府采购云平台”组织开标、开启投标文件，所有供应商均应当准时在线参加。供应商如不参加磋商大会的，视同认可磋商结果，事后不得对采购相关人员、磋商过程和磋商结果提出异议，同时供应商因未在线参加磋商而导致投标文件无法按时解密等一切后果由供应商自己承担。</w:t>
            </w:r>
          </w:p>
          <w:p w14:paraId="3102CBAB">
            <w:pPr>
              <w:rPr>
                <w:rFonts w:ascii="宋体" w:cs="宋体"/>
                <w:color w:val="auto"/>
                <w:sz w:val="22"/>
                <w:highlight w:val="none"/>
              </w:rPr>
            </w:pPr>
            <w:r>
              <w:rPr>
                <w:rFonts w:hint="eastAsia" w:ascii="宋体" w:cs="宋体"/>
                <w:color w:val="auto"/>
                <w:sz w:val="22"/>
                <w:highlight w:val="none"/>
              </w:rPr>
              <w:t>2.若磋商供应商在规定时间内无法解密或解密失败的，其投标无效。</w:t>
            </w:r>
          </w:p>
          <w:p w14:paraId="3D6383DC">
            <w:pPr>
              <w:rPr>
                <w:rFonts w:ascii="宋体" w:cs="宋体"/>
                <w:color w:val="auto"/>
                <w:sz w:val="22"/>
                <w:highlight w:val="none"/>
              </w:rPr>
            </w:pPr>
            <w:r>
              <w:rPr>
                <w:rFonts w:hint="eastAsia" w:ascii="宋体" w:cs="宋体"/>
                <w:color w:val="auto"/>
                <w:sz w:val="22"/>
                <w:highlight w:val="none"/>
              </w:rPr>
              <w:t>3.所有二次报价询标流程，均在线上完成，请各供应商务必不要离开电脑太久，并留意手机短信。（请提前检查“政采云”内，关于‘项目采购’的岗位权限是否已勾选上。如有问题，请致电400-881-7190）。</w:t>
            </w:r>
          </w:p>
          <w:p w14:paraId="5065347E">
            <w:pPr>
              <w:rPr>
                <w:rFonts w:ascii="宋体" w:cs="宋体"/>
                <w:color w:val="auto"/>
                <w:sz w:val="22"/>
                <w:highlight w:val="none"/>
              </w:rPr>
            </w:pPr>
            <w:r>
              <w:rPr>
                <w:rFonts w:hint="eastAsia" w:ascii="宋体" w:cs="宋体"/>
                <w:color w:val="auto"/>
                <w:sz w:val="22"/>
                <w:highlight w:val="none"/>
              </w:rPr>
              <w:t>（二）电子招投标开标及评审程序</w:t>
            </w:r>
          </w:p>
          <w:p w14:paraId="79C69D67">
            <w:pPr>
              <w:rPr>
                <w:rFonts w:ascii="宋体" w:cs="宋体"/>
                <w:color w:val="auto"/>
                <w:sz w:val="22"/>
                <w:highlight w:val="none"/>
              </w:rPr>
            </w:pPr>
            <w:r>
              <w:rPr>
                <w:rFonts w:hint="eastAsia" w:ascii="宋体" w:cs="宋体"/>
                <w:color w:val="auto"/>
                <w:sz w:val="22"/>
                <w:highlight w:val="none"/>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3B1B72B7">
            <w:pPr>
              <w:rPr>
                <w:rFonts w:ascii="宋体" w:cs="宋体"/>
                <w:color w:val="auto"/>
                <w:sz w:val="22"/>
                <w:highlight w:val="none"/>
              </w:rPr>
            </w:pPr>
            <w:r>
              <w:rPr>
                <w:rFonts w:hint="eastAsia" w:ascii="宋体" w:cs="宋体"/>
                <w:color w:val="auto"/>
                <w:sz w:val="22"/>
                <w:highlight w:val="none"/>
              </w:rPr>
              <w:t>2.投标文件解密结束，开启投标文件，对资格文件进行审查，并公布资格审查情况；</w:t>
            </w:r>
          </w:p>
          <w:p w14:paraId="43FBDFA1">
            <w:pPr>
              <w:rPr>
                <w:rFonts w:ascii="宋体" w:cs="宋体"/>
                <w:color w:val="auto"/>
                <w:sz w:val="22"/>
                <w:highlight w:val="none"/>
              </w:rPr>
            </w:pPr>
            <w:r>
              <w:rPr>
                <w:rFonts w:hint="eastAsia" w:ascii="宋体" w:cs="宋体"/>
                <w:color w:val="auto"/>
                <w:sz w:val="22"/>
                <w:highlight w:val="none"/>
              </w:rPr>
              <w:t>3.评审小组就价格、服务等认为需要磋商的内容进行磋商，供应商逐家回答磋商小组的提问，响应人作出最终承诺和最终报价。</w:t>
            </w:r>
          </w:p>
          <w:p w14:paraId="4F63F1C2">
            <w:pPr>
              <w:rPr>
                <w:rFonts w:ascii="宋体" w:cs="宋体"/>
                <w:color w:val="auto"/>
                <w:sz w:val="22"/>
                <w:highlight w:val="none"/>
              </w:rPr>
            </w:pPr>
            <w:r>
              <w:rPr>
                <w:rFonts w:hint="eastAsia" w:ascii="宋体" w:cs="宋体"/>
                <w:color w:val="auto"/>
                <w:sz w:val="22"/>
                <w:highlight w:val="none"/>
              </w:rPr>
              <w:t>5.对商务技术文件进行评审；</w:t>
            </w:r>
          </w:p>
          <w:p w14:paraId="0E270DF6">
            <w:pPr>
              <w:rPr>
                <w:rFonts w:ascii="宋体" w:cs="宋体"/>
                <w:color w:val="auto"/>
                <w:sz w:val="22"/>
                <w:highlight w:val="none"/>
              </w:rPr>
            </w:pPr>
            <w:r>
              <w:rPr>
                <w:rFonts w:hint="eastAsia" w:ascii="宋体" w:cs="宋体"/>
                <w:color w:val="auto"/>
                <w:sz w:val="22"/>
                <w:highlight w:val="none"/>
              </w:rPr>
              <w:t>6.对报价文件进行评审；</w:t>
            </w:r>
          </w:p>
          <w:p w14:paraId="3A7EDF21">
            <w:pPr>
              <w:rPr>
                <w:rFonts w:ascii="宋体" w:cs="宋体"/>
                <w:color w:val="auto"/>
                <w:sz w:val="22"/>
                <w:highlight w:val="none"/>
              </w:rPr>
            </w:pPr>
            <w:r>
              <w:rPr>
                <w:rFonts w:hint="eastAsia" w:ascii="宋体" w:cs="宋体"/>
                <w:color w:val="auto"/>
                <w:sz w:val="22"/>
                <w:highlight w:val="none"/>
              </w:rPr>
              <w:t>7.公布评审结果。</w:t>
            </w:r>
          </w:p>
          <w:p w14:paraId="638C45D6">
            <w:pPr>
              <w:rPr>
                <w:rFonts w:ascii="宋体" w:cs="宋体"/>
                <w:color w:val="auto"/>
                <w:sz w:val="22"/>
                <w:highlight w:val="none"/>
              </w:rPr>
            </w:pPr>
            <w:r>
              <w:rPr>
                <w:rFonts w:hint="eastAsia" w:ascii="宋体" w:cs="宋体"/>
                <w:color w:val="auto"/>
                <w:sz w:val="22"/>
                <w:highlight w:val="none"/>
              </w:rPr>
              <w:t>特别说明：政采云公司如对电子化开标及评审程序有调整的，按调整后的程序操作。</w:t>
            </w:r>
          </w:p>
        </w:tc>
      </w:tr>
      <w:tr w14:paraId="026188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0" w:hRule="atLeast"/>
          <w:jc w:val="center"/>
        </w:trPr>
        <w:tc>
          <w:tcPr>
            <w:tcW w:w="692" w:type="dxa"/>
            <w:tcBorders>
              <w:top w:val="single" w:color="auto" w:sz="4" w:space="0"/>
              <w:left w:val="single" w:color="auto" w:sz="12" w:space="0"/>
              <w:right w:val="single" w:color="auto" w:sz="4" w:space="0"/>
            </w:tcBorders>
            <w:vAlign w:val="center"/>
          </w:tcPr>
          <w:p w14:paraId="7169C204">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6C9CE2BC">
            <w:pPr>
              <w:jc w:val="center"/>
              <w:rPr>
                <w:rFonts w:ascii="宋体" w:cs="宋体"/>
                <w:color w:val="auto"/>
                <w:sz w:val="22"/>
                <w:highlight w:val="none"/>
              </w:rPr>
            </w:pPr>
            <w:r>
              <w:rPr>
                <w:rFonts w:hint="eastAsia" w:ascii="宋体" w:cs="宋体"/>
                <w:color w:val="auto"/>
                <w:sz w:val="22"/>
                <w:highlight w:val="none"/>
              </w:rPr>
              <w:t>评审小组的</w:t>
            </w:r>
          </w:p>
          <w:p w14:paraId="239F2F5C">
            <w:pPr>
              <w:jc w:val="center"/>
              <w:rPr>
                <w:rFonts w:ascii="宋体" w:cs="宋体"/>
                <w:color w:val="auto"/>
                <w:sz w:val="22"/>
                <w:highlight w:val="none"/>
              </w:rPr>
            </w:pPr>
            <w:r>
              <w:rPr>
                <w:rFonts w:hint="eastAsia" w:ascii="宋体" w:cs="宋体"/>
                <w:color w:val="auto"/>
                <w:sz w:val="22"/>
                <w:highlight w:val="none"/>
              </w:rPr>
              <w:t>组建</w:t>
            </w:r>
          </w:p>
        </w:tc>
        <w:tc>
          <w:tcPr>
            <w:tcW w:w="6998" w:type="dxa"/>
            <w:tcBorders>
              <w:top w:val="single" w:color="auto" w:sz="4" w:space="0"/>
              <w:left w:val="single" w:color="auto" w:sz="4" w:space="0"/>
              <w:right w:val="single" w:color="auto" w:sz="12" w:space="0"/>
            </w:tcBorders>
            <w:vAlign w:val="center"/>
          </w:tcPr>
          <w:p w14:paraId="002472BA">
            <w:pPr>
              <w:rPr>
                <w:rFonts w:ascii="宋体" w:cs="宋体"/>
                <w:color w:val="auto"/>
                <w:sz w:val="22"/>
                <w:highlight w:val="none"/>
              </w:rPr>
            </w:pPr>
            <w:r>
              <w:rPr>
                <w:rFonts w:hint="eastAsia" w:ascii="宋体" w:cs="宋体"/>
                <w:color w:val="auto"/>
                <w:sz w:val="22"/>
                <w:highlight w:val="none"/>
              </w:rPr>
              <w:t>评审小组构成：由采购人代表以及有关技术、经济等方面的专家组成，成员为3人及以上单数，其中技术、经济类专家不得少于总人数的2/3；评标专家确定方式：依法组建。</w:t>
            </w:r>
          </w:p>
        </w:tc>
      </w:tr>
      <w:tr w14:paraId="492D02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99" w:hRule="atLeast"/>
          <w:jc w:val="center"/>
        </w:trPr>
        <w:tc>
          <w:tcPr>
            <w:tcW w:w="692" w:type="dxa"/>
            <w:tcBorders>
              <w:top w:val="single" w:color="auto" w:sz="4" w:space="0"/>
              <w:left w:val="single" w:color="auto" w:sz="12" w:space="0"/>
              <w:right w:val="single" w:color="auto" w:sz="4" w:space="0"/>
            </w:tcBorders>
            <w:vAlign w:val="center"/>
          </w:tcPr>
          <w:p w14:paraId="63A7DBD2">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5023C1D7">
            <w:pPr>
              <w:adjustRightInd w:val="0"/>
              <w:jc w:val="center"/>
              <w:rPr>
                <w:rFonts w:ascii="宋体"/>
                <w:color w:val="auto"/>
                <w:sz w:val="22"/>
                <w:highlight w:val="none"/>
              </w:rPr>
            </w:pPr>
            <w:r>
              <w:rPr>
                <w:rFonts w:hint="eastAsia" w:ascii="宋体"/>
                <w:color w:val="auto"/>
                <w:sz w:val="22"/>
                <w:highlight w:val="none"/>
              </w:rPr>
              <w:t>采购</w:t>
            </w:r>
          </w:p>
          <w:p w14:paraId="57B757EE">
            <w:pPr>
              <w:adjustRightInd w:val="0"/>
              <w:jc w:val="center"/>
              <w:rPr>
                <w:rFonts w:ascii="宋体" w:cs="宋体"/>
                <w:color w:val="auto"/>
                <w:sz w:val="22"/>
                <w:highlight w:val="none"/>
              </w:rPr>
            </w:pPr>
            <w:r>
              <w:rPr>
                <w:rFonts w:hint="eastAsia" w:ascii="宋体"/>
                <w:color w:val="auto"/>
                <w:sz w:val="22"/>
                <w:highlight w:val="none"/>
              </w:rPr>
              <w:t>扶持政策</w:t>
            </w:r>
          </w:p>
        </w:tc>
        <w:tc>
          <w:tcPr>
            <w:tcW w:w="6998" w:type="dxa"/>
            <w:tcBorders>
              <w:top w:val="single" w:color="auto" w:sz="4" w:space="0"/>
              <w:left w:val="single" w:color="auto" w:sz="4" w:space="0"/>
              <w:right w:val="single" w:color="auto" w:sz="12" w:space="0"/>
            </w:tcBorders>
            <w:vAlign w:val="center"/>
          </w:tcPr>
          <w:p w14:paraId="2E19843F">
            <w:pPr>
              <w:rPr>
                <w:rFonts w:ascii="宋体" w:cs="宋体"/>
                <w:color w:val="auto"/>
                <w:sz w:val="22"/>
                <w:highlight w:val="none"/>
              </w:rPr>
            </w:pPr>
            <w:r>
              <w:rPr>
                <w:rFonts w:hint="eastAsia" w:ascii="宋体" w:cs="宋体"/>
                <w:color w:val="auto"/>
                <w:sz w:val="22"/>
                <w:highlight w:val="none"/>
              </w:rPr>
              <w:t>1、对符合财政扶持政策的小微企业（或监狱企业、或残疾人福利性单位）给予评标价格折扣。供应商企业属于以上多种性质的，不重复享受扶持政策。</w:t>
            </w:r>
          </w:p>
          <w:p w14:paraId="62BDFDA4">
            <w:pPr>
              <w:rPr>
                <w:rFonts w:ascii="宋体" w:cs="宋体"/>
                <w:color w:val="auto"/>
                <w:sz w:val="22"/>
                <w:highlight w:val="none"/>
              </w:rPr>
            </w:pPr>
            <w:r>
              <w:rPr>
                <w:rFonts w:hint="eastAsia" w:ascii="宋体" w:cs="宋体"/>
                <w:color w:val="auto"/>
                <w:sz w:val="22"/>
                <w:highlight w:val="none"/>
              </w:rPr>
              <w:t>2、对节能、环保产品优先采购。</w:t>
            </w:r>
          </w:p>
        </w:tc>
      </w:tr>
      <w:tr w14:paraId="6ACC8A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692" w:type="dxa"/>
            <w:tcBorders>
              <w:top w:val="single" w:color="auto" w:sz="4" w:space="0"/>
              <w:left w:val="single" w:color="auto" w:sz="12" w:space="0"/>
              <w:right w:val="single" w:color="auto" w:sz="4" w:space="0"/>
            </w:tcBorders>
            <w:vAlign w:val="center"/>
          </w:tcPr>
          <w:p w14:paraId="0C34F529">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40027165">
            <w:pPr>
              <w:jc w:val="center"/>
              <w:rPr>
                <w:rFonts w:hint="eastAsia" w:ascii="宋体" w:cs="宋体"/>
                <w:color w:val="auto"/>
                <w:sz w:val="22"/>
                <w:highlight w:val="none"/>
              </w:rPr>
            </w:pPr>
            <w:r>
              <w:rPr>
                <w:rFonts w:hint="eastAsia" w:ascii="宋体" w:cs="宋体"/>
                <w:color w:val="auto"/>
                <w:sz w:val="22"/>
                <w:highlight w:val="none"/>
              </w:rPr>
              <w:t>供应商信用</w:t>
            </w:r>
          </w:p>
          <w:p w14:paraId="4F4F7850">
            <w:pPr>
              <w:jc w:val="center"/>
              <w:rPr>
                <w:rFonts w:ascii="宋体" w:cs="宋体"/>
                <w:color w:val="auto"/>
                <w:sz w:val="22"/>
                <w:highlight w:val="none"/>
              </w:rPr>
            </w:pPr>
            <w:r>
              <w:rPr>
                <w:rFonts w:hint="eastAsia" w:ascii="宋体" w:cs="宋体"/>
                <w:color w:val="auto"/>
                <w:sz w:val="22"/>
                <w:highlight w:val="none"/>
              </w:rPr>
              <w:t>查询</w:t>
            </w:r>
          </w:p>
        </w:tc>
        <w:tc>
          <w:tcPr>
            <w:tcW w:w="6998" w:type="dxa"/>
            <w:tcBorders>
              <w:top w:val="single" w:color="auto" w:sz="4" w:space="0"/>
              <w:left w:val="single" w:color="auto" w:sz="4" w:space="0"/>
              <w:right w:val="single" w:color="auto" w:sz="12" w:space="0"/>
            </w:tcBorders>
            <w:vAlign w:val="center"/>
          </w:tcPr>
          <w:p w14:paraId="067798DD">
            <w:pPr>
              <w:wordWrap w:val="0"/>
              <w:rPr>
                <w:rFonts w:ascii="宋体" w:cs="宋体"/>
                <w:color w:val="auto"/>
                <w:sz w:val="22"/>
                <w:highlight w:val="none"/>
              </w:rPr>
            </w:pPr>
            <w:r>
              <w:rPr>
                <w:rFonts w:hint="eastAsia" w:ascii="宋体" w:cs="宋体"/>
                <w:color w:val="auto"/>
                <w:sz w:val="22"/>
                <w:highlight w:val="none"/>
              </w:rPr>
              <w:t>1、投标供应商信用信息查询的查询渠道：“信用中国”(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cs="宋体"/>
                <w:color w:val="auto"/>
                <w:sz w:val="22"/>
                <w:highlight w:val="none"/>
              </w:rPr>
              <w:t>www.creditchina.gov.cn</w:t>
            </w:r>
            <w:r>
              <w:rPr>
                <w:rFonts w:hint="eastAsia" w:ascii="宋体" w:cs="宋体"/>
                <w:color w:val="auto"/>
                <w:sz w:val="22"/>
                <w:highlight w:val="none"/>
              </w:rPr>
              <w:fldChar w:fldCharType="end"/>
            </w:r>
            <w:r>
              <w:rPr>
                <w:rFonts w:hint="eastAsia" w:ascii="宋体" w:cs="宋体"/>
                <w:color w:val="auto"/>
                <w:sz w:val="22"/>
                <w:highlight w:val="none"/>
              </w:rPr>
              <w:t>)；“中国政府采购网”（http://www.ccgp.gov.cn/）；</w:t>
            </w:r>
          </w:p>
          <w:p w14:paraId="1062E226">
            <w:pPr>
              <w:rPr>
                <w:rFonts w:ascii="宋体" w:cs="宋体"/>
                <w:color w:val="auto"/>
                <w:sz w:val="22"/>
                <w:highlight w:val="none"/>
              </w:rPr>
            </w:pPr>
            <w:r>
              <w:rPr>
                <w:rFonts w:hint="eastAsia" w:ascii="宋体" w:cs="宋体"/>
                <w:color w:val="auto"/>
                <w:sz w:val="22"/>
                <w:highlight w:val="none"/>
              </w:rPr>
              <w:t>2、投标供应商信用信息查询截止时点：本项目投标截止时间前。</w:t>
            </w:r>
          </w:p>
          <w:p w14:paraId="15A94B2D">
            <w:pPr>
              <w:rPr>
                <w:rFonts w:ascii="宋体" w:cs="宋体"/>
                <w:color w:val="auto"/>
                <w:sz w:val="22"/>
                <w:highlight w:val="none"/>
              </w:rPr>
            </w:pPr>
            <w:r>
              <w:rPr>
                <w:rFonts w:hint="eastAsia" w:ascii="宋体" w:cs="宋体"/>
                <w:color w:val="auto"/>
                <w:sz w:val="22"/>
                <w:highlight w:val="none"/>
              </w:rPr>
              <w:t>3、投标供应商信用信息查询记录和证据留存的具体方式：网页截图打印；</w:t>
            </w:r>
          </w:p>
          <w:p w14:paraId="552155B4">
            <w:pPr>
              <w:rPr>
                <w:rFonts w:ascii="宋体" w:cs="宋体"/>
                <w:color w:val="auto"/>
                <w:sz w:val="22"/>
                <w:highlight w:val="none"/>
              </w:rPr>
            </w:pPr>
            <w:r>
              <w:rPr>
                <w:rFonts w:hint="eastAsia" w:ascii="宋体" w:cs="宋体"/>
                <w:color w:val="auto"/>
                <w:sz w:val="22"/>
                <w:highlight w:val="none"/>
              </w:rPr>
              <w:t>4、信用信息的使用规则：信用中国”被列入失信被执行人名单、重大税收违法案件当事人名单的供应商，或“中国政府采购网”具有严重违法失信行为信息记录的供应商，其投标做无效投标处理；</w:t>
            </w:r>
          </w:p>
        </w:tc>
      </w:tr>
      <w:tr w14:paraId="0497A5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368" w:hRule="atLeast"/>
          <w:jc w:val="center"/>
        </w:trPr>
        <w:tc>
          <w:tcPr>
            <w:tcW w:w="692" w:type="dxa"/>
            <w:tcBorders>
              <w:top w:val="single" w:color="auto" w:sz="4" w:space="0"/>
              <w:left w:val="single" w:color="auto" w:sz="12" w:space="0"/>
              <w:right w:val="single" w:color="auto" w:sz="4" w:space="0"/>
            </w:tcBorders>
            <w:vAlign w:val="center"/>
          </w:tcPr>
          <w:p w14:paraId="73675633">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50BAABE1">
            <w:pPr>
              <w:jc w:val="center"/>
              <w:rPr>
                <w:rFonts w:ascii="宋体" w:cs="宋体"/>
                <w:color w:val="auto"/>
                <w:sz w:val="22"/>
                <w:highlight w:val="none"/>
              </w:rPr>
            </w:pPr>
            <w:r>
              <w:rPr>
                <w:rFonts w:hint="eastAsia" w:ascii="宋体" w:cs="宋体"/>
                <w:color w:val="auto"/>
                <w:sz w:val="22"/>
                <w:highlight w:val="none"/>
              </w:rPr>
              <w:t>合同备案</w:t>
            </w:r>
          </w:p>
        </w:tc>
        <w:tc>
          <w:tcPr>
            <w:tcW w:w="6998" w:type="dxa"/>
            <w:tcBorders>
              <w:top w:val="single" w:color="auto" w:sz="4" w:space="0"/>
              <w:left w:val="single" w:color="auto" w:sz="4" w:space="0"/>
              <w:right w:val="single" w:color="auto" w:sz="12" w:space="0"/>
            </w:tcBorders>
            <w:vAlign w:val="center"/>
          </w:tcPr>
          <w:p w14:paraId="71395516">
            <w:pPr>
              <w:rPr>
                <w:rFonts w:ascii="宋体" w:cs="宋体"/>
                <w:color w:val="auto"/>
                <w:sz w:val="22"/>
                <w:highlight w:val="none"/>
              </w:rPr>
            </w:pPr>
            <w:r>
              <w:rPr>
                <w:rFonts w:hint="eastAsia" w:ascii="宋体" w:cs="宋体"/>
                <w:color w:val="auto"/>
                <w:sz w:val="22"/>
                <w:highlight w:val="none"/>
              </w:rPr>
              <w:t>1.中标（成交）供应商须在发出中标（成交）通知书之日起30日历天内与</w:t>
            </w:r>
          </w:p>
          <w:p w14:paraId="630EB3E9">
            <w:pPr>
              <w:rPr>
                <w:rFonts w:ascii="宋体" w:cs="宋体"/>
                <w:color w:val="auto"/>
                <w:sz w:val="22"/>
                <w:highlight w:val="none"/>
              </w:rPr>
            </w:pPr>
            <w:r>
              <w:rPr>
                <w:rFonts w:hint="eastAsia" w:ascii="宋体" w:cs="宋体"/>
                <w:color w:val="auto"/>
                <w:sz w:val="22"/>
                <w:highlight w:val="none"/>
              </w:rPr>
              <w:t>采购人签订合同。</w:t>
            </w:r>
          </w:p>
          <w:p w14:paraId="6AA95800">
            <w:pPr>
              <w:rPr>
                <w:rFonts w:ascii="宋体" w:cs="宋体"/>
                <w:color w:val="auto"/>
                <w:sz w:val="22"/>
                <w:highlight w:val="none"/>
              </w:rPr>
            </w:pPr>
            <w:r>
              <w:rPr>
                <w:rFonts w:hint="eastAsia" w:ascii="宋体" w:cs="宋体"/>
                <w:color w:val="auto"/>
                <w:sz w:val="22"/>
                <w:highlight w:val="none"/>
              </w:rPr>
              <w:t>2.中标（成交）供应商与采购人签订合同后，应在3个工作日内将合同原件交招标代理机构备案。</w:t>
            </w:r>
          </w:p>
          <w:p w14:paraId="1C113F8E">
            <w:pPr>
              <w:wordWrap w:val="0"/>
              <w:rPr>
                <w:rFonts w:ascii="宋体" w:cs="宋体"/>
                <w:color w:val="auto"/>
                <w:sz w:val="22"/>
                <w:highlight w:val="none"/>
              </w:rPr>
            </w:pPr>
            <w:r>
              <w:rPr>
                <w:rFonts w:hint="eastAsia" w:ascii="宋体" w:cs="宋体"/>
                <w:color w:val="auto"/>
                <w:sz w:val="22"/>
                <w:highlight w:val="none"/>
              </w:rPr>
              <w:t>3.本项目政府采购合同按规定在泰顺县公共资源交易中心网站（</w:t>
            </w:r>
            <w:r>
              <w:rPr>
                <w:rFonts w:ascii="宋体" w:cs="宋体"/>
                <w:color w:val="auto"/>
                <w:sz w:val="22"/>
                <w:highlight w:val="none"/>
              </w:rPr>
              <w:t>http://122.228.219.161/TPFront/</w:t>
            </w:r>
            <w:r>
              <w:rPr>
                <w:rFonts w:hint="eastAsia" w:ascii="宋体" w:cs="宋体"/>
                <w:color w:val="auto"/>
                <w:sz w:val="22"/>
                <w:highlight w:val="none"/>
              </w:rPr>
              <w:t>）、浙江政府采购网（http://www.zjzfcg.gov.cn）予以公告。</w:t>
            </w:r>
          </w:p>
        </w:tc>
      </w:tr>
      <w:tr w14:paraId="5DEDF0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92" w:type="dxa"/>
            <w:tcBorders>
              <w:top w:val="single" w:color="auto" w:sz="4" w:space="0"/>
              <w:left w:val="single" w:color="auto" w:sz="12" w:space="0"/>
              <w:right w:val="single" w:color="auto" w:sz="4" w:space="0"/>
            </w:tcBorders>
            <w:vAlign w:val="center"/>
          </w:tcPr>
          <w:p w14:paraId="36A7AEC9">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3FCF82BB">
            <w:pPr>
              <w:jc w:val="center"/>
              <w:rPr>
                <w:rFonts w:ascii="宋体" w:cs="宋体"/>
                <w:color w:val="auto"/>
                <w:sz w:val="22"/>
                <w:highlight w:val="none"/>
              </w:rPr>
            </w:pPr>
            <w:r>
              <w:rPr>
                <w:rFonts w:hint="eastAsia" w:ascii="宋体" w:cs="宋体"/>
                <w:color w:val="auto"/>
                <w:sz w:val="22"/>
                <w:highlight w:val="none"/>
              </w:rPr>
              <w:t>合同履约管理</w:t>
            </w:r>
          </w:p>
        </w:tc>
        <w:tc>
          <w:tcPr>
            <w:tcW w:w="6998" w:type="dxa"/>
            <w:tcBorders>
              <w:top w:val="single" w:color="auto" w:sz="4" w:space="0"/>
              <w:left w:val="single" w:color="auto" w:sz="4" w:space="0"/>
              <w:right w:val="single" w:color="auto" w:sz="12" w:space="0"/>
            </w:tcBorders>
            <w:vAlign w:val="center"/>
          </w:tcPr>
          <w:p w14:paraId="610A4705">
            <w:pPr>
              <w:rPr>
                <w:rFonts w:ascii="宋体" w:cs="宋体"/>
                <w:color w:val="auto"/>
                <w:sz w:val="22"/>
                <w:highlight w:val="none"/>
              </w:rPr>
            </w:pPr>
            <w:r>
              <w:rPr>
                <w:rFonts w:hint="eastAsia" w:ascii="宋体" w:cs="宋体"/>
                <w:color w:val="auto"/>
                <w:sz w:val="22"/>
                <w:highlight w:val="none"/>
              </w:rPr>
              <w:t>合同签订后，采购人依法加强对合同履约进行管理，并在成交单位供货、项目验收等重要关节，如实填写《合同验收报告》（表附合同条款中），并及时向同级财政部门报告验收过程中遇到的问题。</w:t>
            </w:r>
          </w:p>
        </w:tc>
      </w:tr>
      <w:tr w14:paraId="4EEAEC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92" w:type="dxa"/>
            <w:tcBorders>
              <w:top w:val="single" w:color="auto" w:sz="4" w:space="0"/>
              <w:left w:val="single" w:color="auto" w:sz="12" w:space="0"/>
              <w:right w:val="single" w:color="auto" w:sz="4" w:space="0"/>
            </w:tcBorders>
            <w:vAlign w:val="center"/>
          </w:tcPr>
          <w:p w14:paraId="06E92323">
            <w:pPr>
              <w:widowControl/>
              <w:numPr>
                <w:ilvl w:val="0"/>
                <w:numId w:val="5"/>
              </w:numPr>
              <w:tabs>
                <w:tab w:val="left" w:pos="420"/>
                <w:tab w:val="clear" w:pos="720"/>
              </w:tabs>
              <w:ind w:left="420" w:hanging="420"/>
              <w:jc w:val="right"/>
              <w:rPr>
                <w:rFonts w:ascii="宋体" w:cs="宋体"/>
                <w:color w:val="auto"/>
                <w:sz w:val="22"/>
                <w:highlight w:val="none"/>
              </w:rPr>
            </w:pPr>
          </w:p>
        </w:tc>
        <w:tc>
          <w:tcPr>
            <w:tcW w:w="1650" w:type="dxa"/>
            <w:tcBorders>
              <w:top w:val="single" w:color="auto" w:sz="4" w:space="0"/>
              <w:left w:val="single" w:color="auto" w:sz="4" w:space="0"/>
              <w:right w:val="single" w:color="auto" w:sz="4" w:space="0"/>
            </w:tcBorders>
            <w:vAlign w:val="center"/>
          </w:tcPr>
          <w:p w14:paraId="259D754F">
            <w:pPr>
              <w:jc w:val="center"/>
              <w:rPr>
                <w:rFonts w:ascii="宋体" w:cs="宋体"/>
                <w:color w:val="auto"/>
                <w:sz w:val="22"/>
                <w:highlight w:val="none"/>
              </w:rPr>
            </w:pPr>
            <w:r>
              <w:rPr>
                <w:rFonts w:hint="eastAsia" w:ascii="宋体" w:cs="宋体"/>
                <w:color w:val="auto"/>
                <w:sz w:val="22"/>
                <w:highlight w:val="none"/>
              </w:rPr>
              <w:t>免责声明</w:t>
            </w:r>
          </w:p>
        </w:tc>
        <w:tc>
          <w:tcPr>
            <w:tcW w:w="6998" w:type="dxa"/>
            <w:tcBorders>
              <w:top w:val="single" w:color="auto" w:sz="4" w:space="0"/>
              <w:left w:val="single" w:color="auto" w:sz="4" w:space="0"/>
              <w:right w:val="single" w:color="auto" w:sz="12" w:space="0"/>
            </w:tcBorders>
            <w:vAlign w:val="center"/>
          </w:tcPr>
          <w:p w14:paraId="000DE204">
            <w:pPr>
              <w:rPr>
                <w:rFonts w:ascii="宋体" w:cs="宋体"/>
                <w:color w:val="auto"/>
                <w:sz w:val="22"/>
                <w:highlight w:val="none"/>
              </w:rPr>
            </w:pPr>
            <w:r>
              <w:rPr>
                <w:rFonts w:hint="eastAsia" w:ascii="宋体" w:cs="宋体"/>
                <w:color w:val="auto"/>
                <w:sz w:val="22"/>
                <w:highlight w:val="none"/>
              </w:rPr>
              <w:t>1、投标供应商自行承担投标过程中产生的费用。无论何种因素导致采购项目延期开标、废标（流标）、投标供应商未成交、项目终止采购的，采购人与代理机构均不承担供应商投标费用。</w:t>
            </w:r>
          </w:p>
          <w:p w14:paraId="105B86A9">
            <w:pPr>
              <w:rPr>
                <w:rFonts w:ascii="宋体" w:cs="宋体"/>
                <w:color w:val="auto"/>
                <w:sz w:val="22"/>
                <w:highlight w:val="none"/>
              </w:rPr>
            </w:pPr>
            <w:r>
              <w:rPr>
                <w:rFonts w:hint="eastAsia" w:ascii="宋体" w:cs="宋体"/>
                <w:color w:val="auto"/>
                <w:sz w:val="22"/>
                <w:highlight w:val="none"/>
              </w:rPr>
              <w:t>2、投标供应商在投标、合同履行过程中必须做好安全保障工作，不因项目实施而危及自身及第三方人员、财产安全。若发生任何安全事故，由中标（成交）供应商自行承担一切责任并赔偿损失。</w:t>
            </w:r>
          </w:p>
        </w:tc>
      </w:tr>
    </w:tbl>
    <w:p w14:paraId="4D741E9B">
      <w:pPr>
        <w:rPr>
          <w:rFonts w:hint="eastAsia" w:ascii="宋体" w:cs="宋体"/>
          <w:b/>
          <w:color w:val="auto"/>
          <w:sz w:val="32"/>
          <w:szCs w:val="32"/>
          <w:highlight w:val="none"/>
        </w:rPr>
      </w:pPr>
      <w:bookmarkStart w:id="4" w:name="_Toc758_WPSOffice_Level1"/>
      <w:bookmarkStart w:id="5" w:name="_Toc25"/>
      <w:bookmarkStart w:id="6" w:name="_Toc5493_WPSOffice_Level1"/>
      <w:r>
        <w:rPr>
          <w:rFonts w:hint="eastAsia" w:ascii="宋体" w:cs="宋体"/>
          <w:b/>
          <w:color w:val="auto"/>
          <w:sz w:val="32"/>
          <w:szCs w:val="32"/>
          <w:highlight w:val="none"/>
        </w:rPr>
        <w:br w:type="page"/>
      </w:r>
    </w:p>
    <w:p w14:paraId="45FBE7A8">
      <w:pPr>
        <w:autoSpaceDE w:val="0"/>
        <w:autoSpaceDN w:val="0"/>
        <w:adjustRightInd w:val="0"/>
        <w:snapToGrid w:val="0"/>
        <w:spacing w:line="400" w:lineRule="exact"/>
        <w:jc w:val="center"/>
        <w:rPr>
          <w:rFonts w:ascii="宋体"/>
          <w:b/>
          <w:bCs/>
          <w:color w:val="auto"/>
          <w:sz w:val="22"/>
          <w:highlight w:val="none"/>
        </w:rPr>
      </w:pPr>
      <w:r>
        <w:rPr>
          <w:rFonts w:hint="eastAsia" w:ascii="宋体" w:cs="宋体"/>
          <w:b/>
          <w:color w:val="auto"/>
          <w:sz w:val="32"/>
          <w:szCs w:val="32"/>
          <w:highlight w:val="none"/>
        </w:rPr>
        <w:t>第二部分、</w:t>
      </w:r>
      <w:r>
        <w:rPr>
          <w:rFonts w:hint="eastAsia" w:ascii="宋体" w:cs="宋体"/>
          <w:b/>
          <w:color w:val="auto"/>
          <w:sz w:val="32"/>
          <w:szCs w:val="32"/>
          <w:highlight w:val="none"/>
          <w:lang w:val="zh-CN"/>
        </w:rPr>
        <w:t>采购内容及要求</w:t>
      </w:r>
      <w:bookmarkEnd w:id="4"/>
      <w:bookmarkStart w:id="7" w:name="_Toc157410886"/>
      <w:bookmarkStart w:id="8" w:name="_Toc384115605"/>
      <w:bookmarkStart w:id="9" w:name="_Toc6035_WPSOffice_Level2"/>
    </w:p>
    <w:bookmarkEnd w:id="5"/>
    <w:bookmarkEnd w:id="7"/>
    <w:bookmarkEnd w:id="8"/>
    <w:bookmarkEnd w:id="9"/>
    <w:p w14:paraId="618D1F1A">
      <w:pP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一、项目背景</w:t>
      </w:r>
    </w:p>
    <w:p w14:paraId="7DEF0B7F">
      <w:pPr>
        <w:spacing w:line="440" w:lineRule="exact"/>
        <w:ind w:firstLine="446" w:firstLineChars="200"/>
        <w:rPr>
          <w:rFonts w:hint="eastAsia" w:ascii="新宋体" w:hAnsi="新宋体" w:eastAsia="新宋体" w:cs="新宋体"/>
          <w:bCs/>
          <w:color w:val="auto"/>
          <w:sz w:val="22"/>
          <w:szCs w:val="22"/>
        </w:rPr>
      </w:pPr>
      <w:r>
        <w:rPr>
          <w:rFonts w:hint="eastAsia" w:ascii="新宋体" w:hAnsi="新宋体" w:eastAsia="新宋体" w:cs="新宋体"/>
          <w:bCs/>
          <w:color w:val="auto"/>
          <w:sz w:val="22"/>
          <w:szCs w:val="22"/>
        </w:rPr>
        <w:t>根据《浙江省卫生健康委员会 浙江省财政厅 浙江省医疗保障局关于全面实施加强高血压糖尿病全周期健康管理推进分级诊疗改革的通知》（浙卫发〔2022〕7号，2022年2月25日发布）、《浙江省卫生健康委办公室关于印发浙江省基层医疗卫生机构慢性病一体化门诊建设标准和服务规范（2025 年版）的通知》（浙卫办基层发函〔2025〕2 号）、《温州市卫健委、温州市财政局、温州市医保局、温州市疾控局关于进一步完善基层慢性病医防融合机制推荐分级诊疗制度建设的通知》（温卫发〔2025〕37号）要求，以高血压糖尿病等慢性病全周期健康管理为突破口，构建医防融合、连续协同和科学有序的分级诊疗格局，引导两慢病患者在基层就诊和健康管理。到2025年底，全市80%以上的乡镇卫生院（社区卫生服务中心）建成慢性病一体化门诊和慢性病智管平台，签约“两慢病”患者在基层门急诊就诊人次较上年增长1个百分点以上，医共体（医联体）牵头医院向基层转诊“两慢病”患者人次数年增长率10%以上，“两慢病”患者在基层规范管理率65%以上。</w:t>
      </w:r>
    </w:p>
    <w:p w14:paraId="56990C49">
      <w:pPr>
        <w:rPr>
          <w:rFonts w:hint="eastAsia" w:ascii="新宋体" w:hAnsi="新宋体" w:eastAsia="新宋体" w:cs="新宋体"/>
          <w:b/>
          <w:bCs/>
          <w:color w:val="auto"/>
          <w:sz w:val="28"/>
          <w:szCs w:val="28"/>
        </w:rPr>
      </w:pPr>
      <w:bookmarkStart w:id="10" w:name="_Toc106982631"/>
      <w:r>
        <w:rPr>
          <w:rFonts w:hint="eastAsia" w:ascii="新宋体" w:hAnsi="新宋体" w:eastAsia="新宋体" w:cs="新宋体"/>
          <w:b/>
          <w:bCs/>
          <w:color w:val="auto"/>
          <w:sz w:val="28"/>
          <w:szCs w:val="28"/>
        </w:rPr>
        <w:t>二、</w:t>
      </w:r>
      <w:bookmarkEnd w:id="10"/>
      <w:r>
        <w:rPr>
          <w:rFonts w:hint="eastAsia" w:ascii="新宋体" w:hAnsi="新宋体" w:eastAsia="新宋体" w:cs="新宋体"/>
          <w:b/>
          <w:bCs/>
          <w:color w:val="auto"/>
          <w:sz w:val="28"/>
          <w:szCs w:val="28"/>
        </w:rPr>
        <w:t>租用系统要求内容</w:t>
      </w:r>
    </w:p>
    <w:p w14:paraId="48791DD1">
      <w:pPr>
        <w:spacing w:line="440" w:lineRule="exact"/>
        <w:ind w:firstLine="446" w:firstLineChars="200"/>
        <w:rPr>
          <w:rFonts w:hint="eastAsia" w:ascii="新宋体" w:hAnsi="新宋体" w:eastAsia="新宋体" w:cs="新宋体"/>
          <w:bCs/>
          <w:color w:val="auto"/>
          <w:sz w:val="22"/>
          <w:szCs w:val="22"/>
        </w:rPr>
      </w:pPr>
      <w:r>
        <w:rPr>
          <w:rFonts w:hint="eastAsia" w:ascii="新宋体" w:hAnsi="新宋体" w:eastAsia="新宋体" w:cs="新宋体"/>
          <w:bCs/>
          <w:color w:val="auto"/>
          <w:sz w:val="22"/>
          <w:szCs w:val="22"/>
        </w:rPr>
        <w:t>为落实省委省政府对数字化改革的总体部署，以泰顺县所有在基层就诊的高血压、糖尿病等慢性病患者为中心，以慢性病数字化评估为切口，以落实分级诊疗、加强医防融合为重点，结合慢性病一体化门诊建设，打通温州市慢病智管平台、公卫、泰顺县基层HIS，建设两慢病患者全量健康数据汇集系统，配置监管端、医护端，实现两慢病全量健康数据汇集、清洗、治理，方便医生在诊间进行数据采集、任务提示、路径化管理、健康评估、健康处方、诊间随访，为患者提供评估报告、健康处方、居家监测数据分析，为管理者提供健康管理指数、考核达标情况、慢病地图、管理效果评价等实时数据分析。</w:t>
      </w:r>
    </w:p>
    <w:p w14:paraId="6979B7D6">
      <w:pPr>
        <w:spacing w:line="440" w:lineRule="exact"/>
        <w:jc w:val="center"/>
        <w:rPr>
          <w:rFonts w:hint="eastAsia" w:ascii="新宋体" w:hAnsi="新宋体" w:eastAsia="新宋体" w:cs="新宋体"/>
          <w:b/>
          <w:color w:val="auto"/>
          <w:sz w:val="22"/>
          <w:szCs w:val="22"/>
        </w:rPr>
      </w:pPr>
      <w:r>
        <w:rPr>
          <w:rFonts w:hint="eastAsia" w:ascii="新宋体" w:hAnsi="新宋体" w:eastAsia="新宋体" w:cs="新宋体"/>
          <w:b/>
          <w:color w:val="auto"/>
          <w:sz w:val="22"/>
          <w:szCs w:val="22"/>
        </w:rPr>
        <w:t>租用系统要求内容清单</w:t>
      </w:r>
    </w:p>
    <w:tbl>
      <w:tblPr>
        <w:tblStyle w:val="36"/>
        <w:tblW w:w="9600" w:type="dxa"/>
        <w:tblInd w:w="200" w:type="dxa"/>
        <w:tblLayout w:type="fixed"/>
        <w:tblCellMar>
          <w:top w:w="0" w:type="dxa"/>
          <w:left w:w="108" w:type="dxa"/>
          <w:bottom w:w="0" w:type="dxa"/>
          <w:right w:w="108" w:type="dxa"/>
        </w:tblCellMar>
      </w:tblPr>
      <w:tblGrid>
        <w:gridCol w:w="794"/>
        <w:gridCol w:w="8806"/>
      </w:tblGrid>
      <w:tr w14:paraId="2F8BBBE5">
        <w:tblPrEx>
          <w:tblCellMar>
            <w:top w:w="0" w:type="dxa"/>
            <w:left w:w="108" w:type="dxa"/>
            <w:bottom w:w="0" w:type="dxa"/>
            <w:right w:w="108" w:type="dxa"/>
          </w:tblCellMar>
        </w:tblPrEx>
        <w:trPr>
          <w:trHeight w:val="454" w:hRule="atLeast"/>
          <w:tblHeader/>
        </w:trPr>
        <w:tc>
          <w:tcPr>
            <w:tcW w:w="794" w:type="dxa"/>
            <w:tcBorders>
              <w:top w:val="single" w:color="000000" w:sz="4" w:space="0"/>
              <w:left w:val="single" w:color="000000" w:sz="4" w:space="0"/>
              <w:bottom w:val="single" w:color="000000" w:sz="4" w:space="0"/>
              <w:right w:val="single" w:color="000000" w:sz="4" w:space="0"/>
            </w:tcBorders>
            <w:vAlign w:val="center"/>
          </w:tcPr>
          <w:p w14:paraId="7D8E6F92">
            <w:pPr>
              <w:widowControl/>
              <w:jc w:val="center"/>
              <w:rPr>
                <w:rFonts w:hint="eastAsia" w:ascii="新宋体" w:hAnsi="新宋体" w:eastAsia="新宋体" w:cs="新宋体"/>
                <w:b/>
                <w:bCs/>
                <w:color w:val="auto"/>
                <w:kern w:val="0"/>
                <w:sz w:val="22"/>
                <w:szCs w:val="22"/>
              </w:rPr>
            </w:pPr>
            <w:r>
              <w:rPr>
                <w:rFonts w:hint="eastAsia" w:ascii="新宋体" w:hAnsi="新宋体" w:eastAsia="新宋体" w:cs="新宋体"/>
                <w:b/>
                <w:bCs/>
                <w:color w:val="auto"/>
                <w:kern w:val="0"/>
                <w:sz w:val="22"/>
                <w:szCs w:val="22"/>
              </w:rPr>
              <w:t>序号</w:t>
            </w:r>
          </w:p>
        </w:tc>
        <w:tc>
          <w:tcPr>
            <w:tcW w:w="8806" w:type="dxa"/>
            <w:tcBorders>
              <w:top w:val="single" w:color="000000" w:sz="4" w:space="0"/>
              <w:left w:val="single" w:color="000000" w:sz="4" w:space="0"/>
              <w:bottom w:val="single" w:color="000000" w:sz="4" w:space="0"/>
              <w:right w:val="single" w:color="000000" w:sz="4" w:space="0"/>
            </w:tcBorders>
            <w:vAlign w:val="center"/>
          </w:tcPr>
          <w:p w14:paraId="5C5B2448">
            <w:pPr>
              <w:widowControl/>
              <w:jc w:val="center"/>
              <w:rPr>
                <w:rFonts w:hint="eastAsia" w:ascii="新宋体" w:hAnsi="新宋体" w:eastAsia="新宋体" w:cs="新宋体"/>
                <w:b/>
                <w:bCs/>
                <w:color w:val="auto"/>
                <w:kern w:val="0"/>
                <w:sz w:val="22"/>
                <w:szCs w:val="22"/>
              </w:rPr>
            </w:pPr>
            <w:r>
              <w:rPr>
                <w:rFonts w:hint="eastAsia" w:ascii="新宋体" w:hAnsi="新宋体" w:eastAsia="新宋体" w:cs="新宋体"/>
                <w:b/>
                <w:bCs/>
                <w:color w:val="auto"/>
                <w:kern w:val="0"/>
                <w:sz w:val="22"/>
                <w:szCs w:val="22"/>
                <w:lang w:val="en-US" w:eastAsia="zh-CN"/>
              </w:rPr>
              <w:t>系统服务</w:t>
            </w:r>
            <w:r>
              <w:rPr>
                <w:rFonts w:hint="eastAsia" w:ascii="新宋体" w:hAnsi="新宋体" w:eastAsia="新宋体" w:cs="新宋体"/>
                <w:b/>
                <w:bCs/>
                <w:color w:val="auto"/>
                <w:kern w:val="0"/>
                <w:sz w:val="22"/>
                <w:szCs w:val="22"/>
              </w:rPr>
              <w:t>内容</w:t>
            </w:r>
          </w:p>
        </w:tc>
      </w:tr>
      <w:tr w14:paraId="79EDC966">
        <w:tblPrEx>
          <w:tblCellMar>
            <w:top w:w="0" w:type="dxa"/>
            <w:left w:w="108" w:type="dxa"/>
            <w:bottom w:w="0" w:type="dxa"/>
            <w:right w:w="108" w:type="dxa"/>
          </w:tblCellMar>
        </w:tblPrEx>
        <w:trPr>
          <w:trHeight w:val="454" w:hRule="atLeast"/>
        </w:trPr>
        <w:tc>
          <w:tcPr>
            <w:tcW w:w="9600" w:type="dxa"/>
            <w:gridSpan w:val="2"/>
            <w:tcBorders>
              <w:top w:val="single" w:color="000000" w:sz="4" w:space="0"/>
              <w:left w:val="single" w:color="000000" w:sz="4" w:space="0"/>
              <w:bottom w:val="single" w:color="000000" w:sz="4" w:space="0"/>
              <w:right w:val="single" w:color="000000" w:sz="4" w:space="0"/>
            </w:tcBorders>
            <w:vAlign w:val="center"/>
          </w:tcPr>
          <w:p w14:paraId="1EB3FC96">
            <w:pPr>
              <w:widowControl/>
              <w:jc w:val="left"/>
              <w:rPr>
                <w:rFonts w:hint="eastAsia" w:ascii="新宋体" w:hAnsi="新宋体" w:eastAsia="新宋体" w:cs="新宋体"/>
                <w:b/>
                <w:bCs/>
                <w:color w:val="auto"/>
                <w:kern w:val="0"/>
                <w:sz w:val="22"/>
                <w:szCs w:val="22"/>
              </w:rPr>
            </w:pPr>
            <w:r>
              <w:rPr>
                <w:rFonts w:hint="eastAsia" w:ascii="新宋体" w:hAnsi="新宋体" w:eastAsia="新宋体" w:cs="新宋体"/>
                <w:b/>
                <w:bCs/>
                <w:color w:val="auto"/>
                <w:kern w:val="0"/>
                <w:sz w:val="22"/>
                <w:szCs w:val="22"/>
              </w:rPr>
              <w:t>一、</w:t>
            </w:r>
            <w:r>
              <w:rPr>
                <w:rFonts w:hint="eastAsia" w:ascii="新宋体" w:hAnsi="新宋体" w:eastAsia="新宋体" w:cs="新宋体"/>
                <w:color w:val="auto"/>
                <w:kern w:val="0"/>
                <w:sz w:val="22"/>
                <w:szCs w:val="22"/>
              </w:rPr>
              <w:t>慢性病医防融合路径化管理系统</w:t>
            </w:r>
          </w:p>
        </w:tc>
      </w:tr>
      <w:tr w14:paraId="7FEC2736">
        <w:tblPrEx>
          <w:tblCellMar>
            <w:top w:w="0" w:type="dxa"/>
            <w:left w:w="108" w:type="dxa"/>
            <w:bottom w:w="0" w:type="dxa"/>
            <w:right w:w="108" w:type="dxa"/>
          </w:tblCellMar>
        </w:tblPrEx>
        <w:trPr>
          <w:trHeight w:val="454" w:hRule="atLeast"/>
        </w:trPr>
        <w:tc>
          <w:tcPr>
            <w:tcW w:w="794" w:type="dxa"/>
            <w:tcBorders>
              <w:top w:val="single" w:color="000000" w:sz="4" w:space="0"/>
              <w:left w:val="single" w:color="000000" w:sz="4" w:space="0"/>
              <w:bottom w:val="single" w:color="000000" w:sz="4" w:space="0"/>
              <w:right w:val="single" w:color="000000" w:sz="4" w:space="0"/>
            </w:tcBorders>
            <w:vAlign w:val="center"/>
          </w:tcPr>
          <w:p w14:paraId="32545620">
            <w:pPr>
              <w:widowControl/>
              <w:jc w:val="center"/>
              <w:rPr>
                <w:rFonts w:hint="eastAsia" w:ascii="新宋体" w:hAnsi="新宋体" w:eastAsia="新宋体" w:cs="新宋体"/>
                <w:color w:val="auto"/>
                <w:kern w:val="0"/>
                <w:sz w:val="22"/>
                <w:szCs w:val="22"/>
              </w:rPr>
            </w:pPr>
            <w:r>
              <w:rPr>
                <w:rFonts w:hint="eastAsia" w:ascii="新宋体" w:hAnsi="新宋体" w:eastAsia="新宋体" w:cs="新宋体"/>
                <w:color w:val="auto"/>
                <w:kern w:val="0"/>
                <w:sz w:val="22"/>
                <w:szCs w:val="22"/>
              </w:rPr>
              <w:t>1</w:t>
            </w:r>
          </w:p>
        </w:tc>
        <w:tc>
          <w:tcPr>
            <w:tcW w:w="8806" w:type="dxa"/>
            <w:tcBorders>
              <w:top w:val="single" w:color="000000" w:sz="4" w:space="0"/>
              <w:left w:val="single" w:color="000000" w:sz="4" w:space="0"/>
              <w:bottom w:val="single" w:color="000000" w:sz="4" w:space="0"/>
              <w:right w:val="single" w:color="000000" w:sz="4" w:space="0"/>
            </w:tcBorders>
            <w:vAlign w:val="center"/>
          </w:tcPr>
          <w:p w14:paraId="6878DE11">
            <w:pPr>
              <w:widowControl/>
              <w:jc w:val="left"/>
              <w:rPr>
                <w:rFonts w:hint="eastAsia" w:ascii="新宋体" w:hAnsi="新宋体" w:eastAsia="新宋体" w:cs="新宋体"/>
                <w:color w:val="auto"/>
                <w:kern w:val="0"/>
                <w:sz w:val="22"/>
                <w:szCs w:val="22"/>
              </w:rPr>
            </w:pPr>
            <w:r>
              <w:rPr>
                <w:rFonts w:hint="eastAsia" w:ascii="新宋体" w:hAnsi="新宋体" w:eastAsia="新宋体" w:cs="新宋体"/>
                <w:color w:val="auto"/>
                <w:kern w:val="0"/>
                <w:sz w:val="22"/>
                <w:szCs w:val="22"/>
              </w:rPr>
              <w:t>医生端</w:t>
            </w:r>
          </w:p>
        </w:tc>
      </w:tr>
      <w:tr w14:paraId="03B13128">
        <w:tblPrEx>
          <w:tblCellMar>
            <w:top w:w="0" w:type="dxa"/>
            <w:left w:w="108" w:type="dxa"/>
            <w:bottom w:w="0" w:type="dxa"/>
            <w:right w:w="108" w:type="dxa"/>
          </w:tblCellMar>
        </w:tblPrEx>
        <w:trPr>
          <w:trHeight w:val="454" w:hRule="atLeast"/>
        </w:trPr>
        <w:tc>
          <w:tcPr>
            <w:tcW w:w="794" w:type="dxa"/>
            <w:tcBorders>
              <w:top w:val="single" w:color="000000" w:sz="4" w:space="0"/>
              <w:left w:val="single" w:color="000000" w:sz="4" w:space="0"/>
              <w:bottom w:val="single" w:color="000000" w:sz="4" w:space="0"/>
              <w:right w:val="single" w:color="000000" w:sz="4" w:space="0"/>
            </w:tcBorders>
            <w:vAlign w:val="center"/>
          </w:tcPr>
          <w:p w14:paraId="21A9382F">
            <w:pPr>
              <w:widowControl/>
              <w:jc w:val="center"/>
              <w:rPr>
                <w:rFonts w:hint="eastAsia" w:ascii="新宋体" w:hAnsi="新宋体" w:eastAsia="新宋体" w:cs="新宋体"/>
                <w:color w:val="auto"/>
                <w:kern w:val="0"/>
                <w:sz w:val="22"/>
                <w:szCs w:val="22"/>
              </w:rPr>
            </w:pPr>
            <w:r>
              <w:rPr>
                <w:rFonts w:hint="eastAsia" w:ascii="新宋体" w:hAnsi="新宋体" w:eastAsia="新宋体" w:cs="新宋体"/>
                <w:color w:val="auto"/>
                <w:kern w:val="0"/>
                <w:sz w:val="22"/>
                <w:szCs w:val="22"/>
              </w:rPr>
              <w:t>2</w:t>
            </w:r>
          </w:p>
        </w:tc>
        <w:tc>
          <w:tcPr>
            <w:tcW w:w="8806" w:type="dxa"/>
            <w:tcBorders>
              <w:top w:val="single" w:color="000000" w:sz="4" w:space="0"/>
              <w:left w:val="single" w:color="000000" w:sz="4" w:space="0"/>
              <w:bottom w:val="single" w:color="000000" w:sz="4" w:space="0"/>
              <w:right w:val="single" w:color="000000" w:sz="4" w:space="0"/>
            </w:tcBorders>
            <w:vAlign w:val="center"/>
          </w:tcPr>
          <w:p w14:paraId="73DD1666">
            <w:pPr>
              <w:widowControl/>
              <w:jc w:val="left"/>
              <w:rPr>
                <w:rFonts w:hint="eastAsia" w:ascii="新宋体" w:hAnsi="新宋体" w:eastAsia="新宋体" w:cs="新宋体"/>
                <w:color w:val="auto"/>
                <w:kern w:val="0"/>
                <w:sz w:val="22"/>
                <w:szCs w:val="22"/>
              </w:rPr>
            </w:pPr>
            <w:r>
              <w:rPr>
                <w:rFonts w:hint="eastAsia" w:ascii="新宋体" w:hAnsi="新宋体" w:eastAsia="新宋体" w:cs="新宋体"/>
                <w:color w:val="auto"/>
                <w:kern w:val="0"/>
                <w:sz w:val="22"/>
                <w:szCs w:val="22"/>
              </w:rPr>
              <w:t>监管端</w:t>
            </w:r>
          </w:p>
        </w:tc>
      </w:tr>
      <w:tr w14:paraId="7EBB33F2">
        <w:tblPrEx>
          <w:tblCellMar>
            <w:top w:w="0" w:type="dxa"/>
            <w:left w:w="108" w:type="dxa"/>
            <w:bottom w:w="0" w:type="dxa"/>
            <w:right w:w="108" w:type="dxa"/>
          </w:tblCellMar>
        </w:tblPrEx>
        <w:trPr>
          <w:trHeight w:val="454" w:hRule="atLeast"/>
        </w:trPr>
        <w:tc>
          <w:tcPr>
            <w:tcW w:w="9600" w:type="dxa"/>
            <w:gridSpan w:val="2"/>
            <w:tcBorders>
              <w:top w:val="single" w:color="000000" w:sz="4" w:space="0"/>
              <w:left w:val="single" w:color="000000" w:sz="4" w:space="0"/>
              <w:bottom w:val="single" w:color="000000" w:sz="4" w:space="0"/>
              <w:right w:val="single" w:color="000000" w:sz="4" w:space="0"/>
            </w:tcBorders>
            <w:vAlign w:val="center"/>
          </w:tcPr>
          <w:p w14:paraId="3FB786CD">
            <w:pPr>
              <w:widowControl/>
              <w:jc w:val="left"/>
              <w:rPr>
                <w:rFonts w:hint="eastAsia" w:ascii="新宋体" w:hAnsi="新宋体" w:eastAsia="新宋体" w:cs="新宋体"/>
                <w:color w:val="auto"/>
                <w:kern w:val="0"/>
                <w:sz w:val="22"/>
                <w:szCs w:val="22"/>
              </w:rPr>
            </w:pPr>
            <w:r>
              <w:rPr>
                <w:rFonts w:hint="eastAsia" w:ascii="新宋体" w:hAnsi="新宋体" w:eastAsia="新宋体" w:cs="新宋体"/>
                <w:color w:val="auto"/>
                <w:kern w:val="0"/>
                <w:sz w:val="22"/>
                <w:szCs w:val="22"/>
              </w:rPr>
              <w:t>二、泰顺县慢病智管平台</w:t>
            </w:r>
          </w:p>
        </w:tc>
      </w:tr>
      <w:tr w14:paraId="0DA2DBCE">
        <w:tblPrEx>
          <w:tblCellMar>
            <w:top w:w="0" w:type="dxa"/>
            <w:left w:w="108" w:type="dxa"/>
            <w:bottom w:w="0" w:type="dxa"/>
            <w:right w:w="108" w:type="dxa"/>
          </w:tblCellMar>
        </w:tblPrEx>
        <w:trPr>
          <w:trHeight w:val="454" w:hRule="atLeast"/>
        </w:trPr>
        <w:tc>
          <w:tcPr>
            <w:tcW w:w="9600" w:type="dxa"/>
            <w:gridSpan w:val="2"/>
            <w:tcBorders>
              <w:top w:val="single" w:color="000000" w:sz="4" w:space="0"/>
              <w:left w:val="single" w:color="000000" w:sz="4" w:space="0"/>
              <w:bottom w:val="single" w:color="000000" w:sz="4" w:space="0"/>
              <w:right w:val="single" w:color="000000" w:sz="4" w:space="0"/>
            </w:tcBorders>
            <w:vAlign w:val="center"/>
          </w:tcPr>
          <w:p w14:paraId="6EC4C412">
            <w:pPr>
              <w:widowControl/>
              <w:jc w:val="left"/>
              <w:rPr>
                <w:rFonts w:hint="eastAsia" w:ascii="新宋体" w:hAnsi="新宋体" w:eastAsia="新宋体" w:cs="新宋体"/>
                <w:color w:val="auto"/>
                <w:kern w:val="0"/>
                <w:sz w:val="22"/>
                <w:szCs w:val="22"/>
              </w:rPr>
            </w:pPr>
            <w:r>
              <w:rPr>
                <w:rFonts w:hint="eastAsia" w:ascii="新宋体" w:hAnsi="新宋体" w:eastAsia="新宋体" w:cs="新宋体"/>
                <w:color w:val="auto"/>
                <w:kern w:val="0"/>
                <w:sz w:val="22"/>
                <w:szCs w:val="22"/>
              </w:rPr>
              <w:t>三、第三方对接</w:t>
            </w:r>
          </w:p>
        </w:tc>
      </w:tr>
      <w:tr w14:paraId="01FAD99A">
        <w:tblPrEx>
          <w:tblCellMar>
            <w:top w:w="0" w:type="dxa"/>
            <w:left w:w="108" w:type="dxa"/>
            <w:bottom w:w="0" w:type="dxa"/>
            <w:right w:w="108" w:type="dxa"/>
          </w:tblCellMar>
        </w:tblPrEx>
        <w:trPr>
          <w:trHeight w:val="454" w:hRule="atLeast"/>
        </w:trPr>
        <w:tc>
          <w:tcPr>
            <w:tcW w:w="794" w:type="dxa"/>
            <w:tcBorders>
              <w:top w:val="single" w:color="000000" w:sz="4" w:space="0"/>
              <w:left w:val="single" w:color="000000" w:sz="4" w:space="0"/>
              <w:bottom w:val="single" w:color="000000" w:sz="4" w:space="0"/>
              <w:right w:val="single" w:color="000000" w:sz="4" w:space="0"/>
            </w:tcBorders>
            <w:vAlign w:val="center"/>
          </w:tcPr>
          <w:p w14:paraId="3BD72BA7">
            <w:pPr>
              <w:widowControl/>
              <w:jc w:val="center"/>
              <w:rPr>
                <w:rFonts w:hint="eastAsia" w:ascii="新宋体" w:hAnsi="新宋体" w:eastAsia="新宋体" w:cs="新宋体"/>
                <w:color w:val="auto"/>
                <w:kern w:val="0"/>
                <w:sz w:val="22"/>
                <w:szCs w:val="22"/>
              </w:rPr>
            </w:pPr>
            <w:r>
              <w:rPr>
                <w:rFonts w:hint="eastAsia" w:ascii="新宋体" w:hAnsi="新宋体" w:eastAsia="新宋体" w:cs="新宋体"/>
                <w:color w:val="auto"/>
                <w:kern w:val="0"/>
                <w:sz w:val="22"/>
                <w:szCs w:val="22"/>
              </w:rPr>
              <w:t>1</w:t>
            </w:r>
          </w:p>
        </w:tc>
        <w:tc>
          <w:tcPr>
            <w:tcW w:w="8806" w:type="dxa"/>
            <w:tcBorders>
              <w:top w:val="single" w:color="000000" w:sz="4" w:space="0"/>
              <w:left w:val="single" w:color="000000" w:sz="4" w:space="0"/>
              <w:bottom w:val="single" w:color="000000" w:sz="4" w:space="0"/>
              <w:right w:val="single" w:color="000000" w:sz="4" w:space="0"/>
            </w:tcBorders>
            <w:vAlign w:val="center"/>
          </w:tcPr>
          <w:p w14:paraId="48B279E3">
            <w:pPr>
              <w:widowControl/>
              <w:jc w:val="left"/>
              <w:rPr>
                <w:rFonts w:hint="eastAsia" w:ascii="新宋体" w:hAnsi="新宋体" w:eastAsia="新宋体" w:cs="新宋体"/>
                <w:color w:val="auto"/>
                <w:kern w:val="0"/>
                <w:sz w:val="22"/>
                <w:szCs w:val="22"/>
              </w:rPr>
            </w:pPr>
            <w:r>
              <w:rPr>
                <w:rFonts w:hint="eastAsia" w:ascii="新宋体" w:hAnsi="新宋体" w:eastAsia="新宋体" w:cs="新宋体"/>
                <w:color w:val="auto"/>
                <w:kern w:val="0"/>
                <w:sz w:val="22"/>
                <w:szCs w:val="22"/>
              </w:rPr>
              <w:t>温州市慢病智管平台</w:t>
            </w:r>
          </w:p>
        </w:tc>
      </w:tr>
      <w:tr w14:paraId="3B7CB429">
        <w:tblPrEx>
          <w:tblCellMar>
            <w:top w:w="0" w:type="dxa"/>
            <w:left w:w="108" w:type="dxa"/>
            <w:bottom w:w="0" w:type="dxa"/>
            <w:right w:w="108" w:type="dxa"/>
          </w:tblCellMar>
        </w:tblPrEx>
        <w:trPr>
          <w:trHeight w:val="454" w:hRule="atLeast"/>
        </w:trPr>
        <w:tc>
          <w:tcPr>
            <w:tcW w:w="794" w:type="dxa"/>
            <w:tcBorders>
              <w:top w:val="single" w:color="000000" w:sz="4" w:space="0"/>
              <w:left w:val="single" w:color="000000" w:sz="4" w:space="0"/>
              <w:bottom w:val="single" w:color="000000" w:sz="4" w:space="0"/>
              <w:right w:val="single" w:color="000000" w:sz="4" w:space="0"/>
            </w:tcBorders>
            <w:vAlign w:val="center"/>
          </w:tcPr>
          <w:p w14:paraId="0F7A9E26">
            <w:pPr>
              <w:widowControl/>
              <w:jc w:val="center"/>
              <w:rPr>
                <w:rFonts w:hint="eastAsia" w:ascii="新宋体" w:hAnsi="新宋体" w:eastAsia="新宋体" w:cs="新宋体"/>
                <w:color w:val="auto"/>
                <w:kern w:val="0"/>
                <w:sz w:val="22"/>
                <w:szCs w:val="22"/>
              </w:rPr>
            </w:pPr>
            <w:r>
              <w:rPr>
                <w:rFonts w:hint="eastAsia" w:ascii="新宋体" w:hAnsi="新宋体" w:eastAsia="新宋体" w:cs="新宋体"/>
                <w:color w:val="auto"/>
                <w:kern w:val="0"/>
                <w:sz w:val="22"/>
                <w:szCs w:val="22"/>
              </w:rPr>
              <w:t>2</w:t>
            </w:r>
          </w:p>
        </w:tc>
        <w:tc>
          <w:tcPr>
            <w:tcW w:w="8806" w:type="dxa"/>
            <w:tcBorders>
              <w:top w:val="single" w:color="000000" w:sz="4" w:space="0"/>
              <w:left w:val="single" w:color="000000" w:sz="4" w:space="0"/>
              <w:bottom w:val="single" w:color="000000" w:sz="4" w:space="0"/>
              <w:right w:val="single" w:color="000000" w:sz="4" w:space="0"/>
            </w:tcBorders>
            <w:vAlign w:val="center"/>
          </w:tcPr>
          <w:p w14:paraId="6E11C9EE">
            <w:pPr>
              <w:widowControl/>
              <w:jc w:val="left"/>
              <w:rPr>
                <w:rFonts w:hint="eastAsia" w:ascii="新宋体" w:hAnsi="新宋体" w:eastAsia="新宋体" w:cs="新宋体"/>
                <w:color w:val="auto"/>
                <w:kern w:val="0"/>
                <w:sz w:val="22"/>
                <w:szCs w:val="22"/>
              </w:rPr>
            </w:pPr>
            <w:r>
              <w:rPr>
                <w:rFonts w:hint="eastAsia" w:ascii="新宋体" w:hAnsi="新宋体" w:eastAsia="新宋体" w:cs="新宋体"/>
                <w:color w:val="auto"/>
                <w:kern w:val="0"/>
                <w:sz w:val="22"/>
                <w:szCs w:val="22"/>
              </w:rPr>
              <w:t>省公卫</w:t>
            </w:r>
          </w:p>
        </w:tc>
      </w:tr>
      <w:tr w14:paraId="5E20AFFA">
        <w:tblPrEx>
          <w:tblCellMar>
            <w:top w:w="0" w:type="dxa"/>
            <w:left w:w="108" w:type="dxa"/>
            <w:bottom w:w="0" w:type="dxa"/>
            <w:right w:w="108" w:type="dxa"/>
          </w:tblCellMar>
        </w:tblPrEx>
        <w:trPr>
          <w:trHeight w:val="454" w:hRule="atLeast"/>
        </w:trPr>
        <w:tc>
          <w:tcPr>
            <w:tcW w:w="794" w:type="dxa"/>
            <w:tcBorders>
              <w:top w:val="single" w:color="000000" w:sz="4" w:space="0"/>
              <w:left w:val="single" w:color="000000" w:sz="4" w:space="0"/>
              <w:bottom w:val="single" w:color="000000" w:sz="4" w:space="0"/>
              <w:right w:val="single" w:color="000000" w:sz="4" w:space="0"/>
            </w:tcBorders>
            <w:vAlign w:val="center"/>
          </w:tcPr>
          <w:p w14:paraId="3A1856BF">
            <w:pPr>
              <w:widowControl/>
              <w:jc w:val="center"/>
              <w:rPr>
                <w:rFonts w:hint="eastAsia" w:ascii="新宋体" w:hAnsi="新宋体" w:eastAsia="新宋体" w:cs="新宋体"/>
                <w:color w:val="auto"/>
                <w:kern w:val="0"/>
                <w:sz w:val="22"/>
                <w:szCs w:val="22"/>
              </w:rPr>
            </w:pPr>
            <w:r>
              <w:rPr>
                <w:rFonts w:hint="eastAsia" w:ascii="新宋体" w:hAnsi="新宋体" w:eastAsia="新宋体" w:cs="新宋体"/>
                <w:color w:val="auto"/>
                <w:kern w:val="0"/>
                <w:sz w:val="22"/>
                <w:szCs w:val="22"/>
              </w:rPr>
              <w:t>3</w:t>
            </w:r>
          </w:p>
        </w:tc>
        <w:tc>
          <w:tcPr>
            <w:tcW w:w="8806" w:type="dxa"/>
            <w:tcBorders>
              <w:top w:val="single" w:color="000000" w:sz="4" w:space="0"/>
              <w:left w:val="single" w:color="000000" w:sz="4" w:space="0"/>
              <w:bottom w:val="single" w:color="000000" w:sz="4" w:space="0"/>
              <w:right w:val="single" w:color="000000" w:sz="4" w:space="0"/>
            </w:tcBorders>
            <w:vAlign w:val="center"/>
          </w:tcPr>
          <w:p w14:paraId="52C4ACA9">
            <w:pPr>
              <w:widowControl/>
              <w:jc w:val="left"/>
              <w:rPr>
                <w:rFonts w:hint="eastAsia" w:ascii="新宋体" w:hAnsi="新宋体" w:eastAsia="新宋体" w:cs="新宋体"/>
                <w:color w:val="auto"/>
                <w:kern w:val="0"/>
                <w:sz w:val="22"/>
                <w:szCs w:val="22"/>
              </w:rPr>
            </w:pPr>
            <w:r>
              <w:rPr>
                <w:rFonts w:hint="eastAsia" w:ascii="新宋体" w:hAnsi="新宋体" w:eastAsia="新宋体" w:cs="新宋体"/>
                <w:color w:val="auto"/>
                <w:kern w:val="0"/>
                <w:sz w:val="22"/>
                <w:szCs w:val="22"/>
              </w:rPr>
              <w:t>泰顺县区域HIS</w:t>
            </w:r>
          </w:p>
        </w:tc>
      </w:tr>
      <w:tr w14:paraId="0EEFF325">
        <w:tblPrEx>
          <w:tblCellMar>
            <w:top w:w="0" w:type="dxa"/>
            <w:left w:w="108" w:type="dxa"/>
            <w:bottom w:w="0" w:type="dxa"/>
            <w:right w:w="108" w:type="dxa"/>
          </w:tblCellMar>
        </w:tblPrEx>
        <w:trPr>
          <w:trHeight w:val="454" w:hRule="atLeast"/>
        </w:trPr>
        <w:tc>
          <w:tcPr>
            <w:tcW w:w="9600" w:type="dxa"/>
            <w:gridSpan w:val="2"/>
            <w:tcBorders>
              <w:top w:val="single" w:color="000000" w:sz="4" w:space="0"/>
              <w:left w:val="single" w:color="000000" w:sz="4" w:space="0"/>
              <w:bottom w:val="single" w:color="000000" w:sz="4" w:space="0"/>
              <w:right w:val="single" w:color="000000" w:sz="4" w:space="0"/>
            </w:tcBorders>
            <w:vAlign w:val="center"/>
          </w:tcPr>
          <w:p w14:paraId="25D41795">
            <w:pPr>
              <w:widowControl/>
              <w:numPr>
                <w:ilvl w:val="0"/>
                <w:numId w:val="6"/>
              </w:numPr>
              <w:jc w:val="left"/>
              <w:rPr>
                <w:rFonts w:hint="default" w:ascii="宋体" w:hAnsi="宋体" w:eastAsia="宋体" w:cs="宋体"/>
                <w:color w:val="auto"/>
                <w:sz w:val="22"/>
                <w:szCs w:val="22"/>
                <w:lang w:val="en-US" w:eastAsia="zh-CN"/>
              </w:rPr>
            </w:pPr>
            <w:r>
              <w:rPr>
                <w:rFonts w:hint="eastAsia" w:ascii="新宋体" w:hAnsi="新宋体" w:eastAsia="新宋体" w:cs="新宋体"/>
                <w:color w:val="auto"/>
                <w:kern w:val="0"/>
                <w:sz w:val="22"/>
                <w:szCs w:val="22"/>
              </w:rPr>
              <w:t>资源租赁费（通用软件、温州市健康云云资源，租期三年）</w:t>
            </w:r>
          </w:p>
          <w:p w14:paraId="279F4364">
            <w:pPr>
              <w:widowControl/>
              <w:numPr>
                <w:ilvl w:val="0"/>
                <w:numId w:val="0"/>
              </w:numPr>
              <w:jc w:val="left"/>
              <w:rPr>
                <w:rFonts w:hint="default" w:ascii="宋体" w:hAnsi="宋体" w:eastAsia="宋体" w:cs="宋体"/>
                <w:color w:val="auto"/>
                <w:sz w:val="22"/>
                <w:szCs w:val="22"/>
                <w:lang w:val="en-US" w:eastAsia="zh-CN"/>
              </w:rPr>
            </w:pPr>
            <w:r>
              <w:rPr>
                <w:rFonts w:hint="eastAsia" w:ascii="宋体" w:hAnsi="宋体" w:eastAsia="宋体" w:cs="宋体"/>
                <w:b/>
                <w:bCs/>
                <w:color w:val="auto"/>
                <w:sz w:val="22"/>
                <w:szCs w:val="22"/>
                <w:lang w:val="en-US" w:eastAsia="zh-CN"/>
              </w:rPr>
              <w:t>注：资源租赁时间，从完成整体部署，</w:t>
            </w:r>
            <w:r>
              <w:rPr>
                <w:rFonts w:hint="eastAsia" w:ascii="宋体" w:hAnsi="宋体" w:cs="宋体"/>
                <w:b/>
                <w:bCs/>
                <w:color w:val="auto"/>
                <w:sz w:val="22"/>
                <w:szCs w:val="22"/>
                <w:lang w:val="en-US" w:eastAsia="zh-CN"/>
              </w:rPr>
              <w:t>经采购人确认</w:t>
            </w:r>
            <w:r>
              <w:rPr>
                <w:rFonts w:hint="eastAsia" w:ascii="宋体" w:hAnsi="宋体" w:eastAsia="宋体" w:cs="宋体"/>
                <w:b/>
                <w:bCs/>
                <w:color w:val="auto"/>
                <w:sz w:val="22"/>
                <w:szCs w:val="22"/>
                <w:lang w:val="en-US" w:eastAsia="zh-CN"/>
              </w:rPr>
              <w:t>试运行开始计算</w:t>
            </w:r>
          </w:p>
        </w:tc>
      </w:tr>
    </w:tbl>
    <w:p w14:paraId="572153E4">
      <w:pP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三、技术要求</w:t>
      </w:r>
    </w:p>
    <w:p w14:paraId="349C3722">
      <w:pPr>
        <w:spacing w:line="360" w:lineRule="auto"/>
        <w:rPr>
          <w:rFonts w:hint="eastAsia" w:ascii="宋体" w:hAnsi="宋体" w:cs="宋体"/>
          <w:b/>
          <w:color w:val="auto"/>
          <w:sz w:val="24"/>
        </w:rPr>
      </w:pPr>
      <w:r>
        <w:rPr>
          <w:rFonts w:hint="eastAsia" w:ascii="宋体" w:hAnsi="宋体" w:cs="宋体"/>
          <w:b/>
          <w:color w:val="auto"/>
          <w:sz w:val="24"/>
        </w:rPr>
        <w:t>1.慢病医防融合路径化管理系统</w:t>
      </w:r>
    </w:p>
    <w:p w14:paraId="67FBDD01">
      <w:pPr>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在项目整体设计中，将致力把泰顺县基层卫生服务机构打造一个全面、高效且以患者为中心的慢病管理和服务体系。通过系统优化设计医防融合路径，精细化过程监管，全面提升慢病管理的效率和质量，实现基本公共卫生服务和医疗服务的有机融合，为患者提供连续的健康服务。</w:t>
      </w:r>
    </w:p>
    <w:p w14:paraId="445A5E68">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1.1医生端</w:t>
      </w:r>
    </w:p>
    <w:p w14:paraId="59E49CF6">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1.1.1系统登录</w:t>
      </w:r>
    </w:p>
    <w:p w14:paraId="326679C3">
      <w:pPr>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登录成功后，系统会显示机器人图标，并展示随访任务数量、无随访任务、网络异常三种状态。诊中面板操作界面整体支持适老化设计，可以放大字体，同时支持透明度调节，并提供最小化可触发的极简模式，仅展示患者的基本信息和档案标识，可以通过点击图标进入管理后台等。</w:t>
      </w:r>
    </w:p>
    <w:p w14:paraId="2059F300">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b/>
          <w:color w:val="auto"/>
          <w:sz w:val="24"/>
          <w:szCs w:val="24"/>
        </w:rPr>
      </w:pPr>
      <w:r>
        <w:rPr>
          <w:rFonts w:hint="eastAsia" w:ascii="宋体" w:hAnsi="宋体" w:eastAsia="宋体" w:cs="宋体"/>
          <w:color w:val="auto"/>
          <w:kern w:val="0"/>
          <w:sz w:val="24"/>
          <w:szCs w:val="24"/>
        </w:rPr>
        <w:t>★</w:t>
      </w:r>
      <w:r>
        <w:rPr>
          <w:rFonts w:hint="eastAsia" w:ascii="宋体" w:hAnsi="宋体" w:eastAsia="宋体" w:cs="宋体"/>
          <w:b/>
          <w:color w:val="auto"/>
          <w:sz w:val="24"/>
          <w:szCs w:val="24"/>
        </w:rPr>
        <w:t>1.1.2系统首页</w:t>
      </w:r>
    </w:p>
    <w:p w14:paraId="35CC1394">
      <w:pPr>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    管理后台首页提供全面的慢病管理数据统计与分析功能，支持按月、季、年切换时间维度，联动展示任务量&amp;工作量、检验检查、待办提醒、慢病管理指数等数据。任务量模块支持多维查看节点完成情况；待办提醒模块帮助医生追踪未完成事项；慢病管理指数、过程和结果模块提供评分及排名分析；雷达图直观展示管理维度的表现；高血压和糖尿病模块统计规范管理率与控制率；患者总人数、就诊签约情况及健康分统计则汇总患者分布与健康状态。所有模块均支持点击查看详情，便于医生精细化管理和决策。</w:t>
      </w:r>
    </w:p>
    <w:p w14:paraId="7117E0AA">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1.1.3诊前管理</w:t>
      </w:r>
    </w:p>
    <w:p w14:paraId="3C12DA09">
      <w:pPr>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涵盖患者基础信息管理、体征数据采集、疾病状态评估、生活方式记录、辅助检查支持、设备数据采集、历史记录查询以及健康问卷评估等方面，旨在为患者提供全面的诊前信息收集与管理服务。</w:t>
      </w:r>
    </w:p>
    <w:p w14:paraId="3A4363E9">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1.1.3.1基础信息管理 ：患者诊前刷卡显示基本信息，支持信息完善及分类展示，还可根据专档档案信息展示随访相关内容及提示随访。</w:t>
      </w:r>
    </w:p>
    <w:p w14:paraId="465CB6EA">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★1.1.3.2体征数据采集 ：支持多种数据录入方式，且可组件显示上次记录并自动带入本次。</w:t>
      </w:r>
    </w:p>
    <w:p w14:paraId="6DE1FD9B">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1.1.3.3疾病状态评估 ：根据慢病管理要求采集疾病控制情况，可定制化扩展。</w:t>
      </w:r>
    </w:p>
    <w:p w14:paraId="11CB11E8">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★1.1.3.4生活方式记录 ：采集诊前生活方式多种信息，如吸烟量、饮酒量等。</w:t>
      </w:r>
    </w:p>
    <w:p w14:paraId="367AA8A7">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1.1.3.5辅助检查支持 ：支持慢病辅助检查，血糖测试仪器带入及历史值处理。</w:t>
      </w:r>
    </w:p>
    <w:p w14:paraId="1AA4F16D">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★1.1.3.6设备数据采集 ：支持一体机等设备对接，数据自动带入诊前表单。</w:t>
      </w:r>
    </w:p>
    <w:p w14:paraId="44CEA582">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1.1.3.7历史记录查询 ：可查看诊前表单历史记录及详情。</w:t>
      </w:r>
    </w:p>
    <w:p w14:paraId="46B04DEF">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1.1.4诊中管理</w:t>
      </w:r>
    </w:p>
    <w:p w14:paraId="74AA9E44">
      <w:pPr>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围绕慢病患者诊中诊疗全流程展开慢病医防融合管理，通过智能化的患者分层管理（如签约标识、专档状态）、动态随访任务生成（支持高血压/糖尿病分级管理，自动计算随访次数与周期）及多维度数据整合，实现诊间高效服务。系统内置自动化表单填充（诊前数据抓取、HIS用药记录联动）、风险分层计算（ASCVD/高血压危险因素评估）、健康趋势分析（近一年指标趋势图、异常指标高亮提示），支持医生一键生成健康评估报告与科普物料推送。</w:t>
      </w:r>
    </w:p>
    <w:p w14:paraId="50868BBE">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1.1.4.1支持诊中患者全流程管理，通过智能列表展示患者基本信息、专病等级、签约状态及异常指标。患者详情页整合健康管理指数、核心指标趋势图（血压/血糖等）、就诊记录时间轴及健康评估报告，实现患者健康画像的可视化分析，辅助医生快速掌握患者动态。</w:t>
      </w:r>
    </w:p>
    <w:p w14:paraId="54ABC75F">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★1.1.4.2基于专档等级智能生成随访任务（如高血压三级需≥12次），支持随访周期自动标识（未到期/已到期/超期）。诊中面板实时抓取检验检查数据（异常值高亮提示），自动生成随访表单并支持手动补充。</w:t>
      </w:r>
    </w:p>
    <w:p w14:paraId="5D0C6F10">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1.1.4.3诊间实时整合患者诊前录入数据（体征/症状/检查），支持检验检查异常值预警（近90天数据优先展示）。内置疾病风险评估工具（如ASCVD风险分层、高血压危险因素计算），结合指南推荐用药方案，为医生提供智能决策支持，支持设备数据批量导。</w:t>
      </w:r>
    </w:p>
    <w:p w14:paraId="410D93B3">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1.1.5诊后管理</w:t>
      </w:r>
    </w:p>
    <w:p w14:paraId="40E82088">
      <w:pPr>
        <w:pageBreakBefore w:val="0"/>
        <w:widowControl w:val="0"/>
        <w:kinsoku/>
        <w:wordWrap/>
        <w:overflowPunct/>
        <w:topLinePunct w:val="0"/>
        <w:autoSpaceDE/>
        <w:autoSpaceDN/>
        <w:bidi w:val="0"/>
        <w:adjustRightInd/>
        <w:snapToGrid w:val="0"/>
        <w:spacing w:line="360" w:lineRule="auto"/>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医生查看当日/历史接诊患者列表（支持责任患者筛选、多标签检索），并整合患者诊疗数据（如诊前采集、历史就诊记录、近90天检验检查趋势图及未来必检提醒）。通过智能识别近30天检验检查异常项，自动触发并发症预警及处理任务，同时提供随访计划管理（含超期提醒、表单自动填充、电话预约）、数据同步及召回通知（异常值、失管患者等）。</w:t>
      </w:r>
    </w:p>
    <w:p w14:paraId="2434C777">
      <w:pPr>
        <w:pageBreakBefore w:val="0"/>
        <w:widowControl w:val="0"/>
        <w:kinsoku/>
        <w:wordWrap/>
        <w:overflowPunct/>
        <w:topLinePunct w:val="0"/>
        <w:autoSpaceDE/>
        <w:autoSpaceDN/>
        <w:bidi w:val="0"/>
        <w:adjustRightInd/>
        <w:snapToGrid w:val="0"/>
        <w:spacing w:line="360" w:lineRule="auto"/>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1.1.5.1支持医生查看当日或历史刷卡就诊患者列表，可按日期切换、责任患者（我的/团队）筛选，并通过患者姓名/身份证/标签（如已随访、已诊前）快速定位。进入患者详情页后，可查看当日接诊记录（诊前采集表、历史就诊记录）、近90天检验检查指标趋势图（支持血压/血糖/血脂历史数值追踪），以及未来90天待完成的检验检查任务。此外，还能查阅当天随访记录快照、健康处方及管理评估报告，实现患者诊疗数据的全面回顾。</w:t>
      </w:r>
    </w:p>
    <w:p w14:paraId="17D4F3B4">
      <w:pPr>
        <w:pageBreakBefore w:val="0"/>
        <w:widowControl w:val="0"/>
        <w:kinsoku/>
        <w:wordWrap/>
        <w:overflowPunct/>
        <w:topLinePunct w:val="0"/>
        <w:autoSpaceDE/>
        <w:autoSpaceDN/>
        <w:bidi w:val="0"/>
        <w:adjustRightInd/>
        <w:snapToGrid w:val="0"/>
        <w:spacing w:line="360" w:lineRule="auto"/>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1.1.5.2系统自动识别近30天内责任患者的检验检查异常项，按检验/检查分类展示，并通过智能算法提示可能的并发症风险（如慢病相关异常默认展开）。医生可查看异常原始报告单（高亮显示异常指标）、His诊断内容及补充描述。处理流程支持“不处理”“已处理”“转诊”“推给医助”四种方式，任务完成后可跟踪同步电话召回结果（如录音记录或转诊单详情），确保异常闭环管理。</w:t>
      </w:r>
    </w:p>
    <w:p w14:paraId="5F960134">
      <w:pPr>
        <w:pageBreakBefore w:val="0"/>
        <w:widowControl w:val="0"/>
        <w:kinsoku/>
        <w:wordWrap/>
        <w:overflowPunct/>
        <w:topLinePunct w:val="0"/>
        <w:autoSpaceDE/>
        <w:autoSpaceDN/>
        <w:bidi w:val="0"/>
        <w:adjustRightInd/>
        <w:snapToGrid w:val="0"/>
        <w:spacing w:line="360" w:lineRule="auto"/>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1.1.5.3聚焦当日接诊且处于随访周期内或超期的患者，按疾病分开展示任务并标识超期项。医生可通过一键填充功能快速完成随访表单。</w:t>
      </w:r>
    </w:p>
    <w:p w14:paraId="18B9064E">
      <w:pPr>
        <w:pageBreakBefore w:val="0"/>
        <w:widowControl w:val="0"/>
        <w:kinsoku/>
        <w:wordWrap/>
        <w:overflowPunct/>
        <w:topLinePunct w:val="0"/>
        <w:autoSpaceDE/>
        <w:autoSpaceDN/>
        <w:bidi w:val="0"/>
        <w:adjustRightInd/>
        <w:snapToGrid w:val="0"/>
        <w:spacing w:line="360" w:lineRule="auto"/>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1.1.5.4集中展示计划随访日期为当天的任务，支持按计划日期、责任医生、疾病类型等多条件筛选，并可取消计划日期以全局查看团队责任患者列表。提供随访表单自动填充与电话预约功能，灵活适配不同随访场景需求。</w:t>
      </w:r>
    </w:p>
    <w:p w14:paraId="78DC6CE8">
      <w:pPr>
        <w:pageBreakBefore w:val="0"/>
        <w:widowControl w:val="0"/>
        <w:kinsoku/>
        <w:wordWrap/>
        <w:overflowPunct/>
        <w:topLinePunct w:val="0"/>
        <w:autoSpaceDE/>
        <w:autoSpaceDN/>
        <w:bidi w:val="0"/>
        <w:adjustRightInd/>
        <w:snapToGrid w:val="0"/>
        <w:spacing w:line="360" w:lineRule="auto"/>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1.1.5.5管理未同步或同步失败的随访记录，支持按模版、类别、状态等条件筛选，并查看详情后重新提交同步。同步结果实时反馈（成功/异常），确保公卫系统数据一致性。</w:t>
      </w:r>
    </w:p>
    <w:p w14:paraId="0D338CB8">
      <w:pPr>
        <w:pageBreakBefore w:val="0"/>
        <w:widowControl w:val="0"/>
        <w:kinsoku/>
        <w:wordWrap/>
        <w:overflowPunct/>
        <w:topLinePunct w:val="0"/>
        <w:autoSpaceDE/>
        <w:autoSpaceDN/>
        <w:bidi w:val="0"/>
        <w:adjustRightInd/>
        <w:snapToGrid w:val="0"/>
        <w:spacing w:line="360" w:lineRule="auto"/>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1.1.5.6自动生成需转诊的触发任务（如随访异常、危急值指标、控制不佳等），支持上下级医院转诊及双向转诊实时状态查询。医生可选择“暂不处理”“患者拒绝”或填写转诊单完成操作，全程记录转诊来源与历史操作，保障转诊流程可追溯。</w:t>
      </w:r>
    </w:p>
    <w:p w14:paraId="0DAA3308">
      <w:pPr>
        <w:pageBreakBefore w:val="0"/>
        <w:widowControl w:val="0"/>
        <w:kinsoku/>
        <w:wordWrap/>
        <w:overflowPunct/>
        <w:topLinePunct w:val="0"/>
        <w:autoSpaceDE/>
        <w:autoSpaceDN/>
        <w:bidi w:val="0"/>
        <w:adjustRightInd/>
        <w:snapToGrid w:val="0"/>
        <w:spacing w:line="360" w:lineRule="auto"/>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1.1.5.7分类管理召回任务（异常值追溯、随访超期、失管患者、未检人群、体检异常），支持多标签筛选（任务下发日期、通知状态、责任医助等）。通过AI电话盒子自动拨号或手动记录通知结果，同步状态至医生端，实现召回任务高效触达与闭环跟踪。</w:t>
      </w:r>
    </w:p>
    <w:p w14:paraId="5574789F">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1.1.6患者管理</w:t>
      </w:r>
    </w:p>
    <w:p w14:paraId="704446DF">
      <w:pPr>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患者管理支持医生对注册人群（含手动/自动注册）、高血压、糖尿病等患者进行分类管理，提供建档、不注册及统计功能。患者详情页展示基本信息、疾病管理路径、危险因素、随访记录等，支持全面健康管理。</w:t>
      </w:r>
    </w:p>
    <w:p w14:paraId="065FD46C">
      <w:pPr>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1.1.6.1支持医生查看和管理已注册的患者，注册列表展示患者的基本信息、疾病维度、管理等级等，并支持建档操作。已注册的患者可进行“不注册”操作，后续还可重新注册。此外，系统支持按疾病和专档状态对注册人群进行统计。</w:t>
      </w:r>
    </w:p>
    <w:p w14:paraId="2564ED02">
      <w:pPr>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1.1.6.2针对公卫系统内有高血压、糖尿病专档的患者，医生可进行不注册操作，方便对高血压、糖尿病患者进行分类管理。</w:t>
      </w:r>
    </w:p>
    <w:p w14:paraId="2BE51AED">
      <w:pPr>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★1.1.6.3通过患者列表可进入患者详情页，展示患者全量基本信息、高血压/糖尿病管理路径详情、危险因素结果、随访记录、评估报告及健康教育内容，支持全面的患者信息管理和随访操作。</w:t>
      </w:r>
    </w:p>
    <w:p w14:paraId="0F46CE97">
      <w:pPr>
        <w:pStyle w:val="5"/>
        <w:keepNext/>
        <w:keepLines/>
        <w:pageBreakBefore w:val="0"/>
        <w:widowControl w:val="0"/>
        <w:numPr>
          <w:ilvl w:val="255"/>
          <w:numId w:val="0"/>
        </w:numPr>
        <w:tabs>
          <w:tab w:val="left" w:pos="0"/>
        </w:tabs>
        <w:kinsoku/>
        <w:wordWrap/>
        <w:overflowPunct/>
        <w:topLinePunct w:val="0"/>
        <w:autoSpaceDE/>
        <w:autoSpaceDN/>
        <w:bidi w:val="0"/>
        <w:adjustRightInd/>
        <w:snapToGrid w:val="0"/>
        <w:spacing w:before="100" w:after="10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1.1.7随访管理</w:t>
      </w:r>
    </w:p>
    <w:p w14:paraId="2A703E30">
      <w:pPr>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随访管理包括待随访、待同步和已随访三大模块。待随访模块显示随访提示期内的待办任务，支持按病种筛选和多种随访方式填写；待同步模块管理未同步表单，支持同步或移入废纸篓；已随访模块可查询和编辑表单，支持条件筛选和重新同步异常数据，确保公卫系统数据完整。</w:t>
      </w:r>
    </w:p>
    <w:p w14:paraId="2F0E8E48">
      <w:pPr>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1.1.7.1支持显示待随访的管理列表，根据默认计划时间进行过滤，帮助用户快速识别当前时间段的待办任务。支持根据不同病种（如高血压、糖尿病）的随访模板进行筛选，并高亮显示特定病种的回访任务。用户可点击进入随访表单填写，随访方式包括诊间、电话等，系统会根据是否获取到当日就诊记录自动默认随访方式（诊间或电话），同时也支持手动修改。</w:t>
      </w:r>
    </w:p>
    <w:p w14:paraId="5C7527A3">
      <w:pPr>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1.1.7.2支持展示已完成填写但尚未同步到公卫系统的随访表单。用户可以通过列表中的同步按钮将表单同步至公卫系统（需系统对接调通）。对于不需要同步的表单，支持移入「废纸篓」并保留恢复功能，确保数据的灵活管理。</w:t>
      </w:r>
    </w:p>
    <w:p w14:paraId="157E7CFF">
      <w:pPr>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1.1.7.3可查询和管理已保存的随访表单，支持根据随访时间、随访模板、同步人员及同步状态等条件进行筛选。用户可通过列表行按钮查看或编辑表单，并通过同步按钮将表单同步至公卫系统（需系统对接调通）。对于同步异常的随访表单，支持重新同步操作，确保数据同步的可靠性。</w:t>
      </w:r>
    </w:p>
    <w:p w14:paraId="308E01E1">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1.2监管端</w:t>
      </w:r>
    </w:p>
    <w:p w14:paraId="52EAD3E7">
      <w:pPr>
        <w:pStyle w:val="5"/>
        <w:keepNext/>
        <w:keepLines/>
        <w:pageBreakBefore w:val="0"/>
        <w:widowControl w:val="0"/>
        <w:numPr>
          <w:ilvl w:val="255"/>
          <w:numId w:val="0"/>
        </w:numPr>
        <w:tabs>
          <w:tab w:val="left" w:pos="0"/>
        </w:tabs>
        <w:kinsoku/>
        <w:wordWrap/>
        <w:overflowPunct/>
        <w:topLinePunct w:val="0"/>
        <w:autoSpaceDE/>
        <w:autoSpaceDN/>
        <w:bidi w:val="0"/>
        <w:adjustRightInd/>
        <w:snapToGrid w:val="0"/>
        <w:spacing w:before="100" w:after="10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★1.2.1慢病管理概览</w:t>
      </w:r>
    </w:p>
    <w:p w14:paraId="15D0237B">
      <w:pPr>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提供全面的慢病管理数据可视化展示，支持按月、季、年切换时间维度，实现全屏数据联动。主要子模块包括：患者主动管理分（以蛛网图展示8个维度平均分）、患者人口构成（性别、年龄分布）、患者疾病分布（高血压、糖尿病等人数及占比）、并发症分布（发生率、新发率及类型分布）、管理指数排名与分析（各中心指数、过程、结果的分数排名及趋势对比）、慢病管理指数（区域整体分数及明细）、管理等级分布（高血压和糖尿病的分级人数及占比）、达标率（规范管理率和控制率）。</w:t>
      </w:r>
    </w:p>
    <w:p w14:paraId="6CEDE200">
      <w:pPr>
        <w:pStyle w:val="5"/>
        <w:keepNext/>
        <w:keepLines/>
        <w:pageBreakBefore w:val="0"/>
        <w:widowControl w:val="0"/>
        <w:numPr>
          <w:ilvl w:val="255"/>
          <w:numId w:val="0"/>
        </w:numPr>
        <w:tabs>
          <w:tab w:val="left" w:pos="0"/>
        </w:tabs>
        <w:kinsoku/>
        <w:wordWrap/>
        <w:overflowPunct/>
        <w:topLinePunct w:val="0"/>
        <w:autoSpaceDE/>
        <w:autoSpaceDN/>
        <w:bidi w:val="0"/>
        <w:adjustRightInd/>
        <w:snapToGrid w:val="0"/>
        <w:spacing w:before="100" w:after="10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★1.2.2慢病管理指数</w:t>
      </w:r>
    </w:p>
    <w:p w14:paraId="7D03FC4D">
      <w:pPr>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管理指数功能支持按时间维度（月、季、年或自定义区间）切换数据展示，并提供同比、环比分析。核心模块包括：管理指数及趋势（展示分数、排名及趋势图）、管理过程得分（节点明细、低分预警、详情导出）、管理结果得分（指标得分、排名详情），以及详情页（支持排序、筛选、低分模块聚焦）。此外，提供机构排名和医生排名功能，突出前三名并支持数据导出与多维度切换，便于用户全面掌握管理绩效。</w:t>
      </w:r>
    </w:p>
    <w:p w14:paraId="1CF3222A">
      <w:pPr>
        <w:pStyle w:val="5"/>
        <w:keepNext/>
        <w:keepLines/>
        <w:pageBreakBefore w:val="0"/>
        <w:widowControl w:val="0"/>
        <w:numPr>
          <w:ilvl w:val="255"/>
          <w:numId w:val="0"/>
        </w:numPr>
        <w:tabs>
          <w:tab w:val="left" w:pos="0"/>
        </w:tabs>
        <w:kinsoku/>
        <w:wordWrap/>
        <w:overflowPunct/>
        <w:topLinePunct w:val="0"/>
        <w:autoSpaceDE/>
        <w:autoSpaceDN/>
        <w:bidi w:val="0"/>
        <w:adjustRightInd/>
        <w:snapToGrid w:val="0"/>
        <w:spacing w:before="100" w:after="10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★1.2.3慢病群体分析</w:t>
      </w:r>
    </w:p>
    <w:p w14:paraId="36727967">
      <w:pPr>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慢病群体分析涵盖时间区域及机构切换、基础信息、规范管理率、控制率、变化趋势分析、数据来源、管理等级分布、慢病管理签约、随访情况、患者人数、并发症分布、ASVCD风险等级、疾病风险分层和生活方式危险因素等子模块。用户可按月、季、年或自定义区间切换数据维度，并选择机构查看联动数据。系统展示患者管理数、规范管理率、控制率等核心指标，支持公卫与医防融合理系统对比分析，并提供趋势图、数据来源分布及管理等级分层。此外，功能还包括签约进度跟踪、随访统计、并发症分析、疾病风险评估及生活方式危险因素监测，全面支持慢病管理的决策与优化。</w:t>
      </w:r>
    </w:p>
    <w:p w14:paraId="60A83D95">
      <w:pPr>
        <w:pStyle w:val="5"/>
        <w:keepNext/>
        <w:keepLines/>
        <w:pageBreakBefore w:val="0"/>
        <w:widowControl w:val="0"/>
        <w:numPr>
          <w:ilvl w:val="255"/>
          <w:numId w:val="0"/>
        </w:numPr>
        <w:tabs>
          <w:tab w:val="left" w:pos="0"/>
        </w:tabs>
        <w:kinsoku/>
        <w:wordWrap/>
        <w:overflowPunct/>
        <w:topLinePunct w:val="0"/>
        <w:autoSpaceDE/>
        <w:autoSpaceDN/>
        <w:bidi w:val="0"/>
        <w:adjustRightInd/>
        <w:snapToGrid w:val="0"/>
        <w:spacing w:before="100" w:after="10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1.2.4主动管理分析</w:t>
      </w:r>
    </w:p>
    <w:p w14:paraId="314F5CD0">
      <w:pPr>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主动管理分析功能支持按时间维度（月、季、年或自定义区间）切换数据展示，并联动全屏内容，用户可选择特定服务中心查看对应数据。主要模块包括：就诊情况（纳管人数、就诊人次及就诊率）、患者主动管理分及趋势（雷达图、趋势分析及人群切换）、机构/医生排名（支持导出）、患者人口结构（性别、年龄分布）、患者疾病分布（高血压、糖尿病占比）以及服药依从性统计。这些功能帮助用户全面掌握患者管理情况，优化决策支持。</w:t>
      </w:r>
    </w:p>
    <w:p w14:paraId="4CA86FAD">
      <w:pPr>
        <w:pStyle w:val="5"/>
        <w:keepNext/>
        <w:keepLines/>
        <w:pageBreakBefore w:val="0"/>
        <w:widowControl w:val="0"/>
        <w:numPr>
          <w:ilvl w:val="255"/>
          <w:numId w:val="0"/>
        </w:numPr>
        <w:tabs>
          <w:tab w:val="left" w:pos="0"/>
        </w:tabs>
        <w:kinsoku/>
        <w:wordWrap/>
        <w:overflowPunct/>
        <w:topLinePunct w:val="0"/>
        <w:autoSpaceDE/>
        <w:autoSpaceDN/>
        <w:bidi w:val="0"/>
        <w:adjustRightInd/>
        <w:snapToGrid w:val="0"/>
        <w:spacing w:before="100" w:after="10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★1.2.4业务统计分析</w:t>
      </w:r>
    </w:p>
    <w:p w14:paraId="74D13110">
      <w:pPr>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业务统计分析功能支持按时间维度（月、季、年、自定义区间）切换数据展示，提供路径节点执行情况的完成率、任务量及工作量明细，支持排名查看、筛选、快照和导出；展示责签融合度等关键业务指标；统计慢病检验检查的完成率及排名，支持详情查看和导出。功能覆盖数据展示、分析及管理需求。</w:t>
      </w:r>
    </w:p>
    <w:p w14:paraId="18541E43">
      <w:pPr>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w:t>
      </w:r>
      <w:bookmarkStart w:id="11" w:name="_Toc737"/>
      <w:bookmarkStart w:id="12" w:name="_Toc2200"/>
      <w:bookmarkStart w:id="13" w:name="_Toc13385"/>
      <w:bookmarkStart w:id="14" w:name="_Toc190"/>
      <w:bookmarkStart w:id="15" w:name="_Toc14928"/>
      <w:bookmarkStart w:id="16" w:name="_Toc4319"/>
      <w:bookmarkStart w:id="17" w:name="_Toc29582"/>
      <w:r>
        <w:rPr>
          <w:rFonts w:hint="eastAsia" w:ascii="宋体" w:hAnsi="宋体" w:eastAsia="宋体" w:cs="宋体"/>
          <w:b/>
          <w:color w:val="auto"/>
          <w:sz w:val="24"/>
          <w:szCs w:val="24"/>
        </w:rPr>
        <w:t>泰顺县慢病智管平台</w:t>
      </w:r>
      <w:bookmarkEnd w:id="11"/>
      <w:bookmarkEnd w:id="12"/>
      <w:bookmarkEnd w:id="13"/>
      <w:bookmarkEnd w:id="14"/>
      <w:bookmarkEnd w:id="15"/>
      <w:bookmarkEnd w:id="16"/>
      <w:bookmarkEnd w:id="17"/>
    </w:p>
    <w:p w14:paraId="6B6BBB0A">
      <w:pPr>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 xml:space="preserve">    对接温州市慢病智管平台、电子健康档案系统、泰顺县基层医疗机构HIS，以慢病患者身份证号码为唯一识别码进行汇集，为慢病健康画像、健康评估、诊间随访、慢病数字化监管系统、AI健康助手系统提供支撑。</w:t>
      </w:r>
    </w:p>
    <w:p w14:paraId="1EF36672">
      <w:pPr>
        <w:pageBreakBefore w:val="0"/>
        <w:widowControl w:val="0"/>
        <w:kinsoku/>
        <w:wordWrap/>
        <w:overflowPunct/>
        <w:topLinePunct w:val="0"/>
        <w:autoSpaceDE/>
        <w:autoSpaceDN/>
        <w:bidi w:val="0"/>
        <w:adjustRightInd/>
        <w:snapToGrid w:val="0"/>
        <w:spacing w:line="360" w:lineRule="auto"/>
        <w:ind w:firstLine="583" w:firstLineChars="2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系统涉及数据表对接和数据校验，包括和原业务系统的数据校验等，每张表单需要完成数据治理/质控包括如下步骤数据来源资料抽取、数据源连通性测试、分析数据可用性、分析数据规模、分析数据结构、制定数据抽取方案、来源参数配置、元数据配置、数据抽取任务配置、任务监控、性能监控、方案优化、数据校验、数据完整性分析、制定数据清洗方案、数据筛选、数据清洗、数据集成、数据存储、数据质量评估、制定数据治理方案、数据治理监控、数据治理参数调优；最后通过数据建模分析执行以下输出步骤：选择算法模型、数据运算、运行监控、验证计算和存储、制定数据输出方案、测试数据输出接口、数据输出方案优化、数据输出监控、数据输出权限管理、制定数据安全管理方案、安全抽取、安全存储、安全计算、安全输出。</w:t>
      </w:r>
    </w:p>
    <w:p w14:paraId="7AADE7F8">
      <w:pPr>
        <w:pageBreakBefore w:val="0"/>
        <w:widowControl w:val="0"/>
        <w:kinsoku/>
        <w:wordWrap/>
        <w:overflowPunct/>
        <w:topLinePunct w:val="0"/>
        <w:autoSpaceDE/>
        <w:autoSpaceDN/>
        <w:bidi w:val="0"/>
        <w:adjustRightInd/>
        <w:snapToGrid w:val="0"/>
        <w:spacing w:line="360" w:lineRule="auto"/>
        <w:ind w:firstLine="583" w:firstLineChars="2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据清洗治理完毕后会输出一个以人为单位的全生命周期库供平台调用和拓展应用，其内容包括：个人基本信息、个人检验库、个人检查库、个人用药库、并发症库、生活方式库、风险指标监测库、问卷评估库、个人健康教育库、非药物干预执行库、患者标签库、生活质量和社会化、就诊记录、住院记录、体检记录、随访记录等。</w:t>
      </w:r>
    </w:p>
    <w:p w14:paraId="7CA91D03">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同时根据医生行为，将执行医防融合多个节点的关键数据执行情况汇总，节点：包括签约、建立健康档案、就诊记录、等级评估、体征采集、生活方式问询、健康档案信息完整检测、个人动态监测指标、年度体检或物理体检、合并症诊断评估、转诊指征评估与转诊处理、健康处方（健康教育）、诊间随访、追踪干预指标、健康评估报告、信息同步。</w:t>
      </w:r>
    </w:p>
    <w:p w14:paraId="7ECAE91B">
      <w:pPr>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3.第三方系统对接</w:t>
      </w:r>
    </w:p>
    <w:p w14:paraId="495DBC1A">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3.1对接温州市慢病智管平台</w:t>
      </w:r>
    </w:p>
    <w:p w14:paraId="2C05FEB3">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对全市慢病患者的基层诊疗数据、等级医院诊疗数据等进行统一数据采集、数据清洗、数据校验等数据治理工作，为泰顺县慢病管理患者的数据共享与医防融合系统应用提供支撑。</w:t>
      </w:r>
    </w:p>
    <w:p w14:paraId="7D08D6EA">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3.2对接省公卫平台</w:t>
      </w:r>
    </w:p>
    <w:p w14:paraId="5729D08F">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获取两慢病纳管人群的档案信息、签约信息、体检信息、随访信息，汇总后展示在诊前、诊中、诊后供医生、助手查阅，随访后的表单一键同步到公卫平台。</w:t>
      </w:r>
    </w:p>
    <w:p w14:paraId="7A32DA08">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3.3与泰顺县区域HIS系统对接</w:t>
      </w:r>
    </w:p>
    <w:p w14:paraId="0BE36E2E">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根据患者身份信息查询患者在本次就诊诊断、检验、检查报告、体检报告、电子病历等信息，系统刷卡接诊、登录及退出登录接口方式通知。</w:t>
      </w:r>
    </w:p>
    <w:p w14:paraId="2F068532">
      <w:pPr>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4.云资源</w:t>
      </w:r>
    </w:p>
    <w:p w14:paraId="2830A8A1">
      <w:pPr>
        <w:pageBreakBefore w:val="0"/>
        <w:widowControl w:val="0"/>
        <w:kinsoku/>
        <w:wordWrap/>
        <w:overflowPunct/>
        <w:topLinePunct w:val="0"/>
        <w:autoSpaceDE/>
        <w:autoSpaceDN/>
        <w:bidi w:val="0"/>
        <w:adjustRightInd/>
        <w:snapToGrid w:val="0"/>
        <w:spacing w:line="360" w:lineRule="auto"/>
        <w:ind w:firstLine="486" w:firstLineChars="200"/>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本系统需部属在卫生专网环境中，需要连通温州市</w:t>
      </w:r>
      <w:r>
        <w:rPr>
          <w:rFonts w:hint="eastAsia" w:ascii="宋体" w:hAnsi="宋体" w:eastAsia="宋体" w:cs="宋体"/>
          <w:bCs/>
          <w:color w:val="auto"/>
          <w:sz w:val="24"/>
          <w:szCs w:val="24"/>
        </w:rPr>
        <w:t>慢病智管</w:t>
      </w:r>
      <w:r>
        <w:rPr>
          <w:rFonts w:hint="eastAsia" w:ascii="宋体" w:hAnsi="宋体" w:eastAsia="宋体" w:cs="宋体"/>
          <w:bCs/>
          <w:color w:val="auto"/>
          <w:sz w:val="24"/>
          <w:szCs w:val="24"/>
          <w:lang w:val="zh-CN"/>
        </w:rPr>
        <w:t>平台、</w:t>
      </w:r>
      <w:r>
        <w:rPr>
          <w:rFonts w:hint="eastAsia" w:ascii="宋体" w:hAnsi="宋体" w:eastAsia="宋体" w:cs="宋体"/>
          <w:bCs/>
          <w:color w:val="auto"/>
          <w:sz w:val="24"/>
          <w:szCs w:val="24"/>
        </w:rPr>
        <w:t>省公卫</w:t>
      </w:r>
      <w:r>
        <w:rPr>
          <w:rFonts w:hint="eastAsia" w:ascii="宋体" w:hAnsi="宋体" w:eastAsia="宋体" w:cs="宋体"/>
          <w:bCs/>
          <w:color w:val="auto"/>
          <w:sz w:val="24"/>
          <w:szCs w:val="24"/>
          <w:lang w:val="zh-CN"/>
        </w:rPr>
        <w:t>平台、泰顺县基层区域HIS</w:t>
      </w:r>
      <w:r>
        <w:rPr>
          <w:rFonts w:hint="eastAsia" w:ascii="宋体" w:hAnsi="宋体" w:eastAsia="宋体" w:cs="宋体"/>
          <w:bCs/>
          <w:color w:val="auto"/>
          <w:sz w:val="24"/>
          <w:szCs w:val="24"/>
        </w:rPr>
        <w:t>等</w:t>
      </w:r>
      <w:r>
        <w:rPr>
          <w:rFonts w:hint="eastAsia" w:ascii="宋体" w:hAnsi="宋体" w:eastAsia="宋体" w:cs="宋体"/>
          <w:bCs/>
          <w:color w:val="auto"/>
          <w:sz w:val="24"/>
          <w:szCs w:val="24"/>
          <w:lang w:val="zh-CN"/>
        </w:rPr>
        <w:t>。</w:t>
      </w:r>
    </w:p>
    <w:p w14:paraId="43AE24D2">
      <w:pPr>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本项目系统建设所需要的基础设施资源包含数据库服务器、应用服务器、备份服务器、管理机，服务器放在温州市卫健委健康云上。</w:t>
      </w:r>
    </w:p>
    <w:p w14:paraId="08B99D66">
      <w:pPr>
        <w:spacing w:line="440" w:lineRule="exact"/>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5</w:t>
      </w:r>
      <w:r>
        <w:rPr>
          <w:rFonts w:hint="eastAsia" w:ascii="宋体" w:hAnsi="宋体" w:cs="宋体"/>
          <w:b/>
          <w:color w:val="auto"/>
          <w:sz w:val="24"/>
          <w:szCs w:val="24"/>
          <w:highlight w:val="none"/>
        </w:rPr>
        <w:t>.性能要求及测试</w:t>
      </w:r>
    </w:p>
    <w:p w14:paraId="689657CE">
      <w:pPr>
        <w:spacing w:line="440" w:lineRule="exact"/>
        <w:ind w:firstLine="486" w:firstLineChars="200"/>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5</w:t>
      </w:r>
      <w:r>
        <w:rPr>
          <w:rFonts w:hint="eastAsia" w:ascii="宋体" w:hAnsi="宋体" w:cs="宋体"/>
          <w:b/>
          <w:color w:val="auto"/>
          <w:sz w:val="24"/>
          <w:szCs w:val="24"/>
          <w:highlight w:val="none"/>
        </w:rPr>
        <w:t>.1系统业务响应时间</w:t>
      </w:r>
    </w:p>
    <w:p w14:paraId="16954044">
      <w:pPr>
        <w:spacing w:line="440" w:lineRule="exact"/>
        <w:ind w:firstLine="486" w:firstLineChars="200"/>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需能符合行业内比较通行的“2-5-10原则”：</w:t>
      </w:r>
    </w:p>
    <w:p w14:paraId="32B834A3">
      <w:pPr>
        <w:spacing w:line="440" w:lineRule="exact"/>
        <w:ind w:firstLine="486" w:firstLineChars="200"/>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系统业务响应时间小于2秒，判为优秀，用户对系统感觉很好；</w:t>
      </w:r>
    </w:p>
    <w:p w14:paraId="5FB0EE31">
      <w:pPr>
        <w:spacing w:line="440" w:lineRule="exact"/>
        <w:ind w:firstLine="486" w:firstLineChars="200"/>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系统业务响应时间在2-5秒之间，判为良好，用户对系统感觉良好；</w:t>
      </w:r>
    </w:p>
    <w:p w14:paraId="0C3C33BA">
      <w:pPr>
        <w:spacing w:line="440" w:lineRule="exact"/>
        <w:ind w:firstLine="486" w:firstLineChars="200"/>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系统业务响应时间在5-10秒之间，判为及格，用户对系统感觉一般；</w:t>
      </w:r>
    </w:p>
    <w:p w14:paraId="09730FD8">
      <w:pPr>
        <w:spacing w:line="440" w:lineRule="exact"/>
        <w:ind w:firstLine="486" w:firstLineChars="200"/>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系统业务响应时间超过10秒，判断为不及格，用户无法接受系统的响应速度，认为系统已经失去响应，而选择离开这个页面，或者发起第二次请求。</w:t>
      </w:r>
    </w:p>
    <w:p w14:paraId="198CCE05">
      <w:pPr>
        <w:spacing w:line="440" w:lineRule="exact"/>
        <w:ind w:firstLine="486" w:firstLineChars="200"/>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5</w:t>
      </w:r>
      <w:r>
        <w:rPr>
          <w:rFonts w:hint="eastAsia" w:ascii="宋体" w:hAnsi="宋体" w:cs="宋体"/>
          <w:b/>
          <w:color w:val="auto"/>
          <w:sz w:val="24"/>
          <w:szCs w:val="24"/>
          <w:highlight w:val="none"/>
        </w:rPr>
        <w:t>.2数据资源质量要求</w:t>
      </w:r>
    </w:p>
    <w:p w14:paraId="05F72CCE">
      <w:pPr>
        <w:spacing w:line="440" w:lineRule="exact"/>
        <w:ind w:firstLine="486" w:firstLineChars="200"/>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数据质量的评估标准：完整性、一致性、准确性、及时性</w:t>
      </w:r>
    </w:p>
    <w:p w14:paraId="464B975B">
      <w:pPr>
        <w:spacing w:line="440" w:lineRule="exact"/>
        <w:ind w:firstLine="486" w:firstLineChars="200"/>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数据质量是保证数据应用的基础，采集来的原始数据可能存在质量问题，需要通过一定的标准来对数据进行评估。对于未通过评估的数据，将采取一系列的后续方法进行处理。</w:t>
      </w:r>
    </w:p>
    <w:p w14:paraId="2223011C">
      <w:pPr>
        <w:spacing w:line="440" w:lineRule="exact"/>
        <w:ind w:firstLine="486" w:firstLineChars="200"/>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评估数据是否达到预期的质量要求，就可以通过这四个方面来进行判断。</w:t>
      </w:r>
    </w:p>
    <w:p w14:paraId="03DCF5F6">
      <w:pPr>
        <w:spacing w:line="440" w:lineRule="exact"/>
        <w:ind w:firstLine="486" w:firstLineChars="200"/>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w:t>
      </w:r>
      <w:r>
        <w:rPr>
          <w:rFonts w:hint="eastAsia" w:ascii="宋体" w:hAnsi="宋体" w:cs="宋体"/>
          <w:b/>
          <w:color w:val="auto"/>
          <w:sz w:val="24"/>
          <w:szCs w:val="24"/>
          <w:highlight w:val="none"/>
        </w:rPr>
        <w:t>1</w:t>
      </w:r>
      <w:r>
        <w:rPr>
          <w:rFonts w:hint="eastAsia" w:ascii="宋体" w:hAnsi="宋体" w:cs="宋体"/>
          <w:b/>
          <w:color w:val="auto"/>
          <w:sz w:val="24"/>
          <w:szCs w:val="24"/>
          <w:highlight w:val="none"/>
          <w:lang w:val="zh-CN"/>
        </w:rPr>
        <w:t>）完整性</w:t>
      </w:r>
    </w:p>
    <w:p w14:paraId="5887BFE2">
      <w:pPr>
        <w:spacing w:line="440" w:lineRule="exact"/>
        <w:ind w:firstLine="486" w:firstLineChars="200"/>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完整性是指数据信息是否存在缺失的情况，数据缺失可能是整个数据的缺失，也可能是数据中某个字段信息的缺失。数据完整性是数据质量最为基础的一项评估标准。</w:t>
      </w:r>
    </w:p>
    <w:p w14:paraId="7793D5D3">
      <w:pPr>
        <w:spacing w:line="440" w:lineRule="exact"/>
        <w:ind w:firstLine="486" w:firstLineChars="200"/>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数据质量的完整性比较容易评估，一般可以通过数据统计中的记录值和唯一值进行评估。</w:t>
      </w:r>
    </w:p>
    <w:p w14:paraId="562AC4E0">
      <w:pPr>
        <w:spacing w:line="440" w:lineRule="exact"/>
        <w:ind w:firstLine="486" w:firstLineChars="200"/>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w:t>
      </w:r>
      <w:r>
        <w:rPr>
          <w:rFonts w:hint="eastAsia" w:ascii="宋体" w:hAnsi="宋体" w:cs="宋体"/>
          <w:b/>
          <w:color w:val="auto"/>
          <w:sz w:val="24"/>
          <w:szCs w:val="24"/>
          <w:highlight w:val="none"/>
        </w:rPr>
        <w:t>2</w:t>
      </w:r>
      <w:r>
        <w:rPr>
          <w:rFonts w:hint="eastAsia" w:ascii="宋体" w:hAnsi="宋体" w:cs="宋体"/>
          <w:b/>
          <w:color w:val="auto"/>
          <w:sz w:val="24"/>
          <w:szCs w:val="24"/>
          <w:highlight w:val="none"/>
          <w:lang w:val="zh-CN"/>
        </w:rPr>
        <w:t>）一致性</w:t>
      </w:r>
    </w:p>
    <w:p w14:paraId="4B298681">
      <w:pPr>
        <w:spacing w:line="440" w:lineRule="exact"/>
        <w:ind w:firstLine="486" w:firstLineChars="200"/>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一致性是指数据是否遵循了统一的规范，数据之间的逻辑关系是否正确和完整。</w:t>
      </w:r>
    </w:p>
    <w:p w14:paraId="24B1EE99">
      <w:pPr>
        <w:spacing w:line="440" w:lineRule="exact"/>
        <w:ind w:firstLine="486" w:firstLineChars="200"/>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w:t>
      </w:r>
      <w:r>
        <w:rPr>
          <w:rFonts w:hint="eastAsia" w:ascii="宋体" w:hAnsi="宋体" w:cs="宋体"/>
          <w:b/>
          <w:color w:val="auto"/>
          <w:sz w:val="24"/>
          <w:szCs w:val="24"/>
          <w:highlight w:val="none"/>
        </w:rPr>
        <w:t>3</w:t>
      </w:r>
      <w:r>
        <w:rPr>
          <w:rFonts w:hint="eastAsia" w:ascii="宋体" w:hAnsi="宋体" w:cs="宋体"/>
          <w:b/>
          <w:color w:val="auto"/>
          <w:sz w:val="24"/>
          <w:szCs w:val="24"/>
          <w:highlight w:val="none"/>
          <w:lang w:val="zh-CN"/>
        </w:rPr>
        <w:t>）准确性</w:t>
      </w:r>
    </w:p>
    <w:p w14:paraId="257C93F3">
      <w:pPr>
        <w:spacing w:line="440" w:lineRule="exact"/>
        <w:ind w:firstLine="486" w:firstLineChars="200"/>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准确性是指数据中记录的信息和数据是否准确，数据记录的信息是否存在异常或错误。与一致性不同，存在准确性问题的数据不只是规则上的不一致。导致一致性问题的原因可能是数据记录的规则不一，但不一定存在错误；而准确性关注的是数据记录中存在的错误，如字符型数据的乱码现象就存在着准确性的问题，还有就是异常的数值：异常大或者异常小的数值、不符合有效性要求的数值等。</w:t>
      </w:r>
    </w:p>
    <w:p w14:paraId="1FB1C439">
      <w:pPr>
        <w:spacing w:line="440" w:lineRule="exact"/>
        <w:ind w:firstLine="486" w:firstLineChars="200"/>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w:t>
      </w:r>
      <w:r>
        <w:rPr>
          <w:rFonts w:hint="eastAsia" w:ascii="宋体" w:hAnsi="宋体" w:cs="宋体"/>
          <w:b/>
          <w:color w:val="auto"/>
          <w:sz w:val="24"/>
          <w:szCs w:val="24"/>
          <w:highlight w:val="none"/>
        </w:rPr>
        <w:t>4</w:t>
      </w:r>
      <w:r>
        <w:rPr>
          <w:rFonts w:hint="eastAsia" w:ascii="宋体" w:hAnsi="宋体" w:cs="宋体"/>
          <w:b/>
          <w:color w:val="auto"/>
          <w:sz w:val="24"/>
          <w:szCs w:val="24"/>
          <w:highlight w:val="none"/>
          <w:lang w:val="zh-CN"/>
        </w:rPr>
        <w:t>）及时性</w:t>
      </w:r>
    </w:p>
    <w:p w14:paraId="7E74C9D0">
      <w:pPr>
        <w:spacing w:line="440" w:lineRule="exact"/>
        <w:ind w:firstLine="486" w:firstLineChars="200"/>
        <w:rPr>
          <w:rFonts w:ascii="宋体" w:hAnsi="宋体" w:cs="宋体"/>
          <w:b/>
          <w:color w:val="auto"/>
          <w:sz w:val="24"/>
          <w:szCs w:val="24"/>
          <w:highlight w:val="none"/>
        </w:rPr>
      </w:pPr>
      <w:r>
        <w:rPr>
          <w:rFonts w:hint="eastAsia" w:ascii="宋体" w:hAnsi="宋体" w:cs="宋体"/>
          <w:bCs/>
          <w:color w:val="auto"/>
          <w:sz w:val="24"/>
          <w:szCs w:val="24"/>
          <w:highlight w:val="none"/>
          <w:lang w:val="zh-CN"/>
        </w:rPr>
        <w:t>及时性是指数据从产生到可以查看的时间间隔，也称数据的延时时长，是数据世界与客观世界的同步程度。数据的及时性主要与数据的同步和处理过程的效率相关。数据采集的及时性一般要求按日汇总和同步。</w:t>
      </w:r>
    </w:p>
    <w:p w14:paraId="22F7ED28">
      <w:pPr>
        <w:spacing w:line="440" w:lineRule="exact"/>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6</w:t>
      </w:r>
      <w:r>
        <w:rPr>
          <w:rFonts w:hint="eastAsia" w:ascii="宋体" w:hAnsi="宋体" w:cs="宋体"/>
          <w:b/>
          <w:color w:val="auto"/>
          <w:sz w:val="24"/>
          <w:szCs w:val="24"/>
          <w:highlight w:val="none"/>
        </w:rPr>
        <w:t>.信息安全要求</w:t>
      </w:r>
    </w:p>
    <w:p w14:paraId="5BE01B2C">
      <w:pPr>
        <w:spacing w:line="440" w:lineRule="exact"/>
        <w:ind w:firstLine="486" w:firstLineChars="200"/>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rPr>
        <w:t>.1</w:t>
      </w:r>
      <w:r>
        <w:rPr>
          <w:rFonts w:hint="eastAsia" w:ascii="宋体" w:hAnsi="宋体" w:cs="宋体"/>
          <w:bCs/>
          <w:color w:val="auto"/>
          <w:sz w:val="24"/>
          <w:szCs w:val="24"/>
          <w:highlight w:val="none"/>
          <w:lang w:val="zh-CN"/>
        </w:rPr>
        <w:t>中标人必须在合同签订前与采购人签订有效的信息安全保密承诺书，遵守采购人信息安全保密管理要求。</w:t>
      </w:r>
    </w:p>
    <w:p w14:paraId="0489CA17">
      <w:pPr>
        <w:spacing w:line="440" w:lineRule="exact"/>
        <w:ind w:firstLine="486" w:firstLineChars="200"/>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rPr>
        <w:t>.2</w:t>
      </w:r>
      <w:r>
        <w:rPr>
          <w:rFonts w:hint="eastAsia" w:ascii="宋体" w:hAnsi="宋体" w:cs="宋体"/>
          <w:bCs/>
          <w:color w:val="auto"/>
          <w:sz w:val="24"/>
          <w:szCs w:val="24"/>
          <w:highlight w:val="none"/>
          <w:lang w:val="zh-CN"/>
        </w:rPr>
        <w:t>中标人在开发实施和维保期间如自身存在不符合网络安全等级保护标准第三级安全相关要求的内容，中标人负责及时免费整改，如因中标人技术漏洞、管理不当导致信息泄露、数据丢失或破坏以及受到黑客攻击，中标人承担相应责任并赔偿相关损失</w:t>
      </w:r>
      <w:r>
        <w:rPr>
          <w:rFonts w:hint="eastAsia" w:ascii="宋体" w:hAnsi="宋体" w:cs="宋体"/>
          <w:bCs/>
          <w:color w:val="auto"/>
          <w:sz w:val="24"/>
          <w:szCs w:val="24"/>
          <w:highlight w:val="none"/>
          <w:lang w:val="zh-CN"/>
        </w:rPr>
        <w:tab/>
      </w:r>
    </w:p>
    <w:p w14:paraId="533D6A56">
      <w:pPr>
        <w:spacing w:line="440" w:lineRule="exact"/>
        <w:ind w:firstLine="486" w:firstLineChars="200"/>
        <w:rPr>
          <w:rFonts w:ascii="宋体" w:hAnsi="宋体" w:cs="宋体"/>
          <w:color w:val="auto"/>
          <w:sz w:val="24"/>
          <w:szCs w:val="24"/>
          <w:highlight w:val="none"/>
        </w:rPr>
      </w:pP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rPr>
        <w:t>.3</w:t>
      </w:r>
      <w:r>
        <w:rPr>
          <w:rFonts w:hint="eastAsia" w:ascii="宋体" w:hAnsi="宋体" w:cs="宋体"/>
          <w:bCs/>
          <w:color w:val="auto"/>
          <w:sz w:val="24"/>
          <w:szCs w:val="24"/>
          <w:highlight w:val="none"/>
          <w:lang w:val="zh-CN"/>
        </w:rPr>
        <w:t>无条件免费配合完成国产密码应用安全性评估及整改工作。</w:t>
      </w:r>
    </w:p>
    <w:p w14:paraId="4010ACCC">
      <w:pPr>
        <w:spacing w:line="440" w:lineRule="exact"/>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7</w:t>
      </w:r>
      <w:r>
        <w:rPr>
          <w:rFonts w:hint="eastAsia" w:ascii="宋体" w:hAnsi="宋体" w:cs="宋体"/>
          <w:b/>
          <w:color w:val="auto"/>
          <w:sz w:val="24"/>
          <w:szCs w:val="24"/>
          <w:highlight w:val="none"/>
        </w:rPr>
        <w:t>.验收要求</w:t>
      </w:r>
    </w:p>
    <w:p w14:paraId="6393ED35">
      <w:pPr>
        <w:spacing w:line="440" w:lineRule="exact"/>
        <w:ind w:firstLine="486" w:firstLineChars="200"/>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en-US" w:eastAsia="zh-CN"/>
        </w:rPr>
        <w:t>7</w:t>
      </w:r>
      <w:r>
        <w:rPr>
          <w:rFonts w:hint="eastAsia" w:ascii="宋体" w:hAnsi="宋体" w:cs="宋体"/>
          <w:bCs/>
          <w:color w:val="auto"/>
          <w:sz w:val="24"/>
          <w:szCs w:val="24"/>
          <w:highlight w:val="none"/>
          <w:lang w:val="zh-CN"/>
        </w:rPr>
        <w:t>.1要求在本项目实施和维护过程中，乙方需及时提供和更新完整的需求文档、设计文档、测试文档、系统更新文档、用户操作手册、数据结构手册、接口开发文档等全套技术文档。</w:t>
      </w:r>
    </w:p>
    <w:p w14:paraId="03F57AA4">
      <w:pPr>
        <w:spacing w:line="440" w:lineRule="exact"/>
        <w:ind w:firstLine="486" w:firstLineChars="200"/>
        <w:rPr>
          <w:rFonts w:ascii="宋体" w:hAnsi="宋体" w:cs="宋体"/>
          <w:color w:val="auto"/>
          <w:sz w:val="22"/>
          <w:szCs w:val="22"/>
          <w:highlight w:val="none"/>
        </w:rPr>
      </w:pPr>
      <w:r>
        <w:rPr>
          <w:rFonts w:hint="eastAsia" w:ascii="宋体" w:hAnsi="宋体" w:cs="宋体"/>
          <w:bCs/>
          <w:color w:val="auto"/>
          <w:sz w:val="24"/>
          <w:szCs w:val="24"/>
          <w:highlight w:val="none"/>
          <w:lang w:val="en-US" w:eastAsia="zh-CN"/>
        </w:rPr>
        <w:t>7</w:t>
      </w:r>
      <w:r>
        <w:rPr>
          <w:rFonts w:hint="eastAsia" w:ascii="宋体" w:hAnsi="宋体" w:cs="宋体"/>
          <w:bCs/>
          <w:color w:val="auto"/>
          <w:sz w:val="24"/>
          <w:szCs w:val="24"/>
          <w:highlight w:val="none"/>
          <w:lang w:val="zh-CN"/>
        </w:rPr>
        <w:t>.2 在项目验收前，乙方需提供软件所有源代码；在验收后如有更新软件功能，需要及时更新源代码。</w:t>
      </w:r>
    </w:p>
    <w:p w14:paraId="4148C28C">
      <w:pPr>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lang w:val="en-US" w:eastAsia="zh-CN"/>
        </w:rPr>
        <w:t>8</w:t>
      </w:r>
      <w:r>
        <w:rPr>
          <w:rFonts w:hint="eastAsia" w:ascii="宋体" w:hAnsi="宋体" w:cs="宋体"/>
          <w:b/>
          <w:color w:val="auto"/>
          <w:sz w:val="22"/>
          <w:szCs w:val="22"/>
          <w:highlight w:val="none"/>
        </w:rPr>
        <w:t>.其他要求</w:t>
      </w:r>
    </w:p>
    <w:p w14:paraId="660093F9">
      <w:pPr>
        <w:spacing w:line="440" w:lineRule="exact"/>
        <w:ind w:firstLine="446" w:firstLineChars="200"/>
        <w:rPr>
          <w:rFonts w:ascii="宋体" w:hAnsi="宋体" w:cs="宋体"/>
          <w:bCs/>
          <w:color w:val="auto"/>
          <w:sz w:val="22"/>
          <w:szCs w:val="22"/>
          <w:highlight w:val="none"/>
          <w:lang w:val="zh-CN"/>
        </w:rPr>
      </w:pPr>
      <w:r>
        <w:rPr>
          <w:rFonts w:hint="eastAsia" w:ascii="宋体" w:hAnsi="宋体" w:cs="宋体"/>
          <w:bCs/>
          <w:color w:val="auto"/>
          <w:sz w:val="22"/>
          <w:szCs w:val="22"/>
          <w:highlight w:val="none"/>
          <w:lang w:val="en-US" w:eastAsia="zh-CN"/>
        </w:rPr>
        <w:t>8</w:t>
      </w:r>
      <w:r>
        <w:rPr>
          <w:rFonts w:hint="eastAsia" w:ascii="宋体" w:hAnsi="宋体" w:cs="宋体"/>
          <w:bCs/>
          <w:color w:val="auto"/>
          <w:sz w:val="22"/>
          <w:szCs w:val="22"/>
          <w:highlight w:val="none"/>
          <w:lang w:val="zh-CN"/>
        </w:rPr>
        <w:t>.1项目中包括目录编制、数据归集等工作。</w:t>
      </w:r>
    </w:p>
    <w:p w14:paraId="3F75EFD1">
      <w:pPr>
        <w:spacing w:line="440" w:lineRule="exact"/>
        <w:ind w:firstLine="446" w:firstLineChars="200"/>
        <w:rPr>
          <w:rFonts w:ascii="宋体" w:hAnsi="宋体" w:cs="宋体"/>
          <w:bCs/>
          <w:color w:val="auto"/>
          <w:sz w:val="22"/>
          <w:szCs w:val="22"/>
          <w:highlight w:val="none"/>
          <w:lang w:val="zh-CN"/>
        </w:rPr>
      </w:pPr>
      <w:r>
        <w:rPr>
          <w:rFonts w:hint="eastAsia" w:ascii="宋体" w:hAnsi="宋体" w:cs="宋体"/>
          <w:bCs/>
          <w:color w:val="auto"/>
          <w:sz w:val="22"/>
          <w:szCs w:val="22"/>
          <w:highlight w:val="none"/>
          <w:lang w:val="en-US" w:eastAsia="zh-CN"/>
        </w:rPr>
        <w:t>8</w:t>
      </w:r>
      <w:r>
        <w:rPr>
          <w:rFonts w:hint="eastAsia" w:ascii="宋体" w:hAnsi="宋体" w:cs="宋体"/>
          <w:bCs/>
          <w:color w:val="auto"/>
          <w:sz w:val="22"/>
          <w:szCs w:val="22"/>
          <w:highlight w:val="none"/>
          <w:lang w:val="zh-CN"/>
        </w:rPr>
        <w:t>.2在本合同项目实施及维保期间内，中标人对合同范围内的产品提供免费的更新、升级服务。</w:t>
      </w:r>
    </w:p>
    <w:p w14:paraId="25A54993">
      <w:pPr>
        <w:spacing w:line="440" w:lineRule="exact"/>
        <w:ind w:firstLine="446" w:firstLineChars="200"/>
        <w:rPr>
          <w:rFonts w:ascii="宋体" w:hAnsi="宋体" w:cs="宋体"/>
          <w:bCs/>
          <w:color w:val="auto"/>
          <w:sz w:val="22"/>
          <w:szCs w:val="22"/>
          <w:highlight w:val="none"/>
          <w:lang w:val="zh-CN"/>
        </w:rPr>
      </w:pPr>
      <w:r>
        <w:rPr>
          <w:rFonts w:hint="eastAsia" w:ascii="宋体" w:hAnsi="宋体" w:cs="宋体"/>
          <w:bCs/>
          <w:color w:val="auto"/>
          <w:sz w:val="22"/>
          <w:szCs w:val="22"/>
          <w:highlight w:val="none"/>
          <w:lang w:val="en-US" w:eastAsia="zh-CN"/>
        </w:rPr>
        <w:t>8</w:t>
      </w:r>
      <w:r>
        <w:rPr>
          <w:rFonts w:hint="eastAsia" w:ascii="宋体" w:hAnsi="宋体" w:cs="宋体"/>
          <w:bCs/>
          <w:color w:val="auto"/>
          <w:sz w:val="22"/>
          <w:szCs w:val="22"/>
          <w:highlight w:val="none"/>
          <w:lang w:val="zh-CN"/>
        </w:rPr>
        <w:t>.3 项目合同签订后，</w:t>
      </w:r>
      <w:r>
        <w:rPr>
          <w:rFonts w:hint="eastAsia" w:ascii="宋体" w:hAnsi="宋体" w:cs="宋体"/>
          <w:bCs/>
          <w:color w:val="auto"/>
          <w:sz w:val="22"/>
          <w:szCs w:val="22"/>
          <w:highlight w:val="none"/>
          <w:lang w:val="en-US" w:eastAsia="zh-CN"/>
        </w:rPr>
        <w:t>60天</w:t>
      </w:r>
      <w:r>
        <w:rPr>
          <w:rFonts w:hint="eastAsia" w:ascii="宋体" w:hAnsi="宋体" w:cs="宋体"/>
          <w:bCs/>
          <w:color w:val="auto"/>
          <w:sz w:val="22"/>
          <w:szCs w:val="22"/>
          <w:highlight w:val="none"/>
          <w:lang w:val="zh-CN"/>
        </w:rPr>
        <w:t>内完成项目建设工作，</w:t>
      </w:r>
      <w:r>
        <w:rPr>
          <w:rFonts w:hint="eastAsia" w:ascii="宋体" w:hAnsi="宋体" w:cs="宋体"/>
          <w:bCs/>
          <w:color w:val="auto"/>
          <w:sz w:val="22"/>
          <w:szCs w:val="22"/>
          <w:highlight w:val="none"/>
          <w:lang w:val="en-US" w:eastAsia="zh-CN"/>
        </w:rPr>
        <w:t>180天</w:t>
      </w:r>
      <w:r>
        <w:rPr>
          <w:rFonts w:hint="eastAsia" w:ascii="宋体" w:hAnsi="宋体" w:cs="宋体"/>
          <w:color w:val="auto"/>
          <w:sz w:val="22"/>
          <w:szCs w:val="22"/>
          <w:highlight w:val="none"/>
        </w:rPr>
        <w:t>内完成验收，其中试运行时间不得少于3个月。</w:t>
      </w:r>
    </w:p>
    <w:p w14:paraId="27820DD7">
      <w:pPr>
        <w:spacing w:line="440" w:lineRule="exact"/>
        <w:ind w:firstLine="446" w:firstLineChars="200"/>
        <w:rPr>
          <w:rFonts w:ascii="宋体" w:hAnsi="宋体" w:cs="宋体"/>
          <w:bCs/>
          <w:color w:val="auto"/>
          <w:sz w:val="22"/>
          <w:szCs w:val="22"/>
          <w:highlight w:val="none"/>
          <w:lang w:val="zh-CN"/>
        </w:rPr>
      </w:pPr>
      <w:r>
        <w:rPr>
          <w:rFonts w:hint="eastAsia" w:ascii="宋体" w:hAnsi="宋体" w:cs="宋体"/>
          <w:bCs/>
          <w:color w:val="auto"/>
          <w:sz w:val="22"/>
          <w:szCs w:val="22"/>
          <w:highlight w:val="none"/>
          <w:lang w:val="en-US" w:eastAsia="zh-CN"/>
        </w:rPr>
        <w:t>8</w:t>
      </w:r>
      <w:r>
        <w:rPr>
          <w:rFonts w:hint="eastAsia" w:ascii="宋体" w:hAnsi="宋体" w:cs="宋体"/>
          <w:bCs/>
          <w:color w:val="auto"/>
          <w:sz w:val="22"/>
          <w:szCs w:val="22"/>
          <w:highlight w:val="none"/>
          <w:lang w:val="zh-CN"/>
        </w:rPr>
        <w:t>.4在免费维保期内，省、市对区域慢病健康管理系统提出新的考核要求或文件要求，中标方免费提供中标产品的开发及对接服务。</w:t>
      </w:r>
    </w:p>
    <w:p w14:paraId="1ADB457B">
      <w:pPr>
        <w:tabs>
          <w:tab w:val="left" w:pos="540"/>
        </w:tabs>
        <w:spacing w:line="440" w:lineRule="exact"/>
        <w:ind w:firstLine="446"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8</w:t>
      </w:r>
      <w:r>
        <w:rPr>
          <w:rFonts w:hint="eastAsia" w:ascii="宋体" w:hAnsi="宋体" w:cs="宋体"/>
          <w:color w:val="auto"/>
          <w:sz w:val="22"/>
          <w:szCs w:val="22"/>
          <w:highlight w:val="none"/>
          <w:lang w:val="zh-CN"/>
        </w:rPr>
        <w:t xml:space="preserve">.5 </w:t>
      </w:r>
      <w:r>
        <w:rPr>
          <w:rFonts w:hint="eastAsia" w:ascii="宋体" w:hAnsi="宋体" w:cs="宋体"/>
          <w:color w:val="auto"/>
          <w:sz w:val="22"/>
          <w:szCs w:val="22"/>
          <w:highlight w:val="none"/>
        </w:rPr>
        <w:t>供应商需在中标后在</w:t>
      </w:r>
      <w:r>
        <w:rPr>
          <w:rFonts w:hint="eastAsia" w:ascii="宋体" w:hAnsi="宋体" w:cs="宋体"/>
          <w:color w:val="auto"/>
          <w:sz w:val="22"/>
          <w:szCs w:val="22"/>
          <w:highlight w:val="none"/>
          <w:lang w:eastAsia="zh-CN"/>
        </w:rPr>
        <w:t>泰顺县</w:t>
      </w:r>
      <w:r>
        <w:rPr>
          <w:rFonts w:hint="eastAsia" w:ascii="宋体" w:hAnsi="宋体" w:cs="宋体"/>
          <w:color w:val="auto"/>
          <w:sz w:val="22"/>
          <w:szCs w:val="22"/>
          <w:highlight w:val="none"/>
        </w:rPr>
        <w:t>卫健局成立项目组团队，项目经理负责项目开发与建设，负责项目协调和调度工作。除项目经理外，项目组须配备专职的条线技术负责人，并按照项目实施的要求，配置相应的项目管理、系统设计、开发、测试、集成、培训、质量保证等人员。</w:t>
      </w:r>
    </w:p>
    <w:p w14:paraId="0DC18616">
      <w:pPr>
        <w:tabs>
          <w:tab w:val="left" w:pos="540"/>
        </w:tabs>
        <w:spacing w:line="440" w:lineRule="exact"/>
        <w:ind w:firstLine="446" w:firstLineChars="200"/>
        <w:rPr>
          <w:rFonts w:ascii="宋体" w:hAnsi="宋体" w:cs="宋体"/>
          <w:color w:val="auto"/>
          <w:sz w:val="22"/>
          <w:szCs w:val="22"/>
          <w:highlight w:val="none"/>
        </w:rPr>
      </w:pPr>
      <w:r>
        <w:rPr>
          <w:rFonts w:hint="eastAsia" w:ascii="宋体" w:hAnsi="宋体" w:cs="宋体"/>
          <w:color w:val="auto"/>
          <w:sz w:val="22"/>
          <w:szCs w:val="22"/>
          <w:highlight w:val="none"/>
        </w:rPr>
        <w:t>对于运维阶段，为了保证系统的可靠运行，以及系统的不断提高，对于日常维护人员，</w:t>
      </w:r>
      <w:r>
        <w:rPr>
          <w:rFonts w:hint="eastAsia" w:ascii="宋体" w:hAnsi="宋体" w:cs="宋体"/>
          <w:b w:val="0"/>
          <w:bCs/>
          <w:color w:val="auto"/>
          <w:sz w:val="22"/>
          <w:szCs w:val="22"/>
          <w:highlight w:val="none"/>
          <w:u w:val="none"/>
        </w:rPr>
        <w:t>要求1人在温州市驻场提供运维工作。</w:t>
      </w:r>
      <w:r>
        <w:rPr>
          <w:rFonts w:hint="eastAsia" w:ascii="宋体" w:hAnsi="宋体" w:cs="宋体"/>
          <w:color w:val="auto"/>
          <w:sz w:val="22"/>
          <w:szCs w:val="22"/>
          <w:highlight w:val="none"/>
        </w:rPr>
        <w:t>提供上门响应服务，系统故障及设备故障的响应时间不得超过1小时(常规故障可先采用电话提供解决方案并解决或利用远程方式解决)，2小时内赶到现场，一般故障在4小时内排除，严重故障需要 8 小时内完成故障修复处理，若8小时内无法解决问题，应在24小时内进行应急处理，以保证采购人的正常使用。</w:t>
      </w:r>
    </w:p>
    <w:p w14:paraId="4F39E5E1">
      <w:pPr>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lang w:val="en-US" w:eastAsia="zh-CN"/>
        </w:rPr>
        <w:t>9</w:t>
      </w:r>
      <w:r>
        <w:rPr>
          <w:rFonts w:hint="eastAsia" w:ascii="宋体" w:hAnsi="宋体" w:cs="宋体"/>
          <w:b/>
          <w:color w:val="auto"/>
          <w:sz w:val="22"/>
          <w:szCs w:val="22"/>
          <w:highlight w:val="none"/>
        </w:rPr>
        <w:t>.商务要求</w:t>
      </w:r>
    </w:p>
    <w:p w14:paraId="55ABD9EE">
      <w:pPr>
        <w:spacing w:line="440" w:lineRule="exact"/>
        <w:ind w:firstLine="446" w:firstLineChars="200"/>
        <w:rPr>
          <w:rFonts w:ascii="宋体" w:hAnsi="宋体" w:cs="宋体"/>
          <w:bCs/>
          <w:color w:val="auto"/>
          <w:sz w:val="22"/>
          <w:szCs w:val="22"/>
          <w:highlight w:val="none"/>
          <w:lang w:val="zh-CN"/>
        </w:rPr>
      </w:pPr>
      <w:r>
        <w:rPr>
          <w:rFonts w:hint="eastAsia" w:ascii="宋体" w:hAnsi="宋体" w:cs="宋体"/>
          <w:bCs/>
          <w:color w:val="auto"/>
          <w:sz w:val="22"/>
          <w:szCs w:val="22"/>
          <w:highlight w:val="none"/>
          <w:lang w:val="en-US" w:eastAsia="zh-CN"/>
        </w:rPr>
        <w:t>9</w:t>
      </w:r>
      <w:r>
        <w:rPr>
          <w:rFonts w:hint="eastAsia" w:ascii="宋体" w:hAnsi="宋体" w:cs="宋体"/>
          <w:bCs/>
          <w:color w:val="auto"/>
          <w:sz w:val="22"/>
          <w:szCs w:val="22"/>
          <w:highlight w:val="none"/>
        </w:rPr>
        <w:t>.1项目</w:t>
      </w:r>
      <w:r>
        <w:rPr>
          <w:rFonts w:hint="eastAsia" w:ascii="宋体" w:hAnsi="宋体" w:cs="宋体"/>
          <w:bCs/>
          <w:color w:val="auto"/>
          <w:sz w:val="22"/>
          <w:szCs w:val="22"/>
          <w:highlight w:val="none"/>
          <w:lang w:val="zh-CN"/>
        </w:rPr>
        <w:t>工期</w:t>
      </w:r>
    </w:p>
    <w:p w14:paraId="2D20693F">
      <w:pPr>
        <w:spacing w:line="440" w:lineRule="exact"/>
        <w:ind w:firstLine="446" w:firstLineChars="200"/>
        <w:rPr>
          <w:rFonts w:hint="eastAsia" w:ascii="宋体" w:hAnsi="宋体" w:cs="宋体"/>
          <w:bCs/>
          <w:color w:val="auto"/>
          <w:sz w:val="22"/>
          <w:szCs w:val="22"/>
          <w:highlight w:val="none"/>
          <w:lang w:val="zh-CN"/>
        </w:rPr>
      </w:pPr>
      <w:r>
        <w:rPr>
          <w:rFonts w:hint="eastAsia" w:ascii="宋体" w:hAnsi="宋体" w:cs="宋体"/>
          <w:bCs/>
          <w:color w:val="auto"/>
          <w:sz w:val="22"/>
          <w:szCs w:val="22"/>
          <w:highlight w:val="none"/>
          <w:lang w:val="zh-CN"/>
        </w:rPr>
        <w:t>合同签订之日起</w:t>
      </w:r>
      <w:r>
        <w:rPr>
          <w:rFonts w:hint="eastAsia" w:ascii="宋体" w:hAnsi="宋体" w:cs="宋体"/>
          <w:bCs/>
          <w:color w:val="auto"/>
          <w:sz w:val="22"/>
          <w:szCs w:val="22"/>
          <w:highlight w:val="none"/>
          <w:lang w:val="en-US" w:eastAsia="zh-CN"/>
        </w:rPr>
        <w:t>180天</w:t>
      </w:r>
      <w:r>
        <w:rPr>
          <w:rFonts w:hint="eastAsia" w:ascii="宋体" w:hAnsi="宋体" w:cs="宋体"/>
          <w:bCs/>
          <w:color w:val="auto"/>
          <w:sz w:val="22"/>
          <w:szCs w:val="22"/>
          <w:highlight w:val="none"/>
          <w:lang w:val="zh-CN"/>
        </w:rPr>
        <w:t>内完成系统建设、试运行并通过采购人验收。</w:t>
      </w:r>
    </w:p>
    <w:p w14:paraId="2A11339A">
      <w:pPr>
        <w:spacing w:line="440" w:lineRule="exact"/>
        <w:ind w:firstLine="446" w:firstLineChars="200"/>
        <w:rPr>
          <w:rFonts w:hint="eastAsia"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9.2支付方式</w:t>
      </w:r>
    </w:p>
    <w:p w14:paraId="51409F3D">
      <w:pPr>
        <w:spacing w:line="440" w:lineRule="exact"/>
        <w:ind w:firstLine="446" w:firstLineChars="200"/>
        <w:rPr>
          <w:rFonts w:hint="default"/>
          <w:lang w:val="en-US" w:eastAsia="zh-CN"/>
        </w:rPr>
      </w:pPr>
      <w:r>
        <w:rPr>
          <w:rFonts w:hint="eastAsia" w:ascii="宋体" w:hAnsi="宋体" w:cs="宋体"/>
          <w:bCs/>
          <w:color w:val="auto"/>
          <w:sz w:val="22"/>
          <w:szCs w:val="22"/>
          <w:highlight w:val="none"/>
          <w:lang w:val="en-US" w:eastAsia="zh-CN"/>
        </w:rPr>
        <w:t>服务费用（含</w:t>
      </w:r>
      <w:r>
        <w:rPr>
          <w:rFonts w:hint="eastAsia" w:ascii="宋体" w:hAnsi="宋体" w:cs="宋体"/>
          <w:bCs/>
          <w:color w:val="auto"/>
          <w:sz w:val="22"/>
          <w:szCs w:val="22"/>
          <w:highlight w:val="none"/>
          <w:lang w:val="zh-CN"/>
        </w:rPr>
        <w:t>运维费</w:t>
      </w:r>
      <w:r>
        <w:rPr>
          <w:rFonts w:hint="eastAsia" w:ascii="宋体" w:hAnsi="宋体" w:cs="宋体"/>
          <w:bCs/>
          <w:color w:val="auto"/>
          <w:sz w:val="22"/>
          <w:szCs w:val="22"/>
          <w:highlight w:val="none"/>
          <w:lang w:val="en-US" w:eastAsia="zh-CN"/>
        </w:rPr>
        <w:t>及云资源租赁费）</w:t>
      </w:r>
      <w:r>
        <w:rPr>
          <w:rFonts w:hint="eastAsia" w:ascii="宋体" w:hAnsi="宋体" w:cs="宋体"/>
          <w:bCs/>
          <w:color w:val="auto"/>
          <w:sz w:val="22"/>
          <w:szCs w:val="22"/>
          <w:highlight w:val="none"/>
          <w:lang w:val="zh-CN"/>
        </w:rPr>
        <w:t>按年度结算支付。每自然年度（或 “服务年度”，可根据项目实际约定周期）运维服务履行</w:t>
      </w:r>
      <w:r>
        <w:rPr>
          <w:rFonts w:hint="eastAsia" w:ascii="宋体" w:hAnsi="宋体" w:cs="宋体"/>
          <w:bCs/>
          <w:color w:val="auto"/>
          <w:sz w:val="22"/>
          <w:szCs w:val="22"/>
          <w:highlight w:val="none"/>
          <w:lang w:val="en-US" w:eastAsia="zh-CN"/>
        </w:rPr>
        <w:t>开始</w:t>
      </w:r>
      <w:r>
        <w:rPr>
          <w:rFonts w:hint="eastAsia" w:ascii="宋体" w:hAnsi="宋体" w:cs="宋体"/>
          <w:bCs/>
          <w:color w:val="auto"/>
          <w:sz w:val="22"/>
          <w:szCs w:val="22"/>
          <w:highlight w:val="none"/>
          <w:lang w:val="zh-CN"/>
        </w:rPr>
        <w:t>并经采购人</w:t>
      </w:r>
      <w:r>
        <w:rPr>
          <w:rFonts w:hint="eastAsia" w:ascii="宋体" w:hAnsi="宋体" w:cs="宋体"/>
          <w:bCs/>
          <w:color w:val="auto"/>
          <w:sz w:val="22"/>
          <w:szCs w:val="22"/>
          <w:highlight w:val="none"/>
          <w:lang w:val="en-US" w:eastAsia="zh-CN"/>
        </w:rPr>
        <w:t>同意</w:t>
      </w:r>
      <w:r>
        <w:rPr>
          <w:rFonts w:hint="eastAsia" w:ascii="宋体" w:hAnsi="宋体" w:cs="宋体"/>
          <w:bCs/>
          <w:color w:val="auto"/>
          <w:sz w:val="22"/>
          <w:szCs w:val="22"/>
          <w:highlight w:val="none"/>
          <w:lang w:val="zh-CN"/>
        </w:rPr>
        <w:t>确认后，采购人依据《付款通知书》支付</w:t>
      </w:r>
      <w:r>
        <w:rPr>
          <w:rFonts w:hint="eastAsia" w:ascii="宋体" w:hAnsi="宋体" w:cs="宋体"/>
          <w:bCs/>
          <w:color w:val="auto"/>
          <w:sz w:val="22"/>
          <w:szCs w:val="22"/>
          <w:highlight w:val="none"/>
          <w:lang w:val="en-US" w:eastAsia="zh-CN"/>
        </w:rPr>
        <w:t>合同金额40%作为第一年</w:t>
      </w:r>
      <w:r>
        <w:rPr>
          <w:rFonts w:hint="eastAsia" w:ascii="宋体" w:hAnsi="宋体" w:cs="宋体"/>
          <w:bCs/>
          <w:color w:val="auto"/>
          <w:sz w:val="22"/>
          <w:szCs w:val="22"/>
          <w:highlight w:val="none"/>
          <w:lang w:val="zh-CN"/>
        </w:rPr>
        <w:t>度运维费用</w:t>
      </w:r>
      <w:r>
        <w:rPr>
          <w:rFonts w:hint="eastAsia" w:ascii="宋体" w:hAnsi="宋体" w:cs="宋体"/>
          <w:bCs/>
          <w:color w:val="auto"/>
          <w:sz w:val="22"/>
          <w:szCs w:val="22"/>
          <w:highlight w:val="none"/>
          <w:lang w:val="zh-CN" w:eastAsia="zh-CN"/>
        </w:rPr>
        <w:t>，</w:t>
      </w:r>
      <w:r>
        <w:rPr>
          <w:rFonts w:hint="eastAsia" w:ascii="宋体" w:hAnsi="宋体" w:cs="宋体"/>
          <w:bCs/>
          <w:color w:val="auto"/>
          <w:sz w:val="22"/>
          <w:szCs w:val="22"/>
          <w:highlight w:val="none"/>
          <w:lang w:val="en-US" w:eastAsia="zh-CN"/>
        </w:rPr>
        <w:t>合同金额30%作为第二年</w:t>
      </w:r>
      <w:r>
        <w:rPr>
          <w:rFonts w:hint="eastAsia" w:ascii="宋体" w:hAnsi="宋体" w:cs="宋体"/>
          <w:bCs/>
          <w:color w:val="auto"/>
          <w:sz w:val="22"/>
          <w:szCs w:val="22"/>
          <w:highlight w:val="none"/>
          <w:lang w:val="zh-CN"/>
        </w:rPr>
        <w:t>度运维费用</w:t>
      </w:r>
      <w:r>
        <w:rPr>
          <w:rFonts w:hint="eastAsia" w:ascii="宋体" w:hAnsi="宋体" w:cs="宋体"/>
          <w:bCs/>
          <w:color w:val="auto"/>
          <w:sz w:val="22"/>
          <w:szCs w:val="22"/>
          <w:highlight w:val="none"/>
          <w:lang w:val="zh-CN" w:eastAsia="zh-CN"/>
        </w:rPr>
        <w:t>，</w:t>
      </w:r>
      <w:r>
        <w:rPr>
          <w:rFonts w:hint="eastAsia" w:ascii="宋体" w:hAnsi="宋体" w:cs="宋体"/>
          <w:bCs/>
          <w:color w:val="auto"/>
          <w:sz w:val="22"/>
          <w:szCs w:val="22"/>
          <w:highlight w:val="none"/>
          <w:lang w:val="en-US" w:eastAsia="zh-CN"/>
        </w:rPr>
        <w:t>合同金额30%作为第三年</w:t>
      </w:r>
      <w:r>
        <w:rPr>
          <w:rFonts w:hint="eastAsia" w:ascii="宋体" w:hAnsi="宋体" w:cs="宋体"/>
          <w:bCs/>
          <w:color w:val="auto"/>
          <w:sz w:val="22"/>
          <w:szCs w:val="22"/>
          <w:highlight w:val="none"/>
          <w:lang w:val="zh-CN"/>
        </w:rPr>
        <w:t>度运维费用。中标供应商应同步开具对应金额的增值税专用发票（或增值税普通发票，根据采购需求明确）。</w:t>
      </w:r>
    </w:p>
    <w:p w14:paraId="761C43D7">
      <w:pPr>
        <w:spacing w:line="440" w:lineRule="exact"/>
        <w:ind w:firstLine="446" w:firstLineChars="200"/>
        <w:rPr>
          <w:rFonts w:ascii="宋体" w:hAnsi="宋体" w:cs="宋体"/>
          <w:bCs/>
          <w:color w:val="auto"/>
          <w:sz w:val="22"/>
          <w:szCs w:val="22"/>
          <w:highlight w:val="none"/>
          <w:lang w:val="zh-CN"/>
        </w:rPr>
      </w:pPr>
      <w:r>
        <w:rPr>
          <w:rFonts w:hint="eastAsia" w:ascii="宋体" w:hAnsi="宋体" w:cs="宋体"/>
          <w:bCs/>
          <w:color w:val="auto"/>
          <w:sz w:val="22"/>
          <w:szCs w:val="22"/>
          <w:highlight w:val="none"/>
          <w:lang w:val="en-US" w:eastAsia="zh-CN"/>
        </w:rPr>
        <w:t>9</w:t>
      </w:r>
      <w:r>
        <w:rPr>
          <w:rFonts w:hint="eastAsia" w:ascii="宋体" w:hAnsi="宋体" w:cs="宋体"/>
          <w:bCs/>
          <w:color w:val="auto"/>
          <w:sz w:val="22"/>
          <w:szCs w:val="22"/>
          <w:highlight w:val="none"/>
        </w:rPr>
        <w:t>.</w:t>
      </w:r>
      <w:r>
        <w:rPr>
          <w:rFonts w:hint="eastAsia" w:ascii="宋体" w:hAnsi="宋体" w:cs="宋体"/>
          <w:bCs/>
          <w:color w:val="auto"/>
          <w:sz w:val="22"/>
          <w:szCs w:val="22"/>
          <w:highlight w:val="none"/>
          <w:lang w:val="en-US" w:eastAsia="zh-CN"/>
        </w:rPr>
        <w:t>3</w:t>
      </w:r>
      <w:r>
        <w:rPr>
          <w:rFonts w:hint="eastAsia" w:ascii="宋体" w:hAnsi="宋体" w:cs="宋体"/>
          <w:bCs/>
          <w:color w:val="auto"/>
          <w:sz w:val="22"/>
          <w:szCs w:val="22"/>
          <w:highlight w:val="none"/>
          <w:lang w:val="zh-CN"/>
        </w:rPr>
        <w:t>售后服务</w:t>
      </w:r>
    </w:p>
    <w:p w14:paraId="1BB48798">
      <w:pPr>
        <w:spacing w:line="440" w:lineRule="exact"/>
        <w:ind w:firstLine="446" w:firstLineChars="200"/>
        <w:rPr>
          <w:rFonts w:ascii="宋体" w:hAnsi="宋体" w:cs="宋体"/>
          <w:bCs/>
          <w:color w:val="auto"/>
          <w:sz w:val="22"/>
          <w:szCs w:val="22"/>
          <w:highlight w:val="none"/>
          <w:lang w:val="zh-CN"/>
        </w:rPr>
      </w:pPr>
      <w:r>
        <w:rPr>
          <w:rFonts w:hint="eastAsia" w:ascii="宋体" w:hAnsi="宋体" w:cs="宋体"/>
          <w:bCs/>
          <w:color w:val="auto"/>
          <w:sz w:val="22"/>
          <w:szCs w:val="22"/>
          <w:highlight w:val="none"/>
          <w:lang w:val="zh-CN"/>
        </w:rPr>
        <w:t>提供</w:t>
      </w:r>
      <w:r>
        <w:rPr>
          <w:rFonts w:hint="eastAsia" w:ascii="宋体" w:hAnsi="宋体" w:cs="宋体"/>
          <w:bCs/>
          <w:color w:val="auto"/>
          <w:sz w:val="22"/>
          <w:szCs w:val="22"/>
          <w:highlight w:val="none"/>
          <w:lang w:val="en-US" w:eastAsia="zh-CN"/>
        </w:rPr>
        <w:t>3</w:t>
      </w:r>
      <w:r>
        <w:rPr>
          <w:rFonts w:hint="eastAsia" w:ascii="宋体" w:hAnsi="宋体" w:cs="宋体"/>
          <w:bCs/>
          <w:color w:val="auto"/>
          <w:sz w:val="22"/>
          <w:szCs w:val="22"/>
          <w:highlight w:val="none"/>
          <w:lang w:val="zh-CN"/>
        </w:rPr>
        <w:t>年系统免费维保服务。在此期间，供应商应免费处理系统发生的故障，并进行软件维保、升级。供应商必须有可靠的售后服务响应保障，能提供正常的技术、备品备件服务。维保人员需在接到维修电话后1小时内予以电话支持，若8小时内无法解决问题，应在24小时内进行应急处理，以保证采购人的正常使用。</w:t>
      </w:r>
    </w:p>
    <w:p w14:paraId="2102608F">
      <w:pPr>
        <w:spacing w:line="440" w:lineRule="exact"/>
        <w:ind w:firstLine="446" w:firstLineChars="200"/>
        <w:rPr>
          <w:rFonts w:ascii="宋体" w:hAnsi="宋体" w:cs="宋体"/>
          <w:bCs/>
          <w:color w:val="auto"/>
          <w:sz w:val="22"/>
          <w:szCs w:val="22"/>
          <w:highlight w:val="none"/>
          <w:lang w:val="zh-CN"/>
        </w:rPr>
      </w:pPr>
      <w:r>
        <w:rPr>
          <w:rFonts w:hint="eastAsia" w:ascii="宋体" w:hAnsi="宋体" w:cs="宋体"/>
          <w:bCs/>
          <w:color w:val="auto"/>
          <w:sz w:val="22"/>
          <w:szCs w:val="22"/>
          <w:highlight w:val="none"/>
          <w:lang w:val="en-US" w:eastAsia="zh-CN"/>
        </w:rPr>
        <w:t>9</w:t>
      </w:r>
      <w:r>
        <w:rPr>
          <w:rFonts w:hint="eastAsia" w:ascii="宋体" w:hAnsi="宋体" w:cs="宋体"/>
          <w:bCs/>
          <w:color w:val="auto"/>
          <w:sz w:val="22"/>
          <w:szCs w:val="22"/>
          <w:highlight w:val="none"/>
        </w:rPr>
        <w:t>.</w:t>
      </w:r>
      <w:r>
        <w:rPr>
          <w:rFonts w:hint="eastAsia" w:ascii="宋体" w:hAnsi="宋体" w:cs="宋体"/>
          <w:bCs/>
          <w:color w:val="auto"/>
          <w:sz w:val="22"/>
          <w:szCs w:val="22"/>
          <w:highlight w:val="none"/>
          <w:lang w:val="en-US" w:eastAsia="zh-CN"/>
        </w:rPr>
        <w:t>4</w:t>
      </w:r>
      <w:r>
        <w:rPr>
          <w:rFonts w:hint="eastAsia" w:ascii="宋体" w:hAnsi="宋体" w:cs="宋体"/>
          <w:bCs/>
          <w:color w:val="auto"/>
          <w:sz w:val="22"/>
          <w:szCs w:val="22"/>
          <w:highlight w:val="none"/>
          <w:lang w:val="zh-CN"/>
        </w:rPr>
        <w:t>培训</w:t>
      </w:r>
    </w:p>
    <w:p w14:paraId="4CB3765B">
      <w:pPr>
        <w:spacing w:line="440" w:lineRule="exact"/>
        <w:ind w:firstLine="446" w:firstLineChars="200"/>
        <w:rPr>
          <w:rFonts w:ascii="宋体" w:hAnsi="宋体" w:cs="宋体"/>
          <w:bCs/>
          <w:color w:val="auto"/>
          <w:sz w:val="22"/>
          <w:szCs w:val="22"/>
          <w:highlight w:val="none"/>
          <w:lang w:val="zh-CN"/>
        </w:rPr>
      </w:pPr>
      <w:r>
        <w:rPr>
          <w:rFonts w:hint="eastAsia" w:ascii="宋体" w:hAnsi="宋体" w:cs="宋体"/>
          <w:bCs/>
          <w:color w:val="auto"/>
          <w:sz w:val="22"/>
          <w:szCs w:val="22"/>
          <w:highlight w:val="none"/>
          <w:lang w:val="zh-CN"/>
        </w:rPr>
        <w:t>培训方式：现场实地培训，通过技术培训结合现场操作对维护管理和实际操作人员培训，使他们对产品及技术有较深的理解，能熟练地进行系统操作。</w:t>
      </w:r>
    </w:p>
    <w:p w14:paraId="0014A7DA">
      <w:pPr>
        <w:spacing w:line="440" w:lineRule="exact"/>
        <w:ind w:firstLine="446" w:firstLineChars="200"/>
        <w:rPr>
          <w:rFonts w:ascii="宋体" w:hAnsi="宋体" w:cs="宋体"/>
          <w:bCs/>
          <w:color w:val="auto"/>
          <w:sz w:val="22"/>
          <w:szCs w:val="22"/>
          <w:highlight w:val="none"/>
          <w:lang w:val="zh-CN"/>
        </w:rPr>
      </w:pPr>
      <w:r>
        <w:rPr>
          <w:rFonts w:hint="eastAsia" w:ascii="宋体" w:hAnsi="宋体" w:cs="宋体"/>
          <w:bCs/>
          <w:color w:val="auto"/>
          <w:sz w:val="22"/>
          <w:szCs w:val="22"/>
          <w:highlight w:val="none"/>
          <w:lang w:val="zh-CN"/>
        </w:rPr>
        <w:t>培训人员：要求2年以上行业经验的工程师或系统培训人员完成对相关管理维护、操作人员的培训。</w:t>
      </w:r>
    </w:p>
    <w:p w14:paraId="12D837DC">
      <w:pPr>
        <w:spacing w:line="440" w:lineRule="exact"/>
        <w:ind w:firstLine="446" w:firstLineChars="200"/>
        <w:rPr>
          <w:rFonts w:ascii="宋体" w:hAnsi="宋体" w:cs="宋体"/>
          <w:bCs/>
          <w:color w:val="auto"/>
          <w:sz w:val="22"/>
          <w:szCs w:val="22"/>
          <w:highlight w:val="none"/>
          <w:lang w:val="zh-CN"/>
        </w:rPr>
      </w:pPr>
      <w:r>
        <w:rPr>
          <w:rFonts w:hint="eastAsia" w:ascii="宋体" w:hAnsi="宋体" w:cs="宋体"/>
          <w:bCs/>
          <w:color w:val="auto"/>
          <w:sz w:val="22"/>
          <w:szCs w:val="22"/>
          <w:highlight w:val="none"/>
          <w:lang w:val="zh-CN"/>
        </w:rPr>
        <w:t>培训地点及场次：由采购人按需指定。</w:t>
      </w:r>
    </w:p>
    <w:p w14:paraId="6433CF71">
      <w:pPr>
        <w:spacing w:line="440" w:lineRule="exact"/>
        <w:ind w:firstLine="446" w:firstLineChars="200"/>
        <w:rPr>
          <w:rFonts w:ascii="宋体" w:hAnsi="宋体" w:cs="宋体"/>
          <w:bCs/>
          <w:color w:val="auto"/>
          <w:sz w:val="22"/>
          <w:szCs w:val="22"/>
          <w:highlight w:val="none"/>
          <w:lang w:val="zh-CN"/>
        </w:rPr>
      </w:pPr>
      <w:r>
        <w:rPr>
          <w:rFonts w:hint="eastAsia" w:ascii="宋体" w:hAnsi="宋体" w:cs="宋体"/>
          <w:bCs/>
          <w:color w:val="auto"/>
          <w:sz w:val="22"/>
          <w:szCs w:val="22"/>
          <w:highlight w:val="none"/>
          <w:lang w:val="en-US" w:eastAsia="zh-CN"/>
        </w:rPr>
        <w:t>9</w:t>
      </w:r>
      <w:r>
        <w:rPr>
          <w:rFonts w:hint="eastAsia" w:ascii="宋体" w:hAnsi="宋体" w:cs="宋体"/>
          <w:bCs/>
          <w:color w:val="auto"/>
          <w:sz w:val="22"/>
          <w:szCs w:val="22"/>
          <w:highlight w:val="none"/>
        </w:rPr>
        <w:t>.</w:t>
      </w:r>
      <w:r>
        <w:rPr>
          <w:rFonts w:hint="eastAsia" w:ascii="宋体" w:hAnsi="宋体" w:cs="宋体"/>
          <w:bCs/>
          <w:color w:val="auto"/>
          <w:sz w:val="22"/>
          <w:szCs w:val="22"/>
          <w:highlight w:val="none"/>
          <w:lang w:val="en-US" w:eastAsia="zh-CN"/>
        </w:rPr>
        <w:t>5</w:t>
      </w:r>
      <w:r>
        <w:rPr>
          <w:rFonts w:hint="eastAsia" w:ascii="宋体" w:hAnsi="宋体" w:cs="宋体"/>
          <w:bCs/>
          <w:color w:val="auto"/>
          <w:sz w:val="22"/>
          <w:szCs w:val="22"/>
          <w:highlight w:val="none"/>
          <w:lang w:val="zh-CN"/>
        </w:rPr>
        <w:t>验收</w:t>
      </w:r>
    </w:p>
    <w:p w14:paraId="7820B530">
      <w:pPr>
        <w:spacing w:line="440" w:lineRule="exact"/>
        <w:ind w:firstLine="446" w:firstLineChars="200"/>
        <w:rPr>
          <w:rFonts w:ascii="宋体" w:hAnsi="宋体" w:cs="宋体"/>
          <w:bCs/>
          <w:color w:val="auto"/>
          <w:sz w:val="22"/>
          <w:szCs w:val="22"/>
          <w:highlight w:val="none"/>
          <w:lang w:val="zh-CN"/>
        </w:rPr>
      </w:pPr>
      <w:r>
        <w:rPr>
          <w:rFonts w:hint="eastAsia" w:ascii="宋体" w:hAnsi="宋体" w:cs="宋体"/>
          <w:bCs/>
          <w:color w:val="auto"/>
          <w:sz w:val="22"/>
          <w:szCs w:val="22"/>
          <w:highlight w:val="none"/>
          <w:lang w:val="zh-CN"/>
        </w:rPr>
        <w:t>中标供应商应配合采购人组织的按照政府采购合同规定的技术、服务、安全标准进行的项目验收。</w:t>
      </w:r>
    </w:p>
    <w:p w14:paraId="29ABC1D8">
      <w:pPr>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bookmarkEnd w:id="6"/>
    <w:p w14:paraId="293FCBA3">
      <w:pPr>
        <w:jc w:val="center"/>
        <w:rPr>
          <w:rFonts w:ascii="宋体"/>
          <w:b/>
          <w:color w:val="auto"/>
          <w:sz w:val="32"/>
          <w:szCs w:val="32"/>
        </w:rPr>
      </w:pPr>
      <w:r>
        <w:rPr>
          <w:rFonts w:hint="eastAsia" w:ascii="宋体" w:hAnsi="宋体"/>
          <w:b/>
          <w:color w:val="auto"/>
          <w:sz w:val="32"/>
          <w:szCs w:val="32"/>
        </w:rPr>
        <w:t>第三部分  供应商须知</w:t>
      </w:r>
    </w:p>
    <w:p w14:paraId="4646D018">
      <w:pPr>
        <w:spacing w:before="120" w:beforeLines="50" w:after="120" w:afterLines="50" w:line="400" w:lineRule="atLeast"/>
        <w:outlineLvl w:val="1"/>
        <w:rPr>
          <w:rFonts w:ascii="宋体"/>
          <w:b/>
          <w:bCs/>
          <w:color w:val="auto"/>
          <w:sz w:val="24"/>
          <w:lang w:val="zh-CN"/>
        </w:rPr>
      </w:pPr>
      <w:r>
        <w:rPr>
          <w:rFonts w:hint="eastAsia" w:ascii="宋体" w:hAnsi="宋体"/>
          <w:b/>
          <w:bCs/>
          <w:color w:val="auto"/>
          <w:sz w:val="24"/>
          <w:lang w:val="zh-CN"/>
        </w:rPr>
        <w:t>一、说明</w:t>
      </w:r>
    </w:p>
    <w:p w14:paraId="7669570D">
      <w:pPr>
        <w:widowControl/>
        <w:snapToGrid w:val="0"/>
        <w:spacing w:line="400" w:lineRule="atLeast"/>
        <w:ind w:firstLine="446" w:firstLineChars="200"/>
        <w:rPr>
          <w:rFonts w:ascii="宋体"/>
          <w:color w:val="auto"/>
          <w:sz w:val="22"/>
          <w:szCs w:val="22"/>
        </w:rPr>
      </w:pPr>
      <w:r>
        <w:rPr>
          <w:rFonts w:hint="eastAsia" w:ascii="宋体"/>
          <w:color w:val="auto"/>
          <w:sz w:val="22"/>
          <w:szCs w:val="22"/>
        </w:rPr>
        <w:t>1.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4C2E81AE">
      <w:pPr>
        <w:widowControl/>
        <w:snapToGrid w:val="0"/>
        <w:spacing w:line="400" w:lineRule="atLeast"/>
        <w:ind w:firstLine="446" w:firstLineChars="200"/>
        <w:rPr>
          <w:rFonts w:ascii="宋体"/>
          <w:color w:val="auto"/>
          <w:sz w:val="22"/>
          <w:szCs w:val="22"/>
        </w:rPr>
      </w:pPr>
      <w:r>
        <w:rPr>
          <w:rFonts w:hint="eastAsia" w:ascii="宋体"/>
          <w:color w:val="auto"/>
          <w:sz w:val="22"/>
          <w:szCs w:val="22"/>
        </w:rPr>
        <w:t>2.供应商必须对所投标项全部内容进行报价，只对部分内容进行报价的供应商将按无效投标处理。</w:t>
      </w:r>
    </w:p>
    <w:p w14:paraId="1259A8D8">
      <w:pPr>
        <w:widowControl/>
        <w:snapToGrid w:val="0"/>
        <w:spacing w:line="400" w:lineRule="atLeast"/>
        <w:ind w:firstLine="446" w:firstLineChars="200"/>
        <w:rPr>
          <w:rFonts w:ascii="宋体"/>
          <w:color w:val="auto"/>
          <w:sz w:val="22"/>
          <w:szCs w:val="22"/>
        </w:rPr>
      </w:pPr>
      <w:r>
        <w:rPr>
          <w:rFonts w:hint="eastAsia" w:ascii="宋体"/>
          <w:color w:val="auto"/>
          <w:sz w:val="22"/>
          <w:szCs w:val="22"/>
        </w:rPr>
        <w:t>3.无论投标过程中的作法和结果如何，供应商自行承担投标活动中所发生的全部费用；采购人有权选择供应商的供货和服务范围。</w:t>
      </w:r>
    </w:p>
    <w:p w14:paraId="090E5ABF">
      <w:pPr>
        <w:widowControl/>
        <w:snapToGrid w:val="0"/>
        <w:spacing w:line="400" w:lineRule="atLeast"/>
        <w:ind w:firstLine="446" w:firstLineChars="200"/>
        <w:rPr>
          <w:rFonts w:ascii="宋体"/>
          <w:color w:val="auto"/>
          <w:sz w:val="22"/>
          <w:szCs w:val="22"/>
        </w:rPr>
      </w:pPr>
      <w:r>
        <w:rPr>
          <w:rFonts w:hint="eastAsia" w:ascii="宋体"/>
          <w:color w:val="auto"/>
          <w:sz w:val="22"/>
          <w:szCs w:val="22"/>
        </w:rPr>
        <w:t>4.安全生产</w:t>
      </w:r>
    </w:p>
    <w:p w14:paraId="7FC0D135">
      <w:pPr>
        <w:widowControl/>
        <w:snapToGrid w:val="0"/>
        <w:spacing w:line="400" w:lineRule="atLeast"/>
        <w:ind w:firstLine="446" w:firstLineChars="200"/>
        <w:rPr>
          <w:rFonts w:ascii="宋体"/>
          <w:color w:val="auto"/>
          <w:sz w:val="22"/>
          <w:szCs w:val="22"/>
        </w:rPr>
      </w:pPr>
      <w:r>
        <w:rPr>
          <w:rFonts w:hint="eastAsia" w:ascii="宋体"/>
          <w:color w:val="auto"/>
          <w:sz w:val="22"/>
          <w:szCs w:val="22"/>
        </w:rPr>
        <w:t>在招标及合同执行过程中，供应商应承担由于其行为所造成的人身伤害、财产损失或损坏的责任，无论何种原因所造成，采购人均不负责。</w:t>
      </w:r>
    </w:p>
    <w:p w14:paraId="2C6925F0">
      <w:pPr>
        <w:widowControl/>
        <w:snapToGrid w:val="0"/>
        <w:spacing w:line="400" w:lineRule="atLeast"/>
        <w:ind w:firstLine="446" w:firstLineChars="200"/>
        <w:rPr>
          <w:rFonts w:ascii="宋体"/>
          <w:color w:val="auto"/>
          <w:sz w:val="22"/>
          <w:szCs w:val="22"/>
        </w:rPr>
      </w:pPr>
      <w:r>
        <w:rPr>
          <w:rFonts w:hint="eastAsia" w:ascii="宋体"/>
          <w:color w:val="auto"/>
          <w:sz w:val="22"/>
          <w:szCs w:val="22"/>
        </w:rPr>
        <w:t>5.知识产权</w:t>
      </w:r>
    </w:p>
    <w:p w14:paraId="166A0BE2">
      <w:pPr>
        <w:widowControl/>
        <w:snapToGrid w:val="0"/>
        <w:spacing w:line="400" w:lineRule="atLeast"/>
        <w:ind w:firstLine="446" w:firstLineChars="200"/>
        <w:rPr>
          <w:rFonts w:ascii="宋体"/>
          <w:color w:val="auto"/>
          <w:sz w:val="22"/>
          <w:szCs w:val="22"/>
        </w:rPr>
      </w:pPr>
      <w:r>
        <w:rPr>
          <w:rFonts w:hint="eastAsia" w:ascii="宋体"/>
          <w:color w:val="auto"/>
          <w:sz w:val="22"/>
          <w:szCs w:val="22"/>
        </w:rPr>
        <w:t>5.1供应商应保证，采购人在中华人民共和国使用货物和服务的任何一部分时，免受第三方提出侵犯其专利权、商标权或其它知识产权的起诉。</w:t>
      </w:r>
    </w:p>
    <w:p w14:paraId="22344C7F">
      <w:pPr>
        <w:widowControl/>
        <w:snapToGrid w:val="0"/>
        <w:spacing w:line="400" w:lineRule="atLeast"/>
        <w:ind w:firstLine="446" w:firstLineChars="200"/>
        <w:rPr>
          <w:rFonts w:ascii="宋体"/>
          <w:color w:val="auto"/>
          <w:sz w:val="22"/>
          <w:szCs w:val="22"/>
        </w:rPr>
      </w:pPr>
      <w:r>
        <w:rPr>
          <w:rFonts w:hint="eastAsia" w:ascii="宋体"/>
          <w:color w:val="auto"/>
          <w:sz w:val="22"/>
          <w:szCs w:val="22"/>
        </w:rPr>
        <w:t>5.2投标人应对采购人在使用该产品时所涉及到的专利权负责，不损害采购人的利益。</w:t>
      </w:r>
    </w:p>
    <w:p w14:paraId="68406E31">
      <w:pPr>
        <w:widowControl/>
        <w:snapToGrid w:val="0"/>
        <w:spacing w:line="400" w:lineRule="atLeast"/>
        <w:ind w:firstLine="446" w:firstLineChars="200"/>
        <w:rPr>
          <w:rFonts w:ascii="宋体"/>
          <w:color w:val="auto"/>
          <w:sz w:val="22"/>
          <w:szCs w:val="22"/>
        </w:rPr>
      </w:pPr>
      <w:r>
        <w:rPr>
          <w:rFonts w:hint="eastAsia" w:ascii="宋体"/>
          <w:color w:val="auto"/>
          <w:sz w:val="22"/>
          <w:szCs w:val="22"/>
        </w:rPr>
        <w:t>5.3报价应包括所有应支付的对专利权和版权、设计或其他知识产权而需要向其他方支付的版税。</w:t>
      </w:r>
    </w:p>
    <w:p w14:paraId="490C4585">
      <w:pPr>
        <w:widowControl/>
        <w:snapToGrid w:val="0"/>
        <w:spacing w:line="400" w:lineRule="atLeast"/>
        <w:ind w:firstLine="446" w:firstLineChars="200"/>
        <w:rPr>
          <w:rFonts w:ascii="宋体"/>
          <w:color w:val="auto"/>
          <w:sz w:val="22"/>
          <w:szCs w:val="22"/>
        </w:rPr>
      </w:pPr>
      <w:r>
        <w:rPr>
          <w:rFonts w:hint="eastAsia" w:ascii="宋体"/>
          <w:color w:val="auto"/>
          <w:sz w:val="22"/>
          <w:szCs w:val="22"/>
        </w:rPr>
        <w:t>5.4投标人提供得货物中如使用其他公司的相关专利，应在标书中出示相关授权，如未出示但使用了其他公司的专利，导致供应商中标(成交）而引起相关诉讼，由投标人承担。</w:t>
      </w:r>
    </w:p>
    <w:p w14:paraId="7FAE3DAF">
      <w:pPr>
        <w:widowControl/>
        <w:snapToGrid w:val="0"/>
        <w:spacing w:line="400" w:lineRule="atLeast"/>
        <w:ind w:firstLine="446" w:firstLineChars="200"/>
        <w:rPr>
          <w:rFonts w:ascii="宋体"/>
          <w:color w:val="auto"/>
          <w:sz w:val="22"/>
          <w:szCs w:val="22"/>
        </w:rPr>
      </w:pPr>
      <w:r>
        <w:rPr>
          <w:rFonts w:hint="eastAsia" w:ascii="宋体"/>
          <w:color w:val="auto"/>
          <w:sz w:val="22"/>
          <w:szCs w:val="22"/>
        </w:rPr>
        <w:t>6.单位负责人为同一人或者存在直接控股、管理关系的不同供应商，不得参加同一合同项下的政府采购活动。如在评标过程中发现供应商间存在上述关系，评审小组可以对存在上述关系的供应商做无效投标处理。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163FC07D">
      <w:pPr>
        <w:widowControl/>
        <w:snapToGrid w:val="0"/>
        <w:spacing w:line="400" w:lineRule="atLeast"/>
        <w:ind w:firstLine="446" w:firstLineChars="200"/>
        <w:rPr>
          <w:rFonts w:ascii="宋体"/>
          <w:color w:val="auto"/>
          <w:sz w:val="22"/>
          <w:szCs w:val="22"/>
        </w:rPr>
      </w:pPr>
      <w:r>
        <w:rPr>
          <w:rFonts w:hint="eastAsia" w:ascii="宋体"/>
          <w:color w:val="auto"/>
          <w:sz w:val="22"/>
          <w:szCs w:val="22"/>
        </w:rPr>
        <w:t>7.为采购项目提供整体设计、规范编制或者项目管理、监理、检测等服务的供应商，不得再参加该采购项目的其他采购活动。</w:t>
      </w:r>
    </w:p>
    <w:p w14:paraId="48D789FA">
      <w:pPr>
        <w:widowControl/>
        <w:snapToGrid w:val="0"/>
        <w:spacing w:line="400" w:lineRule="atLeast"/>
        <w:ind w:firstLine="446" w:firstLineChars="200"/>
        <w:rPr>
          <w:rFonts w:ascii="宋体"/>
          <w:b/>
          <w:bCs/>
          <w:color w:val="auto"/>
          <w:sz w:val="22"/>
          <w:szCs w:val="22"/>
        </w:rPr>
      </w:pPr>
      <w:r>
        <w:rPr>
          <w:rFonts w:hint="eastAsia" w:ascii="宋体"/>
          <w:color w:val="auto"/>
          <w:sz w:val="22"/>
          <w:szCs w:val="22"/>
        </w:rPr>
        <w:t>8.</w:t>
      </w:r>
      <w:r>
        <w:rPr>
          <w:rFonts w:hint="eastAsia" w:ascii="宋体"/>
          <w:b/>
          <w:bCs/>
          <w:color w:val="auto"/>
          <w:sz w:val="22"/>
          <w:szCs w:val="22"/>
        </w:rPr>
        <w:t>▲供应商须具有良好的商业信誉：</w:t>
      </w:r>
    </w:p>
    <w:p w14:paraId="2CE859FA">
      <w:pPr>
        <w:widowControl/>
        <w:snapToGrid w:val="0"/>
        <w:spacing w:line="400" w:lineRule="atLeast"/>
        <w:ind w:firstLine="446" w:firstLineChars="200"/>
        <w:rPr>
          <w:rFonts w:ascii="宋体"/>
          <w:b/>
          <w:bCs/>
          <w:color w:val="auto"/>
          <w:sz w:val="22"/>
          <w:szCs w:val="22"/>
        </w:rPr>
      </w:pPr>
      <w:r>
        <w:rPr>
          <w:rFonts w:hint="eastAsia" w:ascii="宋体"/>
          <w:b/>
          <w:bCs/>
          <w:color w:val="auto"/>
          <w:sz w:val="22"/>
          <w:szCs w:val="22"/>
        </w:rPr>
        <w:t>1）供应商在全国企业信用信息公示系统网：（http://gsxt.saic.gov.cn/）无严重违法企业记录。</w:t>
      </w:r>
    </w:p>
    <w:p w14:paraId="7C7484B2">
      <w:pPr>
        <w:widowControl/>
        <w:snapToGrid w:val="0"/>
        <w:spacing w:line="400" w:lineRule="atLeast"/>
        <w:ind w:firstLine="446" w:firstLineChars="200"/>
        <w:rPr>
          <w:rFonts w:ascii="宋体"/>
          <w:b/>
          <w:bCs/>
          <w:color w:val="auto"/>
          <w:sz w:val="22"/>
          <w:szCs w:val="22"/>
        </w:rPr>
      </w:pPr>
      <w:r>
        <w:rPr>
          <w:rFonts w:hint="eastAsia" w:ascii="宋体"/>
          <w:b/>
          <w:bCs/>
          <w:color w:val="auto"/>
          <w:sz w:val="22"/>
          <w:szCs w:val="22"/>
        </w:rPr>
        <w:t>2）供应商在中国执行信息公开网（http://zxgk.court.gov.cn/shixin/）无失信信息记录。</w:t>
      </w:r>
    </w:p>
    <w:p w14:paraId="63329E65">
      <w:pPr>
        <w:widowControl/>
        <w:snapToGrid w:val="0"/>
        <w:spacing w:line="400" w:lineRule="atLeast"/>
        <w:ind w:firstLine="446" w:firstLineChars="200"/>
        <w:rPr>
          <w:rFonts w:ascii="宋体"/>
          <w:b/>
          <w:bCs/>
          <w:color w:val="auto"/>
          <w:sz w:val="22"/>
          <w:szCs w:val="22"/>
        </w:rPr>
      </w:pPr>
      <w:r>
        <w:rPr>
          <w:rFonts w:hint="eastAsia" w:ascii="宋体"/>
          <w:b/>
          <w:bCs/>
          <w:color w:val="auto"/>
          <w:sz w:val="22"/>
          <w:szCs w:val="22"/>
        </w:rPr>
        <w:t>3）供应商在中国政府采购网（http://www.ccgp.gov.cn/cr/list）无严重违法行为记录。</w:t>
      </w:r>
    </w:p>
    <w:p w14:paraId="4A683EDE">
      <w:pPr>
        <w:widowControl/>
        <w:snapToGrid w:val="0"/>
        <w:spacing w:line="400" w:lineRule="atLeast"/>
        <w:ind w:firstLine="446" w:firstLineChars="200"/>
        <w:rPr>
          <w:rFonts w:hint="eastAsia" w:ascii="宋体"/>
          <w:b/>
          <w:bCs/>
          <w:color w:val="auto"/>
          <w:sz w:val="22"/>
          <w:szCs w:val="22"/>
        </w:rPr>
      </w:pPr>
      <w:r>
        <w:rPr>
          <w:rFonts w:hint="eastAsia" w:ascii="宋体"/>
          <w:b/>
          <w:bCs/>
          <w:color w:val="auto"/>
          <w:sz w:val="22"/>
          <w:szCs w:val="22"/>
        </w:rPr>
        <w:t>4）未被各级财政部门列入政府采购黑名单或被各级财政部门禁止参加政府采购项目投标。</w:t>
      </w:r>
    </w:p>
    <w:p w14:paraId="562F0E62">
      <w:pPr>
        <w:widowControl/>
        <w:snapToGrid w:val="0"/>
        <w:spacing w:line="400" w:lineRule="atLeast"/>
        <w:ind w:firstLine="446" w:firstLineChars="200"/>
        <w:rPr>
          <w:rFonts w:ascii="宋体"/>
          <w:b/>
          <w:bCs/>
          <w:color w:val="auto"/>
          <w:sz w:val="22"/>
          <w:szCs w:val="22"/>
        </w:rPr>
      </w:pPr>
      <w:r>
        <w:rPr>
          <w:rFonts w:hint="eastAsia" w:ascii="宋体"/>
          <w:b/>
          <w:bCs/>
          <w:color w:val="auto"/>
          <w:sz w:val="22"/>
          <w:szCs w:val="22"/>
        </w:rPr>
        <w:t>▲如供应商有上述情形并参与本项目投标的，一经查实，其投标做无效投标处理。</w:t>
      </w:r>
    </w:p>
    <w:p w14:paraId="33AA1BAB">
      <w:pPr>
        <w:widowControl/>
        <w:snapToGrid w:val="0"/>
        <w:spacing w:line="400" w:lineRule="atLeast"/>
        <w:ind w:firstLine="446" w:firstLineChars="200"/>
        <w:rPr>
          <w:rFonts w:ascii="宋体"/>
          <w:color w:val="auto"/>
          <w:sz w:val="22"/>
          <w:szCs w:val="22"/>
        </w:rPr>
      </w:pPr>
      <w:r>
        <w:rPr>
          <w:rFonts w:hint="eastAsia" w:ascii="宋体"/>
          <w:color w:val="auto"/>
          <w:sz w:val="22"/>
          <w:szCs w:val="22"/>
        </w:rPr>
        <w:t>9.本项目采用资格后审，符合资格要求的供应商均可在本公告附件下载竞争性磋商文件，并按竞争性磋商文件规定的时间、地点递交磋商（响应）文件（竞争性磋商文件下载网址：浙江政府采购网（www.zjzfcg.gov.cn/）,竞争性磋商文件如有补充更正均见浙江政府采购网http://zfcg.czt.zj.gov.cn//。供应商须在投标截止前自行查看是否有补充、更正文件，并按补充、更正文件要求投标，否则责任自负。</w:t>
      </w:r>
    </w:p>
    <w:p w14:paraId="4D578EE1">
      <w:pPr>
        <w:widowControl/>
        <w:snapToGrid w:val="0"/>
        <w:spacing w:line="400" w:lineRule="atLeast"/>
        <w:ind w:firstLine="446" w:firstLineChars="200"/>
        <w:rPr>
          <w:rFonts w:ascii="宋体"/>
          <w:color w:val="auto"/>
          <w:sz w:val="22"/>
          <w:szCs w:val="22"/>
          <w:u w:val="single"/>
        </w:rPr>
      </w:pPr>
      <w:r>
        <w:rPr>
          <w:rFonts w:hint="eastAsia" w:ascii="宋体"/>
          <w:color w:val="auto"/>
          <w:sz w:val="22"/>
          <w:szCs w:val="22"/>
        </w:rPr>
        <w:t>10.</w:t>
      </w:r>
      <w:r>
        <w:rPr>
          <w:rFonts w:hint="eastAsia" w:ascii="宋体"/>
          <w:b/>
          <w:bCs/>
          <w:color w:val="auto"/>
          <w:sz w:val="22"/>
          <w:szCs w:val="22"/>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磋商（响应）文件的供应商，在提交最终报价之前，可以根据磋商情况退出磋商。</w:t>
      </w:r>
    </w:p>
    <w:p w14:paraId="728407F2">
      <w:pPr>
        <w:spacing w:before="120" w:beforeLines="50" w:after="120" w:afterLines="50" w:line="400" w:lineRule="atLeast"/>
        <w:outlineLvl w:val="1"/>
        <w:rPr>
          <w:rFonts w:ascii="宋体" w:hAnsi="宋体"/>
          <w:b/>
          <w:bCs/>
          <w:color w:val="auto"/>
          <w:sz w:val="24"/>
          <w:lang w:val="zh-CN"/>
        </w:rPr>
      </w:pPr>
      <w:r>
        <w:rPr>
          <w:rFonts w:hint="eastAsia" w:ascii="宋体" w:hAnsi="宋体"/>
          <w:b/>
          <w:bCs/>
          <w:color w:val="auto"/>
          <w:sz w:val="24"/>
          <w:lang w:val="zh-CN"/>
        </w:rPr>
        <w:t>二、竞争性磋商文件</w:t>
      </w:r>
    </w:p>
    <w:p w14:paraId="64D3DAD7">
      <w:pPr>
        <w:spacing w:line="400" w:lineRule="atLeast"/>
        <w:ind w:firstLine="446" w:firstLineChars="200"/>
        <w:rPr>
          <w:rFonts w:ascii="宋体" w:hAnsi="Times New Roman" w:cs="宋体"/>
          <w:color w:val="auto"/>
          <w:sz w:val="22"/>
          <w:szCs w:val="22"/>
        </w:rPr>
      </w:pPr>
      <w:bookmarkStart w:id="18" w:name="_Toc24610_WPSOffice_Level3"/>
      <w:r>
        <w:rPr>
          <w:rFonts w:hint="eastAsia" w:ascii="宋体" w:hAnsi="宋体" w:cs="??_GB2312"/>
          <w:color w:val="auto"/>
          <w:sz w:val="22"/>
          <w:szCs w:val="22"/>
          <w:lang w:val="zh-CN"/>
        </w:rPr>
        <w:t>1.竞争性磋商文件</w:t>
      </w:r>
      <w:bookmarkEnd w:id="18"/>
    </w:p>
    <w:p w14:paraId="5E841265">
      <w:pPr>
        <w:adjustRightInd w:val="0"/>
        <w:spacing w:line="400" w:lineRule="atLeast"/>
        <w:ind w:firstLine="446" w:firstLineChars="200"/>
        <w:rPr>
          <w:rFonts w:ascii="宋体" w:hAnsi="Times New Roman" w:cs="??_GB2312"/>
          <w:color w:val="auto"/>
          <w:sz w:val="22"/>
          <w:szCs w:val="22"/>
          <w:lang w:val="zh-CN"/>
        </w:rPr>
      </w:pPr>
      <w:r>
        <w:rPr>
          <w:rFonts w:hint="eastAsia" w:ascii="宋体" w:hAnsi="宋体" w:cs="??_GB2312"/>
          <w:color w:val="auto"/>
          <w:sz w:val="22"/>
          <w:szCs w:val="22"/>
          <w:lang w:val="zh-CN"/>
        </w:rPr>
        <w:t>1.1竞争性磋商文件的发放</w:t>
      </w:r>
    </w:p>
    <w:p w14:paraId="22303B29">
      <w:pPr>
        <w:adjustRightInd w:val="0"/>
        <w:spacing w:line="400" w:lineRule="atLeast"/>
        <w:ind w:firstLine="446" w:firstLineChars="200"/>
        <w:rPr>
          <w:rFonts w:ascii="宋体" w:hAnsi="Times New Roman" w:cs="??_GB2312"/>
          <w:color w:val="auto"/>
          <w:sz w:val="22"/>
          <w:szCs w:val="22"/>
          <w:lang w:val="zh-CN"/>
        </w:rPr>
      </w:pPr>
      <w:r>
        <w:rPr>
          <w:rFonts w:hint="eastAsia" w:ascii="宋体" w:hAnsi="宋体" w:cs="??_GB2312"/>
          <w:color w:val="auto"/>
          <w:sz w:val="22"/>
          <w:szCs w:val="22"/>
          <w:lang w:val="zh-CN"/>
        </w:rPr>
        <w:t>本项目投标供应商直接</w:t>
      </w:r>
      <w:r>
        <w:rPr>
          <w:rFonts w:hint="eastAsia" w:ascii="宋体" w:hAnsi="宋体" w:cs="??_GB2312"/>
          <w:color w:val="auto"/>
          <w:sz w:val="22"/>
          <w:szCs w:val="22"/>
        </w:rPr>
        <w:t>在</w:t>
      </w:r>
      <w:r>
        <w:rPr>
          <w:rFonts w:hint="eastAsia" w:ascii="宋体" w:hAnsi="宋体" w:cs="??_GB2312"/>
          <w:color w:val="auto"/>
          <w:sz w:val="22"/>
          <w:szCs w:val="22"/>
          <w:lang w:val="zh-CN"/>
        </w:rPr>
        <w:t>网上</w:t>
      </w:r>
      <w:r>
        <w:rPr>
          <w:rFonts w:hint="eastAsia" w:ascii="宋体" w:hAnsi="宋体" w:cs="??_GB2312"/>
          <w:color w:val="auto"/>
          <w:sz w:val="22"/>
          <w:szCs w:val="22"/>
        </w:rPr>
        <w:t>下载</w:t>
      </w:r>
      <w:r>
        <w:rPr>
          <w:rFonts w:hint="eastAsia" w:ascii="宋体" w:hAnsi="宋体" w:cs="??_GB2312"/>
          <w:color w:val="auto"/>
          <w:sz w:val="22"/>
          <w:szCs w:val="22"/>
          <w:lang w:val="zh-CN"/>
        </w:rPr>
        <w:t>竞争性磋商文件。</w:t>
      </w:r>
    </w:p>
    <w:p w14:paraId="6EBAB7E5">
      <w:pPr>
        <w:adjustRightInd w:val="0"/>
        <w:spacing w:line="400" w:lineRule="atLeast"/>
        <w:ind w:firstLine="446" w:firstLineChars="200"/>
        <w:rPr>
          <w:rFonts w:ascii="宋体" w:hAnsi="宋体" w:cs="??_GB2312"/>
          <w:color w:val="auto"/>
          <w:sz w:val="22"/>
          <w:szCs w:val="22"/>
        </w:rPr>
      </w:pPr>
      <w:r>
        <w:rPr>
          <w:rFonts w:hint="eastAsia" w:ascii="宋体" w:hAnsi="宋体" w:cs="??_GB2312"/>
          <w:color w:val="auto"/>
          <w:sz w:val="22"/>
          <w:szCs w:val="22"/>
          <w:lang w:val="zh-CN"/>
        </w:rPr>
        <w:t>1.2</w:t>
      </w:r>
      <w:r>
        <w:rPr>
          <w:rFonts w:hint="eastAsia" w:ascii="宋体" w:hAnsi="宋体" w:cs="??_GB2312"/>
          <w:color w:val="auto"/>
          <w:sz w:val="22"/>
          <w:szCs w:val="22"/>
        </w:rPr>
        <w:t xml:space="preserve"> 竞争性磋商文件约束力</w:t>
      </w:r>
    </w:p>
    <w:p w14:paraId="1401583B">
      <w:pPr>
        <w:adjustRightInd w:val="0"/>
        <w:spacing w:line="400" w:lineRule="atLeast"/>
        <w:ind w:firstLine="446" w:firstLineChars="200"/>
        <w:rPr>
          <w:rFonts w:ascii="宋体" w:hAnsi="Times New Roman" w:cs="??_GB2312"/>
          <w:b/>
          <w:color w:val="auto"/>
          <w:sz w:val="22"/>
          <w:szCs w:val="22"/>
          <w:u w:val="single"/>
          <w:lang w:val="zh-CN"/>
        </w:rPr>
      </w:pPr>
      <w:r>
        <w:rPr>
          <w:rFonts w:hint="eastAsia" w:ascii="宋体" w:hAnsi="宋体" w:cs="??_GB2312"/>
          <w:b/>
          <w:color w:val="auto"/>
          <w:sz w:val="22"/>
          <w:szCs w:val="22"/>
          <w:u w:val="single"/>
          <w:lang w:val="zh-CN"/>
        </w:rPr>
        <w:t>供应商</w:t>
      </w:r>
      <w:r>
        <w:rPr>
          <w:rFonts w:hint="eastAsia" w:ascii="宋体" w:hAnsi="宋体" w:cs="宋体"/>
          <w:b/>
          <w:color w:val="auto"/>
          <w:sz w:val="22"/>
          <w:szCs w:val="22"/>
          <w:u w:val="single"/>
        </w:rPr>
        <w:t>一旦获取了本项目竞争性磋商文件，在质疑期内未提出质疑，并参加投标，即被认为接受了本竞争性磋商文件中所有条款和规定</w:t>
      </w:r>
      <w:r>
        <w:rPr>
          <w:rFonts w:hint="eastAsia" w:ascii="宋体" w:hAnsi="宋体" w:cs="宋体"/>
          <w:b/>
          <w:color w:val="auto"/>
          <w:sz w:val="22"/>
          <w:szCs w:val="22"/>
        </w:rPr>
        <w:t>。</w:t>
      </w:r>
    </w:p>
    <w:p w14:paraId="6B944168">
      <w:pPr>
        <w:adjustRightInd w:val="0"/>
        <w:spacing w:line="400" w:lineRule="atLeast"/>
        <w:ind w:firstLine="669" w:firstLineChars="300"/>
        <w:rPr>
          <w:rFonts w:ascii="宋体" w:hAnsi="Times New Roman" w:cs="??_GB2312"/>
          <w:color w:val="auto"/>
          <w:sz w:val="22"/>
          <w:szCs w:val="22"/>
          <w:lang w:val="zh-CN"/>
        </w:rPr>
      </w:pPr>
      <w:bookmarkStart w:id="19" w:name="_Toc9317_WPSOffice_Level3"/>
      <w:r>
        <w:rPr>
          <w:rFonts w:hint="eastAsia" w:ascii="宋体" w:hAnsi="宋体" w:cs="??_GB2312"/>
          <w:color w:val="auto"/>
          <w:sz w:val="22"/>
          <w:szCs w:val="22"/>
          <w:lang w:val="zh-CN"/>
        </w:rPr>
        <w:t>2.竞争性磋商文件的澄清</w:t>
      </w:r>
      <w:bookmarkEnd w:id="19"/>
    </w:p>
    <w:p w14:paraId="4E68D257">
      <w:pPr>
        <w:adjustRightInd w:val="0"/>
        <w:spacing w:line="400" w:lineRule="atLeast"/>
        <w:ind w:firstLine="446" w:firstLineChars="200"/>
        <w:rPr>
          <w:rFonts w:ascii="宋体" w:hAnsi="Times New Roman" w:cs="??_GB2312"/>
          <w:color w:val="auto"/>
          <w:sz w:val="22"/>
          <w:szCs w:val="22"/>
          <w:lang w:val="zh-CN"/>
        </w:rPr>
      </w:pPr>
      <w:r>
        <w:rPr>
          <w:rFonts w:hint="eastAsia" w:ascii="宋体" w:hAnsi="宋体" w:cs="??_GB2312"/>
          <w:color w:val="auto"/>
          <w:sz w:val="22"/>
          <w:szCs w:val="22"/>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6686F326">
      <w:pPr>
        <w:adjustRightInd w:val="0"/>
        <w:spacing w:line="400" w:lineRule="atLeast"/>
        <w:ind w:firstLine="446" w:firstLineChars="200"/>
        <w:rPr>
          <w:rFonts w:ascii="宋体" w:hAnsi="Times New Roman" w:cs="??_GB2312"/>
          <w:color w:val="auto"/>
          <w:sz w:val="22"/>
          <w:szCs w:val="22"/>
          <w:lang w:val="zh-CN"/>
        </w:rPr>
      </w:pPr>
      <w:bookmarkStart w:id="20" w:name="_Toc6226_WPSOffice_Level3"/>
      <w:r>
        <w:rPr>
          <w:rFonts w:hint="eastAsia" w:ascii="宋体" w:hAnsi="宋体" w:cs="??_GB2312"/>
          <w:color w:val="auto"/>
          <w:sz w:val="22"/>
          <w:szCs w:val="22"/>
          <w:lang w:val="zh-CN"/>
        </w:rPr>
        <w:t>3.竞争性磋商文件的修改</w:t>
      </w:r>
      <w:bookmarkEnd w:id="20"/>
    </w:p>
    <w:p w14:paraId="089BCAC6">
      <w:pPr>
        <w:adjustRightInd w:val="0"/>
        <w:spacing w:line="400" w:lineRule="atLeast"/>
        <w:ind w:firstLine="446" w:firstLineChars="200"/>
        <w:rPr>
          <w:rFonts w:ascii="宋体" w:hAnsi="Times New Roman" w:cs="??_GB2312"/>
          <w:color w:val="auto"/>
          <w:sz w:val="22"/>
          <w:szCs w:val="22"/>
          <w:lang w:val="zh-CN"/>
        </w:rPr>
      </w:pPr>
      <w:r>
        <w:rPr>
          <w:rFonts w:hint="eastAsia" w:ascii="宋体" w:hAnsi="宋体" w:cs="??_GB2312"/>
          <w:color w:val="auto"/>
          <w:sz w:val="22"/>
          <w:szCs w:val="22"/>
          <w:lang w:val="zh-CN"/>
        </w:rPr>
        <w:t>3.1在投标截止时间前，采购人或采购机构有权修改竞争性磋商文件，并通知供应商。补充文件作为竞争性磋商文件的补充和组成部分，对所有供应商均有约束力。</w:t>
      </w:r>
    </w:p>
    <w:p w14:paraId="548CE0B8">
      <w:pPr>
        <w:autoSpaceDE w:val="0"/>
        <w:autoSpaceDN w:val="0"/>
        <w:adjustRightInd w:val="0"/>
        <w:snapToGrid w:val="0"/>
        <w:spacing w:line="400" w:lineRule="atLeast"/>
        <w:ind w:firstLine="436" w:firstLineChars="196"/>
        <w:textAlignment w:val="bottom"/>
        <w:rPr>
          <w:rFonts w:ascii="宋体"/>
          <w:color w:val="auto"/>
          <w:sz w:val="22"/>
          <w:szCs w:val="22"/>
        </w:rPr>
      </w:pPr>
      <w:r>
        <w:rPr>
          <w:rFonts w:hint="eastAsia" w:ascii="宋体" w:hAnsi="宋体" w:cs="??_GB2312"/>
          <w:color w:val="auto"/>
          <w:sz w:val="22"/>
          <w:szCs w:val="22"/>
          <w:lang w:val="zh-CN"/>
        </w:rPr>
        <w:t>3.2为使供应商有足够的时间按竞争性磋商文件要求修正磋商（响应）文件，采购人按相关规定推迟投标截止时间和开标时间，并将此变更通知放至相关网站公示。</w:t>
      </w:r>
    </w:p>
    <w:p w14:paraId="4A1A8F3C">
      <w:pPr>
        <w:spacing w:before="120" w:beforeLines="50" w:after="120" w:afterLines="50" w:line="400" w:lineRule="atLeast"/>
        <w:outlineLvl w:val="1"/>
        <w:rPr>
          <w:rFonts w:ascii="宋体" w:hAnsi="宋体"/>
          <w:b/>
          <w:bCs/>
          <w:color w:val="auto"/>
          <w:sz w:val="24"/>
          <w:lang w:val="zh-CN"/>
        </w:rPr>
      </w:pPr>
      <w:r>
        <w:rPr>
          <w:rFonts w:hint="eastAsia" w:ascii="宋体" w:hAnsi="宋体"/>
          <w:b/>
          <w:bCs/>
          <w:color w:val="auto"/>
          <w:sz w:val="24"/>
          <w:lang w:val="zh-CN"/>
        </w:rPr>
        <w:t>三、磋商（响应）文件</w:t>
      </w:r>
    </w:p>
    <w:p w14:paraId="7C36A44A">
      <w:pPr>
        <w:autoSpaceDE w:val="0"/>
        <w:autoSpaceDN w:val="0"/>
        <w:adjustRightInd w:val="0"/>
        <w:snapToGrid w:val="0"/>
        <w:spacing w:line="400" w:lineRule="atLeast"/>
        <w:ind w:firstLine="446" w:firstLineChars="200"/>
        <w:rPr>
          <w:rFonts w:ascii="宋体"/>
          <w:color w:val="auto"/>
          <w:sz w:val="22"/>
          <w:szCs w:val="22"/>
        </w:rPr>
      </w:pPr>
      <w:r>
        <w:rPr>
          <w:rFonts w:hint="eastAsia" w:ascii="宋体"/>
          <w:color w:val="auto"/>
          <w:sz w:val="22"/>
          <w:szCs w:val="22"/>
        </w:rPr>
        <w:t>1.磋商（响应）文件</w:t>
      </w:r>
    </w:p>
    <w:p w14:paraId="186310E5">
      <w:pPr>
        <w:autoSpaceDE w:val="0"/>
        <w:autoSpaceDN w:val="0"/>
        <w:adjustRightInd w:val="0"/>
        <w:snapToGrid w:val="0"/>
        <w:spacing w:line="400" w:lineRule="atLeast"/>
        <w:ind w:firstLine="446" w:firstLineChars="200"/>
        <w:rPr>
          <w:rFonts w:ascii="宋体"/>
          <w:color w:val="auto"/>
          <w:sz w:val="22"/>
          <w:szCs w:val="22"/>
        </w:rPr>
      </w:pPr>
      <w:r>
        <w:rPr>
          <w:rFonts w:hint="eastAsia" w:ascii="宋体"/>
          <w:color w:val="auto"/>
          <w:sz w:val="22"/>
          <w:szCs w:val="22"/>
        </w:rPr>
        <w:t>1.1 供应商应仔细阅读竞争性磋商文件中的所有内容，按照竞争性磋商文件要求，详细编制磋商（响应）文件。并对竞争性磋商文件的要求做出实质上响应。实质上响应的报价应该是与竞争性磋商文件要求没有重大偏离的磋商（响应）文件。未实质上响应的磋商（响应）文件将被拒绝，但允许供应商在基本满足采购要求的前提下出现的微小差异。</w:t>
      </w:r>
    </w:p>
    <w:p w14:paraId="316B333A">
      <w:pPr>
        <w:autoSpaceDE w:val="0"/>
        <w:autoSpaceDN w:val="0"/>
        <w:adjustRightInd w:val="0"/>
        <w:snapToGrid w:val="0"/>
        <w:spacing w:line="400" w:lineRule="atLeast"/>
        <w:ind w:firstLine="446" w:firstLineChars="200"/>
        <w:rPr>
          <w:rFonts w:ascii="宋体"/>
          <w:color w:val="auto"/>
          <w:sz w:val="22"/>
          <w:szCs w:val="22"/>
        </w:rPr>
      </w:pPr>
      <w:r>
        <w:rPr>
          <w:rFonts w:hint="eastAsia" w:ascii="宋体"/>
          <w:color w:val="auto"/>
          <w:sz w:val="22"/>
          <w:szCs w:val="22"/>
        </w:rPr>
        <w:t>1.2 供应商必须按竞争性磋商文件的要求提供相关技术参数、资料，包括采用的计量单位，并保证磋商（响应）文件的正确性和真实性。磋商（响应）文件全部内容应保持一致，否则可能导致不利于其投标的评定甚至被拒绝。技术和商务如有偏离均应填写偏离表。</w:t>
      </w:r>
    </w:p>
    <w:p w14:paraId="1C9E8775">
      <w:pPr>
        <w:autoSpaceDE w:val="0"/>
        <w:autoSpaceDN w:val="0"/>
        <w:adjustRightInd w:val="0"/>
        <w:snapToGrid w:val="0"/>
        <w:spacing w:line="400" w:lineRule="atLeast"/>
        <w:ind w:firstLine="446" w:firstLineChars="200"/>
        <w:rPr>
          <w:rFonts w:ascii="宋体"/>
          <w:color w:val="auto"/>
          <w:sz w:val="22"/>
          <w:szCs w:val="22"/>
        </w:rPr>
      </w:pPr>
      <w:r>
        <w:rPr>
          <w:rFonts w:hint="eastAsia" w:ascii="宋体"/>
          <w:color w:val="auto"/>
          <w:sz w:val="22"/>
          <w:szCs w:val="22"/>
        </w:rPr>
        <w:t>1.3 供应商应仔细阅读竞争性磋商文件中的所有内容，按照竞争性磋商文件要求，详细编制磋商（响应）文件，所有文件资料必须是针对本次投标。不按竞争性磋商文件的要求提供的磋商（响应）文件可能导致被拒绝。</w:t>
      </w:r>
    </w:p>
    <w:p w14:paraId="11E8C907">
      <w:pPr>
        <w:autoSpaceDE w:val="0"/>
        <w:autoSpaceDN w:val="0"/>
        <w:adjustRightInd w:val="0"/>
        <w:snapToGrid w:val="0"/>
        <w:spacing w:line="400" w:lineRule="atLeast"/>
        <w:ind w:firstLine="446" w:firstLineChars="200"/>
        <w:rPr>
          <w:rFonts w:ascii="宋体"/>
          <w:color w:val="auto"/>
          <w:sz w:val="22"/>
          <w:lang w:val="zh-CN"/>
        </w:rPr>
      </w:pPr>
      <w:r>
        <w:rPr>
          <w:rFonts w:hint="eastAsia" w:ascii="宋体"/>
          <w:color w:val="auto"/>
          <w:sz w:val="22"/>
          <w:szCs w:val="22"/>
        </w:rPr>
        <w:t>2.磋商（响应）文件的组成</w:t>
      </w:r>
    </w:p>
    <w:p w14:paraId="607CE610">
      <w:pPr>
        <w:autoSpaceDE w:val="0"/>
        <w:autoSpaceDN w:val="0"/>
        <w:adjustRightInd w:val="0"/>
        <w:spacing w:line="400" w:lineRule="atLeast"/>
        <w:ind w:firstLine="446" w:firstLineChars="200"/>
        <w:rPr>
          <w:rFonts w:ascii="宋体" w:cs="仿宋_GB2312"/>
          <w:color w:val="auto"/>
          <w:sz w:val="22"/>
          <w:szCs w:val="22"/>
          <w:u w:val="single"/>
          <w:lang w:val="zh-CN"/>
        </w:rPr>
      </w:pPr>
      <w:r>
        <w:rPr>
          <w:rFonts w:hint="eastAsia" w:ascii="宋体" w:cs="仿宋_GB2312"/>
          <w:b/>
          <w:bCs/>
          <w:color w:val="auto"/>
          <w:sz w:val="22"/>
          <w:szCs w:val="22"/>
          <w:u w:val="single"/>
          <w:lang w:val="zh-CN"/>
        </w:rPr>
        <w:t>磋商响应文件由资格文件、报价文件、商务技术文件三部分组成</w:t>
      </w:r>
      <w:r>
        <w:rPr>
          <w:rFonts w:hint="eastAsia" w:ascii="宋体" w:cs="仿宋_GB2312"/>
          <w:b/>
          <w:bCs/>
          <w:color w:val="auto"/>
          <w:sz w:val="22"/>
          <w:szCs w:val="22"/>
          <w:lang w:val="zh-CN"/>
        </w:rPr>
        <w:t>。</w:t>
      </w:r>
    </w:p>
    <w:p w14:paraId="768C4E8F">
      <w:pPr>
        <w:autoSpaceDE w:val="0"/>
        <w:autoSpaceDN w:val="0"/>
        <w:adjustRightInd w:val="0"/>
        <w:spacing w:line="400" w:lineRule="atLeast"/>
        <w:ind w:firstLine="446" w:firstLineChars="200"/>
        <w:rPr>
          <w:rFonts w:ascii="宋体" w:cs="仿宋_GB2312"/>
          <w:color w:val="auto"/>
          <w:sz w:val="22"/>
          <w:szCs w:val="22"/>
          <w:lang w:val="zh-CN"/>
        </w:rPr>
      </w:pPr>
      <w:r>
        <w:rPr>
          <w:rFonts w:hint="eastAsia" w:ascii="宋体" w:cs="仿宋_GB2312"/>
          <w:color w:val="auto"/>
          <w:sz w:val="22"/>
          <w:szCs w:val="22"/>
          <w:lang w:val="zh-CN"/>
        </w:rPr>
        <w:t>2.1</w:t>
      </w:r>
      <w:r>
        <w:rPr>
          <w:rFonts w:hint="eastAsia" w:ascii="宋体" w:cs="仿宋_GB2312"/>
          <w:color w:val="auto"/>
          <w:sz w:val="22"/>
          <w:szCs w:val="22"/>
        </w:rPr>
        <w:t xml:space="preserve"> </w:t>
      </w:r>
      <w:r>
        <w:rPr>
          <w:rFonts w:hint="eastAsia" w:ascii="宋体" w:cs="仿宋_GB2312"/>
          <w:color w:val="auto"/>
          <w:sz w:val="22"/>
          <w:szCs w:val="22"/>
          <w:lang w:val="zh-CN"/>
        </w:rPr>
        <w:t>资格文件部分组成</w:t>
      </w:r>
    </w:p>
    <w:tbl>
      <w:tblPr>
        <w:tblStyle w:val="36"/>
        <w:tblW w:w="851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3"/>
        <w:gridCol w:w="7737"/>
      </w:tblGrid>
      <w:tr w14:paraId="5C28D2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73" w:type="dxa"/>
            <w:noWrap w:val="0"/>
            <w:vAlign w:val="center"/>
          </w:tcPr>
          <w:p w14:paraId="407BD393">
            <w:pPr>
              <w:autoSpaceDE w:val="0"/>
              <w:autoSpaceDN w:val="0"/>
              <w:adjustRightInd w:val="0"/>
              <w:spacing w:line="430" w:lineRule="atLeast"/>
              <w:textAlignment w:val="bottom"/>
              <w:rPr>
                <w:rFonts w:hint="eastAsia" w:ascii="宋体" w:hAnsi="Times New Roman" w:eastAsia="宋体" w:cs="宋体"/>
                <w:color w:val="auto"/>
                <w:sz w:val="22"/>
                <w:highlight w:val="none"/>
                <w:lang w:val="zh-CN"/>
              </w:rPr>
            </w:pPr>
            <w:r>
              <w:rPr>
                <w:rFonts w:hint="eastAsia" w:ascii="宋体" w:hAnsi="Times New Roman" w:eastAsia="宋体" w:cs="宋体"/>
                <w:color w:val="auto"/>
                <w:sz w:val="22"/>
                <w:highlight w:val="none"/>
                <w:lang w:val="zh-CN"/>
              </w:rPr>
              <w:t>序号</w:t>
            </w:r>
          </w:p>
        </w:tc>
        <w:tc>
          <w:tcPr>
            <w:tcW w:w="7737" w:type="dxa"/>
            <w:noWrap w:val="0"/>
            <w:vAlign w:val="center"/>
          </w:tcPr>
          <w:p w14:paraId="3AEA7A74">
            <w:pPr>
              <w:autoSpaceDE w:val="0"/>
              <w:autoSpaceDN w:val="0"/>
              <w:adjustRightInd w:val="0"/>
              <w:spacing w:line="430" w:lineRule="atLeast"/>
              <w:textAlignment w:val="bottom"/>
              <w:rPr>
                <w:rFonts w:hint="eastAsia" w:ascii="宋体" w:hAnsi="Times New Roman" w:eastAsia="宋体" w:cs="宋体"/>
                <w:color w:val="auto"/>
                <w:sz w:val="22"/>
                <w:highlight w:val="none"/>
                <w:lang w:val="zh-CN"/>
              </w:rPr>
            </w:pPr>
            <w:r>
              <w:rPr>
                <w:rFonts w:hint="eastAsia" w:ascii="宋体" w:hAnsi="Times New Roman" w:eastAsia="宋体" w:cs="宋体"/>
                <w:color w:val="auto"/>
                <w:sz w:val="22"/>
                <w:highlight w:val="none"/>
                <w:lang w:val="zh-CN"/>
              </w:rPr>
              <w:t>内容</w:t>
            </w:r>
            <w:r>
              <w:rPr>
                <w:rFonts w:hint="eastAsia" w:ascii="宋体" w:cs="宋体"/>
                <w:b/>
                <w:bCs/>
                <w:color w:val="auto"/>
                <w:sz w:val="22"/>
                <w:lang w:val="zh-CN"/>
              </w:rPr>
              <w:t>（▲</w:t>
            </w:r>
            <w:r>
              <w:rPr>
                <w:rFonts w:hint="eastAsia" w:ascii="宋体" w:cs="宋体"/>
                <w:b/>
                <w:bCs/>
                <w:color w:val="auto"/>
                <w:sz w:val="22"/>
              </w:rPr>
              <w:t>下表所列项</w:t>
            </w:r>
            <w:r>
              <w:rPr>
                <w:rFonts w:hint="eastAsia" w:ascii="宋体" w:cs="宋体"/>
                <w:b/>
                <w:bCs/>
                <w:color w:val="auto"/>
                <w:sz w:val="22"/>
                <w:lang w:val="zh-CN"/>
              </w:rPr>
              <w:t>供应商必须提供，否则不能通过符合性审查的，责任自负）</w:t>
            </w:r>
          </w:p>
        </w:tc>
      </w:tr>
      <w:tr w14:paraId="621DEC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center"/>
          </w:tcPr>
          <w:p w14:paraId="47A23C0D">
            <w:pPr>
              <w:autoSpaceDE w:val="0"/>
              <w:autoSpaceDN w:val="0"/>
              <w:adjustRightInd w:val="0"/>
              <w:spacing w:line="430" w:lineRule="atLeast"/>
              <w:textAlignment w:val="bottom"/>
              <w:rPr>
                <w:rFonts w:hint="eastAsia" w:ascii="宋体" w:hAnsi="Times New Roman" w:eastAsia="宋体" w:cs="宋体"/>
                <w:color w:val="auto"/>
                <w:sz w:val="22"/>
                <w:highlight w:val="none"/>
                <w:lang w:val="zh-CN"/>
              </w:rPr>
            </w:pPr>
            <w:r>
              <w:rPr>
                <w:rFonts w:hint="eastAsia" w:ascii="宋体" w:hAnsi="Times New Roman" w:eastAsia="宋体" w:cs="宋体"/>
                <w:color w:val="auto"/>
                <w:sz w:val="22"/>
                <w:highlight w:val="none"/>
                <w:lang w:val="zh-CN"/>
              </w:rPr>
              <w:t>1</w:t>
            </w:r>
          </w:p>
        </w:tc>
        <w:tc>
          <w:tcPr>
            <w:tcW w:w="7737" w:type="dxa"/>
            <w:noWrap w:val="0"/>
            <w:vAlign w:val="center"/>
          </w:tcPr>
          <w:p w14:paraId="6207ED6C">
            <w:pPr>
              <w:autoSpaceDE w:val="0"/>
              <w:autoSpaceDN w:val="0"/>
              <w:adjustRightInd w:val="0"/>
              <w:spacing w:line="430" w:lineRule="atLeast"/>
              <w:textAlignment w:val="bottom"/>
              <w:rPr>
                <w:rFonts w:hint="eastAsia" w:ascii="宋体" w:hAnsi="Times New Roman" w:eastAsia="宋体" w:cs="宋体"/>
                <w:color w:val="auto"/>
                <w:sz w:val="22"/>
                <w:highlight w:val="none"/>
                <w:lang w:val="zh-CN"/>
              </w:rPr>
            </w:pPr>
            <w:r>
              <w:rPr>
                <w:rFonts w:hint="eastAsia" w:ascii="宋体" w:hAnsi="Times New Roman" w:eastAsia="宋体" w:cs="宋体"/>
                <w:color w:val="auto"/>
                <w:sz w:val="22"/>
                <w:highlight w:val="none"/>
              </w:rPr>
              <w:t>投标供应商的营业执照（或事业法人登记证书或其它工商等登记证明材料）、税务登记证（如为多证合一仅需提供营业执照（或事业法人登记证书或其它工商等登记证明材料），扫描件）</w:t>
            </w:r>
          </w:p>
        </w:tc>
      </w:tr>
      <w:tr w14:paraId="530971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noWrap w:val="0"/>
            <w:vAlign w:val="center"/>
          </w:tcPr>
          <w:p w14:paraId="1A71A688">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2</w:t>
            </w:r>
          </w:p>
        </w:tc>
        <w:tc>
          <w:tcPr>
            <w:tcW w:w="7737" w:type="dxa"/>
            <w:noWrap w:val="0"/>
            <w:vAlign w:val="center"/>
          </w:tcPr>
          <w:p w14:paraId="6EA0E202">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具有履行合同所必需的设备和专业技术能力的承诺函（附件一）</w:t>
            </w:r>
          </w:p>
        </w:tc>
      </w:tr>
      <w:tr w14:paraId="4715F6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noWrap w:val="0"/>
            <w:vAlign w:val="center"/>
          </w:tcPr>
          <w:p w14:paraId="3756B2BA">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3</w:t>
            </w:r>
          </w:p>
        </w:tc>
        <w:tc>
          <w:tcPr>
            <w:tcW w:w="7737" w:type="dxa"/>
            <w:noWrap w:val="0"/>
            <w:vAlign w:val="center"/>
          </w:tcPr>
          <w:p w14:paraId="04844E11">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依法缴纳税收和社会保障资金的承诺函（附件二）</w:t>
            </w:r>
          </w:p>
        </w:tc>
      </w:tr>
      <w:tr w14:paraId="566D24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noWrap w:val="0"/>
            <w:vAlign w:val="center"/>
          </w:tcPr>
          <w:p w14:paraId="13FFA5ED">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4</w:t>
            </w:r>
          </w:p>
        </w:tc>
        <w:tc>
          <w:tcPr>
            <w:tcW w:w="7737" w:type="dxa"/>
            <w:noWrap w:val="0"/>
            <w:vAlign w:val="center"/>
          </w:tcPr>
          <w:p w14:paraId="65818919">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参加政府采购活动前3年内在经营活动中没有重大违法记录的声明函（附件三）</w:t>
            </w:r>
          </w:p>
        </w:tc>
      </w:tr>
      <w:tr w14:paraId="29EABA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center"/>
          </w:tcPr>
          <w:p w14:paraId="042DB5C4">
            <w:pPr>
              <w:autoSpaceDE w:val="0"/>
              <w:autoSpaceDN w:val="0"/>
              <w:adjustRightInd w:val="0"/>
              <w:spacing w:line="430" w:lineRule="atLeast"/>
              <w:textAlignment w:val="bottom"/>
              <w:rPr>
                <w:rFonts w:hint="eastAsia" w:ascii="宋体" w:hAnsi="Times New Roman" w:eastAsia="宋体" w:cs="宋体"/>
                <w:color w:val="auto"/>
                <w:sz w:val="22"/>
                <w:highlight w:val="none"/>
                <w:lang w:eastAsia="zh-CN"/>
              </w:rPr>
            </w:pPr>
            <w:r>
              <w:rPr>
                <w:rFonts w:hint="eastAsia" w:ascii="宋体" w:cs="宋体"/>
                <w:color w:val="auto"/>
                <w:sz w:val="22"/>
                <w:highlight w:val="none"/>
                <w:lang w:val="en-US" w:eastAsia="zh-CN"/>
              </w:rPr>
              <w:t>5</w:t>
            </w:r>
          </w:p>
        </w:tc>
        <w:tc>
          <w:tcPr>
            <w:tcW w:w="7737" w:type="dxa"/>
            <w:noWrap w:val="0"/>
            <w:vAlign w:val="center"/>
          </w:tcPr>
          <w:p w14:paraId="71EB10A5">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投标供应商“信用中国”(www.creditchina.gov.cn）；“中国政府采购网”（www.ccgp.gov.cn）信用记录查询网页截图（采购公告发布之日至响应文件递交截止时间前）</w:t>
            </w:r>
          </w:p>
        </w:tc>
      </w:tr>
      <w:tr w14:paraId="333735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3" w:type="dxa"/>
            <w:noWrap w:val="0"/>
            <w:vAlign w:val="center"/>
          </w:tcPr>
          <w:p w14:paraId="676AE32D">
            <w:pPr>
              <w:autoSpaceDE w:val="0"/>
              <w:autoSpaceDN w:val="0"/>
              <w:adjustRightInd w:val="0"/>
              <w:spacing w:line="430" w:lineRule="atLeast"/>
              <w:textAlignment w:val="bottom"/>
              <w:rPr>
                <w:rFonts w:hint="eastAsia" w:ascii="宋体" w:hAnsi="Times New Roman" w:eastAsia="宋体" w:cs="宋体"/>
                <w:color w:val="auto"/>
                <w:sz w:val="22"/>
                <w:highlight w:val="none"/>
                <w:lang w:eastAsia="zh-CN"/>
              </w:rPr>
            </w:pPr>
            <w:r>
              <w:rPr>
                <w:rFonts w:hint="eastAsia" w:ascii="宋体" w:cs="宋体"/>
                <w:color w:val="auto"/>
                <w:sz w:val="22"/>
                <w:highlight w:val="none"/>
                <w:lang w:val="en-US" w:eastAsia="zh-CN"/>
              </w:rPr>
              <w:t>6</w:t>
            </w:r>
          </w:p>
        </w:tc>
        <w:tc>
          <w:tcPr>
            <w:tcW w:w="7737" w:type="dxa"/>
            <w:noWrap w:val="0"/>
            <w:vAlign w:val="center"/>
          </w:tcPr>
          <w:p w14:paraId="641BFD8E">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供应商参与政府采购活动投标资格声明函（附件四）</w:t>
            </w:r>
          </w:p>
        </w:tc>
      </w:tr>
      <w:tr w14:paraId="5411FF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center"/>
          </w:tcPr>
          <w:p w14:paraId="644D64BF">
            <w:pPr>
              <w:autoSpaceDE w:val="0"/>
              <w:autoSpaceDN w:val="0"/>
              <w:adjustRightInd w:val="0"/>
              <w:spacing w:line="430" w:lineRule="atLeast"/>
              <w:textAlignment w:val="bottom"/>
              <w:rPr>
                <w:rFonts w:hint="eastAsia" w:ascii="宋体" w:hAnsi="Times New Roman" w:eastAsia="宋体" w:cs="宋体"/>
                <w:color w:val="auto"/>
                <w:sz w:val="22"/>
                <w:highlight w:val="none"/>
                <w:lang w:eastAsia="zh-CN"/>
              </w:rPr>
            </w:pPr>
            <w:r>
              <w:rPr>
                <w:rFonts w:hint="eastAsia" w:ascii="宋体" w:cs="宋体"/>
                <w:color w:val="auto"/>
                <w:sz w:val="22"/>
                <w:highlight w:val="none"/>
                <w:lang w:val="en-US" w:eastAsia="zh-CN"/>
              </w:rPr>
              <w:t>7</w:t>
            </w:r>
          </w:p>
        </w:tc>
        <w:tc>
          <w:tcPr>
            <w:tcW w:w="7737" w:type="dxa"/>
            <w:noWrap w:val="0"/>
            <w:vAlign w:val="center"/>
          </w:tcPr>
          <w:p w14:paraId="2F64A1B6">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与参加本次项目同一合同项下政府采购活动的其他供应商不存在单位负责人为同一人或者直接控股、管理关系的承诺函（附件五）</w:t>
            </w:r>
          </w:p>
        </w:tc>
      </w:tr>
      <w:tr w14:paraId="2F3D72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center"/>
          </w:tcPr>
          <w:p w14:paraId="1C8067E6">
            <w:pPr>
              <w:autoSpaceDE w:val="0"/>
              <w:autoSpaceDN w:val="0"/>
              <w:adjustRightInd w:val="0"/>
              <w:spacing w:line="430" w:lineRule="atLeast"/>
              <w:textAlignment w:val="bottom"/>
              <w:rPr>
                <w:rFonts w:hint="eastAsia" w:ascii="宋体" w:hAnsi="Times New Roman" w:eastAsia="宋体" w:cs="宋体"/>
                <w:color w:val="auto"/>
                <w:sz w:val="22"/>
                <w:highlight w:val="none"/>
                <w:lang w:eastAsia="zh-CN"/>
              </w:rPr>
            </w:pPr>
            <w:r>
              <w:rPr>
                <w:rFonts w:hint="eastAsia" w:ascii="宋体" w:cs="宋体"/>
                <w:color w:val="auto"/>
                <w:sz w:val="22"/>
                <w:highlight w:val="none"/>
                <w:lang w:val="en-US" w:eastAsia="zh-CN"/>
              </w:rPr>
              <w:t>8</w:t>
            </w:r>
          </w:p>
        </w:tc>
        <w:tc>
          <w:tcPr>
            <w:tcW w:w="7737" w:type="dxa"/>
            <w:noWrap w:val="0"/>
            <w:vAlign w:val="center"/>
          </w:tcPr>
          <w:p w14:paraId="667B39A4">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中小企业相关的证明材料（在政府采购活动中，监狱企业、残疾人福利性单位视同小型、微型企业。）：</w:t>
            </w:r>
          </w:p>
          <w:p w14:paraId="4D1632A6">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（1）中小企业</w:t>
            </w:r>
          </w:p>
          <w:p w14:paraId="353CE553">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中小企业声明函（见附件1）</w:t>
            </w:r>
          </w:p>
          <w:p w14:paraId="19B06321">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（2）监狱企业参加政府采购活动时，应当提供由省级以上监狱管理局、戒毒管理局(含新疆生产建设兵团)出具的属于监狱企业的证明文件（原件加盖公章）。</w:t>
            </w:r>
          </w:p>
          <w:p w14:paraId="1C553075">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（3）残疾人福利性单位声明函（见附件2）</w:t>
            </w:r>
          </w:p>
        </w:tc>
      </w:tr>
    </w:tbl>
    <w:p w14:paraId="2A4E584F">
      <w:pPr>
        <w:autoSpaceDE w:val="0"/>
        <w:autoSpaceDN w:val="0"/>
        <w:adjustRightInd w:val="0"/>
        <w:spacing w:line="400" w:lineRule="atLeast"/>
        <w:ind w:firstLine="446" w:firstLineChars="200"/>
        <w:rPr>
          <w:rFonts w:ascii="宋体" w:cs="仿宋_GB2312"/>
          <w:color w:val="auto"/>
          <w:sz w:val="22"/>
          <w:szCs w:val="22"/>
          <w:lang w:val="zh-CN"/>
        </w:rPr>
      </w:pPr>
      <w:r>
        <w:rPr>
          <w:rFonts w:hint="eastAsia" w:ascii="宋体" w:cs="仿宋_GB2312"/>
          <w:color w:val="auto"/>
          <w:sz w:val="22"/>
          <w:szCs w:val="22"/>
          <w:lang w:val="zh-CN"/>
        </w:rPr>
        <w:t>2.2</w:t>
      </w:r>
      <w:r>
        <w:rPr>
          <w:rFonts w:hint="eastAsia" w:ascii="宋体" w:cs="仿宋_GB2312"/>
          <w:color w:val="auto"/>
          <w:sz w:val="22"/>
          <w:szCs w:val="22"/>
        </w:rPr>
        <w:t xml:space="preserve"> </w:t>
      </w:r>
      <w:r>
        <w:rPr>
          <w:rFonts w:hint="eastAsia" w:ascii="宋体" w:cs="仿宋_GB2312"/>
          <w:color w:val="auto"/>
          <w:sz w:val="22"/>
          <w:szCs w:val="22"/>
          <w:lang w:val="zh-CN"/>
        </w:rPr>
        <w:t>报价文件部分组成</w:t>
      </w:r>
    </w:p>
    <w:tbl>
      <w:tblPr>
        <w:tblStyle w:val="36"/>
        <w:tblW w:w="85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4"/>
        <w:gridCol w:w="7736"/>
      </w:tblGrid>
      <w:tr w14:paraId="1200FD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84" w:type="dxa"/>
            <w:noWrap w:val="0"/>
            <w:vAlign w:val="center"/>
          </w:tcPr>
          <w:p w14:paraId="164A6490">
            <w:pPr>
              <w:autoSpaceDE w:val="0"/>
              <w:autoSpaceDN w:val="0"/>
              <w:adjustRightInd w:val="0"/>
              <w:spacing w:line="430" w:lineRule="atLeast"/>
              <w:textAlignment w:val="bottom"/>
              <w:rPr>
                <w:rFonts w:hint="eastAsia" w:ascii="宋体" w:hAnsi="Times New Roman" w:eastAsia="宋体" w:cs="宋体"/>
                <w:color w:val="auto"/>
                <w:sz w:val="22"/>
                <w:highlight w:val="none"/>
                <w:lang w:val="zh-CN"/>
              </w:rPr>
            </w:pPr>
            <w:r>
              <w:rPr>
                <w:rFonts w:hint="eastAsia" w:ascii="宋体" w:hAnsi="Times New Roman" w:eastAsia="宋体" w:cs="宋体"/>
                <w:color w:val="auto"/>
                <w:sz w:val="22"/>
                <w:highlight w:val="none"/>
                <w:lang w:val="zh-CN"/>
              </w:rPr>
              <w:t>序号</w:t>
            </w:r>
          </w:p>
        </w:tc>
        <w:tc>
          <w:tcPr>
            <w:tcW w:w="7736" w:type="dxa"/>
            <w:noWrap w:val="0"/>
            <w:vAlign w:val="center"/>
          </w:tcPr>
          <w:p w14:paraId="0F626FDE">
            <w:pPr>
              <w:autoSpaceDE w:val="0"/>
              <w:autoSpaceDN w:val="0"/>
              <w:adjustRightInd w:val="0"/>
              <w:spacing w:line="430" w:lineRule="atLeast"/>
              <w:textAlignment w:val="bottom"/>
              <w:rPr>
                <w:rFonts w:hint="eastAsia" w:ascii="宋体" w:hAnsi="Times New Roman" w:eastAsia="宋体" w:cs="宋体"/>
                <w:color w:val="auto"/>
                <w:sz w:val="22"/>
                <w:highlight w:val="none"/>
                <w:lang w:val="zh-CN"/>
              </w:rPr>
            </w:pPr>
            <w:r>
              <w:rPr>
                <w:rFonts w:hint="eastAsia" w:ascii="宋体" w:hAnsi="Times New Roman" w:eastAsia="宋体" w:cs="宋体"/>
                <w:color w:val="auto"/>
                <w:sz w:val="22"/>
                <w:highlight w:val="none"/>
                <w:lang w:val="zh-CN"/>
              </w:rPr>
              <w:t>内容</w:t>
            </w:r>
            <w:r>
              <w:rPr>
                <w:rFonts w:hint="eastAsia" w:ascii="宋体" w:hAnsi="Times New Roman" w:eastAsia="宋体" w:cs="宋体"/>
                <w:b/>
                <w:bCs/>
                <w:color w:val="auto"/>
                <w:sz w:val="22"/>
                <w:highlight w:val="none"/>
                <w:lang w:val="zh-CN"/>
              </w:rPr>
              <w:t>（▲序号</w:t>
            </w:r>
            <w:r>
              <w:rPr>
                <w:rFonts w:hint="eastAsia" w:ascii="宋体" w:hAnsi="Times New Roman" w:eastAsia="宋体" w:cs="宋体"/>
                <w:b/>
                <w:bCs/>
                <w:color w:val="auto"/>
                <w:sz w:val="22"/>
                <w:highlight w:val="none"/>
              </w:rPr>
              <w:t>1</w:t>
            </w:r>
            <w:r>
              <w:rPr>
                <w:rFonts w:hint="eastAsia" w:ascii="宋体" w:hAnsi="Times New Roman" w:eastAsia="宋体" w:cs="宋体"/>
                <w:b/>
                <w:bCs/>
                <w:color w:val="auto"/>
                <w:sz w:val="22"/>
                <w:highlight w:val="none"/>
                <w:lang w:val="zh-CN"/>
              </w:rPr>
              <w:t>-</w:t>
            </w:r>
            <w:r>
              <w:rPr>
                <w:rFonts w:hint="eastAsia" w:ascii="宋体" w:hAnsi="Times New Roman" w:eastAsia="宋体" w:cs="宋体"/>
                <w:b/>
                <w:bCs/>
                <w:color w:val="auto"/>
                <w:sz w:val="22"/>
                <w:highlight w:val="none"/>
              </w:rPr>
              <w:t>2</w:t>
            </w:r>
            <w:r>
              <w:rPr>
                <w:rFonts w:hint="eastAsia" w:ascii="宋体" w:hAnsi="Times New Roman" w:eastAsia="宋体" w:cs="宋体"/>
                <w:b/>
                <w:bCs/>
                <w:color w:val="auto"/>
                <w:sz w:val="22"/>
                <w:highlight w:val="none"/>
                <w:lang w:val="zh-CN"/>
              </w:rPr>
              <w:t>项投标供应商必须提供，否则不能通过符合性审查的，责任自负。）</w:t>
            </w:r>
          </w:p>
        </w:tc>
      </w:tr>
      <w:tr w14:paraId="32B968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84" w:type="dxa"/>
            <w:noWrap w:val="0"/>
            <w:vAlign w:val="center"/>
          </w:tcPr>
          <w:p w14:paraId="5C11EE84">
            <w:pPr>
              <w:autoSpaceDE w:val="0"/>
              <w:autoSpaceDN w:val="0"/>
              <w:adjustRightInd w:val="0"/>
              <w:spacing w:line="430" w:lineRule="atLeast"/>
              <w:textAlignment w:val="bottom"/>
              <w:rPr>
                <w:rFonts w:hint="eastAsia" w:ascii="宋体" w:hAnsi="Times New Roman" w:eastAsia="宋体" w:cs="宋体"/>
                <w:color w:val="auto"/>
                <w:sz w:val="22"/>
                <w:highlight w:val="none"/>
                <w:lang w:val="zh-CN"/>
              </w:rPr>
            </w:pPr>
            <w:r>
              <w:rPr>
                <w:rFonts w:hint="eastAsia" w:ascii="宋体" w:hAnsi="Times New Roman" w:eastAsia="宋体" w:cs="宋体"/>
                <w:color w:val="auto"/>
                <w:sz w:val="22"/>
                <w:highlight w:val="none"/>
              </w:rPr>
              <w:t>1</w:t>
            </w:r>
          </w:p>
        </w:tc>
        <w:tc>
          <w:tcPr>
            <w:tcW w:w="7736" w:type="dxa"/>
            <w:noWrap w:val="0"/>
            <w:vAlign w:val="center"/>
          </w:tcPr>
          <w:p w14:paraId="3E2A3A35">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开标（报价）一览表（附件六）</w:t>
            </w:r>
          </w:p>
        </w:tc>
      </w:tr>
      <w:tr w14:paraId="39E20A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84" w:type="dxa"/>
            <w:noWrap w:val="0"/>
            <w:vAlign w:val="center"/>
          </w:tcPr>
          <w:p w14:paraId="6B9BD802">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2</w:t>
            </w:r>
          </w:p>
        </w:tc>
        <w:tc>
          <w:tcPr>
            <w:tcW w:w="7736" w:type="dxa"/>
            <w:noWrap w:val="0"/>
            <w:vAlign w:val="center"/>
          </w:tcPr>
          <w:p w14:paraId="4A859E79">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分项报价明细表（附件七）</w:t>
            </w:r>
          </w:p>
        </w:tc>
      </w:tr>
      <w:tr w14:paraId="45F065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84" w:type="dxa"/>
            <w:noWrap w:val="0"/>
            <w:vAlign w:val="center"/>
          </w:tcPr>
          <w:p w14:paraId="67F960FA">
            <w:pPr>
              <w:autoSpaceDE w:val="0"/>
              <w:autoSpaceDN w:val="0"/>
              <w:adjustRightInd w:val="0"/>
              <w:spacing w:line="430" w:lineRule="atLeast"/>
              <w:textAlignment w:val="bottom"/>
              <w:rPr>
                <w:rFonts w:hint="eastAsia" w:ascii="宋体" w:hAnsi="Times New Roman" w:eastAsia="宋体" w:cs="宋体"/>
                <w:color w:val="auto"/>
                <w:sz w:val="22"/>
                <w:highlight w:val="none"/>
                <w:lang w:eastAsia="zh-CN"/>
              </w:rPr>
            </w:pPr>
            <w:bookmarkStart w:id="21" w:name="_Toc132122410"/>
            <w:bookmarkStart w:id="22" w:name="_Toc132122113"/>
            <w:r>
              <w:rPr>
                <w:rFonts w:hint="eastAsia" w:ascii="宋体" w:hAnsi="Times New Roman" w:eastAsia="宋体" w:cs="宋体"/>
                <w:color w:val="auto"/>
                <w:sz w:val="22"/>
                <w:highlight w:val="none"/>
                <w:lang w:val="en-US" w:eastAsia="zh-CN"/>
              </w:rPr>
              <w:t>3</w:t>
            </w:r>
          </w:p>
        </w:tc>
        <w:tc>
          <w:tcPr>
            <w:tcW w:w="7736" w:type="dxa"/>
            <w:noWrap w:val="0"/>
            <w:vAlign w:val="center"/>
          </w:tcPr>
          <w:p w14:paraId="5975D989">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其它供应商须说明的资料（如有则提供）</w:t>
            </w:r>
          </w:p>
        </w:tc>
      </w:tr>
    </w:tbl>
    <w:p w14:paraId="6AD27591">
      <w:pPr>
        <w:autoSpaceDE w:val="0"/>
        <w:autoSpaceDN w:val="0"/>
        <w:adjustRightInd w:val="0"/>
        <w:spacing w:line="400" w:lineRule="atLeast"/>
        <w:ind w:firstLine="446" w:firstLineChars="200"/>
        <w:rPr>
          <w:rFonts w:ascii="宋体" w:cs="仿宋_GB2312"/>
          <w:color w:val="auto"/>
          <w:sz w:val="22"/>
          <w:szCs w:val="22"/>
          <w:lang w:val="zh-CN"/>
        </w:rPr>
      </w:pPr>
      <w:r>
        <w:rPr>
          <w:rFonts w:hint="eastAsia" w:ascii="宋体" w:cs="仿宋_GB2312"/>
          <w:color w:val="auto"/>
          <w:sz w:val="22"/>
          <w:szCs w:val="22"/>
          <w:lang w:val="zh-CN"/>
        </w:rPr>
        <w:t>2.3</w:t>
      </w:r>
      <w:r>
        <w:rPr>
          <w:rFonts w:hint="eastAsia" w:ascii="宋体" w:cs="仿宋_GB2312"/>
          <w:color w:val="auto"/>
          <w:sz w:val="22"/>
          <w:szCs w:val="22"/>
        </w:rPr>
        <w:t xml:space="preserve"> </w:t>
      </w:r>
      <w:r>
        <w:rPr>
          <w:rFonts w:hint="eastAsia" w:ascii="宋体" w:cs="仿宋_GB2312"/>
          <w:color w:val="auto"/>
          <w:sz w:val="22"/>
          <w:szCs w:val="22"/>
          <w:lang w:val="zh-CN"/>
        </w:rPr>
        <w:t>商务技术文件部分组成</w:t>
      </w:r>
    </w:p>
    <w:tbl>
      <w:tblPr>
        <w:tblStyle w:val="36"/>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3"/>
        <w:gridCol w:w="7747"/>
      </w:tblGrid>
      <w:tr w14:paraId="7C4DEC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noWrap w:val="0"/>
            <w:vAlign w:val="center"/>
          </w:tcPr>
          <w:p w14:paraId="0EFD05A7">
            <w:pPr>
              <w:autoSpaceDE w:val="0"/>
              <w:autoSpaceDN w:val="0"/>
              <w:adjustRightInd w:val="0"/>
              <w:spacing w:line="430" w:lineRule="atLeast"/>
              <w:textAlignment w:val="bottom"/>
              <w:rPr>
                <w:rFonts w:hint="eastAsia" w:ascii="宋体" w:hAnsi="Times New Roman" w:eastAsia="宋体" w:cs="宋体"/>
                <w:color w:val="auto"/>
                <w:sz w:val="22"/>
                <w:highlight w:val="none"/>
                <w:lang w:val="zh-CN"/>
              </w:rPr>
            </w:pPr>
            <w:r>
              <w:rPr>
                <w:rFonts w:hint="eastAsia" w:ascii="宋体" w:hAnsi="Times New Roman" w:eastAsia="宋体" w:cs="宋体"/>
                <w:color w:val="auto"/>
                <w:sz w:val="22"/>
                <w:highlight w:val="none"/>
                <w:lang w:val="zh-CN"/>
              </w:rPr>
              <w:t>序号</w:t>
            </w:r>
          </w:p>
        </w:tc>
        <w:tc>
          <w:tcPr>
            <w:tcW w:w="7747" w:type="dxa"/>
            <w:noWrap w:val="0"/>
            <w:vAlign w:val="center"/>
          </w:tcPr>
          <w:p w14:paraId="0E7269E2">
            <w:pPr>
              <w:autoSpaceDE w:val="0"/>
              <w:autoSpaceDN w:val="0"/>
              <w:adjustRightInd w:val="0"/>
              <w:spacing w:line="430" w:lineRule="atLeast"/>
              <w:textAlignment w:val="bottom"/>
              <w:rPr>
                <w:rFonts w:hint="eastAsia" w:ascii="宋体" w:hAnsi="Times New Roman" w:eastAsia="宋体" w:cs="宋体"/>
                <w:color w:val="auto"/>
                <w:sz w:val="22"/>
                <w:highlight w:val="none"/>
                <w:lang w:val="zh-CN"/>
              </w:rPr>
            </w:pPr>
            <w:r>
              <w:rPr>
                <w:rFonts w:hint="eastAsia" w:ascii="宋体" w:hAnsi="Times New Roman" w:eastAsia="宋体" w:cs="宋体"/>
                <w:color w:val="auto"/>
                <w:sz w:val="22"/>
                <w:highlight w:val="none"/>
                <w:lang w:val="zh-CN"/>
              </w:rPr>
              <w:t>内容</w:t>
            </w:r>
            <w:r>
              <w:rPr>
                <w:rFonts w:hint="eastAsia" w:ascii="宋体" w:cs="宋体"/>
                <w:color w:val="auto"/>
                <w:sz w:val="22"/>
                <w:lang w:val="zh-CN"/>
              </w:rPr>
              <w:t>（</w:t>
            </w:r>
            <w:r>
              <w:rPr>
                <w:rFonts w:hint="eastAsia" w:ascii="宋体" w:cs="宋体"/>
                <w:b/>
                <w:bCs/>
                <w:color w:val="auto"/>
                <w:sz w:val="22"/>
                <w:lang w:val="zh-CN"/>
              </w:rPr>
              <w:t>▲</w:t>
            </w:r>
            <w:r>
              <w:rPr>
                <w:rFonts w:hint="eastAsia" w:ascii="宋体" w:cs="宋体"/>
                <w:b/>
                <w:bCs/>
                <w:color w:val="auto"/>
                <w:sz w:val="22"/>
              </w:rPr>
              <w:t>下表1-</w:t>
            </w:r>
            <w:r>
              <w:rPr>
                <w:rFonts w:hint="eastAsia" w:ascii="宋体" w:cs="宋体"/>
                <w:b/>
                <w:bCs/>
                <w:color w:val="auto"/>
                <w:sz w:val="22"/>
                <w:lang w:val="en-US" w:eastAsia="zh-CN"/>
              </w:rPr>
              <w:t>4</w:t>
            </w:r>
            <w:r>
              <w:rPr>
                <w:rFonts w:hint="eastAsia" w:ascii="宋体" w:cs="宋体"/>
                <w:b/>
                <w:bCs/>
                <w:color w:val="auto"/>
                <w:sz w:val="22"/>
                <w:lang w:val="zh-CN"/>
              </w:rPr>
              <w:t>项供应商必须提供，否则不能通过符合性审查的，责任自负）</w:t>
            </w:r>
          </w:p>
        </w:tc>
      </w:tr>
      <w:tr w14:paraId="74AAD4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noWrap w:val="0"/>
            <w:vAlign w:val="center"/>
          </w:tcPr>
          <w:p w14:paraId="5DAADEF3">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1</w:t>
            </w:r>
          </w:p>
        </w:tc>
        <w:tc>
          <w:tcPr>
            <w:tcW w:w="7747" w:type="dxa"/>
            <w:noWrap w:val="0"/>
            <w:vAlign w:val="center"/>
          </w:tcPr>
          <w:p w14:paraId="43775992">
            <w:pPr>
              <w:autoSpaceDE w:val="0"/>
              <w:autoSpaceDN w:val="0"/>
              <w:adjustRightInd w:val="0"/>
              <w:spacing w:line="430" w:lineRule="atLeast"/>
              <w:textAlignment w:val="bottom"/>
              <w:rPr>
                <w:rFonts w:hint="eastAsia" w:ascii="宋体" w:hAnsi="Times New Roman" w:eastAsia="宋体" w:cs="宋体"/>
                <w:b/>
                <w:bCs/>
                <w:color w:val="auto"/>
                <w:sz w:val="22"/>
                <w:highlight w:val="none"/>
                <w:lang w:val="zh-CN"/>
              </w:rPr>
            </w:pPr>
            <w:r>
              <w:rPr>
                <w:rFonts w:hint="eastAsia" w:ascii="宋体" w:hAnsi="Times New Roman" w:eastAsia="宋体" w:cs="宋体"/>
                <w:b/>
                <w:bCs/>
                <w:color w:val="auto"/>
                <w:sz w:val="22"/>
                <w:highlight w:val="none"/>
              </w:rPr>
              <w:t>投标函（附件八）</w:t>
            </w:r>
          </w:p>
        </w:tc>
      </w:tr>
      <w:tr w14:paraId="213F5A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noWrap w:val="0"/>
            <w:vAlign w:val="center"/>
          </w:tcPr>
          <w:p w14:paraId="28FA7623">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2</w:t>
            </w:r>
          </w:p>
        </w:tc>
        <w:tc>
          <w:tcPr>
            <w:tcW w:w="7747" w:type="dxa"/>
            <w:noWrap w:val="0"/>
            <w:vAlign w:val="center"/>
          </w:tcPr>
          <w:p w14:paraId="668C4513">
            <w:pPr>
              <w:autoSpaceDE w:val="0"/>
              <w:autoSpaceDN w:val="0"/>
              <w:adjustRightInd w:val="0"/>
              <w:spacing w:line="430" w:lineRule="atLeast"/>
              <w:textAlignment w:val="bottom"/>
              <w:rPr>
                <w:rFonts w:hint="eastAsia" w:ascii="宋体" w:hAnsi="Times New Roman" w:eastAsia="宋体" w:cs="宋体"/>
                <w:b/>
                <w:bCs/>
                <w:color w:val="auto"/>
                <w:sz w:val="22"/>
                <w:highlight w:val="none"/>
              </w:rPr>
            </w:pPr>
            <w:r>
              <w:rPr>
                <w:rFonts w:hint="eastAsia" w:ascii="宋体" w:hAnsi="Times New Roman" w:eastAsia="宋体" w:cs="宋体"/>
                <w:b/>
                <w:bCs/>
                <w:color w:val="auto"/>
                <w:sz w:val="22"/>
                <w:highlight w:val="none"/>
              </w:rPr>
              <w:t>供应商法定代表人授权书（附件九）</w:t>
            </w:r>
          </w:p>
        </w:tc>
      </w:tr>
      <w:tr w14:paraId="0B8AE5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noWrap w:val="0"/>
            <w:vAlign w:val="center"/>
          </w:tcPr>
          <w:p w14:paraId="58A8ABBD">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3</w:t>
            </w:r>
          </w:p>
        </w:tc>
        <w:tc>
          <w:tcPr>
            <w:tcW w:w="7747" w:type="dxa"/>
            <w:noWrap w:val="0"/>
            <w:vAlign w:val="center"/>
          </w:tcPr>
          <w:p w14:paraId="241827AE">
            <w:pPr>
              <w:autoSpaceDE w:val="0"/>
              <w:autoSpaceDN w:val="0"/>
              <w:adjustRightInd w:val="0"/>
              <w:spacing w:line="430" w:lineRule="atLeast"/>
              <w:textAlignment w:val="bottom"/>
              <w:rPr>
                <w:rFonts w:hint="eastAsia" w:ascii="宋体" w:hAnsi="Times New Roman" w:eastAsia="宋体" w:cs="宋体"/>
                <w:b/>
                <w:bCs/>
                <w:color w:val="auto"/>
                <w:sz w:val="22"/>
                <w:highlight w:val="none"/>
              </w:rPr>
            </w:pPr>
            <w:r>
              <w:rPr>
                <w:rFonts w:hint="eastAsia" w:ascii="宋体" w:hAnsi="Times New Roman" w:eastAsia="宋体" w:cs="宋体"/>
                <w:b/>
                <w:bCs/>
                <w:color w:val="auto"/>
                <w:sz w:val="22"/>
                <w:highlight w:val="none"/>
              </w:rPr>
              <w:t>法定代表人诚信投标承诺书（附件十）</w:t>
            </w:r>
          </w:p>
        </w:tc>
      </w:tr>
      <w:tr w14:paraId="3658EB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noWrap w:val="0"/>
            <w:vAlign w:val="center"/>
          </w:tcPr>
          <w:p w14:paraId="2CC20902">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4</w:t>
            </w:r>
          </w:p>
        </w:tc>
        <w:tc>
          <w:tcPr>
            <w:tcW w:w="7747" w:type="dxa"/>
            <w:noWrap w:val="0"/>
            <w:vAlign w:val="center"/>
          </w:tcPr>
          <w:p w14:paraId="7C2ADFE6">
            <w:pPr>
              <w:autoSpaceDE w:val="0"/>
              <w:autoSpaceDN w:val="0"/>
              <w:adjustRightInd w:val="0"/>
              <w:spacing w:line="430" w:lineRule="atLeast"/>
              <w:textAlignment w:val="bottom"/>
              <w:rPr>
                <w:rFonts w:hint="eastAsia" w:ascii="宋体" w:hAnsi="Times New Roman" w:eastAsia="宋体" w:cs="宋体"/>
                <w:b/>
                <w:bCs/>
                <w:color w:val="auto"/>
                <w:sz w:val="22"/>
                <w:highlight w:val="none"/>
              </w:rPr>
            </w:pPr>
            <w:r>
              <w:rPr>
                <w:rFonts w:hint="eastAsia" w:ascii="宋体" w:hAnsi="Times New Roman" w:eastAsia="宋体" w:cs="宋体"/>
                <w:b/>
                <w:bCs/>
                <w:color w:val="auto"/>
                <w:sz w:val="22"/>
                <w:highlight w:val="none"/>
              </w:rPr>
              <w:t>偏离表（附件十一 ）</w:t>
            </w:r>
          </w:p>
        </w:tc>
      </w:tr>
      <w:tr w14:paraId="0FD7D9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noWrap w:val="0"/>
            <w:vAlign w:val="center"/>
          </w:tcPr>
          <w:p w14:paraId="6F25C855">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5</w:t>
            </w:r>
          </w:p>
        </w:tc>
        <w:tc>
          <w:tcPr>
            <w:tcW w:w="7747" w:type="dxa"/>
            <w:noWrap w:val="0"/>
            <w:vAlign w:val="center"/>
          </w:tcPr>
          <w:p w14:paraId="087F4463">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项目负责人资格情况表（附件十二）</w:t>
            </w:r>
          </w:p>
        </w:tc>
      </w:tr>
      <w:tr w14:paraId="43E9FE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noWrap w:val="0"/>
            <w:vAlign w:val="center"/>
          </w:tcPr>
          <w:p w14:paraId="7DF8AF71">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6</w:t>
            </w:r>
          </w:p>
        </w:tc>
        <w:tc>
          <w:tcPr>
            <w:tcW w:w="7747" w:type="dxa"/>
            <w:noWrap w:val="0"/>
            <w:vAlign w:val="center"/>
          </w:tcPr>
          <w:p w14:paraId="6914CAA8">
            <w:pPr>
              <w:autoSpaceDE w:val="0"/>
              <w:autoSpaceDN w:val="0"/>
              <w:adjustRightInd w:val="0"/>
              <w:spacing w:line="430" w:lineRule="atLeast"/>
              <w:textAlignment w:val="bottom"/>
              <w:rPr>
                <w:rFonts w:hint="eastAsia" w:ascii="宋体" w:hAnsi="Times New Roman" w:eastAsia="宋体" w:cs="宋体"/>
                <w:color w:val="auto"/>
                <w:sz w:val="22"/>
                <w:highlight w:val="none"/>
                <w:lang w:val="zh-CN"/>
              </w:rPr>
            </w:pPr>
            <w:r>
              <w:rPr>
                <w:rFonts w:hint="eastAsia" w:ascii="宋体" w:hAnsi="Times New Roman" w:eastAsia="宋体" w:cs="宋体"/>
                <w:color w:val="auto"/>
                <w:sz w:val="22"/>
                <w:highlight w:val="none"/>
              </w:rPr>
              <w:t>项目组人员一览表（附件十三）</w:t>
            </w:r>
          </w:p>
        </w:tc>
      </w:tr>
      <w:tr w14:paraId="7686B0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noWrap w:val="0"/>
            <w:vAlign w:val="center"/>
          </w:tcPr>
          <w:p w14:paraId="52B146B8">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7</w:t>
            </w:r>
          </w:p>
        </w:tc>
        <w:tc>
          <w:tcPr>
            <w:tcW w:w="7747" w:type="dxa"/>
            <w:noWrap w:val="0"/>
            <w:vAlign w:val="center"/>
          </w:tcPr>
          <w:p w14:paraId="5215C2B1">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技术服务方案（针对本次项目提供的详细技术服务方案）</w:t>
            </w:r>
          </w:p>
        </w:tc>
      </w:tr>
      <w:tr w14:paraId="0134F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noWrap w:val="0"/>
            <w:vAlign w:val="center"/>
          </w:tcPr>
          <w:p w14:paraId="1961841C">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8</w:t>
            </w:r>
          </w:p>
        </w:tc>
        <w:tc>
          <w:tcPr>
            <w:tcW w:w="7747" w:type="dxa"/>
            <w:noWrap w:val="0"/>
            <w:vAlign w:val="top"/>
          </w:tcPr>
          <w:p w14:paraId="0A967AD8">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供应商质量体系认证证书、供应商环境体系认证证书、供应商职业健康体系认证证书（（如有则提供）</w:t>
            </w:r>
          </w:p>
        </w:tc>
      </w:tr>
      <w:tr w14:paraId="59629D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noWrap w:val="0"/>
            <w:vAlign w:val="center"/>
          </w:tcPr>
          <w:p w14:paraId="4E7D1134">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9</w:t>
            </w:r>
          </w:p>
        </w:tc>
        <w:tc>
          <w:tcPr>
            <w:tcW w:w="7747" w:type="dxa"/>
            <w:noWrap w:val="0"/>
            <w:vAlign w:val="center"/>
          </w:tcPr>
          <w:p w14:paraId="6953F87B">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供应商资信等级证明等（如有则提供）；</w:t>
            </w:r>
          </w:p>
        </w:tc>
      </w:tr>
      <w:tr w14:paraId="1A4659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noWrap w:val="0"/>
            <w:vAlign w:val="center"/>
          </w:tcPr>
          <w:p w14:paraId="00208EF2">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10</w:t>
            </w:r>
          </w:p>
        </w:tc>
        <w:tc>
          <w:tcPr>
            <w:tcW w:w="7747" w:type="dxa"/>
            <w:noWrap w:val="0"/>
            <w:vAlign w:val="center"/>
          </w:tcPr>
          <w:p w14:paraId="7441972A">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供应商曾经获得的政府部门或行业协会颁发的荣誉证书（如有则提供）；</w:t>
            </w:r>
          </w:p>
        </w:tc>
      </w:tr>
      <w:tr w14:paraId="6F3EE3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noWrap w:val="0"/>
            <w:vAlign w:val="center"/>
          </w:tcPr>
          <w:p w14:paraId="72D60F79">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11</w:t>
            </w:r>
          </w:p>
        </w:tc>
        <w:tc>
          <w:tcPr>
            <w:tcW w:w="7747" w:type="dxa"/>
            <w:noWrap w:val="0"/>
            <w:vAlign w:val="center"/>
          </w:tcPr>
          <w:p w14:paraId="4121F8E3">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供应商项目业绩清单（如有则提供）（附件十四）</w:t>
            </w:r>
          </w:p>
        </w:tc>
      </w:tr>
      <w:tr w14:paraId="01209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noWrap w:val="0"/>
            <w:vAlign w:val="center"/>
          </w:tcPr>
          <w:p w14:paraId="639D9439">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12</w:t>
            </w:r>
          </w:p>
        </w:tc>
        <w:tc>
          <w:tcPr>
            <w:tcW w:w="7747" w:type="dxa"/>
            <w:noWrap w:val="0"/>
            <w:vAlign w:val="center"/>
          </w:tcPr>
          <w:p w14:paraId="0D92FE99">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供应商具有的其它相关资质证书（如有则提供）</w:t>
            </w:r>
          </w:p>
        </w:tc>
      </w:tr>
      <w:tr w14:paraId="331EE7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noWrap w:val="0"/>
            <w:vAlign w:val="center"/>
          </w:tcPr>
          <w:p w14:paraId="37F44E8D">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13</w:t>
            </w:r>
          </w:p>
        </w:tc>
        <w:tc>
          <w:tcPr>
            <w:tcW w:w="7747" w:type="dxa"/>
            <w:noWrap w:val="0"/>
            <w:vAlign w:val="top"/>
          </w:tcPr>
          <w:p w14:paraId="0FC4A77A">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根据竞争性磋商文件规范要求中的采购内容与技术要求、评标细则，需要提供的其它文件和资料（如有则提供）。</w:t>
            </w:r>
          </w:p>
        </w:tc>
      </w:tr>
      <w:tr w14:paraId="05037F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noWrap w:val="0"/>
            <w:vAlign w:val="center"/>
          </w:tcPr>
          <w:p w14:paraId="22DB4188">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14</w:t>
            </w:r>
          </w:p>
        </w:tc>
        <w:tc>
          <w:tcPr>
            <w:tcW w:w="7747" w:type="dxa"/>
            <w:noWrap w:val="0"/>
            <w:vAlign w:val="top"/>
          </w:tcPr>
          <w:p w14:paraId="59390BE4">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其它供应商须说明的资料（如有则提供）</w:t>
            </w:r>
          </w:p>
        </w:tc>
      </w:tr>
      <w:tr w14:paraId="1E6141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noWrap w:val="0"/>
            <w:vAlign w:val="center"/>
          </w:tcPr>
          <w:p w14:paraId="7BF29C74">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15</w:t>
            </w:r>
          </w:p>
        </w:tc>
        <w:tc>
          <w:tcPr>
            <w:tcW w:w="7747" w:type="dxa"/>
            <w:noWrap w:val="0"/>
            <w:vAlign w:val="center"/>
          </w:tcPr>
          <w:p w14:paraId="106C309F">
            <w:pPr>
              <w:autoSpaceDE w:val="0"/>
              <w:autoSpaceDN w:val="0"/>
              <w:adjustRightInd w:val="0"/>
              <w:spacing w:line="430" w:lineRule="atLeast"/>
              <w:textAlignment w:val="bottom"/>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自查、自评表（附件十五）</w:t>
            </w:r>
          </w:p>
        </w:tc>
      </w:tr>
      <w:bookmarkEnd w:id="21"/>
      <w:bookmarkEnd w:id="22"/>
    </w:tbl>
    <w:p w14:paraId="7F4A21C2">
      <w:pPr>
        <w:rPr>
          <w:rFonts w:ascii="宋体" w:cs="宋体"/>
          <w:color w:val="auto"/>
          <w:highlight w:val="none"/>
        </w:rPr>
      </w:pPr>
    </w:p>
    <w:p w14:paraId="0A0EF788">
      <w:pPr>
        <w:autoSpaceDE w:val="0"/>
        <w:autoSpaceDN w:val="0"/>
        <w:adjustRightInd w:val="0"/>
        <w:snapToGri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3.投标内容填写说明</w:t>
      </w:r>
    </w:p>
    <w:p w14:paraId="64E7DD59">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供应商应按照（上表）所列出的内容及格式组成投标文件。</w:t>
      </w:r>
    </w:p>
    <w:p w14:paraId="21114409">
      <w:pPr>
        <w:autoSpaceDE w:val="0"/>
        <w:autoSpaceDN w:val="0"/>
        <w:adjustRightInd w:val="0"/>
        <w:snapToGrid w:val="0"/>
        <w:spacing w:line="400" w:lineRule="exact"/>
        <w:ind w:firstLine="446" w:firstLineChars="200"/>
        <w:textAlignment w:val="bottom"/>
        <w:rPr>
          <w:rFonts w:ascii="宋体" w:cs="宋体"/>
          <w:color w:val="auto"/>
          <w:sz w:val="22"/>
          <w:highlight w:val="none"/>
        </w:rPr>
      </w:pPr>
      <w:bookmarkStart w:id="23" w:name="_Toc132122412"/>
      <w:bookmarkStart w:id="24" w:name="_Toc132122115"/>
      <w:r>
        <w:rPr>
          <w:rFonts w:hint="eastAsia" w:ascii="宋体" w:cs="宋体"/>
          <w:color w:val="auto"/>
          <w:sz w:val="22"/>
          <w:highlight w:val="none"/>
        </w:rPr>
        <w:t>4.投标报价</w:t>
      </w:r>
      <w:bookmarkEnd w:id="23"/>
      <w:bookmarkEnd w:id="24"/>
    </w:p>
    <w:p w14:paraId="43AFA428">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4.1 供应商应按竞争性磋商文件中《开标（报价）一览表》填写投标报价。</w:t>
      </w:r>
    </w:p>
    <w:p w14:paraId="3390993C">
      <w:pPr>
        <w:autoSpaceDE w:val="0"/>
        <w:autoSpaceDN w:val="0"/>
        <w:adjustRightInd w:val="0"/>
        <w:spacing w:line="400" w:lineRule="exact"/>
        <w:ind w:firstLine="446" w:firstLineChars="200"/>
        <w:textAlignment w:val="bottom"/>
        <w:rPr>
          <w:rFonts w:ascii="宋体" w:cs="宋体"/>
          <w:color w:val="auto"/>
          <w:sz w:val="22"/>
          <w:highlight w:val="none"/>
          <w:u w:val="single"/>
        </w:rPr>
      </w:pPr>
      <w:r>
        <w:rPr>
          <w:rFonts w:hint="eastAsia" w:ascii="宋体" w:cs="宋体"/>
          <w:color w:val="auto"/>
          <w:sz w:val="22"/>
          <w:highlight w:val="none"/>
        </w:rPr>
        <w:t>4.2 供应商应在各自技术和商务占优势的基础上并充分考虑本项目的重要性，提供对采购人最优惠的报价。</w:t>
      </w:r>
    </w:p>
    <w:p w14:paraId="4AEF78CB">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 xml:space="preserve">4.3 </w:t>
      </w:r>
      <w:r>
        <w:rPr>
          <w:rFonts w:hint="eastAsia" w:ascii="宋体" w:hAnsi="宋体" w:cs="宋体"/>
          <w:b/>
          <w:bCs/>
          <w:color w:val="auto"/>
          <w:sz w:val="22"/>
          <w:highlight w:val="none"/>
          <w:u w:val="single"/>
        </w:rPr>
        <w:t>除采购人有变更采购需求的情况外，供应商最终报价不得高于首次报价</w:t>
      </w:r>
      <w:r>
        <w:rPr>
          <w:rFonts w:hint="eastAsia" w:ascii="宋体" w:hAnsi="宋体" w:cs="宋体"/>
          <w:color w:val="auto"/>
          <w:sz w:val="22"/>
          <w:highlight w:val="none"/>
        </w:rPr>
        <w:t>。</w:t>
      </w:r>
    </w:p>
    <w:p w14:paraId="6FF4852D">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 xml:space="preserve">4.4 </w:t>
      </w:r>
      <w:r>
        <w:rPr>
          <w:rFonts w:hint="eastAsia" w:ascii="宋体" w:hAnsi="宋体" w:cs="宋体"/>
          <w:b/>
          <w:bCs/>
          <w:color w:val="auto"/>
          <w:sz w:val="22"/>
          <w:highlight w:val="none"/>
          <w:u w:val="single"/>
        </w:rPr>
        <w:t>超过规定时间未提交最终报价的视为自动放弃投标</w:t>
      </w:r>
      <w:r>
        <w:rPr>
          <w:rFonts w:hint="eastAsia" w:ascii="宋体" w:hAnsi="宋体" w:cs="宋体"/>
          <w:color w:val="auto"/>
          <w:sz w:val="22"/>
          <w:highlight w:val="none"/>
        </w:rPr>
        <w:t>。</w:t>
      </w:r>
    </w:p>
    <w:p w14:paraId="49CA057A">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5.采购人要求分类报价是为了方便评标，但在任何情况下不限制采购人以其认为最合适的条款签订合同的权利。</w:t>
      </w:r>
    </w:p>
    <w:p w14:paraId="3A427D99">
      <w:pPr>
        <w:autoSpaceDE w:val="0"/>
        <w:autoSpaceDN w:val="0"/>
        <w:adjustRightInd w:val="0"/>
        <w:spacing w:line="400" w:lineRule="exact"/>
        <w:ind w:firstLine="446" w:firstLineChars="200"/>
        <w:textAlignment w:val="bottom"/>
        <w:rPr>
          <w:rFonts w:ascii="宋体" w:cs="宋体"/>
          <w:color w:val="auto"/>
          <w:sz w:val="22"/>
          <w:highlight w:val="none"/>
        </w:rPr>
      </w:pPr>
      <w:bookmarkStart w:id="25" w:name="_Toc132122414"/>
      <w:bookmarkStart w:id="26" w:name="_Toc132122117"/>
      <w:r>
        <w:rPr>
          <w:rFonts w:hint="eastAsia" w:ascii="宋体" w:cs="宋体"/>
          <w:color w:val="auto"/>
          <w:sz w:val="22"/>
          <w:highlight w:val="none"/>
        </w:rPr>
        <w:t>6.投标文件的有效期</w:t>
      </w:r>
      <w:bookmarkEnd w:id="25"/>
      <w:bookmarkEnd w:id="26"/>
    </w:p>
    <w:p w14:paraId="7694863B">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6.1 自报价截止时间起90天内，投标文件应保持有效。有效期短于这个规定期限的报价将被拒绝。</w:t>
      </w:r>
    </w:p>
    <w:p w14:paraId="3EBC44A8">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6.2 在特殊情况下，采购人可与供应商协商延长投标文件的有效期，这种要求和答复均应以书面形式进行。</w:t>
      </w:r>
    </w:p>
    <w:p w14:paraId="4BFBC719">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6.3 供应商可拒绝接受延期要求，同意延长有效期的供应商不能修改投标文件。</w:t>
      </w:r>
    </w:p>
    <w:p w14:paraId="1557FDBD">
      <w:pPr>
        <w:pStyle w:val="80"/>
        <w:adjustRightInd w:val="0"/>
        <w:snapToGrid w:val="0"/>
        <w:spacing w:line="400" w:lineRule="atLeast"/>
        <w:ind w:firstLine="446" w:firstLineChars="200"/>
        <w:outlineLvl w:val="0"/>
        <w:rPr>
          <w:rFonts w:cs="宋体"/>
          <w:b/>
          <w:bCs/>
          <w:color w:val="auto"/>
          <w:sz w:val="22"/>
          <w:szCs w:val="22"/>
          <w:highlight w:val="none"/>
        </w:rPr>
      </w:pPr>
      <w:bookmarkStart w:id="27" w:name="_Toc132122120"/>
      <w:bookmarkStart w:id="28" w:name="_Toc132125038"/>
      <w:bookmarkStart w:id="29" w:name="_Toc132123882"/>
      <w:bookmarkStart w:id="30" w:name="_Toc132126155"/>
      <w:bookmarkStart w:id="31" w:name="_Toc132125575"/>
      <w:bookmarkStart w:id="32" w:name="_Toc132655777"/>
      <w:bookmarkStart w:id="33" w:name="_Toc132123635"/>
      <w:bookmarkStart w:id="34" w:name="_Toc132125096"/>
      <w:bookmarkStart w:id="35" w:name="_Toc132123839"/>
      <w:bookmarkStart w:id="36" w:name="_Toc132125984"/>
      <w:bookmarkStart w:id="37" w:name="_Toc132122417"/>
      <w:bookmarkStart w:id="38" w:name="_Toc132123548"/>
      <w:bookmarkStart w:id="39" w:name="_Toc132125152"/>
      <w:bookmarkStart w:id="40" w:name="_Toc132123440"/>
      <w:bookmarkStart w:id="41" w:name="_Toc132124595"/>
      <w:r>
        <w:rPr>
          <w:rFonts w:hint="eastAsia" w:cs="宋体"/>
          <w:b/>
          <w:bCs/>
          <w:color w:val="auto"/>
          <w:sz w:val="22"/>
          <w:highlight w:val="none"/>
        </w:rPr>
        <w:t>四、</w:t>
      </w:r>
      <w:r>
        <w:rPr>
          <w:rFonts w:hint="eastAsia" w:cs="宋体"/>
          <w:b/>
          <w:bCs/>
          <w:color w:val="auto"/>
          <w:sz w:val="22"/>
          <w:szCs w:val="22"/>
          <w:highlight w:val="none"/>
        </w:rPr>
        <w:t>投标文件</w:t>
      </w:r>
    </w:p>
    <w:p w14:paraId="335EDDB0">
      <w:pPr>
        <w:pStyle w:val="80"/>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1. 投标文件的上传、递交：见《投标邀请函（投标须知前附表）》。</w:t>
      </w:r>
    </w:p>
    <w:p w14:paraId="24B670C3">
      <w:pPr>
        <w:pStyle w:val="80"/>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2.“电子加密投标文件”解密和异常情况处理：见《投标邀请函（投标须知前附表）》。</w:t>
      </w:r>
    </w:p>
    <w:p w14:paraId="1953AC47">
      <w:pPr>
        <w:pStyle w:val="80"/>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3.投标文件的补充、修改或撤回</w:t>
      </w:r>
    </w:p>
    <w:p w14:paraId="37B0DF57">
      <w:pPr>
        <w:pStyle w:val="80"/>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02F09014">
      <w:pPr>
        <w:pStyle w:val="80"/>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3.2投标截止时间后，供应商不得撤回、修改《投标文件》。</w:t>
      </w:r>
    </w:p>
    <w:p w14:paraId="728B4C1E">
      <w:pPr>
        <w:pStyle w:val="80"/>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4.投标文件的备选方案</w:t>
      </w:r>
    </w:p>
    <w:p w14:paraId="0F3398FE">
      <w:pPr>
        <w:pStyle w:val="80"/>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4.1供应商不得递交任何的投标备选（替代）方案，否则其投标文件将作无效标处理。</w:t>
      </w:r>
    </w:p>
    <w:p w14:paraId="7BB99AF8">
      <w:pPr>
        <w:pStyle w:val="80"/>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5. 投标截止期</w:t>
      </w:r>
    </w:p>
    <w:p w14:paraId="7755862D">
      <w:pPr>
        <w:pStyle w:val="80"/>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5.1供应商应按前附表中规定的时间递交电子投标文件。</w:t>
      </w:r>
    </w:p>
    <w:p w14:paraId="630C9397">
      <w:pPr>
        <w:pStyle w:val="21"/>
        <w:adjustRightInd w:val="0"/>
        <w:spacing w:line="400" w:lineRule="exact"/>
        <w:ind w:firstLine="446" w:firstLineChars="200"/>
        <w:rPr>
          <w:rFonts w:cs="宋体"/>
          <w:b/>
          <w:bCs/>
          <w:color w:val="auto"/>
          <w:sz w:val="22"/>
          <w:highlight w:val="none"/>
        </w:rPr>
      </w:pPr>
      <w:r>
        <w:rPr>
          <w:rFonts w:hint="eastAsia" w:cs="宋体"/>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5ADA120B">
      <w:pPr>
        <w:pStyle w:val="21"/>
        <w:adjustRightInd w:val="0"/>
        <w:snapToGrid w:val="0"/>
        <w:spacing w:line="400" w:lineRule="exact"/>
        <w:ind w:firstLine="480"/>
        <w:outlineLvl w:val="0"/>
        <w:rPr>
          <w:rFonts w:cs="宋体"/>
          <w:b/>
          <w:bCs/>
          <w:color w:val="auto"/>
          <w:sz w:val="22"/>
          <w:highlight w:val="none"/>
        </w:rPr>
      </w:pPr>
      <w:bookmarkStart w:id="42" w:name="_Toc493530207"/>
      <w:bookmarkStart w:id="43" w:name="_Toc15003_WPSOffice_Level2"/>
      <w:r>
        <w:rPr>
          <w:rFonts w:hint="eastAsia" w:cs="宋体"/>
          <w:b/>
          <w:bCs/>
          <w:color w:val="auto"/>
          <w:sz w:val="22"/>
          <w:highlight w:val="none"/>
        </w:rPr>
        <w:t>五、开标和评标</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F9A7010">
      <w:pPr>
        <w:pStyle w:val="21"/>
        <w:snapToGrid w:val="0"/>
        <w:spacing w:line="440" w:lineRule="exact"/>
        <w:ind w:firstLine="436" w:firstLineChars="196"/>
        <w:rPr>
          <w:rFonts w:cs="宋体"/>
          <w:color w:val="auto"/>
          <w:sz w:val="22"/>
          <w:szCs w:val="22"/>
          <w:highlight w:val="none"/>
        </w:rPr>
      </w:pPr>
      <w:r>
        <w:rPr>
          <w:rFonts w:hint="eastAsia" w:cs="宋体"/>
          <w:color w:val="auto"/>
          <w:sz w:val="22"/>
          <w:szCs w:val="22"/>
          <w:highlight w:val="none"/>
        </w:rPr>
        <w:t>（一）开标准备</w:t>
      </w:r>
    </w:p>
    <w:p w14:paraId="2813D710">
      <w:pPr>
        <w:snapToGrid w:val="0"/>
        <w:spacing w:line="440" w:lineRule="exact"/>
        <w:ind w:firstLine="446" w:firstLineChars="200"/>
        <w:jc w:val="left"/>
        <w:rPr>
          <w:rFonts w:ascii="宋体" w:cs="宋体"/>
          <w:b/>
          <w:color w:val="auto"/>
          <w:kern w:val="0"/>
          <w:sz w:val="22"/>
          <w:highlight w:val="none"/>
        </w:rPr>
      </w:pPr>
      <w:r>
        <w:rPr>
          <w:rFonts w:hint="eastAsia" w:ascii="宋体" w:cs="宋体"/>
          <w:b/>
          <w:color w:val="auto"/>
          <w:sz w:val="22"/>
          <w:highlight w:val="none"/>
        </w:rPr>
        <w:t>1.采购组织机构原则上采用电子评标，按照投标文件规定的时间通过“政府采购云平台”组织开标、开启投标文件，所有供应商均应当准时在线参加。</w:t>
      </w:r>
      <w:r>
        <w:rPr>
          <w:rFonts w:hint="eastAsia" w:ascii="宋体" w:cs="宋体"/>
          <w:b/>
          <w:color w:val="auto"/>
          <w:kern w:val="0"/>
          <w:sz w:val="22"/>
          <w:highlight w:val="none"/>
        </w:rPr>
        <w:t>供应商如不参加磋商大会的，视同认可磋商结果，事后不得对采购相关人员、磋商过程和磋商结果提出异议，同时供应商因未在线参加磋商而导致投标文件无法按时解密等一切后果由供应商自己承担。</w:t>
      </w:r>
    </w:p>
    <w:p w14:paraId="2E88452E">
      <w:pPr>
        <w:pStyle w:val="68"/>
        <w:spacing w:before="0" w:line="440" w:lineRule="exact"/>
        <w:ind w:left="0" w:firstLine="446" w:firstLineChars="200"/>
        <w:contextualSpacing/>
        <w:rPr>
          <w:rFonts w:ascii="宋体" w:cs="宋体"/>
          <w:color w:val="auto"/>
          <w:sz w:val="22"/>
          <w:szCs w:val="22"/>
          <w:highlight w:val="none"/>
        </w:rPr>
      </w:pPr>
      <w:r>
        <w:rPr>
          <w:rFonts w:hint="eastAsia" w:ascii="宋体" w:cs="宋体"/>
          <w:color w:val="auto"/>
          <w:sz w:val="22"/>
          <w:szCs w:val="22"/>
          <w:highlight w:val="none"/>
        </w:rPr>
        <w:t>2.若磋商供应商在规定时间内无法解密或解密失败的，其投标无效。</w:t>
      </w:r>
    </w:p>
    <w:p w14:paraId="3D63D78A">
      <w:pPr>
        <w:snapToGrid w:val="0"/>
        <w:spacing w:line="440" w:lineRule="exact"/>
        <w:ind w:firstLine="446" w:firstLineChars="200"/>
        <w:jc w:val="left"/>
        <w:rPr>
          <w:rFonts w:ascii="宋体" w:cs="宋体"/>
          <w:b/>
          <w:bCs/>
          <w:color w:val="auto"/>
          <w:sz w:val="22"/>
          <w:highlight w:val="none"/>
        </w:rPr>
      </w:pPr>
      <w:r>
        <w:rPr>
          <w:rFonts w:hint="eastAsia" w:ascii="宋体" w:cs="宋体"/>
          <w:b/>
          <w:bCs/>
          <w:color w:val="auto"/>
          <w:sz w:val="22"/>
          <w:highlight w:val="none"/>
        </w:rPr>
        <w:t>3.所有二次报价询标流程，均在线上完成，请各供应商务必不要离开电脑太久，并留意手机短信。（请提前检查“政采云”内，关于‘项目采购’的岗位权限是否已勾选上。如有问题，请致电400-881-7190）</w:t>
      </w:r>
    </w:p>
    <w:p w14:paraId="7A5B200B">
      <w:pPr>
        <w:snapToGrid w:val="0"/>
        <w:spacing w:line="440" w:lineRule="exact"/>
        <w:ind w:firstLine="446" w:firstLineChars="200"/>
        <w:jc w:val="left"/>
        <w:rPr>
          <w:rFonts w:ascii="宋体" w:cs="宋体"/>
          <w:bCs/>
          <w:color w:val="auto"/>
          <w:sz w:val="22"/>
          <w:highlight w:val="none"/>
        </w:rPr>
      </w:pPr>
      <w:r>
        <w:rPr>
          <w:rFonts w:hint="eastAsia" w:ascii="宋体" w:cs="宋体"/>
          <w:bCs/>
          <w:color w:val="auto"/>
          <w:sz w:val="22"/>
          <w:highlight w:val="none"/>
        </w:rPr>
        <w:t>（二）电子招投标开标及评审程序</w:t>
      </w:r>
    </w:p>
    <w:p w14:paraId="1D4DB0F7">
      <w:pPr>
        <w:pStyle w:val="21"/>
        <w:adjustRightInd w:val="0"/>
        <w:spacing w:line="400" w:lineRule="exact"/>
        <w:ind w:firstLine="446" w:firstLineChars="200"/>
        <w:rPr>
          <w:rFonts w:cs="宋体"/>
          <w:color w:val="auto"/>
          <w:sz w:val="22"/>
          <w:highlight w:val="none"/>
        </w:rPr>
      </w:pPr>
      <w:r>
        <w:rPr>
          <w:rFonts w:hint="eastAsia" w:cs="宋体"/>
          <w:color w:val="auto"/>
          <w:sz w:val="22"/>
          <w:highlight w:val="none"/>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11533F43">
      <w:pPr>
        <w:pStyle w:val="21"/>
        <w:adjustRightInd w:val="0"/>
        <w:spacing w:line="400" w:lineRule="exact"/>
        <w:ind w:firstLine="446" w:firstLineChars="200"/>
        <w:rPr>
          <w:rFonts w:cs="宋体"/>
          <w:color w:val="auto"/>
          <w:sz w:val="22"/>
          <w:highlight w:val="none"/>
        </w:rPr>
      </w:pPr>
      <w:r>
        <w:rPr>
          <w:rFonts w:hint="eastAsia" w:cs="宋体"/>
          <w:color w:val="auto"/>
          <w:sz w:val="22"/>
          <w:highlight w:val="none"/>
        </w:rPr>
        <w:t>2.投标文件解密结束，开启投标文件，对资格进行审查后公布资格审查情况；</w:t>
      </w:r>
    </w:p>
    <w:p w14:paraId="094621ED">
      <w:pPr>
        <w:pStyle w:val="21"/>
        <w:adjustRightInd w:val="0"/>
        <w:spacing w:line="400" w:lineRule="exact"/>
        <w:ind w:firstLine="446" w:firstLineChars="200"/>
        <w:rPr>
          <w:rFonts w:cs="宋体"/>
          <w:color w:val="auto"/>
          <w:sz w:val="22"/>
          <w:highlight w:val="none"/>
        </w:rPr>
      </w:pPr>
      <w:r>
        <w:rPr>
          <w:rFonts w:hint="eastAsia" w:cs="宋体"/>
          <w:color w:val="auto"/>
          <w:sz w:val="22"/>
          <w:highlight w:val="none"/>
        </w:rPr>
        <w:t>3.评审小组就价格、服务等认为需要磋商的内容进行磋商，供应商逐家回答磋商小组的提问，响应人作出最终承诺和最终报价。</w:t>
      </w:r>
    </w:p>
    <w:p w14:paraId="583F8CEE">
      <w:pPr>
        <w:pStyle w:val="21"/>
        <w:adjustRightInd w:val="0"/>
        <w:spacing w:line="400" w:lineRule="exact"/>
        <w:ind w:firstLine="446" w:firstLineChars="200"/>
        <w:rPr>
          <w:rFonts w:cs="宋体"/>
          <w:color w:val="auto"/>
          <w:sz w:val="22"/>
          <w:highlight w:val="none"/>
        </w:rPr>
      </w:pPr>
      <w:r>
        <w:rPr>
          <w:rFonts w:hint="eastAsia" w:cs="宋体"/>
          <w:color w:val="auto"/>
          <w:sz w:val="22"/>
          <w:highlight w:val="none"/>
        </w:rPr>
        <w:t>5.对商务技术文件进行评审；</w:t>
      </w:r>
    </w:p>
    <w:p w14:paraId="0C4373AB">
      <w:pPr>
        <w:pStyle w:val="21"/>
        <w:adjustRightInd w:val="0"/>
        <w:spacing w:line="400" w:lineRule="exact"/>
        <w:ind w:firstLine="446" w:firstLineChars="200"/>
        <w:rPr>
          <w:rFonts w:cs="宋体"/>
          <w:color w:val="auto"/>
          <w:sz w:val="22"/>
          <w:highlight w:val="none"/>
        </w:rPr>
      </w:pPr>
      <w:r>
        <w:rPr>
          <w:rFonts w:hint="eastAsia" w:cs="宋体"/>
          <w:color w:val="auto"/>
          <w:sz w:val="22"/>
          <w:highlight w:val="none"/>
        </w:rPr>
        <w:t>6.对报价文件进行评审；</w:t>
      </w:r>
    </w:p>
    <w:p w14:paraId="147D6CB6">
      <w:pPr>
        <w:pStyle w:val="21"/>
        <w:adjustRightInd w:val="0"/>
        <w:spacing w:line="400" w:lineRule="exact"/>
        <w:ind w:firstLine="446" w:firstLineChars="200"/>
        <w:rPr>
          <w:rFonts w:cs="宋体"/>
          <w:color w:val="auto"/>
          <w:sz w:val="22"/>
          <w:highlight w:val="none"/>
        </w:rPr>
      </w:pPr>
      <w:r>
        <w:rPr>
          <w:rFonts w:hint="eastAsia" w:cs="宋体"/>
          <w:color w:val="auto"/>
          <w:sz w:val="22"/>
          <w:highlight w:val="none"/>
        </w:rPr>
        <w:t>7.公布评审结果。</w:t>
      </w:r>
    </w:p>
    <w:p w14:paraId="167813C2">
      <w:pPr>
        <w:pStyle w:val="21"/>
        <w:adjustRightInd w:val="0"/>
        <w:spacing w:line="400" w:lineRule="exact"/>
        <w:ind w:firstLine="446" w:firstLineChars="200"/>
        <w:rPr>
          <w:rFonts w:cs="宋体"/>
          <w:b/>
          <w:bCs/>
          <w:color w:val="auto"/>
          <w:sz w:val="22"/>
          <w:szCs w:val="22"/>
          <w:highlight w:val="none"/>
        </w:rPr>
      </w:pPr>
      <w:r>
        <w:rPr>
          <w:rFonts w:hint="eastAsia" w:cs="宋体"/>
          <w:b/>
          <w:bCs/>
          <w:color w:val="auto"/>
          <w:sz w:val="22"/>
          <w:szCs w:val="22"/>
          <w:highlight w:val="none"/>
        </w:rPr>
        <w:t>特别说明：政采云公司如对电子化开标及评审程序有调整的，按调整后的程序操作。</w:t>
      </w:r>
    </w:p>
    <w:p w14:paraId="7019509A">
      <w:pPr>
        <w:adjustRightInd w:val="0"/>
        <w:snapToGrid w:val="0"/>
        <w:spacing w:line="400" w:lineRule="atLeast"/>
        <w:ind w:firstLine="438" w:firstLineChars="197"/>
        <w:rPr>
          <w:rFonts w:ascii="宋体" w:cs="宋体"/>
          <w:color w:val="auto"/>
          <w:highlight w:val="none"/>
        </w:rPr>
      </w:pPr>
      <w:r>
        <w:rPr>
          <w:rFonts w:hint="eastAsia" w:ascii="宋体" w:cs="宋体"/>
          <w:color w:val="auto"/>
          <w:sz w:val="22"/>
          <w:highlight w:val="none"/>
        </w:rPr>
        <w:t xml:space="preserve">  ▲</w:t>
      </w:r>
      <w:r>
        <w:rPr>
          <w:rFonts w:hint="eastAsia" w:ascii="宋体" w:cs="宋体"/>
          <w:b/>
          <w:bCs/>
          <w:color w:val="auto"/>
          <w:sz w:val="22"/>
          <w:highlight w:val="none"/>
        </w:rPr>
        <w:t>供应商政采云系统填写报价和电子投标文件（开标（报价）一览表）中填写不一致的，以电子投标文件（开标（报价）一览表）为准，如果不接受调整价格的做废标处理。</w:t>
      </w:r>
    </w:p>
    <w:p w14:paraId="7A30B9A1">
      <w:pPr>
        <w:pStyle w:val="21"/>
        <w:adjustRightInd w:val="0"/>
        <w:spacing w:line="400" w:lineRule="exact"/>
        <w:ind w:firstLine="446" w:firstLineChars="200"/>
        <w:rPr>
          <w:rFonts w:cs="宋体"/>
          <w:b/>
          <w:bCs/>
          <w:color w:val="auto"/>
          <w:sz w:val="22"/>
          <w:highlight w:val="none"/>
        </w:rPr>
      </w:pPr>
      <w:r>
        <w:rPr>
          <w:rFonts w:hint="eastAsia" w:cs="宋体"/>
          <w:color w:val="auto"/>
          <w:sz w:val="22"/>
          <w:highlight w:val="none"/>
        </w:rPr>
        <w:t>2.评标</w:t>
      </w:r>
    </w:p>
    <w:p w14:paraId="2A09BE80">
      <w:pPr>
        <w:pStyle w:val="21"/>
        <w:adjustRightInd w:val="0"/>
        <w:spacing w:line="400" w:lineRule="exact"/>
        <w:ind w:firstLine="446" w:firstLineChars="200"/>
        <w:rPr>
          <w:rFonts w:cs="宋体"/>
          <w:b/>
          <w:bCs/>
          <w:color w:val="auto"/>
          <w:sz w:val="22"/>
          <w:highlight w:val="none"/>
        </w:rPr>
      </w:pPr>
      <w:r>
        <w:rPr>
          <w:rFonts w:hint="eastAsia" w:cs="宋体"/>
          <w:color w:val="auto"/>
          <w:sz w:val="22"/>
          <w:highlight w:val="none"/>
        </w:rPr>
        <w:t>2.1 评标由采购人依法组建的竞争性磋商小组负责，并独立履行下列职责：</w:t>
      </w:r>
    </w:p>
    <w:p w14:paraId="5183CF5D">
      <w:pPr>
        <w:spacing w:line="400" w:lineRule="exact"/>
        <w:ind w:firstLine="436" w:firstLineChars="196"/>
        <w:rPr>
          <w:rFonts w:ascii="宋体" w:cs="宋体"/>
          <w:color w:val="auto"/>
          <w:sz w:val="22"/>
          <w:highlight w:val="none"/>
        </w:rPr>
      </w:pPr>
      <w:bookmarkStart w:id="44" w:name="_Toc2500_WPSOffice_Level3"/>
      <w:r>
        <w:rPr>
          <w:rFonts w:hint="eastAsia" w:ascii="宋体" w:cs="宋体"/>
          <w:color w:val="auto"/>
          <w:sz w:val="22"/>
          <w:highlight w:val="none"/>
        </w:rPr>
        <w:t>1）审查投标文件是否符合竞争性磋商文件要求，并作出评价；</w:t>
      </w:r>
      <w:bookmarkEnd w:id="44"/>
    </w:p>
    <w:p w14:paraId="4277FF23">
      <w:pPr>
        <w:spacing w:line="400" w:lineRule="exact"/>
        <w:ind w:firstLine="446" w:firstLineChars="200"/>
        <w:rPr>
          <w:rFonts w:ascii="宋体" w:cs="宋体"/>
          <w:color w:val="auto"/>
          <w:sz w:val="22"/>
          <w:highlight w:val="none"/>
        </w:rPr>
      </w:pPr>
      <w:bookmarkStart w:id="45" w:name="_Toc20806_WPSOffice_Level3"/>
      <w:r>
        <w:rPr>
          <w:rFonts w:hint="eastAsia" w:ascii="宋体" w:cs="宋体"/>
          <w:color w:val="auto"/>
          <w:sz w:val="22"/>
          <w:highlight w:val="none"/>
        </w:rPr>
        <w:t>2）要求供应商对投标文件有关事项作出解释或者澄清；</w:t>
      </w:r>
      <w:bookmarkEnd w:id="45"/>
    </w:p>
    <w:p w14:paraId="5FD3D69B">
      <w:pPr>
        <w:spacing w:line="400" w:lineRule="exact"/>
        <w:ind w:firstLine="446" w:firstLineChars="200"/>
        <w:rPr>
          <w:rFonts w:ascii="宋体" w:cs="宋体"/>
          <w:color w:val="auto"/>
          <w:sz w:val="22"/>
          <w:highlight w:val="none"/>
        </w:rPr>
      </w:pPr>
      <w:bookmarkStart w:id="46" w:name="_Toc12689_WPSOffice_Level3"/>
      <w:r>
        <w:rPr>
          <w:rFonts w:hint="eastAsia" w:ascii="宋体" w:cs="宋体"/>
          <w:color w:val="auto"/>
          <w:sz w:val="22"/>
          <w:highlight w:val="none"/>
        </w:rPr>
        <w:t>3）按照竞争性磋商文件确定的评标办法直接确定中标（成交）供应商；</w:t>
      </w:r>
      <w:bookmarkEnd w:id="46"/>
    </w:p>
    <w:p w14:paraId="5D5847F7">
      <w:pPr>
        <w:pStyle w:val="21"/>
        <w:adjustRightInd w:val="0"/>
        <w:spacing w:line="400" w:lineRule="exact"/>
        <w:ind w:firstLine="436" w:firstLineChars="196"/>
        <w:rPr>
          <w:rFonts w:cs="宋体"/>
          <w:b/>
          <w:bCs/>
          <w:color w:val="auto"/>
          <w:sz w:val="22"/>
          <w:highlight w:val="none"/>
        </w:rPr>
      </w:pPr>
      <w:bookmarkStart w:id="47" w:name="_Toc20017_WPSOffice_Level3"/>
      <w:r>
        <w:rPr>
          <w:rFonts w:hint="eastAsia" w:cs="宋体"/>
          <w:color w:val="auto"/>
          <w:sz w:val="22"/>
          <w:highlight w:val="none"/>
        </w:rPr>
        <w:t>4）向采购人或者有关部门报告非法干预评标工作的行为。</w:t>
      </w:r>
      <w:bookmarkEnd w:id="47"/>
    </w:p>
    <w:p w14:paraId="74650E83">
      <w:pPr>
        <w:spacing w:line="400" w:lineRule="exact"/>
        <w:ind w:firstLine="436" w:firstLineChars="196"/>
        <w:rPr>
          <w:rFonts w:ascii="宋体" w:cs="宋体"/>
          <w:color w:val="auto"/>
          <w:sz w:val="22"/>
          <w:highlight w:val="none"/>
        </w:rPr>
      </w:pPr>
      <w:r>
        <w:rPr>
          <w:rFonts w:hint="eastAsia" w:ascii="宋体" w:cs="宋体"/>
          <w:color w:val="auto"/>
          <w:sz w:val="22"/>
          <w:highlight w:val="none"/>
        </w:rPr>
        <w:t>2.2 评标应当遵循下列工作程序：</w:t>
      </w:r>
    </w:p>
    <w:p w14:paraId="76323D1A">
      <w:pPr>
        <w:spacing w:line="400" w:lineRule="exact"/>
        <w:rPr>
          <w:rFonts w:ascii="宋体" w:cs="宋体"/>
          <w:color w:val="auto"/>
          <w:sz w:val="22"/>
          <w:highlight w:val="none"/>
        </w:rPr>
      </w:pPr>
      <w:r>
        <w:rPr>
          <w:rFonts w:hint="eastAsia" w:ascii="宋体" w:cs="宋体"/>
          <w:color w:val="auto"/>
          <w:sz w:val="22"/>
          <w:highlight w:val="none"/>
        </w:rPr>
        <w:t xml:space="preserve">    1）投标文件初审。初审分为资格性检查和符合性检查。</w:t>
      </w:r>
    </w:p>
    <w:p w14:paraId="7518D181">
      <w:pPr>
        <w:spacing w:line="400" w:lineRule="exact"/>
        <w:ind w:firstLine="446" w:firstLineChars="200"/>
        <w:rPr>
          <w:rFonts w:ascii="宋体" w:cs="宋体"/>
          <w:color w:val="auto"/>
          <w:sz w:val="22"/>
          <w:highlight w:val="none"/>
        </w:rPr>
      </w:pPr>
      <w:r>
        <w:rPr>
          <w:rFonts w:hint="eastAsia" w:ascii="宋体" w:cs="宋体"/>
          <w:color w:val="auto"/>
          <w:sz w:val="22"/>
          <w:highlight w:val="none"/>
        </w:rPr>
        <w:t>（1)资格性检查。由采购人代表或招标代理机构对供应商资格进行审查。依据法律法规和竞争性磋商文件的规定，对投标文件中的资格证明文件等进行审查，以确定供应商是否具备投标资格。</w:t>
      </w:r>
    </w:p>
    <w:p w14:paraId="48AAE3C4">
      <w:pPr>
        <w:spacing w:line="400" w:lineRule="exact"/>
        <w:ind w:firstLine="446" w:firstLineChars="200"/>
        <w:rPr>
          <w:rFonts w:ascii="宋体" w:cs="宋体"/>
          <w:color w:val="auto"/>
          <w:sz w:val="22"/>
          <w:highlight w:val="none"/>
        </w:rPr>
      </w:pPr>
      <w:r>
        <w:rPr>
          <w:rFonts w:hint="eastAsia" w:ascii="宋体" w:cs="宋体"/>
          <w:color w:val="auto"/>
          <w:sz w:val="22"/>
          <w:highlight w:val="none"/>
        </w:rPr>
        <w:t>（2)符合性检查。竞争性磋商小组依据竞争性磋商文件的规定，从投标文件的有效性、完整性和对竞争性磋商文件的响应程度进行审查，以确定是否对竞争性磋商文件的实质性要求作出响应。</w:t>
      </w:r>
    </w:p>
    <w:p w14:paraId="1373EBE7">
      <w:pPr>
        <w:spacing w:line="400" w:lineRule="exact"/>
        <w:ind w:firstLine="440"/>
        <w:rPr>
          <w:rFonts w:ascii="宋体" w:cs="宋体"/>
          <w:color w:val="auto"/>
          <w:sz w:val="22"/>
          <w:highlight w:val="none"/>
        </w:rPr>
      </w:pPr>
      <w:r>
        <w:rPr>
          <w:rFonts w:hint="eastAsia" w:ascii="宋体" w:cs="宋体"/>
          <w:color w:val="auto"/>
          <w:sz w:val="22"/>
          <w:highlight w:val="none"/>
        </w:rPr>
        <w:t>2）竞争性磋商小组可以根据供应商投标文件情况，经采购人确认，调整竞争性磋商文件及采购方案，在统一采购要求的基础上，要求所有有效供应商重新修正投标文件及进行多轮次报价。</w:t>
      </w:r>
    </w:p>
    <w:p w14:paraId="4E2C4A54">
      <w:pPr>
        <w:spacing w:line="400" w:lineRule="exact"/>
        <w:ind w:firstLine="440"/>
        <w:rPr>
          <w:rFonts w:ascii="宋体" w:cs="宋体"/>
          <w:color w:val="auto"/>
          <w:sz w:val="22"/>
          <w:highlight w:val="none"/>
        </w:rPr>
      </w:pPr>
      <w:r>
        <w:rPr>
          <w:rFonts w:hint="eastAsia" w:ascii="宋体" w:cs="宋体"/>
          <w:color w:val="auto"/>
          <w:sz w:val="22"/>
          <w:highlight w:val="none"/>
        </w:rPr>
        <w:t>3）综合评价。按竞争性磋商文件中规定的评标方法和标准，对资格性检查和符合性检查合格的投标文件进行商务和技术评估，综合评价。</w:t>
      </w:r>
    </w:p>
    <w:p w14:paraId="51655582">
      <w:pPr>
        <w:spacing w:line="400" w:lineRule="exact"/>
        <w:ind w:firstLine="440"/>
        <w:rPr>
          <w:rFonts w:ascii="宋体" w:cs="宋体"/>
          <w:color w:val="auto"/>
          <w:sz w:val="22"/>
          <w:highlight w:val="none"/>
        </w:rPr>
      </w:pPr>
      <w:r>
        <w:rPr>
          <w:rFonts w:hint="eastAsia" w:ascii="宋体" w:cs="宋体"/>
          <w:color w:val="auto"/>
          <w:sz w:val="22"/>
          <w:highlight w:val="none"/>
        </w:rPr>
        <w:t>4）推荐中标（成交）供应商候选人名单，并根据采购人的授权确定中标（成交）供应商。</w:t>
      </w:r>
    </w:p>
    <w:p w14:paraId="30AC7343">
      <w:pPr>
        <w:pStyle w:val="21"/>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rPr>
        <w:t xml:space="preserve">2.3 </w:t>
      </w:r>
      <w:r>
        <w:rPr>
          <w:rFonts w:hint="eastAsia" w:cs="宋体"/>
          <w:color w:val="auto"/>
          <w:sz w:val="22"/>
          <w:highlight w:val="none"/>
          <w:u w:val="single"/>
        </w:rPr>
        <w:t>▲供应商存在下列情况之一的，报价无效:</w:t>
      </w:r>
    </w:p>
    <w:p w14:paraId="50550106">
      <w:pPr>
        <w:pStyle w:val="21"/>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1）投标文件未按竞争性磋商文件要求签署、盖章的；</w:t>
      </w:r>
    </w:p>
    <w:p w14:paraId="299E1246">
      <w:pPr>
        <w:pStyle w:val="21"/>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2）不具备竞争性磋商文件中规定的资格要求的；</w:t>
      </w:r>
    </w:p>
    <w:p w14:paraId="49ABDDDF">
      <w:pPr>
        <w:pStyle w:val="21"/>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3）最终报价超过竞争性磋商文件中规定的预算金额或者最高限价的；</w:t>
      </w:r>
    </w:p>
    <w:p w14:paraId="3F2B58E1">
      <w:pPr>
        <w:pStyle w:val="21"/>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4）投标文件含有采购人不能接受的附加条件的（包括竞争性磋商文件中明确要求不得偏离的招标要求，存在负偏离的）;</w:t>
      </w:r>
    </w:p>
    <w:p w14:paraId="239BD396">
      <w:pPr>
        <w:pStyle w:val="21"/>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5）对关键条文的偏离、保留或反对，例如关于付款方式、完工期（服务期）、免费质保期、适用法律法规、标准、税费等其他内容；</w:t>
      </w:r>
    </w:p>
    <w:p w14:paraId="45E57035">
      <w:pPr>
        <w:pStyle w:val="21"/>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6）存在串标、抬标或弄虚作假情况的；</w:t>
      </w:r>
    </w:p>
    <w:p w14:paraId="64337751">
      <w:pPr>
        <w:pStyle w:val="21"/>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7）法律、法规和竞争性磋商文件规定的其他无效情形（或出现重大偏差）。</w:t>
      </w:r>
    </w:p>
    <w:p w14:paraId="4CA82001">
      <w:pPr>
        <w:pStyle w:val="21"/>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rPr>
        <w:t xml:space="preserve">2.4 </w:t>
      </w:r>
      <w:r>
        <w:rPr>
          <w:rFonts w:hint="eastAsia" w:cs="宋体"/>
          <w:color w:val="auto"/>
          <w:sz w:val="22"/>
          <w:highlight w:val="none"/>
          <w:u w:val="single"/>
        </w:rPr>
        <w:t>▲竞争性磋商小组发现投标文件有下列情形之一的属于重大偏差(竞争性磋商小组按少数服从多数原则认定),按照无效投标处理：</w:t>
      </w:r>
    </w:p>
    <w:p w14:paraId="4DBE855F">
      <w:pPr>
        <w:pStyle w:val="21"/>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1）未按竞争性磋商文件要求编制或字迹模糊、辨认不清的投标文件；</w:t>
      </w:r>
    </w:p>
    <w:p w14:paraId="532E72C6">
      <w:pPr>
        <w:pStyle w:val="21"/>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2）除2.3条款以外，出现其它明显不符合采购要求的投标文件；</w:t>
      </w:r>
    </w:p>
    <w:p w14:paraId="0A2CF0C5">
      <w:pPr>
        <w:pStyle w:val="21"/>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u w:val="single"/>
        </w:rPr>
        <w:t>3）除2.3条款以外，出现其它不符合竞争性磋商文件中规定的实质性要求的投标文件，是否为偏离实质性要求由竞争性磋商小组认定。</w:t>
      </w:r>
    </w:p>
    <w:p w14:paraId="32BA0011">
      <w:pPr>
        <w:pStyle w:val="21"/>
        <w:adjustRightInd w:val="0"/>
        <w:snapToGrid w:val="0"/>
        <w:spacing w:line="400" w:lineRule="exact"/>
        <w:ind w:firstLine="438" w:firstLineChars="197"/>
        <w:rPr>
          <w:rFonts w:cs="宋体"/>
          <w:b/>
          <w:bCs/>
          <w:color w:val="auto"/>
          <w:sz w:val="22"/>
          <w:highlight w:val="none"/>
          <w:u w:val="single"/>
        </w:rPr>
      </w:pPr>
      <w:r>
        <w:rPr>
          <w:rFonts w:hint="eastAsia" w:cs="宋体"/>
          <w:b/>
          <w:bCs/>
          <w:color w:val="auto"/>
          <w:sz w:val="22"/>
          <w:highlight w:val="none"/>
          <w:u w:val="single"/>
        </w:rPr>
        <w:t>2.5▲1、当某供应商的最终报价低于等于预算价的60%（如预算价1000000元，该供应商最终报价小于等于600000元），评审小组应当要求其在合理的时间内提供说明，必要时提交相关证明材料，供应商不能证明其报价合理性的，评审小组应当将其作为无效投标处理。2、当某供应商在商务及技术评估中获得的综合评分低于总分的60%时，视为采购人不能接受的附加条件，按无效标处理。（如商务及技术分值为60分，即：合格供应商商务及技术应大于等于60分*60%=36分）。</w:t>
      </w:r>
    </w:p>
    <w:p w14:paraId="65DF532D">
      <w:pPr>
        <w:pStyle w:val="21"/>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2.6 竞争性磋商小组在评标中，不得改变竞争性磋商文件中规定的评标标准、方法和中标(成交)条件。</w:t>
      </w:r>
    </w:p>
    <w:p w14:paraId="2AC71317">
      <w:pPr>
        <w:pStyle w:val="21"/>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2.7 评标时如遇到竞争性磋商文件未规定的特殊情况，由竞争性磋商小组按少数服从多数原则集体决定处理。</w:t>
      </w:r>
    </w:p>
    <w:p w14:paraId="4CE94A2D">
      <w:pPr>
        <w:pStyle w:val="21"/>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2.8竞争性磋商小组对未中标(成交)的供应商不作解释。同时根据政府采购法实施条例第四十条规定，本项目不对供应商公布详细的评审情况，不公布具体评标细则中小项得分。</w:t>
      </w:r>
    </w:p>
    <w:p w14:paraId="7154D32D">
      <w:pPr>
        <w:pStyle w:val="21"/>
        <w:adjustRightInd w:val="0"/>
        <w:spacing w:line="380" w:lineRule="exact"/>
        <w:ind w:firstLine="446" w:firstLineChars="200"/>
        <w:rPr>
          <w:rFonts w:cs="宋体"/>
          <w:b/>
          <w:bCs/>
          <w:color w:val="auto"/>
          <w:sz w:val="22"/>
          <w:highlight w:val="none"/>
          <w:u w:val="single"/>
        </w:rPr>
      </w:pPr>
      <w:r>
        <w:rPr>
          <w:rFonts w:hint="eastAsia" w:cs="宋体"/>
          <w:color w:val="auto"/>
          <w:sz w:val="22"/>
          <w:highlight w:val="none"/>
          <w:u w:val="single"/>
        </w:rPr>
        <w:t>2.9</w:t>
      </w:r>
      <w:r>
        <w:rPr>
          <w:rFonts w:hint="eastAsia" w:cs="宋体"/>
          <w:b/>
          <w:bCs/>
          <w:color w:val="auto"/>
          <w:sz w:val="22"/>
          <w:szCs w:val="22"/>
          <w:highlight w:val="none"/>
          <w:u w:val="single"/>
        </w:rPr>
        <w:t>投标截止时或评审过程中有效投标供应商不足三家的，不予开标或评标</w:t>
      </w:r>
      <w:r>
        <w:rPr>
          <w:rFonts w:hint="eastAsia" w:cs="宋体"/>
          <w:color w:val="auto"/>
          <w:sz w:val="22"/>
          <w:highlight w:val="none"/>
          <w:u w:val="single"/>
        </w:rPr>
        <w:t>。</w:t>
      </w:r>
    </w:p>
    <w:p w14:paraId="44A45B3C">
      <w:pPr>
        <w:pStyle w:val="21"/>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3.投标文件的澄清</w:t>
      </w:r>
    </w:p>
    <w:p w14:paraId="33FBEF5B">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为有利于对投标文件的评议，必要时采购人及竞争性磋商小组可要求供应商对投标文件及合同条款进行澄清，并做出答复。答复须有授权代表签字并作为报价内容的一部分。</w:t>
      </w:r>
    </w:p>
    <w:p w14:paraId="47C4FA82">
      <w:pPr>
        <w:pStyle w:val="21"/>
        <w:adjustRightInd w:val="0"/>
        <w:spacing w:line="400" w:lineRule="exact"/>
        <w:ind w:left="443" w:leftChars="208"/>
        <w:rPr>
          <w:rFonts w:cs="宋体"/>
          <w:color w:val="auto"/>
          <w:sz w:val="22"/>
          <w:highlight w:val="none"/>
        </w:rPr>
      </w:pPr>
      <w:r>
        <w:rPr>
          <w:rFonts w:hint="eastAsia" w:cs="宋体"/>
          <w:color w:val="auto"/>
          <w:sz w:val="22"/>
          <w:highlight w:val="none"/>
        </w:rPr>
        <w:t>4.有下列情形之一的，视为供应商相互串通投标：</w:t>
      </w:r>
    </w:p>
    <w:p w14:paraId="6DC99370">
      <w:pPr>
        <w:pStyle w:val="21"/>
        <w:adjustRightInd w:val="0"/>
        <w:spacing w:line="400" w:lineRule="exact"/>
        <w:ind w:left="443" w:leftChars="208"/>
        <w:rPr>
          <w:rFonts w:cs="宋体"/>
          <w:color w:val="auto"/>
          <w:sz w:val="22"/>
          <w:highlight w:val="none"/>
        </w:rPr>
      </w:pPr>
      <w:r>
        <w:rPr>
          <w:rFonts w:hint="eastAsia" w:cs="宋体"/>
          <w:color w:val="auto"/>
          <w:sz w:val="22"/>
          <w:highlight w:val="none"/>
        </w:rPr>
        <w:t>4.1不同供应商的投标文件由同一单位或者个人编制；</w:t>
      </w:r>
    </w:p>
    <w:p w14:paraId="27760EDC">
      <w:pPr>
        <w:pStyle w:val="21"/>
        <w:adjustRightInd w:val="0"/>
        <w:spacing w:line="400" w:lineRule="exact"/>
        <w:ind w:left="443" w:leftChars="208"/>
        <w:rPr>
          <w:rFonts w:cs="宋体"/>
          <w:color w:val="auto"/>
          <w:sz w:val="22"/>
          <w:highlight w:val="none"/>
        </w:rPr>
      </w:pPr>
      <w:r>
        <w:rPr>
          <w:rFonts w:hint="eastAsia" w:cs="宋体"/>
          <w:color w:val="auto"/>
          <w:sz w:val="22"/>
          <w:highlight w:val="none"/>
        </w:rPr>
        <w:t>4.2不同供应商委托同一单位或者个人办理投标事宜；</w:t>
      </w:r>
    </w:p>
    <w:p w14:paraId="23E7A7CD">
      <w:pPr>
        <w:pStyle w:val="21"/>
        <w:adjustRightInd w:val="0"/>
        <w:spacing w:line="400" w:lineRule="exact"/>
        <w:ind w:left="443" w:leftChars="208"/>
        <w:rPr>
          <w:rFonts w:cs="宋体"/>
          <w:color w:val="auto"/>
          <w:sz w:val="22"/>
          <w:highlight w:val="none"/>
        </w:rPr>
      </w:pPr>
      <w:r>
        <w:rPr>
          <w:rFonts w:hint="eastAsia" w:cs="宋体"/>
          <w:color w:val="auto"/>
          <w:sz w:val="22"/>
          <w:highlight w:val="none"/>
        </w:rPr>
        <w:t>4.3不同供应商的投标文件载明的项目管理成员为同一人；</w:t>
      </w:r>
    </w:p>
    <w:p w14:paraId="77D82E51">
      <w:pPr>
        <w:pStyle w:val="21"/>
        <w:adjustRightInd w:val="0"/>
        <w:spacing w:line="400" w:lineRule="exact"/>
        <w:ind w:left="443" w:leftChars="208"/>
        <w:rPr>
          <w:rFonts w:cs="宋体"/>
          <w:color w:val="auto"/>
          <w:sz w:val="22"/>
          <w:highlight w:val="none"/>
        </w:rPr>
      </w:pPr>
      <w:r>
        <w:rPr>
          <w:rFonts w:hint="eastAsia" w:cs="宋体"/>
          <w:color w:val="auto"/>
          <w:sz w:val="22"/>
          <w:highlight w:val="none"/>
        </w:rPr>
        <w:t>4.4不同供应商的投标文件异常一致或者投标报价呈规律性差异；</w:t>
      </w:r>
    </w:p>
    <w:p w14:paraId="58883CEF">
      <w:pPr>
        <w:pStyle w:val="21"/>
        <w:adjustRightInd w:val="0"/>
        <w:spacing w:line="400" w:lineRule="exact"/>
        <w:ind w:left="443" w:leftChars="208"/>
        <w:rPr>
          <w:rFonts w:cs="宋体"/>
          <w:color w:val="auto"/>
          <w:sz w:val="22"/>
          <w:highlight w:val="none"/>
        </w:rPr>
      </w:pPr>
      <w:r>
        <w:rPr>
          <w:rFonts w:hint="eastAsia" w:cs="宋体"/>
          <w:color w:val="auto"/>
          <w:sz w:val="22"/>
          <w:highlight w:val="none"/>
        </w:rPr>
        <w:t>4.5不同供应商的投标文件相互混装；</w:t>
      </w:r>
    </w:p>
    <w:p w14:paraId="6D791956">
      <w:pPr>
        <w:pStyle w:val="21"/>
        <w:adjustRightInd w:val="0"/>
        <w:spacing w:line="400" w:lineRule="exact"/>
        <w:ind w:left="443" w:leftChars="208"/>
        <w:rPr>
          <w:rFonts w:cs="宋体"/>
          <w:b/>
          <w:bCs/>
          <w:color w:val="auto"/>
          <w:sz w:val="22"/>
          <w:highlight w:val="none"/>
        </w:rPr>
      </w:pPr>
      <w:r>
        <w:rPr>
          <w:rFonts w:hint="eastAsia" w:cs="宋体"/>
          <w:color w:val="auto"/>
          <w:sz w:val="22"/>
          <w:highlight w:val="none"/>
        </w:rPr>
        <w:t>4.6经竞争性磋商小组认定供应商进行串通投标的，竞争性磋商小组可以对相关供应商做出无效报价处理，并上报政府采购管理部门进行进一步处理。</w:t>
      </w:r>
    </w:p>
    <w:p w14:paraId="73D5A856">
      <w:pPr>
        <w:pStyle w:val="21"/>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5.评标原则</w:t>
      </w:r>
    </w:p>
    <w:p w14:paraId="1CA9D94A">
      <w:pPr>
        <w:pStyle w:val="21"/>
        <w:adjustRightInd w:val="0"/>
        <w:spacing w:line="400" w:lineRule="exact"/>
        <w:ind w:firstLine="446" w:firstLineChars="200"/>
        <w:rPr>
          <w:rFonts w:cs="宋体"/>
          <w:b/>
          <w:bCs/>
          <w:color w:val="auto"/>
          <w:sz w:val="22"/>
          <w:highlight w:val="none"/>
        </w:rPr>
      </w:pPr>
      <w:r>
        <w:rPr>
          <w:rFonts w:hint="eastAsia" w:cs="宋体"/>
          <w:color w:val="auto"/>
          <w:sz w:val="22"/>
          <w:highlight w:val="none"/>
        </w:rPr>
        <w:t>评标办法具体见本竞争性磋商文件第七部分。</w:t>
      </w:r>
    </w:p>
    <w:p w14:paraId="79D0BDC8">
      <w:pPr>
        <w:pStyle w:val="21"/>
        <w:adjustRightInd w:val="0"/>
        <w:snapToGrid w:val="0"/>
        <w:spacing w:line="400" w:lineRule="exact"/>
        <w:ind w:firstLine="480"/>
        <w:outlineLvl w:val="0"/>
        <w:rPr>
          <w:rFonts w:cs="宋体"/>
          <w:b/>
          <w:bCs/>
          <w:color w:val="auto"/>
          <w:sz w:val="22"/>
          <w:highlight w:val="none"/>
        </w:rPr>
      </w:pPr>
      <w:bookmarkStart w:id="48" w:name="_Toc132125097"/>
      <w:bookmarkStart w:id="49" w:name="_Toc132123441"/>
      <w:bookmarkStart w:id="50" w:name="_Toc132122121"/>
      <w:bookmarkStart w:id="51" w:name="_Toc132123840"/>
      <w:bookmarkStart w:id="52" w:name="_Toc132126156"/>
      <w:bookmarkStart w:id="53" w:name="_Toc132125039"/>
      <w:bookmarkStart w:id="54" w:name="_Toc132655778"/>
      <w:bookmarkStart w:id="55" w:name="_Toc132122418"/>
      <w:bookmarkStart w:id="56" w:name="_Toc132125985"/>
      <w:bookmarkStart w:id="57" w:name="_Toc132123883"/>
      <w:bookmarkStart w:id="58" w:name="_Toc24884_WPSOffice_Level2"/>
      <w:bookmarkStart w:id="59" w:name="_Toc132124596"/>
      <w:bookmarkStart w:id="60" w:name="_Toc132125576"/>
      <w:bookmarkStart w:id="61" w:name="_Toc132123549"/>
      <w:bookmarkStart w:id="62" w:name="_Toc493530208"/>
      <w:bookmarkStart w:id="63" w:name="_Toc132123636"/>
      <w:bookmarkStart w:id="64" w:name="_Toc132125153"/>
      <w:r>
        <w:rPr>
          <w:rFonts w:hint="eastAsia" w:cs="宋体"/>
          <w:b/>
          <w:bCs/>
          <w:color w:val="auto"/>
          <w:sz w:val="22"/>
          <w:highlight w:val="none"/>
        </w:rPr>
        <w:t>六、授予合同</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340D46F4">
      <w:pPr>
        <w:pStyle w:val="21"/>
        <w:adjustRightInd w:val="0"/>
        <w:snapToGrid w:val="0"/>
        <w:spacing w:line="400" w:lineRule="exact"/>
        <w:ind w:firstLine="438" w:firstLineChars="197"/>
        <w:rPr>
          <w:rFonts w:cs="宋体"/>
          <w:b/>
          <w:bCs/>
          <w:color w:val="auto"/>
          <w:sz w:val="22"/>
          <w:highlight w:val="none"/>
        </w:rPr>
      </w:pPr>
      <w:bookmarkStart w:id="65" w:name="_Toc23038_WPSOffice_Level3"/>
      <w:r>
        <w:rPr>
          <w:rFonts w:hint="eastAsia" w:cs="宋体"/>
          <w:color w:val="auto"/>
          <w:sz w:val="22"/>
          <w:highlight w:val="none"/>
        </w:rPr>
        <w:t>1.决标</w:t>
      </w:r>
      <w:bookmarkEnd w:id="65"/>
    </w:p>
    <w:p w14:paraId="50AA8F43">
      <w:pPr>
        <w:pStyle w:val="21"/>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评标结束后，竞争性磋商小组按照竞争性磋商文件确定的评标办法推荐中标（成交）供应商。</w:t>
      </w:r>
    </w:p>
    <w:p w14:paraId="45A3822B">
      <w:pPr>
        <w:pStyle w:val="21"/>
        <w:adjustRightInd w:val="0"/>
        <w:snapToGrid w:val="0"/>
        <w:spacing w:line="400" w:lineRule="exact"/>
        <w:ind w:firstLine="438" w:firstLineChars="197"/>
        <w:rPr>
          <w:rFonts w:cs="宋体"/>
          <w:b/>
          <w:bCs/>
          <w:color w:val="auto"/>
          <w:sz w:val="22"/>
          <w:highlight w:val="none"/>
        </w:rPr>
      </w:pPr>
      <w:bookmarkStart w:id="66" w:name="_Toc764_WPSOffice_Level3"/>
      <w:r>
        <w:rPr>
          <w:rFonts w:hint="eastAsia" w:cs="宋体"/>
          <w:color w:val="auto"/>
          <w:sz w:val="22"/>
          <w:highlight w:val="none"/>
        </w:rPr>
        <w:t>2.</w:t>
      </w:r>
      <w:bookmarkEnd w:id="66"/>
      <w:r>
        <w:rPr>
          <w:rFonts w:hint="eastAsia" w:cs="宋体"/>
          <w:color w:val="auto"/>
          <w:sz w:val="22"/>
          <w:highlight w:val="none"/>
        </w:rPr>
        <w:t>中标（成交）通知书</w:t>
      </w:r>
    </w:p>
    <w:p w14:paraId="2D7C087E">
      <w:pPr>
        <w:spacing w:line="400" w:lineRule="exact"/>
        <w:ind w:firstLine="438" w:firstLineChars="197"/>
        <w:rPr>
          <w:rFonts w:ascii="宋体" w:cs="宋体"/>
          <w:color w:val="auto"/>
          <w:sz w:val="22"/>
          <w:highlight w:val="none"/>
        </w:rPr>
      </w:pPr>
      <w:r>
        <w:rPr>
          <w:rFonts w:hint="eastAsia" w:ascii="宋体" w:cs="宋体"/>
          <w:color w:val="auto"/>
          <w:sz w:val="22"/>
          <w:highlight w:val="none"/>
        </w:rPr>
        <w:t>2.1采购人依法确认中标（成交）供应商后，代理机构在浙江省政府采购网上公示中标（成交）供应商名单，公示期限为1个工作日。同时向中标（成交）供应商发出中标（成交）通知书。</w:t>
      </w:r>
    </w:p>
    <w:p w14:paraId="772F08F8">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2.2中标（成交）通知书对采购人和中标（成交）供应商具有法律约束力。中标（成交）通知书发出后，采购人改变中标结果或者中标（成交）供应商放弃中标的，应当承担法律责任。</w:t>
      </w:r>
    </w:p>
    <w:p w14:paraId="0CBBC367">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3.成交无效</w:t>
      </w:r>
    </w:p>
    <w:p w14:paraId="27F7B616">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1）发现中标（成交）供应商资格无效或中标（成交）供应商放弃成交或拒绝与采购人签订合同的,按相关法律法规规定执行，原则上重新开展政府采购活动。</w:t>
      </w:r>
    </w:p>
    <w:p w14:paraId="370F99A5">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 xml:space="preserve">    2）有《中华人民共和国政府采购法实施条例》第七十一条、第七十二条、第七十三条、第七十四条规定的违法行为之一，由政府采购监管部门依法处理。</w:t>
      </w:r>
    </w:p>
    <w:p w14:paraId="45C454CB">
      <w:pPr>
        <w:pStyle w:val="21"/>
        <w:adjustRightInd w:val="0"/>
        <w:snapToGrid w:val="0"/>
        <w:spacing w:line="400" w:lineRule="exact"/>
        <w:ind w:firstLine="438" w:firstLineChars="197"/>
        <w:rPr>
          <w:rFonts w:cs="宋体"/>
          <w:b/>
          <w:bCs/>
          <w:color w:val="auto"/>
          <w:sz w:val="22"/>
          <w:highlight w:val="none"/>
        </w:rPr>
      </w:pPr>
      <w:bookmarkStart w:id="67" w:name="_Toc3709_WPSOffice_Level3"/>
      <w:r>
        <w:rPr>
          <w:rFonts w:hint="eastAsia" w:cs="宋体"/>
          <w:color w:val="auto"/>
          <w:sz w:val="22"/>
          <w:highlight w:val="none"/>
        </w:rPr>
        <w:t>4.签订合同</w:t>
      </w:r>
      <w:bookmarkEnd w:id="67"/>
    </w:p>
    <w:p w14:paraId="0840989A">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5827B3F3">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4.2 竞争性磋商文件、中标（成交）供应商的投标文件及投标修改文件、评标过程中有关澄清文件及经双方签字的询标纪要（承诺）和中标（成交）通知书均作为合同附件。</w:t>
      </w:r>
    </w:p>
    <w:p w14:paraId="253C3639">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4.3 拒签合同的责任</w:t>
      </w:r>
    </w:p>
    <w:p w14:paraId="63B96DD8">
      <w:pPr>
        <w:pStyle w:val="21"/>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中标（成交）供应商在规定时间内（30日历天）借故否认已经承诺的条件、拒签合同者，以违约处理，并赔偿采购人由此造成的直接经济损失；采购人重新组织采购的，所需费用由原中标（成交）供应商承担。</w:t>
      </w:r>
    </w:p>
    <w:p w14:paraId="5526F071">
      <w:pPr>
        <w:pStyle w:val="21"/>
        <w:adjustRightInd w:val="0"/>
        <w:snapToGrid w:val="0"/>
        <w:spacing w:line="400" w:lineRule="exact"/>
        <w:ind w:firstLine="438" w:firstLineChars="197"/>
        <w:rPr>
          <w:rFonts w:cs="宋体"/>
          <w:b/>
          <w:bCs/>
          <w:color w:val="auto"/>
          <w:sz w:val="22"/>
          <w:highlight w:val="none"/>
        </w:rPr>
      </w:pPr>
      <w:bookmarkStart w:id="68" w:name="_Toc21884_WPSOffice_Level3"/>
      <w:r>
        <w:rPr>
          <w:rFonts w:hint="eastAsia" w:cs="宋体"/>
          <w:color w:val="auto"/>
          <w:sz w:val="22"/>
          <w:highlight w:val="none"/>
        </w:rPr>
        <w:t>5.履约保证金</w:t>
      </w:r>
      <w:bookmarkEnd w:id="68"/>
    </w:p>
    <w:p w14:paraId="6F33C494">
      <w:pPr>
        <w:pStyle w:val="21"/>
        <w:adjustRightInd w:val="0"/>
        <w:snapToGrid w:val="0"/>
        <w:spacing w:line="400" w:lineRule="exact"/>
        <w:ind w:firstLine="438" w:firstLineChars="197"/>
        <w:rPr>
          <w:rFonts w:hint="eastAsia" w:cs="宋体"/>
          <w:color w:val="auto"/>
          <w:sz w:val="22"/>
          <w:highlight w:val="none"/>
        </w:rPr>
      </w:pPr>
      <w:r>
        <w:rPr>
          <w:rFonts w:hint="eastAsia" w:ascii="宋体" w:cs="宋体"/>
          <w:b/>
          <w:bCs/>
          <w:color w:val="auto"/>
          <w:sz w:val="22"/>
          <w:highlight w:val="none"/>
        </w:rPr>
        <w:t>七、投诉质疑</w:t>
      </w:r>
      <w:r>
        <w:rPr>
          <w:rFonts w:hint="eastAsia" w:cs="宋体"/>
          <w:color w:val="auto"/>
          <w:sz w:val="22"/>
          <w:highlight w:val="none"/>
        </w:rPr>
        <w:t>合同签订后5个工作日内成交供应商应提供合同总金额1%的履约保证金至采购单位指定账户，供应商以银行、保险公司出具保函形式提交履约保证金的，采购人不得拒收。</w:t>
      </w:r>
    </w:p>
    <w:p w14:paraId="1D82BF36">
      <w:pPr>
        <w:adjustRightInd w:val="0"/>
        <w:snapToGrid w:val="0"/>
        <w:spacing w:line="400" w:lineRule="exact"/>
        <w:ind w:firstLine="446" w:firstLineChars="200"/>
        <w:jc w:val="left"/>
        <w:rPr>
          <w:rFonts w:ascii="宋体" w:cs="宋体"/>
          <w:b/>
          <w:bCs/>
          <w:color w:val="auto"/>
          <w:sz w:val="22"/>
          <w:highlight w:val="none"/>
        </w:rPr>
      </w:pPr>
    </w:p>
    <w:p w14:paraId="074F5607">
      <w:pPr>
        <w:pStyle w:val="79"/>
        <w:snapToGrid w:val="0"/>
        <w:spacing w:before="0" w:line="400" w:lineRule="exact"/>
        <w:ind w:firstLine="448"/>
        <w:rPr>
          <w:rFonts w:ascii="宋体" w:cs="宋体"/>
          <w:color w:val="auto"/>
          <w:sz w:val="22"/>
          <w:szCs w:val="22"/>
          <w:highlight w:val="none"/>
        </w:rPr>
      </w:pPr>
      <w:r>
        <w:rPr>
          <w:rFonts w:hint="eastAsia" w:ascii="宋体" w:cs="宋体"/>
          <w:color w:val="auto"/>
          <w:sz w:val="22"/>
          <w:szCs w:val="22"/>
          <w:highlight w:val="none"/>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28DADBB1">
      <w:pPr>
        <w:pStyle w:val="79"/>
        <w:spacing w:before="0" w:line="400" w:lineRule="exact"/>
        <w:ind w:firstLine="0" w:firstLineChars="0"/>
        <w:rPr>
          <w:rFonts w:ascii="宋体" w:cs="宋体"/>
          <w:b/>
          <w:color w:val="auto"/>
          <w:sz w:val="22"/>
          <w:szCs w:val="22"/>
          <w:highlight w:val="none"/>
        </w:rPr>
      </w:pPr>
      <w:r>
        <w:rPr>
          <w:rFonts w:hint="eastAsia" w:ascii="宋体" w:cs="宋体"/>
          <w:b/>
          <w:color w:val="auto"/>
          <w:sz w:val="22"/>
          <w:szCs w:val="22"/>
          <w:highlight w:val="none"/>
        </w:rPr>
        <w:t>1.供应商询问</w:t>
      </w:r>
    </w:p>
    <w:p w14:paraId="72BCFFC0">
      <w:pPr>
        <w:pStyle w:val="21"/>
        <w:spacing w:line="400" w:lineRule="exact"/>
        <w:ind w:firstLine="501" w:firstLineChars="225"/>
        <w:rPr>
          <w:rFonts w:cs="宋体"/>
          <w:color w:val="auto"/>
          <w:sz w:val="22"/>
          <w:szCs w:val="22"/>
          <w:highlight w:val="none"/>
        </w:rPr>
      </w:pPr>
      <w:r>
        <w:rPr>
          <w:rFonts w:hint="eastAsia" w:cs="宋体"/>
          <w:color w:val="auto"/>
          <w:sz w:val="22"/>
          <w:szCs w:val="22"/>
          <w:highlight w:val="none"/>
          <w:lang w:val="zh-CN"/>
        </w:rPr>
        <w:t>供应商对政府采购活动事项有疑问的，可以向招标代理机构提出询问，招标代理机构将对供应商依法提出的询问作出答复，但答复的内容不得涉及商业秘密。</w:t>
      </w:r>
    </w:p>
    <w:p w14:paraId="54F0304D">
      <w:pPr>
        <w:pStyle w:val="79"/>
        <w:spacing w:before="0" w:line="400" w:lineRule="exact"/>
        <w:ind w:firstLine="0" w:firstLineChars="0"/>
        <w:rPr>
          <w:rFonts w:ascii="宋体" w:cs="宋体"/>
          <w:b/>
          <w:color w:val="auto"/>
          <w:sz w:val="22"/>
          <w:szCs w:val="22"/>
          <w:highlight w:val="none"/>
        </w:rPr>
      </w:pPr>
      <w:r>
        <w:rPr>
          <w:rFonts w:hint="eastAsia" w:ascii="宋体" w:cs="宋体"/>
          <w:b/>
          <w:color w:val="auto"/>
          <w:sz w:val="22"/>
          <w:szCs w:val="22"/>
          <w:highlight w:val="none"/>
        </w:rPr>
        <w:t>2.供应商质疑</w:t>
      </w:r>
    </w:p>
    <w:p w14:paraId="71278465">
      <w:pPr>
        <w:pStyle w:val="21"/>
        <w:spacing w:line="400" w:lineRule="exact"/>
        <w:ind w:firstLine="501" w:firstLineChars="225"/>
        <w:rPr>
          <w:rFonts w:cs="宋体"/>
          <w:color w:val="auto"/>
          <w:sz w:val="22"/>
          <w:szCs w:val="22"/>
          <w:highlight w:val="none"/>
        </w:rPr>
      </w:pPr>
      <w:r>
        <w:rPr>
          <w:rFonts w:hint="eastAsia" w:cs="宋体"/>
          <w:color w:val="auto"/>
          <w:sz w:val="22"/>
          <w:szCs w:val="22"/>
          <w:highlight w:val="none"/>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cs="宋体"/>
          <w:color w:val="auto"/>
          <w:sz w:val="22"/>
          <w:szCs w:val="22"/>
          <w:highlight w:val="none"/>
          <w:lang w:val="zh-CN"/>
        </w:rPr>
        <w:t>否则，不予受理：</w:t>
      </w:r>
    </w:p>
    <w:p w14:paraId="0AD8C0F0">
      <w:pPr>
        <w:pStyle w:val="21"/>
        <w:spacing w:line="400" w:lineRule="exact"/>
        <w:rPr>
          <w:rFonts w:cs="宋体"/>
          <w:color w:val="auto"/>
          <w:sz w:val="22"/>
          <w:szCs w:val="22"/>
          <w:highlight w:val="none"/>
        </w:rPr>
      </w:pPr>
      <w:r>
        <w:rPr>
          <w:rFonts w:hint="eastAsia" w:cs="宋体"/>
          <w:color w:val="auto"/>
          <w:sz w:val="22"/>
          <w:szCs w:val="22"/>
          <w:highlight w:val="none"/>
        </w:rPr>
        <w:t xml:space="preserve">   （1）供应商如认为招标公告信息使自身的合法权益受到损害的，应于自招标公告发布之日起七个工作内以书面形式向招标代理机构提出质疑；</w:t>
      </w:r>
    </w:p>
    <w:p w14:paraId="7BB961F5">
      <w:pPr>
        <w:pStyle w:val="21"/>
        <w:spacing w:line="400" w:lineRule="exact"/>
        <w:rPr>
          <w:rFonts w:cs="宋体"/>
          <w:color w:val="auto"/>
          <w:sz w:val="22"/>
          <w:szCs w:val="22"/>
          <w:highlight w:val="none"/>
        </w:rPr>
      </w:pPr>
      <w:r>
        <w:rPr>
          <w:rFonts w:hint="eastAsia" w:cs="宋体"/>
          <w:color w:val="auto"/>
          <w:sz w:val="22"/>
          <w:szCs w:val="22"/>
          <w:highlight w:val="none"/>
        </w:rPr>
        <w:t xml:space="preserve">   （2）</w:t>
      </w:r>
      <w:r>
        <w:rPr>
          <w:rFonts w:hint="eastAsia" w:cs="宋体"/>
          <w:color w:val="auto"/>
          <w:sz w:val="22"/>
          <w:szCs w:val="22"/>
          <w:highlight w:val="none"/>
          <w:lang w:val="zh-CN"/>
        </w:rPr>
        <w:t>对竞争性磋商文件提出质疑的，质疑期限为供应商获得竞争性磋商文件之日或者竞争性磋商文件公告期限届满之日起计算。</w:t>
      </w:r>
    </w:p>
    <w:p w14:paraId="729CEFC9">
      <w:pPr>
        <w:autoSpaceDE w:val="0"/>
        <w:autoSpaceDN w:val="0"/>
        <w:spacing w:line="400" w:lineRule="exact"/>
        <w:jc w:val="left"/>
        <w:rPr>
          <w:rFonts w:ascii="宋体" w:cs="宋体"/>
          <w:color w:val="auto"/>
          <w:kern w:val="0"/>
          <w:sz w:val="22"/>
          <w:highlight w:val="none"/>
          <w:lang w:val="zh-CN"/>
        </w:rPr>
      </w:pPr>
      <w:r>
        <w:rPr>
          <w:rFonts w:hint="eastAsia" w:ascii="宋体" w:cs="宋体"/>
          <w:color w:val="auto"/>
          <w:sz w:val="22"/>
          <w:highlight w:val="none"/>
        </w:rPr>
        <w:t xml:space="preserve">   （3）</w:t>
      </w:r>
      <w:r>
        <w:rPr>
          <w:rFonts w:hint="eastAsia" w:ascii="宋体" w:cs="宋体"/>
          <w:color w:val="auto"/>
          <w:kern w:val="0"/>
          <w:sz w:val="22"/>
          <w:highlight w:val="none"/>
          <w:lang w:val="zh-CN"/>
        </w:rPr>
        <w:t>对采购过程提出质疑的，质疑期限为各采购程序环节结束之日起计算。</w:t>
      </w:r>
    </w:p>
    <w:p w14:paraId="149FE9AC">
      <w:pPr>
        <w:pStyle w:val="21"/>
        <w:spacing w:line="400" w:lineRule="exact"/>
        <w:rPr>
          <w:rFonts w:cs="宋体"/>
          <w:color w:val="auto"/>
          <w:sz w:val="22"/>
          <w:szCs w:val="22"/>
          <w:highlight w:val="none"/>
        </w:rPr>
      </w:pPr>
      <w:r>
        <w:rPr>
          <w:rFonts w:hint="eastAsia" w:cs="宋体"/>
          <w:color w:val="auto"/>
          <w:sz w:val="22"/>
          <w:szCs w:val="22"/>
          <w:highlight w:val="none"/>
          <w:lang w:val="zh-CN"/>
        </w:rPr>
        <w:t xml:space="preserve">   （4）对采购结果提出质疑的，质疑期限自采购结果公告（包括公示、预公告、结果变更公告等）期限届满之日起计算。</w:t>
      </w:r>
    </w:p>
    <w:p w14:paraId="17D65ABB">
      <w:pPr>
        <w:pStyle w:val="21"/>
        <w:spacing w:line="400" w:lineRule="exact"/>
        <w:ind w:firstLine="501" w:firstLineChars="225"/>
        <w:rPr>
          <w:rFonts w:cs="宋体"/>
          <w:color w:val="auto"/>
          <w:sz w:val="22"/>
          <w:szCs w:val="22"/>
          <w:highlight w:val="none"/>
        </w:rPr>
      </w:pPr>
      <w:r>
        <w:rPr>
          <w:rFonts w:hint="eastAsia" w:cs="宋体"/>
          <w:color w:val="auto"/>
          <w:sz w:val="22"/>
          <w:szCs w:val="22"/>
          <w:highlight w:val="none"/>
        </w:rPr>
        <w:t>2.2供应商提交的质疑书需一式三份，由法定代表人签字（或盖章）并加盖单位公章。质疑书至少应包括下列主要内容：</w:t>
      </w:r>
    </w:p>
    <w:p w14:paraId="052AB475">
      <w:pPr>
        <w:pStyle w:val="21"/>
        <w:spacing w:line="400" w:lineRule="exact"/>
        <w:ind w:firstLine="501" w:firstLineChars="225"/>
        <w:rPr>
          <w:rFonts w:cs="宋体"/>
          <w:color w:val="auto"/>
          <w:sz w:val="22"/>
          <w:szCs w:val="22"/>
          <w:highlight w:val="none"/>
        </w:rPr>
      </w:pPr>
      <w:r>
        <w:rPr>
          <w:rFonts w:hint="eastAsia" w:cs="宋体"/>
          <w:color w:val="auto"/>
          <w:sz w:val="22"/>
          <w:szCs w:val="22"/>
          <w:highlight w:val="none"/>
        </w:rPr>
        <w:t>（1）供应商的名称、地址、邮政编码、联系人、联系电话；</w:t>
      </w:r>
    </w:p>
    <w:p w14:paraId="5BA453A9">
      <w:pPr>
        <w:pStyle w:val="21"/>
        <w:spacing w:line="400" w:lineRule="exact"/>
        <w:ind w:firstLine="501" w:firstLineChars="225"/>
        <w:rPr>
          <w:rFonts w:cs="宋体"/>
          <w:color w:val="auto"/>
          <w:sz w:val="22"/>
          <w:szCs w:val="22"/>
          <w:highlight w:val="none"/>
        </w:rPr>
      </w:pPr>
      <w:r>
        <w:rPr>
          <w:rFonts w:hint="eastAsia" w:cs="宋体"/>
          <w:color w:val="auto"/>
          <w:sz w:val="22"/>
          <w:szCs w:val="22"/>
          <w:highlight w:val="none"/>
        </w:rPr>
        <w:t>（2）质疑项目的名称、编号；</w:t>
      </w:r>
    </w:p>
    <w:p w14:paraId="7BA727A6">
      <w:pPr>
        <w:pStyle w:val="21"/>
        <w:spacing w:line="400" w:lineRule="exact"/>
        <w:ind w:firstLine="501" w:firstLineChars="225"/>
        <w:rPr>
          <w:rFonts w:cs="宋体"/>
          <w:color w:val="auto"/>
          <w:sz w:val="22"/>
          <w:szCs w:val="22"/>
          <w:highlight w:val="none"/>
        </w:rPr>
      </w:pPr>
      <w:r>
        <w:rPr>
          <w:rFonts w:hint="eastAsia" w:cs="宋体"/>
          <w:color w:val="auto"/>
          <w:sz w:val="22"/>
          <w:szCs w:val="22"/>
          <w:highlight w:val="none"/>
        </w:rPr>
        <w:t>（3）具体、明确的质疑事项和与质疑事项相关的请求；</w:t>
      </w:r>
    </w:p>
    <w:p w14:paraId="4A00F071">
      <w:pPr>
        <w:pStyle w:val="21"/>
        <w:spacing w:line="400" w:lineRule="exact"/>
        <w:ind w:firstLine="501" w:firstLineChars="225"/>
        <w:rPr>
          <w:rFonts w:cs="宋体"/>
          <w:color w:val="auto"/>
          <w:sz w:val="22"/>
          <w:szCs w:val="22"/>
          <w:highlight w:val="none"/>
        </w:rPr>
      </w:pPr>
      <w:r>
        <w:rPr>
          <w:rFonts w:hint="eastAsia" w:cs="宋体"/>
          <w:color w:val="auto"/>
          <w:sz w:val="22"/>
          <w:szCs w:val="22"/>
          <w:highlight w:val="none"/>
        </w:rPr>
        <w:t>（4）事实依据；</w:t>
      </w:r>
    </w:p>
    <w:p w14:paraId="72CE0BE1">
      <w:pPr>
        <w:pStyle w:val="21"/>
        <w:spacing w:line="400" w:lineRule="exact"/>
        <w:ind w:firstLine="501" w:firstLineChars="225"/>
        <w:rPr>
          <w:rFonts w:cs="宋体"/>
          <w:color w:val="auto"/>
          <w:sz w:val="22"/>
          <w:szCs w:val="22"/>
          <w:highlight w:val="none"/>
        </w:rPr>
      </w:pPr>
      <w:r>
        <w:rPr>
          <w:rFonts w:hint="eastAsia" w:cs="宋体"/>
          <w:color w:val="auto"/>
          <w:sz w:val="22"/>
          <w:szCs w:val="22"/>
          <w:highlight w:val="none"/>
        </w:rPr>
        <w:t>（5）必要的法律依据；</w:t>
      </w:r>
    </w:p>
    <w:p w14:paraId="49CE9536">
      <w:pPr>
        <w:pStyle w:val="21"/>
        <w:spacing w:line="400" w:lineRule="exact"/>
        <w:ind w:firstLine="501" w:firstLineChars="225"/>
        <w:rPr>
          <w:rFonts w:cs="宋体"/>
          <w:color w:val="auto"/>
          <w:sz w:val="22"/>
          <w:szCs w:val="22"/>
          <w:highlight w:val="none"/>
        </w:rPr>
      </w:pPr>
      <w:r>
        <w:rPr>
          <w:rFonts w:hint="eastAsia" w:cs="宋体"/>
          <w:color w:val="auto"/>
          <w:sz w:val="22"/>
          <w:szCs w:val="22"/>
          <w:highlight w:val="none"/>
        </w:rPr>
        <w:t>（6）提出质疑的日期。</w:t>
      </w:r>
    </w:p>
    <w:p w14:paraId="0F449B79">
      <w:pPr>
        <w:pStyle w:val="21"/>
        <w:spacing w:line="400" w:lineRule="exact"/>
        <w:ind w:firstLine="501" w:firstLineChars="225"/>
        <w:rPr>
          <w:rFonts w:cs="宋体"/>
          <w:color w:val="auto"/>
          <w:sz w:val="22"/>
          <w:szCs w:val="22"/>
          <w:highlight w:val="none"/>
        </w:rPr>
      </w:pPr>
      <w:r>
        <w:rPr>
          <w:rFonts w:hint="eastAsia" w:cs="宋体"/>
          <w:color w:val="auto"/>
          <w:sz w:val="22"/>
          <w:szCs w:val="22"/>
          <w:highlight w:val="none"/>
        </w:rPr>
        <w:t>供应商为自然人的，应当由本人签字；供应商为法人或其他组织的，应当由法定代表人、主要负责人，或者其授权代表签字或者盖章，并加盖公章。</w:t>
      </w:r>
    </w:p>
    <w:p w14:paraId="0B21F1E3">
      <w:pPr>
        <w:pStyle w:val="21"/>
        <w:spacing w:line="400" w:lineRule="exact"/>
        <w:ind w:firstLine="501" w:firstLineChars="225"/>
        <w:rPr>
          <w:rFonts w:cs="宋体"/>
          <w:color w:val="auto"/>
          <w:sz w:val="22"/>
          <w:szCs w:val="22"/>
          <w:highlight w:val="none"/>
        </w:rPr>
      </w:pPr>
      <w:r>
        <w:rPr>
          <w:rFonts w:hint="eastAsia" w:cs="宋体"/>
          <w:color w:val="auto"/>
          <w:sz w:val="22"/>
          <w:szCs w:val="22"/>
          <w:highlight w:val="none"/>
        </w:rPr>
        <w:t>2.3采购人、采购代理机构应当在收到供应商的书面质疑后七个工作日内作出答复，并以书面形式通知质疑供应商和其他有关供应商，但答复的内容不得涉及商业秘密。</w:t>
      </w:r>
    </w:p>
    <w:p w14:paraId="1748A85B">
      <w:pPr>
        <w:pStyle w:val="79"/>
        <w:spacing w:before="0" w:line="400" w:lineRule="exact"/>
        <w:ind w:firstLine="0" w:firstLineChars="0"/>
        <w:rPr>
          <w:rFonts w:ascii="宋体" w:cs="宋体"/>
          <w:b/>
          <w:color w:val="auto"/>
          <w:sz w:val="22"/>
          <w:szCs w:val="22"/>
          <w:highlight w:val="none"/>
        </w:rPr>
      </w:pPr>
      <w:r>
        <w:rPr>
          <w:rFonts w:hint="eastAsia" w:ascii="宋体" w:cs="宋体"/>
          <w:b/>
          <w:color w:val="auto"/>
          <w:sz w:val="22"/>
          <w:szCs w:val="22"/>
          <w:highlight w:val="none"/>
        </w:rPr>
        <w:t>3.供应商投诉</w:t>
      </w:r>
    </w:p>
    <w:p w14:paraId="5B3B8B4E">
      <w:pPr>
        <w:pStyle w:val="21"/>
        <w:spacing w:line="400" w:lineRule="exact"/>
        <w:ind w:firstLine="501" w:firstLineChars="225"/>
        <w:rPr>
          <w:rFonts w:cs="宋体"/>
          <w:color w:val="auto"/>
          <w:sz w:val="22"/>
          <w:szCs w:val="22"/>
          <w:highlight w:val="none"/>
        </w:rPr>
      </w:pPr>
      <w:r>
        <w:rPr>
          <w:rFonts w:hint="eastAsia" w:cs="宋体"/>
          <w:color w:val="auto"/>
          <w:sz w:val="22"/>
          <w:szCs w:val="22"/>
          <w:highlight w:val="none"/>
        </w:rPr>
        <w:t>3.1供应商投诉应当提交投诉书和必要的证明材料。供应商投诉的事项不得超出已质疑事项的范围（基于质疑答复内容提出的投诉事项除外）。</w:t>
      </w:r>
    </w:p>
    <w:p w14:paraId="759149C7">
      <w:pPr>
        <w:pStyle w:val="21"/>
        <w:spacing w:line="400" w:lineRule="exact"/>
        <w:ind w:firstLine="501" w:firstLineChars="225"/>
        <w:rPr>
          <w:color w:val="auto"/>
          <w:highlight w:val="none"/>
        </w:rPr>
      </w:pPr>
      <w:r>
        <w:rPr>
          <w:rFonts w:hint="eastAsia" w:cs="宋体"/>
          <w:color w:val="auto"/>
          <w:sz w:val="22"/>
          <w:szCs w:val="22"/>
          <w:highlight w:val="none"/>
        </w:rPr>
        <w:t>3.2质疑供应商对采购人、采购代理机构的答复不满意或者采购人、采购代理机构未在规定的时间内作出答复的，可以在答复期满后十五个工作日内向同级财政部门提出投诉。</w:t>
      </w:r>
    </w:p>
    <w:p w14:paraId="66EBE94E">
      <w:pPr>
        <w:pStyle w:val="19"/>
        <w:ind w:left="856" w:hanging="428"/>
        <w:rPr>
          <w:rFonts w:ascii="宋体"/>
          <w:b/>
          <w:color w:val="auto"/>
          <w:sz w:val="32"/>
          <w:szCs w:val="32"/>
          <w:highlight w:val="none"/>
        </w:rPr>
      </w:pPr>
      <w:r>
        <w:rPr>
          <w:rFonts w:hint="eastAsia" w:ascii="宋体"/>
          <w:color w:val="auto"/>
          <w:highlight w:val="none"/>
        </w:rPr>
        <w:t>质疑函范本：</w:t>
      </w:r>
      <w:r>
        <w:rPr>
          <w:rFonts w:ascii="宋体"/>
          <w:color w:val="auto"/>
          <w:highlight w:val="none"/>
        </w:rPr>
        <w:drawing>
          <wp:inline distT="0" distB="0" distL="114300" distR="114300">
            <wp:extent cx="921385" cy="826135"/>
            <wp:effectExtent l="0" t="0" r="11" b="12"/>
            <wp:docPr id="7" name="图片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0"/>
                    <pic:cNvPicPr>
                      <a:picLocks noChangeAspect="1"/>
                    </pic:cNvPicPr>
                  </pic:nvPicPr>
                  <pic:blipFill>
                    <a:blip r:embed="rId11"/>
                    <a:stretch>
                      <a:fillRect/>
                    </a:stretch>
                  </pic:blipFill>
                  <pic:spPr>
                    <a:xfrm>
                      <a:off x="0" y="0"/>
                      <a:ext cx="921385" cy="826769"/>
                    </a:xfrm>
                    <a:prstGeom prst="rect">
                      <a:avLst/>
                    </a:prstGeom>
                    <a:noFill/>
                    <a:ln w="9525" cap="flat" cmpd="sng">
                      <a:noFill/>
                      <a:prstDash val="solid"/>
                      <a:round/>
                    </a:ln>
                  </pic:spPr>
                </pic:pic>
              </a:graphicData>
            </a:graphic>
          </wp:inline>
        </w:drawing>
      </w:r>
      <w:r>
        <w:rPr>
          <w:rFonts w:hint="eastAsia" w:ascii="宋体"/>
          <w:color w:val="auto"/>
          <w:highlight w:val="none"/>
        </w:rPr>
        <w:t xml:space="preserve">            投诉书范本：</w:t>
      </w:r>
      <w:r>
        <w:rPr>
          <w:rFonts w:ascii="宋体"/>
          <w:color w:val="auto"/>
          <w:highlight w:val="none"/>
        </w:rPr>
        <w:object>
          <v:shape id="_x0000_i1025" o:spt="75" type="#_x0000_t75" style="height:65.4pt;width:72.6pt;" o:ole="t" filled="f" o:preferrelative="t" stroked="f" coordsize="21600,21600">
            <v:path/>
            <v:fill on="f" focussize="0,0"/>
            <v:stroke on="f" joinstyle="miter"/>
            <v:imagedata r:id="rId13" o:title="image2"/>
            <o:lock v:ext="edit" aspectratio="t"/>
            <w10:wrap type="none"/>
            <w10:anchorlock/>
          </v:shape>
          <o:OLEObject Type="Embed" ProgID="Package" ShapeID="_x0000_i1025" DrawAspect="Icon" ObjectID="_1468075725" r:id="rId12">
            <o:LockedField>false</o:LockedField>
          </o:OLEObject>
        </w:object>
      </w:r>
    </w:p>
    <w:p w14:paraId="04A6D970">
      <w:pPr>
        <w:pStyle w:val="80"/>
        <w:spacing w:line="400" w:lineRule="exact"/>
        <w:ind w:firstLine="446" w:firstLineChars="200"/>
        <w:rPr>
          <w:rFonts w:cs="宋体"/>
          <w:color w:val="auto"/>
          <w:sz w:val="22"/>
          <w:szCs w:val="22"/>
          <w:highlight w:val="none"/>
        </w:rPr>
      </w:pPr>
      <w:bookmarkStart w:id="69" w:name="_Toc22707_WPSOffice_Level1"/>
      <w:r>
        <w:rPr>
          <w:rFonts w:hint="eastAsia" w:cs="宋体"/>
          <w:b/>
          <w:bCs/>
          <w:color w:val="auto"/>
          <w:sz w:val="22"/>
          <w:szCs w:val="22"/>
          <w:highlight w:val="none"/>
        </w:rPr>
        <w:t>4.线上质疑及投诉</w:t>
      </w:r>
    </w:p>
    <w:p w14:paraId="63674D83">
      <w:pPr>
        <w:pStyle w:val="80"/>
        <w:spacing w:line="400" w:lineRule="exact"/>
        <w:ind w:firstLine="446" w:firstLineChars="200"/>
        <w:rPr>
          <w:color w:val="auto"/>
          <w:highlight w:val="none"/>
        </w:rPr>
      </w:pPr>
      <w:r>
        <w:rPr>
          <w:rFonts w:hint="eastAsia" w:cs="宋体"/>
          <w:color w:val="auto"/>
          <w:sz w:val="22"/>
          <w:szCs w:val="22"/>
          <w:highlight w:val="none"/>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69B932A">
      <w:pPr>
        <w:pStyle w:val="26"/>
        <w:rPr>
          <w:color w:val="auto"/>
          <w:highlight w:val="none"/>
        </w:rPr>
      </w:pPr>
    </w:p>
    <w:p w14:paraId="20532826">
      <w:pPr>
        <w:rPr>
          <w:rFonts w:ascii="宋体" w:cs="宋体"/>
          <w:b/>
          <w:color w:val="auto"/>
          <w:sz w:val="32"/>
          <w:szCs w:val="32"/>
          <w:highlight w:val="none"/>
        </w:rPr>
      </w:pPr>
      <w:r>
        <w:rPr>
          <w:rFonts w:ascii="宋体" w:cs="宋体"/>
          <w:b/>
          <w:color w:val="auto"/>
          <w:sz w:val="32"/>
          <w:szCs w:val="32"/>
          <w:highlight w:val="none"/>
        </w:rPr>
        <w:br w:type="page"/>
      </w:r>
    </w:p>
    <w:bookmarkEnd w:id="69"/>
    <w:p w14:paraId="58DFE7B3">
      <w:pPr>
        <w:jc w:val="center"/>
        <w:outlineLvl w:val="0"/>
        <w:rPr>
          <w:b/>
          <w:bCs/>
          <w:color w:val="auto"/>
          <w:sz w:val="32"/>
          <w:szCs w:val="32"/>
        </w:rPr>
      </w:pPr>
      <w:bookmarkStart w:id="70" w:name="_Toc10483_WPSOffice_Level2"/>
      <w:r>
        <w:rPr>
          <w:rFonts w:hint="eastAsia" w:ascii="宋体"/>
          <w:b/>
          <w:bCs/>
          <w:color w:val="auto"/>
          <w:sz w:val="32"/>
          <w:szCs w:val="32"/>
          <w:lang w:val="zh-CN"/>
        </w:rPr>
        <w:t>第四部分</w:t>
      </w:r>
      <w:r>
        <w:rPr>
          <w:rFonts w:hint="eastAsia" w:ascii="宋体"/>
          <w:b/>
          <w:bCs/>
          <w:color w:val="auto"/>
          <w:sz w:val="32"/>
          <w:szCs w:val="32"/>
        </w:rPr>
        <w:t xml:space="preserve">  </w:t>
      </w:r>
      <w:r>
        <w:rPr>
          <w:rFonts w:hint="eastAsia" w:ascii="宋体"/>
          <w:b/>
          <w:bCs/>
          <w:color w:val="auto"/>
          <w:sz w:val="32"/>
          <w:szCs w:val="32"/>
          <w:lang w:val="zh-CN"/>
        </w:rPr>
        <w:t>政府采购政策功能相关说明</w:t>
      </w:r>
    </w:p>
    <w:p w14:paraId="7423DEB2">
      <w:pPr>
        <w:spacing w:line="320" w:lineRule="exact"/>
        <w:jc w:val="left"/>
        <w:rPr>
          <w:rFonts w:ascii="宋体" w:hAnsi="Times New Roman" w:cs="Times New Roman"/>
          <w:color w:val="auto"/>
          <w:sz w:val="22"/>
          <w:szCs w:val="21"/>
        </w:rPr>
      </w:pPr>
    </w:p>
    <w:p w14:paraId="68C9E48F">
      <w:pPr>
        <w:spacing w:line="400" w:lineRule="exact"/>
        <w:jc w:val="left"/>
        <w:rPr>
          <w:rFonts w:ascii="宋体" w:hAnsi="Times New Roman" w:cs="Times New Roman"/>
          <w:color w:val="auto"/>
          <w:sz w:val="22"/>
          <w:szCs w:val="21"/>
        </w:rPr>
      </w:pPr>
      <w:r>
        <w:rPr>
          <w:rFonts w:hint="eastAsia" w:ascii="宋体" w:hAnsi="Times New Roman" w:cs="Times New Roman"/>
          <w:color w:val="auto"/>
          <w:sz w:val="22"/>
          <w:szCs w:val="21"/>
        </w:rPr>
        <w:t>一、小微企业（含监狱企业、残疾人福利性单位）采购政策说明</w:t>
      </w:r>
    </w:p>
    <w:p w14:paraId="5D517BB7">
      <w:pPr>
        <w:tabs>
          <w:tab w:val="left" w:pos="1069"/>
          <w:tab w:val="left" w:pos="2352"/>
        </w:tabs>
        <w:adjustRightInd w:val="0"/>
        <w:spacing w:line="400" w:lineRule="exact"/>
        <w:ind w:firstLine="446" w:firstLineChars="200"/>
        <w:jc w:val="left"/>
        <w:rPr>
          <w:rFonts w:ascii="宋体" w:hAnsi="Times New Roman" w:cs="Times New Roman"/>
          <w:color w:val="auto"/>
          <w:sz w:val="22"/>
          <w:szCs w:val="21"/>
        </w:rPr>
      </w:pPr>
      <w:r>
        <w:rPr>
          <w:rFonts w:ascii="宋体" w:hAnsi="Times New Roman" w:cs="Times New Roman"/>
          <w:color w:val="auto"/>
          <w:sz w:val="22"/>
          <w:szCs w:val="21"/>
        </w:rPr>
        <w:t>1</w:t>
      </w:r>
      <w:r>
        <w:rPr>
          <w:rFonts w:hint="eastAsia" w:ascii="宋体" w:hAnsi="Times New Roman" w:cs="Times New Roman"/>
          <w:color w:val="auto"/>
          <w:sz w:val="22"/>
          <w:szCs w:val="21"/>
        </w:rPr>
        <w:t>、文件参照</w:t>
      </w:r>
    </w:p>
    <w:p w14:paraId="300426DF">
      <w:pPr>
        <w:tabs>
          <w:tab w:val="left" w:pos="1069"/>
          <w:tab w:val="left" w:pos="2352"/>
        </w:tabs>
        <w:adjustRightInd w:val="0"/>
        <w:spacing w:line="400" w:lineRule="exact"/>
        <w:ind w:firstLine="446" w:firstLineChars="200"/>
        <w:jc w:val="left"/>
        <w:rPr>
          <w:rFonts w:ascii="宋体" w:hAnsi="Times New Roman" w:cs="Times New Roman"/>
          <w:color w:val="auto"/>
          <w:sz w:val="22"/>
          <w:szCs w:val="21"/>
        </w:rPr>
      </w:pPr>
      <w:r>
        <w:rPr>
          <w:rFonts w:hint="eastAsia" w:ascii="宋体" w:hAnsi="Times New Roman" w:cs="Times New Roman"/>
          <w:color w:val="auto"/>
          <w:sz w:val="22"/>
          <w:szCs w:val="21"/>
        </w:rPr>
        <w:t>（</w:t>
      </w:r>
      <w:r>
        <w:rPr>
          <w:rFonts w:ascii="宋体" w:hAnsi="Times New Roman" w:cs="Times New Roman"/>
          <w:color w:val="auto"/>
          <w:sz w:val="22"/>
          <w:szCs w:val="21"/>
        </w:rPr>
        <w:t>1</w:t>
      </w:r>
      <w:r>
        <w:rPr>
          <w:rFonts w:hint="eastAsia" w:ascii="宋体" w:hAnsi="Times New Roman" w:cs="Times New Roman"/>
          <w:color w:val="auto"/>
          <w:sz w:val="22"/>
          <w:szCs w:val="21"/>
        </w:rPr>
        <w:t>）《政府采购促进中小企业发展管理办法》（财库﹝2020﹞46 号）</w:t>
      </w:r>
    </w:p>
    <w:p w14:paraId="1BCA0108">
      <w:pPr>
        <w:tabs>
          <w:tab w:val="left" w:pos="1069"/>
          <w:tab w:val="left" w:pos="2352"/>
        </w:tabs>
        <w:adjustRightInd w:val="0"/>
        <w:spacing w:line="400" w:lineRule="exact"/>
        <w:ind w:firstLine="446" w:firstLineChars="200"/>
        <w:jc w:val="left"/>
        <w:rPr>
          <w:rFonts w:ascii="宋体" w:hAnsi="Times New Roman" w:cs="Times New Roman"/>
          <w:color w:val="auto"/>
          <w:sz w:val="22"/>
          <w:szCs w:val="21"/>
        </w:rPr>
      </w:pPr>
      <w:r>
        <w:rPr>
          <w:rFonts w:hint="eastAsia" w:ascii="宋体" w:hAnsi="Times New Roman" w:cs="Times New Roman"/>
          <w:color w:val="auto"/>
          <w:sz w:val="22"/>
          <w:szCs w:val="21"/>
        </w:rPr>
        <w:t>（</w:t>
      </w:r>
      <w:r>
        <w:rPr>
          <w:rFonts w:ascii="宋体" w:hAnsi="Times New Roman" w:cs="Times New Roman"/>
          <w:color w:val="auto"/>
          <w:sz w:val="22"/>
          <w:szCs w:val="21"/>
        </w:rPr>
        <w:t>2</w:t>
      </w:r>
      <w:r>
        <w:rPr>
          <w:rFonts w:hint="eastAsia" w:ascii="宋体" w:hAnsi="Times New Roman" w:cs="Times New Roman"/>
          <w:color w:val="auto"/>
          <w:sz w:val="22"/>
          <w:szCs w:val="21"/>
        </w:rPr>
        <w:t>）浙江省省财政厅《关于开展政府采购供应商网上注册登记和诚信管理工作的通知》（浙财采监〔2010〕8号)</w:t>
      </w:r>
    </w:p>
    <w:p w14:paraId="1B200CC8">
      <w:pPr>
        <w:tabs>
          <w:tab w:val="left" w:pos="1069"/>
          <w:tab w:val="left" w:pos="2352"/>
        </w:tabs>
        <w:adjustRightInd w:val="0"/>
        <w:spacing w:line="400" w:lineRule="exact"/>
        <w:ind w:firstLine="446" w:firstLineChars="200"/>
        <w:jc w:val="left"/>
        <w:rPr>
          <w:rFonts w:ascii="宋体" w:hAnsi="Times New Roman" w:cs="Times New Roman"/>
          <w:color w:val="auto"/>
          <w:sz w:val="22"/>
          <w:szCs w:val="21"/>
        </w:rPr>
      </w:pPr>
      <w:r>
        <w:rPr>
          <w:rFonts w:hint="eastAsia" w:ascii="宋体" w:hAnsi="Times New Roman" w:cs="Times New Roman"/>
          <w:color w:val="auto"/>
          <w:sz w:val="22"/>
          <w:szCs w:val="21"/>
        </w:rPr>
        <w:t>（3）《工业和信息化部、国家统计局、国家发展和改革委员会、财政部关于印发中小企业划型标准规定的通知》（工信部联企业﹝2011﹞300号）</w:t>
      </w:r>
    </w:p>
    <w:p w14:paraId="76B750A8">
      <w:pPr>
        <w:tabs>
          <w:tab w:val="left" w:pos="2352"/>
        </w:tabs>
        <w:adjustRightInd w:val="0"/>
        <w:spacing w:line="400" w:lineRule="exact"/>
        <w:ind w:firstLine="446" w:firstLineChars="200"/>
        <w:jc w:val="left"/>
        <w:rPr>
          <w:rFonts w:ascii="宋体" w:hAnsi="Times New Roman" w:cs="Times New Roman"/>
          <w:color w:val="auto"/>
          <w:sz w:val="22"/>
          <w:szCs w:val="21"/>
        </w:rPr>
      </w:pPr>
      <w:r>
        <w:rPr>
          <w:rFonts w:hint="eastAsia" w:ascii="宋体" w:hAnsi="Times New Roman" w:cs="Times New Roman"/>
          <w:color w:val="auto"/>
          <w:sz w:val="22"/>
          <w:szCs w:val="21"/>
        </w:rPr>
        <w:t>（4）财政部、司法部《关于政府采购支持监狱企业发展有关问题的通知》（财库〔</w:t>
      </w:r>
      <w:r>
        <w:rPr>
          <w:rFonts w:ascii="宋体" w:hAnsi="Times New Roman" w:cs="Times New Roman"/>
          <w:color w:val="auto"/>
          <w:sz w:val="22"/>
          <w:szCs w:val="21"/>
        </w:rPr>
        <w:t>2014</w:t>
      </w:r>
      <w:r>
        <w:rPr>
          <w:rFonts w:hint="eastAsia" w:ascii="宋体" w:hAnsi="Times New Roman" w:cs="Times New Roman"/>
          <w:color w:val="auto"/>
          <w:sz w:val="22"/>
          <w:szCs w:val="21"/>
        </w:rPr>
        <w:t>〕</w:t>
      </w:r>
      <w:r>
        <w:rPr>
          <w:rFonts w:ascii="宋体" w:hAnsi="Times New Roman" w:cs="Times New Roman"/>
          <w:color w:val="auto"/>
          <w:sz w:val="22"/>
          <w:szCs w:val="21"/>
        </w:rPr>
        <w:t>68</w:t>
      </w:r>
      <w:r>
        <w:rPr>
          <w:rFonts w:hint="eastAsia" w:ascii="宋体" w:hAnsi="Times New Roman" w:cs="Times New Roman"/>
          <w:color w:val="auto"/>
          <w:sz w:val="22"/>
          <w:szCs w:val="21"/>
        </w:rPr>
        <w:t>号）</w:t>
      </w:r>
    </w:p>
    <w:p w14:paraId="754791CD">
      <w:pPr>
        <w:tabs>
          <w:tab w:val="left" w:pos="2352"/>
        </w:tabs>
        <w:adjustRightInd w:val="0"/>
        <w:spacing w:line="400" w:lineRule="exact"/>
        <w:ind w:firstLine="446" w:firstLineChars="200"/>
        <w:jc w:val="left"/>
        <w:rPr>
          <w:rFonts w:ascii="宋体" w:hAnsi="Times New Roman" w:cs="Times New Roman"/>
          <w:color w:val="auto"/>
          <w:sz w:val="22"/>
          <w:szCs w:val="21"/>
        </w:rPr>
      </w:pPr>
      <w:r>
        <w:rPr>
          <w:rFonts w:hint="eastAsia" w:ascii="宋体" w:hAnsi="Times New Roman" w:cs="Times New Roman"/>
          <w:color w:val="auto"/>
          <w:sz w:val="22"/>
          <w:szCs w:val="21"/>
        </w:rPr>
        <w:t>（5）《财政部民政部中国残疾人联合会关于促进残疾人就业政府采购政策的通知》（财库〔</w:t>
      </w:r>
      <w:r>
        <w:rPr>
          <w:rFonts w:ascii="宋体" w:hAnsi="Times New Roman" w:cs="Times New Roman"/>
          <w:color w:val="auto"/>
          <w:sz w:val="22"/>
          <w:szCs w:val="21"/>
        </w:rPr>
        <w:t>2017</w:t>
      </w:r>
      <w:r>
        <w:rPr>
          <w:rFonts w:hint="eastAsia" w:ascii="宋体" w:hAnsi="Times New Roman" w:cs="Times New Roman"/>
          <w:color w:val="auto"/>
          <w:sz w:val="22"/>
          <w:szCs w:val="21"/>
        </w:rPr>
        <w:t>〕</w:t>
      </w:r>
      <w:r>
        <w:rPr>
          <w:rFonts w:ascii="宋体" w:hAnsi="Times New Roman" w:cs="Times New Roman"/>
          <w:color w:val="auto"/>
          <w:sz w:val="22"/>
          <w:szCs w:val="21"/>
        </w:rPr>
        <w:t xml:space="preserve"> 141</w:t>
      </w:r>
      <w:r>
        <w:rPr>
          <w:rFonts w:hint="eastAsia" w:ascii="宋体" w:hAnsi="Times New Roman" w:cs="Times New Roman"/>
          <w:color w:val="auto"/>
          <w:sz w:val="22"/>
          <w:szCs w:val="21"/>
        </w:rPr>
        <w:t>号）</w:t>
      </w:r>
    </w:p>
    <w:p w14:paraId="7B901119">
      <w:pPr>
        <w:tabs>
          <w:tab w:val="left" w:pos="2352"/>
        </w:tabs>
        <w:adjustRightInd w:val="0"/>
        <w:spacing w:line="400" w:lineRule="exact"/>
        <w:ind w:firstLine="446" w:firstLineChars="200"/>
        <w:jc w:val="left"/>
        <w:rPr>
          <w:color w:val="auto"/>
        </w:rPr>
      </w:pPr>
      <w:r>
        <w:rPr>
          <w:rFonts w:hint="eastAsia" w:ascii="宋体" w:hAnsi="Times New Roman" w:cs="Times New Roman"/>
          <w:color w:val="auto"/>
          <w:sz w:val="22"/>
          <w:szCs w:val="21"/>
        </w:rPr>
        <w:t>（6）《关于进一步加大政府采购支持中小企业力度的通知》（财库〔</w:t>
      </w:r>
      <w:r>
        <w:rPr>
          <w:rFonts w:ascii="宋体" w:hAnsi="Times New Roman" w:cs="Times New Roman"/>
          <w:color w:val="auto"/>
          <w:sz w:val="22"/>
          <w:szCs w:val="21"/>
        </w:rPr>
        <w:t>20</w:t>
      </w:r>
      <w:r>
        <w:rPr>
          <w:rFonts w:hint="eastAsia" w:ascii="宋体" w:hAnsi="Times New Roman" w:cs="Times New Roman"/>
          <w:color w:val="auto"/>
          <w:sz w:val="22"/>
          <w:szCs w:val="21"/>
        </w:rPr>
        <w:t>22〕19号）</w:t>
      </w:r>
    </w:p>
    <w:p w14:paraId="2B34C48E">
      <w:pPr>
        <w:tabs>
          <w:tab w:val="left" w:pos="1069"/>
          <w:tab w:val="left" w:pos="2352"/>
        </w:tabs>
        <w:adjustRightInd w:val="0"/>
        <w:spacing w:line="400" w:lineRule="exact"/>
        <w:ind w:firstLine="446" w:firstLineChars="200"/>
        <w:jc w:val="left"/>
        <w:rPr>
          <w:rFonts w:ascii="Times New Roman" w:hAnsi="宋体" w:cs="宋体"/>
          <w:color w:val="auto"/>
          <w:sz w:val="22"/>
          <w:szCs w:val="21"/>
        </w:rPr>
      </w:pPr>
      <w:r>
        <w:rPr>
          <w:rFonts w:hint="eastAsia" w:ascii="Times New Roman" w:hAnsi="宋体" w:cs="宋体"/>
          <w:color w:val="auto"/>
          <w:sz w:val="22"/>
          <w:szCs w:val="21"/>
        </w:rPr>
        <w:t>（7）《浙江省财政厅关于进一步发挥政府采购政策功能全力推动经济稳进提质的通知》（浙财采监〔2022〕3号）</w:t>
      </w:r>
    </w:p>
    <w:p w14:paraId="618BCC48">
      <w:pPr>
        <w:tabs>
          <w:tab w:val="left" w:pos="1069"/>
          <w:tab w:val="left" w:pos="2352"/>
        </w:tabs>
        <w:adjustRightInd w:val="0"/>
        <w:spacing w:line="400" w:lineRule="exact"/>
        <w:ind w:firstLine="446" w:firstLineChars="200"/>
        <w:jc w:val="left"/>
        <w:rPr>
          <w:rFonts w:ascii="Times New Roman" w:hAnsi="Times New Roman" w:cs="Times New Roman"/>
          <w:color w:val="auto"/>
          <w:szCs w:val="21"/>
        </w:rPr>
      </w:pPr>
      <w:r>
        <w:rPr>
          <w:rFonts w:hint="eastAsia" w:ascii="Times New Roman" w:hAnsi="宋体" w:cs="宋体"/>
          <w:color w:val="auto"/>
          <w:sz w:val="22"/>
          <w:szCs w:val="21"/>
        </w:rPr>
        <w:t>（8）《关于进一步加大政府采购支持中小企业力度助力扎实稳住经济的通知》（浙财采监〔2022〕8号）</w:t>
      </w:r>
    </w:p>
    <w:p w14:paraId="7C51ABDC">
      <w:pPr>
        <w:tabs>
          <w:tab w:val="left" w:pos="1069"/>
          <w:tab w:val="left" w:pos="2352"/>
        </w:tabs>
        <w:spacing w:line="440" w:lineRule="atLeast"/>
        <w:ind w:firstLine="446" w:firstLineChars="200"/>
        <w:jc w:val="left"/>
        <w:rPr>
          <w:rFonts w:ascii="宋体"/>
          <w:sz w:val="22"/>
        </w:rPr>
      </w:pPr>
      <w:r>
        <w:rPr>
          <w:rFonts w:hint="eastAsia" w:ascii="宋体"/>
          <w:sz w:val="22"/>
        </w:rPr>
        <w:t>2、</w:t>
      </w:r>
      <w:r>
        <w:rPr>
          <w:rFonts w:hint="eastAsia"/>
          <w:b/>
          <w:bCs/>
          <w:sz w:val="22"/>
          <w:u w:val="single"/>
        </w:rPr>
        <w:t>符合</w:t>
      </w:r>
      <w:r>
        <w:rPr>
          <w:rFonts w:hint="eastAsia" w:cs="宋体"/>
          <w:b/>
          <w:bCs/>
          <w:sz w:val="22"/>
          <w:u w:val="single"/>
        </w:rPr>
        <w:t>要求提供以下证明材</w:t>
      </w:r>
      <w:r>
        <w:rPr>
          <w:rFonts w:hint="eastAsia" w:ascii="宋体"/>
          <w:b/>
          <w:bCs/>
          <w:sz w:val="22"/>
          <w:u w:val="single"/>
        </w:rPr>
        <w:t>料（附在</w:t>
      </w:r>
      <w:r>
        <w:rPr>
          <w:rFonts w:hint="eastAsia" w:ascii="宋体" w:cs="宋体"/>
          <w:b/>
          <w:bCs/>
          <w:sz w:val="22"/>
          <w:u w:val="single"/>
        </w:rPr>
        <w:t>《商务技术文件》</w:t>
      </w:r>
      <w:r>
        <w:rPr>
          <w:rFonts w:hint="eastAsia" w:ascii="宋体"/>
          <w:b/>
          <w:bCs/>
          <w:sz w:val="22"/>
          <w:u w:val="single"/>
        </w:rPr>
        <w:t>中）</w:t>
      </w:r>
      <w:r>
        <w:rPr>
          <w:rFonts w:hint="eastAsia" w:ascii="宋体"/>
          <w:sz w:val="22"/>
        </w:rPr>
        <w:t>：</w:t>
      </w:r>
    </w:p>
    <w:p w14:paraId="40AA6F7D">
      <w:pPr>
        <w:tabs>
          <w:tab w:val="left" w:pos="2352"/>
        </w:tabs>
        <w:spacing w:line="440" w:lineRule="atLeast"/>
        <w:jc w:val="left"/>
        <w:rPr>
          <w:rFonts w:ascii="宋体"/>
          <w:sz w:val="22"/>
        </w:rPr>
      </w:pPr>
      <w:r>
        <w:rPr>
          <w:rFonts w:hint="eastAsia" w:ascii="宋体"/>
          <w:sz w:val="22"/>
        </w:rPr>
        <w:t>（1）中小企业：中小企业声明函（原件，加盖供应商公章，格式见附件1）</w:t>
      </w:r>
    </w:p>
    <w:p w14:paraId="3087DDB6">
      <w:pPr>
        <w:tabs>
          <w:tab w:val="left" w:pos="2352"/>
        </w:tabs>
        <w:spacing w:line="440" w:lineRule="atLeast"/>
        <w:jc w:val="left"/>
        <w:rPr>
          <w:rFonts w:ascii="宋体"/>
          <w:sz w:val="22"/>
        </w:rPr>
      </w:pPr>
      <w:r>
        <w:rPr>
          <w:rFonts w:hint="eastAsia" w:ascii="宋体"/>
          <w:sz w:val="22"/>
        </w:rPr>
        <w:t>（2）残疾人福利性单位：残疾人福利性单位声明函（原件，加盖供应商公章，格式见附件1）</w:t>
      </w:r>
    </w:p>
    <w:p w14:paraId="096D6033">
      <w:pPr>
        <w:tabs>
          <w:tab w:val="left" w:pos="2352"/>
        </w:tabs>
        <w:spacing w:line="440" w:lineRule="atLeast"/>
        <w:jc w:val="left"/>
        <w:rPr>
          <w:rFonts w:ascii="宋体"/>
          <w:sz w:val="22"/>
        </w:rPr>
      </w:pPr>
      <w:r>
        <w:rPr>
          <w:rFonts w:hint="eastAsia" w:ascii="宋体"/>
          <w:sz w:val="22"/>
        </w:rPr>
        <w:t>（3）监狱企业：提供由省级以上监狱管理局、戒毒管理局（含新疆生产建设兵团）出具的属于监狱企业的证明文件（原件）</w:t>
      </w:r>
    </w:p>
    <w:p w14:paraId="2DC74D9D">
      <w:pPr>
        <w:tabs>
          <w:tab w:val="left" w:pos="2352"/>
        </w:tabs>
        <w:spacing w:line="440" w:lineRule="atLeast"/>
        <w:ind w:firstLine="446" w:firstLineChars="200"/>
        <w:jc w:val="left"/>
        <w:rPr>
          <w:rFonts w:ascii="宋体"/>
          <w:sz w:val="22"/>
        </w:rPr>
      </w:pPr>
      <w:r>
        <w:rPr>
          <w:rFonts w:hint="eastAsia" w:ascii="宋体"/>
          <w:sz w:val="22"/>
        </w:rPr>
        <w:t>3、扶持政策说明：</w:t>
      </w:r>
      <w:bookmarkStart w:id="146" w:name="_GoBack"/>
      <w:bookmarkEnd w:id="146"/>
      <w:r>
        <w:rPr>
          <w:rFonts w:hint="eastAsia" w:ascii="宋体"/>
          <w:b/>
          <w:bCs/>
          <w:sz w:val="22"/>
          <w:u w:val="single"/>
        </w:rPr>
        <w:t>残疾人福利性单位、监狱企业参加投标视同小微企业。</w:t>
      </w:r>
    </w:p>
    <w:p w14:paraId="37EFE80B">
      <w:pPr>
        <w:tabs>
          <w:tab w:val="left" w:pos="2352"/>
        </w:tabs>
        <w:adjustRightInd w:val="0"/>
        <w:spacing w:line="400" w:lineRule="exact"/>
        <w:ind w:firstLine="446" w:firstLineChars="200"/>
        <w:jc w:val="left"/>
        <w:rPr>
          <w:rFonts w:ascii="宋体" w:hAnsi="Times New Roman" w:cs="Times New Roman"/>
          <w:color w:val="auto"/>
          <w:sz w:val="22"/>
          <w:szCs w:val="21"/>
        </w:rPr>
      </w:pPr>
      <w:r>
        <w:rPr>
          <w:rFonts w:hint="eastAsia" w:ascii="宋体"/>
          <w:sz w:val="22"/>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138056BD">
      <w:pPr>
        <w:spacing w:line="440" w:lineRule="atLeast"/>
        <w:ind w:firstLine="446" w:firstLineChars="200"/>
        <w:jc w:val="left"/>
        <w:rPr>
          <w:rFonts w:ascii="宋体"/>
          <w:color w:val="auto"/>
          <w:sz w:val="22"/>
          <w:highlight w:val="none"/>
        </w:rPr>
      </w:pPr>
      <w:r>
        <w:rPr>
          <w:rFonts w:hint="eastAsia" w:ascii="宋体"/>
          <w:color w:val="auto"/>
          <w:sz w:val="22"/>
          <w:highlight w:val="none"/>
        </w:rPr>
        <w:t>5、</w:t>
      </w:r>
      <w:r>
        <w:rPr>
          <w:rFonts w:hint="eastAsia" w:ascii="宋体"/>
          <w:b/>
          <w:bCs/>
          <w:color w:val="auto"/>
          <w:sz w:val="22"/>
          <w:highlight w:val="none"/>
          <w:u w:val="single"/>
        </w:rPr>
        <w:t>本项目对小型和微型企业产品的价格给予</w:t>
      </w:r>
      <w:r>
        <w:rPr>
          <w:rFonts w:hint="eastAsia"/>
          <w:b/>
          <w:bCs/>
          <w:color w:val="auto"/>
          <w:sz w:val="22"/>
          <w:highlight w:val="none"/>
          <w:u w:val="single"/>
        </w:rPr>
        <w:t>扣除10%，按扣除后的价格参与评审。</w:t>
      </w:r>
    </w:p>
    <w:p w14:paraId="77B781DC">
      <w:pPr>
        <w:adjustRightInd w:val="0"/>
        <w:spacing w:line="400" w:lineRule="exact"/>
        <w:ind w:firstLine="446" w:firstLineChars="200"/>
        <w:jc w:val="left"/>
        <w:rPr>
          <w:rFonts w:ascii="宋体" w:hAnsi="Times New Roman" w:cs="Times New Roman"/>
          <w:b/>
          <w:bCs/>
          <w:color w:val="auto"/>
          <w:sz w:val="22"/>
          <w:szCs w:val="21"/>
        </w:rPr>
      </w:pPr>
      <w:r>
        <w:rPr>
          <w:rFonts w:hint="eastAsia" w:ascii="宋体" w:cs="Times New Roman"/>
          <w:color w:val="auto"/>
          <w:sz w:val="22"/>
          <w:szCs w:val="21"/>
          <w:lang w:val="en-US" w:eastAsia="zh-CN"/>
        </w:rPr>
        <w:t>6</w:t>
      </w:r>
      <w:r>
        <w:rPr>
          <w:rFonts w:hint="eastAsia" w:ascii="宋体" w:hAnsi="Times New Roman" w:cs="Times New Roman"/>
          <w:color w:val="auto"/>
          <w:sz w:val="22"/>
          <w:szCs w:val="21"/>
        </w:rPr>
        <w:t>、本项目</w:t>
      </w:r>
      <w:r>
        <w:rPr>
          <w:rFonts w:hint="eastAsia" w:ascii="宋体" w:hAnsi="Times New Roman" w:cs="Times New Roman"/>
          <w:b/>
          <w:bCs/>
          <w:color w:val="auto"/>
          <w:sz w:val="22"/>
          <w:szCs w:val="21"/>
        </w:rPr>
        <w:t>采购文件明确采购的标的所属行业</w:t>
      </w:r>
      <w:r>
        <w:rPr>
          <w:rFonts w:hint="eastAsia" w:ascii="宋体" w:hAnsi="Times New Roman" w:cs="Times New Roman"/>
          <w:color w:val="auto"/>
          <w:sz w:val="22"/>
          <w:szCs w:val="21"/>
        </w:rPr>
        <w:t>为</w:t>
      </w:r>
      <w:r>
        <w:rPr>
          <w:rFonts w:hint="eastAsia" w:ascii="宋体" w:hAnsi="Times New Roman" w:cs="Times New Roman"/>
          <w:b/>
          <w:bCs/>
          <w:color w:val="auto"/>
          <w:sz w:val="22"/>
          <w:szCs w:val="21"/>
          <w:u w:val="single"/>
        </w:rPr>
        <w:t>其他未列明行业</w:t>
      </w:r>
      <w:r>
        <w:rPr>
          <w:rFonts w:hint="eastAsia" w:ascii="宋体" w:hAnsi="Times New Roman" w:cs="Times New Roman"/>
          <w:color w:val="auto"/>
          <w:sz w:val="22"/>
          <w:szCs w:val="21"/>
        </w:rPr>
        <w:t>。</w:t>
      </w:r>
    </w:p>
    <w:p w14:paraId="21334B21">
      <w:pPr>
        <w:spacing w:line="440" w:lineRule="atLeast"/>
        <w:jc w:val="left"/>
        <w:rPr>
          <w:rFonts w:ascii="宋体" w:hAnsi="Times New Roman" w:cs="Times New Roman"/>
          <w:b/>
          <w:bCs/>
          <w:color w:val="auto"/>
          <w:sz w:val="24"/>
        </w:rPr>
      </w:pPr>
    </w:p>
    <w:p w14:paraId="61B9A29A">
      <w:pPr>
        <w:spacing w:line="440" w:lineRule="atLeast"/>
        <w:jc w:val="left"/>
        <w:rPr>
          <w:rFonts w:ascii="宋体" w:hAnsi="Times New Roman" w:cs="Times New Roman"/>
          <w:b/>
          <w:bCs/>
          <w:color w:val="auto"/>
          <w:sz w:val="24"/>
        </w:rPr>
      </w:pPr>
    </w:p>
    <w:p w14:paraId="2F9F0E0B">
      <w:pPr>
        <w:snapToGrid w:val="0"/>
        <w:spacing w:line="360" w:lineRule="auto"/>
        <w:jc w:val="left"/>
        <w:rPr>
          <w:rFonts w:ascii="宋体" w:hAnsi="宋体" w:cs="宋体"/>
          <w:b/>
          <w:bCs/>
          <w:color w:val="auto"/>
          <w:sz w:val="28"/>
          <w:szCs w:val="28"/>
        </w:rPr>
      </w:pPr>
      <w:r>
        <w:rPr>
          <w:rFonts w:hint="eastAsia" w:ascii="宋体" w:hAnsi="宋体" w:cs="宋体"/>
          <w:b/>
          <w:bCs/>
          <w:color w:val="auto"/>
          <w:sz w:val="28"/>
          <w:szCs w:val="28"/>
        </w:rPr>
        <w:t>附件</w:t>
      </w:r>
      <w:r>
        <w:rPr>
          <w:rFonts w:ascii="宋体" w:hAnsi="宋体" w:cs="宋体"/>
          <w:b/>
          <w:bCs/>
          <w:color w:val="auto"/>
          <w:sz w:val="28"/>
          <w:szCs w:val="28"/>
        </w:rPr>
        <w:t>1</w:t>
      </w:r>
    </w:p>
    <w:p w14:paraId="28E13EFA">
      <w:pPr>
        <w:snapToGrid w:val="0"/>
        <w:spacing w:line="360" w:lineRule="auto"/>
        <w:jc w:val="center"/>
        <w:rPr>
          <w:rFonts w:ascii="宋体" w:hAnsi="宋体" w:cs="Times New Roman"/>
          <w:b/>
          <w:bCs/>
          <w:color w:val="auto"/>
          <w:sz w:val="28"/>
          <w:szCs w:val="28"/>
        </w:rPr>
      </w:pPr>
      <w:r>
        <w:rPr>
          <w:rFonts w:hint="eastAsia" w:ascii="宋体" w:hAnsi="宋体" w:cs="宋体"/>
          <w:b/>
          <w:bCs/>
          <w:color w:val="auto"/>
          <w:sz w:val="28"/>
          <w:szCs w:val="28"/>
        </w:rPr>
        <w:t>中小企业声明函（服务）</w:t>
      </w:r>
    </w:p>
    <w:p w14:paraId="3DDA005B">
      <w:pPr>
        <w:tabs>
          <w:tab w:val="left" w:pos="1069"/>
        </w:tabs>
        <w:spacing w:line="400" w:lineRule="exact"/>
        <w:ind w:firstLine="446" w:firstLineChars="200"/>
        <w:rPr>
          <w:rFonts w:ascii="宋体" w:hAnsi="宋体" w:cs="宋体"/>
          <w:color w:val="auto"/>
          <w:sz w:val="22"/>
        </w:rPr>
      </w:pPr>
      <w:r>
        <w:rPr>
          <w:rFonts w:hint="eastAsia" w:ascii="宋体" w:hAnsi="宋体" w:cs="宋体"/>
          <w:color w:val="auto"/>
          <w:sz w:val="22"/>
        </w:rPr>
        <w:t xml:space="preserve">本公司（联合体）郑重声明，根据《政府采购促进中小企业发展管理办法》（财库﹝2020﹞46 号）的规定，本公司 </w:t>
      </w:r>
      <w:r>
        <w:rPr>
          <w:rFonts w:hint="eastAsia" w:ascii="宋体" w:hAnsi="宋体" w:cs="宋体"/>
          <w:color w:val="auto"/>
          <w:sz w:val="22"/>
          <w:u w:val="single"/>
        </w:rPr>
        <w:t>（联合体）</w:t>
      </w:r>
      <w:r>
        <w:rPr>
          <w:rFonts w:hint="eastAsia" w:ascii="宋体" w:hAnsi="宋体" w:cs="宋体"/>
          <w:color w:val="auto"/>
          <w:sz w:val="22"/>
        </w:rPr>
        <w:t>参加</w:t>
      </w:r>
      <w:r>
        <w:rPr>
          <w:rFonts w:hint="eastAsia" w:ascii="宋体" w:hAnsi="宋体" w:cs="宋体"/>
          <w:color w:val="auto"/>
          <w:sz w:val="22"/>
          <w:u w:val="single"/>
        </w:rPr>
        <w:t>（单位名称）</w:t>
      </w:r>
      <w:r>
        <w:rPr>
          <w:rFonts w:hint="eastAsia" w:ascii="宋体" w:hAnsi="宋体" w:cs="宋体"/>
          <w:color w:val="auto"/>
          <w:sz w:val="22"/>
        </w:rPr>
        <w:t>的</w:t>
      </w:r>
      <w:r>
        <w:rPr>
          <w:rFonts w:hint="eastAsia" w:ascii="宋体" w:hAnsi="宋体" w:cs="宋体"/>
          <w:color w:val="auto"/>
          <w:sz w:val="22"/>
          <w:u w:val="single"/>
        </w:rPr>
        <w:t>（项目名称）</w:t>
      </w:r>
      <w:r>
        <w:rPr>
          <w:rFonts w:hint="eastAsia" w:ascii="宋体" w:hAnsi="宋体" w:cs="宋体"/>
          <w:color w:val="auto"/>
          <w:sz w:val="22"/>
        </w:rPr>
        <w:t xml:space="preserve">采购活动，工程的施工单位全部为符合政策要求的中小企业（或者：服务全部由符合政策要求的中小企业承接）。相关企业（含联合体中的中小企业、签订分包意向协议的中小企业）的具体情 况如下： </w:t>
      </w:r>
    </w:p>
    <w:p w14:paraId="44445B8A">
      <w:pPr>
        <w:numPr>
          <w:ilvl w:val="0"/>
          <w:numId w:val="7"/>
        </w:numPr>
        <w:tabs>
          <w:tab w:val="left" w:pos="1069"/>
        </w:tabs>
        <w:spacing w:line="400" w:lineRule="exact"/>
        <w:ind w:firstLine="446" w:firstLineChars="200"/>
        <w:rPr>
          <w:rFonts w:ascii="宋体" w:hAnsi="宋体" w:cs="宋体"/>
          <w:color w:val="auto"/>
          <w:sz w:val="22"/>
        </w:rPr>
      </w:pPr>
      <w:r>
        <w:rPr>
          <w:rFonts w:hint="eastAsia" w:ascii="宋体" w:hAnsi="宋体" w:cs="宋体"/>
          <w:color w:val="auto"/>
          <w:sz w:val="22"/>
          <w:u w:val="single"/>
        </w:rPr>
        <w:t>（标的名称）</w:t>
      </w:r>
      <w:r>
        <w:rPr>
          <w:rFonts w:hint="eastAsia" w:ascii="宋体" w:hAnsi="宋体" w:cs="宋体"/>
          <w:color w:val="auto"/>
          <w:sz w:val="22"/>
        </w:rPr>
        <w:t xml:space="preserve"> ，属于</w:t>
      </w:r>
      <w:r>
        <w:rPr>
          <w:rFonts w:hint="eastAsia" w:ascii="宋体" w:hAnsi="宋体" w:cs="宋体"/>
          <w:color w:val="auto"/>
          <w:sz w:val="22"/>
          <w:u w:val="single"/>
        </w:rPr>
        <w:t>其他未列明行业（采购文件中明确的所属行业）</w:t>
      </w:r>
      <w:r>
        <w:rPr>
          <w:rFonts w:hint="eastAsia" w:ascii="宋体" w:hAnsi="宋体" w:cs="宋体"/>
          <w:color w:val="auto"/>
          <w:sz w:val="22"/>
        </w:rPr>
        <w:t>； 承建（承接）企业为</w:t>
      </w:r>
      <w:r>
        <w:rPr>
          <w:rFonts w:hint="eastAsia" w:ascii="宋体" w:hAnsi="宋体" w:cs="宋体"/>
          <w:color w:val="auto"/>
          <w:sz w:val="22"/>
          <w:u w:val="single"/>
        </w:rPr>
        <w:t>（企业名称）</w:t>
      </w:r>
      <w:r>
        <w:rPr>
          <w:rFonts w:hint="eastAsia" w:ascii="宋体" w:hAnsi="宋体" w:cs="宋体"/>
          <w:color w:val="auto"/>
          <w:sz w:val="22"/>
        </w:rPr>
        <w:t>，从业人员人，营业收入为万元，资产总额为万元 ，属于</w:t>
      </w:r>
      <w:r>
        <w:rPr>
          <w:rFonts w:hint="eastAsia" w:ascii="宋体" w:hAnsi="宋体" w:cs="宋体"/>
          <w:color w:val="auto"/>
          <w:sz w:val="22"/>
          <w:u w:val="single"/>
        </w:rPr>
        <w:t>（中型企业、 小型企业、微型企业）</w:t>
      </w:r>
      <w:r>
        <w:rPr>
          <w:rFonts w:hint="eastAsia" w:ascii="宋体" w:hAnsi="宋体" w:cs="宋体"/>
          <w:color w:val="auto"/>
          <w:sz w:val="22"/>
        </w:rPr>
        <w:t xml:space="preserve">； </w:t>
      </w:r>
    </w:p>
    <w:p w14:paraId="3C79C454">
      <w:pPr>
        <w:tabs>
          <w:tab w:val="left" w:pos="1069"/>
        </w:tabs>
        <w:spacing w:line="400" w:lineRule="exact"/>
        <w:ind w:firstLine="446" w:firstLineChars="200"/>
        <w:rPr>
          <w:rFonts w:ascii="宋体" w:hAnsi="宋体" w:cs="宋体"/>
          <w:color w:val="auto"/>
          <w:sz w:val="22"/>
        </w:rPr>
      </w:pPr>
      <w:r>
        <w:rPr>
          <w:rFonts w:hint="eastAsia" w:ascii="宋体" w:hAnsi="宋体" w:cs="宋体"/>
          <w:color w:val="auto"/>
          <w:sz w:val="22"/>
        </w:rPr>
        <w:t>2.</w:t>
      </w:r>
      <w:r>
        <w:rPr>
          <w:rFonts w:hint="eastAsia" w:ascii="宋体" w:hAnsi="宋体" w:cs="宋体"/>
          <w:color w:val="auto"/>
          <w:sz w:val="22"/>
          <w:u w:val="single"/>
        </w:rPr>
        <w:t xml:space="preserve"> （标的名称）   </w:t>
      </w:r>
      <w:r>
        <w:rPr>
          <w:rFonts w:hint="eastAsia" w:ascii="宋体" w:hAnsi="宋体" w:cs="宋体"/>
          <w:color w:val="auto"/>
          <w:sz w:val="22"/>
        </w:rPr>
        <w:t>，属于</w:t>
      </w:r>
      <w:r>
        <w:rPr>
          <w:rFonts w:hint="eastAsia" w:ascii="宋体" w:hAnsi="宋体" w:cs="宋体"/>
          <w:color w:val="auto"/>
          <w:sz w:val="22"/>
          <w:u w:val="single"/>
        </w:rPr>
        <w:t>（采购文件中明确的所属行业）</w:t>
      </w:r>
      <w:r>
        <w:rPr>
          <w:rFonts w:hint="eastAsia" w:ascii="宋体" w:hAnsi="宋体" w:cs="宋体"/>
          <w:color w:val="auto"/>
          <w:sz w:val="22"/>
        </w:rPr>
        <w:t>； 承建（承接）企业为</w:t>
      </w:r>
      <w:r>
        <w:rPr>
          <w:rFonts w:hint="eastAsia" w:ascii="宋体" w:hAnsi="宋体" w:cs="宋体"/>
          <w:color w:val="auto"/>
          <w:sz w:val="22"/>
          <w:u w:val="single"/>
        </w:rPr>
        <w:t>（企业名称）</w:t>
      </w:r>
      <w:r>
        <w:rPr>
          <w:rFonts w:hint="eastAsia" w:ascii="宋体" w:hAnsi="宋体" w:cs="宋体"/>
          <w:color w:val="auto"/>
          <w:sz w:val="22"/>
        </w:rPr>
        <w:t>，从业人员人，营业收入为 万元，资产总额为万元，属于</w:t>
      </w:r>
      <w:r>
        <w:rPr>
          <w:rFonts w:hint="eastAsia" w:ascii="宋体" w:hAnsi="宋体" w:cs="宋体"/>
          <w:color w:val="auto"/>
          <w:sz w:val="22"/>
          <w:u w:val="single"/>
        </w:rPr>
        <w:t>（中型企业、 小型企业、微型企业）</w:t>
      </w:r>
      <w:r>
        <w:rPr>
          <w:rFonts w:hint="eastAsia" w:ascii="宋体" w:hAnsi="宋体" w:cs="宋体"/>
          <w:color w:val="auto"/>
          <w:sz w:val="22"/>
        </w:rPr>
        <w:t xml:space="preserve">； </w:t>
      </w:r>
    </w:p>
    <w:p w14:paraId="6EF0F481">
      <w:pPr>
        <w:tabs>
          <w:tab w:val="left" w:pos="1069"/>
        </w:tabs>
        <w:spacing w:line="400" w:lineRule="exact"/>
        <w:ind w:firstLine="446" w:firstLineChars="200"/>
        <w:rPr>
          <w:rFonts w:ascii="宋体" w:hAnsi="宋体" w:cs="宋体"/>
          <w:color w:val="auto"/>
          <w:sz w:val="22"/>
        </w:rPr>
      </w:pPr>
      <w:r>
        <w:rPr>
          <w:rFonts w:hint="eastAsia" w:ascii="宋体" w:hAnsi="宋体" w:cs="宋体"/>
          <w:color w:val="auto"/>
          <w:sz w:val="22"/>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43F52CF7">
      <w:pPr>
        <w:tabs>
          <w:tab w:val="left" w:pos="1069"/>
        </w:tabs>
        <w:spacing w:line="400" w:lineRule="exact"/>
        <w:ind w:firstLine="446" w:firstLineChars="200"/>
        <w:rPr>
          <w:rFonts w:ascii="宋体" w:hAnsi="宋体" w:cs="宋体"/>
          <w:color w:val="auto"/>
          <w:sz w:val="22"/>
        </w:rPr>
      </w:pPr>
    </w:p>
    <w:p w14:paraId="02AC8D2B">
      <w:pPr>
        <w:tabs>
          <w:tab w:val="left" w:pos="1069"/>
        </w:tabs>
        <w:spacing w:line="400" w:lineRule="exact"/>
        <w:ind w:firstLine="446" w:firstLineChars="200"/>
        <w:rPr>
          <w:rFonts w:ascii="宋体" w:hAnsi="宋体" w:cs="宋体"/>
          <w:color w:val="auto"/>
          <w:sz w:val="22"/>
        </w:rPr>
      </w:pPr>
      <w:r>
        <w:rPr>
          <w:rFonts w:hint="eastAsia" w:ascii="宋体" w:hAnsi="宋体" w:cs="宋体"/>
          <w:color w:val="auto"/>
          <w:sz w:val="22"/>
        </w:rPr>
        <w:t xml:space="preserve">企业名称（盖章）： </w:t>
      </w:r>
    </w:p>
    <w:p w14:paraId="60402B0B">
      <w:pPr>
        <w:tabs>
          <w:tab w:val="left" w:pos="1069"/>
        </w:tabs>
        <w:spacing w:line="400" w:lineRule="exact"/>
        <w:ind w:firstLine="446" w:firstLineChars="200"/>
        <w:rPr>
          <w:rFonts w:ascii="宋体" w:hAnsi="宋体" w:cs="宋体"/>
          <w:color w:val="auto"/>
          <w:sz w:val="22"/>
        </w:rPr>
      </w:pPr>
      <w:r>
        <w:rPr>
          <w:rFonts w:hint="eastAsia" w:ascii="宋体" w:hAnsi="宋体" w:cs="宋体"/>
          <w:color w:val="auto"/>
          <w:sz w:val="22"/>
        </w:rPr>
        <w:t>日 期：</w:t>
      </w:r>
    </w:p>
    <w:p w14:paraId="1A500E4B">
      <w:pPr>
        <w:rPr>
          <w:rFonts w:ascii="宋体" w:hAnsi="宋体" w:cs="宋体"/>
          <w:b/>
          <w:color w:val="auto"/>
          <w:kern w:val="0"/>
          <w:sz w:val="20"/>
          <w:szCs w:val="20"/>
        </w:rPr>
      </w:pPr>
    </w:p>
    <w:p w14:paraId="4E7BCE7D">
      <w:pPr>
        <w:tabs>
          <w:tab w:val="left" w:pos="1069"/>
        </w:tabs>
        <w:spacing w:line="400" w:lineRule="exact"/>
        <w:ind w:firstLine="446" w:firstLineChars="200"/>
        <w:rPr>
          <w:rFonts w:ascii="宋体" w:hAnsi="宋体" w:cs="宋体"/>
          <w:color w:val="auto"/>
          <w:sz w:val="22"/>
        </w:rPr>
      </w:pPr>
      <w:r>
        <w:rPr>
          <w:rFonts w:hint="eastAsia" w:ascii="宋体" w:hAnsi="宋体" w:cs="宋体"/>
          <w:color w:val="auto"/>
          <w:sz w:val="22"/>
        </w:rPr>
        <w:t>注： 从业人员、营业收入、资产总额填报上一年度数据，无上一年度数据的新成立企业可不填报。</w:t>
      </w:r>
    </w:p>
    <w:p w14:paraId="7B1EC611">
      <w:pPr>
        <w:snapToGrid w:val="0"/>
        <w:spacing w:line="360" w:lineRule="auto"/>
        <w:rPr>
          <w:rFonts w:ascii="宋体" w:hAnsi="宋体" w:cs="宋体"/>
          <w:b/>
          <w:bCs/>
          <w:color w:val="auto"/>
        </w:rPr>
      </w:pPr>
    </w:p>
    <w:p w14:paraId="23886D0A">
      <w:pPr>
        <w:snapToGrid w:val="0"/>
        <w:spacing w:line="360" w:lineRule="auto"/>
        <w:ind w:firstLine="426" w:firstLineChars="200"/>
        <w:rPr>
          <w:rFonts w:ascii="宋体" w:hAnsi="宋体" w:cs="宋体"/>
          <w:b/>
          <w:bCs/>
          <w:color w:val="auto"/>
        </w:rPr>
      </w:pPr>
      <w:r>
        <w:rPr>
          <w:rFonts w:hint="eastAsia" w:ascii="宋体" w:hAnsi="宋体" w:cs="宋体"/>
          <w:b/>
          <w:bCs/>
          <w:color w:val="auto"/>
        </w:rPr>
        <w:t>▲投标人提供的中小企业声明函与实际情况不符的，视为投标人提供虚假材料投标的，投标无效。</w:t>
      </w:r>
    </w:p>
    <w:p w14:paraId="7643CC4E">
      <w:pPr>
        <w:snapToGrid w:val="0"/>
        <w:spacing w:line="360" w:lineRule="auto"/>
        <w:jc w:val="left"/>
        <w:rPr>
          <w:rFonts w:ascii="宋体" w:hAnsi="宋体" w:cs="宋体"/>
          <w:b/>
          <w:bCs/>
          <w:color w:val="auto"/>
          <w:sz w:val="28"/>
          <w:szCs w:val="28"/>
        </w:rPr>
      </w:pPr>
    </w:p>
    <w:p w14:paraId="5AAF02D8">
      <w:pPr>
        <w:snapToGrid w:val="0"/>
        <w:spacing w:line="360" w:lineRule="auto"/>
        <w:jc w:val="left"/>
        <w:rPr>
          <w:rFonts w:hint="eastAsia" w:ascii="宋体" w:hAnsi="宋体" w:cs="宋体"/>
          <w:b/>
          <w:bCs/>
          <w:color w:val="auto"/>
          <w:sz w:val="28"/>
          <w:szCs w:val="28"/>
        </w:rPr>
      </w:pPr>
    </w:p>
    <w:p w14:paraId="58050540">
      <w:pPr>
        <w:snapToGrid w:val="0"/>
        <w:spacing w:line="360" w:lineRule="auto"/>
        <w:jc w:val="left"/>
        <w:rPr>
          <w:rFonts w:hint="eastAsia" w:ascii="宋体" w:hAnsi="宋体" w:cs="宋体"/>
          <w:b/>
          <w:bCs/>
          <w:color w:val="auto"/>
          <w:sz w:val="28"/>
          <w:szCs w:val="28"/>
        </w:rPr>
      </w:pPr>
    </w:p>
    <w:p w14:paraId="4DC24044">
      <w:pPr>
        <w:snapToGrid w:val="0"/>
        <w:spacing w:line="360" w:lineRule="auto"/>
        <w:jc w:val="left"/>
        <w:rPr>
          <w:rFonts w:hint="eastAsia" w:ascii="宋体" w:hAnsi="宋体" w:cs="宋体"/>
          <w:b/>
          <w:bCs/>
          <w:color w:val="auto"/>
          <w:sz w:val="28"/>
          <w:szCs w:val="28"/>
        </w:rPr>
      </w:pPr>
    </w:p>
    <w:p w14:paraId="034FEBFE">
      <w:pPr>
        <w:snapToGrid w:val="0"/>
        <w:spacing w:line="360" w:lineRule="auto"/>
        <w:jc w:val="left"/>
        <w:rPr>
          <w:rFonts w:hint="eastAsia" w:ascii="宋体" w:hAnsi="宋体" w:cs="宋体"/>
          <w:b/>
          <w:bCs/>
          <w:color w:val="auto"/>
          <w:sz w:val="28"/>
          <w:szCs w:val="28"/>
        </w:rPr>
      </w:pPr>
    </w:p>
    <w:p w14:paraId="097A2FDC">
      <w:pPr>
        <w:snapToGrid w:val="0"/>
        <w:spacing w:line="360" w:lineRule="auto"/>
        <w:jc w:val="left"/>
        <w:rPr>
          <w:rFonts w:hint="eastAsia" w:ascii="宋体" w:hAnsi="宋体" w:cs="宋体"/>
          <w:b/>
          <w:bCs/>
          <w:color w:val="auto"/>
          <w:sz w:val="28"/>
          <w:szCs w:val="28"/>
        </w:rPr>
      </w:pPr>
    </w:p>
    <w:p w14:paraId="66EAE92C">
      <w:pPr>
        <w:pStyle w:val="3"/>
        <w:rPr>
          <w:rFonts w:hint="eastAsia" w:ascii="宋体" w:hAnsi="宋体" w:cs="宋体"/>
          <w:b/>
          <w:bCs/>
          <w:color w:val="auto"/>
          <w:sz w:val="28"/>
          <w:szCs w:val="28"/>
        </w:rPr>
      </w:pPr>
    </w:p>
    <w:p w14:paraId="7E7DE9C2">
      <w:pPr>
        <w:pStyle w:val="3"/>
        <w:rPr>
          <w:rFonts w:hint="eastAsia" w:ascii="宋体" w:hAnsi="宋体" w:cs="宋体"/>
          <w:b/>
          <w:bCs/>
          <w:color w:val="auto"/>
          <w:sz w:val="28"/>
          <w:szCs w:val="28"/>
        </w:rPr>
      </w:pPr>
    </w:p>
    <w:p w14:paraId="491ADB7D">
      <w:pPr>
        <w:rPr>
          <w:rFonts w:hint="eastAsia"/>
          <w:color w:val="auto"/>
        </w:rPr>
      </w:pPr>
    </w:p>
    <w:p w14:paraId="4C38DE75">
      <w:pPr>
        <w:snapToGrid w:val="0"/>
        <w:spacing w:line="360" w:lineRule="auto"/>
        <w:jc w:val="left"/>
        <w:rPr>
          <w:rFonts w:ascii="宋体" w:hAnsi="宋体" w:cs="宋体"/>
          <w:b/>
          <w:bCs/>
          <w:color w:val="auto"/>
          <w:sz w:val="28"/>
          <w:szCs w:val="28"/>
        </w:rPr>
      </w:pPr>
      <w:r>
        <w:rPr>
          <w:rFonts w:hint="eastAsia" w:ascii="宋体" w:hAnsi="宋体" w:cs="宋体"/>
          <w:b/>
          <w:bCs/>
          <w:color w:val="auto"/>
          <w:sz w:val="28"/>
          <w:szCs w:val="28"/>
        </w:rPr>
        <w:t>附件2</w:t>
      </w:r>
    </w:p>
    <w:p w14:paraId="31001473">
      <w:pPr>
        <w:snapToGrid w:val="0"/>
        <w:spacing w:line="360" w:lineRule="auto"/>
        <w:jc w:val="center"/>
        <w:rPr>
          <w:b/>
          <w:color w:val="auto"/>
          <w:sz w:val="28"/>
          <w:szCs w:val="28"/>
        </w:rPr>
      </w:pPr>
      <w:r>
        <w:rPr>
          <w:rFonts w:hint="eastAsia"/>
          <w:b/>
          <w:color w:val="auto"/>
          <w:sz w:val="28"/>
          <w:szCs w:val="28"/>
        </w:rPr>
        <w:t>残疾人福利性单位声明函</w:t>
      </w:r>
    </w:p>
    <w:p w14:paraId="480BB614">
      <w:pPr>
        <w:snapToGrid w:val="0"/>
        <w:spacing w:line="360" w:lineRule="auto"/>
        <w:ind w:firstLine="446" w:firstLineChars="200"/>
        <w:rPr>
          <w:color w:val="auto"/>
          <w:sz w:val="22"/>
        </w:rPr>
      </w:pPr>
      <w:r>
        <w:rPr>
          <w:rFonts w:hint="eastAsia"/>
          <w:color w:val="auto"/>
          <w:sz w:val="2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46BD7EA">
      <w:pPr>
        <w:snapToGrid w:val="0"/>
        <w:spacing w:line="360" w:lineRule="auto"/>
        <w:ind w:firstLine="446" w:firstLineChars="200"/>
        <w:rPr>
          <w:color w:val="auto"/>
          <w:sz w:val="22"/>
        </w:rPr>
      </w:pPr>
      <w:r>
        <w:rPr>
          <w:rFonts w:hint="eastAsia"/>
          <w:color w:val="auto"/>
          <w:sz w:val="22"/>
        </w:rPr>
        <w:t>本单位对上述声明的真实性负责。如有虚假，将依法承担相应责任。</w:t>
      </w:r>
    </w:p>
    <w:p w14:paraId="66329282">
      <w:pPr>
        <w:snapToGrid w:val="0"/>
        <w:spacing w:line="360" w:lineRule="auto"/>
        <w:ind w:firstLine="446" w:firstLineChars="200"/>
        <w:rPr>
          <w:color w:val="auto"/>
          <w:sz w:val="22"/>
        </w:rPr>
      </w:pPr>
    </w:p>
    <w:p w14:paraId="79A241D7">
      <w:pPr>
        <w:snapToGrid w:val="0"/>
        <w:spacing w:line="360" w:lineRule="auto"/>
        <w:ind w:firstLine="446" w:firstLineChars="200"/>
        <w:rPr>
          <w:color w:val="auto"/>
          <w:sz w:val="22"/>
        </w:rPr>
      </w:pPr>
    </w:p>
    <w:p w14:paraId="436120FC">
      <w:pPr>
        <w:tabs>
          <w:tab w:val="left" w:pos="4860"/>
        </w:tabs>
        <w:snapToGrid w:val="0"/>
        <w:spacing w:line="360" w:lineRule="auto"/>
        <w:ind w:right="1560" w:firstLine="446" w:firstLineChars="200"/>
        <w:rPr>
          <w:color w:val="auto"/>
          <w:sz w:val="22"/>
        </w:rPr>
      </w:pPr>
      <w:r>
        <w:rPr>
          <w:rFonts w:hint="eastAsia"/>
          <w:color w:val="auto"/>
          <w:sz w:val="22"/>
        </w:rPr>
        <w:t xml:space="preserve">       单位名称（盖章）：</w:t>
      </w:r>
    </w:p>
    <w:p w14:paraId="6A3279BB">
      <w:pPr>
        <w:tabs>
          <w:tab w:val="left" w:pos="4860"/>
        </w:tabs>
        <w:snapToGrid w:val="0"/>
        <w:spacing w:line="360" w:lineRule="auto"/>
        <w:ind w:right="1560" w:firstLine="446" w:firstLineChars="200"/>
        <w:rPr>
          <w:color w:val="auto"/>
          <w:sz w:val="22"/>
        </w:rPr>
      </w:pPr>
      <w:r>
        <w:rPr>
          <w:rFonts w:hint="eastAsia"/>
          <w:color w:val="auto"/>
          <w:sz w:val="22"/>
        </w:rPr>
        <w:t xml:space="preserve">       日  期：</w:t>
      </w:r>
    </w:p>
    <w:p w14:paraId="4D42FCEC">
      <w:pPr>
        <w:pStyle w:val="72"/>
        <w:snapToGrid w:val="0"/>
        <w:spacing w:line="360" w:lineRule="auto"/>
        <w:ind w:left="360" w:firstLine="0" w:firstLineChars="0"/>
        <w:rPr>
          <w:rFonts w:cs="宋体"/>
          <w:color w:val="auto"/>
          <w:sz w:val="22"/>
        </w:rPr>
      </w:pPr>
    </w:p>
    <w:p w14:paraId="0081D4E1">
      <w:pPr>
        <w:pStyle w:val="72"/>
        <w:snapToGrid w:val="0"/>
        <w:spacing w:line="360" w:lineRule="auto"/>
        <w:ind w:left="360" w:firstLine="0" w:firstLineChars="0"/>
        <w:rPr>
          <w:rFonts w:cs="宋体"/>
          <w:color w:val="auto"/>
          <w:sz w:val="22"/>
        </w:rPr>
      </w:pPr>
      <w:r>
        <w:rPr>
          <w:rFonts w:hint="eastAsia" w:cs="宋体"/>
          <w:color w:val="auto"/>
          <w:sz w:val="22"/>
        </w:rPr>
        <w:t>扶持政策说明：</w:t>
      </w:r>
    </w:p>
    <w:p w14:paraId="0BC8AE6F">
      <w:pPr>
        <w:pStyle w:val="72"/>
        <w:snapToGrid w:val="0"/>
        <w:spacing w:line="360" w:lineRule="auto"/>
        <w:ind w:firstLine="448"/>
        <w:rPr>
          <w:color w:val="auto"/>
          <w:sz w:val="22"/>
        </w:rPr>
      </w:pPr>
      <w:r>
        <w:rPr>
          <w:rFonts w:hint="eastAsia" w:cs="宋体"/>
          <w:color w:val="auto"/>
          <w:sz w:val="22"/>
        </w:rPr>
        <w:t>1、</w:t>
      </w:r>
      <w:r>
        <w:rPr>
          <w:rFonts w:hint="eastAsia"/>
          <w:color w:val="auto"/>
          <w:sz w:val="22"/>
        </w:rPr>
        <w:t>监狱企业视同小微企业，参加本项目投标的。【注：提供《监狱企业声明函》及其相关的充分的证明材料】。</w:t>
      </w:r>
    </w:p>
    <w:p w14:paraId="3FC117F7">
      <w:pPr>
        <w:pStyle w:val="72"/>
        <w:snapToGrid w:val="0"/>
        <w:spacing w:line="360" w:lineRule="auto"/>
        <w:ind w:firstLine="448"/>
        <w:rPr>
          <w:rFonts w:hint="eastAsia" w:ascii="Times New Roman" w:hAnsi="Times New Roman" w:eastAsia="宋体" w:cs="Times New Roman"/>
          <w:color w:val="auto"/>
          <w:sz w:val="22"/>
        </w:rPr>
      </w:pPr>
      <w:r>
        <w:rPr>
          <w:rFonts w:hint="eastAsia" w:ascii="Times New Roman" w:hAnsi="Times New Roman" w:eastAsia="宋体" w:cs="Times New Roman"/>
          <w:color w:val="auto"/>
          <w:sz w:val="22"/>
        </w:rPr>
        <w:t>2、残疾人福利性单位参加投标【提供《残疾人福利性单位声明函》】，视为小型、微型企业，享受小微企业政策扶持。</w:t>
      </w:r>
    </w:p>
    <w:p w14:paraId="4EBEFCA5">
      <w:pPr>
        <w:pStyle w:val="72"/>
        <w:snapToGrid w:val="0"/>
        <w:spacing w:line="360" w:lineRule="auto"/>
        <w:ind w:firstLine="448"/>
        <w:rPr>
          <w:rFonts w:hint="eastAsia" w:ascii="Times New Roman" w:hAnsi="Times New Roman" w:eastAsia="宋体" w:cs="Times New Roman"/>
          <w:color w:val="auto"/>
          <w:sz w:val="22"/>
        </w:rPr>
      </w:pPr>
    </w:p>
    <w:p w14:paraId="5B0967CB">
      <w:pPr>
        <w:snapToGrid w:val="0"/>
        <w:spacing w:line="460" w:lineRule="atLeast"/>
        <w:ind w:firstLine="446" w:firstLineChars="200"/>
        <w:rPr>
          <w:rFonts w:ascii="宋体" w:cs="宋体"/>
          <w:b/>
          <w:bCs/>
          <w:color w:val="auto"/>
          <w:sz w:val="22"/>
          <w:highlight w:val="none"/>
        </w:rPr>
      </w:pPr>
    </w:p>
    <w:p w14:paraId="4C29FB42">
      <w:pPr>
        <w:snapToGrid w:val="0"/>
        <w:spacing w:line="460" w:lineRule="atLeast"/>
        <w:ind w:firstLine="446" w:firstLineChars="200"/>
        <w:rPr>
          <w:rFonts w:ascii="宋体" w:cs="宋体"/>
          <w:b/>
          <w:bCs/>
          <w:color w:val="auto"/>
          <w:sz w:val="22"/>
          <w:highlight w:val="none"/>
        </w:rPr>
      </w:pPr>
    </w:p>
    <w:p w14:paraId="3E0DDB8A">
      <w:pPr>
        <w:snapToGrid w:val="0"/>
        <w:spacing w:line="460" w:lineRule="atLeast"/>
        <w:rPr>
          <w:rFonts w:ascii="宋体" w:cs="宋体"/>
          <w:b/>
          <w:bCs/>
          <w:color w:val="auto"/>
          <w:sz w:val="22"/>
          <w:highlight w:val="none"/>
        </w:rPr>
      </w:pPr>
    </w:p>
    <w:p w14:paraId="3245FA52">
      <w:pPr>
        <w:pStyle w:val="3"/>
        <w:rPr>
          <w:rFonts w:ascii="宋体" w:cs="宋体"/>
          <w:b/>
          <w:bCs/>
          <w:color w:val="auto"/>
          <w:sz w:val="22"/>
          <w:highlight w:val="none"/>
        </w:rPr>
      </w:pPr>
    </w:p>
    <w:p w14:paraId="247DAFC3">
      <w:pPr>
        <w:rPr>
          <w:rFonts w:ascii="宋体" w:cs="宋体"/>
          <w:b/>
          <w:bCs/>
          <w:color w:val="auto"/>
          <w:sz w:val="22"/>
          <w:highlight w:val="none"/>
        </w:rPr>
      </w:pPr>
    </w:p>
    <w:p w14:paraId="78F0C7D9">
      <w:pPr>
        <w:pStyle w:val="3"/>
        <w:rPr>
          <w:rFonts w:ascii="宋体" w:cs="宋体"/>
          <w:b/>
          <w:bCs/>
          <w:color w:val="auto"/>
          <w:sz w:val="22"/>
          <w:highlight w:val="none"/>
        </w:rPr>
      </w:pPr>
    </w:p>
    <w:p w14:paraId="34FC033E">
      <w:pPr>
        <w:pStyle w:val="3"/>
        <w:rPr>
          <w:color w:val="auto"/>
        </w:rPr>
      </w:pPr>
    </w:p>
    <w:p w14:paraId="6DDB8522">
      <w:pPr>
        <w:snapToGrid w:val="0"/>
        <w:spacing w:line="460" w:lineRule="atLeast"/>
        <w:ind w:firstLine="446" w:firstLineChars="200"/>
        <w:rPr>
          <w:rFonts w:ascii="宋体" w:cs="宋体"/>
          <w:b/>
          <w:bCs/>
          <w:color w:val="auto"/>
          <w:sz w:val="22"/>
          <w:highlight w:val="none"/>
        </w:rPr>
      </w:pPr>
      <w:r>
        <w:rPr>
          <w:rFonts w:hint="eastAsia" w:ascii="宋体" w:cs="宋体"/>
          <w:b/>
          <w:bCs/>
          <w:color w:val="auto"/>
          <w:sz w:val="22"/>
          <w:highlight w:val="none"/>
        </w:rPr>
        <w:t>二、节能、环保产品优先（强制）采购政策说明</w:t>
      </w:r>
      <w:bookmarkEnd w:id="70"/>
    </w:p>
    <w:p w14:paraId="585F5FF5">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1、政策依据</w:t>
      </w:r>
    </w:p>
    <w:p w14:paraId="30521A15">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（一）《国务院办公厅关于建立政府强制采购节能产品制度的通知》(国办发[2007]51号)</w:t>
      </w:r>
    </w:p>
    <w:p w14:paraId="3FD82A4E">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（二）财政部、发展改革委发布的《节能产品政府采购实施意见》(财库[2004]185号)</w:t>
      </w:r>
    </w:p>
    <w:p w14:paraId="5A642DF4">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（三）财政部、原环保总局印发的《环境标志产品政府采购实施的意见》（财库 [2006]90号）</w:t>
      </w:r>
    </w:p>
    <w:p w14:paraId="4D1DBDF5">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（四）《关于调整优化节能产品、环境标志产品政府采购执行机制的通知》（财库〔2019〕9号）</w:t>
      </w:r>
    </w:p>
    <w:p w14:paraId="1179DCBD">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（五）《关于印发节能产品政府采购品目清单的通知》（财库〔2019〕19号）</w:t>
      </w:r>
    </w:p>
    <w:p w14:paraId="5AC75DCB">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（六）《关于印发环境标志产品政府采购品目清单的通知》（财库〔2019〕18号）</w:t>
      </w:r>
    </w:p>
    <w:p w14:paraId="2792844E">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（七）《市场监管总局关于发布参与实施政府采购节能产品、环境标志产品认证机构名录的公告》（2019年第16号）</w:t>
      </w:r>
    </w:p>
    <w:p w14:paraId="6B2E01A8">
      <w:pPr>
        <w:snapToGrid w:val="0"/>
        <w:spacing w:line="360" w:lineRule="auto"/>
        <w:ind w:firstLine="446" w:firstLineChars="200"/>
        <w:rPr>
          <w:color w:val="auto"/>
          <w:sz w:val="22"/>
          <w:highlight w:val="none"/>
        </w:rPr>
      </w:pPr>
      <w:r>
        <w:rPr>
          <w:rFonts w:hint="eastAsia" w:ascii="宋体" w:cs="宋体"/>
          <w:color w:val="auto"/>
          <w:sz w:val="22"/>
          <w:highlight w:val="none"/>
        </w:rPr>
        <w:t>2、供应商投标货物属于节能、环保优先（强制）采购范围的，须提供相关证明材料。</w:t>
      </w:r>
    </w:p>
    <w:p w14:paraId="7D179E8C">
      <w:pPr>
        <w:snapToGrid w:val="0"/>
        <w:spacing w:line="360" w:lineRule="auto"/>
        <w:ind w:firstLine="526" w:firstLineChars="200"/>
        <w:rPr>
          <w:rFonts w:ascii="宋体" w:cs="宋体"/>
          <w:b/>
          <w:bCs/>
          <w:color w:val="auto"/>
          <w:sz w:val="26"/>
          <w:szCs w:val="26"/>
          <w:highlight w:val="none"/>
        </w:rPr>
      </w:pPr>
      <w:r>
        <w:rPr>
          <w:rFonts w:hint="eastAsia" w:ascii="宋体" w:cs="宋体"/>
          <w:b/>
          <w:bCs/>
          <w:color w:val="auto"/>
          <w:sz w:val="26"/>
          <w:szCs w:val="26"/>
          <w:highlight w:val="none"/>
        </w:rPr>
        <w:t>三、信贷政策</w:t>
      </w:r>
    </w:p>
    <w:p w14:paraId="34E52504">
      <w:pPr>
        <w:snapToGrid w:val="0"/>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1、温州市财政局关于温州市政府采购支持中小企业信用融资的通知（温财采〔2020〕3号）</w:t>
      </w:r>
    </w:p>
    <w:tbl>
      <w:tblPr>
        <w:tblStyle w:val="36"/>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4247"/>
        <w:gridCol w:w="1011"/>
        <w:gridCol w:w="1843"/>
      </w:tblGrid>
      <w:tr w14:paraId="25E6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0" w:type="dxa"/>
            <w:gridSpan w:val="4"/>
          </w:tcPr>
          <w:p w14:paraId="793D2B43">
            <w:pPr>
              <w:jc w:val="center"/>
              <w:rPr>
                <w:rFonts w:ascii="宋体" w:cs="宋体"/>
                <w:color w:val="auto"/>
                <w:sz w:val="22"/>
                <w:highlight w:val="none"/>
              </w:rPr>
            </w:pPr>
            <w:r>
              <w:rPr>
                <w:rFonts w:hint="eastAsia" w:ascii="宋体" w:cs="宋体"/>
                <w:color w:val="auto"/>
                <w:sz w:val="22"/>
                <w:highlight w:val="none"/>
              </w:rPr>
              <w:t>温州市政府采购支持中小企业信用融资合作银行</w:t>
            </w:r>
          </w:p>
        </w:tc>
      </w:tr>
      <w:tr w14:paraId="17209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4BFBC66">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银行名称</w:t>
            </w:r>
          </w:p>
        </w:tc>
        <w:tc>
          <w:tcPr>
            <w:tcW w:w="4247" w:type="dxa"/>
            <w:tcBorders>
              <w:top w:val="single" w:color="auto" w:sz="4" w:space="0"/>
              <w:left w:val="single" w:color="auto" w:sz="4" w:space="0"/>
              <w:right w:val="single" w:color="auto" w:sz="4" w:space="0"/>
            </w:tcBorders>
          </w:tcPr>
          <w:p w14:paraId="149E4CAC">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产品特点（不超过120字）</w:t>
            </w:r>
          </w:p>
        </w:tc>
        <w:tc>
          <w:tcPr>
            <w:tcW w:w="1011" w:type="dxa"/>
            <w:tcBorders>
              <w:top w:val="single" w:color="auto" w:sz="4" w:space="0"/>
              <w:left w:val="single" w:color="auto" w:sz="4" w:space="0"/>
              <w:right w:val="single" w:color="auto" w:sz="4" w:space="0"/>
            </w:tcBorders>
          </w:tcPr>
          <w:p w14:paraId="2E18C629">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经办人</w:t>
            </w:r>
          </w:p>
        </w:tc>
        <w:tc>
          <w:tcPr>
            <w:tcW w:w="1843" w:type="dxa"/>
            <w:tcBorders>
              <w:top w:val="single" w:color="auto" w:sz="4" w:space="0"/>
              <w:left w:val="single" w:color="auto" w:sz="4" w:space="0"/>
              <w:right w:val="single" w:color="auto" w:sz="4" w:space="0"/>
            </w:tcBorders>
          </w:tcPr>
          <w:p w14:paraId="4795E4FF">
            <w:pPr>
              <w:jc w:val="center"/>
              <w:rPr>
                <w:rFonts w:ascii="宋体" w:cs="宋体"/>
                <w:color w:val="auto"/>
                <w:sz w:val="22"/>
                <w:highlight w:val="none"/>
              </w:rPr>
            </w:pPr>
            <w:r>
              <w:rPr>
                <w:rFonts w:hint="eastAsia" w:ascii="宋体" w:cs="宋体"/>
                <w:color w:val="auto"/>
                <w:sz w:val="22"/>
                <w:highlight w:val="none"/>
              </w:rPr>
              <w:t>联系方式</w:t>
            </w:r>
          </w:p>
        </w:tc>
      </w:tr>
      <w:tr w14:paraId="4312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DE853C0">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中国工商银行股份有限公司温州分行</w:t>
            </w:r>
          </w:p>
        </w:tc>
        <w:tc>
          <w:tcPr>
            <w:tcW w:w="4247" w:type="dxa"/>
            <w:tcBorders>
              <w:top w:val="single" w:color="auto" w:sz="4" w:space="0"/>
              <w:left w:val="single" w:color="auto" w:sz="4" w:space="0"/>
              <w:right w:val="single" w:color="auto" w:sz="4" w:space="0"/>
            </w:tcBorders>
          </w:tcPr>
          <w:p w14:paraId="17F0660D">
            <w:pPr>
              <w:rPr>
                <w:rFonts w:ascii="宋体" w:cs="宋体"/>
                <w:color w:val="auto"/>
                <w:sz w:val="22"/>
                <w:highlight w:val="none"/>
              </w:rPr>
            </w:pPr>
            <w:r>
              <w:rPr>
                <w:rFonts w:hint="eastAsia" w:ascii="宋体" w:cs="宋体"/>
                <w:color w:val="auto"/>
                <w:sz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11" w:type="dxa"/>
            <w:tcBorders>
              <w:top w:val="single" w:color="auto" w:sz="4" w:space="0"/>
              <w:left w:val="single" w:color="auto" w:sz="4" w:space="0"/>
              <w:right w:val="single" w:color="auto" w:sz="4" w:space="0"/>
            </w:tcBorders>
          </w:tcPr>
          <w:p w14:paraId="2D7477CA">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王经理</w:t>
            </w:r>
          </w:p>
        </w:tc>
        <w:tc>
          <w:tcPr>
            <w:tcW w:w="1843" w:type="dxa"/>
            <w:tcBorders>
              <w:top w:val="single" w:color="auto" w:sz="4" w:space="0"/>
              <w:left w:val="single" w:color="auto" w:sz="4" w:space="0"/>
              <w:right w:val="single" w:color="auto" w:sz="4" w:space="0"/>
            </w:tcBorders>
          </w:tcPr>
          <w:p w14:paraId="1F047082">
            <w:pPr>
              <w:jc w:val="left"/>
              <w:rPr>
                <w:rFonts w:ascii="宋体" w:cs="宋体"/>
                <w:color w:val="auto"/>
                <w:sz w:val="22"/>
                <w:highlight w:val="none"/>
              </w:rPr>
            </w:pPr>
            <w:r>
              <w:rPr>
                <w:rFonts w:hint="eastAsia" w:ascii="宋体" w:cs="宋体"/>
                <w:color w:val="auto"/>
                <w:sz w:val="22"/>
                <w:highlight w:val="none"/>
              </w:rPr>
              <w:t>0577-88186626</w:t>
            </w:r>
          </w:p>
          <w:p w14:paraId="387BD8C3">
            <w:pPr>
              <w:jc w:val="left"/>
              <w:rPr>
                <w:rFonts w:ascii="宋体" w:cs="宋体"/>
                <w:color w:val="auto"/>
                <w:sz w:val="22"/>
                <w:highlight w:val="none"/>
              </w:rPr>
            </w:pPr>
          </w:p>
        </w:tc>
      </w:tr>
      <w:tr w14:paraId="5E90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A9ACB58">
            <w:pPr>
              <w:rPr>
                <w:rFonts w:ascii="宋体" w:cs="宋体"/>
                <w:color w:val="auto"/>
                <w:sz w:val="22"/>
                <w:highlight w:val="none"/>
              </w:rPr>
            </w:pPr>
            <w:r>
              <w:rPr>
                <w:rFonts w:hint="eastAsia" w:ascii="宋体" w:cs="宋体"/>
                <w:color w:val="auto"/>
                <w:sz w:val="22"/>
                <w:highlight w:val="none"/>
              </w:rPr>
              <w:t>中国建设银行股份有限公司温州分行</w:t>
            </w:r>
          </w:p>
        </w:tc>
        <w:tc>
          <w:tcPr>
            <w:tcW w:w="4247" w:type="dxa"/>
            <w:tcBorders>
              <w:top w:val="single" w:color="auto" w:sz="4" w:space="0"/>
              <w:left w:val="single" w:color="auto" w:sz="4" w:space="0"/>
              <w:right w:val="single" w:color="auto" w:sz="4" w:space="0"/>
            </w:tcBorders>
          </w:tcPr>
          <w:p w14:paraId="38846537">
            <w:pPr>
              <w:rPr>
                <w:rFonts w:ascii="宋体" w:cs="宋体"/>
                <w:color w:val="auto"/>
                <w:sz w:val="22"/>
                <w:highlight w:val="none"/>
              </w:rPr>
            </w:pPr>
            <w:r>
              <w:rPr>
                <w:rFonts w:hint="eastAsia" w:ascii="宋体" w:cs="宋体"/>
                <w:color w:val="auto"/>
                <w:sz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11" w:type="dxa"/>
            <w:tcBorders>
              <w:top w:val="single" w:color="auto" w:sz="4" w:space="0"/>
              <w:left w:val="single" w:color="auto" w:sz="4" w:space="0"/>
              <w:right w:val="single" w:color="auto" w:sz="4" w:space="0"/>
            </w:tcBorders>
          </w:tcPr>
          <w:p w14:paraId="6E9FE145">
            <w:pPr>
              <w:rPr>
                <w:rFonts w:ascii="宋体" w:cs="宋体"/>
                <w:color w:val="auto"/>
                <w:sz w:val="22"/>
                <w:highlight w:val="none"/>
              </w:rPr>
            </w:pPr>
            <w:r>
              <w:rPr>
                <w:rFonts w:hint="eastAsia" w:ascii="宋体" w:cs="宋体"/>
                <w:color w:val="auto"/>
                <w:sz w:val="22"/>
                <w:highlight w:val="none"/>
              </w:rPr>
              <w:t>张经理</w:t>
            </w:r>
          </w:p>
        </w:tc>
        <w:tc>
          <w:tcPr>
            <w:tcW w:w="1843" w:type="dxa"/>
            <w:tcBorders>
              <w:top w:val="single" w:color="auto" w:sz="4" w:space="0"/>
              <w:left w:val="single" w:color="auto" w:sz="4" w:space="0"/>
              <w:right w:val="single" w:color="auto" w:sz="4" w:space="0"/>
            </w:tcBorders>
          </w:tcPr>
          <w:p w14:paraId="6E6C5F0E">
            <w:pPr>
              <w:jc w:val="left"/>
              <w:rPr>
                <w:rFonts w:ascii="宋体" w:cs="宋体"/>
                <w:color w:val="auto"/>
                <w:sz w:val="22"/>
                <w:highlight w:val="none"/>
              </w:rPr>
            </w:pPr>
            <w:r>
              <w:rPr>
                <w:rFonts w:hint="eastAsia" w:ascii="宋体" w:cs="宋体"/>
                <w:color w:val="auto"/>
                <w:sz w:val="22"/>
                <w:highlight w:val="none"/>
              </w:rPr>
              <w:t>0577-88093286</w:t>
            </w:r>
          </w:p>
        </w:tc>
      </w:tr>
      <w:tr w14:paraId="4491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A45ED6C">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中国邮政储蓄银行股份有限公司温州市分行</w:t>
            </w:r>
          </w:p>
        </w:tc>
        <w:tc>
          <w:tcPr>
            <w:tcW w:w="4247" w:type="dxa"/>
            <w:tcBorders>
              <w:top w:val="single" w:color="auto" w:sz="4" w:space="0"/>
              <w:left w:val="single" w:color="auto" w:sz="4" w:space="0"/>
              <w:right w:val="single" w:color="auto" w:sz="4" w:space="0"/>
            </w:tcBorders>
            <w:vAlign w:val="center"/>
          </w:tcPr>
          <w:p w14:paraId="05AC5024">
            <w:pPr>
              <w:rPr>
                <w:rFonts w:ascii="宋体" w:cs="宋体"/>
                <w:color w:val="auto"/>
                <w:sz w:val="22"/>
                <w:highlight w:val="none"/>
              </w:rPr>
            </w:pPr>
            <w:r>
              <w:rPr>
                <w:rFonts w:hint="eastAsia" w:ascii="宋体" w:cs="宋体"/>
                <w:color w:val="auto"/>
                <w:sz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11" w:type="dxa"/>
            <w:tcBorders>
              <w:top w:val="single" w:color="auto" w:sz="4" w:space="0"/>
              <w:left w:val="single" w:color="auto" w:sz="4" w:space="0"/>
              <w:right w:val="single" w:color="auto" w:sz="4" w:space="0"/>
            </w:tcBorders>
            <w:vAlign w:val="center"/>
          </w:tcPr>
          <w:p w14:paraId="402FA4E9">
            <w:pPr>
              <w:rPr>
                <w:rFonts w:ascii="宋体" w:cs="宋体"/>
                <w:color w:val="auto"/>
                <w:sz w:val="22"/>
                <w:highlight w:val="none"/>
              </w:rPr>
            </w:pPr>
            <w:r>
              <w:rPr>
                <w:rFonts w:hint="eastAsia" w:ascii="宋体" w:cs="宋体"/>
                <w:color w:val="auto"/>
                <w:sz w:val="22"/>
                <w:highlight w:val="none"/>
              </w:rPr>
              <w:t>郑经理</w:t>
            </w:r>
          </w:p>
        </w:tc>
        <w:tc>
          <w:tcPr>
            <w:tcW w:w="1843" w:type="dxa"/>
            <w:tcBorders>
              <w:top w:val="single" w:color="auto" w:sz="4" w:space="0"/>
              <w:left w:val="single" w:color="auto" w:sz="4" w:space="0"/>
              <w:right w:val="single" w:color="auto" w:sz="4" w:space="0"/>
            </w:tcBorders>
            <w:vAlign w:val="center"/>
          </w:tcPr>
          <w:p w14:paraId="6839635C">
            <w:pPr>
              <w:jc w:val="left"/>
              <w:rPr>
                <w:rFonts w:ascii="宋体" w:cs="宋体"/>
                <w:color w:val="auto"/>
                <w:sz w:val="22"/>
                <w:highlight w:val="none"/>
              </w:rPr>
            </w:pPr>
            <w:r>
              <w:rPr>
                <w:rFonts w:hint="eastAsia" w:ascii="宋体" w:cs="宋体"/>
                <w:color w:val="auto"/>
                <w:sz w:val="22"/>
                <w:highlight w:val="none"/>
              </w:rPr>
              <w:t>0577-88193910</w:t>
            </w:r>
          </w:p>
          <w:p w14:paraId="29F89F22">
            <w:pPr>
              <w:jc w:val="left"/>
              <w:rPr>
                <w:rFonts w:ascii="宋体" w:cs="宋体"/>
                <w:color w:val="auto"/>
                <w:sz w:val="22"/>
                <w:highlight w:val="none"/>
              </w:rPr>
            </w:pPr>
          </w:p>
        </w:tc>
      </w:tr>
      <w:tr w14:paraId="4A397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5D39570">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中国民生银行股份有限公司温州分行</w:t>
            </w:r>
          </w:p>
        </w:tc>
        <w:tc>
          <w:tcPr>
            <w:tcW w:w="4247" w:type="dxa"/>
            <w:tcBorders>
              <w:top w:val="single" w:color="auto" w:sz="4" w:space="0"/>
              <w:left w:val="single" w:color="auto" w:sz="4" w:space="0"/>
              <w:right w:val="single" w:color="auto" w:sz="4" w:space="0"/>
            </w:tcBorders>
          </w:tcPr>
          <w:p w14:paraId="43926769">
            <w:pPr>
              <w:jc w:val="left"/>
              <w:rPr>
                <w:rFonts w:ascii="宋体" w:cs="宋体"/>
                <w:color w:val="auto"/>
                <w:sz w:val="22"/>
                <w:highlight w:val="none"/>
              </w:rPr>
            </w:pPr>
            <w:r>
              <w:rPr>
                <w:rFonts w:hint="eastAsia" w:ascii="宋体" w:cs="宋体"/>
                <w:color w:val="auto"/>
                <w:sz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11" w:type="dxa"/>
            <w:tcBorders>
              <w:top w:val="single" w:color="auto" w:sz="4" w:space="0"/>
              <w:left w:val="single" w:color="auto" w:sz="4" w:space="0"/>
              <w:right w:val="single" w:color="auto" w:sz="4" w:space="0"/>
            </w:tcBorders>
          </w:tcPr>
          <w:p w14:paraId="292B63E8">
            <w:pPr>
              <w:rPr>
                <w:rFonts w:ascii="宋体" w:cs="宋体"/>
                <w:color w:val="auto"/>
                <w:sz w:val="22"/>
                <w:highlight w:val="none"/>
              </w:rPr>
            </w:pPr>
            <w:r>
              <w:rPr>
                <w:rFonts w:hint="eastAsia" w:ascii="宋体" w:cs="宋体"/>
                <w:color w:val="auto"/>
                <w:sz w:val="22"/>
                <w:highlight w:val="none"/>
              </w:rPr>
              <w:t>项经理</w:t>
            </w:r>
          </w:p>
        </w:tc>
        <w:tc>
          <w:tcPr>
            <w:tcW w:w="1843" w:type="dxa"/>
            <w:tcBorders>
              <w:top w:val="single" w:color="auto" w:sz="4" w:space="0"/>
              <w:left w:val="single" w:color="auto" w:sz="4" w:space="0"/>
              <w:right w:val="single" w:color="auto" w:sz="4" w:space="0"/>
            </w:tcBorders>
          </w:tcPr>
          <w:p w14:paraId="0B484B8A">
            <w:pPr>
              <w:jc w:val="left"/>
              <w:rPr>
                <w:rFonts w:ascii="宋体" w:cs="宋体"/>
                <w:color w:val="auto"/>
                <w:sz w:val="22"/>
                <w:highlight w:val="none"/>
              </w:rPr>
            </w:pPr>
            <w:r>
              <w:rPr>
                <w:rFonts w:hint="eastAsia" w:ascii="宋体" w:cs="宋体"/>
                <w:color w:val="auto"/>
                <w:sz w:val="22"/>
                <w:highlight w:val="none"/>
              </w:rPr>
              <w:t>18057779630</w:t>
            </w:r>
          </w:p>
        </w:tc>
      </w:tr>
      <w:tr w14:paraId="66ED9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2F5D00C7">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宁波银行股份有限公司温州分行</w:t>
            </w:r>
          </w:p>
        </w:tc>
        <w:tc>
          <w:tcPr>
            <w:tcW w:w="4247" w:type="dxa"/>
            <w:tcBorders>
              <w:top w:val="single" w:color="auto" w:sz="4" w:space="0"/>
              <w:left w:val="single" w:color="auto" w:sz="4" w:space="0"/>
              <w:right w:val="single" w:color="auto" w:sz="4" w:space="0"/>
            </w:tcBorders>
          </w:tcPr>
          <w:p w14:paraId="5F19DFF3">
            <w:pPr>
              <w:rPr>
                <w:rFonts w:ascii="宋体" w:cs="宋体"/>
                <w:color w:val="auto"/>
                <w:sz w:val="22"/>
                <w:highlight w:val="none"/>
              </w:rPr>
            </w:pPr>
            <w:r>
              <w:rPr>
                <w:rFonts w:hint="eastAsia" w:ascii="宋体" w:cs="宋体"/>
                <w:color w:val="auto"/>
                <w:sz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11" w:type="dxa"/>
            <w:tcBorders>
              <w:top w:val="single" w:color="auto" w:sz="4" w:space="0"/>
              <w:left w:val="single" w:color="auto" w:sz="4" w:space="0"/>
              <w:right w:val="single" w:color="auto" w:sz="4" w:space="0"/>
            </w:tcBorders>
          </w:tcPr>
          <w:p w14:paraId="6CAB1A7E">
            <w:pPr>
              <w:rPr>
                <w:rFonts w:ascii="宋体" w:cs="宋体"/>
                <w:color w:val="auto"/>
                <w:sz w:val="22"/>
                <w:highlight w:val="none"/>
              </w:rPr>
            </w:pPr>
            <w:r>
              <w:rPr>
                <w:rFonts w:hint="eastAsia" w:ascii="宋体" w:cs="宋体"/>
                <w:color w:val="auto"/>
                <w:sz w:val="22"/>
                <w:highlight w:val="none"/>
              </w:rPr>
              <w:t>陈经理</w:t>
            </w:r>
          </w:p>
        </w:tc>
        <w:tc>
          <w:tcPr>
            <w:tcW w:w="1843" w:type="dxa"/>
            <w:tcBorders>
              <w:top w:val="single" w:color="auto" w:sz="4" w:space="0"/>
              <w:left w:val="single" w:color="auto" w:sz="4" w:space="0"/>
              <w:right w:val="single" w:color="auto" w:sz="4" w:space="0"/>
            </w:tcBorders>
          </w:tcPr>
          <w:p w14:paraId="36B0AD10">
            <w:pPr>
              <w:jc w:val="left"/>
              <w:rPr>
                <w:rFonts w:ascii="宋体" w:cs="宋体"/>
                <w:color w:val="auto"/>
                <w:sz w:val="22"/>
                <w:highlight w:val="none"/>
              </w:rPr>
            </w:pPr>
            <w:r>
              <w:rPr>
                <w:rFonts w:hint="eastAsia" w:ascii="宋体" w:cs="宋体"/>
                <w:color w:val="auto"/>
                <w:sz w:val="22"/>
                <w:highlight w:val="none"/>
              </w:rPr>
              <w:t>0577－88007377</w:t>
            </w:r>
          </w:p>
          <w:p w14:paraId="36708229">
            <w:pPr>
              <w:jc w:val="left"/>
              <w:rPr>
                <w:rFonts w:ascii="宋体" w:cs="宋体"/>
                <w:color w:val="auto"/>
                <w:sz w:val="22"/>
                <w:highlight w:val="none"/>
              </w:rPr>
            </w:pPr>
          </w:p>
        </w:tc>
      </w:tr>
      <w:tr w14:paraId="279E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61B2885B">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杭州银行股份有限公司温州分行</w:t>
            </w:r>
          </w:p>
        </w:tc>
        <w:tc>
          <w:tcPr>
            <w:tcW w:w="4247" w:type="dxa"/>
            <w:tcBorders>
              <w:top w:val="single" w:color="auto" w:sz="4" w:space="0"/>
              <w:left w:val="single" w:color="auto" w:sz="4" w:space="0"/>
              <w:right w:val="single" w:color="auto" w:sz="4" w:space="0"/>
            </w:tcBorders>
          </w:tcPr>
          <w:p w14:paraId="53D69CE3">
            <w:pPr>
              <w:rPr>
                <w:rFonts w:ascii="宋体" w:cs="宋体"/>
                <w:bCs/>
                <w:color w:val="auto"/>
                <w:sz w:val="22"/>
                <w:highlight w:val="none"/>
              </w:rPr>
            </w:pPr>
            <w:r>
              <w:rPr>
                <w:rFonts w:hint="eastAsia" w:ascii="宋体" w:cs="宋体"/>
                <w:bCs/>
                <w:color w:val="auto"/>
                <w:sz w:val="22"/>
                <w:highlight w:val="none"/>
              </w:rPr>
              <w:t>门槛低：纯信用，平台注册入库并取得采购合同即可申请</w:t>
            </w:r>
          </w:p>
          <w:p w14:paraId="390F314A">
            <w:pPr>
              <w:rPr>
                <w:rFonts w:ascii="宋体" w:cs="宋体"/>
                <w:bCs/>
                <w:color w:val="auto"/>
                <w:sz w:val="22"/>
                <w:highlight w:val="none"/>
              </w:rPr>
            </w:pPr>
            <w:r>
              <w:rPr>
                <w:rFonts w:hint="eastAsia" w:ascii="宋体" w:cs="宋体"/>
                <w:bCs/>
                <w:color w:val="auto"/>
                <w:sz w:val="22"/>
                <w:highlight w:val="none"/>
              </w:rPr>
              <w:t>手续简：线上申请+线上签约，足不出户</w:t>
            </w:r>
          </w:p>
          <w:p w14:paraId="40CCB8DF">
            <w:pPr>
              <w:rPr>
                <w:rFonts w:ascii="宋体" w:cs="宋体"/>
                <w:bCs/>
                <w:color w:val="auto"/>
                <w:sz w:val="22"/>
                <w:highlight w:val="none"/>
              </w:rPr>
            </w:pPr>
            <w:r>
              <w:rPr>
                <w:rFonts w:hint="eastAsia" w:ascii="宋体" w:cs="宋体"/>
                <w:bCs/>
                <w:color w:val="auto"/>
                <w:sz w:val="22"/>
                <w:highlight w:val="none"/>
              </w:rPr>
              <w:t>利率优：按优于一般中小企业贷款利率执行</w:t>
            </w:r>
          </w:p>
          <w:p w14:paraId="59133B66">
            <w:pPr>
              <w:rPr>
                <w:rFonts w:ascii="宋体" w:cs="宋体"/>
                <w:color w:val="auto"/>
                <w:sz w:val="22"/>
                <w:highlight w:val="none"/>
              </w:rPr>
            </w:pPr>
            <w:r>
              <w:rPr>
                <w:rFonts w:hint="eastAsia" w:ascii="宋体" w:cs="宋体"/>
                <w:bCs/>
                <w:color w:val="auto"/>
                <w:sz w:val="22"/>
                <w:highlight w:val="none"/>
              </w:rPr>
              <w:t>额度高：最高为合同金额的80%</w:t>
            </w:r>
          </w:p>
        </w:tc>
        <w:tc>
          <w:tcPr>
            <w:tcW w:w="1011" w:type="dxa"/>
            <w:tcBorders>
              <w:top w:val="single" w:color="auto" w:sz="4" w:space="0"/>
              <w:left w:val="single" w:color="auto" w:sz="4" w:space="0"/>
              <w:right w:val="single" w:color="auto" w:sz="4" w:space="0"/>
            </w:tcBorders>
          </w:tcPr>
          <w:p w14:paraId="60602EF6">
            <w:pPr>
              <w:rPr>
                <w:rFonts w:ascii="宋体" w:cs="宋体"/>
                <w:color w:val="auto"/>
                <w:sz w:val="22"/>
                <w:highlight w:val="none"/>
              </w:rPr>
            </w:pPr>
            <w:r>
              <w:rPr>
                <w:rFonts w:hint="eastAsia" w:ascii="宋体" w:cs="宋体"/>
                <w:color w:val="auto"/>
                <w:sz w:val="22"/>
                <w:highlight w:val="none"/>
              </w:rPr>
              <w:t>叶经理</w:t>
            </w:r>
          </w:p>
        </w:tc>
        <w:tc>
          <w:tcPr>
            <w:tcW w:w="1843" w:type="dxa"/>
            <w:tcBorders>
              <w:top w:val="single" w:color="auto" w:sz="4" w:space="0"/>
              <w:left w:val="single" w:color="auto" w:sz="4" w:space="0"/>
              <w:right w:val="single" w:color="auto" w:sz="4" w:space="0"/>
            </w:tcBorders>
          </w:tcPr>
          <w:p w14:paraId="70D17E09">
            <w:pPr>
              <w:jc w:val="left"/>
              <w:rPr>
                <w:rFonts w:ascii="宋体" w:cs="宋体"/>
                <w:color w:val="auto"/>
                <w:sz w:val="22"/>
                <w:highlight w:val="none"/>
              </w:rPr>
            </w:pPr>
            <w:r>
              <w:rPr>
                <w:rFonts w:hint="eastAsia" w:ascii="宋体" w:cs="宋体"/>
                <w:color w:val="auto"/>
                <w:sz w:val="22"/>
                <w:highlight w:val="none"/>
              </w:rPr>
              <w:t>0577-88008933</w:t>
            </w:r>
          </w:p>
        </w:tc>
      </w:tr>
      <w:tr w14:paraId="6DC8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0E8CD0ED">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招商银行股份有限公司温州分行</w:t>
            </w:r>
          </w:p>
        </w:tc>
        <w:tc>
          <w:tcPr>
            <w:tcW w:w="4247" w:type="dxa"/>
            <w:tcBorders>
              <w:top w:val="single" w:color="auto" w:sz="4" w:space="0"/>
              <w:left w:val="single" w:color="auto" w:sz="4" w:space="0"/>
              <w:right w:val="single" w:color="auto" w:sz="4" w:space="0"/>
            </w:tcBorders>
          </w:tcPr>
          <w:p w14:paraId="3CD2CF8C">
            <w:pPr>
              <w:rPr>
                <w:rFonts w:ascii="宋体" w:cs="宋体"/>
                <w:color w:val="auto"/>
                <w:sz w:val="22"/>
                <w:highlight w:val="none"/>
              </w:rPr>
            </w:pPr>
            <w:r>
              <w:rPr>
                <w:rFonts w:hint="eastAsia" w:ascii="宋体" w:cs="宋体"/>
                <w:color w:val="auto"/>
                <w:sz w:val="22"/>
                <w:highlight w:val="none"/>
              </w:rPr>
              <w:t>政采贷是招商银行针对政府采购招投标中标供应商，以政府采购合同项下未来应收账款为第一还款来源的融资业务，无需抵质押物。额度最高可达2000万，同时可开通自助贷款直通功能，自助贷款额度最高可达1000万，支持线上申请、随借随还。</w:t>
            </w:r>
          </w:p>
        </w:tc>
        <w:tc>
          <w:tcPr>
            <w:tcW w:w="1011" w:type="dxa"/>
            <w:tcBorders>
              <w:top w:val="single" w:color="auto" w:sz="4" w:space="0"/>
              <w:left w:val="single" w:color="auto" w:sz="4" w:space="0"/>
              <w:right w:val="single" w:color="auto" w:sz="4" w:space="0"/>
            </w:tcBorders>
          </w:tcPr>
          <w:p w14:paraId="1ADEB7E0">
            <w:pPr>
              <w:rPr>
                <w:rFonts w:ascii="宋体" w:cs="宋体"/>
                <w:color w:val="auto"/>
                <w:sz w:val="22"/>
                <w:highlight w:val="none"/>
              </w:rPr>
            </w:pPr>
            <w:r>
              <w:rPr>
                <w:rFonts w:hint="eastAsia" w:ascii="宋体" w:cs="宋体"/>
                <w:color w:val="auto"/>
                <w:sz w:val="22"/>
                <w:highlight w:val="none"/>
              </w:rPr>
              <w:t>陈经理</w:t>
            </w:r>
          </w:p>
        </w:tc>
        <w:tc>
          <w:tcPr>
            <w:tcW w:w="1843" w:type="dxa"/>
            <w:tcBorders>
              <w:top w:val="single" w:color="auto" w:sz="4" w:space="0"/>
              <w:left w:val="single" w:color="auto" w:sz="4" w:space="0"/>
              <w:right w:val="single" w:color="auto" w:sz="4" w:space="0"/>
            </w:tcBorders>
          </w:tcPr>
          <w:p w14:paraId="01F32FCE">
            <w:pPr>
              <w:jc w:val="left"/>
              <w:rPr>
                <w:rFonts w:ascii="宋体" w:cs="宋体"/>
                <w:color w:val="auto"/>
                <w:sz w:val="22"/>
                <w:highlight w:val="none"/>
              </w:rPr>
            </w:pPr>
            <w:r>
              <w:rPr>
                <w:rFonts w:hint="eastAsia" w:ascii="宋体" w:cs="宋体"/>
                <w:color w:val="auto"/>
                <w:sz w:val="22"/>
                <w:highlight w:val="none"/>
              </w:rPr>
              <w:t>0577-88056876</w:t>
            </w:r>
          </w:p>
          <w:p w14:paraId="2F82C8CA">
            <w:pPr>
              <w:jc w:val="left"/>
              <w:rPr>
                <w:rFonts w:ascii="宋体" w:cs="宋体"/>
                <w:color w:val="auto"/>
                <w:sz w:val="22"/>
                <w:highlight w:val="none"/>
              </w:rPr>
            </w:pPr>
          </w:p>
        </w:tc>
      </w:tr>
      <w:tr w14:paraId="7599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7A26A7AF">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兴业银行股份有限公司温州分行</w:t>
            </w:r>
          </w:p>
        </w:tc>
        <w:tc>
          <w:tcPr>
            <w:tcW w:w="4247" w:type="dxa"/>
            <w:tcBorders>
              <w:top w:val="single" w:color="auto" w:sz="4" w:space="0"/>
              <w:left w:val="single" w:color="auto" w:sz="4" w:space="0"/>
              <w:right w:val="single" w:color="auto" w:sz="4" w:space="0"/>
            </w:tcBorders>
            <w:vAlign w:val="center"/>
          </w:tcPr>
          <w:p w14:paraId="6D2C1D69">
            <w:pPr>
              <w:pStyle w:val="88"/>
              <w:spacing w:line="240" w:lineRule="auto"/>
              <w:ind w:firstLine="0" w:firstLineChars="0"/>
              <w:jc w:val="both"/>
              <w:rPr>
                <w:rFonts w:ascii="宋体" w:eastAsia="宋体" w:cs="宋体"/>
                <w:bCs/>
                <w:color w:val="auto"/>
                <w:kern w:val="0"/>
                <w:sz w:val="22"/>
                <w:highlight w:val="none"/>
              </w:rPr>
            </w:pPr>
            <w:r>
              <w:rPr>
                <w:rFonts w:hint="eastAsia" w:ascii="宋体" w:eastAsia="宋体" w:cs="宋体"/>
                <w:bCs/>
                <w:color w:val="auto"/>
                <w:kern w:val="0"/>
                <w:sz w:val="22"/>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11" w:type="dxa"/>
            <w:tcBorders>
              <w:top w:val="single" w:color="auto" w:sz="4" w:space="0"/>
              <w:left w:val="single" w:color="auto" w:sz="4" w:space="0"/>
              <w:right w:val="single" w:color="auto" w:sz="4" w:space="0"/>
            </w:tcBorders>
            <w:vAlign w:val="center"/>
          </w:tcPr>
          <w:p w14:paraId="38A61B3D">
            <w:pPr>
              <w:rPr>
                <w:rFonts w:ascii="宋体" w:cs="宋体"/>
                <w:color w:val="auto"/>
                <w:sz w:val="22"/>
                <w:highlight w:val="none"/>
              </w:rPr>
            </w:pPr>
            <w:r>
              <w:rPr>
                <w:rFonts w:hint="eastAsia" w:ascii="宋体" w:cs="宋体"/>
                <w:color w:val="auto"/>
                <w:sz w:val="22"/>
                <w:highlight w:val="none"/>
              </w:rPr>
              <w:t>张经理</w:t>
            </w:r>
          </w:p>
          <w:p w14:paraId="10419DF7">
            <w:pPr>
              <w:rPr>
                <w:rFonts w:ascii="宋体" w:cs="宋体"/>
                <w:color w:val="auto"/>
                <w:sz w:val="22"/>
                <w:highlight w:val="none"/>
              </w:rPr>
            </w:pPr>
            <w:r>
              <w:rPr>
                <w:rFonts w:hint="eastAsia" w:ascii="宋体" w:cs="宋体"/>
                <w:color w:val="auto"/>
                <w:sz w:val="22"/>
                <w:highlight w:val="none"/>
              </w:rPr>
              <w:t>陈经理</w:t>
            </w:r>
          </w:p>
        </w:tc>
        <w:tc>
          <w:tcPr>
            <w:tcW w:w="1843" w:type="dxa"/>
            <w:tcBorders>
              <w:top w:val="single" w:color="auto" w:sz="4" w:space="0"/>
              <w:left w:val="single" w:color="auto" w:sz="4" w:space="0"/>
              <w:right w:val="single" w:color="auto" w:sz="4" w:space="0"/>
            </w:tcBorders>
            <w:vAlign w:val="center"/>
          </w:tcPr>
          <w:p w14:paraId="1A24B588">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0577-88369368/13857713118</w:t>
            </w:r>
          </w:p>
          <w:p w14:paraId="735E1B10">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0577-56969696-526506</w:t>
            </w:r>
          </w:p>
        </w:tc>
      </w:tr>
      <w:tr w14:paraId="5522B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6E88B4A5">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温州银行股份有限公司温州分行</w:t>
            </w:r>
          </w:p>
        </w:tc>
        <w:tc>
          <w:tcPr>
            <w:tcW w:w="4247" w:type="dxa"/>
            <w:tcBorders>
              <w:top w:val="single" w:color="auto" w:sz="4" w:space="0"/>
              <w:left w:val="single" w:color="auto" w:sz="4" w:space="0"/>
              <w:right w:val="single" w:color="auto" w:sz="4" w:space="0"/>
            </w:tcBorders>
          </w:tcPr>
          <w:p w14:paraId="2849CB97">
            <w:pPr>
              <w:rPr>
                <w:rFonts w:ascii="宋体" w:cs="宋体"/>
                <w:bCs/>
                <w:color w:val="auto"/>
                <w:sz w:val="22"/>
                <w:highlight w:val="none"/>
              </w:rPr>
            </w:pPr>
            <w:r>
              <w:rPr>
                <w:rFonts w:hint="eastAsia" w:ascii="宋体" w:cs="宋体"/>
                <w:bCs/>
                <w:color w:val="auto"/>
                <w:sz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11" w:type="dxa"/>
            <w:tcBorders>
              <w:top w:val="single" w:color="auto" w:sz="4" w:space="0"/>
              <w:left w:val="single" w:color="auto" w:sz="4" w:space="0"/>
              <w:right w:val="single" w:color="auto" w:sz="4" w:space="0"/>
            </w:tcBorders>
          </w:tcPr>
          <w:p w14:paraId="0C88D473">
            <w:pPr>
              <w:rPr>
                <w:rFonts w:ascii="宋体" w:cs="宋体"/>
                <w:color w:val="auto"/>
                <w:sz w:val="22"/>
                <w:highlight w:val="none"/>
              </w:rPr>
            </w:pPr>
            <w:r>
              <w:rPr>
                <w:rFonts w:hint="eastAsia" w:ascii="宋体" w:cs="宋体"/>
                <w:color w:val="auto"/>
                <w:sz w:val="22"/>
                <w:highlight w:val="none"/>
              </w:rPr>
              <w:t>陈经理</w:t>
            </w:r>
          </w:p>
        </w:tc>
        <w:tc>
          <w:tcPr>
            <w:tcW w:w="1843" w:type="dxa"/>
            <w:tcBorders>
              <w:top w:val="single" w:color="auto" w:sz="4" w:space="0"/>
              <w:left w:val="single" w:color="auto" w:sz="4" w:space="0"/>
              <w:right w:val="single" w:color="auto" w:sz="4" w:space="0"/>
            </w:tcBorders>
          </w:tcPr>
          <w:p w14:paraId="55256D5E">
            <w:pPr>
              <w:jc w:val="left"/>
              <w:rPr>
                <w:rFonts w:ascii="宋体" w:cs="宋体"/>
                <w:color w:val="auto"/>
                <w:sz w:val="22"/>
                <w:highlight w:val="none"/>
              </w:rPr>
            </w:pPr>
            <w:r>
              <w:rPr>
                <w:rFonts w:hint="eastAsia" w:ascii="宋体" w:cs="宋体"/>
                <w:color w:val="auto"/>
                <w:sz w:val="22"/>
                <w:highlight w:val="none"/>
              </w:rPr>
              <w:t>13736355866</w:t>
            </w:r>
          </w:p>
        </w:tc>
      </w:tr>
      <w:tr w14:paraId="1938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7C076727">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温州银行股份有限公司鹿城分行</w:t>
            </w:r>
          </w:p>
        </w:tc>
        <w:tc>
          <w:tcPr>
            <w:tcW w:w="4247" w:type="dxa"/>
            <w:tcBorders>
              <w:top w:val="single" w:color="auto" w:sz="4" w:space="0"/>
              <w:left w:val="single" w:color="auto" w:sz="4" w:space="0"/>
              <w:right w:val="single" w:color="auto" w:sz="4" w:space="0"/>
            </w:tcBorders>
          </w:tcPr>
          <w:p w14:paraId="2ED9D0A3">
            <w:pPr>
              <w:rPr>
                <w:rFonts w:ascii="宋体" w:cs="宋体"/>
                <w:color w:val="auto"/>
                <w:sz w:val="22"/>
                <w:highlight w:val="none"/>
              </w:rPr>
            </w:pPr>
            <w:r>
              <w:rPr>
                <w:rFonts w:hint="eastAsia" w:ascii="宋体" w:cs="宋体"/>
                <w:color w:val="auto"/>
                <w:sz w:val="22"/>
                <w:highlight w:val="none"/>
              </w:rPr>
              <w:t>政采订单贷：1、面向政府采购项目供应商，满足供应商资金周转需求，凭中标通知书即可申请，2、秒知额高，最高可贷500万元，单笔业务金额可贷中标金额的80%，</w:t>
            </w:r>
          </w:p>
          <w:p w14:paraId="02B53D99">
            <w:pPr>
              <w:pStyle w:val="91"/>
              <w:ind w:left="5" w:firstLine="0" w:firstLineChars="0"/>
              <w:rPr>
                <w:rFonts w:ascii="宋体" w:cs="宋体"/>
                <w:color w:val="auto"/>
                <w:sz w:val="22"/>
                <w:highlight w:val="none"/>
              </w:rPr>
            </w:pPr>
            <w:r>
              <w:rPr>
                <w:rFonts w:hint="eastAsia" w:ascii="宋体" w:cs="宋体"/>
                <w:color w:val="auto"/>
                <w:sz w:val="22"/>
                <w:highlight w:val="none"/>
              </w:rPr>
              <w:t>最长期限可贷1年。信保贷：1、额度最高可达500万元</w:t>
            </w:r>
          </w:p>
          <w:p w14:paraId="47ECD43C">
            <w:pPr>
              <w:rPr>
                <w:rFonts w:ascii="宋体" w:cs="宋体"/>
                <w:color w:val="auto"/>
                <w:sz w:val="22"/>
                <w:highlight w:val="none"/>
              </w:rPr>
            </w:pPr>
            <w:r>
              <w:rPr>
                <w:rFonts w:hint="eastAsia" w:ascii="宋体" w:cs="宋体"/>
                <w:color w:val="auto"/>
                <w:sz w:val="22"/>
                <w:highlight w:val="none"/>
              </w:rPr>
              <w:t>2、担保灵活，信用贷款3、贷款年利率至少可享受本单位一般性中小企业信用贷款利率基础上下浮10 %</w:t>
            </w:r>
          </w:p>
        </w:tc>
        <w:tc>
          <w:tcPr>
            <w:tcW w:w="1011" w:type="dxa"/>
            <w:tcBorders>
              <w:top w:val="single" w:color="auto" w:sz="4" w:space="0"/>
              <w:left w:val="single" w:color="auto" w:sz="4" w:space="0"/>
              <w:right w:val="single" w:color="auto" w:sz="4" w:space="0"/>
            </w:tcBorders>
          </w:tcPr>
          <w:p w14:paraId="073F582F">
            <w:pPr>
              <w:rPr>
                <w:rFonts w:ascii="宋体" w:cs="宋体"/>
                <w:color w:val="auto"/>
                <w:sz w:val="22"/>
                <w:highlight w:val="none"/>
              </w:rPr>
            </w:pPr>
            <w:r>
              <w:rPr>
                <w:rFonts w:hint="eastAsia" w:ascii="宋体" w:cs="宋体"/>
                <w:color w:val="auto"/>
                <w:sz w:val="22"/>
                <w:highlight w:val="none"/>
              </w:rPr>
              <w:t>戴经理</w:t>
            </w:r>
          </w:p>
        </w:tc>
        <w:tc>
          <w:tcPr>
            <w:tcW w:w="1843" w:type="dxa"/>
            <w:tcBorders>
              <w:top w:val="single" w:color="auto" w:sz="4" w:space="0"/>
              <w:left w:val="single" w:color="auto" w:sz="4" w:space="0"/>
              <w:right w:val="single" w:color="auto" w:sz="4" w:space="0"/>
            </w:tcBorders>
          </w:tcPr>
          <w:p w14:paraId="6E1E7069">
            <w:pPr>
              <w:rPr>
                <w:rFonts w:ascii="宋体" w:cs="宋体"/>
                <w:color w:val="auto"/>
                <w:sz w:val="22"/>
                <w:highlight w:val="none"/>
              </w:rPr>
            </w:pPr>
            <w:r>
              <w:rPr>
                <w:rFonts w:hint="eastAsia" w:ascii="宋体" w:cs="宋体"/>
                <w:color w:val="auto"/>
                <w:sz w:val="22"/>
                <w:highlight w:val="none"/>
              </w:rPr>
              <w:t>13605772302</w:t>
            </w:r>
          </w:p>
        </w:tc>
      </w:tr>
      <w:tr w14:paraId="48E03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66C3EABD">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交通银行股份有限公司温州分行</w:t>
            </w:r>
          </w:p>
        </w:tc>
        <w:tc>
          <w:tcPr>
            <w:tcW w:w="4247" w:type="dxa"/>
            <w:tcBorders>
              <w:top w:val="single" w:color="auto" w:sz="4" w:space="0"/>
              <w:left w:val="single" w:color="auto" w:sz="4" w:space="0"/>
              <w:right w:val="single" w:color="auto" w:sz="4" w:space="0"/>
            </w:tcBorders>
          </w:tcPr>
          <w:p w14:paraId="3E432B97">
            <w:pPr>
              <w:autoSpaceDE w:val="0"/>
              <w:autoSpaceDN w:val="0"/>
              <w:adjustRightInd w:val="0"/>
              <w:jc w:val="left"/>
              <w:rPr>
                <w:rFonts w:ascii="宋体" w:cs="宋体"/>
                <w:color w:val="auto"/>
                <w:sz w:val="22"/>
                <w:highlight w:val="none"/>
              </w:rPr>
            </w:pPr>
            <w:r>
              <w:rPr>
                <w:rFonts w:hint="eastAsia" w:ascii="宋体" w:cs="宋体"/>
                <w:color w:val="auto"/>
                <w:sz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11" w:type="dxa"/>
            <w:tcBorders>
              <w:top w:val="single" w:color="auto" w:sz="4" w:space="0"/>
              <w:left w:val="single" w:color="auto" w:sz="4" w:space="0"/>
              <w:right w:val="single" w:color="auto" w:sz="4" w:space="0"/>
            </w:tcBorders>
          </w:tcPr>
          <w:p w14:paraId="0FFA9AFC">
            <w:pPr>
              <w:rPr>
                <w:rFonts w:ascii="宋体" w:cs="宋体"/>
                <w:color w:val="auto"/>
                <w:sz w:val="22"/>
                <w:highlight w:val="none"/>
              </w:rPr>
            </w:pPr>
            <w:r>
              <w:rPr>
                <w:rFonts w:hint="eastAsia" w:ascii="宋体" w:cs="宋体"/>
                <w:color w:val="auto"/>
                <w:sz w:val="22"/>
                <w:highlight w:val="none"/>
              </w:rPr>
              <w:t>缪经理</w:t>
            </w:r>
          </w:p>
        </w:tc>
        <w:tc>
          <w:tcPr>
            <w:tcW w:w="1843" w:type="dxa"/>
            <w:tcBorders>
              <w:top w:val="single" w:color="auto" w:sz="4" w:space="0"/>
              <w:left w:val="single" w:color="auto" w:sz="4" w:space="0"/>
              <w:right w:val="single" w:color="auto" w:sz="4" w:space="0"/>
            </w:tcBorders>
          </w:tcPr>
          <w:p w14:paraId="250439FF">
            <w:pPr>
              <w:rPr>
                <w:rFonts w:ascii="宋体" w:cs="宋体"/>
                <w:color w:val="auto"/>
                <w:sz w:val="22"/>
                <w:highlight w:val="none"/>
              </w:rPr>
            </w:pPr>
            <w:r>
              <w:rPr>
                <w:rFonts w:hint="eastAsia" w:ascii="宋体" w:cs="宋体"/>
                <w:color w:val="auto"/>
                <w:sz w:val="22"/>
                <w:highlight w:val="none"/>
              </w:rPr>
              <w:t>0577-88248454</w:t>
            </w:r>
          </w:p>
        </w:tc>
      </w:tr>
      <w:tr w14:paraId="3FD0C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A360B57">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上海浦东发展银行股份有限公司温州分行</w:t>
            </w:r>
          </w:p>
        </w:tc>
        <w:tc>
          <w:tcPr>
            <w:tcW w:w="4247" w:type="dxa"/>
            <w:tcBorders>
              <w:top w:val="single" w:color="auto" w:sz="4" w:space="0"/>
              <w:left w:val="single" w:color="auto" w:sz="4" w:space="0"/>
              <w:right w:val="single" w:color="auto" w:sz="4" w:space="0"/>
            </w:tcBorders>
          </w:tcPr>
          <w:p w14:paraId="3E4DBA0B">
            <w:pPr>
              <w:jc w:val="left"/>
              <w:rPr>
                <w:rFonts w:ascii="宋体" w:cs="宋体"/>
                <w:bCs/>
                <w:color w:val="auto"/>
                <w:sz w:val="22"/>
                <w:highlight w:val="none"/>
              </w:rPr>
            </w:pPr>
            <w:r>
              <w:rPr>
                <w:rFonts w:hint="eastAsia" w:ascii="宋体" w:cs="宋体"/>
                <w:bCs/>
                <w:color w:val="auto"/>
                <w:sz w:val="22"/>
                <w:highlight w:val="none"/>
              </w:rPr>
              <w:t>政采e贷：是浦发银行面向温州地区经营状况良好的小微企业政府采购项目供应商所提供的专属政府采购订单融资产品。产品特点：纯信用、免担保、门槛低、授信快、在线贷、秒放款</w:t>
            </w:r>
          </w:p>
          <w:p w14:paraId="1AC3AB7C">
            <w:pPr>
              <w:shd w:val="clear" w:color="auto" w:fill="FFFFFF"/>
              <w:jc w:val="left"/>
              <w:rPr>
                <w:rFonts w:ascii="宋体" w:cs="宋体"/>
                <w:color w:val="auto"/>
                <w:sz w:val="22"/>
                <w:highlight w:val="none"/>
              </w:rPr>
            </w:pPr>
            <w:r>
              <w:rPr>
                <w:rFonts w:hint="eastAsia" w:ascii="宋体" w:cs="宋体"/>
                <w:bCs/>
                <w:color w:val="auto"/>
                <w:sz w:val="22"/>
                <w:highlight w:val="none"/>
              </w:rPr>
              <w:t>所需材料：企业基础证件、相关中标文件（中标通知书 、采购合同等）、其他必要文件</w:t>
            </w:r>
          </w:p>
        </w:tc>
        <w:tc>
          <w:tcPr>
            <w:tcW w:w="1011" w:type="dxa"/>
            <w:tcBorders>
              <w:top w:val="single" w:color="auto" w:sz="4" w:space="0"/>
              <w:left w:val="single" w:color="auto" w:sz="4" w:space="0"/>
              <w:right w:val="single" w:color="auto" w:sz="4" w:space="0"/>
            </w:tcBorders>
          </w:tcPr>
          <w:p w14:paraId="31CDB7CB">
            <w:pPr>
              <w:rPr>
                <w:rFonts w:ascii="宋体" w:cs="宋体"/>
                <w:color w:val="auto"/>
                <w:sz w:val="22"/>
                <w:highlight w:val="none"/>
              </w:rPr>
            </w:pPr>
            <w:r>
              <w:rPr>
                <w:rFonts w:hint="eastAsia" w:ascii="宋体" w:cs="宋体"/>
                <w:color w:val="auto"/>
                <w:sz w:val="22"/>
                <w:highlight w:val="none"/>
              </w:rPr>
              <w:t>叶经理</w:t>
            </w:r>
          </w:p>
        </w:tc>
        <w:tc>
          <w:tcPr>
            <w:tcW w:w="1843" w:type="dxa"/>
            <w:tcBorders>
              <w:top w:val="single" w:color="auto" w:sz="4" w:space="0"/>
              <w:left w:val="single" w:color="auto" w:sz="4" w:space="0"/>
              <w:right w:val="single" w:color="auto" w:sz="4" w:space="0"/>
            </w:tcBorders>
          </w:tcPr>
          <w:p w14:paraId="39CEC3DD">
            <w:pPr>
              <w:jc w:val="left"/>
              <w:rPr>
                <w:rFonts w:ascii="宋体" w:cs="宋体"/>
                <w:color w:val="auto"/>
                <w:sz w:val="22"/>
                <w:highlight w:val="none"/>
              </w:rPr>
            </w:pPr>
            <w:r>
              <w:rPr>
                <w:rFonts w:hint="eastAsia" w:ascii="宋体" w:cs="宋体"/>
                <w:color w:val="auto"/>
                <w:sz w:val="22"/>
                <w:highlight w:val="none"/>
              </w:rPr>
              <w:t>0577-55570829</w:t>
            </w:r>
          </w:p>
          <w:p w14:paraId="54905031">
            <w:pPr>
              <w:jc w:val="left"/>
              <w:rPr>
                <w:rFonts w:ascii="宋体" w:cs="宋体"/>
                <w:color w:val="auto"/>
                <w:sz w:val="22"/>
                <w:highlight w:val="none"/>
              </w:rPr>
            </w:pPr>
          </w:p>
        </w:tc>
      </w:tr>
    </w:tbl>
    <w:p w14:paraId="30DD7255">
      <w:pPr>
        <w:jc w:val="center"/>
        <w:rPr>
          <w:rFonts w:ascii="宋体" w:cs="宋体"/>
          <w:color w:val="auto"/>
          <w:sz w:val="22"/>
          <w:highlight w:val="none"/>
        </w:rPr>
      </w:pPr>
      <w:r>
        <w:rPr>
          <w:rFonts w:hint="eastAsia" w:ascii="宋体" w:cs="宋体"/>
          <w:color w:val="auto"/>
          <w:sz w:val="22"/>
          <w:highlight w:val="none"/>
        </w:rPr>
        <w:br w:type="page"/>
      </w:r>
      <w:r>
        <w:rPr>
          <w:rFonts w:hint="eastAsia" w:ascii="宋体" w:cs="宋体"/>
          <w:b/>
          <w:bCs/>
          <w:color w:val="auto"/>
          <w:sz w:val="28"/>
          <w:szCs w:val="28"/>
          <w:highlight w:val="none"/>
        </w:rPr>
        <w:t>温州市政府采购信用融资意向银行选择表</w:t>
      </w:r>
    </w:p>
    <w:p w14:paraId="193C9967">
      <w:pPr>
        <w:jc w:val="center"/>
        <w:rPr>
          <w:rFonts w:ascii="宋体" w:cs="宋体"/>
          <w:color w:val="auto"/>
          <w:sz w:val="22"/>
          <w:highlight w:val="none"/>
        </w:rPr>
      </w:pPr>
      <w:r>
        <w:rPr>
          <w:rFonts w:hint="eastAsia" w:ascii="宋体" w:cs="宋体"/>
          <w:color w:val="auto"/>
          <w:sz w:val="22"/>
          <w:highlight w:val="none"/>
        </w:rPr>
        <w:t>（温州市供应商填写）</w:t>
      </w:r>
    </w:p>
    <w:tbl>
      <w:tblPr>
        <w:tblStyle w:val="36"/>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43D10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54C139A4">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企业名称</w:t>
            </w:r>
          </w:p>
        </w:tc>
        <w:tc>
          <w:tcPr>
            <w:tcW w:w="8221" w:type="dxa"/>
            <w:gridSpan w:val="5"/>
          </w:tcPr>
          <w:p w14:paraId="2DA321E4">
            <w:pPr>
              <w:pStyle w:val="88"/>
              <w:spacing w:line="360" w:lineRule="auto"/>
              <w:ind w:firstLine="0" w:firstLineChars="0"/>
              <w:jc w:val="center"/>
              <w:rPr>
                <w:rFonts w:ascii="宋体" w:eastAsia="宋体" w:cs="宋体"/>
                <w:color w:val="auto"/>
                <w:kern w:val="0"/>
                <w:sz w:val="22"/>
                <w:highlight w:val="none"/>
              </w:rPr>
            </w:pPr>
          </w:p>
        </w:tc>
      </w:tr>
      <w:tr w14:paraId="760A6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Borders>
              <w:top w:val="single" w:color="auto" w:sz="4" w:space="0"/>
              <w:left w:val="single" w:color="auto" w:sz="4" w:space="0"/>
              <w:right w:val="single" w:color="auto" w:sz="4" w:space="0"/>
            </w:tcBorders>
          </w:tcPr>
          <w:p w14:paraId="74010EB1">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企业注册地</w:t>
            </w:r>
          </w:p>
        </w:tc>
        <w:tc>
          <w:tcPr>
            <w:tcW w:w="3685" w:type="dxa"/>
            <w:gridSpan w:val="2"/>
            <w:tcBorders>
              <w:top w:val="single" w:color="auto" w:sz="4" w:space="0"/>
              <w:left w:val="single" w:color="auto" w:sz="4" w:space="0"/>
              <w:right w:val="single" w:color="auto" w:sz="4" w:space="0"/>
            </w:tcBorders>
          </w:tcPr>
          <w:p w14:paraId="72942718">
            <w:pPr>
              <w:pStyle w:val="88"/>
              <w:spacing w:line="360" w:lineRule="auto"/>
              <w:ind w:firstLine="0" w:firstLineChars="0"/>
              <w:jc w:val="center"/>
              <w:rPr>
                <w:rFonts w:ascii="宋体" w:eastAsia="宋体" w:cs="宋体"/>
                <w:color w:val="auto"/>
                <w:kern w:val="0"/>
                <w:sz w:val="22"/>
                <w:highlight w:val="none"/>
              </w:rPr>
            </w:pPr>
          </w:p>
        </w:tc>
        <w:tc>
          <w:tcPr>
            <w:tcW w:w="2410" w:type="dxa"/>
            <w:gridSpan w:val="2"/>
            <w:tcBorders>
              <w:top w:val="single" w:color="auto" w:sz="4" w:space="0"/>
              <w:left w:val="single" w:color="auto" w:sz="4" w:space="0"/>
              <w:right w:val="single" w:color="auto" w:sz="4" w:space="0"/>
            </w:tcBorders>
          </w:tcPr>
          <w:p w14:paraId="1343CAEA">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是否有融资意向</w:t>
            </w:r>
          </w:p>
        </w:tc>
        <w:tc>
          <w:tcPr>
            <w:tcW w:w="2126" w:type="dxa"/>
            <w:tcBorders>
              <w:top w:val="single" w:color="auto" w:sz="4" w:space="0"/>
              <w:left w:val="single" w:color="auto" w:sz="4" w:space="0"/>
              <w:right w:val="single" w:color="auto" w:sz="4" w:space="0"/>
            </w:tcBorders>
          </w:tcPr>
          <w:p w14:paraId="05C63EBE">
            <w:pPr>
              <w:pStyle w:val="88"/>
              <w:spacing w:line="360" w:lineRule="auto"/>
              <w:ind w:firstLine="0" w:firstLineChars="0"/>
              <w:jc w:val="center"/>
              <w:rPr>
                <w:rFonts w:ascii="宋体" w:eastAsia="宋体" w:cs="宋体"/>
                <w:color w:val="auto"/>
                <w:kern w:val="0"/>
                <w:sz w:val="22"/>
                <w:highlight w:val="none"/>
              </w:rPr>
            </w:pPr>
          </w:p>
        </w:tc>
      </w:tr>
      <w:tr w14:paraId="3CF18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Borders>
              <w:top w:val="single" w:color="auto" w:sz="4" w:space="0"/>
              <w:left w:val="single" w:color="auto" w:sz="4" w:space="0"/>
              <w:right w:val="single" w:color="auto" w:sz="4" w:space="0"/>
            </w:tcBorders>
          </w:tcPr>
          <w:p w14:paraId="00D4B8C1">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融资联系人</w:t>
            </w:r>
          </w:p>
        </w:tc>
        <w:tc>
          <w:tcPr>
            <w:tcW w:w="2268" w:type="dxa"/>
            <w:tcBorders>
              <w:top w:val="single" w:color="auto" w:sz="4" w:space="0"/>
              <w:left w:val="single" w:color="auto" w:sz="4" w:space="0"/>
              <w:right w:val="single" w:color="auto" w:sz="4" w:space="0"/>
            </w:tcBorders>
          </w:tcPr>
          <w:p w14:paraId="57D59007">
            <w:pPr>
              <w:pStyle w:val="88"/>
              <w:spacing w:line="360" w:lineRule="auto"/>
              <w:ind w:firstLine="0" w:firstLineChars="0"/>
              <w:jc w:val="center"/>
              <w:rPr>
                <w:rFonts w:ascii="宋体" w:eastAsia="宋体" w:cs="宋体"/>
                <w:color w:val="auto"/>
                <w:kern w:val="0"/>
                <w:sz w:val="22"/>
                <w:highlight w:val="none"/>
              </w:rPr>
            </w:pPr>
          </w:p>
        </w:tc>
        <w:tc>
          <w:tcPr>
            <w:tcW w:w="2268" w:type="dxa"/>
            <w:gridSpan w:val="2"/>
            <w:tcBorders>
              <w:top w:val="single" w:color="auto" w:sz="4" w:space="0"/>
              <w:left w:val="single" w:color="auto" w:sz="4" w:space="0"/>
              <w:right w:val="single" w:color="auto" w:sz="4" w:space="0"/>
            </w:tcBorders>
          </w:tcPr>
          <w:p w14:paraId="1DE8696D">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联系方式</w:t>
            </w:r>
          </w:p>
        </w:tc>
        <w:tc>
          <w:tcPr>
            <w:tcW w:w="3685" w:type="dxa"/>
            <w:gridSpan w:val="2"/>
            <w:tcBorders>
              <w:top w:val="single" w:color="auto" w:sz="4" w:space="0"/>
              <w:left w:val="single" w:color="auto" w:sz="4" w:space="0"/>
              <w:right w:val="single" w:color="auto" w:sz="4" w:space="0"/>
            </w:tcBorders>
          </w:tcPr>
          <w:p w14:paraId="30E12D93">
            <w:pPr>
              <w:pStyle w:val="88"/>
              <w:spacing w:line="360" w:lineRule="auto"/>
              <w:ind w:firstLine="0" w:firstLineChars="0"/>
              <w:jc w:val="center"/>
              <w:rPr>
                <w:rFonts w:ascii="宋体" w:eastAsia="宋体" w:cs="宋体"/>
                <w:color w:val="auto"/>
                <w:kern w:val="0"/>
                <w:sz w:val="22"/>
                <w:highlight w:val="none"/>
              </w:rPr>
            </w:pPr>
          </w:p>
        </w:tc>
      </w:tr>
      <w:tr w14:paraId="48975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vAlign w:val="center"/>
          </w:tcPr>
          <w:p w14:paraId="14C6B90B">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温州市政府采购信用融资合作银行</w:t>
            </w:r>
          </w:p>
        </w:tc>
        <w:tc>
          <w:tcPr>
            <w:tcW w:w="3685" w:type="dxa"/>
            <w:gridSpan w:val="2"/>
            <w:tcBorders>
              <w:top w:val="single" w:color="auto" w:sz="4" w:space="0"/>
              <w:left w:val="single" w:color="auto" w:sz="4" w:space="0"/>
              <w:right w:val="single" w:color="auto" w:sz="4" w:space="0"/>
            </w:tcBorders>
          </w:tcPr>
          <w:p w14:paraId="2D5ABF97">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选择作为意向融资银行（可多选）</w:t>
            </w:r>
          </w:p>
        </w:tc>
      </w:tr>
      <w:tr w14:paraId="27C7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1117F8F3">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温州银行股份有限公司温州分行</w:t>
            </w:r>
          </w:p>
        </w:tc>
        <w:tc>
          <w:tcPr>
            <w:tcW w:w="3685" w:type="dxa"/>
            <w:gridSpan w:val="2"/>
            <w:tcBorders>
              <w:top w:val="single" w:color="auto" w:sz="4" w:space="0"/>
              <w:left w:val="single" w:color="auto" w:sz="4" w:space="0"/>
              <w:right w:val="single" w:color="auto" w:sz="4" w:space="0"/>
            </w:tcBorders>
          </w:tcPr>
          <w:p w14:paraId="1D61D803">
            <w:pPr>
              <w:pStyle w:val="88"/>
              <w:spacing w:line="360" w:lineRule="auto"/>
              <w:ind w:firstLine="0" w:firstLineChars="0"/>
              <w:rPr>
                <w:rFonts w:ascii="宋体" w:eastAsia="宋体" w:cs="宋体"/>
                <w:color w:val="auto"/>
                <w:kern w:val="0"/>
                <w:sz w:val="22"/>
                <w:highlight w:val="none"/>
              </w:rPr>
            </w:pPr>
          </w:p>
        </w:tc>
      </w:tr>
      <w:tr w14:paraId="37C1D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0D0A3ADA">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温州银行股份有限公司鹿城分行</w:t>
            </w:r>
          </w:p>
        </w:tc>
        <w:tc>
          <w:tcPr>
            <w:tcW w:w="3685" w:type="dxa"/>
            <w:gridSpan w:val="2"/>
            <w:tcBorders>
              <w:top w:val="single" w:color="auto" w:sz="4" w:space="0"/>
              <w:left w:val="single" w:color="auto" w:sz="4" w:space="0"/>
              <w:right w:val="single" w:color="auto" w:sz="4" w:space="0"/>
            </w:tcBorders>
          </w:tcPr>
          <w:p w14:paraId="20257A87">
            <w:pPr>
              <w:pStyle w:val="88"/>
              <w:spacing w:line="360" w:lineRule="auto"/>
              <w:ind w:firstLine="0" w:firstLineChars="0"/>
              <w:rPr>
                <w:rFonts w:ascii="宋体" w:eastAsia="宋体" w:cs="宋体"/>
                <w:color w:val="auto"/>
                <w:kern w:val="0"/>
                <w:sz w:val="22"/>
                <w:highlight w:val="none"/>
              </w:rPr>
            </w:pPr>
          </w:p>
        </w:tc>
      </w:tr>
      <w:tr w14:paraId="61A6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1168054E">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中国工商银行股份有限公司温州分行</w:t>
            </w:r>
          </w:p>
        </w:tc>
        <w:tc>
          <w:tcPr>
            <w:tcW w:w="3685" w:type="dxa"/>
            <w:gridSpan w:val="2"/>
            <w:tcBorders>
              <w:top w:val="single" w:color="auto" w:sz="4" w:space="0"/>
              <w:left w:val="single" w:color="auto" w:sz="4" w:space="0"/>
              <w:right w:val="single" w:color="auto" w:sz="4" w:space="0"/>
            </w:tcBorders>
          </w:tcPr>
          <w:p w14:paraId="0A323E57">
            <w:pPr>
              <w:pStyle w:val="88"/>
              <w:spacing w:line="360" w:lineRule="auto"/>
              <w:ind w:firstLine="0" w:firstLineChars="0"/>
              <w:rPr>
                <w:rFonts w:ascii="宋体" w:eastAsia="宋体" w:cs="宋体"/>
                <w:color w:val="auto"/>
                <w:kern w:val="0"/>
                <w:sz w:val="22"/>
                <w:highlight w:val="none"/>
              </w:rPr>
            </w:pPr>
          </w:p>
        </w:tc>
      </w:tr>
      <w:tr w14:paraId="57067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Borders>
              <w:top w:val="single" w:color="auto" w:sz="4" w:space="0"/>
              <w:left w:val="single" w:color="auto" w:sz="4" w:space="0"/>
              <w:right w:val="single" w:color="auto" w:sz="4" w:space="0"/>
            </w:tcBorders>
          </w:tcPr>
          <w:p w14:paraId="13918064">
            <w:pPr>
              <w:rPr>
                <w:rFonts w:ascii="宋体" w:cs="宋体"/>
                <w:color w:val="auto"/>
                <w:sz w:val="22"/>
                <w:highlight w:val="none"/>
              </w:rPr>
            </w:pPr>
            <w:r>
              <w:rPr>
                <w:rFonts w:hint="eastAsia" w:ascii="宋体" w:cs="宋体"/>
                <w:color w:val="auto"/>
                <w:sz w:val="22"/>
                <w:highlight w:val="none"/>
              </w:rPr>
              <w:t>中国建设银行股份有限公司温州分行</w:t>
            </w:r>
          </w:p>
        </w:tc>
        <w:tc>
          <w:tcPr>
            <w:tcW w:w="3685" w:type="dxa"/>
            <w:gridSpan w:val="2"/>
            <w:tcBorders>
              <w:top w:val="single" w:color="auto" w:sz="4" w:space="0"/>
              <w:left w:val="single" w:color="auto" w:sz="4" w:space="0"/>
              <w:right w:val="single" w:color="auto" w:sz="4" w:space="0"/>
            </w:tcBorders>
          </w:tcPr>
          <w:p w14:paraId="0B23D1E9">
            <w:pPr>
              <w:rPr>
                <w:rFonts w:ascii="宋体" w:cs="宋体"/>
                <w:color w:val="auto"/>
                <w:sz w:val="22"/>
                <w:highlight w:val="none"/>
              </w:rPr>
            </w:pPr>
          </w:p>
        </w:tc>
      </w:tr>
      <w:tr w14:paraId="74C06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21A2789C">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中国邮政储蓄银行股份有限公司温州市分行</w:t>
            </w:r>
          </w:p>
        </w:tc>
        <w:tc>
          <w:tcPr>
            <w:tcW w:w="3685" w:type="dxa"/>
            <w:gridSpan w:val="2"/>
            <w:tcBorders>
              <w:top w:val="single" w:color="auto" w:sz="4" w:space="0"/>
              <w:left w:val="single" w:color="auto" w:sz="4" w:space="0"/>
              <w:right w:val="single" w:color="auto" w:sz="4" w:space="0"/>
            </w:tcBorders>
          </w:tcPr>
          <w:p w14:paraId="6FC96AD1">
            <w:pPr>
              <w:pStyle w:val="88"/>
              <w:spacing w:line="360" w:lineRule="auto"/>
              <w:ind w:firstLine="0" w:firstLineChars="0"/>
              <w:rPr>
                <w:rFonts w:ascii="宋体" w:eastAsia="宋体" w:cs="宋体"/>
                <w:color w:val="auto"/>
                <w:kern w:val="0"/>
                <w:sz w:val="22"/>
                <w:highlight w:val="none"/>
              </w:rPr>
            </w:pPr>
          </w:p>
        </w:tc>
      </w:tr>
      <w:tr w14:paraId="3638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0EA91A17">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中国民生银行股份有限公司温州分行</w:t>
            </w:r>
          </w:p>
        </w:tc>
        <w:tc>
          <w:tcPr>
            <w:tcW w:w="3685" w:type="dxa"/>
            <w:gridSpan w:val="2"/>
            <w:tcBorders>
              <w:top w:val="single" w:color="auto" w:sz="4" w:space="0"/>
              <w:left w:val="single" w:color="auto" w:sz="4" w:space="0"/>
              <w:right w:val="single" w:color="auto" w:sz="4" w:space="0"/>
            </w:tcBorders>
          </w:tcPr>
          <w:p w14:paraId="5AD654DE">
            <w:pPr>
              <w:pStyle w:val="88"/>
              <w:spacing w:line="360" w:lineRule="auto"/>
              <w:ind w:firstLine="0" w:firstLineChars="0"/>
              <w:rPr>
                <w:rFonts w:ascii="宋体" w:eastAsia="宋体" w:cs="宋体"/>
                <w:color w:val="auto"/>
                <w:kern w:val="0"/>
                <w:sz w:val="22"/>
                <w:highlight w:val="none"/>
              </w:rPr>
            </w:pPr>
          </w:p>
        </w:tc>
      </w:tr>
      <w:tr w14:paraId="7FB6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1EAEF833">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宁波银行股份有限公司温州分行</w:t>
            </w:r>
          </w:p>
        </w:tc>
        <w:tc>
          <w:tcPr>
            <w:tcW w:w="3685" w:type="dxa"/>
            <w:gridSpan w:val="2"/>
            <w:tcBorders>
              <w:top w:val="single" w:color="auto" w:sz="4" w:space="0"/>
              <w:left w:val="single" w:color="auto" w:sz="4" w:space="0"/>
              <w:right w:val="single" w:color="auto" w:sz="4" w:space="0"/>
            </w:tcBorders>
          </w:tcPr>
          <w:p w14:paraId="0B955A47">
            <w:pPr>
              <w:pStyle w:val="88"/>
              <w:spacing w:line="360" w:lineRule="auto"/>
              <w:ind w:firstLine="0" w:firstLineChars="0"/>
              <w:rPr>
                <w:rFonts w:ascii="宋体" w:eastAsia="宋体" w:cs="宋体"/>
                <w:color w:val="auto"/>
                <w:kern w:val="0"/>
                <w:sz w:val="22"/>
                <w:highlight w:val="none"/>
              </w:rPr>
            </w:pPr>
          </w:p>
        </w:tc>
      </w:tr>
      <w:tr w14:paraId="368CF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7CF519E">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杭州银行股份有限公司温州分行</w:t>
            </w:r>
          </w:p>
        </w:tc>
        <w:tc>
          <w:tcPr>
            <w:tcW w:w="3685" w:type="dxa"/>
            <w:gridSpan w:val="2"/>
            <w:tcBorders>
              <w:top w:val="single" w:color="auto" w:sz="4" w:space="0"/>
              <w:left w:val="single" w:color="auto" w:sz="4" w:space="0"/>
              <w:right w:val="single" w:color="auto" w:sz="4" w:space="0"/>
            </w:tcBorders>
          </w:tcPr>
          <w:p w14:paraId="69824B8B">
            <w:pPr>
              <w:pStyle w:val="88"/>
              <w:spacing w:line="360" w:lineRule="auto"/>
              <w:ind w:firstLine="0" w:firstLineChars="0"/>
              <w:rPr>
                <w:rFonts w:ascii="宋体" w:eastAsia="宋体" w:cs="宋体"/>
                <w:color w:val="auto"/>
                <w:kern w:val="0"/>
                <w:sz w:val="22"/>
                <w:highlight w:val="none"/>
              </w:rPr>
            </w:pPr>
          </w:p>
        </w:tc>
      </w:tr>
      <w:tr w14:paraId="05BA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5A4AD3B">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招商银行股份有限公司温州分行</w:t>
            </w:r>
          </w:p>
        </w:tc>
        <w:tc>
          <w:tcPr>
            <w:tcW w:w="3685" w:type="dxa"/>
            <w:gridSpan w:val="2"/>
            <w:tcBorders>
              <w:top w:val="single" w:color="auto" w:sz="4" w:space="0"/>
              <w:left w:val="single" w:color="auto" w:sz="4" w:space="0"/>
              <w:right w:val="single" w:color="auto" w:sz="4" w:space="0"/>
            </w:tcBorders>
          </w:tcPr>
          <w:p w14:paraId="59A71CD6">
            <w:pPr>
              <w:pStyle w:val="88"/>
              <w:spacing w:line="360" w:lineRule="auto"/>
              <w:ind w:firstLine="0" w:firstLineChars="0"/>
              <w:rPr>
                <w:rFonts w:ascii="宋体" w:eastAsia="宋体" w:cs="宋体"/>
                <w:color w:val="auto"/>
                <w:kern w:val="0"/>
                <w:sz w:val="22"/>
                <w:highlight w:val="none"/>
              </w:rPr>
            </w:pPr>
          </w:p>
        </w:tc>
      </w:tr>
      <w:tr w14:paraId="692C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2A5B9121">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兴业银行股份有限公司温州分行</w:t>
            </w:r>
          </w:p>
        </w:tc>
        <w:tc>
          <w:tcPr>
            <w:tcW w:w="3685" w:type="dxa"/>
            <w:gridSpan w:val="2"/>
            <w:tcBorders>
              <w:top w:val="single" w:color="auto" w:sz="4" w:space="0"/>
              <w:left w:val="single" w:color="auto" w:sz="4" w:space="0"/>
              <w:right w:val="single" w:color="auto" w:sz="4" w:space="0"/>
            </w:tcBorders>
          </w:tcPr>
          <w:p w14:paraId="0D651231">
            <w:pPr>
              <w:pStyle w:val="88"/>
              <w:spacing w:line="360" w:lineRule="auto"/>
              <w:ind w:firstLine="0" w:firstLineChars="0"/>
              <w:rPr>
                <w:rFonts w:ascii="宋体" w:eastAsia="宋体" w:cs="宋体"/>
                <w:color w:val="auto"/>
                <w:kern w:val="0"/>
                <w:sz w:val="22"/>
                <w:highlight w:val="none"/>
              </w:rPr>
            </w:pPr>
          </w:p>
        </w:tc>
      </w:tr>
      <w:tr w14:paraId="700B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5B7E6C2B">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交通银行股份有限公司温州分行</w:t>
            </w:r>
          </w:p>
        </w:tc>
        <w:tc>
          <w:tcPr>
            <w:tcW w:w="3685" w:type="dxa"/>
            <w:gridSpan w:val="2"/>
            <w:tcBorders>
              <w:top w:val="single" w:color="auto" w:sz="4" w:space="0"/>
              <w:left w:val="single" w:color="auto" w:sz="4" w:space="0"/>
              <w:right w:val="single" w:color="auto" w:sz="4" w:space="0"/>
            </w:tcBorders>
          </w:tcPr>
          <w:p w14:paraId="396FCE97">
            <w:pPr>
              <w:pStyle w:val="88"/>
              <w:spacing w:line="360" w:lineRule="auto"/>
              <w:ind w:firstLine="0" w:firstLineChars="0"/>
              <w:rPr>
                <w:rFonts w:ascii="宋体" w:eastAsia="宋体" w:cs="宋体"/>
                <w:color w:val="auto"/>
                <w:kern w:val="0"/>
                <w:sz w:val="22"/>
                <w:highlight w:val="none"/>
              </w:rPr>
            </w:pPr>
          </w:p>
        </w:tc>
      </w:tr>
      <w:tr w14:paraId="12C4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Borders>
              <w:top w:val="single" w:color="auto" w:sz="4" w:space="0"/>
              <w:left w:val="single" w:color="auto" w:sz="4" w:space="0"/>
              <w:right w:val="single" w:color="auto" w:sz="4" w:space="0"/>
            </w:tcBorders>
          </w:tcPr>
          <w:p w14:paraId="71137996">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上海浦东发展银行股份有限公司温州分行</w:t>
            </w:r>
          </w:p>
        </w:tc>
        <w:tc>
          <w:tcPr>
            <w:tcW w:w="3685" w:type="dxa"/>
            <w:gridSpan w:val="2"/>
            <w:tcBorders>
              <w:top w:val="single" w:color="auto" w:sz="4" w:space="0"/>
              <w:left w:val="single" w:color="auto" w:sz="4" w:space="0"/>
              <w:right w:val="single" w:color="auto" w:sz="4" w:space="0"/>
            </w:tcBorders>
          </w:tcPr>
          <w:p w14:paraId="15CDA956">
            <w:pPr>
              <w:pStyle w:val="88"/>
              <w:spacing w:line="360" w:lineRule="auto"/>
              <w:ind w:firstLine="0" w:firstLineChars="0"/>
              <w:rPr>
                <w:rFonts w:ascii="宋体" w:eastAsia="宋体" w:cs="宋体"/>
                <w:color w:val="auto"/>
                <w:kern w:val="0"/>
                <w:sz w:val="22"/>
                <w:highlight w:val="none"/>
              </w:rPr>
            </w:pPr>
          </w:p>
        </w:tc>
      </w:tr>
    </w:tbl>
    <w:p w14:paraId="6E3201AF">
      <w:pPr>
        <w:rPr>
          <w:rFonts w:ascii="宋体" w:cs="宋体"/>
          <w:color w:val="auto"/>
          <w:sz w:val="22"/>
          <w:highlight w:val="none"/>
        </w:rPr>
      </w:pPr>
    </w:p>
    <w:p w14:paraId="71F72AAD">
      <w:pPr>
        <w:rPr>
          <w:rFonts w:ascii="宋体" w:cs="宋体"/>
          <w:color w:val="auto"/>
          <w:sz w:val="22"/>
          <w:highlight w:val="none"/>
        </w:rPr>
      </w:pPr>
      <w:r>
        <w:rPr>
          <w:rFonts w:hint="eastAsia" w:ascii="宋体" w:cs="宋体"/>
          <w:color w:val="auto"/>
          <w:sz w:val="22"/>
          <w:highlight w:val="none"/>
        </w:rPr>
        <w:t>注：1、本表填写对象为注册地在温州市域内的供应商。</w:t>
      </w:r>
    </w:p>
    <w:p w14:paraId="6B289CAC">
      <w:pPr>
        <w:spacing w:line="588" w:lineRule="exact"/>
        <w:ind w:firstLine="446" w:firstLineChars="200"/>
        <w:rPr>
          <w:rFonts w:ascii="宋体" w:cs="宋体"/>
          <w:b/>
          <w:color w:val="auto"/>
          <w:sz w:val="22"/>
          <w:highlight w:val="none"/>
        </w:rPr>
      </w:pPr>
      <w:r>
        <w:rPr>
          <w:rFonts w:hint="eastAsia" w:ascii="宋体" w:cs="宋体"/>
          <w:color w:val="auto"/>
          <w:sz w:val="22"/>
          <w:highlight w:val="none"/>
        </w:rPr>
        <w:t>2、财政部门根据企业自行选择，将本表及企业相关信息推送至相对应的融资意向银行经办人。</w:t>
      </w:r>
    </w:p>
    <w:p w14:paraId="7CD2886E">
      <w:pPr>
        <w:snapToGrid w:val="0"/>
        <w:spacing w:line="380" w:lineRule="exact"/>
        <w:jc w:val="center"/>
        <w:rPr>
          <w:rFonts w:ascii="宋体" w:cs="宋体"/>
          <w:color w:val="auto"/>
          <w:sz w:val="22"/>
          <w:highlight w:val="none"/>
        </w:rPr>
      </w:pPr>
      <w:r>
        <w:rPr>
          <w:rFonts w:hint="eastAsia" w:ascii="宋体" w:cs="宋体"/>
          <w:color w:val="auto"/>
          <w:sz w:val="36"/>
          <w:highlight w:val="none"/>
        </w:rPr>
        <w:br w:type="page"/>
      </w:r>
      <w:bookmarkStart w:id="71" w:name="_Toc29876_WPSOffice_Level1"/>
      <w:r>
        <w:rPr>
          <w:rFonts w:hint="eastAsia" w:ascii="宋体" w:cs="宋体"/>
          <w:b/>
          <w:color w:val="auto"/>
          <w:sz w:val="32"/>
          <w:szCs w:val="32"/>
          <w:highlight w:val="none"/>
        </w:rPr>
        <w:t>第五部分、合同格式</w:t>
      </w:r>
      <w:bookmarkEnd w:id="71"/>
    </w:p>
    <w:p w14:paraId="35B0CF2E">
      <w:pPr>
        <w:tabs>
          <w:tab w:val="left" w:pos="1230"/>
        </w:tabs>
        <w:spacing w:line="400" w:lineRule="exact"/>
        <w:rPr>
          <w:rFonts w:ascii="宋体" w:cs="宋体"/>
          <w:b/>
          <w:color w:val="auto"/>
          <w:sz w:val="22"/>
          <w:highlight w:val="none"/>
        </w:rPr>
      </w:pPr>
      <w:bookmarkStart w:id="72" w:name="_Toc11700_WPSOffice_Level1"/>
    </w:p>
    <w:p w14:paraId="085FB3A3">
      <w:pPr>
        <w:pStyle w:val="15"/>
        <w:jc w:val="center"/>
        <w:rPr>
          <w:rFonts w:ascii="宋体" w:hAnsi="宋体" w:cs="宋体"/>
          <w:b/>
          <w:bCs/>
          <w:color w:val="auto"/>
          <w:spacing w:val="-20"/>
          <w:kern w:val="44"/>
          <w:sz w:val="48"/>
          <w:szCs w:val="48"/>
          <w:highlight w:val="none"/>
        </w:rPr>
      </w:pPr>
    </w:p>
    <w:p w14:paraId="04D2E9B4">
      <w:pPr>
        <w:spacing w:line="1000" w:lineRule="exact"/>
        <w:jc w:val="center"/>
        <w:rPr>
          <w:rFonts w:ascii="新宋体" w:hAnsi="新宋体" w:eastAsia="新宋体" w:cs="新宋体"/>
          <w:b/>
          <w:color w:val="auto"/>
          <w:sz w:val="72"/>
          <w:szCs w:val="72"/>
          <w:highlight w:val="none"/>
        </w:rPr>
      </w:pPr>
      <w:bookmarkStart w:id="73" w:name="_Toc377392570"/>
      <w:bookmarkStart w:id="74" w:name="_Toc243158546"/>
      <w:bookmarkStart w:id="75" w:name="_Toc25275"/>
      <w:bookmarkStart w:id="76" w:name="_Toc402690383"/>
      <w:bookmarkStart w:id="77" w:name="_Toc340736219"/>
      <w:r>
        <w:rPr>
          <w:rFonts w:hint="eastAsia" w:ascii="新宋体" w:hAnsi="新宋体" w:eastAsia="新宋体" w:cs="新宋体"/>
          <w:b/>
          <w:color w:val="auto"/>
          <w:sz w:val="72"/>
          <w:szCs w:val="72"/>
          <w:highlight w:val="none"/>
        </w:rPr>
        <w:t>政 府 采 购 合 同</w:t>
      </w:r>
    </w:p>
    <w:p w14:paraId="54CB8109">
      <w:pPr>
        <w:spacing w:line="400" w:lineRule="exact"/>
        <w:rPr>
          <w:rFonts w:ascii="新宋体" w:hAnsi="新宋体" w:eastAsia="新宋体" w:cs="新宋体"/>
          <w:b/>
          <w:color w:val="auto"/>
          <w:sz w:val="22"/>
          <w:szCs w:val="22"/>
          <w:highlight w:val="none"/>
        </w:rPr>
      </w:pPr>
    </w:p>
    <w:p w14:paraId="7613D7AC">
      <w:pPr>
        <w:spacing w:line="400" w:lineRule="exact"/>
        <w:rPr>
          <w:rFonts w:ascii="新宋体" w:hAnsi="新宋体" w:eastAsia="新宋体" w:cs="新宋体"/>
          <w:b/>
          <w:color w:val="auto"/>
          <w:sz w:val="22"/>
          <w:szCs w:val="22"/>
          <w:highlight w:val="none"/>
        </w:rPr>
      </w:pPr>
    </w:p>
    <w:p w14:paraId="6EB4E7EE">
      <w:pPr>
        <w:spacing w:line="400" w:lineRule="exact"/>
        <w:rPr>
          <w:rFonts w:ascii="新宋体" w:hAnsi="新宋体" w:eastAsia="新宋体" w:cs="新宋体"/>
          <w:b/>
          <w:color w:val="auto"/>
          <w:sz w:val="22"/>
          <w:szCs w:val="22"/>
          <w:highlight w:val="none"/>
        </w:rPr>
      </w:pPr>
    </w:p>
    <w:p w14:paraId="7D59D2C9">
      <w:pPr>
        <w:spacing w:line="400" w:lineRule="exact"/>
        <w:rPr>
          <w:rFonts w:ascii="新宋体" w:hAnsi="新宋体" w:eastAsia="新宋体" w:cs="新宋体"/>
          <w:b/>
          <w:color w:val="auto"/>
          <w:sz w:val="22"/>
          <w:szCs w:val="22"/>
          <w:highlight w:val="none"/>
        </w:rPr>
      </w:pPr>
    </w:p>
    <w:p w14:paraId="00E3DA27">
      <w:pPr>
        <w:spacing w:line="600" w:lineRule="exact"/>
        <w:ind w:firstLine="2438" w:firstLineChars="862"/>
        <w:rPr>
          <w:rFonts w:ascii="新宋体" w:hAnsi="新宋体" w:eastAsia="新宋体" w:cs="新宋体"/>
          <w:color w:val="auto"/>
          <w:sz w:val="28"/>
          <w:highlight w:val="none"/>
        </w:rPr>
      </w:pPr>
      <w:r>
        <w:rPr>
          <w:rFonts w:hint="eastAsia" w:ascii="新宋体" w:hAnsi="新宋体" w:eastAsia="新宋体" w:cs="新宋体"/>
          <w:color w:val="auto"/>
          <w:sz w:val="28"/>
          <w:highlight w:val="none"/>
        </w:rPr>
        <w:t>项 目 名 称：</w:t>
      </w:r>
      <w:r>
        <w:rPr>
          <w:rFonts w:hint="eastAsia" w:ascii="新宋体" w:hAnsi="新宋体" w:eastAsia="新宋体" w:cs="新宋体"/>
          <w:color w:val="auto"/>
          <w:sz w:val="28"/>
          <w:highlight w:val="none"/>
          <w:u w:val="single"/>
        </w:rPr>
        <w:t xml:space="preserve">                      </w:t>
      </w:r>
    </w:p>
    <w:p w14:paraId="08685E0B">
      <w:pPr>
        <w:spacing w:line="600" w:lineRule="exact"/>
        <w:ind w:firstLine="2438" w:firstLineChars="862"/>
        <w:rPr>
          <w:rFonts w:ascii="新宋体" w:hAnsi="新宋体" w:eastAsia="新宋体" w:cs="新宋体"/>
          <w:color w:val="auto"/>
          <w:sz w:val="28"/>
          <w:highlight w:val="none"/>
        </w:rPr>
      </w:pPr>
      <w:r>
        <w:rPr>
          <w:rFonts w:hint="eastAsia" w:ascii="新宋体" w:hAnsi="新宋体" w:eastAsia="新宋体" w:cs="新宋体"/>
          <w:color w:val="auto"/>
          <w:sz w:val="28"/>
          <w:highlight w:val="none"/>
        </w:rPr>
        <w:t>项 目 地 点：</w:t>
      </w:r>
      <w:r>
        <w:rPr>
          <w:rFonts w:hint="eastAsia" w:ascii="新宋体" w:hAnsi="新宋体" w:eastAsia="新宋体" w:cs="新宋体"/>
          <w:color w:val="auto"/>
          <w:sz w:val="28"/>
          <w:highlight w:val="none"/>
          <w:u w:val="single"/>
        </w:rPr>
        <w:t xml:space="preserve">                      </w:t>
      </w:r>
    </w:p>
    <w:p w14:paraId="3AEC42D6">
      <w:pPr>
        <w:spacing w:line="600" w:lineRule="exact"/>
        <w:ind w:firstLine="2438" w:firstLineChars="862"/>
        <w:rPr>
          <w:rFonts w:ascii="新宋体" w:hAnsi="新宋体" w:eastAsia="新宋体" w:cs="新宋体"/>
          <w:color w:val="auto"/>
          <w:sz w:val="28"/>
          <w:highlight w:val="none"/>
        </w:rPr>
      </w:pPr>
      <w:r>
        <w:rPr>
          <w:rFonts w:hint="eastAsia" w:ascii="新宋体" w:hAnsi="新宋体" w:eastAsia="新宋体" w:cs="新宋体"/>
          <w:color w:val="auto"/>
          <w:sz w:val="28"/>
          <w:highlight w:val="none"/>
        </w:rPr>
        <w:t>合 同 编 号：</w:t>
      </w:r>
      <w:r>
        <w:rPr>
          <w:rFonts w:hint="eastAsia" w:ascii="新宋体" w:hAnsi="新宋体" w:eastAsia="新宋体" w:cs="新宋体"/>
          <w:color w:val="auto"/>
          <w:sz w:val="28"/>
          <w:highlight w:val="none"/>
          <w:u w:val="single"/>
        </w:rPr>
        <w:t xml:space="preserve">                      </w:t>
      </w:r>
    </w:p>
    <w:p w14:paraId="741F1E32">
      <w:pPr>
        <w:spacing w:line="600" w:lineRule="exact"/>
        <w:ind w:firstLine="4419" w:firstLineChars="1562"/>
        <w:rPr>
          <w:rFonts w:ascii="新宋体" w:hAnsi="新宋体" w:eastAsia="新宋体" w:cs="新宋体"/>
          <w:color w:val="auto"/>
          <w:sz w:val="28"/>
          <w:highlight w:val="none"/>
        </w:rPr>
      </w:pPr>
      <w:r>
        <w:rPr>
          <w:rFonts w:hint="eastAsia" w:ascii="新宋体" w:hAnsi="新宋体" w:eastAsia="新宋体" w:cs="新宋体"/>
          <w:color w:val="auto"/>
          <w:sz w:val="28"/>
          <w:highlight w:val="none"/>
        </w:rPr>
        <w:t xml:space="preserve"> </w:t>
      </w:r>
    </w:p>
    <w:p w14:paraId="177E1F45">
      <w:pPr>
        <w:spacing w:line="600" w:lineRule="exact"/>
        <w:ind w:firstLine="2438" w:firstLineChars="862"/>
        <w:rPr>
          <w:rFonts w:ascii="新宋体" w:hAnsi="新宋体" w:eastAsia="新宋体" w:cs="新宋体"/>
          <w:color w:val="auto"/>
          <w:sz w:val="28"/>
          <w:highlight w:val="none"/>
        </w:rPr>
      </w:pPr>
    </w:p>
    <w:p w14:paraId="68864A6F">
      <w:pPr>
        <w:spacing w:line="600" w:lineRule="exact"/>
        <w:ind w:firstLine="2438" w:firstLineChars="862"/>
        <w:rPr>
          <w:rFonts w:ascii="新宋体" w:hAnsi="新宋体" w:eastAsia="新宋体" w:cs="新宋体"/>
          <w:color w:val="auto"/>
          <w:sz w:val="28"/>
          <w:highlight w:val="none"/>
        </w:rPr>
      </w:pPr>
    </w:p>
    <w:p w14:paraId="660BE2A5">
      <w:pPr>
        <w:spacing w:line="600" w:lineRule="exact"/>
        <w:ind w:firstLine="2438" w:firstLineChars="862"/>
        <w:rPr>
          <w:rFonts w:ascii="新宋体" w:hAnsi="新宋体" w:eastAsia="新宋体" w:cs="新宋体"/>
          <w:color w:val="auto"/>
          <w:sz w:val="28"/>
          <w:highlight w:val="none"/>
        </w:rPr>
      </w:pPr>
    </w:p>
    <w:p w14:paraId="4DEDAC18">
      <w:pPr>
        <w:spacing w:line="600" w:lineRule="exact"/>
        <w:ind w:firstLine="2438" w:firstLineChars="862"/>
        <w:rPr>
          <w:rFonts w:ascii="新宋体" w:hAnsi="新宋体" w:eastAsia="新宋体" w:cs="新宋体"/>
          <w:color w:val="auto"/>
          <w:sz w:val="28"/>
          <w:highlight w:val="none"/>
          <w:u w:val="single"/>
        </w:rPr>
      </w:pPr>
      <w:r>
        <w:rPr>
          <w:rFonts w:hint="eastAsia" w:ascii="新宋体" w:hAnsi="新宋体" w:eastAsia="新宋体" w:cs="新宋体"/>
          <w:color w:val="auto"/>
          <w:sz w:val="28"/>
          <w:highlight w:val="none"/>
        </w:rPr>
        <w:t>采 购 单 位：</w:t>
      </w:r>
      <w:r>
        <w:rPr>
          <w:rFonts w:hint="eastAsia" w:ascii="新宋体" w:hAnsi="新宋体" w:eastAsia="新宋体" w:cs="新宋体"/>
          <w:color w:val="auto"/>
          <w:sz w:val="28"/>
          <w:highlight w:val="none"/>
          <w:u w:val="single"/>
        </w:rPr>
        <w:t xml:space="preserve">                      </w:t>
      </w:r>
      <w:r>
        <w:rPr>
          <w:rFonts w:hint="eastAsia" w:ascii="新宋体" w:hAnsi="新宋体" w:eastAsia="新宋体" w:cs="新宋体"/>
          <w:color w:val="auto"/>
          <w:sz w:val="28"/>
          <w:highlight w:val="none"/>
        </w:rPr>
        <w:t>_</w:t>
      </w:r>
      <w:r>
        <w:rPr>
          <w:rFonts w:hint="eastAsia" w:ascii="新宋体" w:hAnsi="新宋体" w:eastAsia="新宋体" w:cs="新宋体"/>
          <w:color w:val="auto"/>
          <w:sz w:val="28"/>
          <w:highlight w:val="none"/>
          <w:u w:val="none"/>
        </w:rPr>
        <w:t xml:space="preserve">                 </w:t>
      </w:r>
      <w:r>
        <w:rPr>
          <w:rFonts w:hint="eastAsia" w:ascii="新宋体" w:hAnsi="新宋体" w:eastAsia="新宋体" w:cs="新宋体"/>
          <w:color w:val="auto"/>
          <w:sz w:val="28"/>
          <w:highlight w:val="none"/>
          <w:u w:val="single"/>
        </w:rPr>
        <w:t xml:space="preserve">  </w:t>
      </w:r>
    </w:p>
    <w:p w14:paraId="56CDBFB5">
      <w:pPr>
        <w:spacing w:line="600" w:lineRule="exact"/>
        <w:ind w:firstLine="2431" w:firstLineChars="753"/>
        <w:rPr>
          <w:rFonts w:ascii="新宋体" w:hAnsi="新宋体" w:eastAsia="新宋体" w:cs="新宋体"/>
          <w:color w:val="auto"/>
          <w:sz w:val="28"/>
          <w:highlight w:val="none"/>
        </w:rPr>
      </w:pPr>
      <w:r>
        <w:rPr>
          <w:rFonts w:hint="eastAsia" w:ascii="新宋体" w:hAnsi="新宋体" w:eastAsia="新宋体" w:cs="新宋体"/>
          <w:color w:val="auto"/>
          <w:spacing w:val="20"/>
          <w:sz w:val="28"/>
          <w:highlight w:val="none"/>
        </w:rPr>
        <w:t>中标供应商</w:t>
      </w:r>
      <w:r>
        <w:rPr>
          <w:rFonts w:hint="eastAsia" w:ascii="新宋体" w:hAnsi="新宋体" w:eastAsia="新宋体" w:cs="新宋体"/>
          <w:color w:val="auto"/>
          <w:sz w:val="28"/>
          <w:highlight w:val="none"/>
        </w:rPr>
        <w:t>：</w:t>
      </w:r>
      <w:r>
        <w:rPr>
          <w:rFonts w:hint="eastAsia" w:ascii="新宋体" w:hAnsi="新宋体" w:eastAsia="新宋体" w:cs="新宋体"/>
          <w:color w:val="auto"/>
          <w:sz w:val="28"/>
          <w:highlight w:val="none"/>
          <w:u w:val="single"/>
        </w:rPr>
        <w:t xml:space="preserve">                      </w:t>
      </w:r>
      <w:r>
        <w:rPr>
          <w:rFonts w:hint="eastAsia" w:ascii="新宋体" w:hAnsi="新宋体" w:eastAsia="新宋体" w:cs="新宋体"/>
          <w:color w:val="auto"/>
          <w:sz w:val="28"/>
          <w:highlight w:val="none"/>
        </w:rPr>
        <w:t>_</w:t>
      </w:r>
    </w:p>
    <w:p w14:paraId="44C1D78B">
      <w:pPr>
        <w:spacing w:line="600" w:lineRule="exact"/>
        <w:ind w:left="711" w:leftChars="334" w:firstLine="1698" w:firstLineChars="600"/>
        <w:rPr>
          <w:rFonts w:ascii="新宋体" w:hAnsi="新宋体" w:eastAsia="新宋体" w:cs="新宋体"/>
          <w:color w:val="auto"/>
          <w:sz w:val="22"/>
          <w:szCs w:val="22"/>
          <w:highlight w:val="none"/>
        </w:rPr>
      </w:pPr>
      <w:r>
        <w:rPr>
          <w:rFonts w:hint="eastAsia" w:ascii="新宋体" w:hAnsi="新宋体" w:eastAsia="新宋体" w:cs="新宋体"/>
          <w:color w:val="auto"/>
          <w:sz w:val="28"/>
          <w:highlight w:val="none"/>
        </w:rPr>
        <w:t>签  订 日 期：</w:t>
      </w:r>
      <w:r>
        <w:rPr>
          <w:rFonts w:hint="eastAsia" w:ascii="新宋体" w:hAnsi="新宋体" w:eastAsia="新宋体" w:cs="新宋体"/>
          <w:color w:val="auto"/>
          <w:sz w:val="28"/>
          <w:highlight w:val="none"/>
          <w:u w:val="single"/>
        </w:rPr>
        <w:t xml:space="preserve">                      </w:t>
      </w:r>
      <w:r>
        <w:rPr>
          <w:rFonts w:hint="eastAsia" w:ascii="新宋体" w:hAnsi="新宋体" w:eastAsia="新宋体" w:cs="新宋体"/>
          <w:color w:val="auto"/>
          <w:sz w:val="28"/>
          <w:highlight w:val="none"/>
        </w:rPr>
        <w:t>_</w:t>
      </w:r>
      <w:r>
        <w:rPr>
          <w:rFonts w:hint="eastAsia" w:ascii="新宋体" w:hAnsi="新宋体" w:eastAsia="新宋体" w:cs="新宋体"/>
          <w:color w:val="auto"/>
          <w:sz w:val="28"/>
          <w:highlight w:val="none"/>
          <w:u w:val="none"/>
        </w:rPr>
        <w:t xml:space="preserve">                 </w:t>
      </w:r>
      <w:r>
        <w:rPr>
          <w:rFonts w:hint="eastAsia" w:ascii="新宋体" w:hAnsi="新宋体" w:eastAsia="新宋体" w:cs="新宋体"/>
          <w:color w:val="auto"/>
          <w:sz w:val="28"/>
          <w:highlight w:val="none"/>
          <w:u w:val="single"/>
        </w:rPr>
        <w:t xml:space="preserve">     </w:t>
      </w:r>
    </w:p>
    <w:p w14:paraId="422C84FB">
      <w:pPr>
        <w:spacing w:line="440" w:lineRule="exact"/>
        <w:ind w:left="550" w:hanging="557" w:hangingChars="250"/>
        <w:rPr>
          <w:rFonts w:ascii="新宋体" w:hAnsi="新宋体" w:eastAsia="新宋体" w:cs="新宋体"/>
          <w:color w:val="auto"/>
          <w:sz w:val="22"/>
          <w:szCs w:val="22"/>
          <w:highlight w:val="none"/>
        </w:rPr>
      </w:pPr>
    </w:p>
    <w:p w14:paraId="56C1132B">
      <w:pPr>
        <w:spacing w:line="400" w:lineRule="exact"/>
        <w:rPr>
          <w:rFonts w:ascii="新宋体" w:hAnsi="新宋体" w:eastAsia="新宋体" w:cs="新宋体"/>
          <w:b/>
          <w:color w:val="auto"/>
          <w:sz w:val="22"/>
          <w:szCs w:val="22"/>
          <w:highlight w:val="none"/>
        </w:rPr>
      </w:pPr>
    </w:p>
    <w:p w14:paraId="5AB0E9DB">
      <w:pPr>
        <w:spacing w:line="400" w:lineRule="exact"/>
        <w:rPr>
          <w:rFonts w:ascii="新宋体" w:hAnsi="新宋体" w:eastAsia="新宋体" w:cs="新宋体"/>
          <w:b/>
          <w:color w:val="auto"/>
          <w:sz w:val="22"/>
          <w:szCs w:val="22"/>
          <w:highlight w:val="none"/>
        </w:rPr>
      </w:pPr>
    </w:p>
    <w:p w14:paraId="47666A15">
      <w:pPr>
        <w:spacing w:line="400" w:lineRule="exact"/>
        <w:rPr>
          <w:rFonts w:ascii="新宋体" w:hAnsi="新宋体" w:eastAsia="新宋体" w:cs="新宋体"/>
          <w:b/>
          <w:color w:val="auto"/>
          <w:sz w:val="22"/>
          <w:szCs w:val="22"/>
          <w:highlight w:val="none"/>
        </w:rPr>
      </w:pPr>
    </w:p>
    <w:p w14:paraId="05ECEE99">
      <w:pPr>
        <w:spacing w:line="400" w:lineRule="exact"/>
        <w:rPr>
          <w:rFonts w:ascii="新宋体" w:hAnsi="新宋体" w:eastAsia="新宋体" w:cs="新宋体"/>
          <w:b/>
          <w:color w:val="auto"/>
          <w:sz w:val="22"/>
          <w:szCs w:val="22"/>
          <w:highlight w:val="none"/>
        </w:rPr>
      </w:pPr>
    </w:p>
    <w:p w14:paraId="61367A6A">
      <w:pPr>
        <w:spacing w:line="400" w:lineRule="exact"/>
        <w:rPr>
          <w:rFonts w:ascii="新宋体" w:hAnsi="新宋体" w:eastAsia="新宋体" w:cs="新宋体"/>
          <w:b/>
          <w:color w:val="auto"/>
          <w:sz w:val="22"/>
          <w:szCs w:val="22"/>
          <w:highlight w:val="none"/>
        </w:rPr>
      </w:pPr>
    </w:p>
    <w:p w14:paraId="59D7F37C">
      <w:pPr>
        <w:spacing w:line="400" w:lineRule="exact"/>
        <w:rPr>
          <w:rFonts w:ascii="新宋体" w:hAnsi="新宋体" w:eastAsia="新宋体" w:cs="新宋体"/>
          <w:b/>
          <w:color w:val="auto"/>
          <w:sz w:val="22"/>
          <w:szCs w:val="22"/>
          <w:highlight w:val="none"/>
        </w:rPr>
      </w:pPr>
    </w:p>
    <w:p w14:paraId="07365160">
      <w:pPr>
        <w:rPr>
          <w:rFonts w:ascii="新宋体" w:hAnsi="新宋体" w:eastAsia="新宋体" w:cs="新宋体"/>
          <w:b/>
          <w:color w:val="auto"/>
          <w:szCs w:val="20"/>
          <w:highlight w:val="none"/>
        </w:rPr>
      </w:pPr>
      <w:r>
        <w:rPr>
          <w:rFonts w:hint="eastAsia" w:ascii="新宋体" w:hAnsi="新宋体" w:eastAsia="新宋体" w:cs="新宋体"/>
          <w:b/>
          <w:color w:val="auto"/>
          <w:szCs w:val="20"/>
          <w:highlight w:val="none"/>
        </w:rPr>
        <w:br w:type="page"/>
      </w:r>
    </w:p>
    <w:p w14:paraId="04C64E7F">
      <w:pPr>
        <w:spacing w:line="520" w:lineRule="exact"/>
        <w:ind w:firstLine="426" w:firstLineChars="200"/>
        <w:jc w:val="center"/>
        <w:rPr>
          <w:rFonts w:ascii="新宋体" w:hAnsi="新宋体" w:eastAsia="新宋体" w:cs="新宋体"/>
          <w:b/>
          <w:color w:val="auto"/>
          <w:szCs w:val="20"/>
          <w:highlight w:val="none"/>
        </w:rPr>
      </w:pPr>
      <w:r>
        <w:rPr>
          <w:rFonts w:hint="eastAsia" w:ascii="新宋体" w:hAnsi="新宋体" w:eastAsia="新宋体" w:cs="新宋体"/>
          <w:b/>
          <w:color w:val="auto"/>
          <w:szCs w:val="20"/>
          <w:highlight w:val="none"/>
        </w:rPr>
        <w:t>（格式供参考，最终以双方签字盖章的合同文本为准）</w:t>
      </w:r>
    </w:p>
    <w:p w14:paraId="1861C51A">
      <w:pPr>
        <w:spacing w:line="440" w:lineRule="exact"/>
        <w:jc w:val="center"/>
        <w:rPr>
          <w:rFonts w:ascii="新宋体" w:hAnsi="新宋体" w:eastAsia="新宋体" w:cs="新宋体"/>
          <w:b/>
          <w:color w:val="auto"/>
          <w:sz w:val="32"/>
          <w:highlight w:val="none"/>
        </w:rPr>
      </w:pPr>
    </w:p>
    <w:p w14:paraId="50769D8C">
      <w:pPr>
        <w:spacing w:line="440" w:lineRule="exact"/>
        <w:jc w:val="center"/>
        <w:rPr>
          <w:rFonts w:ascii="新宋体" w:hAnsi="新宋体" w:eastAsia="新宋体" w:cs="新宋体"/>
          <w:b/>
          <w:color w:val="auto"/>
          <w:sz w:val="32"/>
          <w:highlight w:val="none"/>
        </w:rPr>
      </w:pPr>
      <w:r>
        <w:rPr>
          <w:rFonts w:hint="eastAsia" w:ascii="新宋体" w:hAnsi="新宋体" w:eastAsia="新宋体" w:cs="新宋体"/>
          <w:b/>
          <w:color w:val="auto"/>
          <w:sz w:val="32"/>
          <w:highlight w:val="none"/>
        </w:rPr>
        <w:t>合同主要条款</w:t>
      </w:r>
    </w:p>
    <w:p w14:paraId="60960543">
      <w:pPr>
        <w:pStyle w:val="21"/>
        <w:spacing w:line="400" w:lineRule="exact"/>
        <w:rPr>
          <w:rFonts w:ascii="新宋体" w:hAnsi="新宋体" w:eastAsia="新宋体" w:cs="新宋体"/>
          <w:b/>
          <w:color w:val="auto"/>
          <w:sz w:val="22"/>
          <w:szCs w:val="22"/>
          <w:highlight w:val="none"/>
        </w:rPr>
      </w:pPr>
      <w:r>
        <w:rPr>
          <w:rFonts w:hint="eastAsia" w:ascii="新宋体" w:hAnsi="新宋体" w:eastAsia="新宋体" w:cs="新宋体"/>
          <w:b/>
          <w:color w:val="auto"/>
          <w:sz w:val="24"/>
          <w:szCs w:val="24"/>
          <w:highlight w:val="none"/>
        </w:rPr>
        <w:t xml:space="preserve">                             </w:t>
      </w:r>
      <w:r>
        <w:rPr>
          <w:rFonts w:hint="eastAsia" w:ascii="新宋体" w:hAnsi="新宋体" w:eastAsia="新宋体" w:cs="新宋体"/>
          <w:b/>
          <w:color w:val="auto"/>
          <w:sz w:val="22"/>
          <w:szCs w:val="22"/>
          <w:highlight w:val="none"/>
        </w:rPr>
        <w:t>编号  ：</w:t>
      </w:r>
    </w:p>
    <w:p w14:paraId="32504890">
      <w:pPr>
        <w:pStyle w:val="21"/>
        <w:spacing w:line="400" w:lineRule="exact"/>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 xml:space="preserve">委托人（下称“甲方”）： </w:t>
      </w:r>
    </w:p>
    <w:p w14:paraId="1DDD2B3E">
      <w:pPr>
        <w:pStyle w:val="21"/>
        <w:spacing w:line="400" w:lineRule="exact"/>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受托人（下称“乙方”）：</w:t>
      </w:r>
    </w:p>
    <w:p w14:paraId="26B2DD54">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lang w:val="zh-CN"/>
        </w:rPr>
        <w:t>根据《</w:t>
      </w:r>
      <w:r>
        <w:rPr>
          <w:rFonts w:hint="eastAsia" w:ascii="新宋体" w:hAnsi="新宋体" w:eastAsia="新宋体" w:cs="新宋体"/>
          <w:color w:val="auto"/>
          <w:sz w:val="22"/>
          <w:highlight w:val="none"/>
        </w:rPr>
        <w:t>中华人民共和国民法典</w:t>
      </w:r>
      <w:r>
        <w:rPr>
          <w:rFonts w:hint="eastAsia" w:ascii="新宋体" w:hAnsi="新宋体" w:eastAsia="新宋体" w:cs="新宋体"/>
          <w:color w:val="auto"/>
          <w:sz w:val="22"/>
          <w:highlight w:val="none"/>
          <w:lang w:val="zh-CN"/>
        </w:rPr>
        <w:t>》</w:t>
      </w:r>
      <w:r>
        <w:rPr>
          <w:rFonts w:hint="eastAsia" w:ascii="新宋体" w:hAnsi="新宋体" w:eastAsia="新宋体" w:cs="新宋体"/>
          <w:color w:val="auto"/>
          <w:sz w:val="22"/>
          <w:highlight w:val="none"/>
        </w:rPr>
        <w:t>及</w:t>
      </w:r>
      <w:r>
        <w:rPr>
          <w:rFonts w:hint="eastAsia" w:ascii="新宋体" w:hAnsi="新宋体" w:eastAsia="新宋体" w:cs="新宋体"/>
          <w:color w:val="auto"/>
          <w:sz w:val="22"/>
          <w:highlight w:val="none"/>
          <w:lang w:val="zh-CN"/>
        </w:rPr>
        <w:t>有关</w:t>
      </w:r>
      <w:r>
        <w:rPr>
          <w:rFonts w:hint="eastAsia" w:ascii="新宋体" w:hAnsi="新宋体" w:eastAsia="新宋体" w:cs="新宋体"/>
          <w:color w:val="auto"/>
          <w:sz w:val="22"/>
          <w:highlight w:val="none"/>
        </w:rPr>
        <w:t>法律、法规规定</w:t>
      </w:r>
      <w:r>
        <w:rPr>
          <w:rFonts w:hint="eastAsia" w:ascii="新宋体" w:hAnsi="新宋体" w:eastAsia="新宋体" w:cs="新宋体"/>
          <w:color w:val="auto"/>
          <w:sz w:val="22"/>
          <w:highlight w:val="none"/>
          <w:lang w:val="zh-CN"/>
        </w:rPr>
        <w:t>及公开招标结果，经平等协商，特就甲方委托乙方进行</w:t>
      </w:r>
      <w:r>
        <w:rPr>
          <w:rFonts w:hint="eastAsia" w:ascii="新宋体" w:hAnsi="新宋体" w:eastAsia="新宋体" w:cs="新宋体"/>
          <w:color w:val="auto"/>
          <w:sz w:val="22"/>
          <w:highlight w:val="none"/>
          <w:u w:val="single"/>
          <w:lang w:eastAsia="zh-CN"/>
        </w:rPr>
        <w:t>泰顺县”慢病智管“数智化服务（三年）</w:t>
      </w:r>
      <w:r>
        <w:rPr>
          <w:rFonts w:hint="eastAsia" w:ascii="新宋体" w:hAnsi="新宋体" w:eastAsia="新宋体" w:cs="新宋体"/>
          <w:color w:val="auto"/>
          <w:sz w:val="22"/>
          <w:highlight w:val="none"/>
        </w:rPr>
        <w:t>项目</w:t>
      </w:r>
      <w:r>
        <w:rPr>
          <w:rFonts w:hint="eastAsia" w:ascii="新宋体" w:hAnsi="新宋体" w:eastAsia="新宋体" w:cs="新宋体"/>
          <w:color w:val="auto"/>
          <w:sz w:val="22"/>
          <w:highlight w:val="none"/>
          <w:lang w:val="zh-CN"/>
        </w:rPr>
        <w:t>的开发事宜，签订以下合同主要条款：</w:t>
      </w:r>
    </w:p>
    <w:p w14:paraId="683220F9">
      <w:pPr>
        <w:spacing w:line="460" w:lineRule="exact"/>
        <w:rPr>
          <w:rFonts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lang w:val="zh-CN"/>
        </w:rPr>
        <w:t>第一条</w:t>
      </w:r>
      <w:r>
        <w:rPr>
          <w:rFonts w:hint="eastAsia" w:ascii="新宋体" w:hAnsi="新宋体" w:eastAsia="新宋体" w:cs="新宋体"/>
          <w:b/>
          <w:bCs/>
          <w:color w:val="auto"/>
          <w:sz w:val="22"/>
          <w:highlight w:val="none"/>
        </w:rPr>
        <w:t xml:space="preserve">  </w:t>
      </w:r>
      <w:r>
        <w:rPr>
          <w:rFonts w:hint="eastAsia" w:ascii="新宋体" w:hAnsi="新宋体" w:eastAsia="新宋体" w:cs="新宋体"/>
          <w:b/>
          <w:bCs/>
          <w:color w:val="auto"/>
          <w:sz w:val="22"/>
          <w:highlight w:val="none"/>
          <w:lang w:val="zh-CN"/>
        </w:rPr>
        <w:t>定义</w:t>
      </w:r>
    </w:p>
    <w:p w14:paraId="01CD84F6">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1.1项目</w:t>
      </w:r>
      <w:r>
        <w:rPr>
          <w:rFonts w:hint="eastAsia" w:ascii="新宋体" w:hAnsi="新宋体" w:eastAsia="新宋体" w:cs="新宋体"/>
          <w:color w:val="auto"/>
          <w:sz w:val="22"/>
          <w:highlight w:val="none"/>
          <w:lang w:val="zh-CN"/>
        </w:rPr>
        <w:t>是指甲方委托乙方按照本合同约定进行开发的</w:t>
      </w:r>
      <w:r>
        <w:rPr>
          <w:rFonts w:hint="eastAsia" w:ascii="新宋体" w:hAnsi="新宋体" w:eastAsia="新宋体" w:cs="新宋体"/>
          <w:color w:val="auto"/>
          <w:sz w:val="22"/>
          <w:highlight w:val="none"/>
          <w:u w:val="single"/>
          <w:lang w:eastAsia="zh-CN"/>
        </w:rPr>
        <w:t>泰顺县”慢病智管“数智化服务（三年）</w:t>
      </w:r>
      <w:r>
        <w:rPr>
          <w:rFonts w:hint="eastAsia" w:ascii="新宋体" w:hAnsi="新宋体" w:eastAsia="新宋体" w:cs="新宋体"/>
          <w:color w:val="auto"/>
          <w:sz w:val="22"/>
          <w:highlight w:val="none"/>
          <w:lang w:val="zh-CN"/>
        </w:rPr>
        <w:t>。</w:t>
      </w:r>
    </w:p>
    <w:p w14:paraId="7F808CC4">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1.2开发软件</w:t>
      </w:r>
      <w:r>
        <w:rPr>
          <w:rFonts w:hint="eastAsia" w:ascii="新宋体" w:hAnsi="新宋体" w:eastAsia="新宋体" w:cs="新宋体"/>
          <w:color w:val="auto"/>
          <w:sz w:val="22"/>
          <w:highlight w:val="none"/>
          <w:lang w:val="zh-CN"/>
        </w:rPr>
        <w:t>是指乙方根据本合同</w:t>
      </w:r>
      <w:r>
        <w:rPr>
          <w:rFonts w:hint="eastAsia" w:ascii="新宋体" w:hAnsi="新宋体" w:eastAsia="新宋体" w:cs="新宋体"/>
          <w:color w:val="auto"/>
          <w:sz w:val="22"/>
          <w:highlight w:val="none"/>
        </w:rPr>
        <w:t>约定</w:t>
      </w:r>
      <w:r>
        <w:rPr>
          <w:rFonts w:hint="eastAsia" w:ascii="新宋体" w:hAnsi="新宋体" w:eastAsia="新宋体" w:cs="新宋体"/>
          <w:color w:val="auto"/>
          <w:sz w:val="22"/>
          <w:highlight w:val="none"/>
          <w:lang w:val="zh-CN"/>
        </w:rPr>
        <w:t>向甲方提供的满足甲方需求的计算机程序及其有关文档。</w:t>
      </w:r>
    </w:p>
    <w:p w14:paraId="6AE77C62">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1.3文档</w:t>
      </w:r>
      <w:r>
        <w:rPr>
          <w:rFonts w:hint="eastAsia" w:ascii="新宋体" w:hAnsi="新宋体" w:eastAsia="新宋体" w:cs="新宋体"/>
          <w:color w:val="auto"/>
          <w:sz w:val="22"/>
          <w:highlight w:val="none"/>
          <w:lang w:val="zh-CN"/>
        </w:rPr>
        <w:t>指用来描述程序的内容、组成、设计、功能规格、开发情况、测试结果及使用方法的文字资料和图表等。</w:t>
      </w:r>
    </w:p>
    <w:p w14:paraId="2BB6966D">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1.4资料</w:t>
      </w:r>
      <w:r>
        <w:rPr>
          <w:rFonts w:hint="eastAsia" w:ascii="新宋体" w:hAnsi="新宋体" w:eastAsia="新宋体" w:cs="新宋体"/>
          <w:color w:val="auto"/>
          <w:sz w:val="22"/>
          <w:highlight w:val="none"/>
          <w:lang w:val="zh-CN"/>
        </w:rPr>
        <w:t>是指与开发软件相关的软件、工作记录及工程文档。</w:t>
      </w:r>
    </w:p>
    <w:p w14:paraId="2A39462F">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1.5知识产权</w:t>
      </w:r>
      <w:r>
        <w:rPr>
          <w:rFonts w:hint="eastAsia" w:ascii="新宋体" w:hAnsi="新宋体" w:eastAsia="新宋体" w:cs="新宋体"/>
          <w:color w:val="auto"/>
          <w:sz w:val="22"/>
          <w:highlight w:val="none"/>
          <w:lang w:val="zh-CN"/>
        </w:rPr>
        <w:t>指本合同涉及的所有著作权、商标权、专利权和其它智力成果的专有的权利和利益。</w:t>
      </w:r>
    </w:p>
    <w:p w14:paraId="4C27F831">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1.6需求变更</w:t>
      </w:r>
      <w:r>
        <w:rPr>
          <w:rFonts w:hint="eastAsia" w:ascii="新宋体" w:hAnsi="新宋体" w:eastAsia="新宋体" w:cs="新宋体"/>
          <w:color w:val="auto"/>
          <w:sz w:val="22"/>
          <w:highlight w:val="none"/>
          <w:lang w:val="zh-CN"/>
        </w:rPr>
        <w:t>是指经双方商定后对开发软件或资料所做的需求修改。</w:t>
      </w:r>
    </w:p>
    <w:p w14:paraId="3705B84E">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1.7商业秘密</w:t>
      </w:r>
      <w:r>
        <w:rPr>
          <w:rFonts w:hint="eastAsia" w:ascii="新宋体" w:hAnsi="新宋体" w:eastAsia="新宋体" w:cs="新宋体"/>
          <w:color w:val="auto"/>
          <w:sz w:val="22"/>
          <w:highlight w:val="none"/>
          <w:lang w:val="zh-CN"/>
        </w:rPr>
        <w:t>指甲、乙方各自所拥有的，不为公众所知的管理信息、方式方法、顾客名单、商业数据、产品信息、销售渠道、技术诀窍、源代码、计算机文档等，或由甲、乙方在履行本合同过程中明确指明为商业秘密的、法律所认可的任何信息。</w:t>
      </w:r>
    </w:p>
    <w:p w14:paraId="306F1081">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1.8测试</w:t>
      </w:r>
      <w:r>
        <w:rPr>
          <w:rFonts w:hint="eastAsia" w:ascii="新宋体" w:hAnsi="新宋体" w:eastAsia="新宋体" w:cs="新宋体"/>
          <w:color w:val="auto"/>
          <w:sz w:val="22"/>
          <w:highlight w:val="none"/>
          <w:lang w:val="zh-CN"/>
        </w:rPr>
        <w:t>是指根据本合同各方约定的方法和标准，对乙方所完成开发成果的全部或部分功能及运行状态所做的检测。</w:t>
      </w:r>
    </w:p>
    <w:p w14:paraId="61EC4742">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1.9上线</w:t>
      </w:r>
      <w:r>
        <w:rPr>
          <w:rFonts w:hint="eastAsia" w:ascii="新宋体" w:hAnsi="新宋体" w:eastAsia="新宋体" w:cs="新宋体"/>
          <w:color w:val="auto"/>
          <w:sz w:val="22"/>
          <w:highlight w:val="none"/>
          <w:lang w:val="zh-CN"/>
        </w:rPr>
        <w:t>是指乙方开发的应用软件在甲方的工作环境中正式运行或被甲方用于业务办理。</w:t>
      </w:r>
    </w:p>
    <w:p w14:paraId="5B69F713">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1.10工作日</w:t>
      </w:r>
      <w:r>
        <w:rPr>
          <w:rFonts w:hint="eastAsia" w:ascii="新宋体" w:hAnsi="新宋体" w:eastAsia="新宋体" w:cs="新宋体"/>
          <w:color w:val="auto"/>
          <w:sz w:val="22"/>
          <w:highlight w:val="none"/>
          <w:lang w:val="zh-CN"/>
        </w:rPr>
        <w:t>指国家所规定的节假日之外的所有工作日。</w:t>
      </w:r>
    </w:p>
    <w:p w14:paraId="7944EB1C">
      <w:pPr>
        <w:spacing w:line="460" w:lineRule="exact"/>
        <w:rPr>
          <w:rFonts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lang w:val="zh-CN"/>
        </w:rPr>
        <w:t>第二条</w:t>
      </w:r>
      <w:r>
        <w:rPr>
          <w:rFonts w:hint="eastAsia" w:ascii="新宋体" w:hAnsi="新宋体" w:eastAsia="新宋体" w:cs="新宋体"/>
          <w:b/>
          <w:bCs/>
          <w:color w:val="auto"/>
          <w:sz w:val="22"/>
          <w:highlight w:val="none"/>
        </w:rPr>
        <w:t xml:space="preserve">  </w:t>
      </w:r>
      <w:r>
        <w:rPr>
          <w:rFonts w:hint="eastAsia" w:ascii="新宋体" w:hAnsi="新宋体" w:eastAsia="新宋体" w:cs="新宋体"/>
          <w:b/>
          <w:bCs/>
          <w:color w:val="auto"/>
          <w:sz w:val="22"/>
          <w:highlight w:val="none"/>
          <w:lang w:val="zh-CN"/>
        </w:rPr>
        <w:t>项目的内容和要求</w:t>
      </w:r>
    </w:p>
    <w:p w14:paraId="1105866A">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2.1</w:t>
      </w:r>
      <w:r>
        <w:rPr>
          <w:rFonts w:hint="eastAsia" w:ascii="新宋体" w:hAnsi="新宋体" w:eastAsia="新宋体" w:cs="新宋体"/>
          <w:color w:val="auto"/>
          <w:sz w:val="22"/>
          <w:highlight w:val="none"/>
          <w:lang w:val="zh-CN"/>
        </w:rPr>
        <w:t>甲方委托乙方根据本合同</w:t>
      </w:r>
      <w:r>
        <w:rPr>
          <w:rFonts w:hint="eastAsia" w:ascii="新宋体" w:hAnsi="新宋体" w:eastAsia="新宋体" w:cs="新宋体"/>
          <w:color w:val="auto"/>
          <w:sz w:val="22"/>
          <w:highlight w:val="none"/>
        </w:rPr>
        <w:t>约定</w:t>
      </w:r>
      <w:r>
        <w:rPr>
          <w:rFonts w:hint="eastAsia" w:ascii="新宋体" w:hAnsi="新宋体" w:eastAsia="新宋体" w:cs="新宋体"/>
          <w:color w:val="auto"/>
          <w:sz w:val="22"/>
          <w:highlight w:val="none"/>
          <w:lang w:val="zh-CN"/>
        </w:rPr>
        <w:t>的条款和条件开发</w:t>
      </w:r>
      <w:r>
        <w:rPr>
          <w:rFonts w:hint="eastAsia" w:ascii="新宋体" w:hAnsi="新宋体" w:eastAsia="新宋体" w:cs="新宋体"/>
          <w:color w:val="auto"/>
          <w:sz w:val="22"/>
          <w:highlight w:val="none"/>
          <w:u w:val="single"/>
          <w:lang w:eastAsia="zh-CN"/>
        </w:rPr>
        <w:t>泰顺县”慢病智管“数智化服务（三年）</w:t>
      </w:r>
      <w:r>
        <w:rPr>
          <w:rFonts w:hint="eastAsia" w:ascii="新宋体" w:hAnsi="新宋体" w:eastAsia="新宋体" w:cs="新宋体"/>
          <w:color w:val="auto"/>
          <w:sz w:val="22"/>
          <w:highlight w:val="none"/>
          <w:lang w:val="zh-CN"/>
        </w:rPr>
        <w:t>。</w:t>
      </w:r>
    </w:p>
    <w:p w14:paraId="1FA763B1">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2.2</w:t>
      </w:r>
      <w:r>
        <w:rPr>
          <w:rFonts w:hint="eastAsia" w:ascii="新宋体" w:hAnsi="新宋体" w:eastAsia="新宋体" w:cs="新宋体"/>
          <w:color w:val="auto"/>
          <w:sz w:val="22"/>
          <w:highlight w:val="none"/>
          <w:lang w:val="zh-CN"/>
        </w:rPr>
        <w:t>软件使用期限：甲方可永久使用该软件产品。</w:t>
      </w:r>
    </w:p>
    <w:p w14:paraId="71DB725E">
      <w:pPr>
        <w:keepNext w:val="0"/>
        <w:keepLines w:val="0"/>
        <w:pageBreakBefore w:val="0"/>
        <w:widowControl w:val="0"/>
        <w:kinsoku/>
        <w:wordWrap/>
        <w:overflowPunct/>
        <w:topLinePunct w:val="0"/>
        <w:autoSpaceDE/>
        <w:autoSpaceDN/>
        <w:bidi w:val="0"/>
        <w:adjustRightInd/>
        <w:snapToGrid/>
        <w:spacing w:line="440" w:lineRule="exact"/>
        <w:ind w:firstLine="446" w:firstLineChars="200"/>
        <w:textAlignment w:val="auto"/>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2.3</w:t>
      </w:r>
      <w:r>
        <w:rPr>
          <w:rFonts w:hint="eastAsia" w:ascii="新宋体" w:hAnsi="新宋体" w:eastAsia="新宋体" w:cs="新宋体"/>
          <w:color w:val="auto"/>
          <w:sz w:val="22"/>
          <w:highlight w:val="none"/>
          <w:lang w:val="zh-CN"/>
        </w:rPr>
        <w:t>软件开发内容：按采购文件第五部分要求。</w:t>
      </w:r>
    </w:p>
    <w:p w14:paraId="696A4CDF">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新宋体" w:hAnsi="新宋体" w:eastAsia="新宋体" w:cs="新宋体"/>
          <w:b/>
          <w:bCs/>
          <w:color w:val="auto"/>
          <w:sz w:val="22"/>
          <w:highlight w:val="none"/>
          <w:lang w:val="zh-CN"/>
        </w:rPr>
      </w:pPr>
      <w:r>
        <w:rPr>
          <w:rFonts w:hint="eastAsia" w:ascii="新宋体" w:hAnsi="新宋体" w:eastAsia="新宋体" w:cs="新宋体"/>
          <w:b/>
          <w:bCs/>
          <w:color w:val="auto"/>
          <w:sz w:val="22"/>
          <w:highlight w:val="none"/>
          <w:lang w:val="zh-CN"/>
        </w:rPr>
        <w:t>第三条</w:t>
      </w:r>
      <w:r>
        <w:rPr>
          <w:rFonts w:hint="eastAsia" w:ascii="新宋体" w:hAnsi="新宋体" w:eastAsia="新宋体" w:cs="新宋体"/>
          <w:b/>
          <w:bCs/>
          <w:color w:val="auto"/>
          <w:sz w:val="22"/>
          <w:highlight w:val="none"/>
        </w:rPr>
        <w:t xml:space="preserve">  </w:t>
      </w:r>
      <w:r>
        <w:rPr>
          <w:rFonts w:hint="eastAsia" w:ascii="新宋体" w:hAnsi="新宋体" w:eastAsia="新宋体" w:cs="新宋体"/>
          <w:b/>
          <w:bCs/>
          <w:color w:val="auto"/>
          <w:sz w:val="22"/>
          <w:highlight w:val="none"/>
          <w:lang w:val="zh-CN"/>
        </w:rPr>
        <w:t>项目的开发工作</w:t>
      </w:r>
    </w:p>
    <w:p w14:paraId="0CBB8BE4">
      <w:pPr>
        <w:keepNext w:val="0"/>
        <w:keepLines w:val="0"/>
        <w:pageBreakBefore w:val="0"/>
        <w:widowControl w:val="0"/>
        <w:kinsoku/>
        <w:wordWrap/>
        <w:overflowPunct/>
        <w:topLinePunct w:val="0"/>
        <w:autoSpaceDE/>
        <w:autoSpaceDN/>
        <w:bidi w:val="0"/>
        <w:adjustRightInd/>
        <w:snapToGrid/>
        <w:spacing w:line="440" w:lineRule="exact"/>
        <w:ind w:firstLine="446" w:firstLineChars="200"/>
        <w:textAlignment w:val="auto"/>
        <w:rPr>
          <w:rFonts w:ascii="新宋体" w:hAnsi="新宋体" w:eastAsia="新宋体" w:cs="新宋体"/>
          <w:color w:val="auto"/>
          <w:sz w:val="22"/>
          <w:highlight w:val="none"/>
          <w:lang w:val="zh-CN"/>
        </w:rPr>
      </w:pPr>
      <w:r>
        <w:rPr>
          <w:rFonts w:hint="eastAsia" w:ascii="新宋体" w:hAnsi="新宋体" w:eastAsia="新宋体" w:cs="新宋体"/>
          <w:color w:val="auto"/>
          <w:sz w:val="22"/>
          <w:highlight w:val="none"/>
        </w:rPr>
        <w:t>3.1</w:t>
      </w:r>
      <w:r>
        <w:rPr>
          <w:rFonts w:hint="eastAsia" w:ascii="新宋体" w:hAnsi="新宋体" w:eastAsia="新宋体" w:cs="新宋体"/>
          <w:color w:val="auto"/>
          <w:sz w:val="22"/>
          <w:highlight w:val="none"/>
          <w:lang w:val="zh-CN"/>
        </w:rPr>
        <w:t>项目工期：</w:t>
      </w:r>
    </w:p>
    <w:p w14:paraId="6523204F">
      <w:pPr>
        <w:pStyle w:val="21"/>
        <w:keepNext w:val="0"/>
        <w:keepLines w:val="0"/>
        <w:pageBreakBefore w:val="0"/>
        <w:widowControl w:val="0"/>
        <w:numPr>
          <w:ilvl w:val="0"/>
          <w:numId w:val="8"/>
        </w:numPr>
        <w:kinsoku/>
        <w:wordWrap/>
        <w:overflowPunct/>
        <w:topLinePunct w:val="0"/>
        <w:autoSpaceDE/>
        <w:autoSpaceDN/>
        <w:bidi w:val="0"/>
        <w:adjustRightInd/>
        <w:snapToGrid/>
        <w:spacing w:line="440" w:lineRule="exact"/>
        <w:textAlignment w:val="auto"/>
        <w:rPr>
          <w:rFonts w:ascii="新宋体" w:hAnsi="新宋体" w:eastAsia="新宋体" w:cs="新宋体"/>
          <w:color w:val="auto"/>
          <w:sz w:val="22"/>
          <w:szCs w:val="22"/>
          <w:highlight w:val="none"/>
        </w:rPr>
      </w:pPr>
      <w:r>
        <w:rPr>
          <w:rFonts w:hint="eastAsia" w:ascii="新宋体" w:hAnsi="新宋体" w:eastAsia="新宋体" w:cs="新宋体"/>
          <w:b/>
          <w:bCs/>
          <w:color w:val="auto"/>
          <w:kern w:val="0"/>
          <w:sz w:val="22"/>
          <w:szCs w:val="22"/>
          <w:highlight w:val="none"/>
        </w:rPr>
        <w:t>合同签订之日起</w:t>
      </w:r>
      <w:r>
        <w:rPr>
          <w:rFonts w:hint="eastAsia" w:ascii="新宋体" w:hAnsi="新宋体" w:eastAsia="新宋体" w:cs="新宋体"/>
          <w:b/>
          <w:bCs/>
          <w:color w:val="auto"/>
          <w:kern w:val="0"/>
          <w:sz w:val="22"/>
          <w:szCs w:val="22"/>
          <w:highlight w:val="none"/>
          <w:lang w:val="en-US" w:eastAsia="zh-CN"/>
        </w:rPr>
        <w:t>180天</w:t>
      </w:r>
      <w:r>
        <w:rPr>
          <w:rFonts w:hint="eastAsia" w:ascii="新宋体" w:hAnsi="新宋体" w:eastAsia="新宋体" w:cs="新宋体"/>
          <w:b/>
          <w:bCs/>
          <w:color w:val="auto"/>
          <w:kern w:val="0"/>
          <w:sz w:val="22"/>
          <w:szCs w:val="22"/>
          <w:highlight w:val="none"/>
        </w:rPr>
        <w:t>内完成系统建设、试运行并通过甲方验收。</w:t>
      </w:r>
    </w:p>
    <w:p w14:paraId="4115738C">
      <w:pPr>
        <w:pStyle w:val="21"/>
        <w:keepNext w:val="0"/>
        <w:keepLines w:val="0"/>
        <w:pageBreakBefore w:val="0"/>
        <w:widowControl w:val="0"/>
        <w:numPr>
          <w:ilvl w:val="0"/>
          <w:numId w:val="8"/>
        </w:numPr>
        <w:kinsoku/>
        <w:wordWrap/>
        <w:overflowPunct/>
        <w:topLinePunct w:val="0"/>
        <w:autoSpaceDE/>
        <w:autoSpaceDN/>
        <w:bidi w:val="0"/>
        <w:adjustRightInd/>
        <w:snapToGrid/>
        <w:spacing w:line="44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详细实施进度要求双方约定如下：</w:t>
      </w:r>
      <w:r>
        <w:rPr>
          <w:rFonts w:hint="eastAsia" w:ascii="新宋体" w:hAnsi="新宋体" w:eastAsia="新宋体" w:cs="新宋体"/>
          <w:color w:val="auto"/>
          <w:sz w:val="22"/>
          <w:szCs w:val="22"/>
          <w:highlight w:val="none"/>
          <w:lang w:val="en-US" w:eastAsia="zh-CN"/>
        </w:rPr>
        <w:t>60天</w:t>
      </w:r>
      <w:r>
        <w:rPr>
          <w:rFonts w:hint="eastAsia" w:ascii="新宋体" w:hAnsi="新宋体" w:eastAsia="新宋体" w:cs="新宋体"/>
          <w:color w:val="auto"/>
          <w:sz w:val="22"/>
          <w:szCs w:val="22"/>
          <w:highlight w:val="none"/>
          <w:lang w:val="zh-CN"/>
        </w:rPr>
        <w:t>内完成项目建设工作，</w:t>
      </w:r>
      <w:r>
        <w:rPr>
          <w:rFonts w:hint="eastAsia" w:ascii="新宋体" w:hAnsi="新宋体" w:eastAsia="新宋体" w:cs="新宋体"/>
          <w:color w:val="auto"/>
          <w:sz w:val="22"/>
          <w:szCs w:val="22"/>
          <w:highlight w:val="none"/>
          <w:lang w:val="en-US" w:eastAsia="zh-CN"/>
        </w:rPr>
        <w:t>180天</w:t>
      </w:r>
      <w:r>
        <w:rPr>
          <w:rFonts w:hint="eastAsia" w:ascii="新宋体" w:hAnsi="新宋体" w:eastAsia="新宋体" w:cs="新宋体"/>
          <w:color w:val="auto"/>
          <w:sz w:val="22"/>
          <w:szCs w:val="22"/>
          <w:highlight w:val="none"/>
        </w:rPr>
        <w:t>内完成验收，其中试运行时间不得少于</w:t>
      </w: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个月。</w:t>
      </w:r>
    </w:p>
    <w:p w14:paraId="5B77EC76">
      <w:pPr>
        <w:keepNext w:val="0"/>
        <w:keepLines w:val="0"/>
        <w:pageBreakBefore w:val="0"/>
        <w:widowControl w:val="0"/>
        <w:kinsoku/>
        <w:wordWrap/>
        <w:overflowPunct/>
        <w:topLinePunct w:val="0"/>
        <w:autoSpaceDE/>
        <w:autoSpaceDN/>
        <w:bidi w:val="0"/>
        <w:adjustRightInd/>
        <w:snapToGrid/>
        <w:spacing w:line="440" w:lineRule="exact"/>
        <w:ind w:firstLine="446" w:firstLineChars="200"/>
        <w:textAlignment w:val="auto"/>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3.2</w:t>
      </w:r>
      <w:r>
        <w:rPr>
          <w:rFonts w:hint="eastAsia" w:ascii="新宋体" w:hAnsi="新宋体" w:eastAsia="新宋体" w:cs="新宋体"/>
          <w:color w:val="auto"/>
          <w:sz w:val="22"/>
          <w:highlight w:val="none"/>
          <w:lang w:val="zh-CN"/>
        </w:rPr>
        <w:t>项目实施地点：本项目的安装调试、用户测试、上线及维护均在甲方</w:t>
      </w:r>
      <w:r>
        <w:rPr>
          <w:rFonts w:hint="eastAsia" w:ascii="新宋体" w:hAnsi="新宋体" w:eastAsia="新宋体" w:cs="新宋体"/>
          <w:color w:val="auto"/>
          <w:sz w:val="22"/>
          <w:highlight w:val="none"/>
        </w:rPr>
        <w:t>指定</w:t>
      </w:r>
      <w:r>
        <w:rPr>
          <w:rFonts w:hint="eastAsia" w:ascii="新宋体" w:hAnsi="新宋体" w:eastAsia="新宋体" w:cs="新宋体"/>
          <w:color w:val="auto"/>
          <w:sz w:val="22"/>
          <w:highlight w:val="none"/>
          <w:lang w:val="zh-CN"/>
        </w:rPr>
        <w:t>现场完成。</w:t>
      </w:r>
    </w:p>
    <w:p w14:paraId="4AB9E190">
      <w:pPr>
        <w:keepNext w:val="0"/>
        <w:keepLines w:val="0"/>
        <w:pageBreakBefore w:val="0"/>
        <w:widowControl w:val="0"/>
        <w:kinsoku/>
        <w:wordWrap/>
        <w:overflowPunct/>
        <w:topLinePunct w:val="0"/>
        <w:autoSpaceDE/>
        <w:autoSpaceDN/>
        <w:bidi w:val="0"/>
        <w:adjustRightInd/>
        <w:snapToGrid/>
        <w:spacing w:line="440" w:lineRule="exact"/>
        <w:ind w:firstLine="446" w:firstLineChars="200"/>
        <w:textAlignment w:val="auto"/>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3.3</w:t>
      </w:r>
      <w:r>
        <w:rPr>
          <w:rFonts w:hint="eastAsia" w:ascii="新宋体" w:hAnsi="新宋体" w:eastAsia="新宋体" w:cs="新宋体"/>
          <w:color w:val="auto"/>
          <w:sz w:val="22"/>
          <w:highlight w:val="none"/>
          <w:lang w:val="zh-CN"/>
        </w:rPr>
        <w:t>项目联系人：在项目实施工作中双方须确定项目联系人，代表各方发表的对项目实施的具体意见，项目联系人的变更应书面通知对方。</w:t>
      </w:r>
    </w:p>
    <w:p w14:paraId="0809E64C">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lang w:val="zh-CN"/>
        </w:rPr>
        <w:t>第四条</w:t>
      </w:r>
      <w:r>
        <w:rPr>
          <w:rFonts w:hint="eastAsia" w:ascii="新宋体" w:hAnsi="新宋体" w:eastAsia="新宋体" w:cs="新宋体"/>
          <w:b/>
          <w:bCs/>
          <w:color w:val="auto"/>
          <w:sz w:val="22"/>
          <w:highlight w:val="none"/>
        </w:rPr>
        <w:t xml:space="preserve">  </w:t>
      </w:r>
      <w:r>
        <w:rPr>
          <w:rFonts w:hint="eastAsia" w:ascii="新宋体" w:hAnsi="新宋体" w:eastAsia="新宋体" w:cs="新宋体"/>
          <w:b/>
          <w:bCs/>
          <w:color w:val="auto"/>
          <w:sz w:val="22"/>
          <w:highlight w:val="none"/>
          <w:lang w:val="zh-CN"/>
        </w:rPr>
        <w:t>项目的测试和验收</w:t>
      </w:r>
    </w:p>
    <w:p w14:paraId="10942531">
      <w:pPr>
        <w:keepNext w:val="0"/>
        <w:keepLines w:val="0"/>
        <w:pageBreakBefore w:val="0"/>
        <w:widowControl w:val="0"/>
        <w:kinsoku/>
        <w:wordWrap/>
        <w:overflowPunct/>
        <w:topLinePunct w:val="0"/>
        <w:autoSpaceDE/>
        <w:autoSpaceDN/>
        <w:bidi w:val="0"/>
        <w:adjustRightInd/>
        <w:snapToGrid/>
        <w:spacing w:line="440" w:lineRule="exact"/>
        <w:ind w:firstLine="446" w:firstLineChars="200"/>
        <w:textAlignment w:val="auto"/>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4.1 甲方可以邀请第三方机构参与验收。参与验收的乙方或者第三方机构的意见作为验收书的参考资料之一并存档。</w:t>
      </w:r>
    </w:p>
    <w:p w14:paraId="4B73507A">
      <w:pPr>
        <w:keepNext w:val="0"/>
        <w:keepLines w:val="0"/>
        <w:pageBreakBefore w:val="0"/>
        <w:widowControl w:val="0"/>
        <w:kinsoku/>
        <w:wordWrap/>
        <w:overflowPunct/>
        <w:topLinePunct w:val="0"/>
        <w:autoSpaceDE/>
        <w:autoSpaceDN/>
        <w:bidi w:val="0"/>
        <w:adjustRightInd/>
        <w:snapToGrid/>
        <w:spacing w:line="440" w:lineRule="exact"/>
        <w:ind w:firstLine="446" w:firstLineChars="200"/>
        <w:textAlignment w:val="auto"/>
        <w:rPr>
          <w:rFonts w:ascii="新宋体" w:hAnsi="新宋体" w:eastAsia="新宋体" w:cs="新宋体"/>
          <w:color w:val="auto"/>
          <w:sz w:val="22"/>
          <w:highlight w:val="none"/>
        </w:rPr>
      </w:pPr>
      <w:r>
        <w:rPr>
          <w:rFonts w:hint="eastAsia" w:ascii="新宋体" w:hAnsi="新宋体" w:eastAsia="新宋体" w:cs="新宋体"/>
          <w:color w:val="auto"/>
          <w:sz w:val="22"/>
          <w:highlight w:val="none"/>
          <w:lang w:val="zh-CN"/>
        </w:rPr>
        <w:t xml:space="preserve">4.2 </w:t>
      </w:r>
      <w:r>
        <w:rPr>
          <w:rFonts w:hint="eastAsia" w:ascii="新宋体" w:hAnsi="新宋体" w:eastAsia="新宋体" w:cs="新宋体"/>
          <w:color w:val="auto"/>
          <w:sz w:val="22"/>
          <w:highlight w:val="none"/>
        </w:rPr>
        <w:t>甲方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及甲方聘请、邀请的第三方机构（如有）共同签署。验收结果与采购合同约定的资金支付及履约保证金返还条件挂钩。履约验收的各项资料应当存档备查。</w:t>
      </w:r>
    </w:p>
    <w:p w14:paraId="27D65BD1">
      <w:pPr>
        <w:keepNext w:val="0"/>
        <w:keepLines w:val="0"/>
        <w:pageBreakBefore w:val="0"/>
        <w:widowControl w:val="0"/>
        <w:kinsoku/>
        <w:wordWrap/>
        <w:overflowPunct/>
        <w:topLinePunct w:val="0"/>
        <w:autoSpaceDE/>
        <w:autoSpaceDN/>
        <w:bidi w:val="0"/>
        <w:adjustRightInd/>
        <w:snapToGrid/>
        <w:spacing w:line="440" w:lineRule="exact"/>
        <w:ind w:firstLine="446" w:firstLineChars="200"/>
        <w:textAlignment w:val="auto"/>
        <w:rPr>
          <w:rFonts w:ascii="新宋体" w:hAnsi="新宋体" w:eastAsia="新宋体" w:cs="新宋体"/>
          <w:color w:val="auto"/>
          <w:sz w:val="22"/>
          <w:highlight w:val="none"/>
          <w:lang w:val="zh-CN"/>
        </w:rPr>
      </w:pPr>
      <w:r>
        <w:rPr>
          <w:rFonts w:hint="eastAsia" w:ascii="新宋体" w:hAnsi="新宋体" w:eastAsia="新宋体" w:cs="新宋体"/>
          <w:color w:val="auto"/>
          <w:sz w:val="22"/>
          <w:highlight w:val="none"/>
        </w:rPr>
        <w:t>4.3 验收合格的项目，甲方将根据采购合同的约定向乙方支付采购资金、退还履约保证金。</w:t>
      </w:r>
      <w:r>
        <w:rPr>
          <w:rFonts w:hint="eastAsia" w:ascii="新宋体" w:hAnsi="新宋体" w:eastAsia="新宋体" w:cs="新宋体"/>
          <w:color w:val="auto"/>
          <w:sz w:val="22"/>
          <w:highlight w:val="none"/>
          <w:lang w:val="zh-CN"/>
        </w:rPr>
        <w:t>验收不合格的，乙方应及时整改，直至验收合格。</w:t>
      </w:r>
    </w:p>
    <w:p w14:paraId="0BC4E3AA">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lang w:val="zh-CN"/>
        </w:rPr>
        <w:t>第五条</w:t>
      </w:r>
      <w:r>
        <w:rPr>
          <w:rFonts w:hint="eastAsia" w:ascii="新宋体" w:hAnsi="新宋体" w:eastAsia="新宋体" w:cs="新宋体"/>
          <w:b/>
          <w:bCs/>
          <w:color w:val="auto"/>
          <w:sz w:val="22"/>
          <w:highlight w:val="none"/>
        </w:rPr>
        <w:t xml:space="preserve">  </w:t>
      </w:r>
      <w:r>
        <w:rPr>
          <w:rFonts w:hint="eastAsia" w:ascii="新宋体" w:hAnsi="新宋体" w:eastAsia="新宋体" w:cs="新宋体"/>
          <w:b/>
          <w:bCs/>
          <w:color w:val="auto"/>
          <w:sz w:val="22"/>
          <w:highlight w:val="none"/>
          <w:lang w:val="zh-CN"/>
        </w:rPr>
        <w:t>项目交付</w:t>
      </w:r>
    </w:p>
    <w:p w14:paraId="61EFCDE6">
      <w:pPr>
        <w:keepNext w:val="0"/>
        <w:keepLines w:val="0"/>
        <w:pageBreakBefore w:val="0"/>
        <w:widowControl w:val="0"/>
        <w:kinsoku/>
        <w:wordWrap/>
        <w:overflowPunct/>
        <w:topLinePunct w:val="0"/>
        <w:autoSpaceDE/>
        <w:autoSpaceDN/>
        <w:bidi w:val="0"/>
        <w:adjustRightInd/>
        <w:snapToGrid/>
        <w:spacing w:line="440" w:lineRule="exact"/>
        <w:ind w:firstLine="446" w:firstLineChars="200"/>
        <w:textAlignment w:val="auto"/>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5.1</w:t>
      </w:r>
      <w:r>
        <w:rPr>
          <w:rFonts w:hint="eastAsia" w:ascii="新宋体" w:hAnsi="新宋体" w:eastAsia="新宋体" w:cs="新宋体"/>
          <w:color w:val="auto"/>
          <w:sz w:val="22"/>
          <w:highlight w:val="none"/>
          <w:lang w:val="zh-CN"/>
        </w:rPr>
        <w:t>开发软件交付内容：乙方向甲方交付的开发软件最终交付时应为硬盘介质、开发软件全部源代码、加密附件及包括用户手册在内的许可资料。</w:t>
      </w:r>
    </w:p>
    <w:p w14:paraId="13CF0E68">
      <w:pPr>
        <w:keepNext w:val="0"/>
        <w:keepLines w:val="0"/>
        <w:pageBreakBefore w:val="0"/>
        <w:widowControl w:val="0"/>
        <w:kinsoku/>
        <w:wordWrap/>
        <w:overflowPunct/>
        <w:topLinePunct w:val="0"/>
        <w:autoSpaceDE/>
        <w:autoSpaceDN/>
        <w:bidi w:val="0"/>
        <w:adjustRightInd/>
        <w:snapToGrid/>
        <w:spacing w:line="440" w:lineRule="exact"/>
        <w:ind w:firstLine="446" w:firstLineChars="200"/>
        <w:textAlignment w:val="auto"/>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5.2</w:t>
      </w:r>
      <w:r>
        <w:rPr>
          <w:rFonts w:hint="eastAsia" w:ascii="新宋体" w:hAnsi="新宋体" w:eastAsia="新宋体" w:cs="新宋体"/>
          <w:color w:val="auto"/>
          <w:sz w:val="22"/>
          <w:highlight w:val="none"/>
          <w:lang w:val="zh-CN"/>
        </w:rPr>
        <w:t>开发软件交付的完成：乙方按照本合同的约定向甲方交付并安装开发软件，软件安装调试符合约定的，甲方向乙方出具书面收讫证明之后，乙方的开发软件交付义务完成。甲方出具的收讫证明上记载的日期为开发软件交付日。</w:t>
      </w:r>
    </w:p>
    <w:p w14:paraId="51C54DA9">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lang w:val="zh-CN"/>
        </w:rPr>
        <w:t>第六条</w:t>
      </w:r>
      <w:r>
        <w:rPr>
          <w:rFonts w:hint="eastAsia" w:ascii="新宋体" w:hAnsi="新宋体" w:eastAsia="新宋体" w:cs="新宋体"/>
          <w:b/>
          <w:bCs/>
          <w:color w:val="auto"/>
          <w:sz w:val="22"/>
          <w:highlight w:val="none"/>
        </w:rPr>
        <w:t xml:space="preserve">  </w:t>
      </w:r>
      <w:r>
        <w:rPr>
          <w:rFonts w:hint="eastAsia" w:ascii="新宋体" w:hAnsi="新宋体" w:eastAsia="新宋体" w:cs="新宋体"/>
          <w:b/>
          <w:bCs/>
          <w:color w:val="auto"/>
          <w:sz w:val="22"/>
          <w:highlight w:val="none"/>
          <w:lang w:val="zh-CN"/>
        </w:rPr>
        <w:t>甲方义务</w:t>
      </w:r>
    </w:p>
    <w:p w14:paraId="52C3FBEC">
      <w:pPr>
        <w:keepNext w:val="0"/>
        <w:keepLines w:val="0"/>
        <w:pageBreakBefore w:val="0"/>
        <w:widowControl w:val="0"/>
        <w:kinsoku/>
        <w:wordWrap/>
        <w:overflowPunct/>
        <w:topLinePunct w:val="0"/>
        <w:autoSpaceDE/>
        <w:autoSpaceDN/>
        <w:bidi w:val="0"/>
        <w:adjustRightInd/>
        <w:snapToGrid/>
        <w:spacing w:line="440" w:lineRule="exact"/>
        <w:ind w:firstLine="446" w:firstLineChars="200"/>
        <w:textAlignment w:val="auto"/>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6.1</w:t>
      </w:r>
      <w:r>
        <w:rPr>
          <w:rFonts w:hint="eastAsia" w:ascii="新宋体" w:hAnsi="新宋体" w:eastAsia="新宋体" w:cs="新宋体"/>
          <w:color w:val="auto"/>
          <w:sz w:val="22"/>
          <w:highlight w:val="none"/>
          <w:lang w:val="zh-CN"/>
        </w:rPr>
        <w:t>甲方负责向乙方提供项目开发所必</w:t>
      </w:r>
      <w:r>
        <w:rPr>
          <w:rFonts w:hint="eastAsia" w:ascii="新宋体" w:hAnsi="新宋体" w:eastAsia="新宋体" w:cs="新宋体"/>
          <w:color w:val="auto"/>
          <w:sz w:val="22"/>
          <w:highlight w:val="none"/>
        </w:rPr>
        <w:t>需</w:t>
      </w:r>
      <w:r>
        <w:rPr>
          <w:rFonts w:hint="eastAsia" w:ascii="新宋体" w:hAnsi="新宋体" w:eastAsia="新宋体" w:cs="新宋体"/>
          <w:color w:val="auto"/>
          <w:sz w:val="22"/>
          <w:highlight w:val="none"/>
          <w:lang w:val="zh-CN"/>
        </w:rPr>
        <w:t>的办公场地以及相关资料。</w:t>
      </w:r>
    </w:p>
    <w:p w14:paraId="338DC401">
      <w:pPr>
        <w:keepNext w:val="0"/>
        <w:keepLines w:val="0"/>
        <w:pageBreakBefore w:val="0"/>
        <w:widowControl w:val="0"/>
        <w:kinsoku/>
        <w:wordWrap/>
        <w:overflowPunct/>
        <w:topLinePunct w:val="0"/>
        <w:autoSpaceDE/>
        <w:autoSpaceDN/>
        <w:bidi w:val="0"/>
        <w:adjustRightInd/>
        <w:snapToGrid/>
        <w:spacing w:line="440" w:lineRule="exact"/>
        <w:ind w:firstLine="446" w:firstLineChars="200"/>
        <w:textAlignment w:val="auto"/>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6.2</w:t>
      </w:r>
      <w:r>
        <w:rPr>
          <w:rFonts w:hint="eastAsia" w:ascii="新宋体" w:hAnsi="新宋体" w:eastAsia="新宋体" w:cs="新宋体"/>
          <w:color w:val="auto"/>
          <w:sz w:val="22"/>
          <w:highlight w:val="none"/>
          <w:lang w:val="zh-CN"/>
        </w:rPr>
        <w:t>甲方成立项目组，与乙方共同完成合同</w:t>
      </w:r>
      <w:r>
        <w:rPr>
          <w:rFonts w:hint="eastAsia" w:ascii="新宋体" w:hAnsi="新宋体" w:eastAsia="新宋体" w:cs="新宋体"/>
          <w:color w:val="auto"/>
          <w:sz w:val="22"/>
          <w:highlight w:val="none"/>
        </w:rPr>
        <w:t>约定</w:t>
      </w:r>
      <w:r>
        <w:rPr>
          <w:rFonts w:hint="eastAsia" w:ascii="新宋体" w:hAnsi="新宋体" w:eastAsia="新宋体" w:cs="新宋体"/>
          <w:color w:val="auto"/>
          <w:sz w:val="22"/>
          <w:highlight w:val="none"/>
          <w:lang w:val="zh-CN"/>
        </w:rPr>
        <w:t>的工作，并指派一名项目经理负责现场处理项目实施过程中发生的各种问题。</w:t>
      </w:r>
    </w:p>
    <w:p w14:paraId="37FC5A7C">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6.3</w:t>
      </w:r>
      <w:r>
        <w:rPr>
          <w:rFonts w:hint="eastAsia" w:ascii="新宋体" w:hAnsi="新宋体" w:eastAsia="新宋体" w:cs="新宋体"/>
          <w:color w:val="auto"/>
          <w:sz w:val="22"/>
          <w:highlight w:val="none"/>
          <w:lang w:val="zh-CN"/>
        </w:rPr>
        <w:t>由于甲方未履行本合同义务而造成项目工作拖延的，经双方协商后做相应调整。</w:t>
      </w:r>
    </w:p>
    <w:p w14:paraId="0E595CDD">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6.4</w:t>
      </w:r>
      <w:r>
        <w:rPr>
          <w:rFonts w:hint="eastAsia" w:ascii="新宋体" w:hAnsi="新宋体" w:eastAsia="新宋体" w:cs="新宋体"/>
          <w:color w:val="auto"/>
          <w:sz w:val="22"/>
          <w:highlight w:val="none"/>
          <w:lang w:val="zh-CN"/>
        </w:rPr>
        <w:t>甲方应与乙方及第三方共同对开发软件进行联调测试、用户验收测试及系统压力测试，使系统进入试运行阶段至验收完成。</w:t>
      </w:r>
    </w:p>
    <w:p w14:paraId="3C39EB04">
      <w:pPr>
        <w:spacing w:line="460" w:lineRule="exact"/>
        <w:rPr>
          <w:rFonts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lang w:val="zh-CN"/>
        </w:rPr>
        <w:t>第七条</w:t>
      </w:r>
      <w:r>
        <w:rPr>
          <w:rFonts w:hint="eastAsia" w:ascii="新宋体" w:hAnsi="新宋体" w:eastAsia="新宋体" w:cs="新宋体"/>
          <w:b/>
          <w:bCs/>
          <w:color w:val="auto"/>
          <w:sz w:val="22"/>
          <w:highlight w:val="none"/>
        </w:rPr>
        <w:t xml:space="preserve">  </w:t>
      </w:r>
      <w:r>
        <w:rPr>
          <w:rFonts w:hint="eastAsia" w:ascii="新宋体" w:hAnsi="新宋体" w:eastAsia="新宋体" w:cs="新宋体"/>
          <w:b/>
          <w:bCs/>
          <w:color w:val="auto"/>
          <w:sz w:val="22"/>
          <w:highlight w:val="none"/>
          <w:lang w:val="zh-CN"/>
        </w:rPr>
        <w:t>乙方义务</w:t>
      </w:r>
    </w:p>
    <w:p w14:paraId="6F11FB5A">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7.1</w:t>
      </w:r>
      <w:r>
        <w:rPr>
          <w:rFonts w:hint="eastAsia" w:ascii="新宋体" w:hAnsi="新宋体" w:eastAsia="新宋体" w:cs="新宋体"/>
          <w:color w:val="auto"/>
          <w:sz w:val="22"/>
          <w:highlight w:val="none"/>
          <w:lang w:val="zh-CN"/>
        </w:rPr>
        <w:t>乙方应按照本合同</w:t>
      </w:r>
      <w:r>
        <w:rPr>
          <w:rFonts w:hint="eastAsia" w:ascii="新宋体" w:hAnsi="新宋体" w:eastAsia="新宋体" w:cs="新宋体"/>
          <w:color w:val="auto"/>
          <w:sz w:val="22"/>
          <w:highlight w:val="none"/>
        </w:rPr>
        <w:t>约定及甲方</w:t>
      </w:r>
      <w:r>
        <w:rPr>
          <w:rFonts w:hint="eastAsia" w:ascii="新宋体" w:hAnsi="新宋体" w:eastAsia="新宋体" w:cs="新宋体"/>
          <w:color w:val="auto"/>
          <w:sz w:val="22"/>
          <w:highlight w:val="none"/>
          <w:lang w:val="zh-CN"/>
        </w:rPr>
        <w:t>的要求，如期完成和交付开发软件，并向甲方提供开发软件</w:t>
      </w:r>
      <w:r>
        <w:rPr>
          <w:rFonts w:hint="eastAsia" w:ascii="新宋体" w:hAnsi="新宋体" w:eastAsia="新宋体" w:cs="新宋体"/>
          <w:color w:val="auto"/>
          <w:sz w:val="22"/>
          <w:highlight w:val="none"/>
        </w:rPr>
        <w:t>全部</w:t>
      </w:r>
      <w:r>
        <w:rPr>
          <w:rFonts w:hint="eastAsia" w:ascii="新宋体" w:hAnsi="新宋体" w:eastAsia="新宋体" w:cs="新宋体"/>
          <w:color w:val="auto"/>
          <w:sz w:val="22"/>
          <w:highlight w:val="none"/>
          <w:lang w:val="zh-CN"/>
        </w:rPr>
        <w:t>的文档资料。</w:t>
      </w:r>
    </w:p>
    <w:p w14:paraId="0D1C4567">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7.2</w:t>
      </w:r>
      <w:r>
        <w:rPr>
          <w:rFonts w:hint="eastAsia" w:ascii="新宋体" w:hAnsi="新宋体" w:eastAsia="新宋体" w:cs="新宋体"/>
          <w:color w:val="auto"/>
          <w:sz w:val="22"/>
          <w:highlight w:val="none"/>
          <w:lang w:val="zh-CN"/>
        </w:rPr>
        <w:t>乙方向甲方提供此次开发软件的程序源代码和相关技术资料。</w:t>
      </w:r>
    </w:p>
    <w:p w14:paraId="091383C5">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7.3</w:t>
      </w:r>
      <w:r>
        <w:rPr>
          <w:rFonts w:hint="eastAsia" w:ascii="新宋体" w:hAnsi="新宋体" w:eastAsia="新宋体" w:cs="新宋体"/>
          <w:color w:val="auto"/>
          <w:sz w:val="22"/>
          <w:highlight w:val="none"/>
          <w:lang w:val="zh-CN"/>
        </w:rPr>
        <w:t>乙方严格按照软件工程建设的有关规范组织实施，并对项目建设阶段提出具体时间安排。</w:t>
      </w:r>
    </w:p>
    <w:p w14:paraId="3EACE0FE">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7.4</w:t>
      </w:r>
      <w:r>
        <w:rPr>
          <w:rFonts w:hint="eastAsia" w:ascii="新宋体" w:hAnsi="新宋体" w:eastAsia="新宋体" w:cs="新宋体"/>
          <w:color w:val="auto"/>
          <w:sz w:val="22"/>
          <w:highlight w:val="none"/>
          <w:lang w:val="zh-CN"/>
        </w:rPr>
        <w:t>在系统开发阶段、试运行阶段、免费维护期内，乙方负责与开发系统运行有关的技术问题处理。</w:t>
      </w:r>
    </w:p>
    <w:p w14:paraId="51500C3E">
      <w:pPr>
        <w:spacing w:line="460" w:lineRule="exact"/>
        <w:ind w:firstLine="446" w:firstLineChars="200"/>
        <w:rPr>
          <w:rFonts w:ascii="新宋体" w:hAnsi="新宋体" w:eastAsia="新宋体" w:cs="新宋体"/>
          <w:color w:val="auto"/>
          <w:sz w:val="22"/>
          <w:highlight w:val="none"/>
          <w:lang w:val="zh-CN"/>
        </w:rPr>
      </w:pPr>
      <w:r>
        <w:rPr>
          <w:rFonts w:hint="eastAsia" w:ascii="新宋体" w:hAnsi="新宋体" w:eastAsia="新宋体" w:cs="新宋体"/>
          <w:color w:val="auto"/>
          <w:sz w:val="22"/>
          <w:highlight w:val="none"/>
        </w:rPr>
        <w:t>7.5</w:t>
      </w:r>
      <w:r>
        <w:rPr>
          <w:rFonts w:hint="eastAsia" w:ascii="新宋体" w:hAnsi="新宋体" w:eastAsia="新宋体" w:cs="新宋体"/>
          <w:color w:val="auto"/>
          <w:sz w:val="22"/>
          <w:highlight w:val="none"/>
          <w:lang w:val="zh-CN"/>
        </w:rPr>
        <w:t>乙方应选派强有力的项目建设队伍，负责完成合同</w:t>
      </w:r>
      <w:r>
        <w:rPr>
          <w:rFonts w:hint="eastAsia" w:ascii="新宋体" w:hAnsi="新宋体" w:eastAsia="新宋体" w:cs="新宋体"/>
          <w:color w:val="auto"/>
          <w:sz w:val="22"/>
          <w:highlight w:val="none"/>
        </w:rPr>
        <w:t>约定</w:t>
      </w:r>
      <w:r>
        <w:rPr>
          <w:rFonts w:hint="eastAsia" w:ascii="新宋体" w:hAnsi="新宋体" w:eastAsia="新宋体" w:cs="新宋体"/>
          <w:color w:val="auto"/>
          <w:sz w:val="22"/>
          <w:highlight w:val="none"/>
          <w:lang w:val="zh-CN"/>
        </w:rPr>
        <w:t>的工作；如果在合同履行过程中发生项目经理或成员的变更，必须提前取得甲方</w:t>
      </w:r>
      <w:r>
        <w:rPr>
          <w:rFonts w:hint="eastAsia" w:ascii="新宋体" w:hAnsi="新宋体" w:eastAsia="新宋体" w:cs="新宋体"/>
          <w:color w:val="auto"/>
          <w:sz w:val="22"/>
          <w:highlight w:val="none"/>
        </w:rPr>
        <w:t>书面</w:t>
      </w:r>
      <w:r>
        <w:rPr>
          <w:rFonts w:hint="eastAsia" w:ascii="新宋体" w:hAnsi="新宋体" w:eastAsia="新宋体" w:cs="新宋体"/>
          <w:color w:val="auto"/>
          <w:sz w:val="22"/>
          <w:highlight w:val="none"/>
          <w:lang w:val="zh-CN"/>
        </w:rPr>
        <w:t>同意。如果因项目经理更替造成项目时间延误，乙方应向甲方作出相应的赔偿。</w:t>
      </w:r>
    </w:p>
    <w:p w14:paraId="069E6F36">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7.6</w:t>
      </w:r>
      <w:r>
        <w:rPr>
          <w:rFonts w:hint="eastAsia" w:ascii="新宋体" w:hAnsi="新宋体" w:eastAsia="新宋体" w:cs="新宋体"/>
          <w:color w:val="auto"/>
          <w:sz w:val="22"/>
          <w:highlight w:val="none"/>
          <w:lang w:val="zh-CN"/>
        </w:rPr>
        <w:t>乙方负责制定切实可行的项目实施方案，明确任务和各方职责，并接受按阶段考核检查。</w:t>
      </w:r>
    </w:p>
    <w:p w14:paraId="55B303D5">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7.7</w:t>
      </w:r>
      <w:r>
        <w:rPr>
          <w:rFonts w:hint="eastAsia" w:ascii="新宋体" w:hAnsi="新宋体" w:eastAsia="新宋体" w:cs="新宋体"/>
          <w:color w:val="auto"/>
          <w:sz w:val="22"/>
          <w:highlight w:val="none"/>
          <w:lang w:val="zh-CN"/>
        </w:rPr>
        <w:t>乙方应提供系统测试验证方案（包括业务测试和压力测试），严格测试和验证系统功能和技术指标。</w:t>
      </w:r>
    </w:p>
    <w:p w14:paraId="24982DFD">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7.8</w:t>
      </w:r>
      <w:r>
        <w:rPr>
          <w:rFonts w:hint="eastAsia" w:ascii="新宋体" w:hAnsi="新宋体" w:eastAsia="新宋体" w:cs="新宋体"/>
          <w:color w:val="auto"/>
          <w:sz w:val="22"/>
          <w:highlight w:val="none"/>
          <w:lang w:val="zh-CN"/>
        </w:rPr>
        <w:t>乙方在开发过程中应及时整理和制定各类技术文档资料、编写培训教材，并提供免费技术培训，包括乙方掌握应用系统的技术细节。</w:t>
      </w:r>
    </w:p>
    <w:p w14:paraId="79A765DB">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7.9</w:t>
      </w:r>
      <w:r>
        <w:rPr>
          <w:rFonts w:hint="eastAsia" w:ascii="新宋体" w:hAnsi="新宋体" w:eastAsia="新宋体" w:cs="新宋体"/>
          <w:color w:val="auto"/>
          <w:sz w:val="22"/>
          <w:highlight w:val="none"/>
          <w:lang w:val="zh-CN"/>
        </w:rPr>
        <w:t>乙方应按照本协议约定的标准和规格，以及项目管理体系的相关要求，以专业、熟练的方式提供服务并交付相关交付成果；</w:t>
      </w:r>
    </w:p>
    <w:p w14:paraId="431283B7">
      <w:pPr>
        <w:spacing w:line="460" w:lineRule="exact"/>
        <w:ind w:firstLine="446" w:firstLineChars="200"/>
        <w:rPr>
          <w:rFonts w:ascii="新宋体" w:hAnsi="新宋体" w:eastAsia="新宋体" w:cs="新宋体"/>
          <w:color w:val="auto"/>
          <w:sz w:val="22"/>
          <w:highlight w:val="none"/>
          <w:lang w:val="zh-CN"/>
        </w:rPr>
      </w:pPr>
      <w:r>
        <w:rPr>
          <w:rFonts w:hint="eastAsia" w:ascii="新宋体" w:hAnsi="新宋体" w:eastAsia="新宋体" w:cs="新宋体"/>
          <w:color w:val="auto"/>
          <w:sz w:val="22"/>
          <w:highlight w:val="none"/>
        </w:rPr>
        <w:t>7.10</w:t>
      </w:r>
      <w:r>
        <w:rPr>
          <w:rFonts w:hint="eastAsia" w:ascii="新宋体" w:hAnsi="新宋体" w:eastAsia="新宋体" w:cs="新宋体"/>
          <w:color w:val="auto"/>
          <w:sz w:val="22"/>
          <w:highlight w:val="none"/>
          <w:lang w:val="zh-CN"/>
        </w:rPr>
        <w:t>乙方遵循公司全面的技术支持服务体系，向甲方提供全面技术支持服务。</w:t>
      </w:r>
    </w:p>
    <w:p w14:paraId="2B6B64B4">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7.11</w:t>
      </w:r>
      <w:r>
        <w:rPr>
          <w:rFonts w:hint="eastAsia" w:ascii="新宋体" w:hAnsi="新宋体" w:eastAsia="新宋体" w:cs="新宋体"/>
          <w:color w:val="auto"/>
          <w:sz w:val="22"/>
          <w:highlight w:val="none"/>
          <w:lang w:val="zh-CN"/>
        </w:rPr>
        <w:t>如出现政策、环境变化或不可抗力等触发合同变更或终止的因素，乙方应当配合甲方过渡期间的安排，共同保障甲方业务开展的连续性和稳定性。如需终止合同的，乙方应当配合甲方做好信息、资料及相关设施的交接处置等过渡期间的工作安排。</w:t>
      </w:r>
    </w:p>
    <w:p w14:paraId="61636A94">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7.12</w:t>
      </w:r>
      <w:r>
        <w:rPr>
          <w:rFonts w:hint="eastAsia" w:ascii="新宋体" w:hAnsi="新宋体" w:eastAsia="新宋体" w:cs="新宋体"/>
          <w:color w:val="auto"/>
          <w:sz w:val="22"/>
          <w:highlight w:val="none"/>
          <w:lang w:val="zh-CN"/>
        </w:rPr>
        <w:t>未经甲方书面同意，乙方不得将本合同约定的服务分包给</w:t>
      </w:r>
      <w:r>
        <w:rPr>
          <w:rFonts w:hint="eastAsia" w:ascii="新宋体" w:hAnsi="新宋体" w:eastAsia="新宋体" w:cs="新宋体"/>
          <w:color w:val="auto"/>
          <w:sz w:val="22"/>
          <w:highlight w:val="none"/>
        </w:rPr>
        <w:t>任何</w:t>
      </w:r>
      <w:r>
        <w:rPr>
          <w:rFonts w:hint="eastAsia" w:ascii="新宋体" w:hAnsi="新宋体" w:eastAsia="新宋体" w:cs="新宋体"/>
          <w:color w:val="auto"/>
          <w:sz w:val="22"/>
          <w:highlight w:val="none"/>
          <w:lang w:val="zh-CN"/>
        </w:rPr>
        <w:t>第三方，禁止转包和变相转包。</w:t>
      </w:r>
    </w:p>
    <w:p w14:paraId="5A18BEF7">
      <w:pPr>
        <w:spacing w:line="460" w:lineRule="exact"/>
        <w:ind w:firstLine="446" w:firstLineChars="200"/>
        <w:rPr>
          <w:rFonts w:ascii="新宋体" w:hAnsi="新宋体" w:eastAsia="新宋体" w:cs="新宋体"/>
          <w:color w:val="auto"/>
          <w:sz w:val="22"/>
          <w:highlight w:val="none"/>
          <w:lang w:val="zh-CN"/>
        </w:rPr>
      </w:pPr>
      <w:r>
        <w:rPr>
          <w:rFonts w:hint="eastAsia" w:ascii="新宋体" w:hAnsi="新宋体" w:eastAsia="新宋体" w:cs="新宋体"/>
          <w:color w:val="auto"/>
          <w:sz w:val="22"/>
          <w:highlight w:val="none"/>
        </w:rPr>
        <w:t>7.13</w:t>
      </w:r>
      <w:r>
        <w:rPr>
          <w:rFonts w:hint="eastAsia" w:ascii="新宋体" w:hAnsi="新宋体" w:eastAsia="新宋体" w:cs="新宋体"/>
          <w:color w:val="auto"/>
          <w:sz w:val="22"/>
          <w:highlight w:val="none"/>
          <w:lang w:val="zh-CN"/>
        </w:rPr>
        <w:t>为保障项目的顺利实施，防范项目风险，避免因沟通不畅等原因引起项目执行问题，乙方应定期向甲方项目负责人及相关领导对项目执行状况、问题、风险进行汇报。</w:t>
      </w:r>
    </w:p>
    <w:p w14:paraId="219A01B6">
      <w:pPr>
        <w:spacing w:line="460" w:lineRule="exact"/>
        <w:ind w:firstLine="446" w:firstLineChars="200"/>
        <w:rPr>
          <w:rFonts w:ascii="新宋体" w:hAnsi="新宋体" w:eastAsia="新宋体" w:cs="新宋体"/>
          <w:color w:val="auto"/>
          <w:sz w:val="22"/>
          <w:highlight w:val="none"/>
          <w:lang w:val="zh-CN"/>
        </w:rPr>
      </w:pPr>
      <w:r>
        <w:rPr>
          <w:rFonts w:hint="eastAsia" w:ascii="新宋体" w:hAnsi="新宋体" w:eastAsia="新宋体" w:cs="新宋体"/>
          <w:color w:val="auto"/>
          <w:sz w:val="22"/>
          <w:highlight w:val="none"/>
          <w:lang w:val="zh-CN"/>
        </w:rPr>
        <w:t>7.14乙方应保证开发软件能够在验收前迁移至信创平台。</w:t>
      </w:r>
    </w:p>
    <w:p w14:paraId="09784441">
      <w:pPr>
        <w:spacing w:line="460" w:lineRule="exact"/>
        <w:rPr>
          <w:rFonts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lang w:val="zh-CN"/>
        </w:rPr>
        <w:t>第八条</w:t>
      </w:r>
      <w:r>
        <w:rPr>
          <w:rFonts w:hint="eastAsia" w:ascii="新宋体" w:hAnsi="新宋体" w:eastAsia="新宋体" w:cs="新宋体"/>
          <w:b/>
          <w:bCs/>
          <w:color w:val="auto"/>
          <w:sz w:val="22"/>
          <w:highlight w:val="none"/>
        </w:rPr>
        <w:t xml:space="preserve">  </w:t>
      </w:r>
      <w:r>
        <w:rPr>
          <w:rFonts w:hint="eastAsia" w:ascii="新宋体" w:hAnsi="新宋体" w:eastAsia="新宋体" w:cs="新宋体"/>
          <w:b/>
          <w:bCs/>
          <w:color w:val="auto"/>
          <w:sz w:val="22"/>
          <w:highlight w:val="none"/>
          <w:lang w:val="zh-CN"/>
        </w:rPr>
        <w:t>合同金额和支付</w:t>
      </w:r>
    </w:p>
    <w:p w14:paraId="3EA6CE5D">
      <w:pPr>
        <w:spacing w:line="460" w:lineRule="exact"/>
        <w:ind w:firstLine="446" w:firstLineChars="200"/>
        <w:rPr>
          <w:rFonts w:ascii="新宋体" w:hAnsi="新宋体" w:eastAsia="新宋体" w:cs="新宋体"/>
          <w:color w:val="auto"/>
          <w:sz w:val="22"/>
          <w:highlight w:val="none"/>
          <w:lang w:val="zh-CN"/>
        </w:rPr>
      </w:pPr>
      <w:r>
        <w:rPr>
          <w:rFonts w:hint="eastAsia" w:ascii="新宋体" w:hAnsi="新宋体" w:eastAsia="新宋体" w:cs="新宋体"/>
          <w:color w:val="auto"/>
          <w:sz w:val="22"/>
          <w:highlight w:val="none"/>
        </w:rPr>
        <w:t>8.1</w:t>
      </w:r>
      <w:r>
        <w:rPr>
          <w:rFonts w:hint="eastAsia" w:ascii="新宋体" w:hAnsi="新宋体" w:eastAsia="新宋体" w:cs="新宋体"/>
          <w:color w:val="auto"/>
          <w:sz w:val="22"/>
          <w:highlight w:val="none"/>
          <w:lang w:val="zh-CN"/>
        </w:rPr>
        <w:t>合同金额：本合同总金额为人民币</w:t>
      </w:r>
      <w:r>
        <w:rPr>
          <w:rFonts w:hint="eastAsia" w:ascii="新宋体" w:hAnsi="新宋体" w:eastAsia="新宋体" w:cs="新宋体"/>
          <w:color w:val="auto"/>
          <w:sz w:val="22"/>
          <w:highlight w:val="none"/>
          <w:u w:val="single"/>
        </w:rPr>
        <w:t xml:space="preserve">                 </w:t>
      </w:r>
      <w:r>
        <w:rPr>
          <w:rFonts w:hint="eastAsia" w:ascii="新宋体" w:hAnsi="新宋体" w:eastAsia="新宋体" w:cs="新宋体"/>
          <w:color w:val="auto"/>
          <w:sz w:val="22"/>
          <w:highlight w:val="none"/>
          <w:lang w:val="zh-CN"/>
        </w:rPr>
        <w:t>元整</w:t>
      </w:r>
      <w:r>
        <w:rPr>
          <w:rFonts w:hint="eastAsia" w:ascii="新宋体" w:hAnsi="新宋体" w:eastAsia="新宋体" w:cs="新宋体"/>
          <w:color w:val="auto"/>
          <w:sz w:val="22"/>
          <w:highlight w:val="none"/>
        </w:rPr>
        <w:t>（¥</w:t>
      </w:r>
      <w:r>
        <w:rPr>
          <w:rFonts w:hint="eastAsia" w:ascii="新宋体" w:hAnsi="新宋体" w:eastAsia="新宋体" w:cs="新宋体"/>
          <w:color w:val="auto"/>
          <w:sz w:val="22"/>
          <w:highlight w:val="none"/>
          <w:u w:val="single"/>
        </w:rPr>
        <w:t xml:space="preserve">             </w:t>
      </w:r>
      <w:r>
        <w:rPr>
          <w:rFonts w:hint="eastAsia" w:ascii="新宋体" w:hAnsi="新宋体" w:eastAsia="新宋体" w:cs="新宋体"/>
          <w:color w:val="auto"/>
          <w:sz w:val="22"/>
          <w:highlight w:val="none"/>
          <w:lang w:val="zh-CN"/>
        </w:rPr>
        <w:t xml:space="preserve">元）， </w:t>
      </w:r>
    </w:p>
    <w:p w14:paraId="6111BC0B">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8.2</w:t>
      </w:r>
      <w:r>
        <w:rPr>
          <w:rFonts w:hint="eastAsia" w:ascii="新宋体" w:hAnsi="新宋体" w:eastAsia="新宋体" w:cs="新宋体"/>
          <w:color w:val="auto"/>
          <w:sz w:val="22"/>
          <w:highlight w:val="none"/>
          <w:lang w:val="zh-CN"/>
        </w:rPr>
        <w:t>合同价款的支付条件及支付比例：</w:t>
      </w:r>
    </w:p>
    <w:p w14:paraId="66072E6B">
      <w:pPr>
        <w:spacing w:line="460" w:lineRule="exact"/>
        <w:ind w:firstLine="446" w:firstLineChars="200"/>
        <w:rPr>
          <w:rFonts w:ascii="新宋体" w:hAnsi="新宋体" w:eastAsia="新宋体" w:cs="新宋体"/>
          <w:b w:val="0"/>
          <w:bCs/>
          <w:color w:val="auto"/>
          <w:sz w:val="22"/>
          <w:highlight w:val="none"/>
        </w:rPr>
      </w:pPr>
      <w:bookmarkStart w:id="78" w:name="_Hlk147994929"/>
      <w:r>
        <w:rPr>
          <w:rFonts w:hint="eastAsia" w:ascii="宋体" w:hAnsi="宋体"/>
          <w:b w:val="0"/>
          <w:bCs/>
          <w:color w:val="auto"/>
          <w:sz w:val="22"/>
          <w:szCs w:val="20"/>
          <w:highlight w:val="none"/>
          <w:lang w:val="en-US" w:eastAsia="zh-CN"/>
        </w:rPr>
        <w:t>服务费用（含</w:t>
      </w:r>
      <w:r>
        <w:rPr>
          <w:rFonts w:hint="eastAsia" w:ascii="宋体" w:hAnsi="宋体"/>
          <w:b w:val="0"/>
          <w:bCs/>
          <w:color w:val="auto"/>
          <w:sz w:val="22"/>
          <w:szCs w:val="20"/>
          <w:highlight w:val="none"/>
        </w:rPr>
        <w:t>运维费</w:t>
      </w:r>
      <w:r>
        <w:rPr>
          <w:rFonts w:hint="eastAsia" w:ascii="宋体" w:hAnsi="宋体"/>
          <w:b w:val="0"/>
          <w:bCs/>
          <w:color w:val="auto"/>
          <w:sz w:val="22"/>
          <w:szCs w:val="20"/>
          <w:highlight w:val="none"/>
          <w:lang w:val="en-US" w:eastAsia="zh-CN"/>
        </w:rPr>
        <w:t>及云资源租赁费）</w:t>
      </w:r>
      <w:r>
        <w:rPr>
          <w:rFonts w:hint="eastAsia" w:ascii="宋体" w:hAnsi="宋体"/>
          <w:b w:val="0"/>
          <w:bCs/>
          <w:color w:val="auto"/>
          <w:sz w:val="22"/>
          <w:szCs w:val="20"/>
          <w:highlight w:val="none"/>
        </w:rPr>
        <w:t>按年度结算支付。每自然年度（或 “服务年度”，可根据项目实际约定周期）运维服务履行</w:t>
      </w:r>
      <w:r>
        <w:rPr>
          <w:rFonts w:hint="eastAsia" w:ascii="宋体" w:hAnsi="宋体"/>
          <w:b w:val="0"/>
          <w:bCs/>
          <w:color w:val="auto"/>
          <w:sz w:val="22"/>
          <w:szCs w:val="20"/>
          <w:highlight w:val="none"/>
          <w:lang w:val="en-US" w:eastAsia="zh-CN"/>
        </w:rPr>
        <w:t>开始</w:t>
      </w:r>
      <w:r>
        <w:rPr>
          <w:rFonts w:hint="eastAsia" w:ascii="宋体" w:hAnsi="宋体"/>
          <w:b w:val="0"/>
          <w:bCs/>
          <w:color w:val="auto"/>
          <w:sz w:val="22"/>
          <w:szCs w:val="20"/>
          <w:highlight w:val="none"/>
        </w:rPr>
        <w:t>并经采购人</w:t>
      </w:r>
      <w:r>
        <w:rPr>
          <w:rFonts w:hint="eastAsia" w:ascii="宋体" w:hAnsi="宋体"/>
          <w:b w:val="0"/>
          <w:bCs/>
          <w:color w:val="auto"/>
          <w:sz w:val="22"/>
          <w:szCs w:val="20"/>
          <w:highlight w:val="none"/>
          <w:lang w:val="en-US" w:eastAsia="zh-CN"/>
        </w:rPr>
        <w:t>同意</w:t>
      </w:r>
      <w:r>
        <w:rPr>
          <w:rFonts w:hint="eastAsia" w:ascii="宋体" w:hAnsi="宋体"/>
          <w:b w:val="0"/>
          <w:bCs/>
          <w:color w:val="auto"/>
          <w:sz w:val="22"/>
          <w:szCs w:val="20"/>
          <w:highlight w:val="none"/>
        </w:rPr>
        <w:t>确认后，采购人依据《付款通知书》支付</w:t>
      </w:r>
      <w:r>
        <w:rPr>
          <w:rFonts w:hint="eastAsia" w:ascii="宋体" w:hAnsi="宋体"/>
          <w:b w:val="0"/>
          <w:bCs/>
          <w:color w:val="auto"/>
          <w:sz w:val="22"/>
          <w:szCs w:val="20"/>
          <w:highlight w:val="none"/>
          <w:lang w:val="en-US" w:eastAsia="zh-CN"/>
        </w:rPr>
        <w:t>合同金额40%作为第一年</w:t>
      </w:r>
      <w:r>
        <w:rPr>
          <w:rFonts w:hint="eastAsia" w:ascii="宋体" w:hAnsi="宋体"/>
          <w:b w:val="0"/>
          <w:bCs/>
          <w:color w:val="auto"/>
          <w:sz w:val="22"/>
          <w:szCs w:val="20"/>
          <w:highlight w:val="none"/>
        </w:rPr>
        <w:t>度运维费用</w:t>
      </w:r>
      <w:r>
        <w:rPr>
          <w:rFonts w:hint="eastAsia" w:ascii="宋体" w:hAnsi="宋体"/>
          <w:b w:val="0"/>
          <w:bCs/>
          <w:color w:val="auto"/>
          <w:sz w:val="22"/>
          <w:szCs w:val="20"/>
          <w:highlight w:val="none"/>
          <w:lang w:eastAsia="zh-CN"/>
        </w:rPr>
        <w:t>，</w:t>
      </w:r>
      <w:r>
        <w:rPr>
          <w:rFonts w:hint="eastAsia" w:ascii="宋体" w:hAnsi="宋体"/>
          <w:b w:val="0"/>
          <w:bCs/>
          <w:color w:val="auto"/>
          <w:sz w:val="22"/>
          <w:szCs w:val="20"/>
          <w:highlight w:val="none"/>
          <w:lang w:val="en-US" w:eastAsia="zh-CN"/>
        </w:rPr>
        <w:t>合同金额30%作为第二年</w:t>
      </w:r>
      <w:r>
        <w:rPr>
          <w:rFonts w:hint="eastAsia" w:ascii="宋体" w:hAnsi="宋体"/>
          <w:b w:val="0"/>
          <w:bCs/>
          <w:color w:val="auto"/>
          <w:sz w:val="22"/>
          <w:szCs w:val="20"/>
          <w:highlight w:val="none"/>
        </w:rPr>
        <w:t>度运维费用</w:t>
      </w:r>
      <w:r>
        <w:rPr>
          <w:rFonts w:hint="eastAsia" w:ascii="宋体" w:hAnsi="宋体"/>
          <w:b w:val="0"/>
          <w:bCs/>
          <w:color w:val="auto"/>
          <w:sz w:val="22"/>
          <w:szCs w:val="20"/>
          <w:highlight w:val="none"/>
          <w:lang w:eastAsia="zh-CN"/>
        </w:rPr>
        <w:t>，</w:t>
      </w:r>
      <w:r>
        <w:rPr>
          <w:rFonts w:hint="eastAsia" w:ascii="宋体" w:hAnsi="宋体"/>
          <w:b w:val="0"/>
          <w:bCs/>
          <w:color w:val="auto"/>
          <w:sz w:val="22"/>
          <w:szCs w:val="20"/>
          <w:highlight w:val="none"/>
          <w:lang w:val="en-US" w:eastAsia="zh-CN"/>
        </w:rPr>
        <w:t>合同金额30%作为第三年</w:t>
      </w:r>
      <w:r>
        <w:rPr>
          <w:rFonts w:hint="eastAsia" w:ascii="宋体" w:hAnsi="宋体"/>
          <w:b w:val="0"/>
          <w:bCs/>
          <w:color w:val="auto"/>
          <w:sz w:val="22"/>
          <w:szCs w:val="20"/>
          <w:highlight w:val="none"/>
        </w:rPr>
        <w:t>度运维费用。中标供应商应同步开具对应金额的增值税专用发票（或增值税普通发票，根据采购需求明确）。</w:t>
      </w:r>
    </w:p>
    <w:p w14:paraId="14DC2517">
      <w:pPr>
        <w:pStyle w:val="8"/>
        <w:rPr>
          <w:rFonts w:hint="eastAsia" w:ascii="新宋体" w:hAnsi="新宋体" w:eastAsia="新宋体" w:cs="新宋体"/>
          <w:bCs/>
          <w:color w:val="auto"/>
          <w:sz w:val="22"/>
          <w:highlight w:val="none"/>
          <w:lang w:val="en-US" w:eastAsia="zh-CN"/>
        </w:rPr>
      </w:pPr>
      <w:r>
        <w:rPr>
          <w:rFonts w:hint="eastAsia" w:ascii="新宋体" w:hAnsi="新宋体" w:eastAsia="新宋体" w:cs="新宋体"/>
          <w:color w:val="auto"/>
          <w:sz w:val="22"/>
          <w:highlight w:val="none"/>
        </w:rPr>
        <w:t>资源租赁时间，</w:t>
      </w:r>
      <w:r>
        <w:rPr>
          <w:rFonts w:hint="eastAsia" w:ascii="新宋体" w:hAnsi="新宋体" w:eastAsia="新宋体" w:cs="新宋体"/>
          <w:bCs/>
          <w:color w:val="auto"/>
          <w:sz w:val="22"/>
          <w:highlight w:val="none"/>
          <w:lang w:val="en-US" w:eastAsia="zh-CN"/>
        </w:rPr>
        <w:t>从完成整体部署，经甲方确认试运行开始计算。</w:t>
      </w:r>
    </w:p>
    <w:p w14:paraId="515B267B">
      <w:pPr>
        <w:pStyle w:val="8"/>
        <w:rPr>
          <w:rFonts w:hint="eastAsia" w:ascii="新宋体" w:hAnsi="新宋体" w:eastAsia="新宋体" w:cs="新宋体"/>
          <w:bCs/>
          <w:color w:val="auto"/>
          <w:sz w:val="22"/>
          <w:highlight w:val="none"/>
          <w:lang w:val="en-US" w:eastAsia="zh-CN"/>
        </w:rPr>
      </w:pPr>
      <w:r>
        <w:rPr>
          <w:rFonts w:hint="eastAsia" w:ascii="新宋体" w:hAnsi="新宋体" w:eastAsia="新宋体" w:cs="新宋体"/>
          <w:bCs/>
          <w:color w:val="auto"/>
          <w:sz w:val="22"/>
          <w:highlight w:val="none"/>
          <w:lang w:val="en-US" w:eastAsia="zh-CN"/>
        </w:rPr>
        <w:t>如遇政策因素或绩效不佳，甲方有权解除合同并停止支付。</w:t>
      </w:r>
    </w:p>
    <w:bookmarkEnd w:id="78"/>
    <w:p w14:paraId="5373C39D">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注：满足支付条件时，在甲方付款前，乙方应向甲方开具等额有效的发票，未收到发票的，甲方有权不予支付相应款项直至乙方提供合格发票，并不承担延迟付款责任。发票认证通过是付款的必要前提之一。</w:t>
      </w:r>
    </w:p>
    <w:p w14:paraId="7D9B83BD">
      <w:pPr>
        <w:spacing w:line="460" w:lineRule="exact"/>
        <w:ind w:firstLine="446" w:firstLineChars="200"/>
        <w:rPr>
          <w:color w:val="auto"/>
          <w:lang w:val="zh-CN"/>
        </w:rPr>
      </w:pPr>
      <w:r>
        <w:rPr>
          <w:rFonts w:hint="eastAsia" w:ascii="新宋体" w:hAnsi="新宋体" w:eastAsia="新宋体" w:cs="新宋体"/>
          <w:color w:val="auto"/>
          <w:sz w:val="22"/>
          <w:highlight w:val="none"/>
        </w:rPr>
        <w:t>乙方构成违约的，甲方有权在未支付的费用、款项中直接扣除违约金。</w:t>
      </w:r>
    </w:p>
    <w:p w14:paraId="18328553">
      <w:pPr>
        <w:spacing w:line="460" w:lineRule="exact"/>
        <w:rPr>
          <w:rFonts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lang w:val="zh-CN"/>
        </w:rPr>
        <w:t>第九条</w:t>
      </w:r>
      <w:r>
        <w:rPr>
          <w:rFonts w:hint="eastAsia" w:ascii="新宋体" w:hAnsi="新宋体" w:eastAsia="新宋体" w:cs="新宋体"/>
          <w:b/>
          <w:bCs/>
          <w:color w:val="auto"/>
          <w:sz w:val="22"/>
          <w:highlight w:val="none"/>
        </w:rPr>
        <w:t xml:space="preserve">  </w:t>
      </w:r>
      <w:r>
        <w:rPr>
          <w:rFonts w:hint="eastAsia" w:ascii="新宋体" w:hAnsi="新宋体" w:eastAsia="新宋体" w:cs="新宋体"/>
          <w:b/>
          <w:bCs/>
          <w:color w:val="auto"/>
          <w:sz w:val="22"/>
          <w:highlight w:val="none"/>
          <w:lang w:val="zh-CN"/>
        </w:rPr>
        <w:t>需求变更</w:t>
      </w:r>
    </w:p>
    <w:p w14:paraId="5843CA3A">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9.1</w:t>
      </w:r>
      <w:r>
        <w:rPr>
          <w:rFonts w:hint="eastAsia" w:ascii="新宋体" w:hAnsi="新宋体" w:eastAsia="新宋体" w:cs="新宋体"/>
          <w:color w:val="auto"/>
          <w:sz w:val="22"/>
          <w:highlight w:val="none"/>
          <w:lang w:val="zh-CN"/>
        </w:rPr>
        <w:t>在项目实施过程中，甲方可根据业务需求调整技术功能、业务功能和修改业务需求。</w:t>
      </w:r>
    </w:p>
    <w:p w14:paraId="2B25E1D4">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9.2重大</w:t>
      </w:r>
      <w:r>
        <w:rPr>
          <w:rFonts w:hint="eastAsia" w:ascii="新宋体" w:hAnsi="新宋体" w:eastAsia="新宋体" w:cs="新宋体"/>
          <w:color w:val="auto"/>
          <w:sz w:val="22"/>
          <w:highlight w:val="none"/>
          <w:lang w:val="zh-CN"/>
        </w:rPr>
        <w:t>业务需求经双方确认后，双方应评估需求变更的实施对项目日程表和其他合同条款所产生的影响，并签署相应的《变更备忘录》。经双方授权代表签字盖章后的《变更备忘录》将作为本合同的有效附件和执行变更的依据。</w:t>
      </w:r>
    </w:p>
    <w:p w14:paraId="4054B22C">
      <w:pPr>
        <w:spacing w:line="460" w:lineRule="exact"/>
        <w:rPr>
          <w:rFonts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lang w:val="zh-CN"/>
        </w:rPr>
        <w:t>第十条</w:t>
      </w:r>
      <w:r>
        <w:rPr>
          <w:rFonts w:hint="eastAsia" w:ascii="新宋体" w:hAnsi="新宋体" w:eastAsia="新宋体" w:cs="新宋体"/>
          <w:b/>
          <w:bCs/>
          <w:color w:val="auto"/>
          <w:sz w:val="22"/>
          <w:highlight w:val="none"/>
        </w:rPr>
        <w:t xml:space="preserve">  </w:t>
      </w:r>
      <w:r>
        <w:rPr>
          <w:rFonts w:hint="eastAsia" w:ascii="新宋体" w:hAnsi="新宋体" w:eastAsia="新宋体" w:cs="新宋体"/>
          <w:b/>
          <w:bCs/>
          <w:color w:val="auto"/>
          <w:sz w:val="22"/>
          <w:highlight w:val="none"/>
          <w:lang w:val="zh-CN"/>
        </w:rPr>
        <w:t>技术支持与培训</w:t>
      </w:r>
    </w:p>
    <w:p w14:paraId="1E422A4B">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10.1</w:t>
      </w:r>
      <w:r>
        <w:rPr>
          <w:rFonts w:hint="eastAsia" w:ascii="新宋体" w:hAnsi="新宋体" w:eastAsia="新宋体" w:cs="新宋体"/>
          <w:color w:val="auto"/>
          <w:sz w:val="22"/>
          <w:highlight w:val="none"/>
          <w:lang w:val="zh-CN"/>
        </w:rPr>
        <w:t>乙方应根据投标响应文件的相关培训承诺及项目实施进度，对甲方相关人员进行培训。</w:t>
      </w:r>
    </w:p>
    <w:p w14:paraId="2250B2DD">
      <w:pPr>
        <w:spacing w:line="460" w:lineRule="exact"/>
        <w:ind w:firstLine="446" w:firstLineChars="200"/>
        <w:rPr>
          <w:rFonts w:hint="default" w:ascii="新宋体" w:hAnsi="新宋体" w:eastAsia="新宋体" w:cs="新宋体"/>
          <w:color w:val="auto"/>
          <w:sz w:val="22"/>
          <w:highlight w:val="none"/>
          <w:lang w:val="en-US" w:eastAsia="zh-CN"/>
        </w:rPr>
      </w:pPr>
      <w:r>
        <w:rPr>
          <w:rFonts w:hint="eastAsia" w:ascii="新宋体" w:hAnsi="新宋体" w:eastAsia="新宋体" w:cs="新宋体"/>
          <w:color w:val="auto"/>
          <w:sz w:val="22"/>
          <w:highlight w:val="none"/>
        </w:rPr>
        <w:t>10.2</w:t>
      </w:r>
      <w:r>
        <w:rPr>
          <w:rFonts w:hint="eastAsia" w:ascii="新宋体" w:hAnsi="新宋体" w:eastAsia="新宋体" w:cs="新宋体"/>
          <w:color w:val="auto"/>
          <w:sz w:val="22"/>
          <w:highlight w:val="none"/>
          <w:lang w:val="zh-CN"/>
        </w:rPr>
        <w:t>乙方负责向甲方提供至少三年的项目免费维护服务及升级，服务期自项目终验合格之日起算。免费维护期满，双方协商，仅收取运维服务费与云资源租赁费，运维服务费每年度支付不超过合同金额的3%，云资源租赁费按云资源实际使用比例支付。</w:t>
      </w:r>
    </w:p>
    <w:p w14:paraId="17BAC60D">
      <w:pPr>
        <w:spacing w:line="460" w:lineRule="exact"/>
        <w:rPr>
          <w:rFonts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lang w:val="zh-CN"/>
        </w:rPr>
        <w:t>第十一条</w:t>
      </w:r>
      <w:r>
        <w:rPr>
          <w:rFonts w:hint="eastAsia" w:ascii="新宋体" w:hAnsi="新宋体" w:eastAsia="新宋体" w:cs="新宋体"/>
          <w:b/>
          <w:bCs/>
          <w:color w:val="auto"/>
          <w:sz w:val="22"/>
          <w:highlight w:val="none"/>
        </w:rPr>
        <w:t xml:space="preserve">  </w:t>
      </w:r>
      <w:r>
        <w:rPr>
          <w:rFonts w:hint="eastAsia" w:ascii="新宋体" w:hAnsi="新宋体" w:eastAsia="新宋体" w:cs="新宋体"/>
          <w:b/>
          <w:bCs/>
          <w:color w:val="auto"/>
          <w:sz w:val="22"/>
          <w:highlight w:val="none"/>
          <w:lang w:val="zh-CN"/>
        </w:rPr>
        <w:t>所有权和知识产权</w:t>
      </w:r>
    </w:p>
    <w:p w14:paraId="7BC2AB25">
      <w:pPr>
        <w:spacing w:line="460" w:lineRule="exact"/>
        <w:ind w:firstLine="446" w:firstLineChars="200"/>
        <w:rPr>
          <w:rFonts w:ascii="新宋体" w:hAnsi="新宋体" w:eastAsia="新宋体" w:cs="新宋体"/>
          <w:color w:val="auto"/>
          <w:sz w:val="22"/>
          <w:highlight w:val="none"/>
          <w:lang w:val="zh-CN"/>
        </w:rPr>
      </w:pPr>
      <w:r>
        <w:rPr>
          <w:rFonts w:hint="eastAsia" w:ascii="新宋体" w:hAnsi="新宋体" w:eastAsia="新宋体" w:cs="新宋体"/>
          <w:color w:val="auto"/>
          <w:sz w:val="22"/>
          <w:highlight w:val="none"/>
          <w:lang w:val="zh-CN"/>
        </w:rPr>
        <w:t>11.1本合同生效日前已存在的版权及其他知识产权，其所有权权属不发生任何变更。任何一方均不得凭借本合同取得另一方拥有的版权、专利、商业秘密、商标或任何其他知识产权的所有权。</w:t>
      </w:r>
    </w:p>
    <w:p w14:paraId="1D6F19AE">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11.2</w:t>
      </w:r>
      <w:r>
        <w:rPr>
          <w:rFonts w:hint="eastAsia" w:ascii="新宋体" w:hAnsi="新宋体" w:eastAsia="新宋体" w:cs="新宋体"/>
          <w:color w:val="auto"/>
          <w:sz w:val="22"/>
          <w:highlight w:val="none"/>
          <w:lang w:val="zh-CN"/>
        </w:rPr>
        <w:t>甲方在使用乙方提供的属于第三方软件时，应当依照乙方与第三方对该软件使用的约定进行。乙方应将该约定的书面文件的复印件交甲方参阅。</w:t>
      </w:r>
    </w:p>
    <w:p w14:paraId="651C4482">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11.3</w:t>
      </w:r>
      <w:r>
        <w:rPr>
          <w:rFonts w:hint="eastAsia" w:ascii="新宋体" w:hAnsi="新宋体" w:eastAsia="新宋体" w:cs="新宋体"/>
          <w:color w:val="auto"/>
          <w:sz w:val="22"/>
          <w:highlight w:val="none"/>
          <w:lang w:val="zh-CN"/>
        </w:rPr>
        <w:t>甲方在领受本合同项下的软件后，应严格遵守相关的知识产权及软件版权保护的法律、法规，并在本合同所规定的范围内使用本软件。</w:t>
      </w:r>
    </w:p>
    <w:p w14:paraId="4153B929">
      <w:pPr>
        <w:spacing w:line="460" w:lineRule="exact"/>
        <w:rPr>
          <w:rFonts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rPr>
        <w:t>第十二条  保密条款</w:t>
      </w:r>
    </w:p>
    <w:p w14:paraId="7540E4F2">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12.1</w:t>
      </w:r>
      <w:r>
        <w:rPr>
          <w:rFonts w:hint="eastAsia" w:ascii="新宋体" w:hAnsi="新宋体" w:eastAsia="新宋体" w:cs="新宋体"/>
          <w:color w:val="auto"/>
          <w:sz w:val="22"/>
          <w:highlight w:val="none"/>
          <w:lang w:val="zh-CN"/>
        </w:rPr>
        <w:t>在本合同履行期限内，任何一方可以获得与本项目相关的对方的商业秘密，对此双方应谨慎地进行披露和接受。</w:t>
      </w:r>
    </w:p>
    <w:p w14:paraId="7B3679BE">
      <w:pPr>
        <w:spacing w:line="460" w:lineRule="exact"/>
        <w:ind w:firstLine="446" w:firstLineChars="200"/>
        <w:rPr>
          <w:rFonts w:ascii="新宋体" w:hAnsi="新宋体" w:eastAsia="新宋体" w:cs="新宋体"/>
          <w:color w:val="auto"/>
          <w:sz w:val="22"/>
          <w:highlight w:val="none"/>
          <w:lang w:val="zh-CN"/>
        </w:rPr>
      </w:pPr>
      <w:r>
        <w:rPr>
          <w:rFonts w:hint="eastAsia" w:ascii="新宋体" w:hAnsi="新宋体" w:eastAsia="新宋体" w:cs="新宋体"/>
          <w:color w:val="auto"/>
          <w:sz w:val="22"/>
          <w:highlight w:val="none"/>
        </w:rPr>
        <w:t>12.2</w:t>
      </w:r>
      <w:r>
        <w:rPr>
          <w:rFonts w:hint="eastAsia" w:ascii="新宋体" w:hAnsi="新宋体" w:eastAsia="新宋体" w:cs="新宋体"/>
          <w:color w:val="auto"/>
          <w:sz w:val="22"/>
          <w:highlight w:val="none"/>
          <w:lang w:val="zh-CN"/>
        </w:rPr>
        <w:t>获取对方商业秘密的一方仅可将该商业秘密用于履行其在本合同项下的义务，且只能由相关的工程技术人员使用。获取对方商业秘密的一方应当釆取适当有效的方式保护所获取的商业秘密，不得未经授权使用、传播或公开商业秘密。除非有对方的书面许可，或该信息已被拥有方认为不再是商业秘密，或已在社会上公开，或法律强制披露，该商业秘密不得对外披露。</w:t>
      </w:r>
    </w:p>
    <w:p w14:paraId="2EAA0784">
      <w:pPr>
        <w:spacing w:line="460" w:lineRule="exact"/>
        <w:ind w:firstLine="446" w:firstLineChars="200"/>
        <w:rPr>
          <w:rFonts w:ascii="新宋体" w:hAnsi="新宋体" w:eastAsia="新宋体" w:cs="新宋体"/>
          <w:color w:val="auto"/>
          <w:sz w:val="22"/>
          <w:highlight w:val="none"/>
          <w:lang w:val="zh-CN"/>
        </w:rPr>
      </w:pPr>
      <w:r>
        <w:rPr>
          <w:rFonts w:hint="eastAsia" w:ascii="新宋体" w:hAnsi="新宋体" w:eastAsia="新宋体" w:cs="新宋体"/>
          <w:color w:val="auto"/>
          <w:sz w:val="22"/>
          <w:highlight w:val="none"/>
          <w:lang w:val="zh-CN"/>
        </w:rPr>
        <w:t>12.3 在项目开发过程和系统运行过程中，乙方对所获得的、有关甲方或属于甲方的秘密信息，未经甲方</w:t>
      </w:r>
      <w:r>
        <w:rPr>
          <w:rFonts w:hint="eastAsia" w:ascii="新宋体" w:hAnsi="新宋体" w:eastAsia="新宋体" w:cs="新宋体"/>
          <w:color w:val="auto"/>
          <w:sz w:val="22"/>
          <w:highlight w:val="none"/>
        </w:rPr>
        <w:t>书面</w:t>
      </w:r>
      <w:r>
        <w:rPr>
          <w:rFonts w:hint="eastAsia" w:ascii="新宋体" w:hAnsi="新宋体" w:eastAsia="新宋体" w:cs="新宋体"/>
          <w:color w:val="auto"/>
          <w:sz w:val="22"/>
          <w:highlight w:val="none"/>
          <w:lang w:val="zh-CN"/>
        </w:rPr>
        <w:t>同意，不得泄露、</w:t>
      </w:r>
      <w:r>
        <w:rPr>
          <w:rFonts w:hint="eastAsia" w:ascii="新宋体" w:hAnsi="新宋体" w:eastAsia="新宋体" w:cs="新宋体"/>
          <w:color w:val="auto"/>
          <w:sz w:val="22"/>
          <w:highlight w:val="none"/>
        </w:rPr>
        <w:t>披露</w:t>
      </w:r>
      <w:r>
        <w:rPr>
          <w:rFonts w:hint="eastAsia" w:ascii="新宋体" w:hAnsi="新宋体" w:eastAsia="新宋体" w:cs="新宋体"/>
          <w:color w:val="auto"/>
          <w:sz w:val="22"/>
          <w:highlight w:val="none"/>
          <w:lang w:val="zh-CN"/>
        </w:rPr>
        <w:t>给任何第三方。</w:t>
      </w:r>
    </w:p>
    <w:p w14:paraId="2C87788F">
      <w:pPr>
        <w:spacing w:line="460" w:lineRule="exact"/>
        <w:ind w:firstLine="446" w:firstLineChars="200"/>
        <w:rPr>
          <w:rFonts w:ascii="新宋体" w:hAnsi="新宋体" w:eastAsia="新宋体" w:cs="新宋体"/>
          <w:color w:val="auto"/>
          <w:sz w:val="22"/>
          <w:highlight w:val="none"/>
          <w:lang w:val="zh-CN"/>
        </w:rPr>
      </w:pPr>
      <w:r>
        <w:rPr>
          <w:rFonts w:hint="eastAsia" w:ascii="新宋体" w:hAnsi="新宋体" w:eastAsia="新宋体" w:cs="新宋体"/>
          <w:color w:val="auto"/>
          <w:sz w:val="22"/>
          <w:highlight w:val="none"/>
          <w:lang w:val="zh-CN"/>
        </w:rPr>
        <w:t>12.4 乙方只能将有关甲方或属于甲方的秘密信息用于服务于本项目，而且只能由相应的工程技术人员使用。</w:t>
      </w:r>
    </w:p>
    <w:p w14:paraId="2140AAFA">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lang w:val="zh-CN"/>
        </w:rPr>
        <w:t>12.5 乙方</w:t>
      </w:r>
      <w:r>
        <w:rPr>
          <w:rFonts w:hint="eastAsia" w:ascii="新宋体" w:hAnsi="新宋体" w:eastAsia="新宋体" w:cs="新宋体"/>
          <w:color w:val="auto"/>
          <w:sz w:val="22"/>
          <w:highlight w:val="none"/>
        </w:rPr>
        <w:t>应遵循甲方各项安全保密制度和规章，所有信息数据在迁移、处理等过程中严禁私自复制、传输，完成建设任务后，档案信息数据必须物理清除。</w:t>
      </w:r>
    </w:p>
    <w:p w14:paraId="039293AF">
      <w:pPr>
        <w:spacing w:line="460" w:lineRule="exact"/>
        <w:rPr>
          <w:rFonts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rPr>
        <w:t>第十三条  违约</w:t>
      </w:r>
    </w:p>
    <w:p w14:paraId="500ED4D8">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13.1</w:t>
      </w:r>
      <w:r>
        <w:rPr>
          <w:rFonts w:hint="eastAsia" w:ascii="新宋体" w:hAnsi="新宋体" w:eastAsia="新宋体" w:cs="新宋体"/>
          <w:color w:val="auto"/>
          <w:sz w:val="22"/>
          <w:highlight w:val="none"/>
          <w:lang w:val="zh-CN"/>
        </w:rPr>
        <w:t>交付违约：若乙方未在本合同</w:t>
      </w:r>
      <w:r>
        <w:rPr>
          <w:rFonts w:hint="eastAsia" w:ascii="新宋体" w:hAnsi="新宋体" w:eastAsia="新宋体" w:cs="新宋体"/>
          <w:color w:val="auto"/>
          <w:sz w:val="22"/>
          <w:highlight w:val="none"/>
        </w:rPr>
        <w:t>约定</w:t>
      </w:r>
      <w:r>
        <w:rPr>
          <w:rFonts w:hint="eastAsia" w:ascii="新宋体" w:hAnsi="新宋体" w:eastAsia="新宋体" w:cs="新宋体"/>
          <w:color w:val="auto"/>
          <w:sz w:val="22"/>
          <w:highlight w:val="none"/>
          <w:lang w:val="zh-CN"/>
        </w:rPr>
        <w:t>的期限内或双方书面同意的调整期限内完成开发工作、</w:t>
      </w:r>
      <w:r>
        <w:rPr>
          <w:rFonts w:hint="eastAsia" w:ascii="新宋体" w:hAnsi="新宋体" w:eastAsia="新宋体" w:cs="新宋体"/>
          <w:color w:val="auto"/>
          <w:sz w:val="22"/>
          <w:highlight w:val="none"/>
        </w:rPr>
        <w:t>履行合同义务</w:t>
      </w:r>
      <w:r>
        <w:rPr>
          <w:rFonts w:hint="eastAsia" w:ascii="新宋体" w:hAnsi="新宋体" w:eastAsia="新宋体" w:cs="新宋体"/>
          <w:color w:val="auto"/>
          <w:sz w:val="22"/>
          <w:highlight w:val="none"/>
          <w:lang w:val="zh-CN"/>
        </w:rPr>
        <w:t>并通过</w:t>
      </w:r>
      <w:r>
        <w:rPr>
          <w:rFonts w:hint="eastAsia" w:ascii="新宋体" w:hAnsi="新宋体" w:eastAsia="新宋体" w:cs="新宋体"/>
          <w:color w:val="auto"/>
          <w:sz w:val="22"/>
          <w:highlight w:val="none"/>
        </w:rPr>
        <w:t>甲方</w:t>
      </w:r>
      <w:r>
        <w:rPr>
          <w:rFonts w:hint="eastAsia" w:ascii="新宋体" w:hAnsi="新宋体" w:eastAsia="新宋体" w:cs="新宋体"/>
          <w:color w:val="auto"/>
          <w:sz w:val="22"/>
          <w:highlight w:val="none"/>
          <w:lang w:val="zh-CN"/>
        </w:rPr>
        <w:t>验收，每延迟一日，应向甲方支付相当于合同总金额千分之</w:t>
      </w:r>
      <w:r>
        <w:rPr>
          <w:rFonts w:hint="eastAsia" w:ascii="新宋体" w:hAnsi="新宋体" w:eastAsia="新宋体" w:cs="新宋体"/>
          <w:color w:val="auto"/>
          <w:sz w:val="22"/>
          <w:highlight w:val="none"/>
        </w:rPr>
        <w:t>一</w:t>
      </w:r>
      <w:r>
        <w:rPr>
          <w:rFonts w:hint="eastAsia" w:ascii="新宋体" w:hAnsi="新宋体" w:eastAsia="新宋体" w:cs="新宋体"/>
          <w:color w:val="auto"/>
          <w:sz w:val="22"/>
          <w:highlight w:val="none"/>
          <w:lang w:val="zh-CN"/>
        </w:rPr>
        <w:t>的违约金；</w:t>
      </w:r>
      <w:r>
        <w:rPr>
          <w:rFonts w:hint="eastAsia" w:ascii="新宋体" w:hAnsi="新宋体" w:eastAsia="新宋体" w:cs="新宋体"/>
          <w:color w:val="auto"/>
          <w:sz w:val="22"/>
          <w:highlight w:val="none"/>
        </w:rPr>
        <w:t>逾期达</w:t>
      </w:r>
      <w:r>
        <w:rPr>
          <w:rFonts w:ascii="新宋体" w:hAnsi="新宋体" w:eastAsia="新宋体" w:cs="新宋体"/>
          <w:color w:val="auto"/>
          <w:sz w:val="22"/>
          <w:highlight w:val="none"/>
          <w:u w:val="single"/>
        </w:rPr>
        <w:t xml:space="preserve"> </w:t>
      </w:r>
      <w:r>
        <w:rPr>
          <w:rFonts w:hint="eastAsia" w:ascii="新宋体" w:hAnsi="新宋体" w:eastAsia="新宋体" w:cs="新宋体"/>
          <w:color w:val="auto"/>
          <w:sz w:val="22"/>
          <w:highlight w:val="none"/>
          <w:u w:val="single"/>
        </w:rPr>
        <w:t xml:space="preserve"> </w:t>
      </w:r>
      <w:r>
        <w:rPr>
          <w:rFonts w:ascii="新宋体" w:hAnsi="新宋体" w:eastAsia="新宋体" w:cs="新宋体"/>
          <w:color w:val="auto"/>
          <w:sz w:val="22"/>
          <w:highlight w:val="none"/>
          <w:u w:val="single"/>
        </w:rPr>
        <w:t xml:space="preserve">  </w:t>
      </w:r>
      <w:r>
        <w:rPr>
          <w:rFonts w:hint="eastAsia" w:ascii="新宋体" w:hAnsi="新宋体" w:eastAsia="新宋体" w:cs="新宋体"/>
          <w:color w:val="auto"/>
          <w:sz w:val="22"/>
          <w:highlight w:val="none"/>
        </w:rPr>
        <w:t>日的，甲方有权单方面解除本合同。</w:t>
      </w:r>
    </w:p>
    <w:p w14:paraId="126EA450">
      <w:pPr>
        <w:spacing w:line="460" w:lineRule="exact"/>
        <w:ind w:firstLine="446" w:firstLineChars="200"/>
        <w:rPr>
          <w:rFonts w:hint="eastAsia" w:ascii="新宋体" w:hAnsi="新宋体" w:eastAsia="新宋体" w:cs="新宋体"/>
          <w:color w:val="auto"/>
          <w:sz w:val="22"/>
          <w:highlight w:val="none"/>
          <w:lang w:val="zh-CN"/>
        </w:rPr>
      </w:pPr>
      <w:r>
        <w:rPr>
          <w:rFonts w:hint="eastAsia" w:ascii="新宋体" w:hAnsi="新宋体" w:eastAsia="新宋体" w:cs="新宋体"/>
          <w:color w:val="auto"/>
          <w:sz w:val="22"/>
          <w:highlight w:val="none"/>
          <w:lang w:val="zh-CN"/>
        </w:rPr>
        <w:t>13.2在补救违约而采取的任何其他措施未能实现的情况下，即在乙方收到甲方发出的违约通知后3天内（或经甲方书面确认的更长时间内）仍未纠正其下述任何一种违约行为，甲方可向乙方发出书面违约通知，终止全部或部分合同：</w:t>
      </w:r>
    </w:p>
    <w:p w14:paraId="7C72BCCD">
      <w:pPr>
        <w:spacing w:line="460" w:lineRule="exact"/>
        <w:ind w:firstLine="446" w:firstLineChars="200"/>
        <w:rPr>
          <w:rFonts w:hint="eastAsia" w:ascii="新宋体" w:hAnsi="新宋体" w:eastAsia="新宋体" w:cs="新宋体"/>
          <w:color w:val="auto"/>
          <w:sz w:val="22"/>
          <w:highlight w:val="none"/>
          <w:lang w:val="zh-CN"/>
        </w:rPr>
      </w:pPr>
      <w:r>
        <w:rPr>
          <w:rFonts w:hint="eastAsia" w:ascii="新宋体" w:hAnsi="新宋体" w:eastAsia="新宋体" w:cs="新宋体"/>
          <w:color w:val="auto"/>
          <w:sz w:val="22"/>
          <w:highlight w:val="none"/>
          <w:lang w:val="zh-CN"/>
        </w:rPr>
        <w:t>（1）如果乙方未能在合同约定的期限内或甲方准许的任何延期内交付部分或全部的软硬件产品。</w:t>
      </w:r>
    </w:p>
    <w:p w14:paraId="564DCA2A">
      <w:pPr>
        <w:spacing w:line="460" w:lineRule="exact"/>
        <w:ind w:firstLine="446" w:firstLineChars="200"/>
        <w:rPr>
          <w:rFonts w:hint="eastAsia" w:ascii="新宋体" w:hAnsi="新宋体" w:eastAsia="新宋体" w:cs="新宋体"/>
          <w:color w:val="auto"/>
          <w:sz w:val="22"/>
          <w:highlight w:val="none"/>
          <w:lang w:val="zh-CN"/>
        </w:rPr>
      </w:pPr>
      <w:r>
        <w:rPr>
          <w:rFonts w:hint="eastAsia" w:ascii="新宋体" w:hAnsi="新宋体" w:eastAsia="新宋体" w:cs="新宋体"/>
          <w:color w:val="auto"/>
          <w:sz w:val="22"/>
          <w:highlight w:val="none"/>
          <w:lang w:val="zh-CN"/>
        </w:rPr>
        <w:t>（2）乙方未能履行合同项下的任何其它义务或未能按合同约定正确履行合同义务。</w:t>
      </w:r>
    </w:p>
    <w:p w14:paraId="0E15EA36">
      <w:pPr>
        <w:spacing w:line="460" w:lineRule="exact"/>
        <w:ind w:firstLine="446" w:firstLineChars="200"/>
        <w:rPr>
          <w:rFonts w:hint="eastAsia" w:ascii="新宋体" w:hAnsi="新宋体" w:eastAsia="新宋体" w:cs="新宋体"/>
          <w:color w:val="auto"/>
          <w:sz w:val="22"/>
          <w:highlight w:val="none"/>
          <w:lang w:val="zh-CN"/>
        </w:rPr>
      </w:pPr>
      <w:r>
        <w:rPr>
          <w:rFonts w:hint="eastAsia" w:ascii="新宋体" w:hAnsi="新宋体" w:eastAsia="新宋体" w:cs="新宋体"/>
          <w:color w:val="auto"/>
          <w:sz w:val="22"/>
          <w:highlight w:val="none"/>
          <w:lang w:val="zh-CN"/>
        </w:rPr>
        <w:t>13.3一旦甲方根据合同约定终止部分或全部合同，甲方可以按其认为适当的条件和方式与其他软件开发商签定合同继续开发。</w:t>
      </w:r>
    </w:p>
    <w:p w14:paraId="4390318E">
      <w:pPr>
        <w:spacing w:line="460" w:lineRule="exact"/>
        <w:ind w:firstLine="446" w:firstLineChars="200"/>
        <w:rPr>
          <w:rFonts w:hint="eastAsia" w:ascii="新宋体" w:hAnsi="新宋体" w:eastAsia="新宋体" w:cs="新宋体"/>
          <w:color w:val="auto"/>
          <w:sz w:val="22"/>
          <w:highlight w:val="none"/>
          <w:lang w:val="zh-CN"/>
        </w:rPr>
      </w:pPr>
      <w:r>
        <w:rPr>
          <w:rFonts w:hint="eastAsia" w:ascii="新宋体" w:hAnsi="新宋体" w:eastAsia="新宋体" w:cs="新宋体"/>
          <w:color w:val="auto"/>
          <w:sz w:val="22"/>
          <w:highlight w:val="none"/>
          <w:lang w:val="zh-CN"/>
        </w:rPr>
        <w:t>其它条款违约</w:t>
      </w:r>
      <w:r>
        <w:rPr>
          <w:rFonts w:hint="eastAsia" w:ascii="新宋体" w:hAnsi="新宋体" w:eastAsia="新宋体" w:cs="新宋体"/>
          <w:color w:val="auto"/>
          <w:sz w:val="22"/>
          <w:highlight w:val="none"/>
          <w:u w:val="single"/>
          <w:lang w:val="zh-CN"/>
        </w:rPr>
        <w:t xml:space="preserve">：                                  </w:t>
      </w:r>
      <w:r>
        <w:rPr>
          <w:rFonts w:hint="eastAsia" w:ascii="新宋体" w:hAnsi="新宋体" w:eastAsia="新宋体" w:cs="新宋体"/>
          <w:color w:val="auto"/>
          <w:sz w:val="22"/>
          <w:highlight w:val="none"/>
          <w:lang w:val="zh-CN"/>
        </w:rPr>
        <w:t>。</w:t>
      </w:r>
    </w:p>
    <w:p w14:paraId="17728493">
      <w:pPr>
        <w:spacing w:line="460" w:lineRule="exact"/>
        <w:rPr>
          <w:rFonts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lang w:val="zh-CN"/>
        </w:rPr>
        <w:t>第十四条</w:t>
      </w:r>
      <w:r>
        <w:rPr>
          <w:rFonts w:hint="eastAsia" w:ascii="新宋体" w:hAnsi="新宋体" w:eastAsia="新宋体" w:cs="新宋体"/>
          <w:b/>
          <w:bCs/>
          <w:color w:val="auto"/>
          <w:sz w:val="22"/>
          <w:highlight w:val="none"/>
        </w:rPr>
        <w:t xml:space="preserve">  </w:t>
      </w:r>
      <w:r>
        <w:rPr>
          <w:rFonts w:hint="eastAsia" w:ascii="新宋体" w:hAnsi="新宋体" w:eastAsia="新宋体" w:cs="新宋体"/>
          <w:b/>
          <w:bCs/>
          <w:color w:val="auto"/>
          <w:sz w:val="22"/>
          <w:highlight w:val="none"/>
          <w:lang w:val="zh-CN"/>
        </w:rPr>
        <w:t>质量保证和权利保证</w:t>
      </w:r>
    </w:p>
    <w:p w14:paraId="10D1F489">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14.1</w:t>
      </w:r>
      <w:r>
        <w:rPr>
          <w:rFonts w:hint="eastAsia" w:ascii="新宋体" w:hAnsi="新宋体" w:eastAsia="新宋体" w:cs="新宋体"/>
          <w:color w:val="auto"/>
          <w:sz w:val="22"/>
          <w:highlight w:val="none"/>
          <w:lang w:val="zh-CN"/>
        </w:rPr>
        <w:t>乙方保证在本合同项下提供给甲方的开发软件符合甲方提前告知的质量体系要求，乙方保证在本合同项下提供给甲方的应用系统源代码和技术文档符合甲方提前告知的规范要求。</w:t>
      </w:r>
    </w:p>
    <w:p w14:paraId="2BE9420A">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14.2</w:t>
      </w:r>
      <w:r>
        <w:rPr>
          <w:rFonts w:hint="eastAsia" w:ascii="新宋体" w:hAnsi="新宋体" w:eastAsia="新宋体" w:cs="新宋体"/>
          <w:color w:val="auto"/>
          <w:sz w:val="22"/>
          <w:highlight w:val="none"/>
          <w:lang w:val="zh-CN"/>
        </w:rPr>
        <w:t>乙方保证在本合同项下提供给甲方的应用系统具有良好的可维护性。</w:t>
      </w:r>
    </w:p>
    <w:p w14:paraId="64C7EB65">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14.3</w:t>
      </w:r>
      <w:r>
        <w:rPr>
          <w:rFonts w:hint="eastAsia" w:ascii="新宋体" w:hAnsi="新宋体" w:eastAsia="新宋体" w:cs="新宋体"/>
          <w:color w:val="auto"/>
          <w:sz w:val="22"/>
          <w:highlight w:val="none"/>
          <w:lang w:val="zh-CN"/>
        </w:rPr>
        <w:t>乙方保证提供给甲方的软件及资料不侵犯任何第三方的知识产权，否则乙方应承担甲方因此遭受的所有经济损失，若甲方因此与第三方发生法律纠纷的，乙方应负责处理一切相关事宜并承担所有费用。</w:t>
      </w:r>
    </w:p>
    <w:p w14:paraId="3AFE7625">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14.4</w:t>
      </w:r>
      <w:r>
        <w:rPr>
          <w:rFonts w:hint="eastAsia" w:ascii="新宋体" w:hAnsi="新宋体" w:eastAsia="新宋体" w:cs="新宋体"/>
          <w:color w:val="auto"/>
          <w:sz w:val="22"/>
          <w:highlight w:val="none"/>
          <w:lang w:val="zh-CN"/>
        </w:rPr>
        <w:t>乙方承诺，在项目开发过程中向甲方提供齐备的手册和文档，包括系统维护所需要的技术文档、系统运营所需要的使用手册等。</w:t>
      </w:r>
    </w:p>
    <w:p w14:paraId="1B89AAE5">
      <w:pPr>
        <w:spacing w:line="460" w:lineRule="exact"/>
        <w:rPr>
          <w:rFonts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lang w:val="zh-CN"/>
        </w:rPr>
        <w:t>第十五条</w:t>
      </w:r>
      <w:r>
        <w:rPr>
          <w:rFonts w:hint="eastAsia" w:ascii="新宋体" w:hAnsi="新宋体" w:eastAsia="新宋体" w:cs="新宋体"/>
          <w:b/>
          <w:bCs/>
          <w:color w:val="auto"/>
          <w:sz w:val="22"/>
          <w:highlight w:val="none"/>
        </w:rPr>
        <w:t xml:space="preserve">  </w:t>
      </w:r>
      <w:r>
        <w:rPr>
          <w:rFonts w:hint="eastAsia" w:ascii="新宋体" w:hAnsi="新宋体" w:eastAsia="新宋体" w:cs="新宋体"/>
          <w:b/>
          <w:bCs/>
          <w:color w:val="auto"/>
          <w:sz w:val="22"/>
          <w:highlight w:val="none"/>
          <w:lang w:val="zh-CN"/>
        </w:rPr>
        <w:t>合同期限和终止</w:t>
      </w:r>
    </w:p>
    <w:p w14:paraId="7FC8395D">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15.1</w:t>
      </w:r>
      <w:r>
        <w:rPr>
          <w:rFonts w:hint="eastAsia" w:ascii="新宋体" w:hAnsi="新宋体" w:eastAsia="新宋体" w:cs="新宋体"/>
          <w:color w:val="auto"/>
          <w:sz w:val="22"/>
          <w:highlight w:val="none"/>
          <w:lang w:val="zh-CN"/>
        </w:rPr>
        <w:t>除非有提前终止的事由出现，本合同有效期截至双方全部履行完成本合同项下的义务时终止，即本合同书从双方签字盖章之日起生效，至免费维护期结束之日终止。</w:t>
      </w:r>
    </w:p>
    <w:p w14:paraId="7FFE17EF">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15.2</w:t>
      </w:r>
      <w:r>
        <w:rPr>
          <w:rFonts w:hint="eastAsia" w:ascii="新宋体" w:hAnsi="新宋体" w:eastAsia="新宋体" w:cs="新宋体"/>
          <w:color w:val="auto"/>
          <w:sz w:val="22"/>
          <w:highlight w:val="none"/>
          <w:lang w:val="zh-CN"/>
        </w:rPr>
        <w:t>本合同一方严重违反其在本合同项下的任何义务，并且未能在对方发出书面通知指明该违约事项后10个工作日内改正的，守约方可以在发出书面通知15个工作日后终止本合同。</w:t>
      </w:r>
    </w:p>
    <w:p w14:paraId="6B43ABD9">
      <w:pPr>
        <w:spacing w:line="460" w:lineRule="exact"/>
        <w:rPr>
          <w:rFonts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rPr>
        <w:t>第十六条  不可抗力</w:t>
      </w:r>
    </w:p>
    <w:p w14:paraId="0187FC7B">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16.1</w:t>
      </w:r>
      <w:r>
        <w:rPr>
          <w:rFonts w:hint="eastAsia" w:ascii="新宋体" w:hAnsi="新宋体" w:eastAsia="新宋体" w:cs="新宋体"/>
          <w:color w:val="auto"/>
          <w:sz w:val="22"/>
          <w:highlight w:val="none"/>
          <w:lang w:val="zh-CN"/>
        </w:rPr>
        <w:t>由于地震、台风、水灾、火灾、战争、国家政策和法律变化以及其他不能预见并对其发生和后果不能预防或避免的不可抗力，直接影响本合同的履行或者不能按照合同的约定履行时，遇有上述不可抗力的一方，应以最快方式通知对方，并在不可抗力消失后10个工作日之内，提供上述不可抗力的详细情况及合同不能履行，或者部分不能履行，或者需要延期履行的理由和有效的证明文件。</w:t>
      </w:r>
    </w:p>
    <w:p w14:paraId="3B611A4C">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16.2</w:t>
      </w:r>
      <w:r>
        <w:rPr>
          <w:rFonts w:hint="eastAsia" w:ascii="新宋体" w:hAnsi="新宋体" w:eastAsia="新宋体" w:cs="新宋体"/>
          <w:color w:val="auto"/>
          <w:sz w:val="22"/>
          <w:highlight w:val="none"/>
          <w:lang w:val="zh-CN"/>
        </w:rPr>
        <w:t>如果不可抗力事件持续存在超过45个工作日，双方应通过友好协商，商定继续履行本合同的方法或者终止本合同。</w:t>
      </w:r>
    </w:p>
    <w:p w14:paraId="63B05E94">
      <w:pPr>
        <w:spacing w:line="460" w:lineRule="exact"/>
        <w:rPr>
          <w:rFonts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lang w:val="zh-CN"/>
        </w:rPr>
        <w:t>第十七条</w:t>
      </w:r>
      <w:r>
        <w:rPr>
          <w:rFonts w:hint="eastAsia" w:ascii="新宋体" w:hAnsi="新宋体" w:eastAsia="新宋体" w:cs="新宋体"/>
          <w:b/>
          <w:bCs/>
          <w:color w:val="auto"/>
          <w:sz w:val="22"/>
          <w:highlight w:val="none"/>
        </w:rPr>
        <w:t xml:space="preserve">  </w:t>
      </w:r>
      <w:r>
        <w:rPr>
          <w:rFonts w:hint="eastAsia" w:ascii="新宋体" w:hAnsi="新宋体" w:eastAsia="新宋体" w:cs="新宋体"/>
          <w:b/>
          <w:bCs/>
          <w:color w:val="auto"/>
          <w:sz w:val="22"/>
          <w:highlight w:val="none"/>
          <w:lang w:val="zh-CN"/>
        </w:rPr>
        <w:t>适用法律和争议解决</w:t>
      </w:r>
    </w:p>
    <w:p w14:paraId="492E773C">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17.1</w:t>
      </w:r>
      <w:r>
        <w:rPr>
          <w:rFonts w:hint="eastAsia" w:ascii="新宋体" w:hAnsi="新宋体" w:eastAsia="新宋体" w:cs="新宋体"/>
          <w:color w:val="auto"/>
          <w:sz w:val="22"/>
          <w:highlight w:val="none"/>
          <w:lang w:val="zh-CN"/>
        </w:rPr>
        <w:t>本合同的订立、效力、解释、履行和争议的解决受中华人民共和国法律管辖。</w:t>
      </w:r>
    </w:p>
    <w:p w14:paraId="492144D0">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17.2</w:t>
      </w:r>
      <w:r>
        <w:rPr>
          <w:rFonts w:hint="eastAsia" w:ascii="新宋体" w:hAnsi="新宋体" w:eastAsia="新宋体" w:cs="新宋体"/>
          <w:color w:val="auto"/>
          <w:sz w:val="22"/>
          <w:highlight w:val="none"/>
          <w:lang w:val="zh-CN"/>
        </w:rPr>
        <w:t>有关本合同的任何争议，双方应首先本着相互信任、长期合作的原则，共同协商解决。协商不成，双方同意</w:t>
      </w:r>
      <w:r>
        <w:rPr>
          <w:rFonts w:hint="eastAsia" w:ascii="新宋体" w:hAnsi="新宋体" w:eastAsia="新宋体" w:cs="新宋体"/>
          <w:color w:val="auto"/>
          <w:sz w:val="22"/>
          <w:highlight w:val="none"/>
          <w:lang w:val="en-US" w:eastAsia="zh-CN"/>
        </w:rPr>
        <w:t>向所在地</w:t>
      </w:r>
      <w:r>
        <w:rPr>
          <w:rFonts w:hint="eastAsia" w:ascii="新宋体" w:hAnsi="新宋体" w:eastAsia="新宋体" w:cs="新宋体"/>
          <w:color w:val="auto"/>
          <w:sz w:val="22"/>
          <w:highlight w:val="none"/>
        </w:rPr>
        <w:t>人民法院提起诉讼</w:t>
      </w:r>
      <w:r>
        <w:rPr>
          <w:rFonts w:hint="eastAsia" w:ascii="新宋体" w:hAnsi="新宋体" w:eastAsia="新宋体" w:cs="新宋体"/>
          <w:color w:val="auto"/>
          <w:sz w:val="22"/>
          <w:highlight w:val="none"/>
          <w:lang w:val="zh-CN"/>
        </w:rPr>
        <w:t>。</w:t>
      </w:r>
    </w:p>
    <w:p w14:paraId="7E2858FA">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17.3</w:t>
      </w:r>
      <w:r>
        <w:rPr>
          <w:rFonts w:hint="eastAsia" w:ascii="新宋体" w:hAnsi="新宋体" w:eastAsia="新宋体" w:cs="新宋体"/>
          <w:color w:val="auto"/>
          <w:sz w:val="22"/>
          <w:highlight w:val="none"/>
          <w:lang w:val="zh-CN"/>
        </w:rPr>
        <w:t>除正在提交仲裁或与仲裁有关的部分外，本合同其余部分应继续履行。</w:t>
      </w:r>
    </w:p>
    <w:p w14:paraId="561590F1">
      <w:pPr>
        <w:spacing w:line="460" w:lineRule="exact"/>
        <w:rPr>
          <w:rFonts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rPr>
        <w:t>第十八条  其它</w:t>
      </w:r>
    </w:p>
    <w:p w14:paraId="5F34CF37">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18.1</w:t>
      </w:r>
      <w:r>
        <w:rPr>
          <w:rFonts w:hint="eastAsia" w:ascii="新宋体" w:hAnsi="新宋体" w:eastAsia="新宋体" w:cs="新宋体"/>
          <w:color w:val="auto"/>
          <w:sz w:val="22"/>
          <w:highlight w:val="none"/>
          <w:lang w:val="zh-CN"/>
        </w:rPr>
        <w:t>本合同自双方签字盖章之日起生效。</w:t>
      </w:r>
    </w:p>
    <w:p w14:paraId="6D9B9199">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18.2</w:t>
      </w:r>
      <w:r>
        <w:rPr>
          <w:rFonts w:hint="eastAsia" w:ascii="新宋体" w:hAnsi="新宋体" w:eastAsia="新宋体" w:cs="新宋体"/>
          <w:color w:val="auto"/>
          <w:sz w:val="22"/>
          <w:highlight w:val="none"/>
          <w:lang w:val="zh-CN"/>
        </w:rPr>
        <w:t>未经对方事先的书面同意，任何一方不得将本合同项下全部或部分权利、义务或利益转让或授予第三方。</w:t>
      </w:r>
    </w:p>
    <w:p w14:paraId="49B140D2">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18.3</w:t>
      </w:r>
      <w:r>
        <w:rPr>
          <w:rFonts w:hint="eastAsia" w:ascii="新宋体" w:hAnsi="新宋体" w:eastAsia="新宋体" w:cs="新宋体"/>
          <w:color w:val="auto"/>
          <w:sz w:val="22"/>
          <w:highlight w:val="none"/>
          <w:lang w:val="zh-CN"/>
        </w:rPr>
        <w:t>本合同的附件、项目采购文件、投标响应文件为本协议不可分割的组成部分，并且与本合同正文的条款具有同等效力。如果本合同正文的条款与附件的</w:t>
      </w:r>
      <w:r>
        <w:rPr>
          <w:rFonts w:hint="eastAsia" w:ascii="新宋体" w:hAnsi="新宋体" w:eastAsia="新宋体" w:cs="新宋体"/>
          <w:color w:val="auto"/>
          <w:sz w:val="22"/>
          <w:highlight w:val="none"/>
        </w:rPr>
        <w:t>条款有冲突，以附件条款为准。</w:t>
      </w:r>
    </w:p>
    <w:p w14:paraId="45D31744">
      <w:pPr>
        <w:spacing w:line="460" w:lineRule="exact"/>
        <w:ind w:firstLine="446" w:firstLineChars="200"/>
        <w:rPr>
          <w:rFonts w:ascii="新宋体" w:hAnsi="新宋体" w:eastAsia="新宋体" w:cs="新宋体"/>
          <w:color w:val="auto"/>
          <w:sz w:val="22"/>
          <w:highlight w:val="none"/>
          <w:lang w:val="zh-CN"/>
        </w:rPr>
      </w:pPr>
      <w:r>
        <w:rPr>
          <w:rFonts w:hint="eastAsia" w:ascii="新宋体" w:hAnsi="新宋体" w:eastAsia="新宋体" w:cs="新宋体"/>
          <w:color w:val="auto"/>
          <w:sz w:val="22"/>
          <w:highlight w:val="none"/>
        </w:rPr>
        <w:t>18.4</w:t>
      </w:r>
      <w:r>
        <w:rPr>
          <w:rFonts w:hint="eastAsia" w:ascii="新宋体" w:hAnsi="新宋体" w:eastAsia="新宋体" w:cs="新宋体"/>
          <w:color w:val="auto"/>
          <w:sz w:val="22"/>
          <w:highlight w:val="none"/>
          <w:lang w:val="zh-CN"/>
        </w:rPr>
        <w:t>本合同的主要内容可根据招标结果由甲乙双方协商调整。</w:t>
      </w:r>
    </w:p>
    <w:p w14:paraId="54EFED43">
      <w:pPr>
        <w:spacing w:line="460" w:lineRule="exact"/>
        <w:ind w:firstLine="446" w:firstLineChars="200"/>
        <w:rPr>
          <w:rFonts w:ascii="新宋体" w:hAnsi="新宋体" w:eastAsia="新宋体" w:cs="新宋体"/>
          <w:color w:val="auto"/>
          <w:sz w:val="22"/>
          <w:highlight w:val="none"/>
          <w:lang w:val="zh-CN"/>
        </w:rPr>
      </w:pPr>
      <w:r>
        <w:rPr>
          <w:rFonts w:hint="eastAsia" w:ascii="新宋体" w:hAnsi="新宋体" w:eastAsia="新宋体" w:cs="新宋体"/>
          <w:color w:val="auto"/>
          <w:sz w:val="22"/>
          <w:highlight w:val="none"/>
        </w:rPr>
        <w:t>18.5</w:t>
      </w:r>
      <w:r>
        <w:rPr>
          <w:rFonts w:hint="eastAsia" w:ascii="新宋体" w:hAnsi="新宋体" w:eastAsia="新宋体" w:cs="新宋体"/>
          <w:color w:val="auto"/>
          <w:sz w:val="22"/>
          <w:highlight w:val="none"/>
          <w:lang w:val="zh-CN"/>
        </w:rPr>
        <w:t>如需修改或补充合同内容，经协商，双方应签署书面修改或补充协议，该协议将作为本合同的一个组成部分。</w:t>
      </w:r>
    </w:p>
    <w:p w14:paraId="70409807">
      <w:pPr>
        <w:spacing w:line="460" w:lineRule="exact"/>
        <w:ind w:firstLine="446"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18.6本合同一式</w:t>
      </w:r>
      <w:r>
        <w:rPr>
          <w:rFonts w:hint="eastAsia" w:ascii="新宋体" w:hAnsi="新宋体" w:eastAsia="新宋体" w:cs="新宋体"/>
          <w:color w:val="auto"/>
          <w:sz w:val="22"/>
          <w:highlight w:val="none"/>
          <w:lang w:val="en-US" w:eastAsia="zh-CN"/>
        </w:rPr>
        <w:t>两</w:t>
      </w:r>
      <w:r>
        <w:rPr>
          <w:rFonts w:hint="eastAsia" w:ascii="新宋体" w:hAnsi="新宋体" w:eastAsia="新宋体" w:cs="新宋体"/>
          <w:color w:val="auto"/>
          <w:sz w:val="22"/>
          <w:highlight w:val="none"/>
        </w:rPr>
        <w:t>份，甲乙双方各</w:t>
      </w:r>
      <w:r>
        <w:rPr>
          <w:rFonts w:hint="eastAsia" w:ascii="新宋体" w:hAnsi="新宋体" w:eastAsia="新宋体" w:cs="新宋体"/>
          <w:color w:val="auto"/>
          <w:sz w:val="22"/>
          <w:highlight w:val="none"/>
          <w:lang w:val="en-US" w:eastAsia="zh-CN"/>
        </w:rPr>
        <w:t>壹</w:t>
      </w:r>
      <w:r>
        <w:rPr>
          <w:rFonts w:hint="eastAsia" w:ascii="新宋体" w:hAnsi="新宋体" w:eastAsia="新宋体" w:cs="新宋体"/>
          <w:color w:val="auto"/>
          <w:sz w:val="22"/>
          <w:highlight w:val="none"/>
        </w:rPr>
        <w:t>份，每份具有同等法律效力。</w:t>
      </w:r>
    </w:p>
    <w:p w14:paraId="3804AB54">
      <w:pPr>
        <w:rPr>
          <w:rFonts w:hint="eastAsia" w:ascii="新宋体" w:hAnsi="新宋体" w:eastAsia="新宋体" w:cs="新宋体"/>
          <w:color w:val="auto"/>
          <w:sz w:val="22"/>
          <w:szCs w:val="22"/>
          <w:highlight w:val="none"/>
          <w:lang w:val="zh-CN"/>
        </w:rPr>
      </w:pPr>
      <w:bookmarkStart w:id="79" w:name="bookmark21"/>
    </w:p>
    <w:p w14:paraId="1744383F">
      <w:pPr>
        <w:rPr>
          <w:rFonts w:hint="eastAsia" w:ascii="新宋体" w:hAnsi="新宋体" w:eastAsia="新宋体" w:cs="新宋体"/>
          <w:color w:val="auto"/>
          <w:sz w:val="22"/>
          <w:szCs w:val="22"/>
          <w:highlight w:val="none"/>
          <w:lang w:val="zh-CN"/>
        </w:rPr>
      </w:pPr>
    </w:p>
    <w:p w14:paraId="16BBCC05">
      <w:pPr>
        <w:rPr>
          <w:rFonts w:hint="eastAsia" w:ascii="新宋体" w:hAnsi="新宋体" w:eastAsia="新宋体" w:cs="新宋体"/>
          <w:color w:val="auto"/>
          <w:sz w:val="22"/>
          <w:szCs w:val="22"/>
          <w:highlight w:val="none"/>
          <w:lang w:val="zh-CN"/>
        </w:rPr>
      </w:pPr>
    </w:p>
    <w:p w14:paraId="299656A8">
      <w:pPr>
        <w:rPr>
          <w:rFonts w:hint="eastAsia" w:ascii="新宋体" w:hAnsi="新宋体" w:eastAsia="新宋体" w:cs="新宋体"/>
          <w:color w:val="auto"/>
          <w:sz w:val="22"/>
          <w:szCs w:val="22"/>
          <w:highlight w:val="none"/>
          <w:lang w:val="zh-CN"/>
        </w:rPr>
      </w:pPr>
    </w:p>
    <w:p w14:paraId="71D4E9B1">
      <w:pP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zh-CN"/>
        </w:rPr>
        <w:t>（本页为合同签署页，以下无正文）</w:t>
      </w:r>
      <w:bookmarkEnd w:id="79"/>
    </w:p>
    <w:p w14:paraId="13918A44">
      <w:pPr>
        <w:spacing w:line="460" w:lineRule="exact"/>
        <w:rPr>
          <w:rFonts w:ascii="新宋体" w:hAnsi="新宋体" w:eastAsia="新宋体" w:cs="新宋体"/>
          <w:color w:val="auto"/>
          <w:sz w:val="22"/>
          <w:szCs w:val="22"/>
          <w:highlight w:val="none"/>
        </w:rPr>
      </w:pPr>
    </w:p>
    <w:p w14:paraId="5FBDF247">
      <w:pPr>
        <w:rPr>
          <w:rFonts w:ascii="新宋体" w:hAnsi="新宋体" w:eastAsia="新宋体" w:cs="新宋体"/>
          <w:color w:val="auto"/>
          <w:sz w:val="22"/>
          <w:szCs w:val="22"/>
          <w:highlight w:val="none"/>
        </w:rPr>
      </w:pPr>
    </w:p>
    <w:p w14:paraId="595FE8F3">
      <w:pPr>
        <w:tabs>
          <w:tab w:val="left" w:pos="360"/>
        </w:tabs>
        <w:spacing w:line="460" w:lineRule="exact"/>
        <w:ind w:firstLine="55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甲方：（印章）                       乙方：（印章）</w:t>
      </w:r>
    </w:p>
    <w:p w14:paraId="756923C3">
      <w:pPr>
        <w:tabs>
          <w:tab w:val="left" w:pos="360"/>
        </w:tabs>
        <w:spacing w:line="460" w:lineRule="exact"/>
        <w:ind w:firstLine="55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全权代表:（签字）                    全权代表:（签字）</w:t>
      </w:r>
    </w:p>
    <w:p w14:paraId="44C190EB">
      <w:pPr>
        <w:tabs>
          <w:tab w:val="left" w:pos="360"/>
        </w:tabs>
        <w:spacing w:line="460" w:lineRule="exact"/>
        <w:ind w:firstLine="55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地址：                               地址：</w:t>
      </w:r>
    </w:p>
    <w:p w14:paraId="214F2EB6">
      <w:pPr>
        <w:tabs>
          <w:tab w:val="left" w:pos="360"/>
        </w:tabs>
        <w:spacing w:line="460" w:lineRule="exact"/>
        <w:ind w:firstLine="55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邮政编码：                           邮政编码：</w:t>
      </w:r>
    </w:p>
    <w:p w14:paraId="30496AD4">
      <w:pPr>
        <w:tabs>
          <w:tab w:val="left" w:pos="360"/>
        </w:tabs>
        <w:spacing w:line="460" w:lineRule="exact"/>
        <w:ind w:firstLine="55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电话：                               电话：</w:t>
      </w:r>
    </w:p>
    <w:p w14:paraId="2EFC3F7E">
      <w:pPr>
        <w:tabs>
          <w:tab w:val="left" w:pos="360"/>
        </w:tabs>
        <w:spacing w:line="460" w:lineRule="exact"/>
        <w:ind w:firstLine="55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传真：                               传真：</w:t>
      </w:r>
    </w:p>
    <w:p w14:paraId="4D364EF3">
      <w:pPr>
        <w:tabs>
          <w:tab w:val="left" w:pos="360"/>
        </w:tabs>
        <w:spacing w:line="460" w:lineRule="exact"/>
        <w:ind w:firstLine="55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开户银行：                           开户银行：</w:t>
      </w:r>
    </w:p>
    <w:p w14:paraId="7150AA49">
      <w:pPr>
        <w:tabs>
          <w:tab w:val="left" w:pos="360"/>
        </w:tabs>
        <w:spacing w:line="460" w:lineRule="exact"/>
        <w:ind w:firstLine="55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帐号：                               帐号：</w:t>
      </w:r>
    </w:p>
    <w:p w14:paraId="67F02495">
      <w:pPr>
        <w:tabs>
          <w:tab w:val="left" w:pos="360"/>
        </w:tabs>
        <w:spacing w:line="460" w:lineRule="exact"/>
        <w:ind w:firstLine="550"/>
        <w:rPr>
          <w:rFonts w:ascii="新宋体" w:hAnsi="新宋体" w:eastAsia="新宋体" w:cs="新宋体"/>
          <w:color w:val="auto"/>
          <w:sz w:val="22"/>
          <w:szCs w:val="22"/>
          <w:highlight w:val="none"/>
        </w:rPr>
      </w:pPr>
    </w:p>
    <w:p w14:paraId="44B724EF">
      <w:pPr>
        <w:tabs>
          <w:tab w:val="left" w:pos="360"/>
        </w:tabs>
        <w:spacing w:line="460" w:lineRule="exact"/>
        <w:ind w:firstLine="550"/>
        <w:rPr>
          <w:rFonts w:hint="eastAsia" w:ascii="仿宋_GB2312" w:hAnsi="仿宋_GB2312" w:eastAsia="新宋体" w:cs="仿宋_GB2312"/>
          <w:color w:val="auto"/>
          <w:spacing w:val="12"/>
          <w:sz w:val="21"/>
          <w:szCs w:val="21"/>
          <w:highlight w:val="none"/>
          <w:lang w:eastAsia="zh-CN"/>
        </w:rPr>
      </w:pPr>
      <w:r>
        <w:rPr>
          <w:rFonts w:hint="eastAsia" w:ascii="新宋体" w:hAnsi="新宋体" w:eastAsia="新宋体" w:cs="新宋体"/>
          <w:color w:val="auto"/>
          <w:sz w:val="22"/>
          <w:szCs w:val="22"/>
          <w:highlight w:val="none"/>
        </w:rPr>
        <w:t>签约日期：　　　　　　　　　　　　　 签约地点</w:t>
      </w:r>
      <w:r>
        <w:rPr>
          <w:rFonts w:hint="eastAsia" w:ascii="新宋体" w:hAnsi="新宋体" w:eastAsia="新宋体" w:cs="新宋体"/>
          <w:color w:val="auto"/>
          <w:sz w:val="22"/>
          <w:szCs w:val="22"/>
          <w:highlight w:val="none"/>
          <w:lang w:eastAsia="zh-CN"/>
        </w:rPr>
        <w:t>：</w:t>
      </w:r>
    </w:p>
    <w:p w14:paraId="2CC12C42">
      <w:pPr>
        <w:pStyle w:val="103"/>
        <w:keepNext w:val="0"/>
        <w:keepLines w:val="0"/>
        <w:pageBreakBefore w:val="0"/>
        <w:kinsoku/>
        <w:wordWrap/>
        <w:topLinePunct w:val="0"/>
        <w:bidi w:val="0"/>
        <w:snapToGrid/>
        <w:spacing w:line="360" w:lineRule="auto"/>
        <w:rPr>
          <w:rFonts w:hint="eastAsia" w:ascii="仿宋_GB2312" w:hAnsi="仿宋_GB2312" w:eastAsia="仿宋_GB2312" w:cs="仿宋_GB2312"/>
          <w:color w:val="auto"/>
          <w:szCs w:val="21"/>
          <w:highlight w:val="none"/>
        </w:rPr>
      </w:pPr>
    </w:p>
    <w:p w14:paraId="7E84D5B9">
      <w:pPr>
        <w:pStyle w:val="103"/>
        <w:keepNext w:val="0"/>
        <w:keepLines w:val="0"/>
        <w:pageBreakBefore w:val="0"/>
        <w:kinsoku/>
        <w:wordWrap/>
        <w:topLinePunct w:val="0"/>
        <w:bidi w:val="0"/>
        <w:snapToGrid/>
        <w:spacing w:line="360" w:lineRule="auto"/>
        <w:rPr>
          <w:rFonts w:hint="eastAsia" w:ascii="仿宋_GB2312" w:hAnsi="仿宋_GB2312" w:eastAsia="仿宋_GB2312" w:cs="仿宋_GB2312"/>
          <w:color w:val="auto"/>
          <w:szCs w:val="21"/>
          <w:highlight w:val="none"/>
        </w:rPr>
      </w:pPr>
    </w:p>
    <w:p w14:paraId="1461CBF6">
      <w:pPr>
        <w:keepNext w:val="0"/>
        <w:keepLines w:val="0"/>
        <w:pageBreakBefore w:val="0"/>
        <w:kinsoku/>
        <w:wordWrap/>
        <w:topLinePunct w:val="0"/>
        <w:bidi w:val="0"/>
        <w:snapToGrid/>
        <w:spacing w:line="360" w:lineRule="auto"/>
        <w:rPr>
          <w:rFonts w:hint="eastAsia" w:ascii="仿宋_GB2312" w:hAnsi="仿宋_GB2312" w:eastAsia="仿宋_GB2312" w:cs="仿宋_GB2312"/>
          <w:color w:val="auto"/>
          <w:highlight w:val="none"/>
        </w:rPr>
      </w:pPr>
    </w:p>
    <w:bookmarkEnd w:id="73"/>
    <w:bookmarkEnd w:id="74"/>
    <w:bookmarkEnd w:id="75"/>
    <w:bookmarkEnd w:id="76"/>
    <w:bookmarkEnd w:id="77"/>
    <w:p w14:paraId="4B44C096">
      <w:pPr>
        <w:rPr>
          <w:color w:val="auto"/>
          <w:highlight w:val="none"/>
        </w:rPr>
      </w:pPr>
    </w:p>
    <w:p w14:paraId="058AE35A">
      <w:pPr>
        <w:pStyle w:val="3"/>
        <w:rPr>
          <w:color w:val="auto"/>
          <w:highlight w:val="none"/>
        </w:rPr>
      </w:pPr>
    </w:p>
    <w:p w14:paraId="38D14430">
      <w:pPr>
        <w:rPr>
          <w:color w:val="auto"/>
          <w:highlight w:val="none"/>
        </w:rPr>
      </w:pPr>
    </w:p>
    <w:p w14:paraId="0D6A34A8">
      <w:pPr>
        <w:pStyle w:val="3"/>
        <w:rPr>
          <w:color w:val="auto"/>
          <w:highlight w:val="none"/>
        </w:rPr>
      </w:pPr>
    </w:p>
    <w:p w14:paraId="187AD805">
      <w:pPr>
        <w:rPr>
          <w:color w:val="auto"/>
          <w:highlight w:val="none"/>
        </w:rPr>
      </w:pPr>
    </w:p>
    <w:p w14:paraId="62C8A622">
      <w:pPr>
        <w:pStyle w:val="3"/>
        <w:rPr>
          <w:color w:val="auto"/>
        </w:rPr>
      </w:pPr>
    </w:p>
    <w:p w14:paraId="29E7DD46">
      <w:pPr>
        <w:rPr>
          <w:color w:val="auto"/>
        </w:rPr>
      </w:pPr>
    </w:p>
    <w:p w14:paraId="54C7BC12">
      <w:pPr>
        <w:pStyle w:val="3"/>
        <w:rPr>
          <w:color w:val="auto"/>
        </w:rPr>
      </w:pPr>
    </w:p>
    <w:p w14:paraId="4470C16C">
      <w:pPr>
        <w:rPr>
          <w:color w:val="auto"/>
        </w:rPr>
      </w:pPr>
    </w:p>
    <w:bookmarkEnd w:id="72"/>
    <w:p w14:paraId="4F3711FE">
      <w:pPr>
        <w:autoSpaceDE w:val="0"/>
        <w:autoSpaceDN w:val="0"/>
        <w:adjustRightInd w:val="0"/>
        <w:spacing w:line="360" w:lineRule="exact"/>
        <w:jc w:val="center"/>
        <w:outlineLvl w:val="0"/>
        <w:rPr>
          <w:rFonts w:hint="eastAsia" w:ascii="宋体"/>
          <w:b/>
          <w:bCs/>
          <w:color w:val="auto"/>
          <w:sz w:val="32"/>
          <w:szCs w:val="32"/>
          <w:lang w:val="zh-CN"/>
        </w:rPr>
      </w:pPr>
      <w:bookmarkStart w:id="80" w:name="_Toc24860_WPSOffice_Level1"/>
      <w:bookmarkStart w:id="81" w:name="_Toc23389_WPSOffice_Level1"/>
    </w:p>
    <w:p w14:paraId="724D094A">
      <w:pPr>
        <w:autoSpaceDE w:val="0"/>
        <w:autoSpaceDN w:val="0"/>
        <w:adjustRightInd w:val="0"/>
        <w:spacing w:line="360" w:lineRule="exact"/>
        <w:jc w:val="center"/>
        <w:outlineLvl w:val="0"/>
        <w:rPr>
          <w:rFonts w:ascii="宋体"/>
          <w:b/>
          <w:bCs/>
          <w:color w:val="auto"/>
          <w:sz w:val="32"/>
          <w:szCs w:val="32"/>
          <w:lang w:val="zh-CN"/>
        </w:rPr>
      </w:pPr>
      <w:r>
        <w:rPr>
          <w:rFonts w:hint="eastAsia" w:ascii="宋体"/>
          <w:b/>
          <w:bCs/>
          <w:color w:val="auto"/>
          <w:sz w:val="32"/>
          <w:szCs w:val="32"/>
          <w:lang w:val="zh-CN"/>
        </w:rPr>
        <w:t>第六部分</w:t>
      </w:r>
      <w:r>
        <w:rPr>
          <w:rFonts w:hint="eastAsia" w:ascii="宋体"/>
          <w:b/>
          <w:bCs/>
          <w:color w:val="auto"/>
          <w:sz w:val="32"/>
          <w:szCs w:val="32"/>
        </w:rPr>
        <w:t xml:space="preserve">  </w:t>
      </w:r>
      <w:r>
        <w:rPr>
          <w:rFonts w:hint="eastAsia" w:ascii="宋体"/>
          <w:b/>
          <w:bCs/>
          <w:color w:val="auto"/>
          <w:sz w:val="32"/>
          <w:szCs w:val="32"/>
          <w:lang w:val="zh-CN"/>
        </w:rPr>
        <w:t>磋商（响应）文件格式</w:t>
      </w:r>
    </w:p>
    <w:p w14:paraId="79A742B0">
      <w:pPr>
        <w:autoSpaceDE w:val="0"/>
        <w:autoSpaceDN w:val="0"/>
        <w:adjustRightInd w:val="0"/>
        <w:spacing w:line="360" w:lineRule="exact"/>
        <w:rPr>
          <w:rFonts w:ascii="宋体"/>
          <w:color w:val="auto"/>
          <w:sz w:val="36"/>
          <w:lang w:val="zh-CN"/>
        </w:rPr>
      </w:pPr>
    </w:p>
    <w:p w14:paraId="04E47C57">
      <w:pPr>
        <w:pStyle w:val="34"/>
        <w:outlineLvl w:val="1"/>
        <w:rPr>
          <w:rFonts w:ascii="宋体" w:hAnsi="宋体"/>
          <w:color w:val="auto"/>
        </w:rPr>
      </w:pPr>
      <w:bookmarkStart w:id="82" w:name="_Toc44607647"/>
      <w:bookmarkStart w:id="83" w:name="_Toc23481"/>
      <w:bookmarkStart w:id="84" w:name="_Toc509485348"/>
      <w:bookmarkStart w:id="85" w:name="_Toc493682332"/>
      <w:r>
        <w:rPr>
          <w:rFonts w:hint="eastAsia" w:ascii="宋体" w:hAnsi="宋体"/>
          <w:color w:val="auto"/>
        </w:rPr>
        <w:t>一、资格文件格式</w:t>
      </w:r>
      <w:bookmarkEnd w:id="82"/>
      <w:bookmarkEnd w:id="83"/>
    </w:p>
    <w:p w14:paraId="0336B6BC">
      <w:pPr>
        <w:pStyle w:val="33"/>
        <w:snapToGrid w:val="0"/>
        <w:spacing w:beforeAutospacing="0" w:afterAutospacing="0"/>
        <w:jc w:val="both"/>
        <w:rPr>
          <w:rFonts w:ascii="宋体" w:hAnsi="宋体" w:cs="宋体"/>
          <w:color w:val="auto"/>
          <w:sz w:val="22"/>
          <w:szCs w:val="22"/>
        </w:rPr>
      </w:pPr>
      <w:bookmarkStart w:id="86" w:name="_Toc4296"/>
      <w:bookmarkStart w:id="87" w:name="_Toc44607648"/>
      <w:r>
        <w:rPr>
          <w:rFonts w:hint="eastAsia" w:ascii="宋体" w:hAnsi="宋体" w:cs="宋体"/>
          <w:b/>
          <w:bCs/>
          <w:color w:val="auto"/>
          <w:sz w:val="22"/>
          <w:szCs w:val="22"/>
        </w:rPr>
        <w:t>资格文件投标文件</w:t>
      </w:r>
      <w:r>
        <w:rPr>
          <w:rFonts w:hint="eastAsia" w:ascii="宋体" w:hAnsi="宋体" w:eastAsia="宋体" w:cs="宋体"/>
          <w:b/>
          <w:bCs/>
          <w:color w:val="auto"/>
          <w:sz w:val="22"/>
          <w:szCs w:val="22"/>
        </w:rPr>
        <w:t>封面参考：</w:t>
      </w:r>
    </w:p>
    <w:p w14:paraId="68ECE6A5">
      <w:pPr>
        <w:snapToGrid w:val="0"/>
        <w:spacing w:line="440" w:lineRule="exact"/>
        <w:jc w:val="center"/>
        <w:rPr>
          <w:rFonts w:ascii="宋体" w:hAnsi="宋体" w:cs="宋体"/>
          <w:b/>
          <w:color w:val="auto"/>
          <w:sz w:val="32"/>
          <w:szCs w:val="32"/>
        </w:rPr>
      </w:pPr>
    </w:p>
    <w:p w14:paraId="7C39A8CD">
      <w:pPr>
        <w:snapToGrid w:val="0"/>
        <w:spacing w:line="440" w:lineRule="exact"/>
        <w:jc w:val="center"/>
        <w:rPr>
          <w:rFonts w:ascii="宋体" w:hAnsi="宋体" w:cs="宋体"/>
          <w:b/>
          <w:color w:val="auto"/>
          <w:sz w:val="84"/>
          <w:szCs w:val="84"/>
        </w:rPr>
      </w:pPr>
    </w:p>
    <w:p w14:paraId="44C25EC2">
      <w:pPr>
        <w:pStyle w:val="18"/>
        <w:ind w:left="428"/>
        <w:rPr>
          <w:rFonts w:ascii="宋体" w:hAnsi="宋体" w:cs="宋体"/>
          <w:b/>
          <w:color w:val="auto"/>
          <w:sz w:val="84"/>
          <w:szCs w:val="84"/>
        </w:rPr>
      </w:pPr>
    </w:p>
    <w:p w14:paraId="15761B96">
      <w:pPr>
        <w:pStyle w:val="19"/>
        <w:ind w:left="428" w:firstLine="428"/>
        <w:rPr>
          <w:color w:val="auto"/>
        </w:rPr>
      </w:pPr>
    </w:p>
    <w:p w14:paraId="70A8514F">
      <w:pPr>
        <w:snapToGrid w:val="0"/>
        <w:spacing w:line="480" w:lineRule="auto"/>
        <w:jc w:val="center"/>
        <w:rPr>
          <w:rFonts w:ascii="宋体" w:hAnsi="宋体" w:cs="宋体"/>
          <w:b/>
          <w:color w:val="auto"/>
          <w:sz w:val="84"/>
          <w:szCs w:val="84"/>
        </w:rPr>
      </w:pPr>
      <w:r>
        <w:rPr>
          <w:rFonts w:hint="eastAsia" w:ascii="宋体" w:hAnsi="宋体" w:cs="宋体"/>
          <w:b/>
          <w:color w:val="auto"/>
          <w:sz w:val="84"/>
          <w:szCs w:val="84"/>
        </w:rPr>
        <w:t>资 格 文 件</w:t>
      </w:r>
    </w:p>
    <w:p w14:paraId="13720F12">
      <w:pPr>
        <w:snapToGrid w:val="0"/>
        <w:spacing w:line="480" w:lineRule="auto"/>
        <w:jc w:val="center"/>
        <w:rPr>
          <w:rFonts w:ascii="宋体" w:hAnsi="宋体" w:cs="宋体"/>
          <w:b/>
          <w:color w:val="auto"/>
          <w:sz w:val="84"/>
          <w:szCs w:val="84"/>
        </w:rPr>
      </w:pPr>
      <w:r>
        <w:rPr>
          <w:rFonts w:hint="eastAsia" w:ascii="宋体" w:hAnsi="宋体" w:cs="宋体"/>
          <w:b/>
          <w:color w:val="auto"/>
          <w:sz w:val="84"/>
          <w:szCs w:val="84"/>
        </w:rPr>
        <w:t>投标文件</w:t>
      </w:r>
    </w:p>
    <w:p w14:paraId="6696B2DA">
      <w:pPr>
        <w:snapToGrid w:val="0"/>
        <w:spacing w:line="600" w:lineRule="atLeast"/>
        <w:ind w:firstLine="848" w:firstLineChars="323"/>
        <w:rPr>
          <w:rFonts w:hint="eastAsia" w:ascii="宋体" w:hAnsi="宋体" w:eastAsia="宋体" w:cs="宋体"/>
          <w:b/>
          <w:color w:val="auto"/>
          <w:sz w:val="26"/>
          <w:szCs w:val="26"/>
          <w:lang w:eastAsia="zh-CN"/>
        </w:rPr>
      </w:pPr>
      <w:r>
        <w:rPr>
          <w:rFonts w:hint="eastAsia" w:ascii="宋体" w:hAnsi="宋体" w:cs="宋体"/>
          <w:b/>
          <w:color w:val="auto"/>
          <w:sz w:val="26"/>
          <w:szCs w:val="26"/>
        </w:rPr>
        <w:t>项目名称：</w:t>
      </w:r>
      <w:r>
        <w:rPr>
          <w:rFonts w:hint="eastAsia" w:ascii="宋体" w:hAnsi="宋体" w:cs="宋体"/>
          <w:b/>
          <w:color w:val="auto"/>
          <w:sz w:val="26"/>
          <w:szCs w:val="26"/>
          <w:lang w:eastAsia="zh-CN"/>
        </w:rPr>
        <w:t>泰顺县”慢病智管“数智化服务（三年）</w:t>
      </w:r>
    </w:p>
    <w:p w14:paraId="7597BACF">
      <w:pPr>
        <w:snapToGrid w:val="0"/>
        <w:spacing w:line="600" w:lineRule="atLeast"/>
        <w:ind w:firstLine="848" w:firstLineChars="323"/>
        <w:rPr>
          <w:rFonts w:hint="eastAsia" w:ascii="宋体" w:hAnsi="宋体" w:eastAsia="宋体" w:cs="宋体"/>
          <w:b/>
          <w:color w:val="auto"/>
          <w:sz w:val="26"/>
          <w:szCs w:val="26"/>
          <w:lang w:eastAsia="zh-CN"/>
        </w:rPr>
      </w:pPr>
      <w:r>
        <w:rPr>
          <w:rFonts w:hint="eastAsia" w:ascii="宋体" w:hAnsi="宋体" w:cs="宋体"/>
          <w:b/>
          <w:color w:val="auto"/>
          <w:sz w:val="26"/>
          <w:szCs w:val="26"/>
        </w:rPr>
        <w:t>项目编号：</w:t>
      </w:r>
      <w:r>
        <w:rPr>
          <w:rFonts w:hint="eastAsia" w:ascii="宋体" w:hAnsi="宋体" w:cs="宋体"/>
          <w:b/>
          <w:color w:val="auto"/>
          <w:sz w:val="26"/>
          <w:szCs w:val="26"/>
          <w:lang w:eastAsia="zh-CN"/>
        </w:rPr>
        <w:t>TSCG202510020</w:t>
      </w:r>
    </w:p>
    <w:p w14:paraId="5188FB4E">
      <w:pPr>
        <w:snapToGrid w:val="0"/>
        <w:spacing w:line="600" w:lineRule="atLeast"/>
        <w:ind w:firstLine="848" w:firstLineChars="323"/>
        <w:rPr>
          <w:rFonts w:hint="eastAsia" w:ascii="宋体" w:hAnsi="宋体" w:eastAsia="宋体" w:cs="宋体"/>
          <w:b/>
          <w:color w:val="auto"/>
          <w:sz w:val="26"/>
          <w:szCs w:val="26"/>
          <w:lang w:eastAsia="zh-CN"/>
        </w:rPr>
      </w:pPr>
      <w:r>
        <w:rPr>
          <w:rFonts w:hint="eastAsia" w:ascii="宋体" w:hAnsi="宋体" w:cs="宋体"/>
          <w:b/>
          <w:color w:val="auto"/>
          <w:sz w:val="26"/>
          <w:szCs w:val="26"/>
        </w:rPr>
        <w:t>采购单位：</w:t>
      </w:r>
      <w:r>
        <w:rPr>
          <w:rFonts w:hint="eastAsia" w:ascii="宋体" w:hAnsi="宋体" w:cs="宋体"/>
          <w:b/>
          <w:color w:val="auto"/>
          <w:sz w:val="26"/>
          <w:szCs w:val="26"/>
          <w:lang w:eastAsia="zh-CN"/>
        </w:rPr>
        <w:t>泰顺县卫生健康局</w:t>
      </w:r>
    </w:p>
    <w:p w14:paraId="3125AD3A">
      <w:pPr>
        <w:snapToGrid w:val="0"/>
        <w:spacing w:line="600" w:lineRule="atLeast"/>
        <w:ind w:firstLine="848" w:firstLineChars="323"/>
        <w:rPr>
          <w:rFonts w:ascii="宋体" w:hAnsi="宋体" w:cs="宋体"/>
          <w:b/>
          <w:color w:val="auto"/>
          <w:sz w:val="26"/>
          <w:szCs w:val="26"/>
        </w:rPr>
      </w:pPr>
      <w:r>
        <w:rPr>
          <w:rFonts w:hint="eastAsia" w:ascii="宋体" w:hAnsi="宋体" w:cs="宋体"/>
          <w:b/>
          <w:color w:val="auto"/>
          <w:sz w:val="26"/>
          <w:szCs w:val="26"/>
        </w:rPr>
        <w:t xml:space="preserve">供应商名称： </w:t>
      </w:r>
    </w:p>
    <w:p w14:paraId="0BE04554">
      <w:pPr>
        <w:snapToGrid w:val="0"/>
        <w:spacing w:line="600" w:lineRule="atLeast"/>
        <w:ind w:firstLine="848" w:firstLineChars="323"/>
        <w:rPr>
          <w:rFonts w:ascii="宋体" w:hAnsi="宋体" w:cs="宋体"/>
          <w:b/>
          <w:color w:val="auto"/>
          <w:sz w:val="26"/>
          <w:szCs w:val="26"/>
        </w:rPr>
      </w:pPr>
      <w:r>
        <w:rPr>
          <w:rFonts w:hint="eastAsia" w:ascii="宋体" w:hAnsi="宋体" w:cs="宋体"/>
          <w:b/>
          <w:color w:val="auto"/>
          <w:sz w:val="26"/>
          <w:szCs w:val="26"/>
        </w:rPr>
        <w:t xml:space="preserve">供应商地址： </w:t>
      </w:r>
    </w:p>
    <w:p w14:paraId="5AE7A759">
      <w:pPr>
        <w:snapToGrid w:val="0"/>
        <w:spacing w:line="600" w:lineRule="atLeast"/>
        <w:ind w:firstLine="848" w:firstLineChars="323"/>
        <w:rPr>
          <w:rFonts w:ascii="宋体" w:hAnsi="宋体" w:cs="宋体"/>
          <w:b/>
          <w:color w:val="auto"/>
          <w:sz w:val="26"/>
          <w:szCs w:val="26"/>
        </w:rPr>
      </w:pPr>
      <w:r>
        <w:rPr>
          <w:rFonts w:hint="eastAsia" w:ascii="宋体" w:hAnsi="宋体" w:cs="宋体"/>
          <w:b/>
          <w:color w:val="auto"/>
          <w:sz w:val="26"/>
          <w:szCs w:val="26"/>
        </w:rPr>
        <w:t>法定代表人（签字或盖章）或授权代表（签字）：</w:t>
      </w:r>
    </w:p>
    <w:p w14:paraId="142CFB8B">
      <w:pPr>
        <w:snapToGrid w:val="0"/>
        <w:spacing w:line="600" w:lineRule="atLeast"/>
        <w:ind w:firstLine="848" w:firstLineChars="323"/>
        <w:rPr>
          <w:rFonts w:hint="eastAsia" w:ascii="宋体" w:hAnsi="宋体" w:eastAsia="宋体" w:cs="宋体"/>
          <w:b/>
          <w:color w:val="auto"/>
          <w:sz w:val="26"/>
          <w:szCs w:val="26"/>
          <w:lang w:eastAsia="zh-CN"/>
        </w:rPr>
      </w:pPr>
      <w:r>
        <w:rPr>
          <w:rFonts w:hint="eastAsia" w:ascii="宋体" w:hAnsi="宋体" w:cs="宋体"/>
          <w:b/>
          <w:color w:val="auto"/>
          <w:sz w:val="26"/>
          <w:szCs w:val="26"/>
        </w:rPr>
        <w:t>日期：  年</w:t>
      </w:r>
      <w:r>
        <w:rPr>
          <w:rFonts w:hint="eastAsia" w:ascii="宋体" w:hAnsi="宋体" w:cs="宋体"/>
          <w:b/>
          <w:color w:val="auto"/>
          <w:sz w:val="26"/>
          <w:szCs w:val="26"/>
          <w:lang w:eastAsia="zh-CN"/>
        </w:rPr>
        <w:t>11月10日</w:t>
      </w:r>
    </w:p>
    <w:p w14:paraId="06D1928C">
      <w:pPr>
        <w:rPr>
          <w:rFonts w:ascii="宋体" w:hAnsi="宋体"/>
          <w:color w:val="auto"/>
          <w:sz w:val="28"/>
          <w:szCs w:val="18"/>
          <w:lang w:val="zh-CN"/>
        </w:rPr>
      </w:pPr>
    </w:p>
    <w:p w14:paraId="28C1F34F">
      <w:pPr>
        <w:pStyle w:val="34"/>
        <w:outlineLvl w:val="2"/>
        <w:rPr>
          <w:rFonts w:ascii="宋体" w:hAnsi="宋体"/>
          <w:color w:val="auto"/>
          <w:sz w:val="28"/>
          <w:szCs w:val="18"/>
          <w:lang w:val="zh-CN"/>
        </w:rPr>
      </w:pPr>
      <w:r>
        <w:rPr>
          <w:rFonts w:hint="eastAsia" w:ascii="宋体" w:hAnsi="宋体"/>
          <w:color w:val="auto"/>
          <w:sz w:val="28"/>
          <w:szCs w:val="18"/>
          <w:lang w:val="zh-CN"/>
        </w:rPr>
        <w:t>附件一  具有履行合同所必需的设备和专业技术能力的承诺函</w:t>
      </w:r>
      <w:bookmarkEnd w:id="86"/>
      <w:bookmarkEnd w:id="87"/>
    </w:p>
    <w:p w14:paraId="0EC68238">
      <w:pPr>
        <w:spacing w:line="460" w:lineRule="exact"/>
        <w:rPr>
          <w:rFonts w:ascii="宋体"/>
          <w:color w:val="auto"/>
          <w:sz w:val="22"/>
          <w:szCs w:val="22"/>
          <w:u w:val="single"/>
        </w:rPr>
      </w:pPr>
    </w:p>
    <w:p w14:paraId="6D862ACA">
      <w:pPr>
        <w:spacing w:line="460" w:lineRule="exact"/>
        <w:rPr>
          <w:rFonts w:ascii="宋体"/>
          <w:color w:val="auto"/>
          <w:sz w:val="22"/>
          <w:szCs w:val="22"/>
          <w:u w:val="single"/>
        </w:rPr>
      </w:pPr>
      <w:r>
        <w:rPr>
          <w:rFonts w:hint="eastAsia" w:ascii="宋体"/>
          <w:color w:val="auto"/>
          <w:sz w:val="22"/>
          <w:szCs w:val="22"/>
          <w:u w:val="single"/>
          <w:lang w:eastAsia="zh-CN"/>
        </w:rPr>
        <w:t>泰顺县卫生健康局</w:t>
      </w:r>
      <w:r>
        <w:rPr>
          <w:rFonts w:hint="eastAsia" w:ascii="宋体"/>
          <w:color w:val="auto"/>
          <w:sz w:val="22"/>
          <w:szCs w:val="22"/>
          <w:u w:val="single"/>
        </w:rPr>
        <w:t>：</w:t>
      </w:r>
    </w:p>
    <w:p w14:paraId="1EB530DD">
      <w:pPr>
        <w:widowControl/>
        <w:snapToGrid w:val="0"/>
        <w:spacing w:line="460" w:lineRule="exact"/>
        <w:ind w:firstLine="446" w:firstLineChars="200"/>
        <w:jc w:val="left"/>
        <w:rPr>
          <w:rFonts w:ascii="宋体" w:cs="Courier New"/>
          <w:color w:val="auto"/>
          <w:sz w:val="22"/>
          <w:szCs w:val="22"/>
        </w:rPr>
      </w:pPr>
    </w:p>
    <w:p w14:paraId="33A75AAE">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我方</w:t>
      </w:r>
      <w:r>
        <w:rPr>
          <w:rFonts w:hint="eastAsia" w:ascii="宋体" w:cs="Courier New"/>
          <w:color w:val="auto"/>
          <w:sz w:val="22"/>
          <w:szCs w:val="22"/>
          <w:u w:val="single"/>
        </w:rPr>
        <w:t xml:space="preserve"> （供应商）</w:t>
      </w:r>
      <w:r>
        <w:rPr>
          <w:rFonts w:hint="eastAsia" w:ascii="宋体" w:cs="Courier New"/>
          <w:color w:val="auto"/>
          <w:sz w:val="22"/>
          <w:szCs w:val="22"/>
        </w:rPr>
        <w:t>承诺具有履行合同所必需的设备和专业技术能力。如有虚假，采购人可取消我方任何资格（投标/中标/签订合同），我方对此无任何异议。</w:t>
      </w:r>
    </w:p>
    <w:p w14:paraId="2305286C">
      <w:pPr>
        <w:widowControl/>
        <w:snapToGrid w:val="0"/>
        <w:spacing w:line="460" w:lineRule="exact"/>
        <w:ind w:firstLine="446" w:firstLineChars="200"/>
        <w:jc w:val="left"/>
        <w:rPr>
          <w:rFonts w:ascii="宋体" w:cs="Courier New"/>
          <w:color w:val="auto"/>
          <w:sz w:val="22"/>
          <w:szCs w:val="22"/>
        </w:rPr>
      </w:pPr>
    </w:p>
    <w:p w14:paraId="65858DDA">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特此承诺！</w:t>
      </w:r>
    </w:p>
    <w:p w14:paraId="1FC7D21A">
      <w:pPr>
        <w:widowControl/>
        <w:snapToGrid w:val="0"/>
        <w:spacing w:line="460" w:lineRule="exact"/>
        <w:ind w:firstLine="446" w:firstLineChars="200"/>
        <w:jc w:val="left"/>
        <w:rPr>
          <w:rFonts w:ascii="宋体" w:cs="Courier New"/>
          <w:color w:val="auto"/>
          <w:sz w:val="22"/>
          <w:szCs w:val="22"/>
        </w:rPr>
      </w:pPr>
    </w:p>
    <w:p w14:paraId="60ACDA9A">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投标供应商（盖章） ：</w:t>
      </w:r>
    </w:p>
    <w:p w14:paraId="2C393F41">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法定代表人或其授权代表（签字或盖章）：</w:t>
      </w:r>
    </w:p>
    <w:p w14:paraId="3D57AE65">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日期：</w:t>
      </w:r>
    </w:p>
    <w:p w14:paraId="46798383">
      <w:pPr>
        <w:pStyle w:val="34"/>
        <w:outlineLvl w:val="2"/>
        <w:rPr>
          <w:rFonts w:ascii="宋体" w:hAnsi="宋体"/>
          <w:color w:val="auto"/>
          <w:sz w:val="28"/>
          <w:szCs w:val="18"/>
          <w:lang w:val="zh-CN"/>
        </w:rPr>
      </w:pPr>
      <w:r>
        <w:rPr>
          <w:rFonts w:ascii="宋体" w:hAnsi="宋体"/>
          <w:b w:val="0"/>
          <w:color w:val="auto"/>
          <w:sz w:val="36"/>
        </w:rPr>
        <w:br w:type="page"/>
      </w:r>
      <w:bookmarkStart w:id="88" w:name="_Toc44607649"/>
      <w:bookmarkStart w:id="89" w:name="_Toc30615"/>
      <w:r>
        <w:rPr>
          <w:rFonts w:hint="eastAsia" w:ascii="宋体" w:hAnsi="宋体"/>
          <w:color w:val="auto"/>
          <w:sz w:val="28"/>
          <w:szCs w:val="18"/>
          <w:lang w:val="zh-CN"/>
        </w:rPr>
        <w:t>附件二  依法缴纳税收和社会保障资金的承诺函</w:t>
      </w:r>
      <w:bookmarkEnd w:id="88"/>
      <w:bookmarkEnd w:id="89"/>
    </w:p>
    <w:p w14:paraId="5028A47B">
      <w:pPr>
        <w:spacing w:line="460" w:lineRule="exact"/>
        <w:rPr>
          <w:rFonts w:ascii="宋体"/>
          <w:color w:val="auto"/>
          <w:sz w:val="22"/>
          <w:szCs w:val="22"/>
          <w:u w:val="single"/>
        </w:rPr>
      </w:pPr>
      <w:r>
        <w:rPr>
          <w:rFonts w:hint="eastAsia" w:ascii="宋体"/>
          <w:color w:val="auto"/>
          <w:sz w:val="22"/>
          <w:szCs w:val="22"/>
          <w:u w:val="single"/>
          <w:lang w:eastAsia="zh-CN"/>
        </w:rPr>
        <w:t>泰顺县卫生健康局</w:t>
      </w:r>
      <w:r>
        <w:rPr>
          <w:rFonts w:hint="eastAsia" w:ascii="宋体"/>
          <w:color w:val="auto"/>
          <w:sz w:val="22"/>
          <w:szCs w:val="22"/>
          <w:u w:val="single"/>
        </w:rPr>
        <w:t>：</w:t>
      </w:r>
    </w:p>
    <w:p w14:paraId="1C8DE9E0">
      <w:pPr>
        <w:spacing w:line="460" w:lineRule="exact"/>
        <w:ind w:firstLine="446" w:firstLineChars="200"/>
        <w:rPr>
          <w:rFonts w:ascii="宋体"/>
          <w:color w:val="auto"/>
          <w:sz w:val="22"/>
          <w:szCs w:val="22"/>
        </w:rPr>
      </w:pPr>
    </w:p>
    <w:p w14:paraId="468DEFC3">
      <w:pPr>
        <w:spacing w:line="460" w:lineRule="exact"/>
        <w:ind w:firstLine="446" w:firstLineChars="200"/>
        <w:rPr>
          <w:rFonts w:ascii="宋体"/>
          <w:color w:val="auto"/>
          <w:sz w:val="22"/>
          <w:szCs w:val="22"/>
        </w:rPr>
      </w:pPr>
      <w:r>
        <w:rPr>
          <w:rFonts w:hint="eastAsia" w:ascii="宋体"/>
          <w:color w:val="auto"/>
          <w:sz w:val="22"/>
          <w:szCs w:val="22"/>
        </w:rPr>
        <w:t>我公司郑重声明，我公司严格依法缴纳税收和社会保障资金，本文件中所提供的相关材料均真实有效，不存在虚假、造假行为。如有违反，愿承担一切责任。</w:t>
      </w:r>
    </w:p>
    <w:p w14:paraId="75370622">
      <w:pPr>
        <w:spacing w:line="460" w:lineRule="exact"/>
        <w:ind w:firstLine="446" w:firstLineChars="200"/>
        <w:rPr>
          <w:rFonts w:ascii="宋体"/>
          <w:color w:val="auto"/>
          <w:sz w:val="22"/>
          <w:szCs w:val="22"/>
        </w:rPr>
      </w:pPr>
    </w:p>
    <w:p w14:paraId="1763DD7A">
      <w:pPr>
        <w:spacing w:line="460" w:lineRule="exact"/>
        <w:ind w:firstLine="446" w:firstLineChars="200"/>
        <w:rPr>
          <w:rFonts w:ascii="宋体"/>
          <w:color w:val="auto"/>
          <w:sz w:val="22"/>
          <w:szCs w:val="22"/>
        </w:rPr>
      </w:pPr>
      <w:r>
        <w:rPr>
          <w:rFonts w:hint="eastAsia" w:ascii="宋体"/>
          <w:color w:val="auto"/>
          <w:sz w:val="22"/>
          <w:szCs w:val="22"/>
        </w:rPr>
        <w:t>特此承诺！</w:t>
      </w:r>
    </w:p>
    <w:p w14:paraId="1E8397E0">
      <w:pPr>
        <w:widowControl/>
        <w:snapToGrid w:val="0"/>
        <w:spacing w:line="460" w:lineRule="exact"/>
        <w:ind w:firstLine="446" w:firstLineChars="200"/>
        <w:jc w:val="left"/>
        <w:rPr>
          <w:rFonts w:ascii="宋体" w:cs="Courier New"/>
          <w:color w:val="auto"/>
          <w:sz w:val="22"/>
          <w:szCs w:val="22"/>
        </w:rPr>
      </w:pPr>
    </w:p>
    <w:p w14:paraId="067295FD">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投标供应商（盖章） ：</w:t>
      </w:r>
    </w:p>
    <w:p w14:paraId="3705DB2C">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法定代表人或其授权代表（签字或盖章）：</w:t>
      </w:r>
    </w:p>
    <w:p w14:paraId="111514AC">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 xml:space="preserve">日期： </w:t>
      </w:r>
    </w:p>
    <w:p w14:paraId="734408B9">
      <w:pPr>
        <w:widowControl/>
        <w:snapToGrid w:val="0"/>
        <w:spacing w:line="460" w:lineRule="exact"/>
        <w:ind w:firstLine="446" w:firstLineChars="200"/>
        <w:jc w:val="left"/>
        <w:rPr>
          <w:rFonts w:ascii="宋体" w:cs="Courier New"/>
          <w:color w:val="auto"/>
          <w:sz w:val="22"/>
          <w:szCs w:val="22"/>
        </w:rPr>
      </w:pPr>
    </w:p>
    <w:p w14:paraId="19E92906">
      <w:pPr>
        <w:pStyle w:val="34"/>
        <w:outlineLvl w:val="2"/>
        <w:rPr>
          <w:rFonts w:ascii="宋体" w:hAnsi="宋体"/>
          <w:color w:val="auto"/>
          <w:sz w:val="28"/>
          <w:szCs w:val="18"/>
          <w:lang w:val="zh-CN"/>
        </w:rPr>
      </w:pPr>
      <w:bookmarkStart w:id="90" w:name="_Toc33194406"/>
      <w:bookmarkStart w:id="91" w:name="_Toc14589"/>
      <w:bookmarkStart w:id="92" w:name="_Toc14988"/>
      <w:bookmarkStart w:id="93" w:name="_Toc31544"/>
      <w:bookmarkStart w:id="94" w:name="_Toc27119255"/>
      <w:bookmarkStart w:id="95" w:name="_Toc28957"/>
      <w:bookmarkStart w:id="96" w:name="_Toc11360"/>
      <w:bookmarkStart w:id="97" w:name="_Toc10630"/>
      <w:bookmarkStart w:id="98" w:name="_Toc6606"/>
      <w:bookmarkStart w:id="99" w:name="_Toc31784"/>
      <w:bookmarkStart w:id="100" w:name="_Toc13669"/>
      <w:bookmarkStart w:id="101" w:name="_Toc18304"/>
      <w:r>
        <w:rPr>
          <w:rFonts w:ascii="宋体" w:hAnsi="宋体"/>
          <w:b w:val="0"/>
          <w:color w:val="auto"/>
          <w:sz w:val="30"/>
          <w:lang w:val="zh-CN"/>
        </w:rPr>
        <w:br w:type="page"/>
      </w:r>
      <w:bookmarkStart w:id="102" w:name="_Toc44607650"/>
      <w:bookmarkStart w:id="103" w:name="_Toc16491"/>
      <w:r>
        <w:rPr>
          <w:rFonts w:hint="eastAsia" w:ascii="宋体" w:hAnsi="宋体"/>
          <w:color w:val="auto"/>
          <w:sz w:val="28"/>
          <w:szCs w:val="18"/>
          <w:lang w:val="zh-CN"/>
        </w:rPr>
        <w:t>附件三  参加政府采购活动前3年内在经营活动中没有重大违法记录的声明函</w:t>
      </w:r>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3A890069">
      <w:pPr>
        <w:spacing w:line="460" w:lineRule="exact"/>
        <w:jc w:val="left"/>
        <w:rPr>
          <w:rFonts w:ascii="宋体"/>
          <w:color w:val="auto"/>
          <w:sz w:val="22"/>
          <w:szCs w:val="22"/>
          <w:u w:val="single"/>
        </w:rPr>
      </w:pPr>
      <w:r>
        <w:rPr>
          <w:rFonts w:hint="eastAsia" w:ascii="宋体"/>
          <w:color w:val="auto"/>
          <w:sz w:val="22"/>
          <w:szCs w:val="22"/>
          <w:u w:val="single"/>
          <w:lang w:eastAsia="zh-CN"/>
        </w:rPr>
        <w:t>泰顺县卫生健康局</w:t>
      </w:r>
      <w:r>
        <w:rPr>
          <w:rFonts w:hint="eastAsia" w:ascii="宋体"/>
          <w:color w:val="auto"/>
          <w:sz w:val="22"/>
          <w:szCs w:val="22"/>
          <w:u w:val="single"/>
        </w:rPr>
        <w:t>：</w:t>
      </w:r>
    </w:p>
    <w:p w14:paraId="60D87230">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我方</w:t>
      </w:r>
      <w:r>
        <w:rPr>
          <w:rFonts w:hint="eastAsia" w:ascii="宋体" w:cs="Courier New"/>
          <w:b/>
          <w:bCs/>
          <w:color w:val="auto"/>
          <w:sz w:val="22"/>
          <w:szCs w:val="22"/>
          <w:u w:val="single"/>
        </w:rPr>
        <w:t xml:space="preserve">（供应商） </w:t>
      </w:r>
      <w:r>
        <w:rPr>
          <w:rFonts w:hint="eastAsia" w:ascii="宋体" w:cs="Courier New"/>
          <w:color w:val="auto"/>
          <w:sz w:val="22"/>
          <w:szCs w:val="22"/>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21F8E41A">
      <w:pPr>
        <w:widowControl/>
        <w:snapToGrid w:val="0"/>
        <w:spacing w:line="460" w:lineRule="exact"/>
        <w:ind w:firstLine="446" w:firstLineChars="200"/>
        <w:jc w:val="left"/>
        <w:rPr>
          <w:rFonts w:ascii="宋体" w:cs="Courier New"/>
          <w:color w:val="auto"/>
          <w:sz w:val="22"/>
          <w:szCs w:val="22"/>
        </w:rPr>
      </w:pPr>
    </w:p>
    <w:p w14:paraId="435F1C8D">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特此承诺！</w:t>
      </w:r>
    </w:p>
    <w:p w14:paraId="75FE2C56">
      <w:pPr>
        <w:widowControl/>
        <w:snapToGrid w:val="0"/>
        <w:spacing w:line="460" w:lineRule="exact"/>
        <w:ind w:firstLine="446" w:firstLineChars="200"/>
        <w:jc w:val="left"/>
        <w:rPr>
          <w:rFonts w:ascii="宋体" w:cs="Courier New"/>
          <w:color w:val="auto"/>
          <w:sz w:val="22"/>
          <w:szCs w:val="22"/>
        </w:rPr>
      </w:pPr>
    </w:p>
    <w:p w14:paraId="6D616129">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投标供应商（盖章） ：</w:t>
      </w:r>
    </w:p>
    <w:p w14:paraId="66BE7218">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法定代表人或其授权代表（签字或盖章）：</w:t>
      </w:r>
    </w:p>
    <w:p w14:paraId="38E34D5B">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 xml:space="preserve">日期：  </w:t>
      </w:r>
    </w:p>
    <w:p w14:paraId="1399576B">
      <w:pPr>
        <w:pStyle w:val="34"/>
        <w:outlineLvl w:val="9"/>
        <w:rPr>
          <w:rFonts w:ascii="宋体" w:hAnsi="宋体"/>
          <w:color w:val="auto"/>
        </w:rPr>
      </w:pPr>
    </w:p>
    <w:p w14:paraId="53435BA7">
      <w:pPr>
        <w:pStyle w:val="34"/>
        <w:outlineLvl w:val="9"/>
        <w:rPr>
          <w:rFonts w:ascii="宋体" w:hAnsi="宋体"/>
          <w:color w:val="auto"/>
        </w:rPr>
      </w:pPr>
    </w:p>
    <w:p w14:paraId="53473582">
      <w:pPr>
        <w:pStyle w:val="34"/>
        <w:outlineLvl w:val="9"/>
        <w:rPr>
          <w:rFonts w:ascii="宋体" w:hAnsi="宋体"/>
          <w:color w:val="auto"/>
        </w:rPr>
      </w:pPr>
    </w:p>
    <w:p w14:paraId="093F2B3B">
      <w:pPr>
        <w:pStyle w:val="34"/>
        <w:outlineLvl w:val="9"/>
        <w:rPr>
          <w:rFonts w:ascii="宋体" w:hAnsi="宋体"/>
          <w:color w:val="auto"/>
        </w:rPr>
      </w:pPr>
    </w:p>
    <w:p w14:paraId="4DDA7AC5">
      <w:pPr>
        <w:pStyle w:val="34"/>
        <w:outlineLvl w:val="9"/>
        <w:rPr>
          <w:rFonts w:ascii="宋体" w:hAnsi="宋体"/>
          <w:color w:val="auto"/>
        </w:rPr>
      </w:pPr>
    </w:p>
    <w:p w14:paraId="43805BFA">
      <w:pPr>
        <w:pStyle w:val="34"/>
        <w:outlineLvl w:val="9"/>
        <w:rPr>
          <w:rFonts w:ascii="宋体" w:hAnsi="宋体"/>
          <w:color w:val="auto"/>
        </w:rPr>
      </w:pPr>
    </w:p>
    <w:p w14:paraId="5110703F">
      <w:pPr>
        <w:pStyle w:val="34"/>
        <w:outlineLvl w:val="9"/>
        <w:rPr>
          <w:rFonts w:ascii="宋体" w:hAnsi="宋体"/>
          <w:color w:val="auto"/>
        </w:rPr>
      </w:pPr>
    </w:p>
    <w:p w14:paraId="7F302ED2">
      <w:pPr>
        <w:pStyle w:val="34"/>
        <w:outlineLvl w:val="9"/>
        <w:rPr>
          <w:rFonts w:ascii="宋体" w:hAnsi="宋体"/>
          <w:color w:val="auto"/>
        </w:rPr>
      </w:pPr>
    </w:p>
    <w:p w14:paraId="6FEE2C84">
      <w:pPr>
        <w:pStyle w:val="34"/>
        <w:outlineLvl w:val="9"/>
        <w:rPr>
          <w:rFonts w:ascii="宋体" w:hAnsi="宋体"/>
          <w:color w:val="auto"/>
        </w:rPr>
      </w:pPr>
    </w:p>
    <w:p w14:paraId="43EEEB5F">
      <w:pPr>
        <w:pStyle w:val="34"/>
        <w:outlineLvl w:val="2"/>
        <w:rPr>
          <w:rFonts w:ascii="宋体" w:hAnsi="宋体"/>
          <w:color w:val="auto"/>
          <w:sz w:val="28"/>
          <w:szCs w:val="18"/>
          <w:lang w:val="zh-CN"/>
        </w:rPr>
      </w:pPr>
      <w:bookmarkStart w:id="104" w:name="_Toc44607651"/>
      <w:bookmarkStart w:id="105" w:name="_Toc153"/>
      <w:r>
        <w:rPr>
          <w:rFonts w:hint="eastAsia" w:ascii="宋体" w:hAnsi="宋体"/>
          <w:color w:val="auto"/>
          <w:sz w:val="28"/>
          <w:szCs w:val="18"/>
          <w:lang w:val="zh-CN"/>
        </w:rPr>
        <w:t>附件四  供应商参与政府采购活动投标资格声明函</w:t>
      </w:r>
      <w:bookmarkEnd w:id="104"/>
      <w:bookmarkEnd w:id="105"/>
    </w:p>
    <w:tbl>
      <w:tblPr>
        <w:tblStyle w:val="36"/>
        <w:tblW w:w="930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680"/>
      </w:tblGrid>
      <w:tr w14:paraId="485C25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20" w:type="dxa"/>
            <w:noWrap w:val="0"/>
            <w:vAlign w:val="center"/>
          </w:tcPr>
          <w:p w14:paraId="704B9461">
            <w:pPr>
              <w:pStyle w:val="21"/>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项目名称</w:t>
            </w:r>
          </w:p>
        </w:tc>
        <w:tc>
          <w:tcPr>
            <w:tcW w:w="7680" w:type="dxa"/>
            <w:noWrap w:val="0"/>
            <w:vAlign w:val="center"/>
          </w:tcPr>
          <w:p w14:paraId="6183E28C">
            <w:pPr>
              <w:pStyle w:val="21"/>
              <w:adjustRightInd w:val="0"/>
              <w:snapToGrid w:val="0"/>
              <w:jc w:val="left"/>
              <w:rPr>
                <w:rFonts w:hint="eastAsia" w:ascii="宋体" w:hAnsi="宋体" w:eastAsia="宋体" w:cs="宋体"/>
                <w:color w:val="auto"/>
                <w:sz w:val="22"/>
                <w:szCs w:val="22"/>
              </w:rPr>
            </w:pPr>
          </w:p>
        </w:tc>
      </w:tr>
      <w:tr w14:paraId="710437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20" w:type="dxa"/>
            <w:noWrap w:val="0"/>
            <w:vAlign w:val="center"/>
          </w:tcPr>
          <w:p w14:paraId="3A9C2B70">
            <w:pPr>
              <w:pStyle w:val="21"/>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项目采购编号</w:t>
            </w:r>
          </w:p>
        </w:tc>
        <w:tc>
          <w:tcPr>
            <w:tcW w:w="7680" w:type="dxa"/>
            <w:noWrap w:val="0"/>
            <w:vAlign w:val="center"/>
          </w:tcPr>
          <w:p w14:paraId="039D2CFD">
            <w:pPr>
              <w:pStyle w:val="21"/>
              <w:adjustRightInd w:val="0"/>
              <w:snapToGrid w:val="0"/>
              <w:jc w:val="left"/>
              <w:rPr>
                <w:rFonts w:hint="eastAsia" w:ascii="宋体" w:hAnsi="宋体" w:eastAsia="宋体" w:cs="宋体"/>
                <w:color w:val="auto"/>
                <w:sz w:val="22"/>
                <w:szCs w:val="22"/>
              </w:rPr>
            </w:pPr>
          </w:p>
        </w:tc>
      </w:tr>
      <w:tr w14:paraId="636159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20" w:type="dxa"/>
            <w:noWrap w:val="0"/>
            <w:vAlign w:val="center"/>
          </w:tcPr>
          <w:p w14:paraId="4B1C2CF9">
            <w:pPr>
              <w:pStyle w:val="21"/>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时    间</w:t>
            </w:r>
          </w:p>
        </w:tc>
        <w:tc>
          <w:tcPr>
            <w:tcW w:w="7680" w:type="dxa"/>
            <w:noWrap w:val="0"/>
            <w:vAlign w:val="center"/>
          </w:tcPr>
          <w:p w14:paraId="6AAF179D">
            <w:pPr>
              <w:pStyle w:val="21"/>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投标</w:t>
            </w:r>
            <w:r>
              <w:rPr>
                <w:rFonts w:hint="eastAsia" w:ascii="宋体" w:hAnsi="宋体" w:eastAsia="宋体" w:cs="宋体"/>
                <w:color w:val="auto"/>
                <w:sz w:val="22"/>
                <w:szCs w:val="22"/>
                <w:lang w:val="en-US" w:eastAsia="zh-CN"/>
              </w:rPr>
              <w:t>响应</w:t>
            </w:r>
            <w:r>
              <w:rPr>
                <w:rFonts w:hint="eastAsia" w:ascii="宋体" w:hAnsi="宋体" w:eastAsia="宋体" w:cs="宋体"/>
                <w:color w:val="auto"/>
                <w:sz w:val="22"/>
                <w:szCs w:val="22"/>
              </w:rPr>
              <w:t>截止时间</w:t>
            </w:r>
          </w:p>
        </w:tc>
      </w:tr>
      <w:tr w14:paraId="666EB1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97" w:hRule="atLeast"/>
        </w:trPr>
        <w:tc>
          <w:tcPr>
            <w:tcW w:w="9300" w:type="dxa"/>
            <w:gridSpan w:val="2"/>
            <w:noWrap w:val="0"/>
            <w:vAlign w:val="top"/>
          </w:tcPr>
          <w:p w14:paraId="327C4CDB">
            <w:pPr>
              <w:pStyle w:val="21"/>
              <w:adjustRightInd w:val="0"/>
              <w:snapToGrid w:val="0"/>
              <w:spacing w:line="360" w:lineRule="exact"/>
              <w:ind w:firstLine="450"/>
              <w:rPr>
                <w:rFonts w:hint="eastAsia" w:ascii="宋体" w:hAnsi="宋体" w:eastAsia="宋体" w:cs="宋体"/>
                <w:color w:val="auto"/>
                <w:sz w:val="22"/>
                <w:szCs w:val="22"/>
              </w:rPr>
            </w:pPr>
            <w:r>
              <w:rPr>
                <w:rFonts w:hint="eastAsia" w:ascii="宋体" w:hAnsi="宋体" w:eastAsia="宋体" w:cs="宋体"/>
                <w:color w:val="auto"/>
                <w:sz w:val="22"/>
                <w:szCs w:val="22"/>
              </w:rPr>
              <w:t>1、根据政府采购法第二十二条规定，我单位满足以下条件，并已经在技术资信部分谈判响应文件中提供了相应的证明材料：</w:t>
            </w:r>
          </w:p>
          <w:p w14:paraId="56F5FAE1">
            <w:pPr>
              <w:pStyle w:val="21"/>
              <w:adjustRightInd w:val="0"/>
              <w:snapToGrid w:val="0"/>
              <w:spacing w:line="360" w:lineRule="exact"/>
              <w:ind w:firstLine="450"/>
              <w:rPr>
                <w:rFonts w:hint="eastAsia" w:ascii="宋体" w:hAnsi="宋体" w:eastAsia="宋体" w:cs="宋体"/>
                <w:color w:val="auto"/>
                <w:sz w:val="22"/>
                <w:szCs w:val="22"/>
              </w:rPr>
            </w:pPr>
            <w:r>
              <w:rPr>
                <w:rFonts w:hint="eastAsia" w:ascii="宋体" w:hAnsi="宋体" w:eastAsia="宋体" w:cs="宋体"/>
                <w:color w:val="auto"/>
                <w:sz w:val="22"/>
                <w:szCs w:val="22"/>
              </w:rPr>
              <w:t xml:space="preserve">（一）具有独立承担民事责任的能力； </w:t>
            </w:r>
          </w:p>
          <w:p w14:paraId="4933CCAF">
            <w:pPr>
              <w:pStyle w:val="21"/>
              <w:adjustRightInd w:val="0"/>
              <w:snapToGrid w:val="0"/>
              <w:spacing w:line="360" w:lineRule="exact"/>
              <w:ind w:firstLine="450"/>
              <w:rPr>
                <w:rFonts w:hint="eastAsia" w:ascii="宋体" w:hAnsi="宋体" w:eastAsia="宋体" w:cs="宋体"/>
                <w:color w:val="auto"/>
                <w:sz w:val="22"/>
                <w:szCs w:val="22"/>
              </w:rPr>
            </w:pPr>
            <w:r>
              <w:rPr>
                <w:rFonts w:hint="eastAsia" w:ascii="宋体" w:hAnsi="宋体" w:eastAsia="宋体" w:cs="宋体"/>
                <w:color w:val="auto"/>
                <w:sz w:val="22"/>
                <w:szCs w:val="22"/>
              </w:rPr>
              <w:t xml:space="preserve">（二）具有良好的商业信誉和健全的财务会计制度； </w:t>
            </w:r>
          </w:p>
          <w:p w14:paraId="129A8F10">
            <w:pPr>
              <w:pStyle w:val="21"/>
              <w:adjustRightInd w:val="0"/>
              <w:snapToGrid w:val="0"/>
              <w:spacing w:line="360" w:lineRule="exact"/>
              <w:ind w:firstLine="450"/>
              <w:rPr>
                <w:rFonts w:hint="eastAsia" w:ascii="宋体" w:hAnsi="宋体" w:eastAsia="宋体" w:cs="宋体"/>
                <w:color w:val="auto"/>
                <w:sz w:val="22"/>
                <w:szCs w:val="22"/>
              </w:rPr>
            </w:pPr>
            <w:r>
              <w:rPr>
                <w:rFonts w:hint="eastAsia" w:ascii="宋体" w:hAnsi="宋体" w:eastAsia="宋体" w:cs="宋体"/>
                <w:color w:val="auto"/>
                <w:sz w:val="22"/>
                <w:szCs w:val="22"/>
              </w:rPr>
              <w:t xml:space="preserve">（三）具有履行合同所必需的设备和专业技术能力； </w:t>
            </w:r>
          </w:p>
          <w:p w14:paraId="1FBD8C0A">
            <w:pPr>
              <w:pStyle w:val="21"/>
              <w:adjustRightInd w:val="0"/>
              <w:snapToGrid w:val="0"/>
              <w:spacing w:line="360" w:lineRule="exact"/>
              <w:ind w:firstLine="450"/>
              <w:rPr>
                <w:rFonts w:hint="eastAsia" w:ascii="宋体" w:hAnsi="宋体" w:eastAsia="宋体" w:cs="宋体"/>
                <w:color w:val="auto"/>
                <w:sz w:val="22"/>
                <w:szCs w:val="22"/>
              </w:rPr>
            </w:pPr>
            <w:r>
              <w:rPr>
                <w:rFonts w:hint="eastAsia" w:ascii="宋体" w:hAnsi="宋体" w:eastAsia="宋体" w:cs="宋体"/>
                <w:color w:val="auto"/>
                <w:sz w:val="22"/>
                <w:szCs w:val="22"/>
              </w:rPr>
              <w:t xml:space="preserve">（四）有依法缴纳税收和社会保障资金的良好记录； </w:t>
            </w:r>
          </w:p>
          <w:p w14:paraId="523B18AA">
            <w:pPr>
              <w:pStyle w:val="21"/>
              <w:adjustRightInd w:val="0"/>
              <w:snapToGrid w:val="0"/>
              <w:spacing w:line="360" w:lineRule="exact"/>
              <w:ind w:firstLine="450"/>
              <w:rPr>
                <w:rFonts w:hint="eastAsia" w:ascii="宋体" w:hAnsi="宋体" w:eastAsia="宋体" w:cs="宋体"/>
                <w:color w:val="auto"/>
                <w:sz w:val="22"/>
                <w:szCs w:val="22"/>
              </w:rPr>
            </w:pPr>
            <w:r>
              <w:rPr>
                <w:rFonts w:hint="eastAsia" w:ascii="宋体" w:hAnsi="宋体" w:eastAsia="宋体" w:cs="宋体"/>
                <w:color w:val="auto"/>
                <w:sz w:val="22"/>
                <w:szCs w:val="22"/>
              </w:rPr>
              <w:t xml:space="preserve">（五）参加政府采购活动前三年内，在经营活动中没有重大违法记录； </w:t>
            </w:r>
          </w:p>
          <w:p w14:paraId="3D5879FA">
            <w:pPr>
              <w:pStyle w:val="21"/>
              <w:adjustRightInd w:val="0"/>
              <w:snapToGrid w:val="0"/>
              <w:spacing w:line="360" w:lineRule="exact"/>
              <w:ind w:firstLine="450"/>
              <w:rPr>
                <w:rFonts w:hint="eastAsia" w:ascii="宋体" w:hAnsi="宋体" w:eastAsia="宋体" w:cs="宋体"/>
                <w:color w:val="auto"/>
                <w:sz w:val="22"/>
                <w:szCs w:val="22"/>
              </w:rPr>
            </w:pPr>
            <w:r>
              <w:rPr>
                <w:rFonts w:hint="eastAsia" w:ascii="宋体" w:hAnsi="宋体" w:eastAsia="宋体" w:cs="宋体"/>
                <w:color w:val="auto"/>
                <w:sz w:val="22"/>
                <w:szCs w:val="22"/>
              </w:rPr>
              <w:t xml:space="preserve">（六）法律、行政法规规定的其他条件。 </w:t>
            </w:r>
          </w:p>
          <w:p w14:paraId="06E14B56">
            <w:pPr>
              <w:widowControl/>
              <w:snapToGrid w:val="0"/>
              <w:spacing w:line="460" w:lineRule="exact"/>
              <w:ind w:firstLine="446"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w:t>
            </w:r>
            <w:r>
              <w:rPr>
                <w:rFonts w:hint="eastAsia" w:ascii="宋体" w:hAnsi="宋体" w:eastAsia="宋体" w:cs="宋体"/>
                <w:b/>
                <w:bCs/>
                <w:color w:val="auto"/>
                <w:sz w:val="22"/>
                <w:szCs w:val="22"/>
                <w:u w:val="single"/>
              </w:rPr>
              <w:t>□存在/□不存在</w:t>
            </w:r>
            <w:r>
              <w:rPr>
                <w:rFonts w:hint="eastAsia" w:ascii="宋体" w:hAnsi="宋体" w:eastAsia="宋体" w:cs="宋体"/>
                <w:color w:val="auto"/>
                <w:sz w:val="22"/>
                <w:szCs w:val="22"/>
              </w:rPr>
              <w:t>上述文件规定依法限制参与政府采购的情况，并提供“信用中国”、 “中国政府采购网”查询网页截图（公告发布之日至投标截止时间）。（说明：在□上打√。）</w:t>
            </w:r>
          </w:p>
          <w:p w14:paraId="4D2DCCC5">
            <w:pPr>
              <w:tabs>
                <w:tab w:val="center" w:pos="4483"/>
              </w:tabs>
              <w:adjustRightInd w:val="0"/>
              <w:spacing w:line="360" w:lineRule="exact"/>
              <w:ind w:firstLine="400"/>
              <w:rPr>
                <w:rFonts w:hint="eastAsia" w:ascii="宋体" w:hAnsi="宋体" w:eastAsia="宋体" w:cs="宋体"/>
                <w:color w:val="auto"/>
                <w:sz w:val="22"/>
                <w:szCs w:val="22"/>
                <w:u w:val="single"/>
              </w:rPr>
            </w:pPr>
            <w:r>
              <w:rPr>
                <w:rFonts w:hint="eastAsia" w:ascii="宋体" w:hAnsi="宋体" w:eastAsia="宋体" w:cs="宋体"/>
                <w:color w:val="auto"/>
                <w:sz w:val="22"/>
                <w:szCs w:val="22"/>
              </w:rPr>
              <w:t>3、我单位</w:t>
            </w:r>
            <w:r>
              <w:rPr>
                <w:rFonts w:hint="eastAsia" w:ascii="宋体" w:hAnsi="宋体" w:eastAsia="宋体" w:cs="宋体"/>
                <w:b/>
                <w:bCs/>
                <w:color w:val="auto"/>
                <w:sz w:val="22"/>
                <w:szCs w:val="22"/>
                <w:u w:val="single"/>
              </w:rPr>
              <w:t>□没有被限制参加政府采购活动/□在参加政府采购活动前3年内</w:t>
            </w:r>
            <w:r>
              <w:rPr>
                <w:rFonts w:hint="eastAsia" w:ascii="宋体" w:hAnsi="宋体" w:eastAsia="宋体" w:cs="宋体"/>
                <w:color w:val="auto"/>
                <w:sz w:val="22"/>
                <w:szCs w:val="22"/>
              </w:rPr>
              <w:t>因违法经营被禁止在一定期限内参加政府采购活动，但期限届满，已可以参加政府采购活动。（说明：在□上打√。）</w:t>
            </w:r>
          </w:p>
          <w:p w14:paraId="6A20593A">
            <w:pPr>
              <w:tabs>
                <w:tab w:val="center" w:pos="4483"/>
              </w:tabs>
              <w:adjustRightInd w:val="0"/>
              <w:spacing w:line="360" w:lineRule="exact"/>
              <w:ind w:firstLine="400"/>
              <w:rPr>
                <w:rFonts w:hint="eastAsia" w:ascii="宋体" w:hAnsi="宋体" w:eastAsia="宋体" w:cs="宋体"/>
                <w:color w:val="auto"/>
                <w:sz w:val="22"/>
                <w:szCs w:val="22"/>
                <w:u w:val="single"/>
              </w:rPr>
            </w:pPr>
            <w:r>
              <w:rPr>
                <w:rFonts w:hint="eastAsia" w:ascii="宋体" w:hAnsi="宋体" w:eastAsia="宋体" w:cs="宋体"/>
                <w:color w:val="auto"/>
                <w:sz w:val="22"/>
                <w:szCs w:val="22"/>
              </w:rPr>
              <w:t>4、我单位参与本项目政府采购活动3年内其它重大违法记录（重大违法记录，是指投标供应商因违法经营受到刑事处罚或者责令停产停业、吊销许可证或者执照、较大数额罚款等行政处罚）情况声明：</w:t>
            </w:r>
          </w:p>
          <w:p w14:paraId="5FC45BCE">
            <w:pPr>
              <w:tabs>
                <w:tab w:val="center" w:pos="4483"/>
              </w:tabs>
              <w:adjustRightInd w:val="0"/>
              <w:spacing w:line="360" w:lineRule="exact"/>
              <w:ind w:firstLine="400"/>
              <w:rPr>
                <w:rFonts w:hint="eastAsia" w:ascii="宋体" w:hAnsi="宋体" w:eastAsia="宋体" w:cs="宋体"/>
                <w:color w:val="auto"/>
                <w:sz w:val="22"/>
                <w:szCs w:val="22"/>
              </w:rPr>
            </w:pPr>
            <w:r>
              <w:rPr>
                <w:rFonts w:hint="eastAsia" w:ascii="宋体" w:hAnsi="宋体" w:eastAsia="宋体" w:cs="宋体"/>
                <w:color w:val="auto"/>
                <w:sz w:val="22"/>
                <w:szCs w:val="22"/>
              </w:rPr>
              <w:t>5、我单位符合本项目特定资格条件：的要求，并在技术资信部分谈判响应文件中提供了相应的证明材料（磋商文件没有要求特定资格条件的，本条款空格处可以空白）。</w:t>
            </w:r>
          </w:p>
          <w:p w14:paraId="5541BF37">
            <w:pPr>
              <w:tabs>
                <w:tab w:val="center" w:pos="4483"/>
              </w:tabs>
              <w:adjustRightInd w:val="0"/>
              <w:spacing w:line="360" w:lineRule="exact"/>
              <w:ind w:firstLine="446" w:firstLineChars="200"/>
              <w:rPr>
                <w:rFonts w:hint="eastAsia" w:ascii="宋体" w:hAnsi="宋体" w:eastAsia="宋体" w:cs="宋体"/>
                <w:color w:val="auto"/>
                <w:sz w:val="22"/>
                <w:szCs w:val="22"/>
              </w:rPr>
            </w:pPr>
            <w:r>
              <w:rPr>
                <w:rFonts w:hint="eastAsia" w:ascii="宋体" w:hAnsi="宋体" w:eastAsia="宋体" w:cs="宋体"/>
                <w:color w:val="auto"/>
                <w:sz w:val="22"/>
                <w:szCs w:val="22"/>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51A0B1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300" w:type="dxa"/>
            <w:gridSpan w:val="2"/>
            <w:noWrap w:val="0"/>
            <w:vAlign w:val="center"/>
          </w:tcPr>
          <w:p w14:paraId="5BB0927C">
            <w:pPr>
              <w:pStyle w:val="21"/>
              <w:adjustRightInd w:val="0"/>
              <w:snapToGrid w:val="0"/>
              <w:spacing w:line="400" w:lineRule="exact"/>
              <w:ind w:left="422" w:firstLine="331"/>
              <w:rPr>
                <w:rFonts w:hint="eastAsia" w:ascii="宋体" w:hAnsi="宋体" w:eastAsia="宋体" w:cs="宋体"/>
                <w:color w:val="auto"/>
                <w:sz w:val="22"/>
                <w:szCs w:val="22"/>
              </w:rPr>
            </w:pPr>
            <w:r>
              <w:rPr>
                <w:rFonts w:hint="eastAsia" w:ascii="宋体" w:hAnsi="宋体" w:eastAsia="宋体" w:cs="宋体"/>
                <w:color w:val="auto"/>
                <w:sz w:val="22"/>
                <w:szCs w:val="22"/>
              </w:rPr>
              <w:t>供应商名称（加盖盖章）：</w:t>
            </w:r>
          </w:p>
        </w:tc>
      </w:tr>
      <w:tr w14:paraId="12A9D5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300" w:type="dxa"/>
            <w:gridSpan w:val="2"/>
            <w:noWrap w:val="0"/>
            <w:vAlign w:val="center"/>
          </w:tcPr>
          <w:p w14:paraId="2D7F0A17">
            <w:pPr>
              <w:pStyle w:val="21"/>
              <w:adjustRightInd w:val="0"/>
              <w:snapToGrid w:val="0"/>
              <w:spacing w:line="400" w:lineRule="exact"/>
              <w:ind w:left="422" w:firstLine="316"/>
              <w:rPr>
                <w:rFonts w:hint="eastAsia" w:ascii="宋体" w:hAnsi="宋体" w:eastAsia="宋体" w:cs="宋体"/>
                <w:color w:val="auto"/>
                <w:sz w:val="22"/>
                <w:szCs w:val="22"/>
              </w:rPr>
            </w:pPr>
            <w:r>
              <w:rPr>
                <w:rFonts w:hint="eastAsia" w:ascii="宋体" w:hAnsi="宋体" w:eastAsia="宋体" w:cs="宋体"/>
                <w:color w:val="auto"/>
                <w:sz w:val="22"/>
                <w:szCs w:val="22"/>
              </w:rPr>
              <w:t>法定代表人或授权代表（签字或盖章）：</w:t>
            </w:r>
          </w:p>
        </w:tc>
      </w:tr>
      <w:tr w14:paraId="536E34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300" w:type="dxa"/>
            <w:gridSpan w:val="2"/>
            <w:noWrap w:val="0"/>
            <w:vAlign w:val="center"/>
          </w:tcPr>
          <w:p w14:paraId="36EBEF2C">
            <w:pPr>
              <w:pStyle w:val="21"/>
              <w:adjustRightInd w:val="0"/>
              <w:snapToGrid w:val="0"/>
              <w:spacing w:line="400" w:lineRule="exact"/>
              <w:ind w:left="422" w:firstLine="331"/>
              <w:rPr>
                <w:rFonts w:hint="eastAsia" w:ascii="宋体" w:hAnsi="宋体" w:eastAsia="宋体" w:cs="宋体"/>
                <w:color w:val="auto"/>
                <w:sz w:val="22"/>
                <w:szCs w:val="22"/>
              </w:rPr>
            </w:pPr>
            <w:r>
              <w:rPr>
                <w:rFonts w:hint="eastAsia" w:ascii="宋体" w:hAnsi="宋体" w:eastAsia="宋体" w:cs="宋体"/>
                <w:color w:val="auto"/>
                <w:sz w:val="22"/>
                <w:szCs w:val="22"/>
              </w:rPr>
              <w:t>签署日期：</w:t>
            </w:r>
          </w:p>
        </w:tc>
      </w:tr>
    </w:tbl>
    <w:p w14:paraId="317C5AC7">
      <w:pPr>
        <w:spacing w:line="360" w:lineRule="exact"/>
        <w:jc w:val="left"/>
        <w:rPr>
          <w:rFonts w:ascii="宋体"/>
          <w:color w:val="auto"/>
          <w:u w:val="single"/>
        </w:rPr>
      </w:pPr>
      <w:r>
        <w:rPr>
          <w:rFonts w:hint="eastAsia" w:ascii="宋体" w:hAnsi="宋体" w:eastAsia="宋体" w:cs="宋体"/>
          <w:color w:val="auto"/>
          <w:sz w:val="22"/>
          <w:szCs w:val="22"/>
          <w:u w:val="single"/>
        </w:rPr>
        <w:t>备注：▲投标供应商必须提供本声明，不提供按无效投标处理。</w:t>
      </w:r>
    </w:p>
    <w:p w14:paraId="119115E5">
      <w:pPr>
        <w:pStyle w:val="34"/>
        <w:jc w:val="both"/>
        <w:outlineLvl w:val="2"/>
        <w:rPr>
          <w:rFonts w:hint="eastAsia" w:ascii="宋体" w:hAnsi="宋体"/>
          <w:color w:val="auto"/>
          <w:sz w:val="28"/>
          <w:szCs w:val="18"/>
          <w:lang w:val="zh-CN"/>
        </w:rPr>
      </w:pPr>
      <w:bookmarkStart w:id="106" w:name="_Toc30910"/>
      <w:bookmarkStart w:id="107" w:name="_Toc44607652"/>
      <w:r>
        <w:rPr>
          <w:rFonts w:hint="eastAsia" w:ascii="宋体" w:hAnsi="宋体"/>
          <w:color w:val="auto"/>
          <w:sz w:val="24"/>
          <w:szCs w:val="16"/>
          <w:lang w:val="zh-CN"/>
        </w:rPr>
        <w:t>附件五</w:t>
      </w:r>
      <w:r>
        <w:rPr>
          <w:rFonts w:hint="eastAsia" w:ascii="宋体" w:hAnsi="宋体"/>
          <w:color w:val="auto"/>
          <w:sz w:val="28"/>
          <w:szCs w:val="18"/>
          <w:lang w:val="zh-CN"/>
        </w:rPr>
        <w:t xml:space="preserve">  </w:t>
      </w:r>
    </w:p>
    <w:p w14:paraId="5EDC62FC">
      <w:pPr>
        <w:pStyle w:val="34"/>
        <w:jc w:val="center"/>
        <w:outlineLvl w:val="2"/>
        <w:rPr>
          <w:rFonts w:ascii="宋体" w:hAnsi="宋体"/>
          <w:color w:val="auto"/>
          <w:sz w:val="28"/>
          <w:szCs w:val="18"/>
          <w:lang w:val="zh-CN"/>
        </w:rPr>
      </w:pPr>
      <w:r>
        <w:rPr>
          <w:rFonts w:hint="eastAsia" w:ascii="宋体" w:hAnsi="宋体"/>
          <w:color w:val="auto"/>
          <w:sz w:val="24"/>
          <w:szCs w:val="16"/>
          <w:lang w:val="zh-CN"/>
        </w:rPr>
        <w:t>与参加本次项目同一合同项下政府采购活动的其他供应商不存在单位负责人为同一人或者直接控股、管理关系的承诺函</w:t>
      </w:r>
      <w:bookmarkEnd w:id="106"/>
      <w:bookmarkEnd w:id="107"/>
    </w:p>
    <w:p w14:paraId="57E17189">
      <w:pPr>
        <w:spacing w:line="460" w:lineRule="exact"/>
        <w:rPr>
          <w:rFonts w:ascii="宋体"/>
          <w:color w:val="auto"/>
          <w:sz w:val="22"/>
          <w:szCs w:val="22"/>
          <w:u w:val="single"/>
        </w:rPr>
      </w:pPr>
    </w:p>
    <w:p w14:paraId="1EF78AED">
      <w:pPr>
        <w:autoSpaceDE w:val="0"/>
        <w:autoSpaceDN w:val="0"/>
        <w:adjustRightInd w:val="0"/>
        <w:spacing w:line="460" w:lineRule="atLeast"/>
        <w:rPr>
          <w:rFonts w:ascii="宋体"/>
          <w:color w:val="auto"/>
          <w:sz w:val="36"/>
        </w:rPr>
      </w:pPr>
      <w:r>
        <w:rPr>
          <w:rFonts w:hint="eastAsia" w:ascii="宋体"/>
          <w:color w:val="auto"/>
          <w:sz w:val="22"/>
          <w:szCs w:val="22"/>
          <w:u w:val="single"/>
          <w:lang w:eastAsia="zh-CN"/>
        </w:rPr>
        <w:t>泰顺县卫生健康局</w:t>
      </w:r>
      <w:r>
        <w:rPr>
          <w:rFonts w:hint="eastAsia" w:ascii="宋体"/>
          <w:color w:val="auto"/>
          <w:sz w:val="22"/>
          <w:szCs w:val="22"/>
          <w:u w:val="single"/>
        </w:rPr>
        <w:t>：</w:t>
      </w:r>
    </w:p>
    <w:p w14:paraId="212F717C">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我方郑重承诺，我方此次参加</w:t>
      </w:r>
      <w:r>
        <w:rPr>
          <w:rFonts w:hint="eastAsia" w:ascii="宋体" w:cs="Courier New"/>
          <w:b/>
          <w:bCs/>
          <w:color w:val="auto"/>
          <w:sz w:val="22"/>
          <w:szCs w:val="22"/>
          <w:u w:val="single"/>
          <w:lang w:eastAsia="zh-CN"/>
        </w:rPr>
        <w:t>泰顺县”慢病智管“数智化服务（三年）</w:t>
      </w:r>
      <w:r>
        <w:rPr>
          <w:rFonts w:hint="eastAsia" w:ascii="宋体" w:cs="Courier New"/>
          <w:color w:val="auto"/>
          <w:sz w:val="22"/>
          <w:szCs w:val="22"/>
        </w:rPr>
        <w:t>的投标，与参加本次项目同一合同项下政府采购活动的其他供应商不存在单位负责人为同一人或者直接控股、管理关系。如有虚假或隐瞒，愿意承担一切后果。</w:t>
      </w:r>
    </w:p>
    <w:p w14:paraId="75A91A77">
      <w:pPr>
        <w:pStyle w:val="104"/>
        <w:ind w:firstLine="210"/>
        <w:rPr>
          <w:rFonts w:ascii="宋体" w:hAnsi="宋体" w:eastAsia="宋体"/>
          <w:color w:val="auto"/>
        </w:rPr>
      </w:pPr>
    </w:p>
    <w:p w14:paraId="19396207">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特此承诺！</w:t>
      </w:r>
    </w:p>
    <w:p w14:paraId="4E88CBC8">
      <w:pPr>
        <w:widowControl/>
        <w:snapToGrid w:val="0"/>
        <w:spacing w:line="460" w:lineRule="exact"/>
        <w:ind w:firstLine="446" w:firstLineChars="200"/>
        <w:jc w:val="left"/>
        <w:rPr>
          <w:rFonts w:ascii="宋体" w:cs="Courier New"/>
          <w:color w:val="auto"/>
          <w:sz w:val="22"/>
          <w:szCs w:val="22"/>
        </w:rPr>
      </w:pPr>
    </w:p>
    <w:p w14:paraId="642B281C">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投标供应商（盖章） ：</w:t>
      </w:r>
    </w:p>
    <w:p w14:paraId="1E6A7A39">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法定代表人或其授权代表（签字或盖章）：</w:t>
      </w:r>
    </w:p>
    <w:p w14:paraId="5E123EC3">
      <w:pPr>
        <w:autoSpaceDE w:val="0"/>
        <w:autoSpaceDN w:val="0"/>
        <w:adjustRightInd w:val="0"/>
        <w:spacing w:line="460" w:lineRule="atLeast"/>
        <w:ind w:firstLine="446" w:firstLineChars="200"/>
        <w:rPr>
          <w:rFonts w:ascii="宋体"/>
          <w:color w:val="auto"/>
          <w:sz w:val="36"/>
        </w:rPr>
      </w:pPr>
      <w:r>
        <w:rPr>
          <w:rFonts w:hint="eastAsia" w:ascii="宋体" w:cs="Courier New"/>
          <w:color w:val="auto"/>
          <w:sz w:val="22"/>
          <w:szCs w:val="22"/>
        </w:rPr>
        <w:t>日期：</w:t>
      </w:r>
    </w:p>
    <w:p w14:paraId="53C7A8C7">
      <w:pPr>
        <w:pStyle w:val="34"/>
        <w:outlineLvl w:val="9"/>
        <w:rPr>
          <w:rFonts w:ascii="宋体" w:hAnsi="宋体"/>
          <w:color w:val="auto"/>
        </w:rPr>
      </w:pPr>
    </w:p>
    <w:p w14:paraId="749F1132">
      <w:pPr>
        <w:pStyle w:val="34"/>
        <w:outlineLvl w:val="9"/>
        <w:rPr>
          <w:rFonts w:ascii="宋体" w:hAnsi="宋体"/>
          <w:color w:val="auto"/>
        </w:rPr>
      </w:pPr>
    </w:p>
    <w:p w14:paraId="3D110585">
      <w:pPr>
        <w:pStyle w:val="34"/>
        <w:outlineLvl w:val="9"/>
        <w:rPr>
          <w:rFonts w:ascii="宋体" w:hAnsi="宋体"/>
          <w:color w:val="auto"/>
        </w:rPr>
      </w:pPr>
    </w:p>
    <w:p w14:paraId="21ADB1AA">
      <w:pPr>
        <w:pStyle w:val="34"/>
        <w:outlineLvl w:val="9"/>
        <w:rPr>
          <w:rFonts w:ascii="宋体" w:hAnsi="宋体"/>
          <w:color w:val="auto"/>
        </w:rPr>
      </w:pPr>
    </w:p>
    <w:p w14:paraId="776716CC">
      <w:pPr>
        <w:pStyle w:val="34"/>
        <w:outlineLvl w:val="9"/>
        <w:rPr>
          <w:rFonts w:ascii="宋体" w:hAnsi="宋体"/>
          <w:color w:val="auto"/>
        </w:rPr>
      </w:pPr>
    </w:p>
    <w:p w14:paraId="243EB023">
      <w:pPr>
        <w:pStyle w:val="34"/>
        <w:outlineLvl w:val="9"/>
        <w:rPr>
          <w:rFonts w:ascii="宋体" w:hAnsi="宋体"/>
          <w:color w:val="auto"/>
        </w:rPr>
      </w:pPr>
    </w:p>
    <w:p w14:paraId="1DDBB14F">
      <w:pPr>
        <w:pStyle w:val="34"/>
        <w:outlineLvl w:val="9"/>
        <w:rPr>
          <w:rFonts w:ascii="宋体" w:hAnsi="宋体"/>
          <w:color w:val="auto"/>
        </w:rPr>
      </w:pPr>
    </w:p>
    <w:p w14:paraId="61423BEC">
      <w:pPr>
        <w:pStyle w:val="34"/>
        <w:outlineLvl w:val="9"/>
        <w:rPr>
          <w:rFonts w:ascii="宋体" w:hAnsi="宋体"/>
          <w:color w:val="auto"/>
        </w:rPr>
      </w:pPr>
    </w:p>
    <w:p w14:paraId="17B46FEF">
      <w:pPr>
        <w:pStyle w:val="34"/>
        <w:outlineLvl w:val="9"/>
        <w:rPr>
          <w:rFonts w:ascii="宋体" w:hAnsi="宋体"/>
          <w:color w:val="auto"/>
        </w:rPr>
      </w:pPr>
    </w:p>
    <w:bookmarkEnd w:id="84"/>
    <w:bookmarkEnd w:id="85"/>
    <w:p w14:paraId="2A09E27A">
      <w:pPr>
        <w:rPr>
          <w:rFonts w:ascii="宋体" w:hAnsi="宋体"/>
          <w:color w:val="auto"/>
        </w:rPr>
      </w:pPr>
      <w:bookmarkStart w:id="108" w:name="_Toc11383"/>
      <w:bookmarkStart w:id="109" w:name="_Toc44607653"/>
      <w:bookmarkStart w:id="110" w:name="_Toc413747701"/>
    </w:p>
    <w:p w14:paraId="03420C6A">
      <w:pPr>
        <w:pStyle w:val="34"/>
        <w:outlineLvl w:val="1"/>
        <w:rPr>
          <w:rFonts w:hint="eastAsia" w:ascii="宋体" w:hAnsi="宋体"/>
          <w:color w:val="auto"/>
        </w:rPr>
      </w:pPr>
    </w:p>
    <w:p w14:paraId="4791BB04">
      <w:pPr>
        <w:pStyle w:val="34"/>
        <w:outlineLvl w:val="1"/>
        <w:rPr>
          <w:rFonts w:ascii="宋体" w:hAnsi="宋体"/>
          <w:color w:val="auto"/>
          <w:lang w:val="zh-CN"/>
        </w:rPr>
      </w:pPr>
      <w:r>
        <w:rPr>
          <w:rFonts w:hint="eastAsia" w:ascii="宋体" w:hAnsi="宋体"/>
          <w:color w:val="auto"/>
        </w:rPr>
        <w:t>二</w:t>
      </w:r>
      <w:r>
        <w:rPr>
          <w:rFonts w:hint="eastAsia" w:ascii="宋体" w:hAnsi="宋体"/>
          <w:color w:val="auto"/>
          <w:lang w:val="zh-CN"/>
        </w:rPr>
        <w:t>、报价</w:t>
      </w:r>
      <w:r>
        <w:rPr>
          <w:rFonts w:hint="eastAsia" w:ascii="宋体" w:hAnsi="宋体"/>
          <w:color w:val="auto"/>
        </w:rPr>
        <w:t>文件格</w:t>
      </w:r>
      <w:r>
        <w:rPr>
          <w:rFonts w:hint="eastAsia" w:ascii="宋体" w:hAnsi="宋体"/>
          <w:color w:val="auto"/>
          <w:lang w:val="zh-CN"/>
        </w:rPr>
        <w:t>式</w:t>
      </w:r>
      <w:bookmarkEnd w:id="108"/>
      <w:bookmarkEnd w:id="109"/>
    </w:p>
    <w:p w14:paraId="4F5E98F9">
      <w:pPr>
        <w:pStyle w:val="33"/>
        <w:snapToGrid w:val="0"/>
        <w:spacing w:beforeAutospacing="0" w:afterAutospacing="0"/>
        <w:jc w:val="both"/>
        <w:rPr>
          <w:rFonts w:ascii="宋体" w:hAnsi="宋体" w:cs="宋体"/>
          <w:color w:val="auto"/>
          <w:sz w:val="22"/>
          <w:szCs w:val="22"/>
        </w:rPr>
      </w:pPr>
      <w:bookmarkStart w:id="111" w:name="_Toc44607654"/>
      <w:r>
        <w:rPr>
          <w:rFonts w:hint="eastAsia" w:ascii="宋体" w:hAnsi="宋体" w:cs="宋体"/>
          <w:b/>
          <w:bCs/>
          <w:color w:val="auto"/>
          <w:sz w:val="22"/>
          <w:szCs w:val="22"/>
        </w:rPr>
        <w:t>报价部分投标文件</w:t>
      </w:r>
      <w:r>
        <w:rPr>
          <w:rFonts w:hint="eastAsia" w:ascii="宋体" w:hAnsi="宋体" w:eastAsia="宋体" w:cs="宋体"/>
          <w:b/>
          <w:bCs/>
          <w:color w:val="auto"/>
          <w:sz w:val="22"/>
          <w:szCs w:val="22"/>
        </w:rPr>
        <w:t>封面参考：</w:t>
      </w:r>
    </w:p>
    <w:p w14:paraId="2C9789C7">
      <w:pPr>
        <w:snapToGrid w:val="0"/>
        <w:spacing w:line="440" w:lineRule="exact"/>
        <w:jc w:val="center"/>
        <w:rPr>
          <w:rFonts w:ascii="宋体" w:hAnsi="宋体" w:cs="宋体"/>
          <w:b/>
          <w:color w:val="auto"/>
          <w:sz w:val="32"/>
          <w:szCs w:val="32"/>
        </w:rPr>
      </w:pPr>
    </w:p>
    <w:p w14:paraId="41FF2D8D">
      <w:pPr>
        <w:snapToGrid w:val="0"/>
        <w:spacing w:line="440" w:lineRule="exact"/>
        <w:jc w:val="center"/>
        <w:rPr>
          <w:rFonts w:ascii="宋体" w:hAnsi="宋体" w:cs="宋体"/>
          <w:b/>
          <w:color w:val="auto"/>
          <w:sz w:val="84"/>
          <w:szCs w:val="84"/>
        </w:rPr>
      </w:pPr>
      <w:bookmarkStart w:id="112" w:name="_Toc8854_WPSOffice_Level2"/>
      <w:bookmarkEnd w:id="112"/>
    </w:p>
    <w:p w14:paraId="346AA07B">
      <w:pPr>
        <w:pStyle w:val="18"/>
        <w:ind w:left="428"/>
        <w:rPr>
          <w:rFonts w:ascii="宋体" w:hAnsi="宋体" w:cs="宋体"/>
          <w:b/>
          <w:color w:val="auto"/>
          <w:sz w:val="84"/>
          <w:szCs w:val="84"/>
        </w:rPr>
      </w:pPr>
    </w:p>
    <w:p w14:paraId="54C269A4">
      <w:pPr>
        <w:pStyle w:val="19"/>
        <w:ind w:left="428" w:firstLine="428"/>
        <w:rPr>
          <w:color w:val="auto"/>
        </w:rPr>
      </w:pPr>
    </w:p>
    <w:p w14:paraId="07F96046">
      <w:pPr>
        <w:snapToGrid w:val="0"/>
        <w:spacing w:line="480" w:lineRule="auto"/>
        <w:jc w:val="center"/>
        <w:rPr>
          <w:rFonts w:ascii="宋体" w:hAnsi="宋体" w:cs="宋体"/>
          <w:b/>
          <w:color w:val="auto"/>
          <w:sz w:val="84"/>
          <w:szCs w:val="84"/>
        </w:rPr>
      </w:pPr>
      <w:r>
        <w:rPr>
          <w:rFonts w:hint="eastAsia" w:ascii="宋体" w:hAnsi="宋体" w:cs="宋体"/>
          <w:b/>
          <w:color w:val="auto"/>
          <w:sz w:val="84"/>
          <w:szCs w:val="84"/>
        </w:rPr>
        <w:t>报 价 文 件</w:t>
      </w:r>
    </w:p>
    <w:p w14:paraId="47B0760E">
      <w:pPr>
        <w:snapToGrid w:val="0"/>
        <w:spacing w:line="480" w:lineRule="auto"/>
        <w:jc w:val="center"/>
        <w:rPr>
          <w:rFonts w:ascii="宋体" w:hAnsi="宋体" w:cs="宋体"/>
          <w:b/>
          <w:color w:val="auto"/>
          <w:sz w:val="84"/>
          <w:szCs w:val="84"/>
        </w:rPr>
      </w:pPr>
      <w:r>
        <w:rPr>
          <w:rFonts w:hint="eastAsia" w:ascii="宋体" w:hAnsi="宋体" w:cs="宋体"/>
          <w:b/>
          <w:color w:val="auto"/>
          <w:sz w:val="84"/>
          <w:szCs w:val="84"/>
        </w:rPr>
        <w:t>投标文件</w:t>
      </w:r>
    </w:p>
    <w:p w14:paraId="0D305665">
      <w:pPr>
        <w:snapToGrid w:val="0"/>
        <w:spacing w:line="600" w:lineRule="atLeast"/>
        <w:ind w:firstLine="1052" w:firstLineChars="400"/>
        <w:rPr>
          <w:rFonts w:hint="eastAsia" w:ascii="宋体" w:hAnsi="宋体" w:eastAsia="宋体" w:cs="宋体"/>
          <w:b/>
          <w:color w:val="auto"/>
          <w:sz w:val="26"/>
          <w:szCs w:val="26"/>
          <w:lang w:eastAsia="zh-CN"/>
        </w:rPr>
      </w:pPr>
      <w:r>
        <w:rPr>
          <w:rFonts w:hint="eastAsia" w:ascii="宋体" w:hAnsi="宋体" w:cs="宋体"/>
          <w:b/>
          <w:color w:val="auto"/>
          <w:sz w:val="26"/>
          <w:szCs w:val="26"/>
        </w:rPr>
        <w:t>项目名称：</w:t>
      </w:r>
      <w:r>
        <w:rPr>
          <w:rFonts w:hint="eastAsia" w:ascii="宋体" w:hAnsi="宋体" w:cs="宋体"/>
          <w:b/>
          <w:color w:val="auto"/>
          <w:sz w:val="26"/>
          <w:szCs w:val="26"/>
          <w:lang w:eastAsia="zh-CN"/>
        </w:rPr>
        <w:t>泰顺县”慢病智管“数智化服务（三年）</w:t>
      </w:r>
    </w:p>
    <w:p w14:paraId="2F4169B9">
      <w:pPr>
        <w:snapToGrid w:val="0"/>
        <w:spacing w:line="600" w:lineRule="atLeast"/>
        <w:ind w:firstLine="1052" w:firstLineChars="400"/>
        <w:rPr>
          <w:rFonts w:hint="eastAsia" w:ascii="宋体" w:hAnsi="宋体" w:eastAsia="宋体" w:cs="宋体"/>
          <w:b/>
          <w:color w:val="auto"/>
          <w:sz w:val="26"/>
          <w:szCs w:val="26"/>
          <w:lang w:eastAsia="zh-CN"/>
        </w:rPr>
      </w:pPr>
      <w:r>
        <w:rPr>
          <w:rFonts w:hint="eastAsia" w:ascii="宋体" w:hAnsi="宋体" w:cs="宋体"/>
          <w:b/>
          <w:color w:val="auto"/>
          <w:sz w:val="26"/>
          <w:szCs w:val="26"/>
        </w:rPr>
        <w:t>项目编号：</w:t>
      </w:r>
      <w:r>
        <w:rPr>
          <w:rFonts w:hint="eastAsia" w:ascii="宋体" w:hAnsi="宋体" w:cs="宋体"/>
          <w:b/>
          <w:color w:val="auto"/>
          <w:sz w:val="26"/>
          <w:szCs w:val="26"/>
          <w:lang w:eastAsia="zh-CN"/>
        </w:rPr>
        <w:t>TSCG202510020</w:t>
      </w:r>
    </w:p>
    <w:p w14:paraId="34443609">
      <w:pPr>
        <w:snapToGrid w:val="0"/>
        <w:spacing w:line="600" w:lineRule="atLeast"/>
        <w:ind w:firstLine="1052" w:firstLineChars="400"/>
        <w:rPr>
          <w:rFonts w:hint="eastAsia" w:ascii="宋体" w:hAnsi="宋体" w:eastAsia="宋体" w:cs="宋体"/>
          <w:b/>
          <w:color w:val="auto"/>
          <w:sz w:val="26"/>
          <w:szCs w:val="26"/>
          <w:lang w:eastAsia="zh-CN"/>
        </w:rPr>
      </w:pPr>
      <w:r>
        <w:rPr>
          <w:rFonts w:hint="eastAsia" w:ascii="宋体" w:hAnsi="宋体" w:cs="宋体"/>
          <w:b/>
          <w:color w:val="auto"/>
          <w:sz w:val="26"/>
          <w:szCs w:val="26"/>
        </w:rPr>
        <w:t>采购单位：</w:t>
      </w:r>
      <w:r>
        <w:rPr>
          <w:rFonts w:hint="eastAsia" w:ascii="宋体" w:hAnsi="宋体" w:cs="宋体"/>
          <w:b/>
          <w:color w:val="auto"/>
          <w:sz w:val="26"/>
          <w:szCs w:val="26"/>
          <w:lang w:eastAsia="zh-CN"/>
        </w:rPr>
        <w:t>泰顺县卫生健康局</w:t>
      </w:r>
    </w:p>
    <w:p w14:paraId="45B8F334">
      <w:pPr>
        <w:snapToGrid w:val="0"/>
        <w:spacing w:line="600" w:lineRule="atLeast"/>
        <w:ind w:firstLine="1052" w:firstLineChars="400"/>
        <w:rPr>
          <w:rFonts w:ascii="宋体" w:hAnsi="宋体" w:cs="宋体"/>
          <w:b/>
          <w:color w:val="auto"/>
          <w:sz w:val="26"/>
          <w:szCs w:val="26"/>
        </w:rPr>
      </w:pPr>
      <w:r>
        <w:rPr>
          <w:rFonts w:hint="eastAsia" w:ascii="宋体" w:hAnsi="宋体" w:cs="宋体"/>
          <w:b/>
          <w:color w:val="auto"/>
          <w:sz w:val="26"/>
          <w:szCs w:val="26"/>
        </w:rPr>
        <w:t xml:space="preserve">供应商名称： </w:t>
      </w:r>
    </w:p>
    <w:p w14:paraId="21DF5CBB">
      <w:pPr>
        <w:snapToGrid w:val="0"/>
        <w:spacing w:line="600" w:lineRule="atLeast"/>
        <w:ind w:firstLine="1052" w:firstLineChars="400"/>
        <w:rPr>
          <w:rFonts w:ascii="宋体" w:hAnsi="宋体" w:cs="宋体"/>
          <w:b/>
          <w:color w:val="auto"/>
          <w:sz w:val="26"/>
          <w:szCs w:val="26"/>
        </w:rPr>
      </w:pPr>
      <w:r>
        <w:rPr>
          <w:rFonts w:hint="eastAsia" w:ascii="宋体" w:hAnsi="宋体" w:cs="宋体"/>
          <w:b/>
          <w:color w:val="auto"/>
          <w:sz w:val="26"/>
          <w:szCs w:val="26"/>
        </w:rPr>
        <w:t xml:space="preserve">供应商地址： </w:t>
      </w:r>
    </w:p>
    <w:p w14:paraId="4E810594">
      <w:pPr>
        <w:snapToGrid w:val="0"/>
        <w:spacing w:line="600" w:lineRule="atLeast"/>
        <w:ind w:firstLine="1052" w:firstLineChars="400"/>
        <w:rPr>
          <w:rFonts w:ascii="宋体" w:hAnsi="宋体" w:cs="宋体"/>
          <w:b/>
          <w:color w:val="auto"/>
          <w:sz w:val="26"/>
          <w:szCs w:val="26"/>
        </w:rPr>
      </w:pPr>
      <w:r>
        <w:rPr>
          <w:rFonts w:hint="eastAsia" w:ascii="宋体" w:hAnsi="宋体" w:cs="宋体"/>
          <w:b/>
          <w:color w:val="auto"/>
          <w:sz w:val="26"/>
          <w:szCs w:val="26"/>
        </w:rPr>
        <w:t>法定代表人（签字或盖章）或授权代表（签字）：</w:t>
      </w:r>
    </w:p>
    <w:p w14:paraId="6E2F80CB">
      <w:pPr>
        <w:snapToGrid w:val="0"/>
        <w:spacing w:line="600" w:lineRule="atLeast"/>
        <w:ind w:firstLine="1052" w:firstLineChars="400"/>
        <w:rPr>
          <w:rFonts w:hint="eastAsia" w:ascii="宋体" w:hAnsi="宋体" w:eastAsia="宋体" w:cs="宋体"/>
          <w:b/>
          <w:color w:val="auto"/>
          <w:sz w:val="26"/>
          <w:szCs w:val="26"/>
          <w:lang w:eastAsia="zh-CN"/>
        </w:rPr>
      </w:pPr>
      <w:r>
        <w:rPr>
          <w:rFonts w:hint="eastAsia" w:ascii="宋体" w:hAnsi="宋体" w:cs="宋体"/>
          <w:b/>
          <w:color w:val="auto"/>
          <w:sz w:val="26"/>
          <w:szCs w:val="26"/>
        </w:rPr>
        <w:t>日期：  年</w:t>
      </w:r>
      <w:r>
        <w:rPr>
          <w:rFonts w:hint="eastAsia" w:ascii="宋体" w:hAnsi="宋体" w:cs="宋体"/>
          <w:b/>
          <w:color w:val="auto"/>
          <w:sz w:val="26"/>
          <w:szCs w:val="26"/>
          <w:lang w:eastAsia="zh-CN"/>
        </w:rPr>
        <w:t>11月10日</w:t>
      </w:r>
    </w:p>
    <w:p w14:paraId="3B075562">
      <w:pPr>
        <w:pStyle w:val="34"/>
        <w:outlineLvl w:val="9"/>
        <w:rPr>
          <w:rFonts w:ascii="宋体" w:hAnsi="宋体"/>
          <w:color w:val="auto"/>
          <w:sz w:val="28"/>
          <w:szCs w:val="18"/>
          <w:lang w:val="zh-CN"/>
        </w:rPr>
      </w:pPr>
    </w:p>
    <w:p w14:paraId="4258FF12">
      <w:pPr>
        <w:rPr>
          <w:rFonts w:ascii="宋体" w:hAnsi="宋体"/>
          <w:color w:val="auto"/>
          <w:sz w:val="28"/>
          <w:szCs w:val="18"/>
          <w:lang w:val="zh-CN"/>
        </w:rPr>
      </w:pPr>
      <w:r>
        <w:rPr>
          <w:rFonts w:hint="eastAsia" w:ascii="宋体" w:hAnsi="宋体"/>
          <w:color w:val="auto"/>
          <w:sz w:val="28"/>
          <w:szCs w:val="18"/>
          <w:lang w:val="zh-CN"/>
        </w:rPr>
        <w:br w:type="page"/>
      </w:r>
    </w:p>
    <w:p w14:paraId="61254857">
      <w:pPr>
        <w:pStyle w:val="34"/>
        <w:outlineLvl w:val="2"/>
        <w:rPr>
          <w:rFonts w:ascii="宋体" w:hAnsi="宋体"/>
          <w:color w:val="auto"/>
          <w:sz w:val="28"/>
          <w:szCs w:val="18"/>
          <w:lang w:val="zh-CN"/>
        </w:rPr>
      </w:pPr>
      <w:r>
        <w:rPr>
          <w:rFonts w:hint="eastAsia" w:ascii="宋体" w:hAnsi="宋体"/>
          <w:color w:val="auto"/>
          <w:sz w:val="28"/>
          <w:szCs w:val="18"/>
          <w:lang w:val="zh-CN"/>
        </w:rPr>
        <w:t xml:space="preserve">附件六  </w:t>
      </w:r>
      <w:r>
        <w:rPr>
          <w:rFonts w:hint="eastAsia" w:ascii="宋体" w:hAnsi="宋体"/>
          <w:color w:val="auto"/>
          <w:sz w:val="28"/>
          <w:szCs w:val="18"/>
        </w:rPr>
        <w:t>开标（报价）</w:t>
      </w:r>
      <w:r>
        <w:rPr>
          <w:rFonts w:hint="eastAsia" w:ascii="宋体" w:hAnsi="宋体"/>
          <w:color w:val="auto"/>
          <w:sz w:val="28"/>
          <w:szCs w:val="18"/>
          <w:lang w:val="zh-CN"/>
        </w:rPr>
        <w:t>一览表</w:t>
      </w:r>
      <w:bookmarkEnd w:id="110"/>
      <w:bookmarkEnd w:id="111"/>
    </w:p>
    <w:p w14:paraId="0F6EDEC8">
      <w:pPr>
        <w:autoSpaceDE w:val="0"/>
        <w:autoSpaceDN w:val="0"/>
        <w:adjustRightInd w:val="0"/>
        <w:rPr>
          <w:rFonts w:ascii="宋体"/>
          <w:color w:val="auto"/>
          <w:sz w:val="22"/>
          <w:szCs w:val="22"/>
          <w:lang w:val="zh-CN"/>
        </w:rPr>
      </w:pPr>
    </w:p>
    <w:p w14:paraId="3E82ADE6">
      <w:pPr>
        <w:autoSpaceDE w:val="0"/>
        <w:autoSpaceDN w:val="0"/>
        <w:adjustRightInd w:val="0"/>
        <w:rPr>
          <w:rFonts w:ascii="宋体"/>
          <w:color w:val="auto"/>
          <w:sz w:val="22"/>
          <w:szCs w:val="22"/>
          <w:lang w:val="zh-CN"/>
        </w:rPr>
      </w:pPr>
      <w:r>
        <w:rPr>
          <w:rFonts w:hint="eastAsia" w:ascii="宋体"/>
          <w:color w:val="auto"/>
          <w:sz w:val="22"/>
          <w:szCs w:val="22"/>
          <w:lang w:val="zh-CN"/>
        </w:rPr>
        <w:t>投标人名称：</w:t>
      </w:r>
      <w:r>
        <w:rPr>
          <w:rFonts w:hint="eastAsia" w:ascii="宋体"/>
          <w:color w:val="auto"/>
          <w:sz w:val="22"/>
          <w:szCs w:val="22"/>
          <w:lang w:val="en-US" w:eastAsia="zh-CN"/>
        </w:rPr>
        <w:t xml:space="preserve">                       </w:t>
      </w:r>
      <w:r>
        <w:rPr>
          <w:rFonts w:hint="eastAsia" w:ascii="宋体"/>
          <w:color w:val="auto"/>
          <w:sz w:val="22"/>
          <w:szCs w:val="22"/>
          <w:lang w:val="zh-CN"/>
        </w:rPr>
        <w:t>采购编号：</w:t>
      </w:r>
      <w:r>
        <w:rPr>
          <w:rFonts w:hint="eastAsia" w:ascii="宋体"/>
          <w:color w:val="auto"/>
          <w:sz w:val="22"/>
          <w:szCs w:val="22"/>
          <w:lang w:val="en-US" w:eastAsia="zh-CN"/>
        </w:rPr>
        <w:t xml:space="preserve">           </w:t>
      </w:r>
      <w:r>
        <w:rPr>
          <w:rFonts w:hint="eastAsia" w:ascii="宋体"/>
          <w:color w:val="auto"/>
          <w:sz w:val="22"/>
          <w:szCs w:val="22"/>
          <w:lang w:val="zh-CN"/>
        </w:rPr>
        <w:t xml:space="preserve">  报价单位：</w:t>
      </w:r>
      <w:r>
        <w:rPr>
          <w:rFonts w:hint="eastAsia" w:ascii="宋体"/>
          <w:color w:val="auto"/>
          <w:sz w:val="22"/>
          <w:szCs w:val="22"/>
          <w:u w:val="single"/>
          <w:lang w:val="zh-CN"/>
        </w:rPr>
        <w:t>人民币元</w:t>
      </w:r>
    </w:p>
    <w:tbl>
      <w:tblPr>
        <w:tblStyle w:val="36"/>
        <w:tblW w:w="927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28"/>
        <w:gridCol w:w="5305"/>
        <w:gridCol w:w="2138"/>
      </w:tblGrid>
      <w:tr w14:paraId="546F9B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1" w:hRule="atLeast"/>
        </w:trPr>
        <w:tc>
          <w:tcPr>
            <w:tcW w:w="1828" w:type="dxa"/>
            <w:tcBorders>
              <w:right w:val="single" w:color="auto" w:sz="4" w:space="0"/>
            </w:tcBorders>
            <w:noWrap w:val="0"/>
            <w:vAlign w:val="center"/>
          </w:tcPr>
          <w:p w14:paraId="341F1FF9">
            <w:pPr>
              <w:pStyle w:val="21"/>
              <w:jc w:val="center"/>
              <w:rPr>
                <w:rFonts w:hAnsi="宋体"/>
                <w:color w:val="auto"/>
                <w:sz w:val="22"/>
                <w:szCs w:val="22"/>
              </w:rPr>
            </w:pPr>
            <w:r>
              <w:rPr>
                <w:rFonts w:hint="eastAsia" w:hAnsi="宋体"/>
                <w:color w:val="auto"/>
                <w:sz w:val="22"/>
                <w:szCs w:val="22"/>
              </w:rPr>
              <w:t>项目名称</w:t>
            </w:r>
          </w:p>
        </w:tc>
        <w:tc>
          <w:tcPr>
            <w:tcW w:w="5305" w:type="dxa"/>
            <w:tcBorders>
              <w:left w:val="single" w:color="auto" w:sz="4" w:space="0"/>
              <w:right w:val="single" w:color="auto" w:sz="4" w:space="0"/>
            </w:tcBorders>
            <w:noWrap w:val="0"/>
            <w:vAlign w:val="center"/>
          </w:tcPr>
          <w:p w14:paraId="2932174C">
            <w:pPr>
              <w:pStyle w:val="21"/>
              <w:jc w:val="center"/>
              <w:rPr>
                <w:rFonts w:hAnsi="宋体"/>
                <w:color w:val="auto"/>
                <w:sz w:val="22"/>
                <w:szCs w:val="22"/>
              </w:rPr>
            </w:pPr>
            <w:r>
              <w:rPr>
                <w:rFonts w:hint="eastAsia" w:hAnsi="宋体"/>
                <w:color w:val="auto"/>
                <w:sz w:val="22"/>
                <w:szCs w:val="22"/>
              </w:rPr>
              <w:t>投标报价</w:t>
            </w:r>
          </w:p>
        </w:tc>
        <w:tc>
          <w:tcPr>
            <w:tcW w:w="2138" w:type="dxa"/>
            <w:tcBorders>
              <w:left w:val="single" w:color="auto" w:sz="4" w:space="0"/>
            </w:tcBorders>
            <w:noWrap w:val="0"/>
            <w:vAlign w:val="center"/>
          </w:tcPr>
          <w:p w14:paraId="47392EDA">
            <w:pPr>
              <w:pStyle w:val="21"/>
              <w:jc w:val="center"/>
              <w:rPr>
                <w:rFonts w:hAnsi="宋体"/>
                <w:color w:val="auto"/>
                <w:sz w:val="22"/>
                <w:szCs w:val="22"/>
              </w:rPr>
            </w:pPr>
            <w:r>
              <w:rPr>
                <w:rFonts w:hint="eastAsia" w:hAnsi="宋体"/>
                <w:color w:val="auto"/>
                <w:sz w:val="22"/>
                <w:szCs w:val="22"/>
              </w:rPr>
              <w:t>备注</w:t>
            </w:r>
          </w:p>
        </w:tc>
      </w:tr>
      <w:tr w14:paraId="24BDB2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57" w:hRule="atLeast"/>
        </w:trPr>
        <w:tc>
          <w:tcPr>
            <w:tcW w:w="1828" w:type="dxa"/>
            <w:tcBorders>
              <w:right w:val="single" w:color="auto" w:sz="4" w:space="0"/>
            </w:tcBorders>
            <w:noWrap w:val="0"/>
            <w:vAlign w:val="center"/>
          </w:tcPr>
          <w:p w14:paraId="670A90E7">
            <w:pPr>
              <w:jc w:val="center"/>
              <w:rPr>
                <w:rFonts w:hint="eastAsia" w:ascii="宋体" w:eastAsia="宋体"/>
                <w:color w:val="auto"/>
                <w:sz w:val="22"/>
                <w:szCs w:val="22"/>
                <w:lang w:eastAsia="zh-CN"/>
              </w:rPr>
            </w:pPr>
            <w:r>
              <w:rPr>
                <w:rFonts w:hint="eastAsia" w:ascii="宋体" w:cs="Times New Roman"/>
                <w:color w:val="auto"/>
                <w:sz w:val="22"/>
                <w:szCs w:val="22"/>
                <w:lang w:eastAsia="zh-CN"/>
              </w:rPr>
              <w:t>泰顺县”慢病智管“数智化服务（三年）</w:t>
            </w:r>
          </w:p>
        </w:tc>
        <w:tc>
          <w:tcPr>
            <w:tcW w:w="5305" w:type="dxa"/>
            <w:tcBorders>
              <w:left w:val="single" w:color="auto" w:sz="4" w:space="0"/>
              <w:right w:val="single" w:color="auto" w:sz="4" w:space="0"/>
            </w:tcBorders>
            <w:noWrap w:val="0"/>
            <w:vAlign w:val="center"/>
          </w:tcPr>
          <w:p w14:paraId="4BE633AD">
            <w:pPr>
              <w:pStyle w:val="21"/>
              <w:spacing w:line="460" w:lineRule="atLeast"/>
              <w:rPr>
                <w:rFonts w:hint="eastAsia" w:hAnsi="宋体" w:cs="宋体"/>
                <w:color w:val="auto"/>
                <w:sz w:val="22"/>
                <w:szCs w:val="22"/>
                <w:u w:val="single"/>
                <w:lang w:val="en-US" w:eastAsia="zh-CN"/>
              </w:rPr>
            </w:pPr>
            <w:r>
              <w:rPr>
                <w:rFonts w:hint="eastAsia" w:hAnsi="宋体" w:cs="宋体"/>
                <w:color w:val="auto"/>
                <w:sz w:val="22"/>
                <w:szCs w:val="22"/>
              </w:rPr>
              <w:t>大写：</w:t>
            </w:r>
            <w:r>
              <w:rPr>
                <w:rFonts w:hint="eastAsia" w:hAnsi="宋体" w:cs="宋体"/>
                <w:color w:val="auto"/>
                <w:sz w:val="22"/>
                <w:szCs w:val="22"/>
                <w:u w:val="single"/>
                <w:lang w:val="en-US" w:eastAsia="zh-CN"/>
              </w:rPr>
              <w:t xml:space="preserve">                   </w:t>
            </w:r>
          </w:p>
          <w:p w14:paraId="71A00D25">
            <w:pPr>
              <w:pStyle w:val="15"/>
              <w:rPr>
                <w:rFonts w:hint="default"/>
                <w:color w:val="auto"/>
                <w:lang w:val="en-US" w:eastAsia="zh-CN"/>
              </w:rPr>
            </w:pPr>
          </w:p>
          <w:p w14:paraId="1A0BD483">
            <w:pPr>
              <w:rPr>
                <w:rFonts w:hint="default" w:eastAsia="宋体"/>
                <w:color w:val="auto"/>
                <w:lang w:val="en-US" w:eastAsia="zh-CN"/>
              </w:rPr>
            </w:pPr>
            <w:r>
              <w:rPr>
                <w:rFonts w:hint="eastAsia" w:hAnsi="宋体" w:cs="宋体"/>
                <w:color w:val="auto"/>
                <w:sz w:val="22"/>
                <w:szCs w:val="22"/>
              </w:rPr>
              <w:t>小写：</w:t>
            </w:r>
            <w:r>
              <w:rPr>
                <w:rFonts w:hint="eastAsia" w:hAnsi="宋体" w:cs="宋体"/>
                <w:color w:val="auto"/>
                <w:sz w:val="22"/>
                <w:szCs w:val="22"/>
                <w:u w:val="single"/>
                <w:lang w:val="en-US" w:eastAsia="zh-CN"/>
              </w:rPr>
              <w:t xml:space="preserve">                   </w:t>
            </w:r>
          </w:p>
        </w:tc>
        <w:tc>
          <w:tcPr>
            <w:tcW w:w="2138" w:type="dxa"/>
            <w:tcBorders>
              <w:left w:val="single" w:color="auto" w:sz="4" w:space="0"/>
            </w:tcBorders>
            <w:noWrap w:val="0"/>
            <w:vAlign w:val="center"/>
          </w:tcPr>
          <w:p w14:paraId="6281286A">
            <w:pPr>
              <w:rPr>
                <w:rFonts w:ascii="宋体"/>
                <w:color w:val="auto"/>
                <w:sz w:val="22"/>
                <w:szCs w:val="22"/>
              </w:rPr>
            </w:pPr>
          </w:p>
        </w:tc>
      </w:tr>
    </w:tbl>
    <w:p w14:paraId="374D18B0">
      <w:pPr>
        <w:pStyle w:val="21"/>
        <w:spacing w:line="460" w:lineRule="atLeast"/>
        <w:rPr>
          <w:rFonts w:hAnsi="宋体"/>
          <w:color w:val="auto"/>
          <w:sz w:val="22"/>
          <w:szCs w:val="22"/>
        </w:rPr>
      </w:pPr>
      <w:r>
        <w:rPr>
          <w:rFonts w:hint="eastAsia" w:hAnsi="宋体"/>
          <w:color w:val="auto"/>
          <w:sz w:val="22"/>
          <w:szCs w:val="22"/>
        </w:rPr>
        <w:t>1、▲本项目采用总价方式报价。</w:t>
      </w:r>
    </w:p>
    <w:p w14:paraId="5A762EE6">
      <w:pPr>
        <w:pStyle w:val="21"/>
        <w:spacing w:line="460" w:lineRule="atLeast"/>
        <w:rPr>
          <w:rFonts w:hAnsi="宋体"/>
          <w:color w:val="auto"/>
          <w:sz w:val="22"/>
          <w:szCs w:val="22"/>
        </w:rPr>
      </w:pPr>
      <w:r>
        <w:rPr>
          <w:rFonts w:hint="eastAsia" w:hAnsi="宋体"/>
          <w:color w:val="auto"/>
          <w:sz w:val="22"/>
          <w:szCs w:val="22"/>
        </w:rPr>
        <w:t>2、开标（报价）一览表中投标价为符合竞争性磋商文件要求的投标报价。</w:t>
      </w:r>
    </w:p>
    <w:p w14:paraId="360B0C95">
      <w:pPr>
        <w:pStyle w:val="21"/>
        <w:spacing w:line="460" w:lineRule="atLeast"/>
        <w:rPr>
          <w:rFonts w:hAnsi="宋体"/>
          <w:color w:val="auto"/>
          <w:sz w:val="22"/>
          <w:szCs w:val="22"/>
        </w:rPr>
      </w:pPr>
      <w:r>
        <w:rPr>
          <w:rFonts w:hint="eastAsia" w:hAnsi="宋体"/>
          <w:color w:val="auto"/>
          <w:sz w:val="22"/>
          <w:szCs w:val="22"/>
        </w:rPr>
        <w:t>3、▲不提供此表格的将视为没有实质性响应竞争性磋商文件。</w:t>
      </w:r>
    </w:p>
    <w:p w14:paraId="11A9F467">
      <w:pPr>
        <w:pStyle w:val="34"/>
        <w:outlineLvl w:val="9"/>
        <w:rPr>
          <w:rFonts w:ascii="宋体" w:hAnsi="宋体"/>
          <w:color w:val="auto"/>
          <w:lang w:val="zh-CN"/>
        </w:rPr>
      </w:pPr>
    </w:p>
    <w:p w14:paraId="1EBA733D">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投标供应商（盖章） ：</w:t>
      </w:r>
    </w:p>
    <w:p w14:paraId="5392FB8D">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法定代表人或其授权代表（签字或盖章）：</w:t>
      </w:r>
    </w:p>
    <w:p w14:paraId="2456CBD0">
      <w:pPr>
        <w:autoSpaceDE w:val="0"/>
        <w:autoSpaceDN w:val="0"/>
        <w:adjustRightInd w:val="0"/>
        <w:spacing w:line="460" w:lineRule="atLeast"/>
        <w:ind w:firstLine="446" w:firstLineChars="200"/>
        <w:rPr>
          <w:rFonts w:ascii="宋体"/>
          <w:color w:val="auto"/>
          <w:sz w:val="36"/>
        </w:rPr>
      </w:pPr>
      <w:r>
        <w:rPr>
          <w:rFonts w:hint="eastAsia" w:ascii="宋体" w:cs="Courier New"/>
          <w:color w:val="auto"/>
          <w:sz w:val="22"/>
          <w:szCs w:val="22"/>
        </w:rPr>
        <w:t>日期：</w:t>
      </w:r>
    </w:p>
    <w:p w14:paraId="737E17AD">
      <w:pPr>
        <w:pStyle w:val="34"/>
        <w:outlineLvl w:val="9"/>
        <w:rPr>
          <w:rFonts w:ascii="宋体" w:hAnsi="宋体"/>
          <w:color w:val="auto"/>
          <w:lang w:val="zh-CN"/>
        </w:rPr>
      </w:pPr>
    </w:p>
    <w:p w14:paraId="7338780B">
      <w:pPr>
        <w:pStyle w:val="34"/>
        <w:outlineLvl w:val="9"/>
        <w:rPr>
          <w:rFonts w:ascii="宋体" w:hAnsi="宋体"/>
          <w:color w:val="auto"/>
          <w:lang w:val="zh-CN"/>
        </w:rPr>
      </w:pPr>
    </w:p>
    <w:p w14:paraId="1452275B">
      <w:pPr>
        <w:pStyle w:val="34"/>
        <w:outlineLvl w:val="9"/>
        <w:rPr>
          <w:rFonts w:ascii="宋体" w:hAnsi="宋体"/>
          <w:color w:val="auto"/>
          <w:lang w:val="zh-CN"/>
        </w:rPr>
      </w:pPr>
    </w:p>
    <w:p w14:paraId="3CA3B00A">
      <w:pPr>
        <w:pStyle w:val="34"/>
        <w:outlineLvl w:val="9"/>
        <w:rPr>
          <w:rFonts w:ascii="宋体" w:hAnsi="宋体"/>
          <w:color w:val="auto"/>
          <w:lang w:val="zh-CN"/>
        </w:rPr>
      </w:pPr>
    </w:p>
    <w:p w14:paraId="6A46A75C">
      <w:pPr>
        <w:pStyle w:val="34"/>
        <w:outlineLvl w:val="9"/>
        <w:rPr>
          <w:rFonts w:ascii="宋体" w:hAnsi="宋体"/>
          <w:color w:val="auto"/>
          <w:lang w:val="zh-CN"/>
        </w:rPr>
      </w:pPr>
    </w:p>
    <w:p w14:paraId="5E5E2FF0">
      <w:pPr>
        <w:pStyle w:val="34"/>
        <w:outlineLvl w:val="9"/>
        <w:rPr>
          <w:rFonts w:ascii="宋体" w:hAnsi="宋体"/>
          <w:color w:val="auto"/>
          <w:lang w:val="zh-CN"/>
        </w:rPr>
      </w:pPr>
    </w:p>
    <w:p w14:paraId="1A3BE5C4">
      <w:pPr>
        <w:rPr>
          <w:rFonts w:ascii="宋体" w:hAnsi="宋体"/>
          <w:color w:val="auto"/>
          <w:sz w:val="28"/>
          <w:szCs w:val="18"/>
          <w:lang w:val="zh-CN"/>
        </w:rPr>
      </w:pPr>
      <w:r>
        <w:rPr>
          <w:rFonts w:hint="eastAsia" w:ascii="宋体" w:hAnsi="宋体"/>
          <w:color w:val="auto"/>
          <w:sz w:val="28"/>
          <w:szCs w:val="18"/>
          <w:lang w:val="zh-CN"/>
        </w:rPr>
        <w:br w:type="page"/>
      </w:r>
    </w:p>
    <w:p w14:paraId="70E7F603">
      <w:pPr>
        <w:pStyle w:val="34"/>
        <w:outlineLvl w:val="2"/>
        <w:rPr>
          <w:rFonts w:ascii="宋体" w:hAnsi="宋体"/>
          <w:color w:val="auto"/>
          <w:sz w:val="28"/>
          <w:szCs w:val="18"/>
          <w:lang w:val="zh-CN"/>
        </w:rPr>
      </w:pPr>
      <w:r>
        <w:rPr>
          <w:rFonts w:hint="eastAsia" w:ascii="宋体" w:hAnsi="宋体"/>
          <w:color w:val="auto"/>
          <w:sz w:val="28"/>
          <w:szCs w:val="18"/>
          <w:lang w:val="zh-CN"/>
        </w:rPr>
        <w:t>附件七  分项报价明细表</w:t>
      </w:r>
    </w:p>
    <w:p w14:paraId="469F735E">
      <w:pPr>
        <w:autoSpaceDE w:val="0"/>
        <w:autoSpaceDN w:val="0"/>
        <w:adjustRightInd w:val="0"/>
        <w:spacing w:line="400" w:lineRule="exact"/>
        <w:rPr>
          <w:rFonts w:ascii="宋体" w:hAnsi="宋体" w:cs="宋体"/>
          <w:color w:val="auto"/>
          <w:sz w:val="22"/>
          <w:lang w:val="zh-CN"/>
        </w:rPr>
      </w:pPr>
      <w:r>
        <w:rPr>
          <w:rFonts w:hint="eastAsia" w:ascii="宋体" w:hAnsi="宋体" w:cs="宋体"/>
          <w:color w:val="auto"/>
          <w:sz w:val="22"/>
        </w:rPr>
        <w:t>项目名称</w:t>
      </w:r>
      <w:r>
        <w:rPr>
          <w:rFonts w:hint="eastAsia" w:ascii="宋体" w:hAnsi="宋体" w:cs="宋体"/>
          <w:color w:val="auto"/>
          <w:sz w:val="22"/>
          <w:lang w:val="zh-CN"/>
        </w:rPr>
        <w:t>：</w:t>
      </w:r>
      <w:r>
        <w:rPr>
          <w:rFonts w:hint="eastAsia" w:ascii="宋体" w:hAnsi="宋体" w:cs="宋体"/>
          <w:color w:val="auto"/>
          <w:sz w:val="22"/>
          <w:u w:val="single"/>
          <w:lang w:eastAsia="zh-CN"/>
        </w:rPr>
        <w:t>泰顺县”慢病智管“数智化服务（三年）</w:t>
      </w:r>
      <w:r>
        <w:rPr>
          <w:rFonts w:hint="eastAsia" w:ascii="宋体" w:hAnsi="宋体" w:cs="宋体"/>
          <w:color w:val="auto"/>
          <w:sz w:val="22"/>
          <w:u w:val="single"/>
          <w:lang w:val="zh-CN"/>
        </w:rPr>
        <w:t xml:space="preserve"> </w:t>
      </w:r>
      <w:r>
        <w:rPr>
          <w:rFonts w:hint="eastAsia" w:ascii="宋体" w:hAnsi="宋体" w:cs="宋体"/>
          <w:color w:val="auto"/>
          <w:sz w:val="22"/>
          <w:lang w:val="zh-CN"/>
        </w:rPr>
        <w:t xml:space="preserve">          </w:t>
      </w:r>
    </w:p>
    <w:p w14:paraId="45B03025">
      <w:pPr>
        <w:autoSpaceDE w:val="0"/>
        <w:autoSpaceDN w:val="0"/>
        <w:adjustRightInd w:val="0"/>
        <w:spacing w:line="400" w:lineRule="exact"/>
        <w:rPr>
          <w:rFonts w:ascii="宋体" w:hAnsi="宋体" w:cs="宋体"/>
          <w:color w:val="auto"/>
          <w:sz w:val="22"/>
          <w:lang w:val="zh-CN"/>
        </w:rPr>
      </w:pPr>
      <w:r>
        <w:rPr>
          <w:rFonts w:hint="eastAsia" w:ascii="宋体" w:hAnsi="宋体" w:cs="宋体"/>
          <w:color w:val="auto"/>
          <w:sz w:val="22"/>
          <w:lang w:val="zh-CN"/>
        </w:rPr>
        <w:t>招标编号：</w:t>
      </w:r>
      <w:r>
        <w:rPr>
          <w:rFonts w:hint="eastAsia" w:ascii="宋体" w:hAnsi="宋体" w:cs="宋体"/>
          <w:color w:val="auto"/>
          <w:sz w:val="22"/>
          <w:u w:val="single"/>
          <w:lang w:val="zh-CN"/>
        </w:rPr>
        <w:t>TSCG202510020</w:t>
      </w:r>
      <w:r>
        <w:rPr>
          <w:rFonts w:hint="eastAsia" w:ascii="宋体" w:hAnsi="宋体" w:cs="宋体"/>
          <w:color w:val="auto"/>
          <w:sz w:val="22"/>
          <w:u w:val="single"/>
        </w:rPr>
        <w:t xml:space="preserve"> </w:t>
      </w:r>
      <w:r>
        <w:rPr>
          <w:rFonts w:hint="eastAsia" w:ascii="宋体" w:hAnsi="宋体" w:cs="宋体"/>
          <w:color w:val="auto"/>
          <w:sz w:val="22"/>
          <w:u w:val="single"/>
          <w:lang w:val="zh-CN"/>
        </w:rPr>
        <w:t xml:space="preserve"> </w:t>
      </w:r>
      <w:r>
        <w:rPr>
          <w:rFonts w:hint="eastAsia" w:ascii="宋体" w:hAnsi="宋体" w:cs="宋体"/>
          <w:color w:val="auto"/>
          <w:sz w:val="22"/>
          <w:lang w:val="zh-CN"/>
        </w:rPr>
        <w:t xml:space="preserve">       </w:t>
      </w:r>
    </w:p>
    <w:p w14:paraId="397A0487">
      <w:pPr>
        <w:autoSpaceDE w:val="0"/>
        <w:autoSpaceDN w:val="0"/>
        <w:adjustRightInd w:val="0"/>
        <w:spacing w:line="400" w:lineRule="exact"/>
        <w:rPr>
          <w:rFonts w:ascii="宋体" w:hAnsi="宋体" w:cs="宋体"/>
          <w:color w:val="auto"/>
          <w:sz w:val="22"/>
          <w:u w:val="single"/>
        </w:rPr>
      </w:pPr>
      <w:r>
        <w:rPr>
          <w:rFonts w:hint="eastAsia" w:ascii="宋体" w:hAnsi="宋体" w:cs="宋体"/>
          <w:color w:val="auto"/>
          <w:sz w:val="22"/>
        </w:rPr>
        <w:t>价格单位：</w:t>
      </w:r>
      <w:r>
        <w:rPr>
          <w:rFonts w:hint="eastAsia" w:ascii="宋体" w:hAnsi="宋体" w:cs="宋体"/>
          <w:color w:val="auto"/>
          <w:sz w:val="22"/>
          <w:u w:val="single"/>
        </w:rPr>
        <w:t>元人民币</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1426"/>
        <w:gridCol w:w="1517"/>
        <w:gridCol w:w="1267"/>
        <w:gridCol w:w="1350"/>
        <w:gridCol w:w="1050"/>
      </w:tblGrid>
      <w:tr w14:paraId="10843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noWrap w:val="0"/>
            <w:vAlign w:val="center"/>
          </w:tcPr>
          <w:p w14:paraId="57A1705E">
            <w:pPr>
              <w:ind w:right="-11"/>
              <w:jc w:val="center"/>
              <w:rPr>
                <w:rFonts w:ascii="宋体" w:hAnsi="宋体" w:cs="宋体"/>
                <w:bCs/>
                <w:color w:val="auto"/>
                <w:sz w:val="22"/>
              </w:rPr>
            </w:pPr>
            <w:r>
              <w:rPr>
                <w:rFonts w:hint="eastAsia" w:ascii="宋体" w:hAnsi="宋体" w:cs="宋体"/>
                <w:bCs/>
                <w:color w:val="auto"/>
                <w:sz w:val="22"/>
              </w:rPr>
              <w:t>序号</w:t>
            </w:r>
          </w:p>
        </w:tc>
        <w:tc>
          <w:tcPr>
            <w:tcW w:w="1310" w:type="dxa"/>
            <w:noWrap w:val="0"/>
            <w:vAlign w:val="center"/>
          </w:tcPr>
          <w:p w14:paraId="0B6BFA8F">
            <w:pPr>
              <w:adjustRightInd w:val="0"/>
              <w:snapToGrid w:val="0"/>
              <w:jc w:val="center"/>
              <w:rPr>
                <w:rFonts w:ascii="宋体" w:hAnsi="宋体" w:cs="宋体"/>
                <w:bCs/>
                <w:color w:val="auto"/>
                <w:szCs w:val="21"/>
              </w:rPr>
            </w:pPr>
            <w:r>
              <w:rPr>
                <w:rFonts w:hint="eastAsia" w:ascii="宋体" w:hAnsi="宋体" w:cs="宋体"/>
                <w:color w:val="auto"/>
                <w:spacing w:val="20"/>
                <w:sz w:val="22"/>
              </w:rPr>
              <w:t>报价项</w:t>
            </w:r>
          </w:p>
        </w:tc>
        <w:tc>
          <w:tcPr>
            <w:tcW w:w="1426" w:type="dxa"/>
            <w:noWrap w:val="0"/>
            <w:vAlign w:val="center"/>
          </w:tcPr>
          <w:p w14:paraId="6AE33A31">
            <w:pPr>
              <w:adjustRightInd w:val="0"/>
              <w:snapToGrid w:val="0"/>
              <w:jc w:val="center"/>
              <w:rPr>
                <w:rFonts w:ascii="宋体" w:hAnsi="宋体" w:cs="宋体"/>
                <w:color w:val="auto"/>
                <w:spacing w:val="20"/>
                <w:sz w:val="22"/>
              </w:rPr>
            </w:pPr>
            <w:r>
              <w:rPr>
                <w:rFonts w:hint="eastAsia" w:ascii="宋体" w:hAnsi="宋体" w:cs="宋体"/>
                <w:color w:val="auto"/>
                <w:spacing w:val="20"/>
                <w:sz w:val="22"/>
              </w:rPr>
              <w:t>单位</w:t>
            </w:r>
          </w:p>
        </w:tc>
        <w:tc>
          <w:tcPr>
            <w:tcW w:w="1517" w:type="dxa"/>
            <w:noWrap w:val="0"/>
            <w:vAlign w:val="center"/>
          </w:tcPr>
          <w:p w14:paraId="67CE0DC7">
            <w:pPr>
              <w:adjustRightInd w:val="0"/>
              <w:snapToGrid w:val="0"/>
              <w:jc w:val="center"/>
              <w:rPr>
                <w:rFonts w:ascii="宋体" w:hAnsi="宋体" w:cs="宋体"/>
                <w:bCs/>
                <w:color w:val="auto"/>
                <w:sz w:val="22"/>
              </w:rPr>
            </w:pPr>
            <w:r>
              <w:rPr>
                <w:rFonts w:hint="eastAsia" w:ascii="宋体" w:hAnsi="宋体" w:cs="宋体"/>
                <w:color w:val="auto"/>
                <w:spacing w:val="20"/>
                <w:sz w:val="22"/>
              </w:rPr>
              <w:t>数量</w:t>
            </w:r>
          </w:p>
        </w:tc>
        <w:tc>
          <w:tcPr>
            <w:tcW w:w="1267" w:type="dxa"/>
            <w:noWrap w:val="0"/>
            <w:vAlign w:val="center"/>
          </w:tcPr>
          <w:p w14:paraId="6A35F0CD">
            <w:pPr>
              <w:ind w:right="-11"/>
              <w:jc w:val="center"/>
              <w:rPr>
                <w:rFonts w:ascii="宋体" w:hAnsi="宋体" w:cs="宋体"/>
                <w:color w:val="auto"/>
                <w:sz w:val="22"/>
              </w:rPr>
            </w:pPr>
            <w:r>
              <w:rPr>
                <w:rFonts w:hint="eastAsia" w:ascii="宋体" w:hAnsi="宋体" w:cs="宋体"/>
                <w:bCs/>
                <w:color w:val="auto"/>
                <w:sz w:val="22"/>
              </w:rPr>
              <w:t>单价</w:t>
            </w:r>
          </w:p>
        </w:tc>
        <w:tc>
          <w:tcPr>
            <w:tcW w:w="1350" w:type="dxa"/>
            <w:noWrap w:val="0"/>
            <w:vAlign w:val="center"/>
          </w:tcPr>
          <w:p w14:paraId="76CA23EB">
            <w:pPr>
              <w:ind w:right="-11"/>
              <w:jc w:val="center"/>
              <w:rPr>
                <w:rFonts w:ascii="宋体" w:hAnsi="宋体" w:cs="宋体"/>
                <w:color w:val="auto"/>
                <w:sz w:val="22"/>
              </w:rPr>
            </w:pPr>
            <w:r>
              <w:rPr>
                <w:rFonts w:hint="eastAsia" w:ascii="宋体" w:hAnsi="宋体" w:cs="宋体"/>
                <w:bCs/>
                <w:color w:val="auto"/>
                <w:sz w:val="22"/>
              </w:rPr>
              <w:t>总价</w:t>
            </w:r>
          </w:p>
        </w:tc>
        <w:tc>
          <w:tcPr>
            <w:tcW w:w="1050" w:type="dxa"/>
            <w:noWrap w:val="0"/>
            <w:vAlign w:val="center"/>
          </w:tcPr>
          <w:p w14:paraId="504FE30C">
            <w:pPr>
              <w:ind w:right="-11"/>
              <w:jc w:val="center"/>
              <w:rPr>
                <w:rFonts w:ascii="宋体" w:hAnsi="宋体" w:cs="宋体"/>
                <w:bCs/>
                <w:color w:val="auto"/>
                <w:sz w:val="22"/>
              </w:rPr>
            </w:pPr>
            <w:r>
              <w:rPr>
                <w:rFonts w:hint="eastAsia" w:ascii="宋体" w:hAnsi="宋体" w:cs="宋体"/>
                <w:bCs/>
                <w:color w:val="auto"/>
                <w:sz w:val="22"/>
              </w:rPr>
              <w:t>备注</w:t>
            </w:r>
          </w:p>
        </w:tc>
      </w:tr>
      <w:tr w14:paraId="6CB63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30A9FC4E">
            <w:pPr>
              <w:ind w:right="-11"/>
              <w:jc w:val="center"/>
              <w:rPr>
                <w:rFonts w:ascii="宋体" w:hAnsi="宋体" w:cs="宋体"/>
                <w:color w:val="auto"/>
                <w:sz w:val="22"/>
              </w:rPr>
            </w:pPr>
            <w:r>
              <w:rPr>
                <w:rFonts w:hint="eastAsia" w:ascii="宋体" w:hAnsi="宋体" w:cs="宋体"/>
                <w:color w:val="auto"/>
                <w:sz w:val="22"/>
              </w:rPr>
              <w:t>1</w:t>
            </w:r>
          </w:p>
        </w:tc>
        <w:tc>
          <w:tcPr>
            <w:tcW w:w="1310" w:type="dxa"/>
            <w:noWrap w:val="0"/>
            <w:vAlign w:val="center"/>
          </w:tcPr>
          <w:p w14:paraId="215173B1">
            <w:pPr>
              <w:rPr>
                <w:rFonts w:ascii="宋体" w:hAnsi="宋体" w:cs="宋体"/>
                <w:color w:val="auto"/>
                <w:sz w:val="22"/>
              </w:rPr>
            </w:pPr>
          </w:p>
        </w:tc>
        <w:tc>
          <w:tcPr>
            <w:tcW w:w="1426" w:type="dxa"/>
            <w:noWrap w:val="0"/>
            <w:vAlign w:val="center"/>
          </w:tcPr>
          <w:p w14:paraId="58A50542">
            <w:pPr>
              <w:jc w:val="center"/>
              <w:rPr>
                <w:rFonts w:ascii="宋体" w:hAnsi="宋体" w:cs="宋体"/>
                <w:color w:val="auto"/>
                <w:sz w:val="22"/>
              </w:rPr>
            </w:pPr>
          </w:p>
        </w:tc>
        <w:tc>
          <w:tcPr>
            <w:tcW w:w="1517" w:type="dxa"/>
            <w:noWrap w:val="0"/>
            <w:vAlign w:val="center"/>
          </w:tcPr>
          <w:p w14:paraId="4073C596">
            <w:pPr>
              <w:jc w:val="center"/>
              <w:rPr>
                <w:rFonts w:ascii="宋体" w:hAnsi="宋体" w:cs="宋体"/>
                <w:color w:val="auto"/>
                <w:sz w:val="22"/>
              </w:rPr>
            </w:pPr>
          </w:p>
        </w:tc>
        <w:tc>
          <w:tcPr>
            <w:tcW w:w="1267" w:type="dxa"/>
            <w:noWrap w:val="0"/>
            <w:vAlign w:val="center"/>
          </w:tcPr>
          <w:p w14:paraId="03C73554">
            <w:pPr>
              <w:ind w:right="-11"/>
              <w:jc w:val="center"/>
              <w:rPr>
                <w:rFonts w:ascii="宋体" w:hAnsi="宋体" w:cs="宋体"/>
                <w:color w:val="auto"/>
                <w:sz w:val="22"/>
              </w:rPr>
            </w:pPr>
          </w:p>
        </w:tc>
        <w:tc>
          <w:tcPr>
            <w:tcW w:w="1350" w:type="dxa"/>
            <w:noWrap w:val="0"/>
            <w:vAlign w:val="center"/>
          </w:tcPr>
          <w:p w14:paraId="20552AFE">
            <w:pPr>
              <w:ind w:right="-11"/>
              <w:jc w:val="center"/>
              <w:rPr>
                <w:rFonts w:ascii="宋体" w:hAnsi="宋体" w:cs="宋体"/>
                <w:color w:val="auto"/>
                <w:sz w:val="22"/>
              </w:rPr>
            </w:pPr>
          </w:p>
        </w:tc>
        <w:tc>
          <w:tcPr>
            <w:tcW w:w="1050" w:type="dxa"/>
            <w:noWrap w:val="0"/>
            <w:vAlign w:val="center"/>
          </w:tcPr>
          <w:p w14:paraId="3516F6A4">
            <w:pPr>
              <w:ind w:right="-11"/>
              <w:jc w:val="center"/>
              <w:rPr>
                <w:rFonts w:ascii="宋体" w:hAnsi="宋体" w:cs="宋体"/>
                <w:color w:val="auto"/>
                <w:sz w:val="22"/>
              </w:rPr>
            </w:pPr>
          </w:p>
        </w:tc>
      </w:tr>
      <w:tr w14:paraId="7D3E9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688A9A32">
            <w:pPr>
              <w:ind w:right="-11"/>
              <w:jc w:val="center"/>
              <w:rPr>
                <w:rFonts w:ascii="宋体" w:hAnsi="宋体" w:cs="宋体"/>
                <w:color w:val="auto"/>
                <w:sz w:val="22"/>
              </w:rPr>
            </w:pPr>
            <w:r>
              <w:rPr>
                <w:rFonts w:hint="eastAsia" w:ascii="宋体" w:hAnsi="宋体" w:cs="宋体"/>
                <w:color w:val="auto"/>
                <w:sz w:val="22"/>
              </w:rPr>
              <w:t>2</w:t>
            </w:r>
          </w:p>
        </w:tc>
        <w:tc>
          <w:tcPr>
            <w:tcW w:w="1310" w:type="dxa"/>
            <w:noWrap w:val="0"/>
            <w:vAlign w:val="center"/>
          </w:tcPr>
          <w:p w14:paraId="6ECEB282">
            <w:pPr>
              <w:rPr>
                <w:rFonts w:ascii="宋体" w:hAnsi="宋体" w:cs="宋体"/>
                <w:color w:val="auto"/>
                <w:sz w:val="22"/>
              </w:rPr>
            </w:pPr>
          </w:p>
        </w:tc>
        <w:tc>
          <w:tcPr>
            <w:tcW w:w="1426" w:type="dxa"/>
            <w:noWrap w:val="0"/>
            <w:vAlign w:val="center"/>
          </w:tcPr>
          <w:p w14:paraId="001D0177">
            <w:pPr>
              <w:jc w:val="center"/>
              <w:rPr>
                <w:rFonts w:ascii="宋体" w:hAnsi="宋体" w:cs="宋体"/>
                <w:color w:val="auto"/>
                <w:sz w:val="22"/>
              </w:rPr>
            </w:pPr>
          </w:p>
        </w:tc>
        <w:tc>
          <w:tcPr>
            <w:tcW w:w="1517" w:type="dxa"/>
            <w:noWrap w:val="0"/>
            <w:vAlign w:val="center"/>
          </w:tcPr>
          <w:p w14:paraId="47449735">
            <w:pPr>
              <w:jc w:val="center"/>
              <w:rPr>
                <w:rFonts w:ascii="宋体" w:hAnsi="宋体" w:cs="宋体"/>
                <w:color w:val="auto"/>
                <w:sz w:val="22"/>
              </w:rPr>
            </w:pPr>
          </w:p>
        </w:tc>
        <w:tc>
          <w:tcPr>
            <w:tcW w:w="1267" w:type="dxa"/>
            <w:noWrap w:val="0"/>
            <w:vAlign w:val="center"/>
          </w:tcPr>
          <w:p w14:paraId="0FD5C835">
            <w:pPr>
              <w:ind w:right="-11"/>
              <w:jc w:val="center"/>
              <w:rPr>
                <w:rFonts w:ascii="宋体" w:hAnsi="宋体" w:cs="宋体"/>
                <w:color w:val="auto"/>
                <w:sz w:val="22"/>
              </w:rPr>
            </w:pPr>
          </w:p>
        </w:tc>
        <w:tc>
          <w:tcPr>
            <w:tcW w:w="1350" w:type="dxa"/>
            <w:noWrap w:val="0"/>
            <w:vAlign w:val="center"/>
          </w:tcPr>
          <w:p w14:paraId="77A14DE1">
            <w:pPr>
              <w:ind w:right="-11"/>
              <w:jc w:val="center"/>
              <w:rPr>
                <w:rFonts w:ascii="宋体" w:hAnsi="宋体" w:cs="宋体"/>
                <w:color w:val="auto"/>
                <w:sz w:val="22"/>
              </w:rPr>
            </w:pPr>
          </w:p>
        </w:tc>
        <w:tc>
          <w:tcPr>
            <w:tcW w:w="1050" w:type="dxa"/>
            <w:noWrap w:val="0"/>
            <w:vAlign w:val="center"/>
          </w:tcPr>
          <w:p w14:paraId="761A3B76">
            <w:pPr>
              <w:ind w:right="-11"/>
              <w:jc w:val="center"/>
              <w:rPr>
                <w:rFonts w:ascii="宋体" w:hAnsi="宋体" w:cs="宋体"/>
                <w:color w:val="auto"/>
                <w:sz w:val="22"/>
              </w:rPr>
            </w:pPr>
          </w:p>
        </w:tc>
      </w:tr>
      <w:tr w14:paraId="7DF67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76A34553">
            <w:pPr>
              <w:ind w:right="-11"/>
              <w:jc w:val="center"/>
              <w:rPr>
                <w:rFonts w:ascii="宋体" w:hAnsi="宋体" w:cs="宋体"/>
                <w:color w:val="auto"/>
                <w:sz w:val="22"/>
              </w:rPr>
            </w:pPr>
            <w:r>
              <w:rPr>
                <w:rFonts w:hint="eastAsia" w:ascii="宋体" w:hAnsi="宋体" w:cs="宋体"/>
                <w:color w:val="auto"/>
                <w:sz w:val="22"/>
              </w:rPr>
              <w:t>3</w:t>
            </w:r>
          </w:p>
        </w:tc>
        <w:tc>
          <w:tcPr>
            <w:tcW w:w="1310" w:type="dxa"/>
            <w:noWrap w:val="0"/>
            <w:vAlign w:val="center"/>
          </w:tcPr>
          <w:p w14:paraId="5BF84B5A">
            <w:pPr>
              <w:rPr>
                <w:rFonts w:ascii="宋体" w:hAnsi="宋体" w:cs="宋体"/>
                <w:color w:val="auto"/>
                <w:sz w:val="22"/>
              </w:rPr>
            </w:pPr>
          </w:p>
        </w:tc>
        <w:tc>
          <w:tcPr>
            <w:tcW w:w="1426" w:type="dxa"/>
            <w:noWrap w:val="0"/>
            <w:vAlign w:val="center"/>
          </w:tcPr>
          <w:p w14:paraId="4ED26DBC">
            <w:pPr>
              <w:jc w:val="center"/>
              <w:rPr>
                <w:rFonts w:ascii="宋体" w:hAnsi="宋体" w:cs="宋体"/>
                <w:color w:val="auto"/>
                <w:sz w:val="22"/>
              </w:rPr>
            </w:pPr>
          </w:p>
        </w:tc>
        <w:tc>
          <w:tcPr>
            <w:tcW w:w="1517" w:type="dxa"/>
            <w:noWrap w:val="0"/>
            <w:vAlign w:val="center"/>
          </w:tcPr>
          <w:p w14:paraId="396D7CBB">
            <w:pPr>
              <w:jc w:val="center"/>
              <w:rPr>
                <w:rFonts w:ascii="宋体" w:hAnsi="宋体" w:cs="宋体"/>
                <w:color w:val="auto"/>
                <w:sz w:val="22"/>
              </w:rPr>
            </w:pPr>
          </w:p>
        </w:tc>
        <w:tc>
          <w:tcPr>
            <w:tcW w:w="1267" w:type="dxa"/>
            <w:noWrap w:val="0"/>
            <w:vAlign w:val="center"/>
          </w:tcPr>
          <w:p w14:paraId="42CA9705">
            <w:pPr>
              <w:ind w:right="-11"/>
              <w:jc w:val="center"/>
              <w:rPr>
                <w:rFonts w:ascii="宋体" w:hAnsi="宋体" w:cs="宋体"/>
                <w:color w:val="auto"/>
                <w:sz w:val="22"/>
              </w:rPr>
            </w:pPr>
          </w:p>
        </w:tc>
        <w:tc>
          <w:tcPr>
            <w:tcW w:w="1350" w:type="dxa"/>
            <w:noWrap w:val="0"/>
            <w:vAlign w:val="center"/>
          </w:tcPr>
          <w:p w14:paraId="24AD241B">
            <w:pPr>
              <w:ind w:right="-11"/>
              <w:jc w:val="center"/>
              <w:rPr>
                <w:rFonts w:ascii="宋体" w:hAnsi="宋体" w:cs="宋体"/>
                <w:color w:val="auto"/>
                <w:sz w:val="22"/>
              </w:rPr>
            </w:pPr>
          </w:p>
        </w:tc>
        <w:tc>
          <w:tcPr>
            <w:tcW w:w="1050" w:type="dxa"/>
            <w:noWrap w:val="0"/>
            <w:vAlign w:val="center"/>
          </w:tcPr>
          <w:p w14:paraId="6AA06B35">
            <w:pPr>
              <w:ind w:right="-11"/>
              <w:jc w:val="center"/>
              <w:rPr>
                <w:rFonts w:ascii="宋体" w:hAnsi="宋体" w:cs="宋体"/>
                <w:color w:val="auto"/>
                <w:sz w:val="22"/>
              </w:rPr>
            </w:pPr>
          </w:p>
        </w:tc>
      </w:tr>
      <w:tr w14:paraId="230A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5DC42170">
            <w:pPr>
              <w:ind w:right="-11"/>
              <w:jc w:val="center"/>
              <w:rPr>
                <w:rFonts w:ascii="宋体" w:hAnsi="宋体" w:cs="宋体"/>
                <w:color w:val="auto"/>
                <w:sz w:val="22"/>
              </w:rPr>
            </w:pPr>
            <w:r>
              <w:rPr>
                <w:rFonts w:hint="eastAsia" w:ascii="宋体" w:hAnsi="宋体" w:cs="宋体"/>
                <w:color w:val="auto"/>
                <w:sz w:val="22"/>
              </w:rPr>
              <w:t>.</w:t>
            </w:r>
          </w:p>
        </w:tc>
        <w:tc>
          <w:tcPr>
            <w:tcW w:w="1310" w:type="dxa"/>
            <w:noWrap w:val="0"/>
            <w:vAlign w:val="center"/>
          </w:tcPr>
          <w:p w14:paraId="5A287FB8">
            <w:pPr>
              <w:rPr>
                <w:rFonts w:ascii="宋体" w:hAnsi="宋体" w:cs="宋体"/>
                <w:color w:val="auto"/>
                <w:sz w:val="22"/>
              </w:rPr>
            </w:pPr>
          </w:p>
        </w:tc>
        <w:tc>
          <w:tcPr>
            <w:tcW w:w="1426" w:type="dxa"/>
            <w:noWrap w:val="0"/>
            <w:vAlign w:val="center"/>
          </w:tcPr>
          <w:p w14:paraId="70C8962D">
            <w:pPr>
              <w:jc w:val="center"/>
              <w:rPr>
                <w:rFonts w:ascii="宋体" w:hAnsi="宋体" w:cs="宋体"/>
                <w:color w:val="auto"/>
                <w:sz w:val="22"/>
              </w:rPr>
            </w:pPr>
          </w:p>
        </w:tc>
        <w:tc>
          <w:tcPr>
            <w:tcW w:w="1517" w:type="dxa"/>
            <w:noWrap w:val="0"/>
            <w:vAlign w:val="center"/>
          </w:tcPr>
          <w:p w14:paraId="35EACDE4">
            <w:pPr>
              <w:jc w:val="center"/>
              <w:rPr>
                <w:rFonts w:ascii="宋体" w:hAnsi="宋体" w:cs="宋体"/>
                <w:color w:val="auto"/>
                <w:sz w:val="22"/>
              </w:rPr>
            </w:pPr>
          </w:p>
        </w:tc>
        <w:tc>
          <w:tcPr>
            <w:tcW w:w="1267" w:type="dxa"/>
            <w:noWrap w:val="0"/>
            <w:vAlign w:val="center"/>
          </w:tcPr>
          <w:p w14:paraId="6ABF3B7D">
            <w:pPr>
              <w:ind w:right="-11"/>
              <w:jc w:val="center"/>
              <w:rPr>
                <w:rFonts w:ascii="宋体" w:hAnsi="宋体" w:cs="宋体"/>
                <w:color w:val="auto"/>
                <w:sz w:val="22"/>
              </w:rPr>
            </w:pPr>
          </w:p>
        </w:tc>
        <w:tc>
          <w:tcPr>
            <w:tcW w:w="1350" w:type="dxa"/>
            <w:noWrap w:val="0"/>
            <w:vAlign w:val="center"/>
          </w:tcPr>
          <w:p w14:paraId="6B7D6FAF">
            <w:pPr>
              <w:ind w:right="-11"/>
              <w:jc w:val="center"/>
              <w:rPr>
                <w:rFonts w:ascii="宋体" w:hAnsi="宋体" w:cs="宋体"/>
                <w:color w:val="auto"/>
                <w:sz w:val="22"/>
              </w:rPr>
            </w:pPr>
          </w:p>
        </w:tc>
        <w:tc>
          <w:tcPr>
            <w:tcW w:w="1050" w:type="dxa"/>
            <w:noWrap w:val="0"/>
            <w:vAlign w:val="center"/>
          </w:tcPr>
          <w:p w14:paraId="7204CE17">
            <w:pPr>
              <w:ind w:right="-11"/>
              <w:jc w:val="center"/>
              <w:rPr>
                <w:rFonts w:ascii="宋体" w:hAnsi="宋体" w:cs="宋体"/>
                <w:color w:val="auto"/>
                <w:sz w:val="22"/>
              </w:rPr>
            </w:pPr>
          </w:p>
        </w:tc>
      </w:tr>
      <w:tr w14:paraId="2D01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2E5B8BC4">
            <w:pPr>
              <w:ind w:right="-11"/>
              <w:jc w:val="center"/>
              <w:rPr>
                <w:rFonts w:ascii="宋体" w:hAnsi="宋体" w:cs="宋体"/>
                <w:color w:val="auto"/>
                <w:sz w:val="22"/>
              </w:rPr>
            </w:pPr>
            <w:r>
              <w:rPr>
                <w:rFonts w:hint="eastAsia" w:ascii="宋体" w:hAnsi="宋体" w:cs="宋体"/>
                <w:color w:val="auto"/>
                <w:sz w:val="22"/>
              </w:rPr>
              <w:t>.</w:t>
            </w:r>
          </w:p>
        </w:tc>
        <w:tc>
          <w:tcPr>
            <w:tcW w:w="1310" w:type="dxa"/>
            <w:noWrap w:val="0"/>
            <w:vAlign w:val="center"/>
          </w:tcPr>
          <w:p w14:paraId="43C17F95">
            <w:pPr>
              <w:rPr>
                <w:rFonts w:ascii="宋体" w:hAnsi="宋体" w:cs="宋体"/>
                <w:color w:val="auto"/>
                <w:sz w:val="22"/>
              </w:rPr>
            </w:pPr>
          </w:p>
        </w:tc>
        <w:tc>
          <w:tcPr>
            <w:tcW w:w="1426" w:type="dxa"/>
            <w:noWrap w:val="0"/>
            <w:vAlign w:val="center"/>
          </w:tcPr>
          <w:p w14:paraId="7FAD294A">
            <w:pPr>
              <w:jc w:val="center"/>
              <w:rPr>
                <w:rFonts w:ascii="宋体" w:hAnsi="宋体" w:cs="宋体"/>
                <w:color w:val="auto"/>
                <w:sz w:val="22"/>
              </w:rPr>
            </w:pPr>
          </w:p>
        </w:tc>
        <w:tc>
          <w:tcPr>
            <w:tcW w:w="1517" w:type="dxa"/>
            <w:noWrap w:val="0"/>
            <w:vAlign w:val="center"/>
          </w:tcPr>
          <w:p w14:paraId="706798FE">
            <w:pPr>
              <w:jc w:val="center"/>
              <w:rPr>
                <w:rFonts w:ascii="宋体" w:hAnsi="宋体" w:cs="宋体"/>
                <w:color w:val="auto"/>
                <w:sz w:val="22"/>
              </w:rPr>
            </w:pPr>
          </w:p>
        </w:tc>
        <w:tc>
          <w:tcPr>
            <w:tcW w:w="1267" w:type="dxa"/>
            <w:noWrap w:val="0"/>
            <w:vAlign w:val="center"/>
          </w:tcPr>
          <w:p w14:paraId="6239F623">
            <w:pPr>
              <w:ind w:right="-11"/>
              <w:jc w:val="center"/>
              <w:rPr>
                <w:rFonts w:ascii="宋体" w:hAnsi="宋体" w:cs="宋体"/>
                <w:color w:val="auto"/>
                <w:sz w:val="22"/>
              </w:rPr>
            </w:pPr>
          </w:p>
        </w:tc>
        <w:tc>
          <w:tcPr>
            <w:tcW w:w="1350" w:type="dxa"/>
            <w:noWrap w:val="0"/>
            <w:vAlign w:val="center"/>
          </w:tcPr>
          <w:p w14:paraId="428CD6CB">
            <w:pPr>
              <w:ind w:right="-11"/>
              <w:jc w:val="center"/>
              <w:rPr>
                <w:rFonts w:ascii="宋体" w:hAnsi="宋体" w:cs="宋体"/>
                <w:color w:val="auto"/>
                <w:sz w:val="22"/>
              </w:rPr>
            </w:pPr>
          </w:p>
        </w:tc>
        <w:tc>
          <w:tcPr>
            <w:tcW w:w="1050" w:type="dxa"/>
            <w:noWrap w:val="0"/>
            <w:vAlign w:val="center"/>
          </w:tcPr>
          <w:p w14:paraId="09D3CF7F">
            <w:pPr>
              <w:ind w:right="-11"/>
              <w:jc w:val="center"/>
              <w:rPr>
                <w:rFonts w:ascii="宋体" w:hAnsi="宋体" w:cs="宋体"/>
                <w:color w:val="auto"/>
                <w:sz w:val="22"/>
              </w:rPr>
            </w:pPr>
          </w:p>
        </w:tc>
      </w:tr>
      <w:tr w14:paraId="779BA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6E65975C">
            <w:pPr>
              <w:ind w:right="-11"/>
              <w:jc w:val="center"/>
              <w:rPr>
                <w:rFonts w:ascii="宋体" w:hAnsi="宋体" w:cs="宋体"/>
                <w:color w:val="auto"/>
                <w:sz w:val="22"/>
              </w:rPr>
            </w:pPr>
            <w:r>
              <w:rPr>
                <w:rFonts w:hint="eastAsia" w:ascii="宋体" w:hAnsi="宋体" w:cs="宋体"/>
                <w:color w:val="auto"/>
                <w:sz w:val="22"/>
              </w:rPr>
              <w:t>.</w:t>
            </w:r>
          </w:p>
        </w:tc>
        <w:tc>
          <w:tcPr>
            <w:tcW w:w="1310" w:type="dxa"/>
            <w:noWrap w:val="0"/>
            <w:vAlign w:val="center"/>
          </w:tcPr>
          <w:p w14:paraId="12511C51">
            <w:pPr>
              <w:rPr>
                <w:rFonts w:ascii="宋体" w:hAnsi="宋体" w:cs="宋体"/>
                <w:color w:val="auto"/>
                <w:sz w:val="22"/>
              </w:rPr>
            </w:pPr>
          </w:p>
        </w:tc>
        <w:tc>
          <w:tcPr>
            <w:tcW w:w="1426" w:type="dxa"/>
            <w:noWrap w:val="0"/>
            <w:vAlign w:val="center"/>
          </w:tcPr>
          <w:p w14:paraId="0A2FFFB1">
            <w:pPr>
              <w:jc w:val="center"/>
              <w:rPr>
                <w:rFonts w:ascii="宋体" w:hAnsi="宋体" w:cs="宋体"/>
                <w:color w:val="auto"/>
                <w:sz w:val="22"/>
              </w:rPr>
            </w:pPr>
          </w:p>
        </w:tc>
        <w:tc>
          <w:tcPr>
            <w:tcW w:w="1517" w:type="dxa"/>
            <w:noWrap w:val="0"/>
            <w:vAlign w:val="center"/>
          </w:tcPr>
          <w:p w14:paraId="4514D51C">
            <w:pPr>
              <w:jc w:val="center"/>
              <w:rPr>
                <w:rFonts w:ascii="宋体" w:hAnsi="宋体" w:cs="宋体"/>
                <w:color w:val="auto"/>
                <w:sz w:val="22"/>
              </w:rPr>
            </w:pPr>
          </w:p>
        </w:tc>
        <w:tc>
          <w:tcPr>
            <w:tcW w:w="1267" w:type="dxa"/>
            <w:noWrap w:val="0"/>
            <w:vAlign w:val="center"/>
          </w:tcPr>
          <w:p w14:paraId="49F63EDF">
            <w:pPr>
              <w:ind w:right="-11"/>
              <w:jc w:val="center"/>
              <w:rPr>
                <w:rFonts w:ascii="宋体" w:hAnsi="宋体" w:cs="宋体"/>
                <w:color w:val="auto"/>
                <w:sz w:val="22"/>
              </w:rPr>
            </w:pPr>
          </w:p>
        </w:tc>
        <w:tc>
          <w:tcPr>
            <w:tcW w:w="1350" w:type="dxa"/>
            <w:noWrap w:val="0"/>
            <w:vAlign w:val="center"/>
          </w:tcPr>
          <w:p w14:paraId="3F0EAA4D">
            <w:pPr>
              <w:ind w:right="-11"/>
              <w:jc w:val="center"/>
              <w:rPr>
                <w:rFonts w:ascii="宋体" w:hAnsi="宋体" w:cs="宋体"/>
                <w:color w:val="auto"/>
                <w:sz w:val="22"/>
              </w:rPr>
            </w:pPr>
          </w:p>
        </w:tc>
        <w:tc>
          <w:tcPr>
            <w:tcW w:w="1050" w:type="dxa"/>
            <w:noWrap w:val="0"/>
            <w:vAlign w:val="center"/>
          </w:tcPr>
          <w:p w14:paraId="24B34D03">
            <w:pPr>
              <w:ind w:right="-11"/>
              <w:jc w:val="center"/>
              <w:rPr>
                <w:rFonts w:ascii="宋体" w:hAnsi="宋体" w:cs="宋体"/>
                <w:color w:val="auto"/>
                <w:sz w:val="22"/>
              </w:rPr>
            </w:pPr>
          </w:p>
        </w:tc>
      </w:tr>
      <w:tr w14:paraId="00D50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6A5EFD7C">
            <w:pPr>
              <w:ind w:right="-11"/>
              <w:jc w:val="center"/>
              <w:rPr>
                <w:rFonts w:ascii="宋体" w:hAnsi="宋体" w:cs="宋体"/>
                <w:color w:val="auto"/>
                <w:sz w:val="22"/>
              </w:rPr>
            </w:pPr>
            <w:r>
              <w:rPr>
                <w:rFonts w:hint="eastAsia" w:ascii="宋体" w:hAnsi="宋体" w:cs="宋体"/>
                <w:color w:val="auto"/>
                <w:sz w:val="22"/>
              </w:rPr>
              <w:t>.</w:t>
            </w:r>
          </w:p>
        </w:tc>
        <w:tc>
          <w:tcPr>
            <w:tcW w:w="1310" w:type="dxa"/>
            <w:noWrap w:val="0"/>
            <w:vAlign w:val="center"/>
          </w:tcPr>
          <w:p w14:paraId="40B7F9B5">
            <w:pPr>
              <w:rPr>
                <w:rFonts w:ascii="宋体" w:hAnsi="宋体" w:cs="宋体"/>
                <w:color w:val="auto"/>
                <w:sz w:val="22"/>
              </w:rPr>
            </w:pPr>
          </w:p>
        </w:tc>
        <w:tc>
          <w:tcPr>
            <w:tcW w:w="1426" w:type="dxa"/>
            <w:noWrap w:val="0"/>
            <w:vAlign w:val="center"/>
          </w:tcPr>
          <w:p w14:paraId="7460E8EB">
            <w:pPr>
              <w:jc w:val="center"/>
              <w:rPr>
                <w:rFonts w:ascii="宋体" w:hAnsi="宋体" w:cs="宋体"/>
                <w:color w:val="auto"/>
                <w:sz w:val="22"/>
              </w:rPr>
            </w:pPr>
          </w:p>
        </w:tc>
        <w:tc>
          <w:tcPr>
            <w:tcW w:w="1517" w:type="dxa"/>
            <w:noWrap w:val="0"/>
            <w:vAlign w:val="center"/>
          </w:tcPr>
          <w:p w14:paraId="5D2F3526">
            <w:pPr>
              <w:jc w:val="center"/>
              <w:rPr>
                <w:rFonts w:ascii="宋体" w:hAnsi="宋体" w:cs="宋体"/>
                <w:color w:val="auto"/>
                <w:sz w:val="22"/>
              </w:rPr>
            </w:pPr>
          </w:p>
        </w:tc>
        <w:tc>
          <w:tcPr>
            <w:tcW w:w="1267" w:type="dxa"/>
            <w:noWrap w:val="0"/>
            <w:vAlign w:val="center"/>
          </w:tcPr>
          <w:p w14:paraId="63820971">
            <w:pPr>
              <w:ind w:right="-11"/>
              <w:jc w:val="center"/>
              <w:rPr>
                <w:rFonts w:ascii="宋体" w:hAnsi="宋体" w:cs="宋体"/>
                <w:color w:val="auto"/>
                <w:sz w:val="22"/>
              </w:rPr>
            </w:pPr>
          </w:p>
        </w:tc>
        <w:tc>
          <w:tcPr>
            <w:tcW w:w="1350" w:type="dxa"/>
            <w:noWrap w:val="0"/>
            <w:vAlign w:val="center"/>
          </w:tcPr>
          <w:p w14:paraId="75A19CCB">
            <w:pPr>
              <w:ind w:right="-11"/>
              <w:jc w:val="center"/>
              <w:rPr>
                <w:rFonts w:ascii="宋体" w:hAnsi="宋体" w:cs="宋体"/>
                <w:color w:val="auto"/>
                <w:sz w:val="22"/>
              </w:rPr>
            </w:pPr>
          </w:p>
        </w:tc>
        <w:tc>
          <w:tcPr>
            <w:tcW w:w="1050" w:type="dxa"/>
            <w:noWrap w:val="0"/>
            <w:vAlign w:val="center"/>
          </w:tcPr>
          <w:p w14:paraId="41B74451">
            <w:pPr>
              <w:ind w:right="-11"/>
              <w:jc w:val="center"/>
              <w:rPr>
                <w:rFonts w:ascii="宋体" w:hAnsi="宋体" w:cs="宋体"/>
                <w:color w:val="auto"/>
                <w:sz w:val="22"/>
              </w:rPr>
            </w:pPr>
          </w:p>
        </w:tc>
      </w:tr>
      <w:tr w14:paraId="543FD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6C4A78E0">
            <w:pPr>
              <w:widowControl/>
              <w:jc w:val="center"/>
              <w:textAlignment w:val="center"/>
              <w:rPr>
                <w:rFonts w:ascii="宋体" w:hAnsi="宋体" w:cs="宋体"/>
                <w:color w:val="auto"/>
                <w:sz w:val="22"/>
              </w:rPr>
            </w:pPr>
            <w:r>
              <w:rPr>
                <w:rFonts w:hint="eastAsia" w:ascii="宋体" w:hAnsi="宋体" w:cs="宋体"/>
                <w:color w:val="auto"/>
                <w:sz w:val="22"/>
              </w:rPr>
              <w:t>.</w:t>
            </w:r>
          </w:p>
        </w:tc>
        <w:tc>
          <w:tcPr>
            <w:tcW w:w="1310" w:type="dxa"/>
            <w:noWrap w:val="0"/>
            <w:vAlign w:val="center"/>
          </w:tcPr>
          <w:p w14:paraId="1D9E7B1C">
            <w:pPr>
              <w:widowControl/>
              <w:jc w:val="center"/>
              <w:textAlignment w:val="center"/>
              <w:rPr>
                <w:rFonts w:ascii="宋体" w:hAnsi="宋体" w:cs="宋体"/>
                <w:color w:val="auto"/>
                <w:sz w:val="22"/>
              </w:rPr>
            </w:pPr>
          </w:p>
        </w:tc>
        <w:tc>
          <w:tcPr>
            <w:tcW w:w="1426" w:type="dxa"/>
            <w:noWrap w:val="0"/>
            <w:vAlign w:val="center"/>
          </w:tcPr>
          <w:p w14:paraId="673AA175">
            <w:pPr>
              <w:jc w:val="center"/>
              <w:rPr>
                <w:rFonts w:ascii="宋体" w:hAnsi="宋体" w:cs="宋体"/>
                <w:color w:val="auto"/>
                <w:sz w:val="22"/>
              </w:rPr>
            </w:pPr>
          </w:p>
        </w:tc>
        <w:tc>
          <w:tcPr>
            <w:tcW w:w="1517" w:type="dxa"/>
            <w:noWrap w:val="0"/>
            <w:vAlign w:val="center"/>
          </w:tcPr>
          <w:p w14:paraId="053D297D">
            <w:pPr>
              <w:jc w:val="center"/>
              <w:rPr>
                <w:rFonts w:ascii="宋体" w:hAnsi="宋体" w:cs="宋体"/>
                <w:color w:val="auto"/>
                <w:sz w:val="22"/>
              </w:rPr>
            </w:pPr>
          </w:p>
        </w:tc>
        <w:tc>
          <w:tcPr>
            <w:tcW w:w="1267" w:type="dxa"/>
            <w:noWrap w:val="0"/>
            <w:vAlign w:val="center"/>
          </w:tcPr>
          <w:p w14:paraId="2309A3A3">
            <w:pPr>
              <w:widowControl/>
              <w:jc w:val="center"/>
              <w:textAlignment w:val="center"/>
              <w:rPr>
                <w:rFonts w:ascii="宋体" w:hAnsi="宋体" w:cs="宋体"/>
                <w:color w:val="auto"/>
                <w:sz w:val="22"/>
              </w:rPr>
            </w:pPr>
          </w:p>
        </w:tc>
        <w:tc>
          <w:tcPr>
            <w:tcW w:w="1350" w:type="dxa"/>
            <w:noWrap w:val="0"/>
            <w:vAlign w:val="center"/>
          </w:tcPr>
          <w:p w14:paraId="6A6C3224">
            <w:pPr>
              <w:ind w:right="-11"/>
              <w:jc w:val="center"/>
              <w:rPr>
                <w:rFonts w:ascii="宋体" w:hAnsi="宋体" w:cs="宋体"/>
                <w:color w:val="auto"/>
                <w:sz w:val="22"/>
              </w:rPr>
            </w:pPr>
          </w:p>
        </w:tc>
        <w:tc>
          <w:tcPr>
            <w:tcW w:w="1050" w:type="dxa"/>
            <w:noWrap w:val="0"/>
            <w:vAlign w:val="center"/>
          </w:tcPr>
          <w:p w14:paraId="6E019FEF">
            <w:pPr>
              <w:ind w:right="-11"/>
              <w:jc w:val="center"/>
              <w:rPr>
                <w:rFonts w:ascii="宋体" w:hAnsi="宋体" w:cs="宋体"/>
                <w:color w:val="auto"/>
                <w:sz w:val="22"/>
              </w:rPr>
            </w:pPr>
          </w:p>
        </w:tc>
      </w:tr>
      <w:tr w14:paraId="0B26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3D415273">
            <w:pPr>
              <w:widowControl/>
              <w:jc w:val="center"/>
              <w:textAlignment w:val="center"/>
              <w:rPr>
                <w:rFonts w:ascii="宋体" w:hAnsi="宋体" w:cs="宋体"/>
                <w:color w:val="auto"/>
                <w:sz w:val="22"/>
              </w:rPr>
            </w:pPr>
            <w:r>
              <w:rPr>
                <w:rFonts w:hint="eastAsia" w:ascii="宋体" w:hAnsi="宋体" w:cs="宋体"/>
                <w:color w:val="auto"/>
                <w:sz w:val="22"/>
              </w:rPr>
              <w:t>.</w:t>
            </w:r>
          </w:p>
        </w:tc>
        <w:tc>
          <w:tcPr>
            <w:tcW w:w="1310" w:type="dxa"/>
            <w:noWrap w:val="0"/>
            <w:vAlign w:val="center"/>
          </w:tcPr>
          <w:p w14:paraId="6F87D97E">
            <w:pPr>
              <w:widowControl/>
              <w:jc w:val="left"/>
              <w:textAlignment w:val="center"/>
              <w:rPr>
                <w:rFonts w:ascii="宋体" w:hAnsi="宋体" w:cs="宋体"/>
                <w:color w:val="auto"/>
                <w:sz w:val="22"/>
              </w:rPr>
            </w:pPr>
          </w:p>
        </w:tc>
        <w:tc>
          <w:tcPr>
            <w:tcW w:w="1426" w:type="dxa"/>
            <w:noWrap w:val="0"/>
            <w:vAlign w:val="center"/>
          </w:tcPr>
          <w:p w14:paraId="2367C727">
            <w:pPr>
              <w:widowControl/>
              <w:jc w:val="center"/>
              <w:textAlignment w:val="center"/>
              <w:rPr>
                <w:rFonts w:ascii="宋体" w:hAnsi="宋体" w:cs="宋体"/>
                <w:color w:val="auto"/>
                <w:sz w:val="22"/>
              </w:rPr>
            </w:pPr>
          </w:p>
        </w:tc>
        <w:tc>
          <w:tcPr>
            <w:tcW w:w="1517" w:type="dxa"/>
            <w:noWrap w:val="0"/>
            <w:vAlign w:val="center"/>
          </w:tcPr>
          <w:p w14:paraId="7820F705">
            <w:pPr>
              <w:widowControl/>
              <w:jc w:val="center"/>
              <w:textAlignment w:val="center"/>
              <w:rPr>
                <w:rFonts w:ascii="宋体" w:hAnsi="宋体" w:cs="宋体"/>
                <w:color w:val="auto"/>
                <w:sz w:val="22"/>
              </w:rPr>
            </w:pPr>
          </w:p>
        </w:tc>
        <w:tc>
          <w:tcPr>
            <w:tcW w:w="1267" w:type="dxa"/>
            <w:noWrap w:val="0"/>
            <w:vAlign w:val="center"/>
          </w:tcPr>
          <w:p w14:paraId="62ECBA6C">
            <w:pPr>
              <w:widowControl/>
              <w:jc w:val="center"/>
              <w:textAlignment w:val="center"/>
              <w:rPr>
                <w:rFonts w:ascii="宋体" w:hAnsi="宋体" w:cs="宋体"/>
                <w:color w:val="auto"/>
                <w:sz w:val="22"/>
              </w:rPr>
            </w:pPr>
          </w:p>
        </w:tc>
        <w:tc>
          <w:tcPr>
            <w:tcW w:w="1350" w:type="dxa"/>
            <w:noWrap w:val="0"/>
            <w:vAlign w:val="center"/>
          </w:tcPr>
          <w:p w14:paraId="41351E98">
            <w:pPr>
              <w:ind w:right="-11"/>
              <w:jc w:val="center"/>
              <w:rPr>
                <w:rFonts w:ascii="宋体" w:hAnsi="宋体" w:cs="宋体"/>
                <w:color w:val="auto"/>
                <w:sz w:val="22"/>
              </w:rPr>
            </w:pPr>
          </w:p>
        </w:tc>
        <w:tc>
          <w:tcPr>
            <w:tcW w:w="1050" w:type="dxa"/>
            <w:noWrap w:val="0"/>
            <w:vAlign w:val="center"/>
          </w:tcPr>
          <w:p w14:paraId="42C73ABA">
            <w:pPr>
              <w:ind w:right="-11"/>
              <w:jc w:val="center"/>
              <w:rPr>
                <w:rFonts w:ascii="宋体" w:hAnsi="宋体" w:cs="宋体"/>
                <w:color w:val="auto"/>
                <w:sz w:val="22"/>
              </w:rPr>
            </w:pPr>
          </w:p>
        </w:tc>
      </w:tr>
      <w:tr w14:paraId="6118C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5C922013">
            <w:pPr>
              <w:widowControl/>
              <w:jc w:val="center"/>
              <w:textAlignment w:val="center"/>
              <w:rPr>
                <w:rFonts w:ascii="宋体" w:hAnsi="宋体" w:cs="宋体"/>
                <w:color w:val="auto"/>
                <w:sz w:val="22"/>
              </w:rPr>
            </w:pPr>
            <w:r>
              <w:rPr>
                <w:rFonts w:hint="eastAsia" w:ascii="宋体" w:hAnsi="宋体" w:cs="宋体"/>
                <w:color w:val="auto"/>
                <w:sz w:val="22"/>
              </w:rPr>
              <w:t>.</w:t>
            </w:r>
          </w:p>
        </w:tc>
        <w:tc>
          <w:tcPr>
            <w:tcW w:w="1310" w:type="dxa"/>
            <w:noWrap w:val="0"/>
            <w:vAlign w:val="center"/>
          </w:tcPr>
          <w:p w14:paraId="52513F09">
            <w:pPr>
              <w:widowControl/>
              <w:jc w:val="left"/>
              <w:textAlignment w:val="center"/>
              <w:rPr>
                <w:rFonts w:ascii="宋体" w:hAnsi="宋体" w:cs="宋体"/>
                <w:color w:val="auto"/>
                <w:sz w:val="22"/>
              </w:rPr>
            </w:pPr>
          </w:p>
        </w:tc>
        <w:tc>
          <w:tcPr>
            <w:tcW w:w="1426" w:type="dxa"/>
            <w:noWrap w:val="0"/>
            <w:vAlign w:val="center"/>
          </w:tcPr>
          <w:p w14:paraId="7F6F1215">
            <w:pPr>
              <w:widowControl/>
              <w:jc w:val="center"/>
              <w:textAlignment w:val="center"/>
              <w:rPr>
                <w:rFonts w:ascii="宋体" w:hAnsi="宋体" w:cs="宋体"/>
                <w:color w:val="auto"/>
                <w:sz w:val="22"/>
              </w:rPr>
            </w:pPr>
          </w:p>
        </w:tc>
        <w:tc>
          <w:tcPr>
            <w:tcW w:w="1517" w:type="dxa"/>
            <w:noWrap w:val="0"/>
            <w:vAlign w:val="center"/>
          </w:tcPr>
          <w:p w14:paraId="0039FAE5">
            <w:pPr>
              <w:widowControl/>
              <w:jc w:val="center"/>
              <w:textAlignment w:val="center"/>
              <w:rPr>
                <w:rFonts w:ascii="宋体" w:hAnsi="宋体" w:cs="宋体"/>
                <w:color w:val="auto"/>
                <w:sz w:val="22"/>
              </w:rPr>
            </w:pPr>
          </w:p>
        </w:tc>
        <w:tc>
          <w:tcPr>
            <w:tcW w:w="1267" w:type="dxa"/>
            <w:noWrap w:val="0"/>
            <w:vAlign w:val="center"/>
          </w:tcPr>
          <w:p w14:paraId="7E48657C">
            <w:pPr>
              <w:widowControl/>
              <w:jc w:val="center"/>
              <w:textAlignment w:val="center"/>
              <w:rPr>
                <w:rFonts w:ascii="宋体" w:hAnsi="宋体" w:cs="宋体"/>
                <w:color w:val="auto"/>
                <w:sz w:val="22"/>
              </w:rPr>
            </w:pPr>
          </w:p>
        </w:tc>
        <w:tc>
          <w:tcPr>
            <w:tcW w:w="1350" w:type="dxa"/>
            <w:noWrap w:val="0"/>
            <w:vAlign w:val="center"/>
          </w:tcPr>
          <w:p w14:paraId="3EE7217A">
            <w:pPr>
              <w:ind w:right="-11"/>
              <w:jc w:val="center"/>
              <w:rPr>
                <w:rFonts w:ascii="宋体" w:hAnsi="宋体" w:cs="宋体"/>
                <w:color w:val="auto"/>
                <w:sz w:val="22"/>
              </w:rPr>
            </w:pPr>
          </w:p>
        </w:tc>
        <w:tc>
          <w:tcPr>
            <w:tcW w:w="1050" w:type="dxa"/>
            <w:noWrap w:val="0"/>
            <w:vAlign w:val="center"/>
          </w:tcPr>
          <w:p w14:paraId="095CF4B4">
            <w:pPr>
              <w:ind w:right="-11"/>
              <w:jc w:val="center"/>
              <w:rPr>
                <w:rFonts w:ascii="宋体" w:hAnsi="宋体" w:cs="宋体"/>
                <w:color w:val="auto"/>
                <w:sz w:val="22"/>
              </w:rPr>
            </w:pPr>
          </w:p>
        </w:tc>
      </w:tr>
      <w:tr w14:paraId="1BD4D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149687C2">
            <w:pPr>
              <w:widowControl/>
              <w:jc w:val="center"/>
              <w:textAlignment w:val="center"/>
              <w:rPr>
                <w:rFonts w:ascii="宋体" w:hAnsi="宋体" w:cs="宋体"/>
                <w:color w:val="auto"/>
                <w:sz w:val="22"/>
              </w:rPr>
            </w:pPr>
          </w:p>
        </w:tc>
        <w:tc>
          <w:tcPr>
            <w:tcW w:w="1310" w:type="dxa"/>
            <w:noWrap w:val="0"/>
            <w:vAlign w:val="center"/>
          </w:tcPr>
          <w:p w14:paraId="67A3958B">
            <w:pPr>
              <w:widowControl/>
              <w:jc w:val="left"/>
              <w:textAlignment w:val="center"/>
              <w:rPr>
                <w:rFonts w:ascii="宋体" w:hAnsi="宋体" w:cs="宋体"/>
                <w:color w:val="auto"/>
                <w:sz w:val="22"/>
              </w:rPr>
            </w:pPr>
          </w:p>
        </w:tc>
        <w:tc>
          <w:tcPr>
            <w:tcW w:w="1426" w:type="dxa"/>
            <w:noWrap w:val="0"/>
            <w:vAlign w:val="center"/>
          </w:tcPr>
          <w:p w14:paraId="6FE56074">
            <w:pPr>
              <w:widowControl/>
              <w:jc w:val="center"/>
              <w:textAlignment w:val="center"/>
              <w:rPr>
                <w:rFonts w:ascii="宋体" w:hAnsi="宋体" w:cs="宋体"/>
                <w:color w:val="auto"/>
                <w:sz w:val="22"/>
              </w:rPr>
            </w:pPr>
          </w:p>
        </w:tc>
        <w:tc>
          <w:tcPr>
            <w:tcW w:w="1517" w:type="dxa"/>
            <w:noWrap w:val="0"/>
            <w:vAlign w:val="center"/>
          </w:tcPr>
          <w:p w14:paraId="465A1CBB">
            <w:pPr>
              <w:widowControl/>
              <w:jc w:val="center"/>
              <w:textAlignment w:val="center"/>
              <w:rPr>
                <w:rFonts w:ascii="宋体" w:hAnsi="宋体" w:cs="宋体"/>
                <w:color w:val="auto"/>
                <w:sz w:val="22"/>
              </w:rPr>
            </w:pPr>
          </w:p>
        </w:tc>
        <w:tc>
          <w:tcPr>
            <w:tcW w:w="1267" w:type="dxa"/>
            <w:noWrap w:val="0"/>
            <w:vAlign w:val="center"/>
          </w:tcPr>
          <w:p w14:paraId="7C965DBE">
            <w:pPr>
              <w:widowControl/>
              <w:jc w:val="center"/>
              <w:textAlignment w:val="center"/>
              <w:rPr>
                <w:rFonts w:ascii="宋体" w:hAnsi="宋体" w:cs="宋体"/>
                <w:color w:val="auto"/>
                <w:sz w:val="22"/>
              </w:rPr>
            </w:pPr>
          </w:p>
        </w:tc>
        <w:tc>
          <w:tcPr>
            <w:tcW w:w="1350" w:type="dxa"/>
            <w:noWrap w:val="0"/>
            <w:vAlign w:val="center"/>
          </w:tcPr>
          <w:p w14:paraId="76A4717B">
            <w:pPr>
              <w:widowControl/>
              <w:jc w:val="center"/>
              <w:textAlignment w:val="center"/>
              <w:rPr>
                <w:rFonts w:ascii="宋体" w:hAnsi="宋体" w:cs="宋体"/>
                <w:color w:val="auto"/>
                <w:sz w:val="22"/>
              </w:rPr>
            </w:pPr>
          </w:p>
        </w:tc>
        <w:tc>
          <w:tcPr>
            <w:tcW w:w="1050" w:type="dxa"/>
            <w:noWrap w:val="0"/>
            <w:vAlign w:val="center"/>
          </w:tcPr>
          <w:p w14:paraId="25398E94">
            <w:pPr>
              <w:ind w:right="-11"/>
              <w:jc w:val="center"/>
              <w:rPr>
                <w:rFonts w:ascii="宋体" w:hAnsi="宋体" w:cs="宋体"/>
                <w:color w:val="auto"/>
                <w:sz w:val="22"/>
              </w:rPr>
            </w:pPr>
          </w:p>
        </w:tc>
      </w:tr>
      <w:tr w14:paraId="2AAC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7CA19AA3">
            <w:pPr>
              <w:widowControl/>
              <w:jc w:val="center"/>
              <w:textAlignment w:val="center"/>
              <w:rPr>
                <w:rFonts w:ascii="宋体" w:hAnsi="宋体" w:cs="宋体"/>
                <w:color w:val="auto"/>
                <w:sz w:val="22"/>
              </w:rPr>
            </w:pPr>
          </w:p>
        </w:tc>
        <w:tc>
          <w:tcPr>
            <w:tcW w:w="1310" w:type="dxa"/>
            <w:noWrap w:val="0"/>
            <w:vAlign w:val="center"/>
          </w:tcPr>
          <w:p w14:paraId="72C8E179">
            <w:pPr>
              <w:widowControl/>
              <w:jc w:val="left"/>
              <w:textAlignment w:val="center"/>
              <w:rPr>
                <w:rFonts w:ascii="宋体" w:hAnsi="宋体" w:cs="宋体"/>
                <w:color w:val="auto"/>
                <w:sz w:val="22"/>
              </w:rPr>
            </w:pPr>
          </w:p>
        </w:tc>
        <w:tc>
          <w:tcPr>
            <w:tcW w:w="1426" w:type="dxa"/>
            <w:noWrap w:val="0"/>
            <w:vAlign w:val="center"/>
          </w:tcPr>
          <w:p w14:paraId="13A0FB11">
            <w:pPr>
              <w:widowControl/>
              <w:jc w:val="center"/>
              <w:textAlignment w:val="center"/>
              <w:rPr>
                <w:rFonts w:ascii="宋体" w:hAnsi="宋体" w:cs="宋体"/>
                <w:color w:val="auto"/>
                <w:sz w:val="22"/>
              </w:rPr>
            </w:pPr>
          </w:p>
        </w:tc>
        <w:tc>
          <w:tcPr>
            <w:tcW w:w="1517" w:type="dxa"/>
            <w:noWrap w:val="0"/>
            <w:vAlign w:val="center"/>
          </w:tcPr>
          <w:p w14:paraId="78AED662">
            <w:pPr>
              <w:widowControl/>
              <w:jc w:val="center"/>
              <w:textAlignment w:val="center"/>
              <w:rPr>
                <w:rFonts w:ascii="宋体" w:hAnsi="宋体" w:cs="宋体"/>
                <w:color w:val="auto"/>
                <w:sz w:val="22"/>
              </w:rPr>
            </w:pPr>
          </w:p>
        </w:tc>
        <w:tc>
          <w:tcPr>
            <w:tcW w:w="1267" w:type="dxa"/>
            <w:noWrap w:val="0"/>
            <w:vAlign w:val="center"/>
          </w:tcPr>
          <w:p w14:paraId="6FDD6517">
            <w:pPr>
              <w:widowControl/>
              <w:jc w:val="center"/>
              <w:textAlignment w:val="center"/>
              <w:rPr>
                <w:rFonts w:ascii="宋体" w:hAnsi="宋体" w:cs="宋体"/>
                <w:color w:val="auto"/>
                <w:sz w:val="22"/>
              </w:rPr>
            </w:pPr>
          </w:p>
        </w:tc>
        <w:tc>
          <w:tcPr>
            <w:tcW w:w="1350" w:type="dxa"/>
            <w:noWrap w:val="0"/>
            <w:vAlign w:val="center"/>
          </w:tcPr>
          <w:p w14:paraId="2EF08120">
            <w:pPr>
              <w:widowControl/>
              <w:jc w:val="center"/>
              <w:textAlignment w:val="center"/>
              <w:rPr>
                <w:rFonts w:ascii="宋体" w:hAnsi="宋体" w:cs="宋体"/>
                <w:color w:val="auto"/>
                <w:sz w:val="22"/>
              </w:rPr>
            </w:pPr>
          </w:p>
        </w:tc>
        <w:tc>
          <w:tcPr>
            <w:tcW w:w="1050" w:type="dxa"/>
            <w:noWrap w:val="0"/>
            <w:vAlign w:val="center"/>
          </w:tcPr>
          <w:p w14:paraId="55022FD1">
            <w:pPr>
              <w:ind w:right="-11"/>
              <w:jc w:val="center"/>
              <w:rPr>
                <w:rFonts w:ascii="宋体" w:hAnsi="宋体" w:cs="宋体"/>
                <w:color w:val="auto"/>
                <w:sz w:val="22"/>
              </w:rPr>
            </w:pPr>
          </w:p>
        </w:tc>
      </w:tr>
      <w:tr w14:paraId="3D03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7B7A6857">
            <w:pPr>
              <w:widowControl/>
              <w:jc w:val="center"/>
              <w:textAlignment w:val="center"/>
              <w:rPr>
                <w:rFonts w:ascii="宋体" w:hAnsi="宋体" w:cs="宋体"/>
                <w:color w:val="auto"/>
                <w:sz w:val="22"/>
              </w:rPr>
            </w:pPr>
          </w:p>
        </w:tc>
        <w:tc>
          <w:tcPr>
            <w:tcW w:w="1310" w:type="dxa"/>
            <w:noWrap w:val="0"/>
            <w:vAlign w:val="center"/>
          </w:tcPr>
          <w:p w14:paraId="54C6BA8C">
            <w:pPr>
              <w:widowControl/>
              <w:jc w:val="left"/>
              <w:textAlignment w:val="center"/>
              <w:rPr>
                <w:rFonts w:ascii="宋体" w:hAnsi="宋体" w:cs="宋体"/>
                <w:color w:val="auto"/>
                <w:sz w:val="22"/>
              </w:rPr>
            </w:pPr>
          </w:p>
        </w:tc>
        <w:tc>
          <w:tcPr>
            <w:tcW w:w="1426" w:type="dxa"/>
            <w:noWrap w:val="0"/>
            <w:vAlign w:val="center"/>
          </w:tcPr>
          <w:p w14:paraId="1115C293">
            <w:pPr>
              <w:widowControl/>
              <w:jc w:val="center"/>
              <w:textAlignment w:val="center"/>
              <w:rPr>
                <w:rFonts w:ascii="宋体" w:hAnsi="宋体" w:cs="宋体"/>
                <w:color w:val="auto"/>
                <w:sz w:val="22"/>
              </w:rPr>
            </w:pPr>
          </w:p>
        </w:tc>
        <w:tc>
          <w:tcPr>
            <w:tcW w:w="1517" w:type="dxa"/>
            <w:noWrap w:val="0"/>
            <w:vAlign w:val="center"/>
          </w:tcPr>
          <w:p w14:paraId="4D384FD0">
            <w:pPr>
              <w:widowControl/>
              <w:jc w:val="center"/>
              <w:textAlignment w:val="center"/>
              <w:rPr>
                <w:rFonts w:ascii="宋体" w:hAnsi="宋体" w:cs="宋体"/>
                <w:color w:val="auto"/>
                <w:sz w:val="22"/>
              </w:rPr>
            </w:pPr>
          </w:p>
        </w:tc>
        <w:tc>
          <w:tcPr>
            <w:tcW w:w="1267" w:type="dxa"/>
            <w:noWrap w:val="0"/>
            <w:vAlign w:val="center"/>
          </w:tcPr>
          <w:p w14:paraId="01BFFF57">
            <w:pPr>
              <w:widowControl/>
              <w:jc w:val="center"/>
              <w:textAlignment w:val="center"/>
              <w:rPr>
                <w:rFonts w:ascii="宋体" w:hAnsi="宋体" w:cs="宋体"/>
                <w:color w:val="auto"/>
                <w:sz w:val="22"/>
              </w:rPr>
            </w:pPr>
          </w:p>
        </w:tc>
        <w:tc>
          <w:tcPr>
            <w:tcW w:w="1350" w:type="dxa"/>
            <w:noWrap w:val="0"/>
            <w:vAlign w:val="center"/>
          </w:tcPr>
          <w:p w14:paraId="0BE3C9A1">
            <w:pPr>
              <w:widowControl/>
              <w:jc w:val="center"/>
              <w:textAlignment w:val="center"/>
              <w:rPr>
                <w:rFonts w:ascii="宋体" w:hAnsi="宋体" w:cs="宋体"/>
                <w:color w:val="auto"/>
                <w:sz w:val="22"/>
              </w:rPr>
            </w:pPr>
          </w:p>
        </w:tc>
        <w:tc>
          <w:tcPr>
            <w:tcW w:w="1050" w:type="dxa"/>
            <w:noWrap w:val="0"/>
            <w:vAlign w:val="center"/>
          </w:tcPr>
          <w:p w14:paraId="66A3DCDB">
            <w:pPr>
              <w:ind w:right="-11"/>
              <w:jc w:val="center"/>
              <w:rPr>
                <w:rFonts w:ascii="宋体" w:hAnsi="宋体" w:cs="宋体"/>
                <w:color w:val="auto"/>
                <w:sz w:val="22"/>
              </w:rPr>
            </w:pPr>
          </w:p>
        </w:tc>
      </w:tr>
      <w:tr w14:paraId="7D950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6299" w:type="dxa"/>
            <w:gridSpan w:val="5"/>
            <w:noWrap w:val="0"/>
            <w:vAlign w:val="center"/>
          </w:tcPr>
          <w:p w14:paraId="22D93454">
            <w:pPr>
              <w:widowControl/>
              <w:jc w:val="center"/>
              <w:textAlignment w:val="center"/>
              <w:rPr>
                <w:rFonts w:ascii="宋体" w:hAnsi="宋体" w:cs="宋体"/>
                <w:color w:val="auto"/>
                <w:sz w:val="22"/>
              </w:rPr>
            </w:pPr>
            <w:r>
              <w:rPr>
                <w:rFonts w:hint="eastAsia" w:ascii="宋体" w:hAnsi="宋体" w:cs="宋体"/>
                <w:color w:val="auto"/>
                <w:sz w:val="22"/>
              </w:rPr>
              <w:t>总价</w:t>
            </w:r>
          </w:p>
        </w:tc>
        <w:tc>
          <w:tcPr>
            <w:tcW w:w="1350" w:type="dxa"/>
            <w:noWrap w:val="0"/>
            <w:vAlign w:val="center"/>
          </w:tcPr>
          <w:p w14:paraId="1178CAF5">
            <w:pPr>
              <w:widowControl/>
              <w:jc w:val="center"/>
              <w:textAlignment w:val="center"/>
              <w:rPr>
                <w:rFonts w:ascii="宋体" w:hAnsi="宋体" w:cs="宋体"/>
                <w:color w:val="auto"/>
                <w:sz w:val="22"/>
              </w:rPr>
            </w:pPr>
          </w:p>
        </w:tc>
        <w:tc>
          <w:tcPr>
            <w:tcW w:w="1050" w:type="dxa"/>
            <w:noWrap w:val="0"/>
            <w:vAlign w:val="center"/>
          </w:tcPr>
          <w:p w14:paraId="54113DDB">
            <w:pPr>
              <w:ind w:right="-11"/>
              <w:jc w:val="center"/>
              <w:rPr>
                <w:rFonts w:ascii="宋体" w:hAnsi="宋体" w:cs="宋体"/>
                <w:color w:val="auto"/>
                <w:sz w:val="22"/>
              </w:rPr>
            </w:pPr>
          </w:p>
        </w:tc>
      </w:tr>
    </w:tbl>
    <w:p w14:paraId="1FD27379">
      <w:pPr>
        <w:rPr>
          <w:rFonts w:ascii="宋体" w:hAnsi="宋体" w:cs="宋体"/>
          <w:bCs/>
          <w:color w:val="auto"/>
          <w:sz w:val="22"/>
        </w:rPr>
      </w:pPr>
    </w:p>
    <w:p w14:paraId="0AB42CC0">
      <w:pPr>
        <w:rPr>
          <w:rFonts w:ascii="宋体" w:hAnsi="宋体" w:cs="宋体"/>
          <w:color w:val="auto"/>
          <w:sz w:val="22"/>
        </w:rPr>
      </w:pPr>
      <w:r>
        <w:rPr>
          <w:rFonts w:hint="eastAsia" w:ascii="宋体" w:hAnsi="宋体" w:cs="宋体"/>
          <w:bCs/>
          <w:color w:val="auto"/>
          <w:sz w:val="22"/>
        </w:rPr>
        <w:t>注：</w:t>
      </w:r>
      <w:r>
        <w:rPr>
          <w:rFonts w:hint="eastAsia" w:ascii="宋体" w:hAnsi="宋体" w:cs="宋体"/>
          <w:color w:val="auto"/>
          <w:sz w:val="22"/>
        </w:rPr>
        <w:t>1.不提供详细分项报价表将视为没有实质性响应竞争性磋商文件。</w:t>
      </w:r>
    </w:p>
    <w:p w14:paraId="54A83B37">
      <w:pPr>
        <w:ind w:firstLine="630"/>
        <w:rPr>
          <w:rFonts w:ascii="宋体" w:hAnsi="宋体" w:cs="宋体"/>
          <w:color w:val="auto"/>
          <w:sz w:val="22"/>
        </w:rPr>
      </w:pPr>
      <w:r>
        <w:rPr>
          <w:rFonts w:hint="eastAsia" w:ascii="宋体" w:hAnsi="宋体" w:cs="宋体"/>
          <w:color w:val="auto"/>
          <w:sz w:val="22"/>
        </w:rPr>
        <w:t>2.此表的合计总价应与附件一“开标（报价）一览表”投标总价相一致</w:t>
      </w:r>
      <w:r>
        <w:rPr>
          <w:rFonts w:hint="eastAsia" w:ascii="宋体" w:hAnsi="宋体" w:cs="宋体"/>
          <w:b/>
          <w:bCs/>
          <w:color w:val="auto"/>
          <w:sz w:val="22"/>
        </w:rPr>
        <w:t>。</w:t>
      </w:r>
    </w:p>
    <w:p w14:paraId="57033025">
      <w:pPr>
        <w:ind w:firstLine="630"/>
        <w:rPr>
          <w:rFonts w:ascii="宋体" w:hAnsi="宋体" w:cs="宋体"/>
          <w:color w:val="auto"/>
          <w:sz w:val="22"/>
        </w:rPr>
      </w:pPr>
      <w:r>
        <w:rPr>
          <w:rFonts w:hint="eastAsia" w:ascii="宋体" w:hAnsi="宋体" w:cs="宋体"/>
          <w:color w:val="auto"/>
          <w:sz w:val="22"/>
        </w:rPr>
        <w:t>3.如果所报项免费请在该备注栏内注明“免”，如果含在产品价格中则填“含”，如无此项内容则填“无”，不留空白。</w:t>
      </w:r>
    </w:p>
    <w:p w14:paraId="4BA8EF7B">
      <w:pPr>
        <w:ind w:firstLine="630"/>
        <w:rPr>
          <w:rFonts w:ascii="宋体" w:hAnsi="宋体" w:cs="宋体"/>
          <w:color w:val="auto"/>
          <w:sz w:val="22"/>
        </w:rPr>
      </w:pPr>
      <w:r>
        <w:rPr>
          <w:rFonts w:hint="eastAsia" w:ascii="宋体" w:hAnsi="宋体" w:cs="宋体"/>
          <w:color w:val="auto"/>
          <w:sz w:val="22"/>
        </w:rPr>
        <w:t>4.根据《中华人民共和国政府采购法实施条例 》第四十三条规定，在中标或者成交公告的内容中可能增加本表，请各供应商认真填写，确保报价数据的真实性、完整性和合理性。</w:t>
      </w:r>
    </w:p>
    <w:p w14:paraId="6288A4B9">
      <w:pPr>
        <w:ind w:firstLine="630"/>
        <w:rPr>
          <w:rFonts w:ascii="宋体" w:hAnsi="宋体" w:cs="宋体"/>
          <w:color w:val="auto"/>
          <w:sz w:val="22"/>
          <w:u w:val="single"/>
        </w:rPr>
      </w:pPr>
      <w:r>
        <w:rPr>
          <w:rFonts w:hint="eastAsia" w:ascii="宋体" w:hAnsi="宋体" w:cs="宋体"/>
          <w:color w:val="auto"/>
          <w:sz w:val="22"/>
        </w:rPr>
        <w:t xml:space="preserve">5.表格可以延续。            </w:t>
      </w:r>
    </w:p>
    <w:p w14:paraId="70C16230">
      <w:pPr>
        <w:spacing w:line="450" w:lineRule="atLeast"/>
        <w:rPr>
          <w:rFonts w:ascii="宋体"/>
          <w:color w:val="auto"/>
          <w:sz w:val="22"/>
          <w:szCs w:val="22"/>
        </w:rPr>
      </w:pPr>
    </w:p>
    <w:p w14:paraId="20003D85">
      <w:pPr>
        <w:spacing w:line="360" w:lineRule="auto"/>
        <w:ind w:left="364" w:leftChars="171"/>
        <w:rPr>
          <w:rFonts w:ascii="宋体" w:cs="Arial"/>
          <w:color w:val="auto"/>
          <w:sz w:val="22"/>
          <w:szCs w:val="22"/>
        </w:rPr>
      </w:pPr>
      <w:r>
        <w:rPr>
          <w:rFonts w:ascii="宋体" w:cs="Arial"/>
          <w:color w:val="auto"/>
          <w:sz w:val="22"/>
          <w:szCs w:val="22"/>
        </w:rPr>
        <w:t>投标供应商全称（盖章）：</w:t>
      </w:r>
    </w:p>
    <w:p w14:paraId="5C5EAA23">
      <w:pPr>
        <w:spacing w:line="360" w:lineRule="auto"/>
        <w:ind w:left="364" w:leftChars="171"/>
        <w:rPr>
          <w:rFonts w:ascii="宋体" w:cs="Arial"/>
          <w:color w:val="auto"/>
          <w:sz w:val="22"/>
          <w:szCs w:val="22"/>
        </w:rPr>
      </w:pPr>
      <w:r>
        <w:rPr>
          <w:rFonts w:ascii="宋体" w:cs="Arial"/>
          <w:color w:val="auto"/>
          <w:sz w:val="22"/>
          <w:szCs w:val="22"/>
        </w:rPr>
        <w:t>法定代表人或授权代表（签字）：</w:t>
      </w:r>
    </w:p>
    <w:p w14:paraId="772B5BD4">
      <w:pPr>
        <w:spacing w:line="360" w:lineRule="auto"/>
        <w:ind w:firstLine="334" w:firstLineChars="150"/>
        <w:rPr>
          <w:rFonts w:ascii="宋体" w:cs="Arial"/>
          <w:color w:val="auto"/>
          <w:sz w:val="22"/>
          <w:szCs w:val="22"/>
          <w:u w:val="single"/>
        </w:rPr>
      </w:pPr>
      <w:r>
        <w:rPr>
          <w:rFonts w:ascii="宋体" w:cs="Arial"/>
          <w:color w:val="auto"/>
          <w:sz w:val="22"/>
          <w:szCs w:val="22"/>
        </w:rPr>
        <w:t>日 期：       年      月      日</w:t>
      </w:r>
    </w:p>
    <w:p w14:paraId="53B68BF7">
      <w:pPr>
        <w:pStyle w:val="34"/>
        <w:outlineLvl w:val="1"/>
        <w:rPr>
          <w:rFonts w:ascii="宋体" w:hAnsi="宋体"/>
          <w:color w:val="auto"/>
        </w:rPr>
      </w:pPr>
      <w:bookmarkStart w:id="113" w:name="_Toc17856"/>
      <w:bookmarkStart w:id="114" w:name="_Toc44607655"/>
      <w:bookmarkStart w:id="115" w:name="_Toc493530215"/>
      <w:r>
        <w:rPr>
          <w:rFonts w:ascii="宋体" w:hAnsi="宋体"/>
          <w:color w:val="auto"/>
        </w:rPr>
        <w:br w:type="page"/>
      </w:r>
      <w:r>
        <w:rPr>
          <w:rFonts w:hint="eastAsia" w:ascii="宋体" w:hAnsi="宋体"/>
          <w:color w:val="auto"/>
        </w:rPr>
        <w:t>三、商务技术文件格式</w:t>
      </w:r>
      <w:bookmarkEnd w:id="113"/>
      <w:bookmarkEnd w:id="114"/>
    </w:p>
    <w:p w14:paraId="21CC0D80">
      <w:pPr>
        <w:pStyle w:val="33"/>
        <w:snapToGrid w:val="0"/>
        <w:spacing w:beforeAutospacing="0" w:afterAutospacing="0"/>
        <w:jc w:val="both"/>
        <w:rPr>
          <w:rFonts w:ascii="宋体" w:hAnsi="宋体" w:cs="宋体"/>
          <w:color w:val="auto"/>
          <w:sz w:val="22"/>
          <w:szCs w:val="22"/>
        </w:rPr>
      </w:pPr>
      <w:bookmarkStart w:id="116" w:name="_Toc44607656"/>
      <w:r>
        <w:rPr>
          <w:rFonts w:hint="eastAsia" w:ascii="宋体" w:hAnsi="宋体" w:cs="宋体"/>
          <w:b/>
          <w:bCs/>
          <w:color w:val="auto"/>
          <w:sz w:val="22"/>
          <w:szCs w:val="22"/>
        </w:rPr>
        <w:t>商务技术文件投标文件封面参考：</w:t>
      </w:r>
    </w:p>
    <w:p w14:paraId="61B4CC13">
      <w:pPr>
        <w:snapToGrid w:val="0"/>
        <w:spacing w:line="440" w:lineRule="exact"/>
        <w:jc w:val="center"/>
        <w:rPr>
          <w:rFonts w:ascii="宋体" w:hAnsi="宋体" w:cs="宋体"/>
          <w:b/>
          <w:color w:val="auto"/>
          <w:sz w:val="32"/>
          <w:szCs w:val="32"/>
        </w:rPr>
      </w:pPr>
    </w:p>
    <w:p w14:paraId="587A1806">
      <w:pPr>
        <w:snapToGrid w:val="0"/>
        <w:spacing w:line="440" w:lineRule="exact"/>
        <w:jc w:val="center"/>
        <w:rPr>
          <w:rFonts w:ascii="宋体" w:hAnsi="宋体" w:cs="宋体"/>
          <w:b/>
          <w:color w:val="auto"/>
          <w:sz w:val="84"/>
          <w:szCs w:val="84"/>
        </w:rPr>
      </w:pPr>
    </w:p>
    <w:p w14:paraId="5969FEF7">
      <w:pPr>
        <w:pStyle w:val="18"/>
        <w:ind w:left="428"/>
        <w:rPr>
          <w:rFonts w:ascii="宋体" w:hAnsi="宋体" w:cs="宋体"/>
          <w:b/>
          <w:color w:val="auto"/>
          <w:sz w:val="84"/>
          <w:szCs w:val="84"/>
        </w:rPr>
      </w:pPr>
    </w:p>
    <w:p w14:paraId="5DBAD614">
      <w:pPr>
        <w:pStyle w:val="19"/>
        <w:ind w:left="428" w:firstLine="428"/>
        <w:rPr>
          <w:color w:val="auto"/>
        </w:rPr>
      </w:pPr>
    </w:p>
    <w:p w14:paraId="3754EF8F">
      <w:pPr>
        <w:snapToGrid w:val="0"/>
        <w:spacing w:line="480" w:lineRule="auto"/>
        <w:jc w:val="center"/>
        <w:rPr>
          <w:rFonts w:ascii="宋体" w:hAnsi="宋体" w:cs="宋体"/>
          <w:b/>
          <w:color w:val="auto"/>
          <w:sz w:val="84"/>
          <w:szCs w:val="84"/>
        </w:rPr>
      </w:pPr>
      <w:r>
        <w:rPr>
          <w:rFonts w:hint="eastAsia" w:ascii="宋体" w:hAnsi="宋体" w:cs="宋体"/>
          <w:b/>
          <w:color w:val="auto"/>
          <w:sz w:val="84"/>
          <w:szCs w:val="84"/>
        </w:rPr>
        <w:t>商务技术文件</w:t>
      </w:r>
    </w:p>
    <w:p w14:paraId="765171CF">
      <w:pPr>
        <w:snapToGrid w:val="0"/>
        <w:spacing w:line="480" w:lineRule="auto"/>
        <w:jc w:val="center"/>
        <w:rPr>
          <w:rFonts w:ascii="宋体" w:hAnsi="宋体" w:cs="宋体"/>
          <w:b/>
          <w:color w:val="auto"/>
          <w:sz w:val="84"/>
          <w:szCs w:val="84"/>
        </w:rPr>
      </w:pPr>
      <w:r>
        <w:rPr>
          <w:rFonts w:hint="eastAsia" w:ascii="宋体" w:hAnsi="宋体" w:cs="宋体"/>
          <w:b/>
          <w:color w:val="auto"/>
          <w:sz w:val="84"/>
          <w:szCs w:val="84"/>
        </w:rPr>
        <w:t>投标文件</w:t>
      </w:r>
    </w:p>
    <w:p w14:paraId="4EA4603F">
      <w:pPr>
        <w:snapToGrid w:val="0"/>
        <w:spacing w:line="600" w:lineRule="atLeast"/>
        <w:ind w:firstLine="848" w:firstLineChars="323"/>
        <w:rPr>
          <w:rFonts w:hint="eastAsia" w:ascii="宋体" w:hAnsi="宋体" w:eastAsia="宋体" w:cs="宋体"/>
          <w:b/>
          <w:color w:val="auto"/>
          <w:sz w:val="26"/>
          <w:szCs w:val="26"/>
          <w:lang w:eastAsia="zh-CN"/>
        </w:rPr>
      </w:pPr>
      <w:r>
        <w:rPr>
          <w:rFonts w:hint="eastAsia" w:ascii="宋体" w:hAnsi="宋体" w:cs="宋体"/>
          <w:b/>
          <w:color w:val="auto"/>
          <w:sz w:val="26"/>
          <w:szCs w:val="26"/>
        </w:rPr>
        <w:t>项目名称：</w:t>
      </w:r>
      <w:r>
        <w:rPr>
          <w:rFonts w:hint="eastAsia" w:ascii="宋体" w:hAnsi="宋体" w:cs="宋体"/>
          <w:b/>
          <w:color w:val="auto"/>
          <w:sz w:val="26"/>
          <w:szCs w:val="26"/>
          <w:lang w:eastAsia="zh-CN"/>
        </w:rPr>
        <w:t>泰顺县”慢病智管“数智化服务（三年）</w:t>
      </w:r>
    </w:p>
    <w:p w14:paraId="2083687C">
      <w:pPr>
        <w:snapToGrid w:val="0"/>
        <w:spacing w:line="600" w:lineRule="atLeast"/>
        <w:ind w:firstLine="848" w:firstLineChars="323"/>
        <w:rPr>
          <w:rFonts w:hint="eastAsia" w:ascii="宋体" w:hAnsi="宋体" w:eastAsia="宋体" w:cs="宋体"/>
          <w:b/>
          <w:color w:val="auto"/>
          <w:sz w:val="26"/>
          <w:szCs w:val="26"/>
          <w:lang w:eastAsia="zh-CN"/>
        </w:rPr>
      </w:pPr>
      <w:r>
        <w:rPr>
          <w:rFonts w:hint="eastAsia" w:ascii="宋体" w:hAnsi="宋体" w:cs="宋体"/>
          <w:b/>
          <w:color w:val="auto"/>
          <w:sz w:val="26"/>
          <w:szCs w:val="26"/>
        </w:rPr>
        <w:t>项目编号：</w:t>
      </w:r>
      <w:r>
        <w:rPr>
          <w:rFonts w:hint="eastAsia" w:ascii="宋体" w:hAnsi="宋体" w:cs="宋体"/>
          <w:b/>
          <w:color w:val="auto"/>
          <w:sz w:val="26"/>
          <w:szCs w:val="26"/>
          <w:lang w:eastAsia="zh-CN"/>
        </w:rPr>
        <w:t>TSCG202510020</w:t>
      </w:r>
    </w:p>
    <w:p w14:paraId="4C03E15B">
      <w:pPr>
        <w:snapToGrid w:val="0"/>
        <w:spacing w:line="600" w:lineRule="atLeast"/>
        <w:ind w:firstLine="848" w:firstLineChars="323"/>
        <w:rPr>
          <w:rFonts w:hint="eastAsia" w:ascii="宋体" w:hAnsi="宋体" w:eastAsia="宋体" w:cs="宋体"/>
          <w:b/>
          <w:color w:val="auto"/>
          <w:sz w:val="26"/>
          <w:szCs w:val="26"/>
          <w:lang w:eastAsia="zh-CN"/>
        </w:rPr>
      </w:pPr>
      <w:r>
        <w:rPr>
          <w:rFonts w:hint="eastAsia" w:ascii="宋体" w:hAnsi="宋体" w:cs="宋体"/>
          <w:b/>
          <w:color w:val="auto"/>
          <w:sz w:val="26"/>
          <w:szCs w:val="26"/>
        </w:rPr>
        <w:t>采购单位：</w:t>
      </w:r>
      <w:r>
        <w:rPr>
          <w:rFonts w:hint="eastAsia" w:ascii="宋体" w:hAnsi="宋体" w:cs="宋体"/>
          <w:b/>
          <w:color w:val="auto"/>
          <w:sz w:val="26"/>
          <w:szCs w:val="26"/>
          <w:lang w:eastAsia="zh-CN"/>
        </w:rPr>
        <w:t>泰顺县卫生健康局</w:t>
      </w:r>
    </w:p>
    <w:p w14:paraId="4A59CB4D">
      <w:pPr>
        <w:snapToGrid w:val="0"/>
        <w:spacing w:line="600" w:lineRule="atLeast"/>
        <w:ind w:firstLine="848" w:firstLineChars="323"/>
        <w:rPr>
          <w:rFonts w:ascii="宋体" w:hAnsi="宋体" w:cs="宋体"/>
          <w:b/>
          <w:color w:val="auto"/>
          <w:sz w:val="26"/>
          <w:szCs w:val="26"/>
        </w:rPr>
      </w:pPr>
      <w:r>
        <w:rPr>
          <w:rFonts w:hint="eastAsia" w:ascii="宋体" w:hAnsi="宋体" w:cs="宋体"/>
          <w:b/>
          <w:color w:val="auto"/>
          <w:sz w:val="26"/>
          <w:szCs w:val="26"/>
        </w:rPr>
        <w:t xml:space="preserve">供应商名称： </w:t>
      </w:r>
    </w:p>
    <w:p w14:paraId="647AE4AE">
      <w:pPr>
        <w:snapToGrid w:val="0"/>
        <w:spacing w:line="600" w:lineRule="atLeast"/>
        <w:ind w:firstLine="848" w:firstLineChars="323"/>
        <w:rPr>
          <w:rFonts w:ascii="宋体" w:hAnsi="宋体" w:cs="宋体"/>
          <w:b/>
          <w:color w:val="auto"/>
          <w:sz w:val="26"/>
          <w:szCs w:val="26"/>
        </w:rPr>
      </w:pPr>
      <w:r>
        <w:rPr>
          <w:rFonts w:hint="eastAsia" w:ascii="宋体" w:hAnsi="宋体" w:cs="宋体"/>
          <w:b/>
          <w:color w:val="auto"/>
          <w:sz w:val="26"/>
          <w:szCs w:val="26"/>
        </w:rPr>
        <w:t xml:space="preserve">供应商地址： </w:t>
      </w:r>
    </w:p>
    <w:p w14:paraId="722F7A5D">
      <w:pPr>
        <w:snapToGrid w:val="0"/>
        <w:spacing w:line="600" w:lineRule="atLeast"/>
        <w:ind w:firstLine="848" w:firstLineChars="323"/>
        <w:rPr>
          <w:rFonts w:ascii="宋体" w:hAnsi="宋体" w:cs="宋体"/>
          <w:b/>
          <w:color w:val="auto"/>
          <w:sz w:val="26"/>
          <w:szCs w:val="26"/>
        </w:rPr>
      </w:pPr>
      <w:r>
        <w:rPr>
          <w:rFonts w:hint="eastAsia" w:ascii="宋体" w:hAnsi="宋体" w:cs="宋体"/>
          <w:b/>
          <w:color w:val="auto"/>
          <w:sz w:val="26"/>
          <w:szCs w:val="26"/>
        </w:rPr>
        <w:t>法定代表人（签字或盖章）或授权代表（签字）：</w:t>
      </w:r>
    </w:p>
    <w:p w14:paraId="638E2B38">
      <w:pPr>
        <w:snapToGrid w:val="0"/>
        <w:spacing w:line="600" w:lineRule="atLeast"/>
        <w:ind w:firstLine="848" w:firstLineChars="323"/>
        <w:rPr>
          <w:rFonts w:hint="eastAsia" w:ascii="宋体" w:hAnsi="宋体" w:eastAsia="宋体" w:cs="宋体"/>
          <w:b/>
          <w:color w:val="auto"/>
          <w:sz w:val="26"/>
          <w:szCs w:val="26"/>
          <w:lang w:eastAsia="zh-CN"/>
        </w:rPr>
      </w:pPr>
      <w:r>
        <w:rPr>
          <w:rFonts w:hint="eastAsia" w:ascii="宋体" w:hAnsi="宋体" w:cs="宋体"/>
          <w:b/>
          <w:color w:val="auto"/>
          <w:sz w:val="26"/>
          <w:szCs w:val="26"/>
        </w:rPr>
        <w:t>日期：  年</w:t>
      </w:r>
      <w:r>
        <w:rPr>
          <w:rFonts w:hint="eastAsia" w:ascii="宋体" w:hAnsi="宋体" w:cs="宋体"/>
          <w:b/>
          <w:color w:val="auto"/>
          <w:sz w:val="26"/>
          <w:szCs w:val="26"/>
          <w:lang w:eastAsia="zh-CN"/>
        </w:rPr>
        <w:t>11月10日</w:t>
      </w:r>
    </w:p>
    <w:p w14:paraId="66443434">
      <w:pPr>
        <w:rPr>
          <w:rFonts w:ascii="宋体" w:hAnsi="宋体"/>
          <w:color w:val="auto"/>
          <w:sz w:val="28"/>
          <w:szCs w:val="18"/>
          <w:lang w:val="zh-CN"/>
        </w:rPr>
      </w:pPr>
    </w:p>
    <w:p w14:paraId="47779CCB">
      <w:pPr>
        <w:spacing w:line="450" w:lineRule="atLeast"/>
        <w:rPr>
          <w:rFonts w:ascii="宋体" w:hAnsi="宋体"/>
          <w:color w:val="auto"/>
          <w:sz w:val="28"/>
          <w:szCs w:val="18"/>
          <w:lang w:val="zh-CN"/>
        </w:rPr>
      </w:pPr>
    </w:p>
    <w:p w14:paraId="79509E4B">
      <w:pPr>
        <w:rPr>
          <w:rFonts w:ascii="宋体" w:hAnsi="宋体"/>
          <w:color w:val="auto"/>
          <w:sz w:val="28"/>
          <w:szCs w:val="18"/>
          <w:lang w:val="zh-CN"/>
        </w:rPr>
      </w:pPr>
      <w:r>
        <w:rPr>
          <w:rFonts w:hint="eastAsia" w:ascii="宋体" w:hAnsi="宋体"/>
          <w:color w:val="auto"/>
          <w:sz w:val="28"/>
          <w:szCs w:val="18"/>
          <w:lang w:val="zh-CN"/>
        </w:rPr>
        <w:br w:type="page"/>
      </w:r>
    </w:p>
    <w:p w14:paraId="479470F7">
      <w:pPr>
        <w:pStyle w:val="34"/>
        <w:outlineLvl w:val="2"/>
        <w:rPr>
          <w:rFonts w:ascii="宋体" w:hAnsi="宋体"/>
          <w:color w:val="auto"/>
          <w:sz w:val="28"/>
          <w:szCs w:val="18"/>
          <w:lang w:val="zh-CN"/>
        </w:rPr>
      </w:pPr>
      <w:r>
        <w:rPr>
          <w:rFonts w:hint="eastAsia" w:ascii="宋体" w:hAnsi="宋体"/>
          <w:color w:val="auto"/>
          <w:sz w:val="28"/>
          <w:szCs w:val="18"/>
          <w:lang w:val="zh-CN"/>
        </w:rPr>
        <w:t>附件八</w:t>
      </w:r>
      <w:bookmarkEnd w:id="115"/>
      <w:r>
        <w:rPr>
          <w:rFonts w:hint="eastAsia" w:ascii="宋体" w:hAnsi="宋体"/>
          <w:color w:val="auto"/>
          <w:sz w:val="28"/>
          <w:szCs w:val="18"/>
          <w:lang w:val="zh-CN"/>
        </w:rPr>
        <w:t xml:space="preserve">  投标函</w:t>
      </w:r>
      <w:bookmarkEnd w:id="116"/>
    </w:p>
    <w:p w14:paraId="425EA40D">
      <w:pPr>
        <w:autoSpaceDE w:val="0"/>
        <w:autoSpaceDN w:val="0"/>
        <w:adjustRightInd w:val="0"/>
        <w:snapToGrid w:val="0"/>
        <w:spacing w:line="480" w:lineRule="atLeast"/>
        <w:rPr>
          <w:rFonts w:ascii="宋体"/>
          <w:color w:val="auto"/>
          <w:sz w:val="22"/>
          <w:u w:val="single"/>
        </w:rPr>
      </w:pPr>
      <w:r>
        <w:rPr>
          <w:rFonts w:hint="eastAsia" w:ascii="宋体" w:cs="仿宋_GB2312"/>
          <w:color w:val="auto"/>
          <w:sz w:val="22"/>
          <w:u w:val="single"/>
          <w:lang w:val="zh-CN" w:eastAsia="zh-CN"/>
        </w:rPr>
        <w:t>泰顺县卫生健康局</w:t>
      </w:r>
      <w:r>
        <w:rPr>
          <w:rFonts w:hint="eastAsia" w:ascii="宋体" w:cs="仿宋_GB2312"/>
          <w:color w:val="auto"/>
          <w:sz w:val="22"/>
          <w:u w:val="single"/>
          <w:lang w:val="zh-CN"/>
        </w:rPr>
        <w:t>：</w:t>
      </w:r>
    </w:p>
    <w:p w14:paraId="60D03B3E">
      <w:pPr>
        <w:autoSpaceDE w:val="0"/>
        <w:autoSpaceDN w:val="0"/>
        <w:adjustRightInd w:val="0"/>
        <w:snapToGrid w:val="0"/>
        <w:spacing w:line="480" w:lineRule="atLeast"/>
        <w:ind w:firstLine="446" w:firstLineChars="200"/>
        <w:rPr>
          <w:rFonts w:ascii="宋体" w:cs="仿宋_GB2312"/>
          <w:color w:val="auto"/>
          <w:sz w:val="22"/>
          <w:lang w:val="zh-CN"/>
        </w:rPr>
      </w:pPr>
      <w:r>
        <w:rPr>
          <w:rFonts w:hint="eastAsia" w:ascii="宋体" w:cs="仿宋_GB2312"/>
          <w:color w:val="auto"/>
          <w:sz w:val="22"/>
          <w:u w:val="single"/>
          <w:lang w:val="zh-CN"/>
        </w:rPr>
        <w:t>（供应商全称）</w:t>
      </w:r>
      <w:r>
        <w:rPr>
          <w:rFonts w:hint="eastAsia" w:ascii="宋体" w:cs="仿宋_GB2312"/>
          <w:color w:val="auto"/>
          <w:sz w:val="22"/>
          <w:lang w:val="zh-CN"/>
        </w:rPr>
        <w:t>授权</w:t>
      </w:r>
      <w:r>
        <w:rPr>
          <w:rFonts w:hint="eastAsia" w:ascii="宋体" w:cs="仿宋_GB2312"/>
          <w:color w:val="auto"/>
          <w:sz w:val="22"/>
          <w:u w:val="single"/>
          <w:lang w:val="zh-CN"/>
        </w:rPr>
        <w:t>（授权代表名称）（职务、职称）</w:t>
      </w:r>
      <w:r>
        <w:rPr>
          <w:rFonts w:hint="eastAsia" w:ascii="宋体" w:cs="仿宋_GB2312"/>
          <w:color w:val="auto"/>
          <w:sz w:val="22"/>
          <w:lang w:val="zh-CN"/>
        </w:rPr>
        <w:t>为授权代表，参加贵方组织的（招标项目名称）（括号内填投标编号） 招标的有关活动，并对该项目进行投标。为此：</w:t>
      </w:r>
    </w:p>
    <w:p w14:paraId="3D8D479A">
      <w:pPr>
        <w:tabs>
          <w:tab w:val="left" w:pos="803"/>
        </w:tabs>
        <w:autoSpaceDE w:val="0"/>
        <w:autoSpaceDN w:val="0"/>
        <w:adjustRightInd w:val="0"/>
        <w:snapToGrid w:val="0"/>
        <w:spacing w:line="480" w:lineRule="atLeast"/>
        <w:ind w:left="443"/>
        <w:rPr>
          <w:rFonts w:ascii="宋体" w:cs="仿宋_GB2312"/>
          <w:color w:val="auto"/>
          <w:sz w:val="22"/>
          <w:lang w:val="zh-CN"/>
        </w:rPr>
      </w:pPr>
      <w:r>
        <w:rPr>
          <w:rFonts w:hint="eastAsia" w:ascii="宋体" w:cs="仿宋_GB2312"/>
          <w:color w:val="auto"/>
          <w:sz w:val="22"/>
          <w:lang w:val="zh-CN"/>
        </w:rPr>
        <w:t>1、提供投标须知规定的全部响应文件：</w:t>
      </w:r>
    </w:p>
    <w:p w14:paraId="4DA4BCFC">
      <w:pPr>
        <w:autoSpaceDE w:val="0"/>
        <w:autoSpaceDN w:val="0"/>
        <w:adjustRightInd w:val="0"/>
        <w:snapToGrid w:val="0"/>
        <w:spacing w:line="480" w:lineRule="atLeast"/>
        <w:ind w:firstLine="450"/>
        <w:rPr>
          <w:rFonts w:ascii="宋体"/>
          <w:color w:val="auto"/>
          <w:sz w:val="22"/>
          <w:u w:val="single"/>
          <w:lang w:val="zh-CN"/>
        </w:rPr>
      </w:pPr>
      <w:bookmarkStart w:id="117" w:name="_Toc356545138"/>
      <w:r>
        <w:rPr>
          <w:rFonts w:hint="eastAsia" w:ascii="宋体" w:cs="仿宋_GB2312"/>
          <w:color w:val="auto"/>
          <w:sz w:val="22"/>
          <w:lang w:val="zh-CN"/>
        </w:rPr>
        <w:t>2、</w:t>
      </w:r>
      <w:r>
        <w:rPr>
          <w:rFonts w:hint="eastAsia" w:ascii="宋体"/>
          <w:color w:val="auto"/>
          <w:sz w:val="22"/>
          <w:lang w:val="zh-CN"/>
        </w:rPr>
        <w:t>我方对服务期承诺如下：</w:t>
      </w:r>
      <w:bookmarkEnd w:id="117"/>
      <w:r>
        <w:rPr>
          <w:rFonts w:hint="eastAsia" w:ascii="宋体"/>
          <w:color w:val="auto"/>
          <w:sz w:val="22"/>
          <w:u w:val="single"/>
        </w:rPr>
        <w:t>按招标文件要求完成本项目</w:t>
      </w:r>
      <w:r>
        <w:rPr>
          <w:rFonts w:hint="eastAsia" w:ascii="宋体"/>
          <w:color w:val="auto"/>
          <w:sz w:val="22"/>
          <w:u w:val="single"/>
          <w:lang w:val="zh-CN"/>
        </w:rPr>
        <w:t>。</w:t>
      </w:r>
    </w:p>
    <w:p w14:paraId="7AC5DBBE">
      <w:pPr>
        <w:autoSpaceDE w:val="0"/>
        <w:autoSpaceDN w:val="0"/>
        <w:adjustRightInd w:val="0"/>
        <w:snapToGrid w:val="0"/>
        <w:spacing w:line="480" w:lineRule="atLeast"/>
        <w:ind w:firstLine="450"/>
        <w:rPr>
          <w:rFonts w:ascii="宋体" w:cs="仿宋_GB2312"/>
          <w:color w:val="auto"/>
          <w:sz w:val="22"/>
          <w:lang w:val="zh-CN"/>
        </w:rPr>
      </w:pPr>
      <w:r>
        <w:rPr>
          <w:rFonts w:hint="eastAsia" w:ascii="宋体" w:cs="仿宋_GB2312"/>
          <w:color w:val="auto"/>
          <w:sz w:val="22"/>
          <w:lang w:val="zh-CN"/>
        </w:rPr>
        <w:t>3、保证遵守谈判文件中的有关规定和收费标准。</w:t>
      </w:r>
    </w:p>
    <w:p w14:paraId="632A26E0">
      <w:pPr>
        <w:autoSpaceDE w:val="0"/>
        <w:autoSpaceDN w:val="0"/>
        <w:adjustRightInd w:val="0"/>
        <w:snapToGrid w:val="0"/>
        <w:spacing w:line="480" w:lineRule="atLeast"/>
        <w:ind w:firstLine="465"/>
        <w:rPr>
          <w:rFonts w:ascii="宋体" w:cs="仿宋_GB2312"/>
          <w:color w:val="auto"/>
          <w:sz w:val="22"/>
          <w:lang w:val="zh-CN"/>
        </w:rPr>
      </w:pPr>
      <w:r>
        <w:rPr>
          <w:rFonts w:hint="eastAsia" w:ascii="宋体" w:cs="仿宋_GB2312"/>
          <w:color w:val="auto"/>
          <w:sz w:val="22"/>
          <w:lang w:val="zh-CN"/>
        </w:rPr>
        <w:t>4、保证忠实地执行采购人、成交供应商双方所签的合同，并承担合同规定的责任义务。</w:t>
      </w:r>
    </w:p>
    <w:p w14:paraId="15B30724">
      <w:pPr>
        <w:autoSpaceDE w:val="0"/>
        <w:autoSpaceDN w:val="0"/>
        <w:adjustRightInd w:val="0"/>
        <w:snapToGrid w:val="0"/>
        <w:spacing w:line="480" w:lineRule="atLeast"/>
        <w:ind w:firstLine="465"/>
        <w:rPr>
          <w:rFonts w:ascii="宋体" w:cs="仿宋_GB2312"/>
          <w:color w:val="auto"/>
          <w:sz w:val="22"/>
          <w:lang w:val="zh-CN"/>
        </w:rPr>
      </w:pPr>
      <w:r>
        <w:rPr>
          <w:rFonts w:hint="eastAsia" w:ascii="宋体" w:cs="仿宋_GB2312"/>
          <w:color w:val="auto"/>
          <w:sz w:val="22"/>
          <w:lang w:val="zh-CN"/>
        </w:rPr>
        <w:t>5、供应商已详细审查全部谈判文件，包括谈判文件补充文件（如有）。我方完全理解并同意放弃对这方面有不明及误解的权力。如果谈判文件有相互矛盾之处，我方同意按采购人的理解处理。</w:t>
      </w:r>
    </w:p>
    <w:p w14:paraId="36AE182B">
      <w:pPr>
        <w:autoSpaceDE w:val="0"/>
        <w:autoSpaceDN w:val="0"/>
        <w:adjustRightInd w:val="0"/>
        <w:snapToGrid w:val="0"/>
        <w:spacing w:line="480" w:lineRule="atLeast"/>
        <w:ind w:firstLine="450"/>
        <w:rPr>
          <w:rFonts w:ascii="宋体" w:cs="仿宋_GB2312"/>
          <w:color w:val="auto"/>
          <w:sz w:val="22"/>
          <w:lang w:val="zh-CN"/>
        </w:rPr>
      </w:pPr>
      <w:r>
        <w:rPr>
          <w:rFonts w:hint="eastAsia" w:ascii="宋体" w:cs="仿宋_GB2312"/>
          <w:color w:val="auto"/>
          <w:sz w:val="22"/>
          <w:lang w:val="zh-CN"/>
        </w:rPr>
        <w:t>6、愿意向贵方提供任何与该项投标有关的数据、情况和技术资料，完全理解贵方不一定接受最低价的投标或收到的任何投标。</w:t>
      </w:r>
    </w:p>
    <w:p w14:paraId="71C59033">
      <w:pPr>
        <w:autoSpaceDE w:val="0"/>
        <w:autoSpaceDN w:val="0"/>
        <w:adjustRightInd w:val="0"/>
        <w:snapToGrid w:val="0"/>
        <w:spacing w:line="480" w:lineRule="atLeast"/>
        <w:ind w:firstLine="450"/>
        <w:rPr>
          <w:rFonts w:ascii="宋体" w:cs="仿宋_GB2312"/>
          <w:color w:val="auto"/>
          <w:sz w:val="22"/>
          <w:lang w:val="zh-CN"/>
        </w:rPr>
      </w:pPr>
      <w:r>
        <w:rPr>
          <w:rFonts w:hint="eastAsia" w:ascii="宋体" w:cs="仿宋_GB2312"/>
          <w:color w:val="auto"/>
          <w:sz w:val="22"/>
          <w:lang w:val="zh-CN"/>
        </w:rPr>
        <w:t>7、利益冲突：近三年内直至目前，我公司与本项目的采购人、采购代理机构没有任何的隶属关系。</w:t>
      </w:r>
    </w:p>
    <w:p w14:paraId="445BA23A">
      <w:pPr>
        <w:autoSpaceDE w:val="0"/>
        <w:autoSpaceDN w:val="0"/>
        <w:adjustRightInd w:val="0"/>
        <w:snapToGrid w:val="0"/>
        <w:spacing w:line="480" w:lineRule="atLeast"/>
        <w:ind w:firstLine="450"/>
        <w:rPr>
          <w:rFonts w:ascii="宋体" w:cs="仿宋_GB2312"/>
          <w:color w:val="auto"/>
          <w:sz w:val="22"/>
          <w:lang w:val="zh-CN"/>
        </w:rPr>
      </w:pPr>
      <w:r>
        <w:rPr>
          <w:rFonts w:hint="eastAsia" w:ascii="宋体" w:cs="仿宋_GB2312"/>
          <w:color w:val="auto"/>
          <w:sz w:val="22"/>
          <w:lang w:val="zh-CN"/>
        </w:rPr>
        <w:t>8、</w:t>
      </w:r>
      <w:r>
        <w:rPr>
          <w:rFonts w:hint="eastAsia" w:ascii="宋体"/>
          <w:color w:val="auto"/>
          <w:sz w:val="22"/>
        </w:rPr>
        <w:t>我单位没有被各地、各级财政部门限制参加政府采购活动或曾被各地、各级财政部门限制参加政府采购活动但已不在限制期内。</w:t>
      </w:r>
    </w:p>
    <w:p w14:paraId="499270C5">
      <w:pPr>
        <w:autoSpaceDE w:val="0"/>
        <w:autoSpaceDN w:val="0"/>
        <w:adjustRightInd w:val="0"/>
        <w:snapToGrid w:val="0"/>
        <w:spacing w:line="480" w:lineRule="atLeast"/>
        <w:ind w:firstLine="450"/>
        <w:rPr>
          <w:rFonts w:ascii="宋体" w:cs="仿宋_GB2312"/>
          <w:color w:val="auto"/>
          <w:sz w:val="22"/>
          <w:lang w:val="zh-CN"/>
        </w:rPr>
      </w:pPr>
      <w:r>
        <w:rPr>
          <w:rFonts w:hint="eastAsia" w:ascii="宋体" w:cs="仿宋_GB2312"/>
          <w:color w:val="auto"/>
          <w:sz w:val="22"/>
          <w:lang w:val="zh-CN"/>
        </w:rPr>
        <w:t>9、本投标自开标之日起90日历天内有效。</w:t>
      </w:r>
    </w:p>
    <w:p w14:paraId="7CBBC4BD">
      <w:pPr>
        <w:autoSpaceDE w:val="0"/>
        <w:autoSpaceDN w:val="0"/>
        <w:adjustRightInd w:val="0"/>
        <w:snapToGrid w:val="0"/>
        <w:spacing w:line="480" w:lineRule="atLeast"/>
        <w:ind w:firstLine="450"/>
        <w:rPr>
          <w:rFonts w:ascii="宋体" w:cs="仿宋_GB2312"/>
          <w:color w:val="auto"/>
          <w:sz w:val="22"/>
          <w:lang w:val="zh-CN"/>
        </w:rPr>
      </w:pPr>
      <w:r>
        <w:rPr>
          <w:rFonts w:hint="eastAsia" w:ascii="宋体" w:cs="仿宋_GB2312"/>
          <w:color w:val="auto"/>
          <w:sz w:val="22"/>
          <w:lang w:val="zh-CN"/>
        </w:rPr>
        <w:t>10、与本投标有关的一切往来通讯请寄：</w:t>
      </w:r>
    </w:p>
    <w:p w14:paraId="30EEA386">
      <w:pPr>
        <w:autoSpaceDE w:val="0"/>
        <w:autoSpaceDN w:val="0"/>
        <w:adjustRightInd w:val="0"/>
        <w:spacing w:line="440" w:lineRule="atLeast"/>
        <w:ind w:firstLine="448" w:firstLineChars="201"/>
        <w:rPr>
          <w:rFonts w:ascii="宋体" w:cs="Times New Roman"/>
          <w:color w:val="auto"/>
          <w:sz w:val="22"/>
          <w:szCs w:val="20"/>
          <w:lang w:val="zh-CN"/>
        </w:rPr>
      </w:pPr>
      <w:r>
        <w:rPr>
          <w:rFonts w:hint="eastAsia" w:ascii="宋体" w:cs="Times New Roman"/>
          <w:color w:val="auto"/>
          <w:sz w:val="22"/>
          <w:szCs w:val="20"/>
          <w:lang w:val="zh-CN"/>
        </w:rPr>
        <w:t>地址：</w:t>
      </w:r>
    </w:p>
    <w:p w14:paraId="1977852E">
      <w:pPr>
        <w:autoSpaceDE w:val="0"/>
        <w:autoSpaceDN w:val="0"/>
        <w:adjustRightInd w:val="0"/>
        <w:spacing w:line="440" w:lineRule="atLeast"/>
        <w:ind w:firstLine="448" w:firstLineChars="201"/>
        <w:rPr>
          <w:rFonts w:hint="eastAsia" w:ascii="宋体" w:cs="Times New Roman"/>
          <w:color w:val="auto"/>
          <w:sz w:val="22"/>
          <w:szCs w:val="20"/>
          <w:lang w:val="zh-CN"/>
        </w:rPr>
      </w:pPr>
      <w:r>
        <w:rPr>
          <w:rFonts w:hint="eastAsia" w:ascii="宋体" w:cs="Times New Roman"/>
          <w:color w:val="auto"/>
          <w:sz w:val="22"/>
          <w:szCs w:val="20"/>
          <w:lang w:val="zh-CN"/>
        </w:rPr>
        <w:t>邮编：</w:t>
      </w:r>
    </w:p>
    <w:p w14:paraId="17558BA4">
      <w:pPr>
        <w:autoSpaceDE w:val="0"/>
        <w:autoSpaceDN w:val="0"/>
        <w:adjustRightInd w:val="0"/>
        <w:spacing w:line="440" w:lineRule="atLeast"/>
        <w:ind w:firstLine="448" w:firstLineChars="201"/>
        <w:rPr>
          <w:rFonts w:hint="eastAsia" w:ascii="宋体" w:cs="Times New Roman"/>
          <w:color w:val="auto"/>
          <w:sz w:val="22"/>
          <w:szCs w:val="20"/>
          <w:lang w:val="zh-CN"/>
        </w:rPr>
      </w:pPr>
      <w:r>
        <w:rPr>
          <w:rFonts w:hint="eastAsia" w:ascii="宋体" w:cs="Times New Roman"/>
          <w:color w:val="auto"/>
          <w:sz w:val="22"/>
          <w:szCs w:val="20"/>
          <w:lang w:val="zh-CN"/>
        </w:rPr>
        <w:t>电话：</w:t>
      </w:r>
    </w:p>
    <w:p w14:paraId="7415499B">
      <w:pPr>
        <w:autoSpaceDE w:val="0"/>
        <w:autoSpaceDN w:val="0"/>
        <w:adjustRightInd w:val="0"/>
        <w:spacing w:line="440" w:lineRule="atLeast"/>
        <w:ind w:firstLine="448" w:firstLineChars="201"/>
        <w:rPr>
          <w:rFonts w:ascii="宋体" w:cs="Times New Roman"/>
          <w:color w:val="auto"/>
          <w:sz w:val="22"/>
          <w:szCs w:val="20"/>
          <w:lang w:val="zh-CN"/>
        </w:rPr>
      </w:pPr>
      <w:r>
        <w:rPr>
          <w:rFonts w:hint="eastAsia" w:ascii="宋体" w:cs="Times New Roman"/>
          <w:color w:val="auto"/>
          <w:sz w:val="22"/>
          <w:szCs w:val="20"/>
          <w:lang w:val="zh-CN"/>
        </w:rPr>
        <w:t>传真：</w:t>
      </w:r>
    </w:p>
    <w:p w14:paraId="6A697B08">
      <w:pPr>
        <w:autoSpaceDE w:val="0"/>
        <w:autoSpaceDN w:val="0"/>
        <w:adjustRightInd w:val="0"/>
        <w:snapToGrid w:val="0"/>
        <w:spacing w:line="480" w:lineRule="atLeast"/>
        <w:ind w:firstLine="2007" w:firstLineChars="900"/>
        <w:rPr>
          <w:rFonts w:ascii="宋体" w:cs="仿宋_GB2312"/>
          <w:color w:val="auto"/>
          <w:sz w:val="22"/>
          <w:lang w:val="zh-CN"/>
        </w:rPr>
      </w:pPr>
    </w:p>
    <w:p w14:paraId="7A1EF05D">
      <w:pPr>
        <w:autoSpaceDE w:val="0"/>
        <w:autoSpaceDN w:val="0"/>
        <w:adjustRightInd w:val="0"/>
        <w:spacing w:line="440" w:lineRule="atLeast"/>
        <w:ind w:firstLine="448" w:firstLineChars="201"/>
        <w:rPr>
          <w:rFonts w:ascii="宋体" w:cs="Times New Roman"/>
          <w:color w:val="auto"/>
          <w:sz w:val="22"/>
          <w:szCs w:val="20"/>
          <w:lang w:val="zh-CN"/>
        </w:rPr>
      </w:pPr>
      <w:r>
        <w:rPr>
          <w:rFonts w:hint="eastAsia" w:ascii="宋体" w:cs="Times New Roman"/>
          <w:color w:val="auto"/>
          <w:sz w:val="22"/>
          <w:szCs w:val="20"/>
          <w:lang w:val="zh-CN"/>
        </w:rPr>
        <w:t>供应商全称（盖章）：</w:t>
      </w:r>
    </w:p>
    <w:p w14:paraId="59FA9A82">
      <w:pPr>
        <w:autoSpaceDE w:val="0"/>
        <w:autoSpaceDN w:val="0"/>
        <w:adjustRightInd w:val="0"/>
        <w:spacing w:line="440" w:lineRule="atLeast"/>
        <w:ind w:firstLine="448" w:firstLineChars="201"/>
        <w:rPr>
          <w:rFonts w:ascii="宋体" w:cs="Times New Roman"/>
          <w:color w:val="auto"/>
          <w:sz w:val="22"/>
          <w:szCs w:val="20"/>
          <w:lang w:val="zh-CN"/>
        </w:rPr>
      </w:pPr>
      <w:r>
        <w:rPr>
          <w:rFonts w:hint="eastAsia" w:ascii="宋体" w:cs="Times New Roman"/>
          <w:color w:val="auto"/>
          <w:sz w:val="22"/>
          <w:szCs w:val="20"/>
          <w:lang w:val="zh-CN"/>
        </w:rPr>
        <w:t>法定代表人或授权代表（签字或盖章）：</w:t>
      </w:r>
    </w:p>
    <w:p w14:paraId="4422E8C9">
      <w:pPr>
        <w:autoSpaceDE w:val="0"/>
        <w:autoSpaceDN w:val="0"/>
        <w:adjustRightInd w:val="0"/>
        <w:snapToGrid w:val="0"/>
        <w:spacing w:line="480" w:lineRule="atLeast"/>
        <w:ind w:firstLine="446" w:firstLineChars="200"/>
        <w:jc w:val="left"/>
        <w:rPr>
          <w:rFonts w:ascii="宋体" w:cs="仿宋_GB2312"/>
          <w:color w:val="auto"/>
          <w:sz w:val="22"/>
          <w:lang w:val="zh-CN"/>
        </w:rPr>
      </w:pPr>
      <w:r>
        <w:rPr>
          <w:rFonts w:hint="eastAsia" w:ascii="宋体" w:cs="Times New Roman"/>
          <w:color w:val="auto"/>
          <w:sz w:val="22"/>
          <w:szCs w:val="20"/>
          <w:lang w:val="zh-CN"/>
        </w:rPr>
        <w:t>日期：</w:t>
      </w:r>
    </w:p>
    <w:p w14:paraId="72857899">
      <w:pPr>
        <w:pStyle w:val="34"/>
        <w:outlineLvl w:val="9"/>
        <w:rPr>
          <w:rFonts w:ascii="宋体" w:hAnsi="宋体"/>
          <w:color w:val="auto"/>
        </w:rPr>
      </w:pPr>
    </w:p>
    <w:p w14:paraId="701B5EA3">
      <w:pPr>
        <w:rPr>
          <w:color w:val="auto"/>
        </w:rPr>
      </w:pPr>
    </w:p>
    <w:p w14:paraId="2FE36526">
      <w:pPr>
        <w:pStyle w:val="33"/>
        <w:rPr>
          <w:color w:val="auto"/>
          <w:lang w:val="zh-CN"/>
        </w:rPr>
      </w:pPr>
      <w:bookmarkStart w:id="118" w:name="_Toc44607657"/>
    </w:p>
    <w:p w14:paraId="11D5E7CD">
      <w:pPr>
        <w:pStyle w:val="34"/>
        <w:outlineLvl w:val="2"/>
        <w:rPr>
          <w:rFonts w:ascii="宋体" w:hAnsi="宋体"/>
          <w:color w:val="auto"/>
          <w:sz w:val="28"/>
          <w:szCs w:val="18"/>
          <w:lang w:val="zh-CN"/>
        </w:rPr>
      </w:pPr>
      <w:r>
        <w:rPr>
          <w:rFonts w:hint="eastAsia" w:ascii="宋体" w:hAnsi="宋体"/>
          <w:color w:val="auto"/>
          <w:sz w:val="28"/>
          <w:szCs w:val="18"/>
          <w:lang w:val="zh-CN"/>
        </w:rPr>
        <w:t>附件九  法定代表人授权书</w:t>
      </w:r>
      <w:bookmarkEnd w:id="118"/>
    </w:p>
    <w:p w14:paraId="77510F61">
      <w:pPr>
        <w:spacing w:line="480" w:lineRule="exact"/>
        <w:rPr>
          <w:rFonts w:ascii="宋体"/>
          <w:color w:val="auto"/>
          <w:sz w:val="22"/>
          <w:szCs w:val="22"/>
        </w:rPr>
      </w:pPr>
      <w:r>
        <w:rPr>
          <w:rFonts w:hint="eastAsia" w:ascii="宋体"/>
          <w:color w:val="auto"/>
          <w:sz w:val="22"/>
          <w:szCs w:val="22"/>
          <w:u w:val="single"/>
          <w:lang w:val="zh-CN" w:eastAsia="zh-CN"/>
        </w:rPr>
        <w:t>泰顺县卫生健康局</w:t>
      </w:r>
      <w:r>
        <w:rPr>
          <w:rFonts w:hint="eastAsia" w:ascii="宋体"/>
          <w:color w:val="auto"/>
          <w:sz w:val="22"/>
          <w:szCs w:val="22"/>
          <w:lang w:val="zh-CN"/>
        </w:rPr>
        <w:t>：</w:t>
      </w:r>
    </w:p>
    <w:p w14:paraId="309FC0C1">
      <w:pPr>
        <w:spacing w:line="480" w:lineRule="exact"/>
        <w:ind w:firstLine="446" w:firstLineChars="200"/>
        <w:rPr>
          <w:rFonts w:ascii="宋体"/>
          <w:color w:val="auto"/>
          <w:sz w:val="22"/>
          <w:szCs w:val="22"/>
        </w:rPr>
      </w:pPr>
      <w:r>
        <w:rPr>
          <w:rFonts w:hint="eastAsia" w:ascii="宋体"/>
          <w:color w:val="auto"/>
          <w:sz w:val="22"/>
          <w:szCs w:val="22"/>
        </w:rPr>
        <w:t>本授权委托书声明：我</w:t>
      </w:r>
      <w:r>
        <w:rPr>
          <w:rFonts w:hint="eastAsia" w:ascii="宋体"/>
          <w:color w:val="auto"/>
          <w:sz w:val="22"/>
          <w:szCs w:val="22"/>
          <w:u w:val="single"/>
        </w:rPr>
        <w:t xml:space="preserve">   （法定代表人姓名）   </w:t>
      </w:r>
      <w:r>
        <w:rPr>
          <w:rFonts w:hint="eastAsia" w:ascii="宋体"/>
          <w:color w:val="auto"/>
          <w:sz w:val="22"/>
          <w:szCs w:val="22"/>
        </w:rPr>
        <w:t>系</w:t>
      </w:r>
      <w:r>
        <w:rPr>
          <w:rFonts w:hint="eastAsia" w:ascii="宋体"/>
          <w:color w:val="auto"/>
          <w:sz w:val="22"/>
          <w:szCs w:val="22"/>
          <w:u w:val="single"/>
        </w:rPr>
        <w:t xml:space="preserve">   （供 应 商 名 称）  </w:t>
      </w:r>
      <w:r>
        <w:rPr>
          <w:rFonts w:hint="eastAsia" w:ascii="宋体"/>
          <w:color w:val="auto"/>
          <w:sz w:val="22"/>
          <w:szCs w:val="22"/>
        </w:rPr>
        <w:t>的法定代表人，现授权委托</w:t>
      </w:r>
      <w:r>
        <w:rPr>
          <w:rFonts w:hint="eastAsia" w:ascii="宋体"/>
          <w:color w:val="auto"/>
          <w:sz w:val="22"/>
          <w:szCs w:val="22"/>
          <w:u w:val="single"/>
        </w:rPr>
        <w:t xml:space="preserve">  （单 位 名 称）   </w:t>
      </w:r>
      <w:r>
        <w:rPr>
          <w:rFonts w:hint="eastAsia" w:ascii="宋体"/>
          <w:color w:val="auto"/>
          <w:sz w:val="22"/>
          <w:szCs w:val="22"/>
        </w:rPr>
        <w:t>的</w:t>
      </w:r>
      <w:r>
        <w:rPr>
          <w:rFonts w:hint="eastAsia" w:ascii="宋体"/>
          <w:color w:val="auto"/>
          <w:sz w:val="22"/>
          <w:szCs w:val="22"/>
          <w:u w:val="single"/>
        </w:rPr>
        <w:t xml:space="preserve">  （授权代表姓名）  </w:t>
      </w:r>
      <w:r>
        <w:rPr>
          <w:rFonts w:hint="eastAsia" w:ascii="宋体"/>
          <w:color w:val="auto"/>
          <w:sz w:val="22"/>
          <w:szCs w:val="22"/>
        </w:rPr>
        <w:t>为我公司法定代表人授权代表，参加贵处组织的</w:t>
      </w:r>
      <w:r>
        <w:rPr>
          <w:rFonts w:hint="eastAsia" w:ascii="宋体"/>
          <w:color w:val="auto"/>
          <w:sz w:val="22"/>
          <w:szCs w:val="22"/>
          <w:u w:val="single"/>
        </w:rPr>
        <w:t xml:space="preserve">  （招标项目名称，括号中填写项目编号）  </w:t>
      </w:r>
      <w:r>
        <w:rPr>
          <w:rFonts w:hint="eastAsia" w:ascii="宋体"/>
          <w:color w:val="auto"/>
          <w:sz w:val="22"/>
          <w:szCs w:val="22"/>
        </w:rPr>
        <w:t>项目投标，全权处理本次招投标活动中的一切事宜，我承认授权代表全权代表我所签署的本项目的谈判响应文件的内容。</w:t>
      </w:r>
    </w:p>
    <w:p w14:paraId="7B4D524E">
      <w:pPr>
        <w:spacing w:line="480" w:lineRule="exact"/>
        <w:ind w:firstLine="446" w:firstLineChars="200"/>
        <w:rPr>
          <w:rFonts w:ascii="宋体"/>
          <w:color w:val="auto"/>
          <w:sz w:val="22"/>
          <w:szCs w:val="22"/>
        </w:rPr>
      </w:pPr>
      <w:r>
        <w:rPr>
          <w:rFonts w:hint="eastAsia" w:ascii="宋体"/>
          <w:color w:val="auto"/>
          <w:sz w:val="22"/>
          <w:szCs w:val="22"/>
        </w:rPr>
        <w:t>授权代表无转授权，特此授权</w:t>
      </w:r>
    </w:p>
    <w:p w14:paraId="1919BA27">
      <w:pPr>
        <w:spacing w:line="480" w:lineRule="exact"/>
        <w:ind w:left="1260"/>
        <w:rPr>
          <w:rFonts w:ascii="宋体"/>
          <w:color w:val="auto"/>
          <w:sz w:val="22"/>
          <w:szCs w:val="22"/>
        </w:rPr>
      </w:pPr>
    </w:p>
    <w:p w14:paraId="4C38D57F">
      <w:pPr>
        <w:spacing w:line="480" w:lineRule="exact"/>
        <w:ind w:left="2130" w:leftChars="1000" w:firstLine="446" w:firstLineChars="200"/>
        <w:rPr>
          <w:rFonts w:ascii="宋体"/>
          <w:color w:val="auto"/>
          <w:sz w:val="22"/>
          <w:szCs w:val="22"/>
          <w:u w:val="single"/>
        </w:rPr>
      </w:pPr>
      <w:r>
        <w:rPr>
          <w:rFonts w:hint="eastAsia" w:ascii="宋体"/>
          <w:color w:val="auto"/>
          <w:sz w:val="22"/>
          <w:szCs w:val="22"/>
        </w:rPr>
        <w:t>授权代表：</w:t>
      </w:r>
      <w:r>
        <w:rPr>
          <w:rFonts w:hint="eastAsia" w:ascii="宋体"/>
          <w:color w:val="auto"/>
          <w:sz w:val="22"/>
          <w:szCs w:val="22"/>
          <w:u w:val="single"/>
        </w:rPr>
        <w:t xml:space="preserve">   （签字或盖章）  </w:t>
      </w:r>
      <w:r>
        <w:rPr>
          <w:rFonts w:hint="eastAsia" w:ascii="宋体"/>
          <w:color w:val="auto"/>
          <w:sz w:val="22"/>
          <w:szCs w:val="22"/>
        </w:rPr>
        <w:t xml:space="preserve"> 性别 ：</w:t>
      </w:r>
    </w:p>
    <w:p w14:paraId="3C132225">
      <w:pPr>
        <w:spacing w:line="480" w:lineRule="exact"/>
        <w:ind w:left="2130" w:leftChars="1000" w:firstLine="446" w:firstLineChars="200"/>
        <w:rPr>
          <w:rFonts w:ascii="宋体"/>
          <w:color w:val="auto"/>
          <w:sz w:val="22"/>
          <w:szCs w:val="22"/>
          <w:u w:val="single"/>
        </w:rPr>
      </w:pPr>
      <w:r>
        <w:rPr>
          <w:rFonts w:hint="eastAsia" w:ascii="宋体"/>
          <w:color w:val="auto"/>
          <w:sz w:val="22"/>
          <w:szCs w:val="22"/>
        </w:rPr>
        <w:t>职务：年龄：</w:t>
      </w:r>
    </w:p>
    <w:p w14:paraId="63564EB6">
      <w:pPr>
        <w:spacing w:line="480" w:lineRule="exact"/>
        <w:ind w:left="2130" w:leftChars="1000" w:firstLine="446" w:firstLineChars="200"/>
        <w:rPr>
          <w:rFonts w:ascii="宋体"/>
          <w:color w:val="auto"/>
          <w:sz w:val="22"/>
          <w:szCs w:val="22"/>
          <w:u w:val="single"/>
        </w:rPr>
      </w:pPr>
      <w:r>
        <w:rPr>
          <w:rFonts w:hint="eastAsia" w:ascii="宋体"/>
          <w:color w:val="auto"/>
          <w:sz w:val="22"/>
          <w:szCs w:val="22"/>
        </w:rPr>
        <w:t>详细通讯地址： 邮政编码：</w:t>
      </w:r>
    </w:p>
    <w:p w14:paraId="1E0DC4C7">
      <w:pPr>
        <w:spacing w:line="480" w:lineRule="exact"/>
        <w:ind w:left="2130" w:leftChars="1000" w:firstLine="446" w:firstLineChars="200"/>
        <w:rPr>
          <w:rFonts w:ascii="宋体"/>
          <w:color w:val="auto"/>
          <w:sz w:val="22"/>
          <w:szCs w:val="22"/>
          <w:u w:val="single"/>
        </w:rPr>
      </w:pPr>
      <w:r>
        <w:rPr>
          <w:rFonts w:hint="eastAsia" w:ascii="宋体"/>
          <w:color w:val="auto"/>
          <w:sz w:val="22"/>
          <w:szCs w:val="22"/>
        </w:rPr>
        <w:t>电话： 传真：</w:t>
      </w:r>
    </w:p>
    <w:p w14:paraId="35C9397E">
      <w:pPr>
        <w:spacing w:line="480" w:lineRule="exact"/>
        <w:ind w:left="2130" w:leftChars="1000" w:firstLine="446" w:firstLineChars="200"/>
        <w:rPr>
          <w:rFonts w:ascii="宋体"/>
          <w:color w:val="auto"/>
          <w:sz w:val="22"/>
          <w:szCs w:val="22"/>
        </w:rPr>
      </w:pPr>
      <w:r>
        <w:rPr>
          <w:rFonts w:hint="eastAsia" w:ascii="宋体"/>
          <w:color w:val="auto"/>
          <w:sz w:val="22"/>
          <w:szCs w:val="22"/>
        </w:rPr>
        <w:t>投标人：</w:t>
      </w:r>
      <w:r>
        <w:rPr>
          <w:rFonts w:hint="eastAsia" w:ascii="宋体"/>
          <w:color w:val="auto"/>
          <w:sz w:val="22"/>
          <w:szCs w:val="22"/>
          <w:u w:val="single"/>
        </w:rPr>
        <w:t xml:space="preserve">                                      （盖章）</w:t>
      </w:r>
    </w:p>
    <w:p w14:paraId="739DDE07">
      <w:pPr>
        <w:spacing w:line="480" w:lineRule="exact"/>
        <w:ind w:left="2130" w:leftChars="1000" w:firstLine="446" w:firstLineChars="200"/>
        <w:rPr>
          <w:rFonts w:ascii="宋体"/>
          <w:color w:val="auto"/>
          <w:sz w:val="22"/>
          <w:szCs w:val="22"/>
        </w:rPr>
      </w:pPr>
      <w:r>
        <w:rPr>
          <w:rFonts w:hint="eastAsia" w:ascii="宋体"/>
          <w:color w:val="auto"/>
          <w:sz w:val="22"/>
          <w:szCs w:val="22"/>
        </w:rPr>
        <w:t>法定代表人：</w:t>
      </w:r>
      <w:r>
        <w:rPr>
          <w:rFonts w:hint="eastAsia" w:ascii="宋体"/>
          <w:color w:val="auto"/>
          <w:sz w:val="22"/>
          <w:szCs w:val="22"/>
          <w:u w:val="single"/>
        </w:rPr>
        <w:t xml:space="preserve">                      （签字或盖章）</w:t>
      </w:r>
    </w:p>
    <w:p w14:paraId="43CDB83E">
      <w:pPr>
        <w:spacing w:line="480" w:lineRule="exact"/>
        <w:ind w:right="440" w:firstLine="3345" w:firstLineChars="1500"/>
        <w:jc w:val="right"/>
        <w:rPr>
          <w:rFonts w:ascii="宋体"/>
          <w:color w:val="auto"/>
          <w:sz w:val="22"/>
          <w:szCs w:val="22"/>
        </w:rPr>
      </w:pPr>
      <w:r>
        <w:rPr>
          <w:rFonts w:hint="eastAsia" w:ascii="宋体"/>
          <w:color w:val="auto"/>
          <w:sz w:val="22"/>
          <w:szCs w:val="22"/>
        </w:rPr>
        <w:t>授权委托日期：年 月日</w:t>
      </w:r>
    </w:p>
    <w:p w14:paraId="12AB0E7A">
      <w:pPr>
        <w:pStyle w:val="16"/>
        <w:rPr>
          <w:color w:val="auto"/>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9"/>
      </w:tblGrid>
      <w:tr w14:paraId="23DF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9" w:hRule="atLeast"/>
          <w:jc w:val="center"/>
        </w:trPr>
        <w:tc>
          <w:tcPr>
            <w:tcW w:w="7839" w:type="dxa"/>
            <w:noWrap w:val="0"/>
            <w:vAlign w:val="top"/>
          </w:tcPr>
          <w:p w14:paraId="580F8BB0">
            <w:pPr>
              <w:pStyle w:val="21"/>
              <w:spacing w:line="440" w:lineRule="atLeast"/>
              <w:rPr>
                <w:rFonts w:hAnsi="宋体"/>
                <w:color w:val="auto"/>
                <w:sz w:val="21"/>
              </w:rPr>
            </w:pPr>
          </w:p>
          <w:p w14:paraId="34E248FD">
            <w:pPr>
              <w:pStyle w:val="21"/>
              <w:spacing w:line="440" w:lineRule="atLeast"/>
              <w:jc w:val="center"/>
              <w:rPr>
                <w:rFonts w:hAnsi="宋体"/>
                <w:color w:val="auto"/>
                <w:sz w:val="21"/>
              </w:rPr>
            </w:pPr>
          </w:p>
          <w:p w14:paraId="341ECDC5">
            <w:pPr>
              <w:pStyle w:val="21"/>
              <w:spacing w:line="440" w:lineRule="atLeast"/>
              <w:jc w:val="center"/>
              <w:rPr>
                <w:rFonts w:hAnsi="宋体"/>
                <w:color w:val="auto"/>
                <w:sz w:val="21"/>
              </w:rPr>
            </w:pPr>
          </w:p>
          <w:p w14:paraId="3893346C">
            <w:pPr>
              <w:pStyle w:val="21"/>
              <w:spacing w:line="440" w:lineRule="atLeast"/>
              <w:jc w:val="center"/>
              <w:rPr>
                <w:rFonts w:hAnsi="宋体"/>
                <w:color w:val="auto"/>
                <w:sz w:val="21"/>
              </w:rPr>
            </w:pPr>
          </w:p>
          <w:p w14:paraId="50F02B02">
            <w:pPr>
              <w:pStyle w:val="21"/>
              <w:spacing w:line="440" w:lineRule="atLeast"/>
              <w:jc w:val="center"/>
              <w:rPr>
                <w:rFonts w:hAnsi="宋体"/>
                <w:color w:val="auto"/>
                <w:sz w:val="21"/>
              </w:rPr>
            </w:pPr>
            <w:r>
              <w:rPr>
                <w:rFonts w:hint="eastAsia" w:hAnsi="宋体"/>
                <w:color w:val="auto"/>
                <w:sz w:val="21"/>
              </w:rPr>
              <w:t>（授权代表身份证复印件或扫描件）</w:t>
            </w:r>
          </w:p>
          <w:p w14:paraId="1AF1A4D5">
            <w:pPr>
              <w:pStyle w:val="21"/>
              <w:spacing w:line="440" w:lineRule="atLeast"/>
              <w:ind w:left="5271" w:firstLine="639" w:firstLineChars="300"/>
              <w:rPr>
                <w:rFonts w:hAnsi="宋体"/>
                <w:color w:val="auto"/>
                <w:sz w:val="21"/>
              </w:rPr>
            </w:pPr>
          </w:p>
        </w:tc>
      </w:tr>
    </w:tbl>
    <w:p w14:paraId="7E0901FE">
      <w:pPr>
        <w:widowControl/>
        <w:spacing w:line="460" w:lineRule="atLeast"/>
        <w:jc w:val="left"/>
        <w:rPr>
          <w:rFonts w:ascii="宋体"/>
          <w:color w:val="auto"/>
          <w:sz w:val="22"/>
          <w:szCs w:val="22"/>
        </w:rPr>
      </w:pPr>
      <w:bookmarkStart w:id="119" w:name="_Toc509485354"/>
    </w:p>
    <w:bookmarkEnd w:id="119"/>
    <w:p w14:paraId="2EAB0CCD">
      <w:pPr>
        <w:rPr>
          <w:rFonts w:ascii="宋体" w:hAnsi="宋体"/>
          <w:color w:val="auto"/>
          <w:sz w:val="28"/>
          <w:szCs w:val="18"/>
          <w:lang w:val="zh-CN"/>
        </w:rPr>
      </w:pPr>
      <w:bookmarkStart w:id="120" w:name="_Toc509485355"/>
      <w:bookmarkStart w:id="121" w:name="_Toc44607658"/>
      <w:r>
        <w:rPr>
          <w:rFonts w:hint="eastAsia" w:ascii="宋体" w:hAnsi="宋体"/>
          <w:color w:val="auto"/>
          <w:sz w:val="28"/>
          <w:szCs w:val="18"/>
          <w:lang w:val="zh-CN"/>
        </w:rPr>
        <w:br w:type="page"/>
      </w:r>
    </w:p>
    <w:p w14:paraId="03ADEB7C">
      <w:pPr>
        <w:pStyle w:val="34"/>
        <w:outlineLvl w:val="2"/>
        <w:rPr>
          <w:rFonts w:ascii="宋体" w:hAnsi="宋体"/>
          <w:color w:val="auto"/>
          <w:sz w:val="28"/>
          <w:szCs w:val="18"/>
          <w:lang w:val="zh-CN"/>
        </w:rPr>
      </w:pPr>
      <w:r>
        <w:rPr>
          <w:rFonts w:hint="eastAsia" w:ascii="宋体" w:hAnsi="宋体"/>
          <w:color w:val="auto"/>
          <w:sz w:val="28"/>
          <w:szCs w:val="18"/>
          <w:lang w:val="zh-CN"/>
        </w:rPr>
        <w:t>附件十  法定代表人诚信投标承诺书</w:t>
      </w:r>
      <w:bookmarkEnd w:id="120"/>
      <w:bookmarkEnd w:id="121"/>
    </w:p>
    <w:p w14:paraId="34709363">
      <w:pPr>
        <w:spacing w:line="440" w:lineRule="atLeast"/>
        <w:jc w:val="left"/>
        <w:rPr>
          <w:rFonts w:hAnsi="宋体"/>
          <w:color w:val="auto"/>
          <w:sz w:val="22"/>
          <w:szCs w:val="22"/>
        </w:rPr>
      </w:pPr>
      <w:bookmarkStart w:id="122" w:name="_Toc511045486"/>
      <w:bookmarkStart w:id="123" w:name="_Toc44607659"/>
      <w:bookmarkStart w:id="124" w:name="_Toc30691"/>
      <w:bookmarkStart w:id="125" w:name="_Toc11759423"/>
      <w:bookmarkStart w:id="126" w:name="_Toc42085456"/>
      <w:bookmarkStart w:id="127" w:name="_Toc522469124"/>
      <w:bookmarkStart w:id="128" w:name="_Toc6315682"/>
      <w:bookmarkStart w:id="129" w:name="_Toc11237943"/>
      <w:bookmarkStart w:id="130" w:name="_Toc37854355"/>
      <w:bookmarkStart w:id="131" w:name="_Toc518512539"/>
    </w:p>
    <w:p w14:paraId="24A1899B">
      <w:pPr>
        <w:spacing w:line="440" w:lineRule="atLeast"/>
        <w:jc w:val="left"/>
        <w:rPr>
          <w:rFonts w:hAnsi="宋体"/>
          <w:color w:val="auto"/>
          <w:sz w:val="22"/>
          <w:szCs w:val="22"/>
        </w:rPr>
      </w:pPr>
      <w:r>
        <w:rPr>
          <w:rFonts w:hint="eastAsia" w:hAnsi="宋体"/>
          <w:color w:val="auto"/>
          <w:sz w:val="22"/>
          <w:szCs w:val="22"/>
        </w:rPr>
        <w:t>本人以企业法定代表人的身份郑重承诺：</w:t>
      </w:r>
      <w:bookmarkEnd w:id="122"/>
      <w:bookmarkEnd w:id="123"/>
      <w:bookmarkEnd w:id="124"/>
      <w:bookmarkEnd w:id="125"/>
      <w:bookmarkEnd w:id="126"/>
      <w:bookmarkEnd w:id="127"/>
      <w:bookmarkEnd w:id="128"/>
      <w:bookmarkEnd w:id="129"/>
      <w:bookmarkEnd w:id="130"/>
      <w:bookmarkEnd w:id="131"/>
    </w:p>
    <w:p w14:paraId="7196C473">
      <w:pPr>
        <w:spacing w:line="440" w:lineRule="atLeast"/>
        <w:ind w:firstLine="446" w:firstLineChars="200"/>
        <w:jc w:val="left"/>
        <w:rPr>
          <w:rFonts w:ascii="宋体"/>
          <w:color w:val="auto"/>
          <w:sz w:val="22"/>
          <w:szCs w:val="22"/>
        </w:rPr>
      </w:pPr>
      <w:r>
        <w:rPr>
          <w:rFonts w:hint="eastAsia" w:ascii="宋体"/>
          <w:color w:val="auto"/>
          <w:sz w:val="22"/>
          <w:szCs w:val="22"/>
        </w:rPr>
        <w:t>将遵循公开、公平、公正和诚信信用的原则参加</w:t>
      </w:r>
      <w:r>
        <w:rPr>
          <w:rFonts w:hint="eastAsia" w:ascii="宋体" w:cs="楷体_GB2312"/>
          <w:color w:val="auto"/>
          <w:sz w:val="22"/>
          <w:szCs w:val="22"/>
          <w:u w:val="single"/>
        </w:rPr>
        <w:t xml:space="preserve">              项目（招标编号：   ）</w:t>
      </w:r>
      <w:r>
        <w:rPr>
          <w:rFonts w:hint="eastAsia" w:ascii="宋体"/>
          <w:color w:val="auto"/>
          <w:sz w:val="22"/>
          <w:szCs w:val="22"/>
        </w:rPr>
        <w:t>的投标；</w:t>
      </w:r>
    </w:p>
    <w:p w14:paraId="393D37B9">
      <w:pPr>
        <w:spacing w:line="440" w:lineRule="atLeast"/>
        <w:ind w:firstLine="446" w:firstLineChars="200"/>
        <w:jc w:val="left"/>
        <w:rPr>
          <w:rFonts w:ascii="宋体"/>
          <w:color w:val="auto"/>
          <w:sz w:val="22"/>
          <w:szCs w:val="22"/>
          <w:u w:val="single"/>
        </w:rPr>
      </w:pPr>
      <w:r>
        <w:rPr>
          <w:rFonts w:hint="eastAsia" w:ascii="宋体"/>
          <w:color w:val="auto"/>
          <w:sz w:val="22"/>
          <w:szCs w:val="22"/>
        </w:rPr>
        <w:t>一、杜绝以收取管理费等形式的一切挂靠、违法转包、分包行为；并选派有丰富经验、无不良行为记录的在项目管理人员、技术人员，严格按招标文件、谈判响应文件及合同等要求保证拟派人员的到岗率。</w:t>
      </w:r>
    </w:p>
    <w:p w14:paraId="3943E6EE">
      <w:pPr>
        <w:spacing w:line="440" w:lineRule="atLeast"/>
        <w:ind w:firstLine="446" w:firstLineChars="200"/>
        <w:jc w:val="left"/>
        <w:rPr>
          <w:rFonts w:ascii="宋体"/>
          <w:color w:val="auto"/>
          <w:sz w:val="22"/>
          <w:szCs w:val="22"/>
        </w:rPr>
      </w:pPr>
      <w:r>
        <w:rPr>
          <w:rFonts w:hint="eastAsia" w:ascii="宋体"/>
          <w:color w:val="auto"/>
          <w:sz w:val="22"/>
          <w:szCs w:val="22"/>
        </w:rPr>
        <w:t>二、谈判响应文件所提供的一切材料都是真实、有效、合法的。</w:t>
      </w:r>
    </w:p>
    <w:p w14:paraId="77372E76">
      <w:pPr>
        <w:spacing w:line="440" w:lineRule="atLeast"/>
        <w:ind w:firstLine="446" w:firstLineChars="200"/>
        <w:jc w:val="left"/>
        <w:rPr>
          <w:rFonts w:ascii="宋体"/>
          <w:color w:val="auto"/>
          <w:sz w:val="22"/>
          <w:szCs w:val="22"/>
        </w:rPr>
      </w:pPr>
      <w:r>
        <w:rPr>
          <w:rFonts w:hint="eastAsia" w:ascii="宋体"/>
          <w:color w:val="auto"/>
          <w:sz w:val="22"/>
          <w:szCs w:val="22"/>
        </w:rPr>
        <w:t>三、不与其他投标人相互串通投标报价，不排挤其他投标人的公平竞争，不损害招标人或其他投标人的合法权益。</w:t>
      </w:r>
    </w:p>
    <w:p w14:paraId="5A82B62F">
      <w:pPr>
        <w:spacing w:line="440" w:lineRule="atLeast"/>
        <w:ind w:firstLine="446" w:firstLineChars="200"/>
        <w:jc w:val="left"/>
        <w:rPr>
          <w:rFonts w:ascii="宋体"/>
          <w:color w:val="auto"/>
          <w:sz w:val="22"/>
          <w:szCs w:val="22"/>
        </w:rPr>
      </w:pPr>
      <w:r>
        <w:rPr>
          <w:rFonts w:hint="eastAsia" w:ascii="宋体"/>
          <w:color w:val="auto"/>
          <w:sz w:val="22"/>
          <w:szCs w:val="22"/>
        </w:rPr>
        <w:t>四、不与采购人或采购代理机构串通投标，不损害国家利益，社会公共利益或其他人的合法权益。</w:t>
      </w:r>
    </w:p>
    <w:p w14:paraId="3D76B9BB">
      <w:pPr>
        <w:spacing w:line="440" w:lineRule="atLeast"/>
        <w:ind w:firstLine="446" w:firstLineChars="200"/>
        <w:jc w:val="left"/>
        <w:rPr>
          <w:rFonts w:ascii="宋体"/>
          <w:color w:val="auto"/>
          <w:sz w:val="22"/>
          <w:szCs w:val="22"/>
        </w:rPr>
      </w:pPr>
      <w:r>
        <w:rPr>
          <w:rFonts w:hint="eastAsia" w:ascii="宋体"/>
          <w:color w:val="auto"/>
          <w:sz w:val="22"/>
          <w:szCs w:val="22"/>
        </w:rPr>
        <w:t>五、不向采购人或者评标委员会成员行贿以牟取中标。</w:t>
      </w:r>
    </w:p>
    <w:p w14:paraId="23E76F84">
      <w:pPr>
        <w:spacing w:line="440" w:lineRule="atLeast"/>
        <w:ind w:firstLine="446" w:firstLineChars="200"/>
        <w:jc w:val="left"/>
        <w:rPr>
          <w:rFonts w:ascii="宋体"/>
          <w:color w:val="auto"/>
          <w:sz w:val="22"/>
          <w:szCs w:val="22"/>
        </w:rPr>
      </w:pPr>
      <w:r>
        <w:rPr>
          <w:rFonts w:hint="eastAsia" w:ascii="宋体"/>
          <w:color w:val="auto"/>
          <w:sz w:val="22"/>
          <w:szCs w:val="22"/>
        </w:rPr>
        <w:t>六、不以其他人名义投标或者以其他方式弄虚作假，骗取中标。</w:t>
      </w:r>
    </w:p>
    <w:p w14:paraId="529DD945">
      <w:pPr>
        <w:spacing w:line="440" w:lineRule="atLeast"/>
        <w:ind w:firstLine="446" w:firstLineChars="200"/>
        <w:jc w:val="left"/>
        <w:rPr>
          <w:rFonts w:ascii="宋体"/>
          <w:color w:val="auto"/>
          <w:sz w:val="22"/>
          <w:szCs w:val="22"/>
        </w:rPr>
      </w:pPr>
      <w:r>
        <w:rPr>
          <w:rFonts w:hint="eastAsia" w:ascii="宋体"/>
          <w:color w:val="auto"/>
          <w:sz w:val="22"/>
          <w:szCs w:val="22"/>
        </w:rPr>
        <w:t>七、不在开标后进行虚假恶意投诉。</w:t>
      </w:r>
    </w:p>
    <w:p w14:paraId="3B762CD4">
      <w:pPr>
        <w:spacing w:line="440" w:lineRule="atLeast"/>
        <w:ind w:firstLine="446" w:firstLineChars="200"/>
        <w:jc w:val="left"/>
        <w:rPr>
          <w:rFonts w:ascii="宋体"/>
          <w:color w:val="auto"/>
          <w:sz w:val="22"/>
          <w:szCs w:val="22"/>
        </w:rPr>
      </w:pPr>
      <w:r>
        <w:rPr>
          <w:rFonts w:hint="eastAsia" w:ascii="宋体"/>
          <w:color w:val="auto"/>
          <w:sz w:val="22"/>
          <w:szCs w:val="22"/>
        </w:rPr>
        <w:t>八、我单位没有被政府机关</w:t>
      </w:r>
      <w:r>
        <w:rPr>
          <w:rFonts w:ascii="宋体"/>
          <w:color w:val="auto"/>
          <w:sz w:val="22"/>
          <w:szCs w:val="22"/>
        </w:rPr>
        <w:t>列入失信被执行人</w:t>
      </w:r>
      <w:r>
        <w:rPr>
          <w:rFonts w:hint="eastAsia" w:ascii="宋体"/>
          <w:color w:val="auto"/>
          <w:sz w:val="22"/>
          <w:szCs w:val="22"/>
        </w:rPr>
        <w:t>名单</w:t>
      </w:r>
      <w:r>
        <w:rPr>
          <w:rFonts w:ascii="宋体"/>
          <w:color w:val="auto"/>
          <w:sz w:val="22"/>
          <w:szCs w:val="22"/>
        </w:rPr>
        <w:t>、重大税收违法案件当事人名单、政府采购严重违法失信行为记录名单及其他不符合《中华人民共和国政府采购法》第二十二条规定条件</w:t>
      </w:r>
      <w:r>
        <w:rPr>
          <w:rFonts w:hint="eastAsia" w:ascii="宋体"/>
          <w:color w:val="auto"/>
          <w:sz w:val="22"/>
          <w:szCs w:val="22"/>
        </w:rPr>
        <w:t>的情形。</w:t>
      </w:r>
    </w:p>
    <w:p w14:paraId="24DFF7BA">
      <w:pPr>
        <w:spacing w:line="440" w:lineRule="atLeast"/>
        <w:ind w:firstLine="446" w:firstLineChars="200"/>
        <w:jc w:val="left"/>
        <w:rPr>
          <w:rFonts w:ascii="宋体"/>
          <w:color w:val="auto"/>
          <w:sz w:val="22"/>
          <w:szCs w:val="22"/>
        </w:rPr>
      </w:pPr>
      <w:r>
        <w:rPr>
          <w:rFonts w:hint="eastAsia" w:ascii="宋体"/>
          <w:color w:val="auto"/>
          <w:sz w:val="22"/>
          <w:szCs w:val="22"/>
        </w:rPr>
        <w:t>九、没有</w:t>
      </w:r>
      <w:r>
        <w:rPr>
          <w:rFonts w:ascii="宋体"/>
          <w:color w:val="auto"/>
          <w:sz w:val="22"/>
          <w:szCs w:val="22"/>
        </w:rPr>
        <w:t>被</w:t>
      </w:r>
      <w:r>
        <w:rPr>
          <w:rFonts w:hint="eastAsia" w:ascii="宋体"/>
          <w:color w:val="auto"/>
          <w:sz w:val="22"/>
          <w:szCs w:val="22"/>
        </w:rPr>
        <w:t>各地、</w:t>
      </w:r>
      <w:r>
        <w:rPr>
          <w:rFonts w:ascii="宋体"/>
          <w:color w:val="auto"/>
          <w:sz w:val="22"/>
          <w:szCs w:val="22"/>
        </w:rPr>
        <w:t>各级财政部门禁止参加政府采购</w:t>
      </w:r>
      <w:r>
        <w:rPr>
          <w:rFonts w:hint="eastAsia" w:ascii="宋体"/>
          <w:color w:val="auto"/>
          <w:sz w:val="22"/>
          <w:szCs w:val="22"/>
        </w:rPr>
        <w:t>活动，且在限制期限内。</w:t>
      </w:r>
    </w:p>
    <w:p w14:paraId="6FF0BF03">
      <w:pPr>
        <w:spacing w:line="440" w:lineRule="atLeast"/>
        <w:ind w:firstLine="446" w:firstLineChars="200"/>
        <w:jc w:val="left"/>
        <w:rPr>
          <w:rFonts w:ascii="宋体"/>
          <w:color w:val="auto"/>
          <w:sz w:val="22"/>
          <w:szCs w:val="22"/>
        </w:rPr>
      </w:pPr>
      <w:r>
        <w:rPr>
          <w:rFonts w:hint="eastAsia" w:ascii="宋体"/>
          <w:color w:val="auto"/>
          <w:sz w:val="22"/>
          <w:szCs w:val="22"/>
        </w:rPr>
        <w:t>十、参与本项目政府采购活动3年内没有重大违法记录情况。</w:t>
      </w:r>
    </w:p>
    <w:p w14:paraId="680B03A8">
      <w:pPr>
        <w:spacing w:line="440" w:lineRule="atLeast"/>
        <w:ind w:firstLine="446" w:firstLineChars="200"/>
        <w:rPr>
          <w:rFonts w:ascii="宋体"/>
          <w:color w:val="auto"/>
          <w:sz w:val="22"/>
          <w:szCs w:val="22"/>
        </w:rPr>
      </w:pPr>
      <w:r>
        <w:rPr>
          <w:rFonts w:hint="eastAsia" w:ascii="宋体"/>
          <w:color w:val="auto"/>
          <w:sz w:val="22"/>
          <w:szCs w:val="22"/>
        </w:rPr>
        <w:t>本公司若有违反本承诺内容的行为，愿意承担法律责任，包括不限于：愿意接受相关行政主管部门作出的处罚；给采购人造成损失的，依法承担相应的赔偿责任。</w:t>
      </w:r>
    </w:p>
    <w:p w14:paraId="20CCB794">
      <w:pPr>
        <w:spacing w:line="460" w:lineRule="atLeast"/>
        <w:ind w:right="1120" w:firstLine="3010" w:firstLineChars="1350"/>
        <w:rPr>
          <w:rFonts w:ascii="宋体"/>
          <w:color w:val="auto"/>
          <w:sz w:val="22"/>
          <w:szCs w:val="22"/>
        </w:rPr>
      </w:pPr>
    </w:p>
    <w:p w14:paraId="0A60B190">
      <w:pPr>
        <w:spacing w:line="460" w:lineRule="atLeast"/>
        <w:ind w:right="1120" w:firstLine="3010" w:firstLineChars="1350"/>
        <w:rPr>
          <w:rFonts w:ascii="宋体"/>
          <w:color w:val="auto"/>
          <w:sz w:val="22"/>
          <w:szCs w:val="22"/>
        </w:rPr>
      </w:pPr>
      <w:r>
        <w:rPr>
          <w:rFonts w:hint="eastAsia" w:ascii="宋体"/>
          <w:color w:val="auto"/>
          <w:sz w:val="22"/>
          <w:szCs w:val="22"/>
        </w:rPr>
        <w:t>法定代表人（签字或签章）：</w:t>
      </w:r>
    </w:p>
    <w:p w14:paraId="11FDC946">
      <w:pPr>
        <w:spacing w:line="460" w:lineRule="atLeast"/>
        <w:ind w:right="1120" w:firstLine="3010" w:firstLineChars="1350"/>
        <w:rPr>
          <w:rFonts w:ascii="宋体"/>
          <w:color w:val="auto"/>
          <w:sz w:val="22"/>
          <w:szCs w:val="22"/>
        </w:rPr>
      </w:pPr>
      <w:r>
        <w:rPr>
          <w:rFonts w:hint="eastAsia" w:ascii="宋体"/>
          <w:color w:val="auto"/>
          <w:sz w:val="22"/>
          <w:szCs w:val="22"/>
        </w:rPr>
        <w:t>投标供应商（盖章）</w:t>
      </w:r>
    </w:p>
    <w:p w14:paraId="3043F63B">
      <w:pPr>
        <w:spacing w:line="460" w:lineRule="atLeast"/>
        <w:ind w:right="1120" w:firstLine="3010" w:firstLineChars="1350"/>
        <w:rPr>
          <w:rFonts w:hint="eastAsia" w:ascii="宋体" w:eastAsia="宋体"/>
          <w:color w:val="auto"/>
          <w:lang w:eastAsia="zh-CN"/>
        </w:rPr>
      </w:pPr>
      <w:r>
        <w:rPr>
          <w:rFonts w:hint="eastAsia" w:ascii="宋体"/>
          <w:color w:val="auto"/>
          <w:sz w:val="22"/>
          <w:szCs w:val="22"/>
        </w:rPr>
        <w:t>承诺书签署日期：         年</w:t>
      </w:r>
      <w:r>
        <w:rPr>
          <w:rFonts w:hint="eastAsia" w:ascii="宋体"/>
          <w:color w:val="auto"/>
          <w:sz w:val="22"/>
          <w:szCs w:val="22"/>
          <w:lang w:eastAsia="zh-CN"/>
        </w:rPr>
        <w:t>11月10日</w:t>
      </w:r>
    </w:p>
    <w:p w14:paraId="3246C0F0">
      <w:pPr>
        <w:spacing w:line="360" w:lineRule="exact"/>
        <w:jc w:val="left"/>
        <w:rPr>
          <w:rFonts w:ascii="宋体"/>
          <w:color w:val="auto"/>
          <w:sz w:val="22"/>
          <w:szCs w:val="22"/>
          <w:u w:val="single"/>
        </w:rPr>
      </w:pPr>
    </w:p>
    <w:p w14:paraId="684B893B">
      <w:pPr>
        <w:spacing w:line="360" w:lineRule="exact"/>
        <w:jc w:val="left"/>
        <w:rPr>
          <w:rFonts w:ascii="宋体"/>
          <w:color w:val="auto"/>
          <w:sz w:val="30"/>
        </w:rPr>
      </w:pPr>
      <w:r>
        <w:rPr>
          <w:rFonts w:hint="eastAsia" w:ascii="宋体"/>
          <w:color w:val="auto"/>
          <w:sz w:val="22"/>
          <w:szCs w:val="22"/>
          <w:u w:val="single"/>
        </w:rPr>
        <w:t>备注：▲投标供应商必须提供本承诺书，不提供按无效投标处理。</w:t>
      </w:r>
    </w:p>
    <w:p w14:paraId="63197602">
      <w:pPr>
        <w:pStyle w:val="34"/>
        <w:outlineLvl w:val="2"/>
        <w:rPr>
          <w:rFonts w:hint="eastAsia" w:ascii="宋体" w:hAnsi="宋体"/>
          <w:color w:val="auto"/>
          <w:sz w:val="28"/>
          <w:szCs w:val="18"/>
          <w:lang w:val="zh-CN"/>
        </w:rPr>
      </w:pPr>
      <w:bookmarkStart w:id="132" w:name="_Toc44607660"/>
    </w:p>
    <w:p w14:paraId="7FC1C1D6">
      <w:pPr>
        <w:pStyle w:val="34"/>
        <w:jc w:val="left"/>
        <w:outlineLvl w:val="2"/>
        <w:rPr>
          <w:rFonts w:hint="eastAsia" w:ascii="宋体" w:hAnsi="宋体"/>
          <w:color w:val="auto"/>
          <w:sz w:val="28"/>
          <w:szCs w:val="18"/>
          <w:lang w:val="zh-CN"/>
        </w:rPr>
      </w:pPr>
      <w:r>
        <w:rPr>
          <w:rFonts w:hint="eastAsia" w:ascii="宋体" w:hAnsi="宋体"/>
          <w:color w:val="auto"/>
          <w:sz w:val="28"/>
          <w:szCs w:val="18"/>
          <w:lang w:val="zh-CN"/>
        </w:rPr>
        <w:t xml:space="preserve">附件十一 </w:t>
      </w:r>
    </w:p>
    <w:p w14:paraId="33F95DA1">
      <w:pPr>
        <w:pStyle w:val="34"/>
        <w:jc w:val="center"/>
        <w:outlineLvl w:val="2"/>
        <w:rPr>
          <w:rFonts w:ascii="宋体" w:hAnsi="宋体"/>
          <w:color w:val="auto"/>
          <w:sz w:val="28"/>
          <w:szCs w:val="18"/>
          <w:lang w:val="zh-CN"/>
        </w:rPr>
      </w:pPr>
      <w:r>
        <w:rPr>
          <w:rFonts w:hint="eastAsia" w:ascii="宋体" w:hAnsi="宋体"/>
          <w:color w:val="auto"/>
          <w:sz w:val="28"/>
          <w:szCs w:val="18"/>
          <w:lang w:val="zh-CN"/>
        </w:rPr>
        <w:t>偏离表</w:t>
      </w:r>
      <w:bookmarkEnd w:id="132"/>
    </w:p>
    <w:p w14:paraId="5BE9512C">
      <w:pPr>
        <w:spacing w:line="560" w:lineRule="exact"/>
        <w:ind w:firstLine="436" w:firstLineChars="196"/>
        <w:rPr>
          <w:rFonts w:ascii="宋体"/>
          <w:color w:val="auto"/>
          <w:sz w:val="22"/>
          <w:szCs w:val="22"/>
        </w:rPr>
      </w:pPr>
      <w:r>
        <w:rPr>
          <w:rFonts w:hint="eastAsia" w:ascii="宋体"/>
          <w:color w:val="auto"/>
          <w:sz w:val="22"/>
          <w:szCs w:val="22"/>
        </w:rPr>
        <w:t>项目名称：                                       项目编号：</w:t>
      </w:r>
    </w:p>
    <w:tbl>
      <w:tblPr>
        <w:tblStyle w:val="36"/>
        <w:tblW w:w="883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1367"/>
        <w:gridCol w:w="2810"/>
        <w:gridCol w:w="2130"/>
        <w:gridCol w:w="1407"/>
      </w:tblGrid>
      <w:tr w14:paraId="429458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122" w:type="dxa"/>
            <w:noWrap w:val="0"/>
            <w:vAlign w:val="center"/>
          </w:tcPr>
          <w:p w14:paraId="2A71B281">
            <w:pPr>
              <w:jc w:val="center"/>
              <w:rPr>
                <w:rFonts w:ascii="宋体"/>
                <w:color w:val="auto"/>
                <w:sz w:val="22"/>
                <w:szCs w:val="22"/>
              </w:rPr>
            </w:pPr>
            <w:r>
              <w:rPr>
                <w:rFonts w:hint="eastAsia" w:ascii="宋体"/>
                <w:color w:val="auto"/>
                <w:sz w:val="22"/>
                <w:szCs w:val="22"/>
              </w:rPr>
              <w:t>内   容</w:t>
            </w:r>
          </w:p>
        </w:tc>
        <w:tc>
          <w:tcPr>
            <w:tcW w:w="1367" w:type="dxa"/>
            <w:noWrap w:val="0"/>
            <w:vAlign w:val="center"/>
          </w:tcPr>
          <w:p w14:paraId="66F2C537">
            <w:pPr>
              <w:jc w:val="center"/>
              <w:rPr>
                <w:rFonts w:ascii="宋体"/>
                <w:color w:val="auto"/>
                <w:sz w:val="22"/>
                <w:szCs w:val="22"/>
              </w:rPr>
            </w:pPr>
            <w:r>
              <w:rPr>
                <w:rFonts w:hint="eastAsia" w:ascii="宋体"/>
                <w:color w:val="auto"/>
                <w:sz w:val="22"/>
                <w:szCs w:val="22"/>
              </w:rPr>
              <w:t>磋商文件</w:t>
            </w:r>
          </w:p>
          <w:p w14:paraId="3B83C7ED">
            <w:pPr>
              <w:jc w:val="center"/>
              <w:rPr>
                <w:rFonts w:ascii="宋体"/>
                <w:color w:val="auto"/>
                <w:sz w:val="22"/>
                <w:szCs w:val="22"/>
              </w:rPr>
            </w:pPr>
            <w:r>
              <w:rPr>
                <w:rFonts w:hint="eastAsia" w:ascii="宋体"/>
                <w:color w:val="auto"/>
                <w:sz w:val="22"/>
                <w:szCs w:val="22"/>
              </w:rPr>
              <w:t>条目</w:t>
            </w:r>
          </w:p>
        </w:tc>
        <w:tc>
          <w:tcPr>
            <w:tcW w:w="2810" w:type="dxa"/>
            <w:noWrap w:val="0"/>
            <w:vAlign w:val="center"/>
          </w:tcPr>
          <w:p w14:paraId="60595DBF">
            <w:pPr>
              <w:jc w:val="center"/>
              <w:rPr>
                <w:rFonts w:ascii="宋体"/>
                <w:color w:val="auto"/>
                <w:sz w:val="22"/>
                <w:szCs w:val="22"/>
              </w:rPr>
            </w:pPr>
            <w:r>
              <w:rPr>
                <w:rFonts w:hint="eastAsia" w:ascii="宋体"/>
                <w:color w:val="auto"/>
                <w:sz w:val="22"/>
                <w:szCs w:val="22"/>
              </w:rPr>
              <w:t>磋商文件</w:t>
            </w:r>
          </w:p>
          <w:p w14:paraId="21B8F2F0">
            <w:pPr>
              <w:jc w:val="center"/>
              <w:rPr>
                <w:rFonts w:ascii="宋体"/>
                <w:color w:val="auto"/>
                <w:sz w:val="22"/>
                <w:szCs w:val="22"/>
              </w:rPr>
            </w:pPr>
            <w:r>
              <w:rPr>
                <w:rFonts w:hint="eastAsia" w:ascii="宋体"/>
                <w:color w:val="auto"/>
                <w:sz w:val="22"/>
                <w:szCs w:val="22"/>
              </w:rPr>
              <w:t>规格要求</w:t>
            </w:r>
          </w:p>
        </w:tc>
        <w:tc>
          <w:tcPr>
            <w:tcW w:w="2130" w:type="dxa"/>
            <w:noWrap w:val="0"/>
            <w:vAlign w:val="center"/>
          </w:tcPr>
          <w:p w14:paraId="6AE14BDD">
            <w:pPr>
              <w:jc w:val="center"/>
              <w:rPr>
                <w:rFonts w:ascii="宋体"/>
                <w:color w:val="auto"/>
                <w:sz w:val="22"/>
                <w:szCs w:val="22"/>
              </w:rPr>
            </w:pPr>
            <w:r>
              <w:rPr>
                <w:rFonts w:hint="eastAsia" w:ascii="宋体"/>
                <w:color w:val="auto"/>
                <w:sz w:val="22"/>
                <w:szCs w:val="22"/>
              </w:rPr>
              <w:t>磋商响应文件</w:t>
            </w:r>
          </w:p>
          <w:p w14:paraId="11037BCF">
            <w:pPr>
              <w:jc w:val="center"/>
              <w:rPr>
                <w:rFonts w:ascii="宋体"/>
                <w:color w:val="auto"/>
                <w:sz w:val="22"/>
                <w:szCs w:val="22"/>
              </w:rPr>
            </w:pPr>
            <w:r>
              <w:rPr>
                <w:rFonts w:hint="eastAsia" w:ascii="宋体"/>
                <w:color w:val="auto"/>
                <w:sz w:val="22"/>
                <w:szCs w:val="22"/>
              </w:rPr>
              <w:t>对应规格</w:t>
            </w:r>
          </w:p>
        </w:tc>
        <w:tc>
          <w:tcPr>
            <w:tcW w:w="1407" w:type="dxa"/>
            <w:noWrap w:val="0"/>
            <w:vAlign w:val="center"/>
          </w:tcPr>
          <w:p w14:paraId="2DCB078D">
            <w:pPr>
              <w:jc w:val="center"/>
              <w:rPr>
                <w:rFonts w:ascii="宋体"/>
                <w:color w:val="auto"/>
                <w:sz w:val="22"/>
                <w:szCs w:val="22"/>
              </w:rPr>
            </w:pPr>
            <w:r>
              <w:rPr>
                <w:rFonts w:hint="eastAsia" w:ascii="宋体"/>
                <w:color w:val="auto"/>
                <w:sz w:val="22"/>
                <w:szCs w:val="22"/>
              </w:rPr>
              <w:t>说   明</w:t>
            </w:r>
          </w:p>
        </w:tc>
      </w:tr>
      <w:tr w14:paraId="458B2A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1122" w:type="dxa"/>
            <w:vMerge w:val="restart"/>
            <w:noWrap w:val="0"/>
            <w:vAlign w:val="center"/>
          </w:tcPr>
          <w:p w14:paraId="1BA0C8AB">
            <w:pPr>
              <w:rPr>
                <w:rFonts w:ascii="宋体"/>
                <w:color w:val="auto"/>
                <w:sz w:val="22"/>
                <w:szCs w:val="22"/>
              </w:rPr>
            </w:pPr>
            <w:r>
              <w:rPr>
                <w:rFonts w:hint="eastAsia" w:ascii="宋体"/>
                <w:color w:val="auto"/>
                <w:sz w:val="22"/>
                <w:szCs w:val="22"/>
              </w:rPr>
              <w:t>技术偏离</w:t>
            </w:r>
          </w:p>
        </w:tc>
        <w:tc>
          <w:tcPr>
            <w:tcW w:w="1367" w:type="dxa"/>
            <w:noWrap w:val="0"/>
            <w:vAlign w:val="center"/>
          </w:tcPr>
          <w:p w14:paraId="4977B533">
            <w:pPr>
              <w:jc w:val="center"/>
              <w:rPr>
                <w:rFonts w:ascii="宋体"/>
                <w:color w:val="auto"/>
                <w:sz w:val="22"/>
                <w:szCs w:val="22"/>
              </w:rPr>
            </w:pPr>
          </w:p>
        </w:tc>
        <w:tc>
          <w:tcPr>
            <w:tcW w:w="2810" w:type="dxa"/>
            <w:noWrap w:val="0"/>
            <w:vAlign w:val="center"/>
          </w:tcPr>
          <w:p w14:paraId="654D8A44">
            <w:pPr>
              <w:jc w:val="center"/>
              <w:rPr>
                <w:rFonts w:ascii="宋体"/>
                <w:color w:val="auto"/>
                <w:sz w:val="22"/>
                <w:szCs w:val="22"/>
              </w:rPr>
            </w:pPr>
          </w:p>
        </w:tc>
        <w:tc>
          <w:tcPr>
            <w:tcW w:w="2130" w:type="dxa"/>
            <w:noWrap w:val="0"/>
            <w:vAlign w:val="center"/>
          </w:tcPr>
          <w:p w14:paraId="1B713576">
            <w:pPr>
              <w:jc w:val="center"/>
              <w:rPr>
                <w:rFonts w:ascii="宋体"/>
                <w:color w:val="auto"/>
                <w:sz w:val="22"/>
                <w:szCs w:val="22"/>
              </w:rPr>
            </w:pPr>
          </w:p>
        </w:tc>
        <w:tc>
          <w:tcPr>
            <w:tcW w:w="1407" w:type="dxa"/>
            <w:noWrap w:val="0"/>
            <w:vAlign w:val="center"/>
          </w:tcPr>
          <w:p w14:paraId="42B6E15C">
            <w:pPr>
              <w:jc w:val="center"/>
              <w:rPr>
                <w:rFonts w:ascii="宋体"/>
                <w:color w:val="auto"/>
                <w:sz w:val="22"/>
                <w:szCs w:val="22"/>
              </w:rPr>
            </w:pPr>
          </w:p>
        </w:tc>
      </w:tr>
      <w:tr w14:paraId="2A0C14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1122" w:type="dxa"/>
            <w:vMerge w:val="continue"/>
            <w:noWrap w:val="0"/>
            <w:vAlign w:val="center"/>
          </w:tcPr>
          <w:p w14:paraId="095FDFBC">
            <w:pPr>
              <w:jc w:val="center"/>
              <w:rPr>
                <w:rFonts w:ascii="宋体"/>
                <w:color w:val="auto"/>
                <w:sz w:val="22"/>
                <w:szCs w:val="22"/>
              </w:rPr>
            </w:pPr>
          </w:p>
        </w:tc>
        <w:tc>
          <w:tcPr>
            <w:tcW w:w="1367" w:type="dxa"/>
            <w:noWrap w:val="0"/>
            <w:vAlign w:val="center"/>
          </w:tcPr>
          <w:p w14:paraId="3858BFCA">
            <w:pPr>
              <w:jc w:val="center"/>
              <w:rPr>
                <w:rFonts w:ascii="宋体"/>
                <w:color w:val="auto"/>
                <w:sz w:val="22"/>
                <w:szCs w:val="22"/>
              </w:rPr>
            </w:pPr>
          </w:p>
        </w:tc>
        <w:tc>
          <w:tcPr>
            <w:tcW w:w="2810" w:type="dxa"/>
            <w:noWrap w:val="0"/>
            <w:vAlign w:val="center"/>
          </w:tcPr>
          <w:p w14:paraId="0515D892">
            <w:pPr>
              <w:jc w:val="center"/>
              <w:rPr>
                <w:rFonts w:ascii="宋体"/>
                <w:color w:val="auto"/>
                <w:sz w:val="22"/>
                <w:szCs w:val="22"/>
              </w:rPr>
            </w:pPr>
          </w:p>
        </w:tc>
        <w:tc>
          <w:tcPr>
            <w:tcW w:w="2130" w:type="dxa"/>
            <w:noWrap w:val="0"/>
            <w:vAlign w:val="center"/>
          </w:tcPr>
          <w:p w14:paraId="23D0D4BC">
            <w:pPr>
              <w:jc w:val="center"/>
              <w:rPr>
                <w:rFonts w:ascii="宋体"/>
                <w:color w:val="auto"/>
                <w:sz w:val="22"/>
                <w:szCs w:val="22"/>
              </w:rPr>
            </w:pPr>
          </w:p>
        </w:tc>
        <w:tc>
          <w:tcPr>
            <w:tcW w:w="1407" w:type="dxa"/>
            <w:noWrap w:val="0"/>
            <w:vAlign w:val="center"/>
          </w:tcPr>
          <w:p w14:paraId="4C562C28">
            <w:pPr>
              <w:jc w:val="center"/>
              <w:rPr>
                <w:rFonts w:ascii="宋体"/>
                <w:color w:val="auto"/>
                <w:sz w:val="22"/>
                <w:szCs w:val="22"/>
              </w:rPr>
            </w:pPr>
          </w:p>
        </w:tc>
      </w:tr>
      <w:tr w14:paraId="7AE649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1122" w:type="dxa"/>
            <w:vMerge w:val="continue"/>
            <w:noWrap w:val="0"/>
            <w:vAlign w:val="center"/>
          </w:tcPr>
          <w:p w14:paraId="6E9AE024">
            <w:pPr>
              <w:jc w:val="center"/>
              <w:rPr>
                <w:rFonts w:ascii="宋体"/>
                <w:color w:val="auto"/>
                <w:sz w:val="22"/>
                <w:szCs w:val="22"/>
              </w:rPr>
            </w:pPr>
          </w:p>
        </w:tc>
        <w:tc>
          <w:tcPr>
            <w:tcW w:w="1367" w:type="dxa"/>
            <w:noWrap w:val="0"/>
            <w:vAlign w:val="center"/>
          </w:tcPr>
          <w:p w14:paraId="5CB3320A">
            <w:pPr>
              <w:jc w:val="center"/>
              <w:rPr>
                <w:rFonts w:ascii="宋体"/>
                <w:color w:val="auto"/>
                <w:sz w:val="22"/>
                <w:szCs w:val="22"/>
              </w:rPr>
            </w:pPr>
          </w:p>
        </w:tc>
        <w:tc>
          <w:tcPr>
            <w:tcW w:w="2810" w:type="dxa"/>
            <w:noWrap w:val="0"/>
            <w:vAlign w:val="center"/>
          </w:tcPr>
          <w:p w14:paraId="140C044E">
            <w:pPr>
              <w:jc w:val="center"/>
              <w:rPr>
                <w:rFonts w:ascii="宋体"/>
                <w:color w:val="auto"/>
                <w:sz w:val="22"/>
                <w:szCs w:val="22"/>
              </w:rPr>
            </w:pPr>
          </w:p>
        </w:tc>
        <w:tc>
          <w:tcPr>
            <w:tcW w:w="2130" w:type="dxa"/>
            <w:noWrap w:val="0"/>
            <w:vAlign w:val="center"/>
          </w:tcPr>
          <w:p w14:paraId="06E73490">
            <w:pPr>
              <w:jc w:val="center"/>
              <w:rPr>
                <w:rFonts w:ascii="宋体"/>
                <w:color w:val="auto"/>
                <w:sz w:val="22"/>
                <w:szCs w:val="22"/>
              </w:rPr>
            </w:pPr>
          </w:p>
        </w:tc>
        <w:tc>
          <w:tcPr>
            <w:tcW w:w="1407" w:type="dxa"/>
            <w:noWrap w:val="0"/>
            <w:vAlign w:val="center"/>
          </w:tcPr>
          <w:p w14:paraId="76128F23">
            <w:pPr>
              <w:jc w:val="center"/>
              <w:rPr>
                <w:rFonts w:ascii="宋体"/>
                <w:color w:val="auto"/>
                <w:sz w:val="22"/>
                <w:szCs w:val="22"/>
              </w:rPr>
            </w:pPr>
          </w:p>
        </w:tc>
      </w:tr>
      <w:tr w14:paraId="0B0ECE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1122" w:type="dxa"/>
            <w:vMerge w:val="continue"/>
            <w:noWrap w:val="0"/>
            <w:vAlign w:val="center"/>
          </w:tcPr>
          <w:p w14:paraId="184AB937">
            <w:pPr>
              <w:jc w:val="center"/>
              <w:rPr>
                <w:rFonts w:ascii="宋体"/>
                <w:color w:val="auto"/>
                <w:sz w:val="22"/>
                <w:szCs w:val="22"/>
              </w:rPr>
            </w:pPr>
          </w:p>
        </w:tc>
        <w:tc>
          <w:tcPr>
            <w:tcW w:w="1367" w:type="dxa"/>
            <w:noWrap w:val="0"/>
            <w:vAlign w:val="center"/>
          </w:tcPr>
          <w:p w14:paraId="32B66A59">
            <w:pPr>
              <w:jc w:val="center"/>
              <w:rPr>
                <w:rFonts w:ascii="宋体"/>
                <w:color w:val="auto"/>
                <w:sz w:val="22"/>
                <w:szCs w:val="22"/>
              </w:rPr>
            </w:pPr>
          </w:p>
        </w:tc>
        <w:tc>
          <w:tcPr>
            <w:tcW w:w="2810" w:type="dxa"/>
            <w:noWrap w:val="0"/>
            <w:vAlign w:val="center"/>
          </w:tcPr>
          <w:p w14:paraId="79168529">
            <w:pPr>
              <w:jc w:val="center"/>
              <w:rPr>
                <w:rFonts w:ascii="宋体"/>
                <w:color w:val="auto"/>
                <w:sz w:val="22"/>
                <w:szCs w:val="22"/>
              </w:rPr>
            </w:pPr>
          </w:p>
        </w:tc>
        <w:tc>
          <w:tcPr>
            <w:tcW w:w="2130" w:type="dxa"/>
            <w:noWrap w:val="0"/>
            <w:vAlign w:val="center"/>
          </w:tcPr>
          <w:p w14:paraId="172248E1">
            <w:pPr>
              <w:jc w:val="center"/>
              <w:rPr>
                <w:rFonts w:ascii="宋体"/>
                <w:color w:val="auto"/>
                <w:sz w:val="22"/>
                <w:szCs w:val="22"/>
              </w:rPr>
            </w:pPr>
          </w:p>
        </w:tc>
        <w:tc>
          <w:tcPr>
            <w:tcW w:w="1407" w:type="dxa"/>
            <w:noWrap w:val="0"/>
            <w:vAlign w:val="center"/>
          </w:tcPr>
          <w:p w14:paraId="7D243C37">
            <w:pPr>
              <w:jc w:val="center"/>
              <w:rPr>
                <w:rFonts w:ascii="宋体"/>
                <w:color w:val="auto"/>
                <w:sz w:val="22"/>
                <w:szCs w:val="22"/>
              </w:rPr>
            </w:pPr>
          </w:p>
        </w:tc>
      </w:tr>
      <w:tr w14:paraId="303D94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1122" w:type="dxa"/>
            <w:vMerge w:val="continue"/>
            <w:noWrap w:val="0"/>
            <w:vAlign w:val="center"/>
          </w:tcPr>
          <w:p w14:paraId="4DDB1953">
            <w:pPr>
              <w:jc w:val="center"/>
              <w:rPr>
                <w:rFonts w:ascii="宋体"/>
                <w:color w:val="auto"/>
                <w:sz w:val="22"/>
                <w:szCs w:val="22"/>
              </w:rPr>
            </w:pPr>
          </w:p>
        </w:tc>
        <w:tc>
          <w:tcPr>
            <w:tcW w:w="1367" w:type="dxa"/>
            <w:noWrap w:val="0"/>
            <w:vAlign w:val="center"/>
          </w:tcPr>
          <w:p w14:paraId="306C3E1B">
            <w:pPr>
              <w:jc w:val="center"/>
              <w:rPr>
                <w:rFonts w:ascii="宋体"/>
                <w:color w:val="auto"/>
                <w:sz w:val="22"/>
                <w:szCs w:val="22"/>
              </w:rPr>
            </w:pPr>
          </w:p>
        </w:tc>
        <w:tc>
          <w:tcPr>
            <w:tcW w:w="2810" w:type="dxa"/>
            <w:noWrap w:val="0"/>
            <w:vAlign w:val="center"/>
          </w:tcPr>
          <w:p w14:paraId="2651EA40">
            <w:pPr>
              <w:jc w:val="center"/>
              <w:rPr>
                <w:rFonts w:ascii="宋体"/>
                <w:color w:val="auto"/>
                <w:sz w:val="22"/>
                <w:szCs w:val="22"/>
              </w:rPr>
            </w:pPr>
          </w:p>
        </w:tc>
        <w:tc>
          <w:tcPr>
            <w:tcW w:w="2130" w:type="dxa"/>
            <w:noWrap w:val="0"/>
            <w:vAlign w:val="center"/>
          </w:tcPr>
          <w:p w14:paraId="00A4ED98">
            <w:pPr>
              <w:jc w:val="center"/>
              <w:rPr>
                <w:rFonts w:ascii="宋体"/>
                <w:color w:val="auto"/>
                <w:sz w:val="22"/>
                <w:szCs w:val="22"/>
              </w:rPr>
            </w:pPr>
          </w:p>
        </w:tc>
        <w:tc>
          <w:tcPr>
            <w:tcW w:w="1407" w:type="dxa"/>
            <w:noWrap w:val="0"/>
            <w:vAlign w:val="center"/>
          </w:tcPr>
          <w:p w14:paraId="0E0A0431">
            <w:pPr>
              <w:jc w:val="center"/>
              <w:rPr>
                <w:rFonts w:ascii="宋体"/>
                <w:color w:val="auto"/>
                <w:sz w:val="22"/>
                <w:szCs w:val="22"/>
              </w:rPr>
            </w:pPr>
          </w:p>
        </w:tc>
      </w:tr>
      <w:tr w14:paraId="73BA4E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1122" w:type="dxa"/>
            <w:vMerge w:val="restart"/>
            <w:noWrap w:val="0"/>
            <w:vAlign w:val="center"/>
          </w:tcPr>
          <w:p w14:paraId="2BA68B21">
            <w:pPr>
              <w:rPr>
                <w:rFonts w:ascii="宋体"/>
                <w:color w:val="auto"/>
                <w:sz w:val="22"/>
                <w:szCs w:val="22"/>
              </w:rPr>
            </w:pPr>
            <w:r>
              <w:rPr>
                <w:rFonts w:hint="eastAsia" w:ascii="宋体"/>
                <w:color w:val="auto"/>
                <w:sz w:val="22"/>
                <w:szCs w:val="22"/>
              </w:rPr>
              <w:t>商务偏离</w:t>
            </w:r>
          </w:p>
        </w:tc>
        <w:tc>
          <w:tcPr>
            <w:tcW w:w="1367" w:type="dxa"/>
            <w:noWrap w:val="0"/>
            <w:vAlign w:val="center"/>
          </w:tcPr>
          <w:p w14:paraId="64CFD7B5">
            <w:pPr>
              <w:jc w:val="center"/>
              <w:rPr>
                <w:rFonts w:ascii="宋体"/>
                <w:color w:val="auto"/>
                <w:sz w:val="22"/>
                <w:szCs w:val="22"/>
              </w:rPr>
            </w:pPr>
          </w:p>
        </w:tc>
        <w:tc>
          <w:tcPr>
            <w:tcW w:w="2810" w:type="dxa"/>
            <w:noWrap w:val="0"/>
            <w:vAlign w:val="center"/>
          </w:tcPr>
          <w:p w14:paraId="14464D2C">
            <w:pPr>
              <w:jc w:val="center"/>
              <w:rPr>
                <w:rFonts w:ascii="宋体"/>
                <w:color w:val="auto"/>
                <w:sz w:val="22"/>
                <w:szCs w:val="22"/>
              </w:rPr>
            </w:pPr>
          </w:p>
        </w:tc>
        <w:tc>
          <w:tcPr>
            <w:tcW w:w="2130" w:type="dxa"/>
            <w:noWrap w:val="0"/>
            <w:vAlign w:val="center"/>
          </w:tcPr>
          <w:p w14:paraId="0855EC88">
            <w:pPr>
              <w:jc w:val="center"/>
              <w:rPr>
                <w:rFonts w:ascii="宋体"/>
                <w:color w:val="auto"/>
                <w:sz w:val="22"/>
                <w:szCs w:val="22"/>
              </w:rPr>
            </w:pPr>
          </w:p>
        </w:tc>
        <w:tc>
          <w:tcPr>
            <w:tcW w:w="1407" w:type="dxa"/>
            <w:noWrap w:val="0"/>
            <w:vAlign w:val="center"/>
          </w:tcPr>
          <w:p w14:paraId="0FBAD80B">
            <w:pPr>
              <w:jc w:val="center"/>
              <w:rPr>
                <w:rFonts w:ascii="宋体"/>
                <w:color w:val="auto"/>
                <w:sz w:val="22"/>
                <w:szCs w:val="22"/>
              </w:rPr>
            </w:pPr>
          </w:p>
        </w:tc>
      </w:tr>
      <w:tr w14:paraId="5E41BA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1122" w:type="dxa"/>
            <w:vMerge w:val="continue"/>
            <w:noWrap w:val="0"/>
            <w:vAlign w:val="center"/>
          </w:tcPr>
          <w:p w14:paraId="78D442B6">
            <w:pPr>
              <w:jc w:val="center"/>
              <w:rPr>
                <w:rFonts w:ascii="宋体"/>
                <w:color w:val="auto"/>
                <w:sz w:val="22"/>
                <w:szCs w:val="22"/>
              </w:rPr>
            </w:pPr>
          </w:p>
        </w:tc>
        <w:tc>
          <w:tcPr>
            <w:tcW w:w="1367" w:type="dxa"/>
            <w:noWrap w:val="0"/>
            <w:vAlign w:val="center"/>
          </w:tcPr>
          <w:p w14:paraId="7410A08B">
            <w:pPr>
              <w:jc w:val="center"/>
              <w:rPr>
                <w:rFonts w:ascii="宋体"/>
                <w:color w:val="auto"/>
                <w:sz w:val="22"/>
                <w:szCs w:val="22"/>
              </w:rPr>
            </w:pPr>
          </w:p>
        </w:tc>
        <w:tc>
          <w:tcPr>
            <w:tcW w:w="2810" w:type="dxa"/>
            <w:noWrap w:val="0"/>
            <w:vAlign w:val="center"/>
          </w:tcPr>
          <w:p w14:paraId="6B5386C0">
            <w:pPr>
              <w:jc w:val="center"/>
              <w:rPr>
                <w:rFonts w:ascii="宋体"/>
                <w:color w:val="auto"/>
                <w:sz w:val="22"/>
                <w:szCs w:val="22"/>
              </w:rPr>
            </w:pPr>
          </w:p>
        </w:tc>
        <w:tc>
          <w:tcPr>
            <w:tcW w:w="2130" w:type="dxa"/>
            <w:noWrap w:val="0"/>
            <w:vAlign w:val="center"/>
          </w:tcPr>
          <w:p w14:paraId="6BF5FCFE">
            <w:pPr>
              <w:jc w:val="center"/>
              <w:rPr>
                <w:rFonts w:ascii="宋体"/>
                <w:color w:val="auto"/>
                <w:sz w:val="22"/>
                <w:szCs w:val="22"/>
              </w:rPr>
            </w:pPr>
          </w:p>
        </w:tc>
        <w:tc>
          <w:tcPr>
            <w:tcW w:w="1407" w:type="dxa"/>
            <w:noWrap w:val="0"/>
            <w:vAlign w:val="center"/>
          </w:tcPr>
          <w:p w14:paraId="7CFAC357">
            <w:pPr>
              <w:jc w:val="center"/>
              <w:rPr>
                <w:rFonts w:ascii="宋体"/>
                <w:color w:val="auto"/>
                <w:sz w:val="22"/>
                <w:szCs w:val="22"/>
              </w:rPr>
            </w:pPr>
          </w:p>
        </w:tc>
      </w:tr>
      <w:tr w14:paraId="37B346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1122" w:type="dxa"/>
            <w:vMerge w:val="continue"/>
            <w:noWrap w:val="0"/>
            <w:vAlign w:val="center"/>
          </w:tcPr>
          <w:p w14:paraId="04237B78">
            <w:pPr>
              <w:jc w:val="center"/>
              <w:rPr>
                <w:rFonts w:ascii="宋体"/>
                <w:color w:val="auto"/>
                <w:sz w:val="22"/>
                <w:szCs w:val="22"/>
              </w:rPr>
            </w:pPr>
          </w:p>
        </w:tc>
        <w:tc>
          <w:tcPr>
            <w:tcW w:w="1367" w:type="dxa"/>
            <w:noWrap w:val="0"/>
            <w:vAlign w:val="center"/>
          </w:tcPr>
          <w:p w14:paraId="2EC22B2D">
            <w:pPr>
              <w:jc w:val="center"/>
              <w:rPr>
                <w:rFonts w:ascii="宋体"/>
                <w:color w:val="auto"/>
                <w:sz w:val="22"/>
                <w:szCs w:val="22"/>
              </w:rPr>
            </w:pPr>
          </w:p>
        </w:tc>
        <w:tc>
          <w:tcPr>
            <w:tcW w:w="2810" w:type="dxa"/>
            <w:noWrap w:val="0"/>
            <w:vAlign w:val="center"/>
          </w:tcPr>
          <w:p w14:paraId="41727282">
            <w:pPr>
              <w:jc w:val="center"/>
              <w:rPr>
                <w:rFonts w:ascii="宋体"/>
                <w:color w:val="auto"/>
                <w:sz w:val="22"/>
                <w:szCs w:val="22"/>
              </w:rPr>
            </w:pPr>
          </w:p>
        </w:tc>
        <w:tc>
          <w:tcPr>
            <w:tcW w:w="2130" w:type="dxa"/>
            <w:noWrap w:val="0"/>
            <w:vAlign w:val="center"/>
          </w:tcPr>
          <w:p w14:paraId="32F984D7">
            <w:pPr>
              <w:jc w:val="center"/>
              <w:rPr>
                <w:rFonts w:ascii="宋体"/>
                <w:color w:val="auto"/>
                <w:sz w:val="22"/>
                <w:szCs w:val="22"/>
              </w:rPr>
            </w:pPr>
          </w:p>
        </w:tc>
        <w:tc>
          <w:tcPr>
            <w:tcW w:w="1407" w:type="dxa"/>
            <w:noWrap w:val="0"/>
            <w:vAlign w:val="center"/>
          </w:tcPr>
          <w:p w14:paraId="0647DB7D">
            <w:pPr>
              <w:jc w:val="center"/>
              <w:rPr>
                <w:rFonts w:ascii="宋体"/>
                <w:color w:val="auto"/>
                <w:sz w:val="22"/>
                <w:szCs w:val="22"/>
              </w:rPr>
            </w:pPr>
          </w:p>
        </w:tc>
      </w:tr>
      <w:tr w14:paraId="6E974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1122" w:type="dxa"/>
            <w:vMerge w:val="continue"/>
            <w:noWrap w:val="0"/>
            <w:vAlign w:val="center"/>
          </w:tcPr>
          <w:p w14:paraId="41FE652A">
            <w:pPr>
              <w:jc w:val="center"/>
              <w:rPr>
                <w:rFonts w:ascii="宋体"/>
                <w:color w:val="auto"/>
                <w:sz w:val="22"/>
                <w:szCs w:val="22"/>
              </w:rPr>
            </w:pPr>
          </w:p>
        </w:tc>
        <w:tc>
          <w:tcPr>
            <w:tcW w:w="1367" w:type="dxa"/>
            <w:noWrap w:val="0"/>
            <w:vAlign w:val="center"/>
          </w:tcPr>
          <w:p w14:paraId="4F134FD4">
            <w:pPr>
              <w:jc w:val="center"/>
              <w:rPr>
                <w:rFonts w:ascii="宋体"/>
                <w:color w:val="auto"/>
                <w:sz w:val="22"/>
                <w:szCs w:val="22"/>
              </w:rPr>
            </w:pPr>
          </w:p>
        </w:tc>
        <w:tc>
          <w:tcPr>
            <w:tcW w:w="2810" w:type="dxa"/>
            <w:noWrap w:val="0"/>
            <w:vAlign w:val="center"/>
          </w:tcPr>
          <w:p w14:paraId="79BF2B28">
            <w:pPr>
              <w:jc w:val="center"/>
              <w:rPr>
                <w:rFonts w:ascii="宋体"/>
                <w:color w:val="auto"/>
                <w:sz w:val="22"/>
                <w:szCs w:val="22"/>
              </w:rPr>
            </w:pPr>
          </w:p>
        </w:tc>
        <w:tc>
          <w:tcPr>
            <w:tcW w:w="2130" w:type="dxa"/>
            <w:noWrap w:val="0"/>
            <w:vAlign w:val="center"/>
          </w:tcPr>
          <w:p w14:paraId="5973D473">
            <w:pPr>
              <w:jc w:val="center"/>
              <w:rPr>
                <w:rFonts w:ascii="宋体"/>
                <w:color w:val="auto"/>
                <w:sz w:val="22"/>
                <w:szCs w:val="22"/>
              </w:rPr>
            </w:pPr>
          </w:p>
        </w:tc>
        <w:tc>
          <w:tcPr>
            <w:tcW w:w="1407" w:type="dxa"/>
            <w:noWrap w:val="0"/>
            <w:vAlign w:val="center"/>
          </w:tcPr>
          <w:p w14:paraId="45AB9CD1">
            <w:pPr>
              <w:jc w:val="center"/>
              <w:rPr>
                <w:rFonts w:ascii="宋体"/>
                <w:color w:val="auto"/>
                <w:sz w:val="22"/>
                <w:szCs w:val="22"/>
              </w:rPr>
            </w:pPr>
          </w:p>
        </w:tc>
      </w:tr>
      <w:tr w14:paraId="0A1A93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1122" w:type="dxa"/>
            <w:vMerge w:val="continue"/>
            <w:noWrap w:val="0"/>
            <w:vAlign w:val="center"/>
          </w:tcPr>
          <w:p w14:paraId="718F3165">
            <w:pPr>
              <w:jc w:val="center"/>
              <w:rPr>
                <w:rFonts w:ascii="宋体"/>
                <w:color w:val="auto"/>
                <w:sz w:val="22"/>
                <w:szCs w:val="22"/>
              </w:rPr>
            </w:pPr>
          </w:p>
        </w:tc>
        <w:tc>
          <w:tcPr>
            <w:tcW w:w="1367" w:type="dxa"/>
            <w:noWrap w:val="0"/>
            <w:vAlign w:val="center"/>
          </w:tcPr>
          <w:p w14:paraId="128ADA14">
            <w:pPr>
              <w:jc w:val="center"/>
              <w:rPr>
                <w:rFonts w:ascii="宋体"/>
                <w:color w:val="auto"/>
                <w:sz w:val="22"/>
                <w:szCs w:val="22"/>
              </w:rPr>
            </w:pPr>
          </w:p>
        </w:tc>
        <w:tc>
          <w:tcPr>
            <w:tcW w:w="2810" w:type="dxa"/>
            <w:noWrap w:val="0"/>
            <w:vAlign w:val="center"/>
          </w:tcPr>
          <w:p w14:paraId="63FE9984">
            <w:pPr>
              <w:jc w:val="center"/>
              <w:rPr>
                <w:rFonts w:ascii="宋体"/>
                <w:color w:val="auto"/>
                <w:sz w:val="22"/>
                <w:szCs w:val="22"/>
              </w:rPr>
            </w:pPr>
          </w:p>
        </w:tc>
        <w:tc>
          <w:tcPr>
            <w:tcW w:w="2130" w:type="dxa"/>
            <w:noWrap w:val="0"/>
            <w:vAlign w:val="center"/>
          </w:tcPr>
          <w:p w14:paraId="3F1D22C4">
            <w:pPr>
              <w:jc w:val="center"/>
              <w:rPr>
                <w:rFonts w:ascii="宋体"/>
                <w:color w:val="auto"/>
                <w:sz w:val="22"/>
                <w:szCs w:val="22"/>
              </w:rPr>
            </w:pPr>
          </w:p>
        </w:tc>
        <w:tc>
          <w:tcPr>
            <w:tcW w:w="1407" w:type="dxa"/>
            <w:noWrap w:val="0"/>
            <w:vAlign w:val="center"/>
          </w:tcPr>
          <w:p w14:paraId="503E9B92">
            <w:pPr>
              <w:jc w:val="center"/>
              <w:rPr>
                <w:rFonts w:ascii="宋体"/>
                <w:color w:val="auto"/>
                <w:sz w:val="22"/>
                <w:szCs w:val="22"/>
              </w:rPr>
            </w:pPr>
          </w:p>
        </w:tc>
      </w:tr>
    </w:tbl>
    <w:p w14:paraId="77A5338D">
      <w:pPr>
        <w:widowControl/>
        <w:snapToGrid w:val="0"/>
        <w:spacing w:line="460" w:lineRule="exact"/>
        <w:ind w:firstLine="446" w:firstLineChars="200"/>
        <w:jc w:val="left"/>
        <w:rPr>
          <w:rFonts w:ascii="宋体" w:cs="Courier New"/>
          <w:color w:val="auto"/>
          <w:sz w:val="22"/>
          <w:szCs w:val="22"/>
        </w:rPr>
      </w:pPr>
    </w:p>
    <w:p w14:paraId="23111589">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投标供应商（盖章） ：</w:t>
      </w:r>
    </w:p>
    <w:p w14:paraId="4C565590">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法定代表人或其授权代表（签字或盖章）：</w:t>
      </w:r>
    </w:p>
    <w:p w14:paraId="38C1D9DB">
      <w:pPr>
        <w:autoSpaceDE w:val="0"/>
        <w:autoSpaceDN w:val="0"/>
        <w:adjustRightInd w:val="0"/>
        <w:spacing w:line="460" w:lineRule="atLeast"/>
        <w:ind w:firstLine="446" w:firstLineChars="200"/>
        <w:rPr>
          <w:rFonts w:ascii="宋体" w:cs="Courier New"/>
          <w:color w:val="auto"/>
          <w:sz w:val="22"/>
          <w:szCs w:val="22"/>
        </w:rPr>
      </w:pPr>
      <w:r>
        <w:rPr>
          <w:rFonts w:hint="eastAsia" w:ascii="宋体" w:cs="Courier New"/>
          <w:color w:val="auto"/>
          <w:sz w:val="22"/>
          <w:szCs w:val="22"/>
        </w:rPr>
        <w:t>日期：</w:t>
      </w:r>
    </w:p>
    <w:p w14:paraId="0E7B86C4">
      <w:pPr>
        <w:pStyle w:val="18"/>
        <w:ind w:left="428"/>
        <w:rPr>
          <w:rFonts w:ascii="宋体" w:cs="Courier New"/>
          <w:color w:val="auto"/>
          <w:sz w:val="22"/>
          <w:szCs w:val="22"/>
        </w:rPr>
      </w:pPr>
    </w:p>
    <w:p w14:paraId="65200293">
      <w:pPr>
        <w:pStyle w:val="19"/>
        <w:ind w:left="428" w:firstLine="448"/>
        <w:rPr>
          <w:rFonts w:ascii="宋体" w:cs="Courier New"/>
          <w:color w:val="auto"/>
          <w:sz w:val="22"/>
          <w:szCs w:val="22"/>
        </w:rPr>
      </w:pPr>
    </w:p>
    <w:p w14:paraId="080F4A55">
      <w:pPr>
        <w:rPr>
          <w:rFonts w:ascii="宋体" w:cs="Courier New"/>
          <w:color w:val="auto"/>
          <w:sz w:val="22"/>
          <w:szCs w:val="22"/>
        </w:rPr>
      </w:pPr>
    </w:p>
    <w:p w14:paraId="33B0D254">
      <w:pPr>
        <w:pStyle w:val="34"/>
        <w:jc w:val="left"/>
        <w:outlineLvl w:val="2"/>
        <w:rPr>
          <w:rFonts w:ascii="宋体" w:hAnsi="宋体"/>
          <w:color w:val="auto"/>
          <w:sz w:val="28"/>
          <w:szCs w:val="18"/>
        </w:rPr>
      </w:pPr>
      <w:r>
        <w:rPr>
          <w:rFonts w:hint="eastAsia" w:ascii="宋体" w:hAnsi="宋体"/>
          <w:color w:val="auto"/>
          <w:sz w:val="28"/>
          <w:szCs w:val="18"/>
          <w:lang w:val="zh-CN"/>
        </w:rPr>
        <w:br w:type="page"/>
      </w:r>
      <w:r>
        <w:rPr>
          <w:rFonts w:hint="eastAsia" w:ascii="宋体" w:hAnsi="宋体"/>
          <w:color w:val="auto"/>
          <w:sz w:val="28"/>
          <w:szCs w:val="18"/>
          <w:lang w:val="zh-CN"/>
        </w:rPr>
        <w:t>附件十</w:t>
      </w:r>
      <w:r>
        <w:rPr>
          <w:rFonts w:hint="eastAsia" w:ascii="宋体" w:hAnsi="宋体"/>
          <w:color w:val="auto"/>
          <w:sz w:val="28"/>
          <w:szCs w:val="18"/>
        </w:rPr>
        <w:t xml:space="preserve">二  </w:t>
      </w:r>
    </w:p>
    <w:p w14:paraId="6C7E311F">
      <w:pPr>
        <w:snapToGrid w:val="0"/>
        <w:spacing w:line="460" w:lineRule="atLeast"/>
        <w:jc w:val="center"/>
        <w:rPr>
          <w:rFonts w:ascii="宋体" w:hAnsi="宋体"/>
          <w:b/>
          <w:bCs/>
          <w:color w:val="auto"/>
          <w:sz w:val="36"/>
        </w:rPr>
      </w:pPr>
    </w:p>
    <w:p w14:paraId="1FDDBD37">
      <w:pPr>
        <w:snapToGrid w:val="0"/>
        <w:spacing w:line="460" w:lineRule="atLeast"/>
        <w:jc w:val="center"/>
        <w:rPr>
          <w:rFonts w:ascii="宋体" w:hAnsi="宋体"/>
          <w:b/>
          <w:bCs/>
          <w:color w:val="auto"/>
          <w:sz w:val="36"/>
        </w:rPr>
      </w:pPr>
      <w:r>
        <w:rPr>
          <w:rFonts w:ascii="宋体" w:hAnsi="宋体"/>
          <w:b/>
          <w:bCs/>
          <w:color w:val="auto"/>
          <w:sz w:val="36"/>
        </w:rPr>
        <w:t>项目负责人资格情况表</w:t>
      </w:r>
    </w:p>
    <w:p w14:paraId="074D019C">
      <w:pPr>
        <w:autoSpaceDE w:val="0"/>
        <w:autoSpaceDN w:val="0"/>
        <w:adjustRightInd w:val="0"/>
        <w:spacing w:line="360" w:lineRule="exact"/>
        <w:rPr>
          <w:rFonts w:ascii="宋体" w:hAnsi="宋体" w:cs="宋体"/>
          <w:color w:val="auto"/>
          <w:sz w:val="32"/>
          <w:lang w:val="zh-CN"/>
        </w:rPr>
      </w:pPr>
      <w:r>
        <w:rPr>
          <w:rFonts w:hint="eastAsia" w:ascii="宋体"/>
          <w:color w:val="auto"/>
          <w:sz w:val="22"/>
          <w:szCs w:val="22"/>
        </w:rPr>
        <w:t>项目名称：                                       项目编号：</w:t>
      </w:r>
    </w:p>
    <w:tbl>
      <w:tblPr>
        <w:tblStyle w:val="36"/>
        <w:tblW w:w="9060" w:type="dxa"/>
        <w:tblInd w:w="108" w:type="dxa"/>
        <w:tblLayout w:type="fixed"/>
        <w:tblCellMar>
          <w:top w:w="0" w:type="dxa"/>
          <w:left w:w="108" w:type="dxa"/>
          <w:bottom w:w="0" w:type="dxa"/>
          <w:right w:w="108" w:type="dxa"/>
        </w:tblCellMar>
      </w:tblPr>
      <w:tblGrid>
        <w:gridCol w:w="916"/>
        <w:gridCol w:w="704"/>
        <w:gridCol w:w="108"/>
        <w:gridCol w:w="932"/>
        <w:gridCol w:w="508"/>
        <w:gridCol w:w="360"/>
        <w:gridCol w:w="900"/>
        <w:gridCol w:w="392"/>
        <w:gridCol w:w="680"/>
        <w:gridCol w:w="188"/>
        <w:gridCol w:w="1800"/>
        <w:gridCol w:w="1572"/>
      </w:tblGrid>
      <w:tr w14:paraId="4F2733A9">
        <w:tblPrEx>
          <w:tblCellMar>
            <w:top w:w="0" w:type="dxa"/>
            <w:left w:w="108" w:type="dxa"/>
            <w:bottom w:w="0" w:type="dxa"/>
            <w:right w:w="108" w:type="dxa"/>
          </w:tblCellMar>
        </w:tblPrEx>
        <w:trPr>
          <w:trHeight w:val="595" w:hRule="exact"/>
        </w:trPr>
        <w:tc>
          <w:tcPr>
            <w:tcW w:w="916" w:type="dxa"/>
            <w:tcBorders>
              <w:top w:val="single" w:color="000000" w:sz="6" w:space="0"/>
              <w:left w:val="single" w:color="000000" w:sz="6" w:space="0"/>
              <w:bottom w:val="single" w:color="000000" w:sz="4" w:space="0"/>
              <w:right w:val="single" w:color="000000" w:sz="4" w:space="0"/>
            </w:tcBorders>
            <w:noWrap w:val="0"/>
            <w:tcMar>
              <w:top w:w="0" w:type="dxa"/>
              <w:left w:w="108" w:type="dxa"/>
              <w:bottom w:w="0" w:type="dxa"/>
              <w:right w:w="108" w:type="dxa"/>
            </w:tcMar>
            <w:vAlign w:val="top"/>
          </w:tcPr>
          <w:p w14:paraId="091C9B3A">
            <w:pPr>
              <w:snapToGrid w:val="0"/>
              <w:spacing w:line="460" w:lineRule="atLeast"/>
              <w:rPr>
                <w:rFonts w:ascii="宋体" w:hAnsi="宋体"/>
                <w:color w:val="auto"/>
                <w:sz w:val="22"/>
              </w:rPr>
            </w:pPr>
            <w:r>
              <w:rPr>
                <w:rFonts w:ascii="宋体" w:hAnsi="宋体"/>
                <w:color w:val="auto"/>
                <w:sz w:val="22"/>
              </w:rPr>
              <w:t>姓名</w:t>
            </w:r>
          </w:p>
        </w:tc>
        <w:tc>
          <w:tcPr>
            <w:tcW w:w="1744" w:type="dxa"/>
            <w:gridSpan w:val="3"/>
            <w:tcBorders>
              <w:top w:val="single" w:color="000000" w:sz="6"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678AA84">
            <w:pPr>
              <w:snapToGrid w:val="0"/>
              <w:spacing w:line="460" w:lineRule="atLeast"/>
              <w:ind w:firstLine="480"/>
              <w:rPr>
                <w:rFonts w:ascii="宋体" w:hAnsi="宋体"/>
                <w:color w:val="auto"/>
                <w:sz w:val="22"/>
              </w:rPr>
            </w:pPr>
          </w:p>
        </w:tc>
        <w:tc>
          <w:tcPr>
            <w:tcW w:w="868" w:type="dxa"/>
            <w:gridSpan w:val="2"/>
            <w:tcBorders>
              <w:top w:val="single" w:color="000000" w:sz="6"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2DC4BEB">
            <w:pPr>
              <w:snapToGrid w:val="0"/>
              <w:spacing w:line="460" w:lineRule="atLeast"/>
              <w:rPr>
                <w:rFonts w:ascii="宋体" w:hAnsi="宋体"/>
                <w:color w:val="auto"/>
                <w:sz w:val="22"/>
              </w:rPr>
            </w:pPr>
            <w:r>
              <w:rPr>
                <w:rFonts w:ascii="宋体" w:hAnsi="宋体"/>
                <w:color w:val="auto"/>
                <w:sz w:val="22"/>
              </w:rPr>
              <w:t>性别</w:t>
            </w:r>
          </w:p>
        </w:tc>
        <w:tc>
          <w:tcPr>
            <w:tcW w:w="1972" w:type="dxa"/>
            <w:gridSpan w:val="3"/>
            <w:tcBorders>
              <w:top w:val="single" w:color="000000" w:sz="6"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21D4AF1">
            <w:pPr>
              <w:snapToGrid w:val="0"/>
              <w:spacing w:line="460" w:lineRule="atLeast"/>
              <w:ind w:firstLine="480"/>
              <w:rPr>
                <w:rFonts w:ascii="宋体" w:hAnsi="宋体"/>
                <w:color w:val="auto"/>
                <w:sz w:val="22"/>
              </w:rPr>
            </w:pPr>
          </w:p>
        </w:tc>
        <w:tc>
          <w:tcPr>
            <w:tcW w:w="1988" w:type="dxa"/>
            <w:gridSpan w:val="2"/>
            <w:tcBorders>
              <w:top w:val="single" w:color="000000" w:sz="6"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5CAB12D">
            <w:pPr>
              <w:snapToGrid w:val="0"/>
              <w:spacing w:line="460" w:lineRule="atLeast"/>
              <w:ind w:firstLine="480"/>
              <w:rPr>
                <w:rFonts w:ascii="宋体" w:hAnsi="宋体"/>
                <w:color w:val="auto"/>
                <w:sz w:val="22"/>
              </w:rPr>
            </w:pPr>
            <w:r>
              <w:rPr>
                <w:rFonts w:ascii="宋体" w:hAnsi="宋体"/>
                <w:color w:val="auto"/>
                <w:sz w:val="22"/>
              </w:rPr>
              <w:t>年龄</w:t>
            </w:r>
          </w:p>
        </w:tc>
        <w:tc>
          <w:tcPr>
            <w:tcW w:w="1572" w:type="dxa"/>
            <w:tcBorders>
              <w:top w:val="single" w:color="000000" w:sz="6" w:space="0"/>
              <w:left w:val="single" w:color="000000" w:sz="4" w:space="0"/>
              <w:bottom w:val="single" w:color="000000" w:sz="4" w:space="0"/>
              <w:right w:val="single" w:color="000000" w:sz="6" w:space="0"/>
            </w:tcBorders>
            <w:noWrap w:val="0"/>
            <w:tcMar>
              <w:top w:w="0" w:type="dxa"/>
              <w:left w:w="108" w:type="dxa"/>
              <w:bottom w:w="0" w:type="dxa"/>
              <w:right w:w="108" w:type="dxa"/>
            </w:tcMar>
            <w:vAlign w:val="top"/>
          </w:tcPr>
          <w:p w14:paraId="73AACDE0">
            <w:pPr>
              <w:snapToGrid w:val="0"/>
              <w:spacing w:line="460" w:lineRule="atLeast"/>
              <w:ind w:firstLine="480"/>
              <w:rPr>
                <w:rFonts w:ascii="宋体" w:hAnsi="宋体"/>
                <w:color w:val="auto"/>
                <w:sz w:val="22"/>
              </w:rPr>
            </w:pPr>
          </w:p>
        </w:tc>
      </w:tr>
      <w:tr w14:paraId="7134B37C">
        <w:tblPrEx>
          <w:tblCellMar>
            <w:top w:w="0" w:type="dxa"/>
            <w:left w:w="108" w:type="dxa"/>
            <w:bottom w:w="0" w:type="dxa"/>
            <w:right w:w="108" w:type="dxa"/>
          </w:tblCellMar>
        </w:tblPrEx>
        <w:trPr>
          <w:trHeight w:val="595" w:hRule="exact"/>
        </w:trPr>
        <w:tc>
          <w:tcPr>
            <w:tcW w:w="916" w:type="dxa"/>
            <w:tcBorders>
              <w:top w:val="single" w:color="000000" w:sz="4" w:space="0"/>
              <w:left w:val="single" w:color="000000" w:sz="6" w:space="0"/>
              <w:bottom w:val="single" w:color="000000" w:sz="4" w:space="0"/>
              <w:right w:val="single" w:color="000000" w:sz="4" w:space="0"/>
            </w:tcBorders>
            <w:noWrap w:val="0"/>
            <w:tcMar>
              <w:top w:w="0" w:type="dxa"/>
              <w:left w:w="108" w:type="dxa"/>
              <w:bottom w:w="0" w:type="dxa"/>
              <w:right w:w="108" w:type="dxa"/>
            </w:tcMar>
            <w:vAlign w:val="top"/>
          </w:tcPr>
          <w:p w14:paraId="6F7DD6F5">
            <w:pPr>
              <w:snapToGrid w:val="0"/>
              <w:spacing w:line="460" w:lineRule="atLeast"/>
              <w:rPr>
                <w:rFonts w:ascii="宋体" w:hAnsi="宋体"/>
                <w:color w:val="auto"/>
                <w:sz w:val="22"/>
              </w:rPr>
            </w:pPr>
            <w:r>
              <w:rPr>
                <w:rFonts w:ascii="宋体" w:hAnsi="宋体"/>
                <w:color w:val="auto"/>
                <w:sz w:val="22"/>
              </w:rPr>
              <w:t>职务</w:t>
            </w:r>
          </w:p>
        </w:tc>
        <w:tc>
          <w:tcPr>
            <w:tcW w:w="1744"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E6603DB">
            <w:pPr>
              <w:snapToGrid w:val="0"/>
              <w:spacing w:line="460" w:lineRule="atLeast"/>
              <w:ind w:firstLine="480"/>
              <w:rPr>
                <w:rFonts w:ascii="宋体" w:hAnsi="宋体"/>
                <w:color w:val="auto"/>
                <w:sz w:val="22"/>
              </w:rPr>
            </w:pPr>
          </w:p>
        </w:tc>
        <w:tc>
          <w:tcPr>
            <w:tcW w:w="868"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09DB250">
            <w:pPr>
              <w:snapToGrid w:val="0"/>
              <w:spacing w:line="460" w:lineRule="atLeast"/>
              <w:rPr>
                <w:rFonts w:ascii="宋体" w:hAnsi="宋体"/>
                <w:color w:val="auto"/>
                <w:sz w:val="22"/>
              </w:rPr>
            </w:pPr>
            <w:r>
              <w:rPr>
                <w:rFonts w:ascii="宋体" w:hAnsi="宋体"/>
                <w:color w:val="auto"/>
                <w:sz w:val="22"/>
              </w:rPr>
              <w:t>职称</w:t>
            </w:r>
          </w:p>
        </w:tc>
        <w:tc>
          <w:tcPr>
            <w:tcW w:w="1972"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AD7AA33">
            <w:pPr>
              <w:snapToGrid w:val="0"/>
              <w:spacing w:line="460" w:lineRule="atLeast"/>
              <w:ind w:firstLine="480"/>
              <w:rPr>
                <w:rFonts w:ascii="宋体" w:hAnsi="宋体"/>
                <w:color w:val="auto"/>
                <w:sz w:val="22"/>
              </w:rPr>
            </w:pPr>
          </w:p>
        </w:tc>
        <w:tc>
          <w:tcPr>
            <w:tcW w:w="1988"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071BCEB">
            <w:pPr>
              <w:snapToGrid w:val="0"/>
              <w:spacing w:line="460" w:lineRule="atLeast"/>
              <w:ind w:firstLine="480"/>
              <w:rPr>
                <w:rFonts w:ascii="宋体" w:hAnsi="宋体"/>
                <w:color w:val="auto"/>
                <w:sz w:val="22"/>
              </w:rPr>
            </w:pPr>
            <w:r>
              <w:rPr>
                <w:rFonts w:ascii="宋体" w:hAnsi="宋体"/>
                <w:color w:val="auto"/>
                <w:sz w:val="22"/>
              </w:rPr>
              <w:t>学历</w:t>
            </w:r>
          </w:p>
        </w:tc>
        <w:tc>
          <w:tcPr>
            <w:tcW w:w="1572" w:type="dxa"/>
            <w:tcBorders>
              <w:top w:val="single" w:color="000000" w:sz="4" w:space="0"/>
              <w:left w:val="single" w:color="000000" w:sz="4" w:space="0"/>
              <w:bottom w:val="single" w:color="000000" w:sz="4" w:space="0"/>
              <w:right w:val="single" w:color="000000" w:sz="6" w:space="0"/>
            </w:tcBorders>
            <w:noWrap w:val="0"/>
            <w:tcMar>
              <w:top w:w="0" w:type="dxa"/>
              <w:left w:w="108" w:type="dxa"/>
              <w:bottom w:w="0" w:type="dxa"/>
              <w:right w:w="108" w:type="dxa"/>
            </w:tcMar>
            <w:vAlign w:val="top"/>
          </w:tcPr>
          <w:p w14:paraId="3523DF50">
            <w:pPr>
              <w:snapToGrid w:val="0"/>
              <w:spacing w:line="460" w:lineRule="atLeast"/>
              <w:ind w:firstLine="480"/>
              <w:rPr>
                <w:rFonts w:ascii="宋体" w:hAnsi="宋体"/>
                <w:color w:val="auto"/>
                <w:sz w:val="22"/>
              </w:rPr>
            </w:pPr>
          </w:p>
        </w:tc>
      </w:tr>
      <w:tr w14:paraId="3DCF2D9D">
        <w:tblPrEx>
          <w:tblCellMar>
            <w:top w:w="0" w:type="dxa"/>
            <w:left w:w="108" w:type="dxa"/>
            <w:bottom w:w="0" w:type="dxa"/>
            <w:right w:w="108" w:type="dxa"/>
          </w:tblCellMar>
        </w:tblPrEx>
        <w:trPr>
          <w:trHeight w:val="595" w:hRule="exact"/>
        </w:trPr>
        <w:tc>
          <w:tcPr>
            <w:tcW w:w="1728" w:type="dxa"/>
            <w:gridSpan w:val="3"/>
            <w:tcBorders>
              <w:top w:val="single" w:color="000000" w:sz="4" w:space="0"/>
              <w:left w:val="single" w:color="000000" w:sz="6" w:space="0"/>
              <w:bottom w:val="single" w:color="000000" w:sz="4" w:space="0"/>
              <w:right w:val="single" w:color="000000" w:sz="4" w:space="0"/>
            </w:tcBorders>
            <w:noWrap w:val="0"/>
            <w:tcMar>
              <w:top w:w="0" w:type="dxa"/>
              <w:left w:w="108" w:type="dxa"/>
              <w:bottom w:w="0" w:type="dxa"/>
              <w:right w:w="108" w:type="dxa"/>
            </w:tcMar>
            <w:vAlign w:val="top"/>
          </w:tcPr>
          <w:p w14:paraId="320A2432">
            <w:pPr>
              <w:snapToGrid w:val="0"/>
              <w:spacing w:line="460" w:lineRule="atLeast"/>
              <w:rPr>
                <w:rFonts w:ascii="宋体" w:hAnsi="宋体"/>
                <w:color w:val="auto"/>
                <w:sz w:val="22"/>
              </w:rPr>
            </w:pPr>
            <w:r>
              <w:rPr>
                <w:rFonts w:ascii="宋体" w:hAnsi="宋体"/>
                <w:color w:val="auto"/>
                <w:sz w:val="22"/>
              </w:rPr>
              <w:t>参加工作时间</w:t>
            </w:r>
          </w:p>
        </w:tc>
        <w:tc>
          <w:tcPr>
            <w:tcW w:w="3092" w:type="dxa"/>
            <w:gridSpan w:val="5"/>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7C0D79E">
            <w:pPr>
              <w:snapToGrid w:val="0"/>
              <w:spacing w:line="460" w:lineRule="atLeast"/>
              <w:ind w:firstLine="480"/>
              <w:rPr>
                <w:rFonts w:ascii="宋体" w:hAnsi="宋体"/>
                <w:color w:val="auto"/>
                <w:sz w:val="22"/>
              </w:rPr>
            </w:pPr>
          </w:p>
        </w:tc>
        <w:tc>
          <w:tcPr>
            <w:tcW w:w="2668"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7A71E93">
            <w:pPr>
              <w:snapToGrid w:val="0"/>
              <w:spacing w:line="460" w:lineRule="atLeast"/>
              <w:rPr>
                <w:rFonts w:ascii="宋体" w:hAnsi="宋体"/>
                <w:color w:val="auto"/>
                <w:sz w:val="22"/>
              </w:rPr>
            </w:pPr>
            <w:r>
              <w:rPr>
                <w:rFonts w:ascii="宋体" w:hAnsi="宋体"/>
                <w:color w:val="auto"/>
                <w:sz w:val="22"/>
              </w:rPr>
              <w:t>担任技术负责人年限</w:t>
            </w:r>
          </w:p>
        </w:tc>
        <w:tc>
          <w:tcPr>
            <w:tcW w:w="1572" w:type="dxa"/>
            <w:tcBorders>
              <w:top w:val="single" w:color="000000" w:sz="4" w:space="0"/>
              <w:left w:val="single" w:color="000000" w:sz="4" w:space="0"/>
              <w:bottom w:val="single" w:color="000000" w:sz="4" w:space="0"/>
              <w:right w:val="single" w:color="000000" w:sz="6" w:space="0"/>
            </w:tcBorders>
            <w:noWrap w:val="0"/>
            <w:tcMar>
              <w:top w:w="0" w:type="dxa"/>
              <w:left w:w="108" w:type="dxa"/>
              <w:bottom w:w="0" w:type="dxa"/>
              <w:right w:w="108" w:type="dxa"/>
            </w:tcMar>
            <w:vAlign w:val="top"/>
          </w:tcPr>
          <w:p w14:paraId="6833AC3E">
            <w:pPr>
              <w:snapToGrid w:val="0"/>
              <w:spacing w:line="460" w:lineRule="atLeast"/>
              <w:ind w:firstLine="480"/>
              <w:rPr>
                <w:rFonts w:ascii="宋体" w:hAnsi="宋体"/>
                <w:color w:val="auto"/>
                <w:sz w:val="22"/>
              </w:rPr>
            </w:pPr>
          </w:p>
        </w:tc>
      </w:tr>
      <w:tr w14:paraId="7F33EBF8">
        <w:tblPrEx>
          <w:tblCellMar>
            <w:top w:w="0" w:type="dxa"/>
            <w:left w:w="0" w:type="dxa"/>
            <w:bottom w:w="0" w:type="dxa"/>
            <w:right w:w="0" w:type="dxa"/>
          </w:tblCellMar>
        </w:tblPrEx>
        <w:trPr>
          <w:trHeight w:val="595" w:hRule="exact"/>
        </w:trPr>
        <w:tc>
          <w:tcPr>
            <w:tcW w:w="9060" w:type="dxa"/>
            <w:gridSpan w:val="12"/>
            <w:tcBorders>
              <w:top w:val="single" w:color="000000" w:sz="4" w:space="0"/>
              <w:left w:val="single" w:color="000000" w:sz="6" w:space="0"/>
              <w:bottom w:val="single" w:color="000000" w:sz="4" w:space="0"/>
              <w:right w:val="single" w:color="000000" w:sz="6" w:space="0"/>
            </w:tcBorders>
            <w:noWrap w:val="0"/>
            <w:tcMar>
              <w:top w:w="0" w:type="dxa"/>
              <w:left w:w="108" w:type="dxa"/>
              <w:bottom w:w="0" w:type="dxa"/>
              <w:right w:w="108" w:type="dxa"/>
            </w:tcMar>
            <w:vAlign w:val="top"/>
          </w:tcPr>
          <w:p w14:paraId="4EFB1833">
            <w:pPr>
              <w:snapToGrid w:val="0"/>
              <w:spacing w:line="460" w:lineRule="atLeast"/>
              <w:rPr>
                <w:rFonts w:ascii="宋体" w:hAnsi="宋体"/>
                <w:color w:val="auto"/>
                <w:sz w:val="22"/>
              </w:rPr>
            </w:pPr>
            <w:r>
              <w:rPr>
                <w:rFonts w:hint="eastAsia" w:ascii="宋体" w:hAnsi="宋体"/>
                <w:color w:val="auto"/>
                <w:sz w:val="22"/>
              </w:rPr>
              <w:t>承担规划</w:t>
            </w:r>
            <w:r>
              <w:rPr>
                <w:rFonts w:ascii="宋体" w:hAnsi="宋体"/>
                <w:color w:val="auto"/>
                <w:sz w:val="22"/>
              </w:rPr>
              <w:t>项目情况</w:t>
            </w:r>
          </w:p>
        </w:tc>
      </w:tr>
      <w:tr w14:paraId="361A18CC">
        <w:tblPrEx>
          <w:tblCellMar>
            <w:top w:w="0" w:type="dxa"/>
            <w:left w:w="108" w:type="dxa"/>
            <w:bottom w:w="0" w:type="dxa"/>
            <w:right w:w="108" w:type="dxa"/>
          </w:tblCellMar>
        </w:tblPrEx>
        <w:trPr>
          <w:trHeight w:val="863" w:hRule="atLeast"/>
        </w:trPr>
        <w:tc>
          <w:tcPr>
            <w:tcW w:w="1620" w:type="dxa"/>
            <w:gridSpan w:val="2"/>
            <w:tcBorders>
              <w:top w:val="single" w:color="000000" w:sz="4" w:space="0"/>
              <w:left w:val="single" w:color="000000" w:sz="6" w:space="0"/>
              <w:bottom w:val="single" w:color="000000" w:sz="4" w:space="0"/>
              <w:right w:val="single" w:color="000000" w:sz="4" w:space="0"/>
            </w:tcBorders>
            <w:noWrap w:val="0"/>
            <w:tcMar>
              <w:top w:w="0" w:type="dxa"/>
              <w:left w:w="108" w:type="dxa"/>
              <w:bottom w:w="0" w:type="dxa"/>
              <w:right w:w="108" w:type="dxa"/>
            </w:tcMar>
            <w:vAlign w:val="center"/>
          </w:tcPr>
          <w:p w14:paraId="28956E01">
            <w:pPr>
              <w:snapToGrid w:val="0"/>
              <w:spacing w:line="460" w:lineRule="atLeast"/>
              <w:rPr>
                <w:rFonts w:ascii="宋体" w:hAnsi="宋体"/>
                <w:color w:val="auto"/>
                <w:sz w:val="22"/>
              </w:rPr>
            </w:pPr>
            <w:r>
              <w:rPr>
                <w:rFonts w:ascii="宋体" w:hAnsi="宋体"/>
                <w:color w:val="auto"/>
                <w:sz w:val="22"/>
              </w:rPr>
              <w:t>建设单位</w:t>
            </w:r>
          </w:p>
        </w:tc>
        <w:tc>
          <w:tcPr>
            <w:tcW w:w="1548"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1A1C1D">
            <w:pPr>
              <w:snapToGrid w:val="0"/>
              <w:spacing w:line="460" w:lineRule="atLeast"/>
              <w:rPr>
                <w:rFonts w:ascii="宋体" w:hAnsi="宋体"/>
                <w:color w:val="auto"/>
                <w:sz w:val="22"/>
              </w:rPr>
            </w:pPr>
            <w:r>
              <w:rPr>
                <w:rFonts w:ascii="宋体" w:hAnsi="宋体"/>
                <w:color w:val="auto"/>
                <w:sz w:val="22"/>
              </w:rPr>
              <w:t>项目名称</w:t>
            </w:r>
          </w:p>
        </w:tc>
        <w:tc>
          <w:tcPr>
            <w:tcW w:w="126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2CB0CE">
            <w:pPr>
              <w:snapToGrid w:val="0"/>
              <w:spacing w:line="460" w:lineRule="atLeast"/>
              <w:rPr>
                <w:rFonts w:ascii="宋体" w:hAnsi="宋体"/>
                <w:color w:val="auto"/>
                <w:sz w:val="22"/>
              </w:rPr>
            </w:pPr>
            <w:r>
              <w:rPr>
                <w:rFonts w:hint="eastAsia" w:ascii="宋体" w:hAnsi="宋体"/>
                <w:color w:val="auto"/>
                <w:sz w:val="22"/>
              </w:rPr>
              <w:t>项目规划范围</w:t>
            </w:r>
          </w:p>
        </w:tc>
        <w:tc>
          <w:tcPr>
            <w:tcW w:w="126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C5DFD8">
            <w:pPr>
              <w:snapToGrid w:val="0"/>
              <w:spacing w:line="460" w:lineRule="atLeast"/>
              <w:rPr>
                <w:rFonts w:ascii="宋体" w:hAnsi="宋体"/>
                <w:color w:val="auto"/>
                <w:sz w:val="22"/>
              </w:rPr>
            </w:pPr>
            <w:r>
              <w:rPr>
                <w:rFonts w:hint="eastAsia" w:ascii="宋体" w:hAnsi="宋体"/>
                <w:color w:val="auto"/>
                <w:sz w:val="22"/>
              </w:rPr>
              <w:t>项目完成</w:t>
            </w:r>
            <w:r>
              <w:rPr>
                <w:rFonts w:ascii="宋体" w:hAnsi="宋体"/>
                <w:color w:val="auto"/>
                <w:sz w:val="22"/>
              </w:rPr>
              <w:t>日期</w:t>
            </w: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DD9030">
            <w:pPr>
              <w:snapToGrid w:val="0"/>
              <w:spacing w:line="460" w:lineRule="atLeast"/>
              <w:rPr>
                <w:rFonts w:ascii="宋体" w:hAnsi="宋体"/>
                <w:color w:val="auto"/>
                <w:sz w:val="22"/>
              </w:rPr>
            </w:pPr>
            <w:r>
              <w:rPr>
                <w:rFonts w:ascii="宋体" w:hAnsi="宋体"/>
                <w:color w:val="auto"/>
                <w:sz w:val="22"/>
              </w:rPr>
              <w:t>在</w:t>
            </w:r>
            <w:r>
              <w:rPr>
                <w:rFonts w:hint="eastAsia" w:ascii="宋体" w:hAnsi="宋体"/>
                <w:color w:val="auto"/>
                <w:sz w:val="22"/>
              </w:rPr>
              <w:t>规划</w:t>
            </w:r>
            <w:r>
              <w:rPr>
                <w:rFonts w:ascii="宋体" w:hAnsi="宋体"/>
                <w:color w:val="auto"/>
                <w:sz w:val="22"/>
              </w:rPr>
              <w:t>或已完</w:t>
            </w:r>
          </w:p>
        </w:tc>
        <w:tc>
          <w:tcPr>
            <w:tcW w:w="1572" w:type="dxa"/>
            <w:tcBorders>
              <w:top w:val="single" w:color="000000" w:sz="4" w:space="0"/>
              <w:left w:val="single" w:color="000000" w:sz="4" w:space="0"/>
              <w:bottom w:val="single" w:color="000000" w:sz="4" w:space="0"/>
              <w:right w:val="single" w:color="000000" w:sz="6" w:space="0"/>
            </w:tcBorders>
            <w:noWrap w:val="0"/>
            <w:tcMar>
              <w:top w:w="0" w:type="dxa"/>
              <w:left w:w="108" w:type="dxa"/>
              <w:bottom w:w="0" w:type="dxa"/>
              <w:right w:w="108" w:type="dxa"/>
            </w:tcMar>
            <w:vAlign w:val="center"/>
          </w:tcPr>
          <w:p w14:paraId="5536F187">
            <w:pPr>
              <w:snapToGrid w:val="0"/>
              <w:spacing w:line="460" w:lineRule="atLeast"/>
              <w:rPr>
                <w:rFonts w:ascii="宋体" w:hAnsi="宋体"/>
                <w:color w:val="auto"/>
                <w:sz w:val="22"/>
              </w:rPr>
            </w:pPr>
            <w:r>
              <w:rPr>
                <w:rFonts w:ascii="宋体" w:hAnsi="宋体"/>
                <w:color w:val="auto"/>
                <w:sz w:val="22"/>
              </w:rPr>
              <w:t>工程质量</w:t>
            </w:r>
          </w:p>
        </w:tc>
      </w:tr>
      <w:tr w14:paraId="68DAB0D6">
        <w:tblPrEx>
          <w:tblCellMar>
            <w:top w:w="0" w:type="dxa"/>
            <w:left w:w="108" w:type="dxa"/>
            <w:bottom w:w="0" w:type="dxa"/>
            <w:right w:w="108" w:type="dxa"/>
          </w:tblCellMar>
        </w:tblPrEx>
        <w:trPr>
          <w:trHeight w:val="595" w:hRule="exact"/>
        </w:trPr>
        <w:tc>
          <w:tcPr>
            <w:tcW w:w="1620" w:type="dxa"/>
            <w:gridSpan w:val="2"/>
            <w:tcBorders>
              <w:top w:val="single" w:color="000000" w:sz="4" w:space="0"/>
              <w:left w:val="single" w:color="000000" w:sz="6" w:space="0"/>
              <w:bottom w:val="single" w:color="000000" w:sz="4" w:space="0"/>
              <w:right w:val="single" w:color="000000" w:sz="4" w:space="0"/>
            </w:tcBorders>
            <w:noWrap w:val="0"/>
            <w:tcMar>
              <w:top w:w="0" w:type="dxa"/>
              <w:left w:w="108" w:type="dxa"/>
              <w:bottom w:w="0" w:type="dxa"/>
              <w:right w:w="108" w:type="dxa"/>
            </w:tcMar>
            <w:vAlign w:val="top"/>
          </w:tcPr>
          <w:p w14:paraId="3755DD72">
            <w:pPr>
              <w:snapToGrid w:val="0"/>
              <w:spacing w:line="460" w:lineRule="atLeast"/>
              <w:ind w:firstLine="480"/>
              <w:rPr>
                <w:rFonts w:ascii="宋体" w:hAnsi="宋体"/>
                <w:color w:val="auto"/>
                <w:sz w:val="22"/>
              </w:rPr>
            </w:pPr>
          </w:p>
        </w:tc>
        <w:tc>
          <w:tcPr>
            <w:tcW w:w="1548"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8713404">
            <w:pPr>
              <w:snapToGrid w:val="0"/>
              <w:spacing w:line="460" w:lineRule="atLeast"/>
              <w:ind w:firstLine="480"/>
              <w:rPr>
                <w:rFonts w:ascii="宋体" w:hAnsi="宋体"/>
                <w:color w:val="auto"/>
                <w:sz w:val="22"/>
              </w:rPr>
            </w:pPr>
          </w:p>
        </w:tc>
        <w:tc>
          <w:tcPr>
            <w:tcW w:w="126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83289D1">
            <w:pPr>
              <w:snapToGrid w:val="0"/>
              <w:spacing w:line="460" w:lineRule="atLeast"/>
              <w:ind w:firstLine="480"/>
              <w:rPr>
                <w:rFonts w:ascii="宋体" w:hAnsi="宋体"/>
                <w:color w:val="auto"/>
                <w:sz w:val="22"/>
              </w:rPr>
            </w:pPr>
          </w:p>
        </w:tc>
        <w:tc>
          <w:tcPr>
            <w:tcW w:w="126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A6CC36A">
            <w:pPr>
              <w:snapToGrid w:val="0"/>
              <w:spacing w:line="460" w:lineRule="atLeast"/>
              <w:ind w:firstLine="480"/>
              <w:rPr>
                <w:rFonts w:ascii="宋体" w:hAnsi="宋体"/>
                <w:color w:val="auto"/>
                <w:sz w:val="22"/>
              </w:rPr>
            </w:pP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3019031">
            <w:pPr>
              <w:snapToGrid w:val="0"/>
              <w:spacing w:line="460" w:lineRule="atLeast"/>
              <w:ind w:firstLine="480"/>
              <w:rPr>
                <w:rFonts w:ascii="宋体" w:hAnsi="宋体"/>
                <w:color w:val="auto"/>
                <w:sz w:val="22"/>
              </w:rPr>
            </w:pPr>
          </w:p>
        </w:tc>
        <w:tc>
          <w:tcPr>
            <w:tcW w:w="1572" w:type="dxa"/>
            <w:tcBorders>
              <w:top w:val="single" w:color="000000" w:sz="4" w:space="0"/>
              <w:left w:val="single" w:color="000000" w:sz="4" w:space="0"/>
              <w:bottom w:val="single" w:color="000000" w:sz="4" w:space="0"/>
              <w:right w:val="single" w:color="000000" w:sz="6" w:space="0"/>
            </w:tcBorders>
            <w:noWrap w:val="0"/>
            <w:tcMar>
              <w:top w:w="0" w:type="dxa"/>
              <w:left w:w="108" w:type="dxa"/>
              <w:bottom w:w="0" w:type="dxa"/>
              <w:right w:w="108" w:type="dxa"/>
            </w:tcMar>
            <w:vAlign w:val="top"/>
          </w:tcPr>
          <w:p w14:paraId="4162DC73">
            <w:pPr>
              <w:snapToGrid w:val="0"/>
              <w:spacing w:line="460" w:lineRule="atLeast"/>
              <w:ind w:firstLine="480"/>
              <w:rPr>
                <w:rFonts w:ascii="宋体" w:hAnsi="宋体"/>
                <w:color w:val="auto"/>
                <w:sz w:val="22"/>
              </w:rPr>
            </w:pPr>
          </w:p>
        </w:tc>
      </w:tr>
      <w:tr w14:paraId="28806CF4">
        <w:tblPrEx>
          <w:tblCellMar>
            <w:top w:w="0" w:type="dxa"/>
            <w:left w:w="108" w:type="dxa"/>
            <w:bottom w:w="0" w:type="dxa"/>
            <w:right w:w="108" w:type="dxa"/>
          </w:tblCellMar>
        </w:tblPrEx>
        <w:trPr>
          <w:trHeight w:val="595" w:hRule="exact"/>
        </w:trPr>
        <w:tc>
          <w:tcPr>
            <w:tcW w:w="1620" w:type="dxa"/>
            <w:gridSpan w:val="2"/>
            <w:tcBorders>
              <w:top w:val="single" w:color="000000" w:sz="4" w:space="0"/>
              <w:left w:val="single" w:color="000000" w:sz="6" w:space="0"/>
              <w:bottom w:val="single" w:color="000000" w:sz="4" w:space="0"/>
              <w:right w:val="single" w:color="000000" w:sz="4" w:space="0"/>
            </w:tcBorders>
            <w:noWrap w:val="0"/>
            <w:tcMar>
              <w:top w:w="0" w:type="dxa"/>
              <w:left w:w="108" w:type="dxa"/>
              <w:bottom w:w="0" w:type="dxa"/>
              <w:right w:w="108" w:type="dxa"/>
            </w:tcMar>
            <w:vAlign w:val="top"/>
          </w:tcPr>
          <w:p w14:paraId="6EDD165F">
            <w:pPr>
              <w:snapToGrid w:val="0"/>
              <w:spacing w:line="460" w:lineRule="atLeast"/>
              <w:ind w:firstLine="480"/>
              <w:rPr>
                <w:rFonts w:ascii="宋体" w:hAnsi="宋体"/>
                <w:color w:val="auto"/>
                <w:sz w:val="22"/>
              </w:rPr>
            </w:pPr>
          </w:p>
        </w:tc>
        <w:tc>
          <w:tcPr>
            <w:tcW w:w="1548"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30CA665">
            <w:pPr>
              <w:snapToGrid w:val="0"/>
              <w:spacing w:line="460" w:lineRule="atLeast"/>
              <w:ind w:firstLine="480"/>
              <w:rPr>
                <w:rFonts w:ascii="宋体" w:hAnsi="宋体"/>
                <w:color w:val="auto"/>
                <w:sz w:val="22"/>
              </w:rPr>
            </w:pPr>
          </w:p>
        </w:tc>
        <w:tc>
          <w:tcPr>
            <w:tcW w:w="126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A024EC2">
            <w:pPr>
              <w:snapToGrid w:val="0"/>
              <w:spacing w:line="460" w:lineRule="atLeast"/>
              <w:ind w:firstLine="480"/>
              <w:rPr>
                <w:rFonts w:ascii="宋体" w:hAnsi="宋体"/>
                <w:color w:val="auto"/>
                <w:sz w:val="22"/>
              </w:rPr>
            </w:pPr>
          </w:p>
        </w:tc>
        <w:tc>
          <w:tcPr>
            <w:tcW w:w="126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915C503">
            <w:pPr>
              <w:snapToGrid w:val="0"/>
              <w:spacing w:line="460" w:lineRule="atLeast"/>
              <w:ind w:firstLine="480"/>
              <w:rPr>
                <w:rFonts w:ascii="宋体" w:hAnsi="宋体"/>
                <w:color w:val="auto"/>
                <w:sz w:val="22"/>
              </w:rPr>
            </w:pP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62148BF">
            <w:pPr>
              <w:snapToGrid w:val="0"/>
              <w:spacing w:line="460" w:lineRule="atLeast"/>
              <w:ind w:firstLine="480"/>
              <w:rPr>
                <w:rFonts w:ascii="宋体" w:hAnsi="宋体"/>
                <w:color w:val="auto"/>
                <w:sz w:val="22"/>
              </w:rPr>
            </w:pPr>
          </w:p>
        </w:tc>
        <w:tc>
          <w:tcPr>
            <w:tcW w:w="1572" w:type="dxa"/>
            <w:tcBorders>
              <w:top w:val="single" w:color="000000" w:sz="4" w:space="0"/>
              <w:left w:val="single" w:color="000000" w:sz="4" w:space="0"/>
              <w:bottom w:val="single" w:color="000000" w:sz="4" w:space="0"/>
              <w:right w:val="single" w:color="000000" w:sz="6" w:space="0"/>
            </w:tcBorders>
            <w:noWrap w:val="0"/>
            <w:tcMar>
              <w:top w:w="0" w:type="dxa"/>
              <w:left w:w="108" w:type="dxa"/>
              <w:bottom w:w="0" w:type="dxa"/>
              <w:right w:w="108" w:type="dxa"/>
            </w:tcMar>
            <w:vAlign w:val="top"/>
          </w:tcPr>
          <w:p w14:paraId="0B8E9E9C">
            <w:pPr>
              <w:snapToGrid w:val="0"/>
              <w:spacing w:line="460" w:lineRule="atLeast"/>
              <w:ind w:firstLine="480"/>
              <w:rPr>
                <w:rFonts w:ascii="宋体" w:hAnsi="宋体"/>
                <w:color w:val="auto"/>
                <w:sz w:val="22"/>
              </w:rPr>
            </w:pPr>
          </w:p>
        </w:tc>
      </w:tr>
      <w:tr w14:paraId="27D74B9C">
        <w:tblPrEx>
          <w:tblCellMar>
            <w:top w:w="0" w:type="dxa"/>
            <w:left w:w="108" w:type="dxa"/>
            <w:bottom w:w="0" w:type="dxa"/>
            <w:right w:w="108" w:type="dxa"/>
          </w:tblCellMar>
        </w:tblPrEx>
        <w:trPr>
          <w:trHeight w:val="595" w:hRule="exact"/>
        </w:trPr>
        <w:tc>
          <w:tcPr>
            <w:tcW w:w="1620" w:type="dxa"/>
            <w:gridSpan w:val="2"/>
            <w:tcBorders>
              <w:top w:val="single" w:color="000000" w:sz="4" w:space="0"/>
              <w:left w:val="single" w:color="000000" w:sz="6" w:space="0"/>
              <w:bottom w:val="single" w:color="000000" w:sz="4" w:space="0"/>
              <w:right w:val="single" w:color="000000" w:sz="4" w:space="0"/>
            </w:tcBorders>
            <w:noWrap w:val="0"/>
            <w:tcMar>
              <w:top w:w="0" w:type="dxa"/>
              <w:left w:w="108" w:type="dxa"/>
              <w:bottom w:w="0" w:type="dxa"/>
              <w:right w:w="108" w:type="dxa"/>
            </w:tcMar>
            <w:vAlign w:val="top"/>
          </w:tcPr>
          <w:p w14:paraId="3BEC22C1">
            <w:pPr>
              <w:snapToGrid w:val="0"/>
              <w:spacing w:line="460" w:lineRule="atLeast"/>
              <w:ind w:firstLine="480"/>
              <w:rPr>
                <w:rFonts w:ascii="宋体" w:hAnsi="宋体"/>
                <w:color w:val="auto"/>
                <w:sz w:val="22"/>
              </w:rPr>
            </w:pPr>
          </w:p>
        </w:tc>
        <w:tc>
          <w:tcPr>
            <w:tcW w:w="1548"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4459571">
            <w:pPr>
              <w:snapToGrid w:val="0"/>
              <w:spacing w:line="460" w:lineRule="atLeast"/>
              <w:ind w:firstLine="480"/>
              <w:rPr>
                <w:rFonts w:ascii="宋体" w:hAnsi="宋体"/>
                <w:color w:val="auto"/>
                <w:sz w:val="22"/>
              </w:rPr>
            </w:pPr>
          </w:p>
        </w:tc>
        <w:tc>
          <w:tcPr>
            <w:tcW w:w="126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5158E12">
            <w:pPr>
              <w:snapToGrid w:val="0"/>
              <w:spacing w:line="460" w:lineRule="atLeast"/>
              <w:ind w:firstLine="480"/>
              <w:rPr>
                <w:rFonts w:ascii="宋体" w:hAnsi="宋体"/>
                <w:color w:val="auto"/>
                <w:sz w:val="22"/>
              </w:rPr>
            </w:pPr>
          </w:p>
        </w:tc>
        <w:tc>
          <w:tcPr>
            <w:tcW w:w="126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1FA9781">
            <w:pPr>
              <w:snapToGrid w:val="0"/>
              <w:spacing w:line="460" w:lineRule="atLeast"/>
              <w:ind w:firstLine="480"/>
              <w:rPr>
                <w:rFonts w:ascii="宋体" w:hAnsi="宋体"/>
                <w:color w:val="auto"/>
                <w:sz w:val="22"/>
              </w:rPr>
            </w:pP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30F2856">
            <w:pPr>
              <w:snapToGrid w:val="0"/>
              <w:spacing w:line="460" w:lineRule="atLeast"/>
              <w:ind w:firstLine="480"/>
              <w:rPr>
                <w:rFonts w:ascii="宋体" w:hAnsi="宋体"/>
                <w:color w:val="auto"/>
                <w:sz w:val="22"/>
              </w:rPr>
            </w:pPr>
          </w:p>
        </w:tc>
        <w:tc>
          <w:tcPr>
            <w:tcW w:w="1572" w:type="dxa"/>
            <w:tcBorders>
              <w:top w:val="single" w:color="000000" w:sz="4" w:space="0"/>
              <w:left w:val="single" w:color="000000" w:sz="4" w:space="0"/>
              <w:bottom w:val="single" w:color="000000" w:sz="4" w:space="0"/>
              <w:right w:val="single" w:color="000000" w:sz="6" w:space="0"/>
            </w:tcBorders>
            <w:noWrap w:val="0"/>
            <w:tcMar>
              <w:top w:w="0" w:type="dxa"/>
              <w:left w:w="108" w:type="dxa"/>
              <w:bottom w:w="0" w:type="dxa"/>
              <w:right w:w="108" w:type="dxa"/>
            </w:tcMar>
            <w:vAlign w:val="top"/>
          </w:tcPr>
          <w:p w14:paraId="3E704C36">
            <w:pPr>
              <w:snapToGrid w:val="0"/>
              <w:spacing w:line="460" w:lineRule="atLeast"/>
              <w:ind w:firstLine="480"/>
              <w:rPr>
                <w:rFonts w:ascii="宋体" w:hAnsi="宋体"/>
                <w:color w:val="auto"/>
                <w:sz w:val="22"/>
              </w:rPr>
            </w:pPr>
          </w:p>
        </w:tc>
      </w:tr>
      <w:tr w14:paraId="72F8E667">
        <w:tblPrEx>
          <w:tblCellMar>
            <w:top w:w="0" w:type="dxa"/>
            <w:left w:w="108" w:type="dxa"/>
            <w:bottom w:w="0" w:type="dxa"/>
            <w:right w:w="108" w:type="dxa"/>
          </w:tblCellMar>
        </w:tblPrEx>
        <w:trPr>
          <w:trHeight w:val="595" w:hRule="exact"/>
        </w:trPr>
        <w:tc>
          <w:tcPr>
            <w:tcW w:w="1620" w:type="dxa"/>
            <w:gridSpan w:val="2"/>
            <w:tcBorders>
              <w:top w:val="single" w:color="000000" w:sz="4" w:space="0"/>
              <w:left w:val="single" w:color="000000" w:sz="6" w:space="0"/>
              <w:bottom w:val="single" w:color="000000" w:sz="4" w:space="0"/>
              <w:right w:val="single" w:color="000000" w:sz="4" w:space="0"/>
            </w:tcBorders>
            <w:noWrap w:val="0"/>
            <w:tcMar>
              <w:top w:w="0" w:type="dxa"/>
              <w:left w:w="108" w:type="dxa"/>
              <w:bottom w:w="0" w:type="dxa"/>
              <w:right w:w="108" w:type="dxa"/>
            </w:tcMar>
            <w:vAlign w:val="top"/>
          </w:tcPr>
          <w:p w14:paraId="133FEE04">
            <w:pPr>
              <w:snapToGrid w:val="0"/>
              <w:spacing w:line="460" w:lineRule="atLeast"/>
              <w:ind w:firstLine="480"/>
              <w:rPr>
                <w:rFonts w:ascii="宋体" w:hAnsi="宋体"/>
                <w:color w:val="auto"/>
                <w:sz w:val="22"/>
              </w:rPr>
            </w:pPr>
          </w:p>
        </w:tc>
        <w:tc>
          <w:tcPr>
            <w:tcW w:w="1548"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A30482D">
            <w:pPr>
              <w:snapToGrid w:val="0"/>
              <w:spacing w:line="460" w:lineRule="atLeast"/>
              <w:ind w:firstLine="480"/>
              <w:rPr>
                <w:rFonts w:ascii="宋体" w:hAnsi="宋体"/>
                <w:color w:val="auto"/>
                <w:sz w:val="22"/>
              </w:rPr>
            </w:pPr>
          </w:p>
        </w:tc>
        <w:tc>
          <w:tcPr>
            <w:tcW w:w="126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A40B621">
            <w:pPr>
              <w:snapToGrid w:val="0"/>
              <w:spacing w:line="460" w:lineRule="atLeast"/>
              <w:ind w:firstLine="480"/>
              <w:rPr>
                <w:rFonts w:ascii="宋体" w:hAnsi="宋体"/>
                <w:color w:val="auto"/>
                <w:sz w:val="22"/>
              </w:rPr>
            </w:pPr>
          </w:p>
        </w:tc>
        <w:tc>
          <w:tcPr>
            <w:tcW w:w="126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7CD07CB">
            <w:pPr>
              <w:snapToGrid w:val="0"/>
              <w:spacing w:line="460" w:lineRule="atLeast"/>
              <w:ind w:firstLine="480"/>
              <w:rPr>
                <w:rFonts w:ascii="宋体" w:hAnsi="宋体"/>
                <w:color w:val="auto"/>
                <w:sz w:val="22"/>
              </w:rPr>
            </w:pP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CC1DD00">
            <w:pPr>
              <w:snapToGrid w:val="0"/>
              <w:spacing w:line="460" w:lineRule="atLeast"/>
              <w:ind w:firstLine="480"/>
              <w:rPr>
                <w:rFonts w:ascii="宋体" w:hAnsi="宋体"/>
                <w:color w:val="auto"/>
                <w:sz w:val="22"/>
              </w:rPr>
            </w:pPr>
          </w:p>
        </w:tc>
        <w:tc>
          <w:tcPr>
            <w:tcW w:w="1572" w:type="dxa"/>
            <w:tcBorders>
              <w:top w:val="single" w:color="000000" w:sz="4" w:space="0"/>
              <w:left w:val="single" w:color="000000" w:sz="4" w:space="0"/>
              <w:bottom w:val="single" w:color="000000" w:sz="4" w:space="0"/>
              <w:right w:val="single" w:color="000000" w:sz="6" w:space="0"/>
            </w:tcBorders>
            <w:noWrap w:val="0"/>
            <w:tcMar>
              <w:top w:w="0" w:type="dxa"/>
              <w:left w:w="108" w:type="dxa"/>
              <w:bottom w:w="0" w:type="dxa"/>
              <w:right w:w="108" w:type="dxa"/>
            </w:tcMar>
            <w:vAlign w:val="top"/>
          </w:tcPr>
          <w:p w14:paraId="1C6F3204">
            <w:pPr>
              <w:snapToGrid w:val="0"/>
              <w:spacing w:line="460" w:lineRule="atLeast"/>
              <w:ind w:firstLine="480"/>
              <w:rPr>
                <w:rFonts w:ascii="宋体" w:hAnsi="宋体"/>
                <w:color w:val="auto"/>
                <w:sz w:val="22"/>
              </w:rPr>
            </w:pPr>
          </w:p>
        </w:tc>
      </w:tr>
      <w:tr w14:paraId="1482F521">
        <w:tblPrEx>
          <w:tblCellMar>
            <w:top w:w="0" w:type="dxa"/>
            <w:left w:w="108" w:type="dxa"/>
            <w:bottom w:w="0" w:type="dxa"/>
            <w:right w:w="108" w:type="dxa"/>
          </w:tblCellMar>
        </w:tblPrEx>
        <w:trPr>
          <w:trHeight w:val="595" w:hRule="exact"/>
        </w:trPr>
        <w:tc>
          <w:tcPr>
            <w:tcW w:w="1620" w:type="dxa"/>
            <w:gridSpan w:val="2"/>
            <w:tcBorders>
              <w:top w:val="single" w:color="000000" w:sz="4" w:space="0"/>
              <w:left w:val="single" w:color="000000" w:sz="6" w:space="0"/>
              <w:bottom w:val="single" w:color="000000" w:sz="4" w:space="0"/>
              <w:right w:val="single" w:color="000000" w:sz="4" w:space="0"/>
            </w:tcBorders>
            <w:noWrap w:val="0"/>
            <w:tcMar>
              <w:top w:w="0" w:type="dxa"/>
              <w:left w:w="108" w:type="dxa"/>
              <w:bottom w:w="0" w:type="dxa"/>
              <w:right w:w="108" w:type="dxa"/>
            </w:tcMar>
            <w:vAlign w:val="top"/>
          </w:tcPr>
          <w:p w14:paraId="51A2E07D">
            <w:pPr>
              <w:snapToGrid w:val="0"/>
              <w:spacing w:line="460" w:lineRule="atLeast"/>
              <w:ind w:firstLine="480"/>
              <w:rPr>
                <w:rFonts w:ascii="宋体" w:hAnsi="宋体"/>
                <w:color w:val="auto"/>
                <w:sz w:val="22"/>
              </w:rPr>
            </w:pPr>
          </w:p>
        </w:tc>
        <w:tc>
          <w:tcPr>
            <w:tcW w:w="1548"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D334464">
            <w:pPr>
              <w:snapToGrid w:val="0"/>
              <w:spacing w:line="460" w:lineRule="atLeast"/>
              <w:ind w:firstLine="480"/>
              <w:rPr>
                <w:rFonts w:ascii="宋体" w:hAnsi="宋体"/>
                <w:color w:val="auto"/>
                <w:sz w:val="22"/>
              </w:rPr>
            </w:pPr>
          </w:p>
        </w:tc>
        <w:tc>
          <w:tcPr>
            <w:tcW w:w="126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306A050">
            <w:pPr>
              <w:snapToGrid w:val="0"/>
              <w:spacing w:line="460" w:lineRule="atLeast"/>
              <w:ind w:firstLine="480"/>
              <w:rPr>
                <w:rFonts w:ascii="宋体" w:hAnsi="宋体"/>
                <w:color w:val="auto"/>
                <w:sz w:val="22"/>
              </w:rPr>
            </w:pPr>
          </w:p>
        </w:tc>
        <w:tc>
          <w:tcPr>
            <w:tcW w:w="126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F08391B">
            <w:pPr>
              <w:snapToGrid w:val="0"/>
              <w:spacing w:line="460" w:lineRule="atLeast"/>
              <w:ind w:firstLine="480"/>
              <w:rPr>
                <w:rFonts w:ascii="宋体" w:hAnsi="宋体"/>
                <w:color w:val="auto"/>
                <w:sz w:val="22"/>
              </w:rPr>
            </w:pP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6D60A6D">
            <w:pPr>
              <w:snapToGrid w:val="0"/>
              <w:spacing w:line="460" w:lineRule="atLeast"/>
              <w:ind w:firstLine="480"/>
              <w:rPr>
                <w:rFonts w:ascii="宋体" w:hAnsi="宋体"/>
                <w:color w:val="auto"/>
                <w:sz w:val="22"/>
              </w:rPr>
            </w:pPr>
          </w:p>
        </w:tc>
        <w:tc>
          <w:tcPr>
            <w:tcW w:w="1572" w:type="dxa"/>
            <w:tcBorders>
              <w:top w:val="single" w:color="000000" w:sz="4" w:space="0"/>
              <w:left w:val="single" w:color="000000" w:sz="4" w:space="0"/>
              <w:bottom w:val="single" w:color="000000" w:sz="4" w:space="0"/>
              <w:right w:val="single" w:color="000000" w:sz="6" w:space="0"/>
            </w:tcBorders>
            <w:noWrap w:val="0"/>
            <w:tcMar>
              <w:top w:w="0" w:type="dxa"/>
              <w:left w:w="108" w:type="dxa"/>
              <w:bottom w:w="0" w:type="dxa"/>
              <w:right w:w="108" w:type="dxa"/>
            </w:tcMar>
            <w:vAlign w:val="top"/>
          </w:tcPr>
          <w:p w14:paraId="55EE679B">
            <w:pPr>
              <w:snapToGrid w:val="0"/>
              <w:spacing w:line="460" w:lineRule="atLeast"/>
              <w:ind w:firstLine="480"/>
              <w:rPr>
                <w:rFonts w:ascii="宋体" w:hAnsi="宋体"/>
                <w:color w:val="auto"/>
                <w:sz w:val="22"/>
              </w:rPr>
            </w:pPr>
          </w:p>
        </w:tc>
      </w:tr>
      <w:tr w14:paraId="69AFAD14">
        <w:tblPrEx>
          <w:tblCellMar>
            <w:top w:w="0" w:type="dxa"/>
            <w:left w:w="108" w:type="dxa"/>
            <w:bottom w:w="0" w:type="dxa"/>
            <w:right w:w="108" w:type="dxa"/>
          </w:tblCellMar>
        </w:tblPrEx>
        <w:trPr>
          <w:trHeight w:val="595" w:hRule="exact"/>
        </w:trPr>
        <w:tc>
          <w:tcPr>
            <w:tcW w:w="1620" w:type="dxa"/>
            <w:gridSpan w:val="2"/>
            <w:tcBorders>
              <w:top w:val="single" w:color="000000" w:sz="4" w:space="0"/>
              <w:left w:val="single" w:color="000000" w:sz="6" w:space="0"/>
              <w:bottom w:val="single" w:color="000000" w:sz="4" w:space="0"/>
              <w:right w:val="single" w:color="000000" w:sz="4" w:space="0"/>
            </w:tcBorders>
            <w:noWrap w:val="0"/>
            <w:tcMar>
              <w:top w:w="0" w:type="dxa"/>
              <w:left w:w="108" w:type="dxa"/>
              <w:bottom w:w="0" w:type="dxa"/>
              <w:right w:w="108" w:type="dxa"/>
            </w:tcMar>
            <w:vAlign w:val="top"/>
          </w:tcPr>
          <w:p w14:paraId="10385987">
            <w:pPr>
              <w:snapToGrid w:val="0"/>
              <w:spacing w:line="460" w:lineRule="atLeast"/>
              <w:ind w:firstLine="480"/>
              <w:rPr>
                <w:rFonts w:ascii="宋体" w:hAnsi="宋体"/>
                <w:color w:val="auto"/>
                <w:sz w:val="22"/>
              </w:rPr>
            </w:pPr>
          </w:p>
        </w:tc>
        <w:tc>
          <w:tcPr>
            <w:tcW w:w="1548"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4115B75">
            <w:pPr>
              <w:snapToGrid w:val="0"/>
              <w:spacing w:line="460" w:lineRule="atLeast"/>
              <w:ind w:firstLine="480"/>
              <w:rPr>
                <w:rFonts w:ascii="宋体" w:hAnsi="宋体"/>
                <w:color w:val="auto"/>
                <w:sz w:val="22"/>
              </w:rPr>
            </w:pPr>
          </w:p>
        </w:tc>
        <w:tc>
          <w:tcPr>
            <w:tcW w:w="126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B908675">
            <w:pPr>
              <w:snapToGrid w:val="0"/>
              <w:spacing w:line="460" w:lineRule="atLeast"/>
              <w:ind w:firstLine="480"/>
              <w:rPr>
                <w:rFonts w:ascii="宋体" w:hAnsi="宋体"/>
                <w:color w:val="auto"/>
                <w:sz w:val="22"/>
              </w:rPr>
            </w:pPr>
          </w:p>
        </w:tc>
        <w:tc>
          <w:tcPr>
            <w:tcW w:w="126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A676C07">
            <w:pPr>
              <w:snapToGrid w:val="0"/>
              <w:spacing w:line="460" w:lineRule="atLeast"/>
              <w:ind w:firstLine="480"/>
              <w:rPr>
                <w:rFonts w:ascii="宋体" w:hAnsi="宋体"/>
                <w:color w:val="auto"/>
                <w:sz w:val="22"/>
              </w:rPr>
            </w:pP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80D22F8">
            <w:pPr>
              <w:snapToGrid w:val="0"/>
              <w:spacing w:line="460" w:lineRule="atLeast"/>
              <w:ind w:firstLine="480"/>
              <w:rPr>
                <w:rFonts w:ascii="宋体" w:hAnsi="宋体"/>
                <w:color w:val="auto"/>
                <w:sz w:val="22"/>
              </w:rPr>
            </w:pPr>
          </w:p>
        </w:tc>
        <w:tc>
          <w:tcPr>
            <w:tcW w:w="1572" w:type="dxa"/>
            <w:tcBorders>
              <w:top w:val="single" w:color="000000" w:sz="4" w:space="0"/>
              <w:left w:val="single" w:color="000000" w:sz="4" w:space="0"/>
              <w:bottom w:val="single" w:color="000000" w:sz="4" w:space="0"/>
              <w:right w:val="single" w:color="000000" w:sz="6" w:space="0"/>
            </w:tcBorders>
            <w:noWrap w:val="0"/>
            <w:tcMar>
              <w:top w:w="0" w:type="dxa"/>
              <w:left w:w="108" w:type="dxa"/>
              <w:bottom w:w="0" w:type="dxa"/>
              <w:right w:w="108" w:type="dxa"/>
            </w:tcMar>
            <w:vAlign w:val="top"/>
          </w:tcPr>
          <w:p w14:paraId="0C2ECB84">
            <w:pPr>
              <w:snapToGrid w:val="0"/>
              <w:spacing w:line="460" w:lineRule="atLeast"/>
              <w:ind w:firstLine="480"/>
              <w:rPr>
                <w:rFonts w:ascii="宋体" w:hAnsi="宋体"/>
                <w:color w:val="auto"/>
                <w:sz w:val="22"/>
              </w:rPr>
            </w:pPr>
          </w:p>
        </w:tc>
      </w:tr>
      <w:tr w14:paraId="7C519B7C">
        <w:tblPrEx>
          <w:tblCellMar>
            <w:top w:w="0" w:type="dxa"/>
            <w:left w:w="108" w:type="dxa"/>
            <w:bottom w:w="0" w:type="dxa"/>
            <w:right w:w="108" w:type="dxa"/>
          </w:tblCellMar>
        </w:tblPrEx>
        <w:trPr>
          <w:trHeight w:val="595" w:hRule="exact"/>
        </w:trPr>
        <w:tc>
          <w:tcPr>
            <w:tcW w:w="1620" w:type="dxa"/>
            <w:gridSpan w:val="2"/>
            <w:tcBorders>
              <w:top w:val="single" w:color="000000" w:sz="4" w:space="0"/>
              <w:left w:val="single" w:color="000000" w:sz="6" w:space="0"/>
              <w:bottom w:val="single" w:color="000000" w:sz="4" w:space="0"/>
              <w:right w:val="single" w:color="000000" w:sz="4" w:space="0"/>
            </w:tcBorders>
            <w:noWrap w:val="0"/>
            <w:tcMar>
              <w:top w:w="0" w:type="dxa"/>
              <w:left w:w="108" w:type="dxa"/>
              <w:bottom w:w="0" w:type="dxa"/>
              <w:right w:w="108" w:type="dxa"/>
            </w:tcMar>
            <w:vAlign w:val="top"/>
          </w:tcPr>
          <w:p w14:paraId="6DF1B3BA">
            <w:pPr>
              <w:snapToGrid w:val="0"/>
              <w:spacing w:line="460" w:lineRule="atLeast"/>
              <w:ind w:firstLine="480"/>
              <w:rPr>
                <w:rFonts w:ascii="宋体" w:hAnsi="宋体"/>
                <w:color w:val="auto"/>
                <w:sz w:val="22"/>
              </w:rPr>
            </w:pPr>
          </w:p>
        </w:tc>
        <w:tc>
          <w:tcPr>
            <w:tcW w:w="1548"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FBBFFDB">
            <w:pPr>
              <w:snapToGrid w:val="0"/>
              <w:spacing w:line="460" w:lineRule="atLeast"/>
              <w:ind w:firstLine="480"/>
              <w:rPr>
                <w:rFonts w:ascii="宋体" w:hAnsi="宋体"/>
                <w:color w:val="auto"/>
                <w:sz w:val="22"/>
              </w:rPr>
            </w:pPr>
          </w:p>
        </w:tc>
        <w:tc>
          <w:tcPr>
            <w:tcW w:w="126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4C22AB9">
            <w:pPr>
              <w:snapToGrid w:val="0"/>
              <w:spacing w:line="460" w:lineRule="atLeast"/>
              <w:ind w:firstLine="480"/>
              <w:rPr>
                <w:rFonts w:ascii="宋体" w:hAnsi="宋体"/>
                <w:color w:val="auto"/>
                <w:sz w:val="22"/>
              </w:rPr>
            </w:pPr>
          </w:p>
        </w:tc>
        <w:tc>
          <w:tcPr>
            <w:tcW w:w="126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1095379">
            <w:pPr>
              <w:snapToGrid w:val="0"/>
              <w:spacing w:line="460" w:lineRule="atLeast"/>
              <w:ind w:firstLine="480"/>
              <w:rPr>
                <w:rFonts w:ascii="宋体" w:hAnsi="宋体"/>
                <w:color w:val="auto"/>
                <w:sz w:val="22"/>
              </w:rPr>
            </w:pP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4F6251E">
            <w:pPr>
              <w:snapToGrid w:val="0"/>
              <w:spacing w:line="460" w:lineRule="atLeast"/>
              <w:ind w:firstLine="480"/>
              <w:rPr>
                <w:rFonts w:ascii="宋体" w:hAnsi="宋体"/>
                <w:color w:val="auto"/>
                <w:sz w:val="22"/>
              </w:rPr>
            </w:pPr>
          </w:p>
        </w:tc>
        <w:tc>
          <w:tcPr>
            <w:tcW w:w="1572" w:type="dxa"/>
            <w:tcBorders>
              <w:top w:val="single" w:color="000000" w:sz="4" w:space="0"/>
              <w:left w:val="single" w:color="000000" w:sz="4" w:space="0"/>
              <w:bottom w:val="single" w:color="000000" w:sz="4" w:space="0"/>
              <w:right w:val="single" w:color="000000" w:sz="6" w:space="0"/>
            </w:tcBorders>
            <w:noWrap w:val="0"/>
            <w:tcMar>
              <w:top w:w="0" w:type="dxa"/>
              <w:left w:w="108" w:type="dxa"/>
              <w:bottom w:w="0" w:type="dxa"/>
              <w:right w:w="108" w:type="dxa"/>
            </w:tcMar>
            <w:vAlign w:val="top"/>
          </w:tcPr>
          <w:p w14:paraId="764B08C6">
            <w:pPr>
              <w:snapToGrid w:val="0"/>
              <w:spacing w:line="460" w:lineRule="atLeast"/>
              <w:ind w:firstLine="480"/>
              <w:rPr>
                <w:rFonts w:ascii="宋体" w:hAnsi="宋体"/>
                <w:color w:val="auto"/>
                <w:sz w:val="22"/>
              </w:rPr>
            </w:pPr>
          </w:p>
        </w:tc>
      </w:tr>
      <w:tr w14:paraId="3818D97F">
        <w:tblPrEx>
          <w:tblCellMar>
            <w:top w:w="0" w:type="dxa"/>
            <w:left w:w="108" w:type="dxa"/>
            <w:bottom w:w="0" w:type="dxa"/>
            <w:right w:w="108" w:type="dxa"/>
          </w:tblCellMar>
        </w:tblPrEx>
        <w:trPr>
          <w:trHeight w:val="595" w:hRule="exact"/>
        </w:trPr>
        <w:tc>
          <w:tcPr>
            <w:tcW w:w="1620" w:type="dxa"/>
            <w:gridSpan w:val="2"/>
            <w:tcBorders>
              <w:top w:val="single" w:color="000000" w:sz="4" w:space="0"/>
              <w:left w:val="single" w:color="000000" w:sz="6" w:space="0"/>
              <w:bottom w:val="single" w:color="000000" w:sz="4" w:space="0"/>
              <w:right w:val="single" w:color="000000" w:sz="4" w:space="0"/>
            </w:tcBorders>
            <w:noWrap w:val="0"/>
            <w:tcMar>
              <w:top w:w="0" w:type="dxa"/>
              <w:left w:w="108" w:type="dxa"/>
              <w:bottom w:w="0" w:type="dxa"/>
              <w:right w:w="108" w:type="dxa"/>
            </w:tcMar>
            <w:vAlign w:val="top"/>
          </w:tcPr>
          <w:p w14:paraId="235310D5">
            <w:pPr>
              <w:snapToGrid w:val="0"/>
              <w:spacing w:line="460" w:lineRule="atLeast"/>
              <w:ind w:firstLine="480"/>
              <w:rPr>
                <w:rFonts w:ascii="宋体" w:hAnsi="宋体"/>
                <w:color w:val="auto"/>
                <w:sz w:val="22"/>
              </w:rPr>
            </w:pPr>
          </w:p>
        </w:tc>
        <w:tc>
          <w:tcPr>
            <w:tcW w:w="1548"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9E131C2">
            <w:pPr>
              <w:snapToGrid w:val="0"/>
              <w:spacing w:line="460" w:lineRule="atLeast"/>
              <w:ind w:firstLine="480"/>
              <w:rPr>
                <w:rFonts w:ascii="宋体" w:hAnsi="宋体"/>
                <w:color w:val="auto"/>
                <w:sz w:val="22"/>
              </w:rPr>
            </w:pPr>
          </w:p>
        </w:tc>
        <w:tc>
          <w:tcPr>
            <w:tcW w:w="126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EED36A4">
            <w:pPr>
              <w:snapToGrid w:val="0"/>
              <w:spacing w:line="460" w:lineRule="atLeast"/>
              <w:ind w:firstLine="480"/>
              <w:rPr>
                <w:rFonts w:ascii="宋体" w:hAnsi="宋体"/>
                <w:color w:val="auto"/>
                <w:sz w:val="22"/>
              </w:rPr>
            </w:pPr>
          </w:p>
        </w:tc>
        <w:tc>
          <w:tcPr>
            <w:tcW w:w="126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9A20A96">
            <w:pPr>
              <w:snapToGrid w:val="0"/>
              <w:spacing w:line="460" w:lineRule="atLeast"/>
              <w:ind w:firstLine="480"/>
              <w:rPr>
                <w:rFonts w:ascii="宋体" w:hAnsi="宋体"/>
                <w:color w:val="auto"/>
                <w:sz w:val="22"/>
              </w:rPr>
            </w:pP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9BEAAC1">
            <w:pPr>
              <w:snapToGrid w:val="0"/>
              <w:spacing w:line="460" w:lineRule="atLeast"/>
              <w:ind w:firstLine="480"/>
              <w:rPr>
                <w:rFonts w:ascii="宋体" w:hAnsi="宋体"/>
                <w:color w:val="auto"/>
                <w:sz w:val="22"/>
              </w:rPr>
            </w:pPr>
          </w:p>
        </w:tc>
        <w:tc>
          <w:tcPr>
            <w:tcW w:w="1572" w:type="dxa"/>
            <w:tcBorders>
              <w:top w:val="single" w:color="000000" w:sz="4" w:space="0"/>
              <w:left w:val="single" w:color="000000" w:sz="4" w:space="0"/>
              <w:bottom w:val="single" w:color="000000" w:sz="4" w:space="0"/>
              <w:right w:val="single" w:color="000000" w:sz="6" w:space="0"/>
            </w:tcBorders>
            <w:noWrap w:val="0"/>
            <w:tcMar>
              <w:top w:w="0" w:type="dxa"/>
              <w:left w:w="108" w:type="dxa"/>
              <w:bottom w:w="0" w:type="dxa"/>
              <w:right w:w="108" w:type="dxa"/>
            </w:tcMar>
            <w:vAlign w:val="top"/>
          </w:tcPr>
          <w:p w14:paraId="0A003728">
            <w:pPr>
              <w:snapToGrid w:val="0"/>
              <w:spacing w:line="460" w:lineRule="atLeast"/>
              <w:ind w:firstLine="480"/>
              <w:rPr>
                <w:rFonts w:ascii="宋体" w:hAnsi="宋体"/>
                <w:color w:val="auto"/>
                <w:sz w:val="22"/>
              </w:rPr>
            </w:pPr>
          </w:p>
        </w:tc>
      </w:tr>
      <w:tr w14:paraId="79976ED1">
        <w:tblPrEx>
          <w:tblCellMar>
            <w:top w:w="0" w:type="dxa"/>
            <w:left w:w="108" w:type="dxa"/>
            <w:bottom w:w="0" w:type="dxa"/>
            <w:right w:w="108" w:type="dxa"/>
          </w:tblCellMar>
        </w:tblPrEx>
        <w:trPr>
          <w:trHeight w:val="595" w:hRule="exact"/>
        </w:trPr>
        <w:tc>
          <w:tcPr>
            <w:tcW w:w="1620" w:type="dxa"/>
            <w:gridSpan w:val="2"/>
            <w:tcBorders>
              <w:top w:val="single" w:color="000000" w:sz="4" w:space="0"/>
              <w:left w:val="single" w:color="000000" w:sz="6" w:space="0"/>
              <w:bottom w:val="single" w:color="000000" w:sz="4" w:space="0"/>
              <w:right w:val="single" w:color="000000" w:sz="4" w:space="0"/>
            </w:tcBorders>
            <w:noWrap w:val="0"/>
            <w:tcMar>
              <w:top w:w="0" w:type="dxa"/>
              <w:left w:w="108" w:type="dxa"/>
              <w:bottom w:w="0" w:type="dxa"/>
              <w:right w:w="108" w:type="dxa"/>
            </w:tcMar>
            <w:vAlign w:val="top"/>
          </w:tcPr>
          <w:p w14:paraId="53F3D570">
            <w:pPr>
              <w:snapToGrid w:val="0"/>
              <w:spacing w:line="460" w:lineRule="atLeast"/>
              <w:ind w:firstLine="480"/>
              <w:rPr>
                <w:rFonts w:ascii="宋体" w:hAnsi="宋体"/>
                <w:color w:val="auto"/>
                <w:sz w:val="22"/>
              </w:rPr>
            </w:pPr>
          </w:p>
        </w:tc>
        <w:tc>
          <w:tcPr>
            <w:tcW w:w="1548"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24189F3">
            <w:pPr>
              <w:snapToGrid w:val="0"/>
              <w:spacing w:line="460" w:lineRule="atLeast"/>
              <w:ind w:firstLine="480"/>
              <w:rPr>
                <w:rFonts w:ascii="宋体" w:hAnsi="宋体"/>
                <w:color w:val="auto"/>
                <w:sz w:val="22"/>
              </w:rPr>
            </w:pPr>
          </w:p>
        </w:tc>
        <w:tc>
          <w:tcPr>
            <w:tcW w:w="126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523E10C">
            <w:pPr>
              <w:snapToGrid w:val="0"/>
              <w:spacing w:line="460" w:lineRule="atLeast"/>
              <w:ind w:firstLine="480"/>
              <w:rPr>
                <w:rFonts w:ascii="宋体" w:hAnsi="宋体"/>
                <w:color w:val="auto"/>
                <w:sz w:val="22"/>
              </w:rPr>
            </w:pPr>
          </w:p>
        </w:tc>
        <w:tc>
          <w:tcPr>
            <w:tcW w:w="126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536B26B">
            <w:pPr>
              <w:snapToGrid w:val="0"/>
              <w:spacing w:line="460" w:lineRule="atLeast"/>
              <w:ind w:firstLine="480"/>
              <w:rPr>
                <w:rFonts w:ascii="宋体" w:hAnsi="宋体"/>
                <w:color w:val="auto"/>
                <w:sz w:val="22"/>
              </w:rPr>
            </w:pP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5FD7C4E">
            <w:pPr>
              <w:snapToGrid w:val="0"/>
              <w:spacing w:line="460" w:lineRule="atLeast"/>
              <w:ind w:firstLine="480"/>
              <w:rPr>
                <w:rFonts w:ascii="宋体" w:hAnsi="宋体"/>
                <w:color w:val="auto"/>
                <w:sz w:val="22"/>
              </w:rPr>
            </w:pPr>
          </w:p>
        </w:tc>
        <w:tc>
          <w:tcPr>
            <w:tcW w:w="1572" w:type="dxa"/>
            <w:tcBorders>
              <w:top w:val="single" w:color="000000" w:sz="4" w:space="0"/>
              <w:left w:val="single" w:color="000000" w:sz="4" w:space="0"/>
              <w:bottom w:val="single" w:color="000000" w:sz="4" w:space="0"/>
              <w:right w:val="single" w:color="000000" w:sz="6" w:space="0"/>
            </w:tcBorders>
            <w:noWrap w:val="0"/>
            <w:tcMar>
              <w:top w:w="0" w:type="dxa"/>
              <w:left w:w="108" w:type="dxa"/>
              <w:bottom w:w="0" w:type="dxa"/>
              <w:right w:w="108" w:type="dxa"/>
            </w:tcMar>
            <w:vAlign w:val="top"/>
          </w:tcPr>
          <w:p w14:paraId="19837961">
            <w:pPr>
              <w:snapToGrid w:val="0"/>
              <w:spacing w:line="460" w:lineRule="atLeast"/>
              <w:ind w:firstLine="480"/>
              <w:rPr>
                <w:rFonts w:ascii="宋体" w:hAnsi="宋体"/>
                <w:color w:val="auto"/>
                <w:sz w:val="22"/>
              </w:rPr>
            </w:pPr>
          </w:p>
        </w:tc>
      </w:tr>
      <w:tr w14:paraId="31A6CF1A">
        <w:tblPrEx>
          <w:tblCellMar>
            <w:top w:w="0" w:type="dxa"/>
            <w:left w:w="108" w:type="dxa"/>
            <w:bottom w:w="0" w:type="dxa"/>
            <w:right w:w="108" w:type="dxa"/>
          </w:tblCellMar>
        </w:tblPrEx>
        <w:trPr>
          <w:trHeight w:val="595" w:hRule="exact"/>
        </w:trPr>
        <w:tc>
          <w:tcPr>
            <w:tcW w:w="1620" w:type="dxa"/>
            <w:gridSpan w:val="2"/>
            <w:tcBorders>
              <w:top w:val="single" w:color="000000" w:sz="4" w:space="0"/>
              <w:left w:val="single" w:color="000000" w:sz="6" w:space="0"/>
              <w:bottom w:val="single" w:color="000000" w:sz="6" w:space="0"/>
              <w:right w:val="single" w:color="000000" w:sz="4" w:space="0"/>
            </w:tcBorders>
            <w:noWrap w:val="0"/>
            <w:tcMar>
              <w:top w:w="0" w:type="dxa"/>
              <w:left w:w="108" w:type="dxa"/>
              <w:bottom w:w="0" w:type="dxa"/>
              <w:right w:w="108" w:type="dxa"/>
            </w:tcMar>
            <w:vAlign w:val="top"/>
          </w:tcPr>
          <w:p w14:paraId="79206D13">
            <w:pPr>
              <w:snapToGrid w:val="0"/>
              <w:spacing w:line="460" w:lineRule="atLeast"/>
              <w:ind w:firstLine="480"/>
              <w:rPr>
                <w:rFonts w:ascii="宋体" w:hAnsi="宋体"/>
                <w:color w:val="auto"/>
                <w:sz w:val="22"/>
              </w:rPr>
            </w:pPr>
          </w:p>
        </w:tc>
        <w:tc>
          <w:tcPr>
            <w:tcW w:w="1548" w:type="dxa"/>
            <w:gridSpan w:val="3"/>
            <w:tcBorders>
              <w:top w:val="single" w:color="000000" w:sz="4" w:space="0"/>
              <w:left w:val="single" w:color="000000" w:sz="4" w:space="0"/>
              <w:bottom w:val="single" w:color="000000" w:sz="6" w:space="0"/>
              <w:right w:val="single" w:color="000000" w:sz="4" w:space="0"/>
            </w:tcBorders>
            <w:noWrap w:val="0"/>
            <w:tcMar>
              <w:top w:w="0" w:type="dxa"/>
              <w:left w:w="108" w:type="dxa"/>
              <w:bottom w:w="0" w:type="dxa"/>
              <w:right w:w="108" w:type="dxa"/>
            </w:tcMar>
            <w:vAlign w:val="top"/>
          </w:tcPr>
          <w:p w14:paraId="5F95E9E0">
            <w:pPr>
              <w:snapToGrid w:val="0"/>
              <w:spacing w:line="460" w:lineRule="atLeast"/>
              <w:ind w:firstLine="480"/>
              <w:rPr>
                <w:rFonts w:ascii="宋体" w:hAnsi="宋体"/>
                <w:color w:val="auto"/>
                <w:sz w:val="22"/>
              </w:rPr>
            </w:pPr>
          </w:p>
        </w:tc>
        <w:tc>
          <w:tcPr>
            <w:tcW w:w="1260" w:type="dxa"/>
            <w:gridSpan w:val="2"/>
            <w:tcBorders>
              <w:top w:val="single" w:color="000000" w:sz="4" w:space="0"/>
              <w:left w:val="single" w:color="000000" w:sz="4" w:space="0"/>
              <w:bottom w:val="single" w:color="000000" w:sz="6" w:space="0"/>
              <w:right w:val="single" w:color="000000" w:sz="4" w:space="0"/>
            </w:tcBorders>
            <w:noWrap w:val="0"/>
            <w:tcMar>
              <w:top w:w="0" w:type="dxa"/>
              <w:left w:w="108" w:type="dxa"/>
              <w:bottom w:w="0" w:type="dxa"/>
              <w:right w:w="108" w:type="dxa"/>
            </w:tcMar>
            <w:vAlign w:val="top"/>
          </w:tcPr>
          <w:p w14:paraId="013C3EC5">
            <w:pPr>
              <w:snapToGrid w:val="0"/>
              <w:spacing w:line="460" w:lineRule="atLeast"/>
              <w:ind w:firstLine="480"/>
              <w:rPr>
                <w:rFonts w:ascii="宋体" w:hAnsi="宋体"/>
                <w:color w:val="auto"/>
                <w:sz w:val="22"/>
              </w:rPr>
            </w:pPr>
          </w:p>
        </w:tc>
        <w:tc>
          <w:tcPr>
            <w:tcW w:w="1260" w:type="dxa"/>
            <w:gridSpan w:val="3"/>
            <w:tcBorders>
              <w:top w:val="single" w:color="000000" w:sz="4" w:space="0"/>
              <w:left w:val="single" w:color="000000" w:sz="4" w:space="0"/>
              <w:bottom w:val="single" w:color="000000" w:sz="6" w:space="0"/>
              <w:right w:val="single" w:color="000000" w:sz="4" w:space="0"/>
            </w:tcBorders>
            <w:noWrap w:val="0"/>
            <w:tcMar>
              <w:top w:w="0" w:type="dxa"/>
              <w:left w:w="108" w:type="dxa"/>
              <w:bottom w:w="0" w:type="dxa"/>
              <w:right w:w="108" w:type="dxa"/>
            </w:tcMar>
            <w:vAlign w:val="top"/>
          </w:tcPr>
          <w:p w14:paraId="09EA1B76">
            <w:pPr>
              <w:snapToGrid w:val="0"/>
              <w:spacing w:line="460" w:lineRule="atLeast"/>
              <w:ind w:firstLine="480"/>
              <w:rPr>
                <w:rFonts w:ascii="宋体" w:hAnsi="宋体"/>
                <w:color w:val="auto"/>
                <w:sz w:val="22"/>
              </w:rPr>
            </w:pPr>
          </w:p>
        </w:tc>
        <w:tc>
          <w:tcPr>
            <w:tcW w:w="1800" w:type="dxa"/>
            <w:tcBorders>
              <w:top w:val="single" w:color="000000" w:sz="4" w:space="0"/>
              <w:left w:val="single" w:color="000000" w:sz="4" w:space="0"/>
              <w:bottom w:val="single" w:color="000000" w:sz="6" w:space="0"/>
              <w:right w:val="single" w:color="000000" w:sz="4" w:space="0"/>
            </w:tcBorders>
            <w:noWrap w:val="0"/>
            <w:tcMar>
              <w:top w:w="0" w:type="dxa"/>
              <w:left w:w="108" w:type="dxa"/>
              <w:bottom w:w="0" w:type="dxa"/>
              <w:right w:w="108" w:type="dxa"/>
            </w:tcMar>
            <w:vAlign w:val="top"/>
          </w:tcPr>
          <w:p w14:paraId="008B8749">
            <w:pPr>
              <w:snapToGrid w:val="0"/>
              <w:spacing w:line="460" w:lineRule="atLeast"/>
              <w:ind w:firstLine="480"/>
              <w:rPr>
                <w:rFonts w:ascii="宋体" w:hAnsi="宋体"/>
                <w:color w:val="auto"/>
                <w:sz w:val="22"/>
              </w:rPr>
            </w:pPr>
          </w:p>
        </w:tc>
        <w:tc>
          <w:tcPr>
            <w:tcW w:w="1572" w:type="dxa"/>
            <w:tcBorders>
              <w:top w:val="single" w:color="000000" w:sz="4" w:space="0"/>
              <w:left w:val="single" w:color="000000" w:sz="4" w:space="0"/>
              <w:bottom w:val="single" w:color="000000" w:sz="6" w:space="0"/>
              <w:right w:val="single" w:color="000000" w:sz="6" w:space="0"/>
            </w:tcBorders>
            <w:noWrap w:val="0"/>
            <w:tcMar>
              <w:top w:w="0" w:type="dxa"/>
              <w:left w:w="108" w:type="dxa"/>
              <w:bottom w:w="0" w:type="dxa"/>
              <w:right w:w="108" w:type="dxa"/>
            </w:tcMar>
            <w:vAlign w:val="top"/>
          </w:tcPr>
          <w:p w14:paraId="5D4700F4">
            <w:pPr>
              <w:snapToGrid w:val="0"/>
              <w:spacing w:line="460" w:lineRule="atLeast"/>
              <w:ind w:firstLine="480"/>
              <w:rPr>
                <w:rFonts w:ascii="宋体" w:hAnsi="宋体"/>
                <w:color w:val="auto"/>
                <w:sz w:val="22"/>
              </w:rPr>
            </w:pPr>
          </w:p>
        </w:tc>
      </w:tr>
    </w:tbl>
    <w:p w14:paraId="27AB734D">
      <w:pPr>
        <w:snapToGrid w:val="0"/>
        <w:spacing w:line="460" w:lineRule="atLeast"/>
        <w:ind w:firstLine="480"/>
        <w:rPr>
          <w:rFonts w:ascii="宋体" w:hAnsi="宋体"/>
          <w:color w:val="auto"/>
          <w:sz w:val="22"/>
        </w:rPr>
      </w:pPr>
      <w:r>
        <w:rPr>
          <w:rFonts w:hint="eastAsia" w:ascii="宋体" w:hAnsi="宋体"/>
          <w:color w:val="auto"/>
          <w:sz w:val="22"/>
        </w:rPr>
        <w:t>注：</w:t>
      </w:r>
      <w:r>
        <w:rPr>
          <w:rFonts w:hint="eastAsia" w:ascii="仿宋_GB2312" w:hAnsi="宋体"/>
          <w:color w:val="auto"/>
          <w:sz w:val="22"/>
        </w:rPr>
        <w:t>根据评审办法提供相关材料复印件</w:t>
      </w:r>
      <w:r>
        <w:rPr>
          <w:rFonts w:hint="eastAsia" w:ascii="宋体" w:hAnsi="宋体"/>
          <w:color w:val="auto"/>
          <w:sz w:val="22"/>
        </w:rPr>
        <w:t>。</w:t>
      </w:r>
    </w:p>
    <w:p w14:paraId="7D7B313A">
      <w:pPr>
        <w:snapToGrid w:val="0"/>
        <w:spacing w:line="460" w:lineRule="atLeast"/>
        <w:ind w:firstLine="480"/>
        <w:rPr>
          <w:rFonts w:ascii="宋体" w:hAnsi="宋体"/>
          <w:color w:val="auto"/>
          <w:spacing w:val="20"/>
          <w:sz w:val="22"/>
        </w:rPr>
      </w:pPr>
    </w:p>
    <w:p w14:paraId="081F0BDF">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投标供应商（盖章） ：</w:t>
      </w:r>
    </w:p>
    <w:p w14:paraId="247DD231">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法定代表人或其授权代表（签字或盖章）：</w:t>
      </w:r>
    </w:p>
    <w:p w14:paraId="7F976F40">
      <w:pPr>
        <w:autoSpaceDE w:val="0"/>
        <w:autoSpaceDN w:val="0"/>
        <w:adjustRightInd w:val="0"/>
        <w:spacing w:line="460" w:lineRule="atLeast"/>
        <w:ind w:firstLine="446" w:firstLineChars="200"/>
        <w:rPr>
          <w:rFonts w:ascii="宋体" w:cs="Courier New"/>
          <w:color w:val="auto"/>
          <w:sz w:val="22"/>
          <w:szCs w:val="22"/>
        </w:rPr>
      </w:pPr>
      <w:r>
        <w:rPr>
          <w:rFonts w:hint="eastAsia" w:ascii="宋体" w:cs="Courier New"/>
          <w:color w:val="auto"/>
          <w:sz w:val="22"/>
          <w:szCs w:val="22"/>
        </w:rPr>
        <w:t>日期：</w:t>
      </w:r>
    </w:p>
    <w:p w14:paraId="132380C2">
      <w:pPr>
        <w:pStyle w:val="34"/>
        <w:outlineLvl w:val="2"/>
        <w:rPr>
          <w:rFonts w:ascii="宋体" w:hAnsi="宋体"/>
          <w:color w:val="auto"/>
          <w:sz w:val="28"/>
          <w:szCs w:val="18"/>
          <w:lang w:val="zh-CN"/>
        </w:rPr>
      </w:pPr>
      <w:r>
        <w:rPr>
          <w:rFonts w:hint="eastAsia" w:ascii="宋体" w:hAnsi="宋体"/>
          <w:color w:val="auto"/>
          <w:sz w:val="28"/>
          <w:szCs w:val="18"/>
          <w:lang w:val="zh-CN"/>
        </w:rPr>
        <w:t>附件十</w:t>
      </w:r>
      <w:r>
        <w:rPr>
          <w:rFonts w:hint="eastAsia" w:ascii="宋体" w:hAnsi="宋体"/>
          <w:color w:val="auto"/>
          <w:sz w:val="28"/>
          <w:szCs w:val="18"/>
        </w:rPr>
        <w:t xml:space="preserve">三  </w:t>
      </w:r>
      <w:r>
        <w:rPr>
          <w:rFonts w:hint="eastAsia" w:ascii="宋体" w:hAnsi="宋体"/>
          <w:color w:val="auto"/>
          <w:sz w:val="28"/>
          <w:szCs w:val="18"/>
          <w:lang w:val="zh-CN"/>
        </w:rPr>
        <w:t>项目组人员一览表</w:t>
      </w:r>
    </w:p>
    <w:p w14:paraId="51386BF0">
      <w:pPr>
        <w:snapToGrid w:val="0"/>
        <w:spacing w:line="460" w:lineRule="atLeast"/>
        <w:jc w:val="center"/>
        <w:rPr>
          <w:rFonts w:ascii="宋体" w:hAnsi="宋体"/>
          <w:b/>
          <w:bCs/>
          <w:color w:val="auto"/>
          <w:sz w:val="36"/>
        </w:rPr>
      </w:pPr>
    </w:p>
    <w:p w14:paraId="1384C1F7">
      <w:pPr>
        <w:autoSpaceDE w:val="0"/>
        <w:autoSpaceDN w:val="0"/>
        <w:adjustRightInd w:val="0"/>
        <w:spacing w:line="360" w:lineRule="exact"/>
        <w:rPr>
          <w:rFonts w:ascii="宋体" w:hAnsi="宋体" w:cs="宋体"/>
          <w:color w:val="auto"/>
          <w:sz w:val="32"/>
          <w:lang w:val="zh-CN"/>
        </w:rPr>
      </w:pPr>
      <w:r>
        <w:rPr>
          <w:rFonts w:hint="eastAsia" w:ascii="宋体"/>
          <w:color w:val="auto"/>
          <w:sz w:val="22"/>
          <w:szCs w:val="22"/>
        </w:rPr>
        <w:t>项目名称：                                       项目编号：</w:t>
      </w:r>
    </w:p>
    <w:tbl>
      <w:tblPr>
        <w:tblStyle w:val="36"/>
        <w:tblW w:w="8946" w:type="dxa"/>
        <w:tblInd w:w="108" w:type="dxa"/>
        <w:tblLayout w:type="fixed"/>
        <w:tblCellMar>
          <w:top w:w="0" w:type="dxa"/>
          <w:left w:w="108" w:type="dxa"/>
          <w:bottom w:w="0" w:type="dxa"/>
          <w:right w:w="108" w:type="dxa"/>
        </w:tblCellMar>
      </w:tblPr>
      <w:tblGrid>
        <w:gridCol w:w="1042"/>
        <w:gridCol w:w="836"/>
        <w:gridCol w:w="900"/>
        <w:gridCol w:w="900"/>
        <w:gridCol w:w="1276"/>
        <w:gridCol w:w="1440"/>
        <w:gridCol w:w="1276"/>
        <w:gridCol w:w="1276"/>
      </w:tblGrid>
      <w:tr w14:paraId="7D8B54DB">
        <w:tblPrEx>
          <w:tblCellMar>
            <w:top w:w="0" w:type="dxa"/>
            <w:left w:w="108" w:type="dxa"/>
            <w:bottom w:w="0" w:type="dxa"/>
            <w:right w:w="108" w:type="dxa"/>
          </w:tblCellMar>
        </w:tblPrEx>
        <w:trPr>
          <w:trHeight w:val="783" w:hRule="atLeast"/>
        </w:trPr>
        <w:tc>
          <w:tcPr>
            <w:tcW w:w="10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8C5C0E">
            <w:pPr>
              <w:snapToGrid w:val="0"/>
              <w:rPr>
                <w:rFonts w:ascii="宋体" w:hAnsi="宋体"/>
                <w:color w:val="auto"/>
                <w:sz w:val="22"/>
              </w:rPr>
            </w:pPr>
            <w:r>
              <w:rPr>
                <w:rFonts w:hint="eastAsia" w:ascii="宋体" w:hAnsi="宋体"/>
                <w:color w:val="auto"/>
                <w:sz w:val="22"/>
              </w:rPr>
              <w:t>姓名</w:t>
            </w: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C9D20F">
            <w:pPr>
              <w:snapToGrid w:val="0"/>
              <w:rPr>
                <w:rFonts w:ascii="宋体" w:hAnsi="宋体"/>
                <w:color w:val="auto"/>
                <w:sz w:val="22"/>
              </w:rPr>
            </w:pPr>
            <w:r>
              <w:rPr>
                <w:rFonts w:hint="eastAsia" w:ascii="宋体" w:hAnsi="宋体"/>
                <w:color w:val="auto"/>
                <w:sz w:val="22"/>
              </w:rPr>
              <w:t>专业</w:t>
            </w:r>
          </w:p>
          <w:p w14:paraId="1200C850">
            <w:pPr>
              <w:snapToGrid w:val="0"/>
              <w:rPr>
                <w:rFonts w:ascii="宋体" w:hAnsi="宋体"/>
                <w:color w:val="auto"/>
                <w:sz w:val="22"/>
              </w:rPr>
            </w:pPr>
            <w:r>
              <w:rPr>
                <w:rFonts w:hint="eastAsia" w:ascii="宋体" w:hAnsi="宋体"/>
                <w:color w:val="auto"/>
                <w:sz w:val="22"/>
              </w:rPr>
              <w:t>学历</w:t>
            </w: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9908FD">
            <w:pPr>
              <w:snapToGrid w:val="0"/>
              <w:rPr>
                <w:rFonts w:ascii="宋体" w:hAnsi="宋体"/>
                <w:color w:val="auto"/>
                <w:sz w:val="22"/>
              </w:rPr>
            </w:pPr>
            <w:r>
              <w:rPr>
                <w:rFonts w:hint="eastAsia" w:ascii="宋体" w:hAnsi="宋体"/>
                <w:color w:val="auto"/>
                <w:sz w:val="22"/>
              </w:rPr>
              <w:t>性别</w:t>
            </w: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0063AA">
            <w:pPr>
              <w:snapToGrid w:val="0"/>
              <w:rPr>
                <w:rFonts w:ascii="宋体" w:hAnsi="宋体"/>
                <w:color w:val="auto"/>
                <w:sz w:val="22"/>
              </w:rPr>
            </w:pPr>
            <w:r>
              <w:rPr>
                <w:rFonts w:hint="eastAsia" w:ascii="宋体" w:hAnsi="宋体"/>
                <w:color w:val="auto"/>
                <w:sz w:val="22"/>
              </w:rPr>
              <w:t>年龄</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55044B">
            <w:pPr>
              <w:snapToGrid w:val="0"/>
              <w:rPr>
                <w:rFonts w:ascii="宋体" w:hAnsi="宋体"/>
                <w:color w:val="auto"/>
                <w:sz w:val="22"/>
              </w:rPr>
            </w:pPr>
            <w:r>
              <w:rPr>
                <w:rFonts w:hint="eastAsia" w:ascii="宋体" w:hAnsi="宋体"/>
                <w:color w:val="auto"/>
                <w:sz w:val="22"/>
              </w:rPr>
              <w:t>职称职务</w:t>
            </w:r>
          </w:p>
        </w:tc>
        <w:tc>
          <w:tcPr>
            <w:tcW w:w="14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417496">
            <w:pPr>
              <w:snapToGrid w:val="0"/>
              <w:rPr>
                <w:rFonts w:ascii="宋体" w:hAnsi="宋体"/>
                <w:color w:val="auto"/>
                <w:sz w:val="22"/>
              </w:rPr>
            </w:pPr>
            <w:r>
              <w:rPr>
                <w:rFonts w:hint="eastAsia" w:ascii="宋体" w:hAnsi="宋体"/>
                <w:color w:val="auto"/>
                <w:sz w:val="22"/>
              </w:rPr>
              <w:t>从事同类</w:t>
            </w:r>
          </w:p>
          <w:p w14:paraId="5628236A">
            <w:pPr>
              <w:snapToGrid w:val="0"/>
              <w:rPr>
                <w:rFonts w:ascii="宋体" w:hAnsi="宋体"/>
                <w:color w:val="auto"/>
                <w:sz w:val="22"/>
              </w:rPr>
            </w:pPr>
            <w:r>
              <w:rPr>
                <w:rFonts w:hint="eastAsia" w:ascii="宋体" w:hAnsi="宋体"/>
                <w:color w:val="auto"/>
                <w:sz w:val="22"/>
              </w:rPr>
              <w:t>编制时间</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D14E83">
            <w:pPr>
              <w:snapToGrid w:val="0"/>
              <w:rPr>
                <w:rFonts w:ascii="宋体" w:hAnsi="宋体"/>
                <w:color w:val="auto"/>
                <w:sz w:val="22"/>
              </w:rPr>
            </w:pPr>
            <w:r>
              <w:rPr>
                <w:rFonts w:hint="eastAsia" w:ascii="宋体" w:hAnsi="宋体"/>
                <w:color w:val="auto"/>
                <w:sz w:val="22"/>
              </w:rPr>
              <w:t>主要业绩</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ADA956">
            <w:pPr>
              <w:snapToGrid w:val="0"/>
              <w:rPr>
                <w:rFonts w:ascii="宋体" w:hAnsi="宋体"/>
                <w:color w:val="auto"/>
                <w:sz w:val="22"/>
              </w:rPr>
            </w:pPr>
            <w:r>
              <w:rPr>
                <w:rFonts w:hint="eastAsia" w:ascii="宋体" w:hAnsi="宋体" w:cs="宋体"/>
                <w:color w:val="auto"/>
                <w:spacing w:val="20"/>
                <w:sz w:val="22"/>
              </w:rPr>
              <w:t>备注</w:t>
            </w:r>
          </w:p>
        </w:tc>
      </w:tr>
      <w:tr w14:paraId="1575B920">
        <w:tblPrEx>
          <w:tblCellMar>
            <w:top w:w="0" w:type="dxa"/>
            <w:left w:w="108" w:type="dxa"/>
            <w:bottom w:w="0" w:type="dxa"/>
            <w:right w:w="108" w:type="dxa"/>
          </w:tblCellMar>
        </w:tblPrEx>
        <w:trPr>
          <w:trHeight w:val="680" w:hRule="exact"/>
        </w:trPr>
        <w:tc>
          <w:tcPr>
            <w:tcW w:w="10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010A08">
            <w:pPr>
              <w:snapToGrid w:val="0"/>
              <w:rPr>
                <w:rFonts w:ascii="宋体" w:hAnsi="宋体"/>
                <w:color w:val="auto"/>
                <w:sz w:val="22"/>
              </w:rPr>
            </w:pP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E16991">
            <w:pPr>
              <w:snapToGrid w:val="0"/>
              <w:rPr>
                <w:rFonts w:ascii="宋体" w:hAnsi="宋体"/>
                <w:color w:val="auto"/>
                <w:sz w:val="22"/>
              </w:rPr>
            </w:pP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63219F">
            <w:pPr>
              <w:snapToGrid w:val="0"/>
              <w:rPr>
                <w:rFonts w:ascii="宋体" w:hAnsi="宋体"/>
                <w:color w:val="auto"/>
                <w:sz w:val="22"/>
              </w:rPr>
            </w:pP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C3C9BA">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582417">
            <w:pPr>
              <w:snapToGrid w:val="0"/>
              <w:rPr>
                <w:rFonts w:ascii="宋体" w:hAnsi="宋体"/>
                <w:color w:val="auto"/>
                <w:sz w:val="22"/>
              </w:rPr>
            </w:pPr>
          </w:p>
        </w:tc>
        <w:tc>
          <w:tcPr>
            <w:tcW w:w="14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09B9BA">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64BD64">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390092">
            <w:pPr>
              <w:snapToGrid w:val="0"/>
              <w:rPr>
                <w:rFonts w:ascii="宋体" w:hAnsi="宋体"/>
                <w:color w:val="auto"/>
                <w:sz w:val="22"/>
              </w:rPr>
            </w:pPr>
          </w:p>
        </w:tc>
      </w:tr>
      <w:tr w14:paraId="7599E9D2">
        <w:tblPrEx>
          <w:tblCellMar>
            <w:top w:w="0" w:type="dxa"/>
            <w:left w:w="108" w:type="dxa"/>
            <w:bottom w:w="0" w:type="dxa"/>
            <w:right w:w="108" w:type="dxa"/>
          </w:tblCellMar>
        </w:tblPrEx>
        <w:trPr>
          <w:trHeight w:val="680" w:hRule="exact"/>
        </w:trPr>
        <w:tc>
          <w:tcPr>
            <w:tcW w:w="10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2E7009">
            <w:pPr>
              <w:snapToGrid w:val="0"/>
              <w:rPr>
                <w:rFonts w:ascii="宋体" w:hAnsi="宋体"/>
                <w:color w:val="auto"/>
                <w:sz w:val="22"/>
              </w:rPr>
            </w:pP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EAC38C">
            <w:pPr>
              <w:snapToGrid w:val="0"/>
              <w:rPr>
                <w:rFonts w:ascii="宋体" w:hAnsi="宋体"/>
                <w:color w:val="auto"/>
                <w:sz w:val="22"/>
              </w:rPr>
            </w:pP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81E045">
            <w:pPr>
              <w:snapToGrid w:val="0"/>
              <w:rPr>
                <w:rFonts w:ascii="宋体" w:hAnsi="宋体"/>
                <w:color w:val="auto"/>
                <w:sz w:val="22"/>
              </w:rPr>
            </w:pP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4E25C2">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2F44F9">
            <w:pPr>
              <w:snapToGrid w:val="0"/>
              <w:rPr>
                <w:rFonts w:ascii="宋体" w:hAnsi="宋体"/>
                <w:color w:val="auto"/>
                <w:sz w:val="22"/>
              </w:rPr>
            </w:pPr>
          </w:p>
        </w:tc>
        <w:tc>
          <w:tcPr>
            <w:tcW w:w="14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877BCC">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0F5D00">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4F2CA8">
            <w:pPr>
              <w:snapToGrid w:val="0"/>
              <w:rPr>
                <w:rFonts w:ascii="宋体" w:hAnsi="宋体"/>
                <w:color w:val="auto"/>
                <w:sz w:val="22"/>
              </w:rPr>
            </w:pPr>
          </w:p>
        </w:tc>
      </w:tr>
      <w:tr w14:paraId="4D8E4247">
        <w:tblPrEx>
          <w:tblCellMar>
            <w:top w:w="0" w:type="dxa"/>
            <w:left w:w="108" w:type="dxa"/>
            <w:bottom w:w="0" w:type="dxa"/>
            <w:right w:w="108" w:type="dxa"/>
          </w:tblCellMar>
        </w:tblPrEx>
        <w:trPr>
          <w:trHeight w:val="680" w:hRule="exact"/>
        </w:trPr>
        <w:tc>
          <w:tcPr>
            <w:tcW w:w="10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85FB18">
            <w:pPr>
              <w:snapToGrid w:val="0"/>
              <w:rPr>
                <w:rFonts w:ascii="宋体" w:hAnsi="宋体"/>
                <w:color w:val="auto"/>
                <w:sz w:val="22"/>
              </w:rPr>
            </w:pP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BA305D">
            <w:pPr>
              <w:snapToGrid w:val="0"/>
              <w:rPr>
                <w:rFonts w:ascii="宋体" w:hAnsi="宋体"/>
                <w:color w:val="auto"/>
                <w:sz w:val="22"/>
              </w:rPr>
            </w:pP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107BF9">
            <w:pPr>
              <w:snapToGrid w:val="0"/>
              <w:rPr>
                <w:rFonts w:ascii="宋体" w:hAnsi="宋体"/>
                <w:color w:val="auto"/>
                <w:sz w:val="22"/>
              </w:rPr>
            </w:pP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379308">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1CF53C">
            <w:pPr>
              <w:snapToGrid w:val="0"/>
              <w:rPr>
                <w:rFonts w:ascii="宋体" w:hAnsi="宋体"/>
                <w:color w:val="auto"/>
                <w:sz w:val="22"/>
              </w:rPr>
            </w:pPr>
          </w:p>
        </w:tc>
        <w:tc>
          <w:tcPr>
            <w:tcW w:w="14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878FB7">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306BC7">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CB97E2">
            <w:pPr>
              <w:snapToGrid w:val="0"/>
              <w:rPr>
                <w:rFonts w:ascii="宋体" w:hAnsi="宋体"/>
                <w:color w:val="auto"/>
                <w:sz w:val="22"/>
              </w:rPr>
            </w:pPr>
          </w:p>
        </w:tc>
      </w:tr>
      <w:tr w14:paraId="74353F9E">
        <w:tblPrEx>
          <w:tblCellMar>
            <w:top w:w="0" w:type="dxa"/>
            <w:left w:w="108" w:type="dxa"/>
            <w:bottom w:w="0" w:type="dxa"/>
            <w:right w:w="108" w:type="dxa"/>
          </w:tblCellMar>
        </w:tblPrEx>
        <w:trPr>
          <w:trHeight w:val="680" w:hRule="exact"/>
        </w:trPr>
        <w:tc>
          <w:tcPr>
            <w:tcW w:w="10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64F2E4">
            <w:pPr>
              <w:snapToGrid w:val="0"/>
              <w:rPr>
                <w:rFonts w:ascii="宋体" w:hAnsi="宋体"/>
                <w:color w:val="auto"/>
                <w:sz w:val="22"/>
              </w:rPr>
            </w:pP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532BB8">
            <w:pPr>
              <w:snapToGrid w:val="0"/>
              <w:rPr>
                <w:rFonts w:ascii="宋体" w:hAnsi="宋体"/>
                <w:color w:val="auto"/>
                <w:sz w:val="22"/>
              </w:rPr>
            </w:pP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8AB19C">
            <w:pPr>
              <w:snapToGrid w:val="0"/>
              <w:rPr>
                <w:rFonts w:ascii="宋体" w:hAnsi="宋体"/>
                <w:color w:val="auto"/>
                <w:sz w:val="22"/>
              </w:rPr>
            </w:pP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304A9D">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03D7A9">
            <w:pPr>
              <w:snapToGrid w:val="0"/>
              <w:rPr>
                <w:rFonts w:ascii="宋体" w:hAnsi="宋体"/>
                <w:color w:val="auto"/>
                <w:sz w:val="22"/>
              </w:rPr>
            </w:pPr>
          </w:p>
        </w:tc>
        <w:tc>
          <w:tcPr>
            <w:tcW w:w="14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4203D0">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8D3BED">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987440">
            <w:pPr>
              <w:snapToGrid w:val="0"/>
              <w:rPr>
                <w:rFonts w:ascii="宋体" w:hAnsi="宋体"/>
                <w:color w:val="auto"/>
                <w:sz w:val="22"/>
              </w:rPr>
            </w:pPr>
          </w:p>
        </w:tc>
      </w:tr>
      <w:tr w14:paraId="018E28C1">
        <w:tblPrEx>
          <w:tblCellMar>
            <w:top w:w="0" w:type="dxa"/>
            <w:left w:w="108" w:type="dxa"/>
            <w:bottom w:w="0" w:type="dxa"/>
            <w:right w:w="108" w:type="dxa"/>
          </w:tblCellMar>
        </w:tblPrEx>
        <w:trPr>
          <w:trHeight w:val="680" w:hRule="exact"/>
        </w:trPr>
        <w:tc>
          <w:tcPr>
            <w:tcW w:w="10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6473C0">
            <w:pPr>
              <w:snapToGrid w:val="0"/>
              <w:rPr>
                <w:rFonts w:ascii="宋体" w:hAnsi="宋体"/>
                <w:color w:val="auto"/>
                <w:sz w:val="22"/>
              </w:rPr>
            </w:pP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82DE3E">
            <w:pPr>
              <w:snapToGrid w:val="0"/>
              <w:rPr>
                <w:rFonts w:ascii="宋体" w:hAnsi="宋体"/>
                <w:color w:val="auto"/>
                <w:sz w:val="22"/>
              </w:rPr>
            </w:pP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F3E201">
            <w:pPr>
              <w:snapToGrid w:val="0"/>
              <w:rPr>
                <w:rFonts w:ascii="宋体" w:hAnsi="宋体"/>
                <w:color w:val="auto"/>
                <w:sz w:val="22"/>
              </w:rPr>
            </w:pP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4E05F0">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2AF022">
            <w:pPr>
              <w:snapToGrid w:val="0"/>
              <w:rPr>
                <w:rFonts w:ascii="宋体" w:hAnsi="宋体"/>
                <w:color w:val="auto"/>
                <w:sz w:val="22"/>
              </w:rPr>
            </w:pPr>
          </w:p>
        </w:tc>
        <w:tc>
          <w:tcPr>
            <w:tcW w:w="14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20D9C8">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F7CCDA">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E7D8C3">
            <w:pPr>
              <w:snapToGrid w:val="0"/>
              <w:rPr>
                <w:rFonts w:ascii="宋体" w:hAnsi="宋体"/>
                <w:color w:val="auto"/>
                <w:sz w:val="22"/>
              </w:rPr>
            </w:pPr>
          </w:p>
        </w:tc>
      </w:tr>
      <w:tr w14:paraId="183B1E97">
        <w:tblPrEx>
          <w:tblCellMar>
            <w:top w:w="0" w:type="dxa"/>
            <w:left w:w="108" w:type="dxa"/>
            <w:bottom w:w="0" w:type="dxa"/>
            <w:right w:w="108" w:type="dxa"/>
          </w:tblCellMar>
        </w:tblPrEx>
        <w:trPr>
          <w:trHeight w:val="680" w:hRule="exact"/>
        </w:trPr>
        <w:tc>
          <w:tcPr>
            <w:tcW w:w="10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1FB7F3">
            <w:pPr>
              <w:snapToGrid w:val="0"/>
              <w:rPr>
                <w:rFonts w:ascii="宋体" w:hAnsi="宋体"/>
                <w:color w:val="auto"/>
                <w:sz w:val="22"/>
              </w:rPr>
            </w:pP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B2A93A">
            <w:pPr>
              <w:snapToGrid w:val="0"/>
              <w:rPr>
                <w:rFonts w:ascii="宋体" w:hAnsi="宋体"/>
                <w:color w:val="auto"/>
                <w:sz w:val="22"/>
              </w:rPr>
            </w:pP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6736DF">
            <w:pPr>
              <w:snapToGrid w:val="0"/>
              <w:rPr>
                <w:rFonts w:ascii="宋体" w:hAnsi="宋体"/>
                <w:color w:val="auto"/>
                <w:sz w:val="22"/>
              </w:rPr>
            </w:pP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9CAF00">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87CC82">
            <w:pPr>
              <w:snapToGrid w:val="0"/>
              <w:rPr>
                <w:rFonts w:ascii="宋体" w:hAnsi="宋体"/>
                <w:color w:val="auto"/>
                <w:sz w:val="22"/>
              </w:rPr>
            </w:pPr>
          </w:p>
        </w:tc>
        <w:tc>
          <w:tcPr>
            <w:tcW w:w="14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34DD6C">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834553">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8E5641">
            <w:pPr>
              <w:snapToGrid w:val="0"/>
              <w:rPr>
                <w:rFonts w:ascii="宋体" w:hAnsi="宋体"/>
                <w:color w:val="auto"/>
                <w:sz w:val="22"/>
              </w:rPr>
            </w:pPr>
          </w:p>
        </w:tc>
      </w:tr>
      <w:tr w14:paraId="5AB725D5">
        <w:tblPrEx>
          <w:tblCellMar>
            <w:top w:w="0" w:type="dxa"/>
            <w:left w:w="108" w:type="dxa"/>
            <w:bottom w:w="0" w:type="dxa"/>
            <w:right w:w="108" w:type="dxa"/>
          </w:tblCellMar>
        </w:tblPrEx>
        <w:trPr>
          <w:trHeight w:val="680" w:hRule="exact"/>
        </w:trPr>
        <w:tc>
          <w:tcPr>
            <w:tcW w:w="10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071742">
            <w:pPr>
              <w:snapToGrid w:val="0"/>
              <w:rPr>
                <w:rFonts w:ascii="宋体" w:hAnsi="宋体"/>
                <w:color w:val="auto"/>
                <w:sz w:val="22"/>
              </w:rPr>
            </w:pP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11C120">
            <w:pPr>
              <w:snapToGrid w:val="0"/>
              <w:rPr>
                <w:rFonts w:ascii="宋体" w:hAnsi="宋体"/>
                <w:color w:val="auto"/>
                <w:sz w:val="22"/>
              </w:rPr>
            </w:pP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9A728D">
            <w:pPr>
              <w:snapToGrid w:val="0"/>
              <w:rPr>
                <w:rFonts w:ascii="宋体" w:hAnsi="宋体"/>
                <w:color w:val="auto"/>
                <w:sz w:val="22"/>
              </w:rPr>
            </w:pP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D3619A">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6DE98A">
            <w:pPr>
              <w:snapToGrid w:val="0"/>
              <w:rPr>
                <w:rFonts w:ascii="宋体" w:hAnsi="宋体"/>
                <w:color w:val="auto"/>
                <w:sz w:val="22"/>
              </w:rPr>
            </w:pPr>
          </w:p>
        </w:tc>
        <w:tc>
          <w:tcPr>
            <w:tcW w:w="14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007922">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E7733A">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A170A8">
            <w:pPr>
              <w:snapToGrid w:val="0"/>
              <w:rPr>
                <w:rFonts w:ascii="宋体" w:hAnsi="宋体"/>
                <w:color w:val="auto"/>
                <w:sz w:val="22"/>
              </w:rPr>
            </w:pPr>
          </w:p>
        </w:tc>
      </w:tr>
      <w:tr w14:paraId="47F209B2">
        <w:tblPrEx>
          <w:tblCellMar>
            <w:top w:w="0" w:type="dxa"/>
            <w:left w:w="108" w:type="dxa"/>
            <w:bottom w:w="0" w:type="dxa"/>
            <w:right w:w="108" w:type="dxa"/>
          </w:tblCellMar>
        </w:tblPrEx>
        <w:trPr>
          <w:trHeight w:val="680" w:hRule="exact"/>
        </w:trPr>
        <w:tc>
          <w:tcPr>
            <w:tcW w:w="10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58F07A">
            <w:pPr>
              <w:snapToGrid w:val="0"/>
              <w:rPr>
                <w:rFonts w:ascii="宋体" w:hAnsi="宋体"/>
                <w:color w:val="auto"/>
                <w:sz w:val="22"/>
              </w:rPr>
            </w:pP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C63912">
            <w:pPr>
              <w:snapToGrid w:val="0"/>
              <w:rPr>
                <w:rFonts w:ascii="宋体" w:hAnsi="宋体"/>
                <w:color w:val="auto"/>
                <w:sz w:val="22"/>
              </w:rPr>
            </w:pP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D7FEB3">
            <w:pPr>
              <w:snapToGrid w:val="0"/>
              <w:rPr>
                <w:rFonts w:ascii="宋体" w:hAnsi="宋体"/>
                <w:color w:val="auto"/>
                <w:sz w:val="22"/>
              </w:rPr>
            </w:pP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240C57">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387C7C">
            <w:pPr>
              <w:snapToGrid w:val="0"/>
              <w:rPr>
                <w:rFonts w:ascii="宋体" w:hAnsi="宋体"/>
                <w:color w:val="auto"/>
                <w:sz w:val="22"/>
              </w:rPr>
            </w:pPr>
          </w:p>
        </w:tc>
        <w:tc>
          <w:tcPr>
            <w:tcW w:w="14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675815">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3AB080">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DA441E">
            <w:pPr>
              <w:snapToGrid w:val="0"/>
              <w:rPr>
                <w:rFonts w:ascii="宋体" w:hAnsi="宋体"/>
                <w:color w:val="auto"/>
                <w:sz w:val="22"/>
              </w:rPr>
            </w:pPr>
          </w:p>
        </w:tc>
      </w:tr>
      <w:tr w14:paraId="0BD3541F">
        <w:tblPrEx>
          <w:tblCellMar>
            <w:top w:w="0" w:type="dxa"/>
            <w:left w:w="108" w:type="dxa"/>
            <w:bottom w:w="0" w:type="dxa"/>
            <w:right w:w="108" w:type="dxa"/>
          </w:tblCellMar>
        </w:tblPrEx>
        <w:trPr>
          <w:trHeight w:val="680" w:hRule="exact"/>
        </w:trPr>
        <w:tc>
          <w:tcPr>
            <w:tcW w:w="10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44736B">
            <w:pPr>
              <w:snapToGrid w:val="0"/>
              <w:rPr>
                <w:rFonts w:ascii="宋体" w:hAnsi="宋体"/>
                <w:color w:val="auto"/>
                <w:sz w:val="22"/>
              </w:rPr>
            </w:pP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CB4035">
            <w:pPr>
              <w:snapToGrid w:val="0"/>
              <w:rPr>
                <w:rFonts w:ascii="宋体" w:hAnsi="宋体"/>
                <w:color w:val="auto"/>
                <w:sz w:val="22"/>
              </w:rPr>
            </w:pP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3270E5">
            <w:pPr>
              <w:snapToGrid w:val="0"/>
              <w:rPr>
                <w:rFonts w:ascii="宋体" w:hAnsi="宋体"/>
                <w:color w:val="auto"/>
                <w:sz w:val="22"/>
              </w:rPr>
            </w:pP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CBE8F6">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CFBF46">
            <w:pPr>
              <w:snapToGrid w:val="0"/>
              <w:rPr>
                <w:rFonts w:ascii="宋体" w:hAnsi="宋体"/>
                <w:color w:val="auto"/>
                <w:sz w:val="22"/>
              </w:rPr>
            </w:pPr>
          </w:p>
        </w:tc>
        <w:tc>
          <w:tcPr>
            <w:tcW w:w="14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5014E0">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F90B13">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623E25">
            <w:pPr>
              <w:snapToGrid w:val="0"/>
              <w:rPr>
                <w:rFonts w:ascii="宋体" w:hAnsi="宋体"/>
                <w:color w:val="auto"/>
                <w:sz w:val="22"/>
              </w:rPr>
            </w:pPr>
          </w:p>
        </w:tc>
      </w:tr>
      <w:tr w14:paraId="18058200">
        <w:tblPrEx>
          <w:tblCellMar>
            <w:top w:w="0" w:type="dxa"/>
            <w:left w:w="108" w:type="dxa"/>
            <w:bottom w:w="0" w:type="dxa"/>
            <w:right w:w="108" w:type="dxa"/>
          </w:tblCellMar>
        </w:tblPrEx>
        <w:trPr>
          <w:trHeight w:val="680" w:hRule="exact"/>
        </w:trPr>
        <w:tc>
          <w:tcPr>
            <w:tcW w:w="10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272013">
            <w:pPr>
              <w:snapToGrid w:val="0"/>
              <w:rPr>
                <w:rFonts w:ascii="宋体" w:hAnsi="宋体"/>
                <w:color w:val="auto"/>
                <w:sz w:val="22"/>
              </w:rPr>
            </w:pP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BE7A76">
            <w:pPr>
              <w:snapToGrid w:val="0"/>
              <w:rPr>
                <w:rFonts w:ascii="宋体" w:hAnsi="宋体"/>
                <w:color w:val="auto"/>
                <w:sz w:val="22"/>
              </w:rPr>
            </w:pP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F0CF9B">
            <w:pPr>
              <w:snapToGrid w:val="0"/>
              <w:rPr>
                <w:rFonts w:ascii="宋体" w:hAnsi="宋体"/>
                <w:color w:val="auto"/>
                <w:sz w:val="22"/>
              </w:rPr>
            </w:pP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5EAEFB">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CA83D3">
            <w:pPr>
              <w:snapToGrid w:val="0"/>
              <w:rPr>
                <w:rFonts w:ascii="宋体" w:hAnsi="宋体"/>
                <w:color w:val="auto"/>
                <w:sz w:val="22"/>
              </w:rPr>
            </w:pPr>
          </w:p>
        </w:tc>
        <w:tc>
          <w:tcPr>
            <w:tcW w:w="14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0C2E50">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787459">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5306E7">
            <w:pPr>
              <w:snapToGrid w:val="0"/>
              <w:rPr>
                <w:rFonts w:ascii="宋体" w:hAnsi="宋体"/>
                <w:color w:val="auto"/>
                <w:sz w:val="22"/>
              </w:rPr>
            </w:pPr>
          </w:p>
        </w:tc>
      </w:tr>
      <w:tr w14:paraId="545DC0AF">
        <w:tblPrEx>
          <w:tblCellMar>
            <w:top w:w="0" w:type="dxa"/>
            <w:left w:w="108" w:type="dxa"/>
            <w:bottom w:w="0" w:type="dxa"/>
            <w:right w:w="108" w:type="dxa"/>
          </w:tblCellMar>
        </w:tblPrEx>
        <w:trPr>
          <w:trHeight w:val="680" w:hRule="exact"/>
        </w:trPr>
        <w:tc>
          <w:tcPr>
            <w:tcW w:w="10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23C266">
            <w:pPr>
              <w:snapToGrid w:val="0"/>
              <w:rPr>
                <w:rFonts w:ascii="宋体" w:hAnsi="宋体"/>
                <w:color w:val="auto"/>
                <w:sz w:val="22"/>
              </w:rPr>
            </w:pP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F36D5D">
            <w:pPr>
              <w:snapToGrid w:val="0"/>
              <w:rPr>
                <w:rFonts w:ascii="宋体" w:hAnsi="宋体"/>
                <w:color w:val="auto"/>
                <w:sz w:val="22"/>
              </w:rPr>
            </w:pP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470ECE">
            <w:pPr>
              <w:snapToGrid w:val="0"/>
              <w:rPr>
                <w:rFonts w:ascii="宋体" w:hAnsi="宋体"/>
                <w:color w:val="auto"/>
                <w:sz w:val="22"/>
              </w:rPr>
            </w:pP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065338">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AE1EE9">
            <w:pPr>
              <w:snapToGrid w:val="0"/>
              <w:rPr>
                <w:rFonts w:ascii="宋体" w:hAnsi="宋体"/>
                <w:color w:val="auto"/>
                <w:sz w:val="22"/>
              </w:rPr>
            </w:pPr>
          </w:p>
        </w:tc>
        <w:tc>
          <w:tcPr>
            <w:tcW w:w="14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C6432E">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C556C3">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CA00D1">
            <w:pPr>
              <w:snapToGrid w:val="0"/>
              <w:rPr>
                <w:rFonts w:ascii="宋体" w:hAnsi="宋体"/>
                <w:color w:val="auto"/>
                <w:sz w:val="22"/>
              </w:rPr>
            </w:pPr>
          </w:p>
        </w:tc>
      </w:tr>
      <w:tr w14:paraId="4070E725">
        <w:tblPrEx>
          <w:tblCellMar>
            <w:top w:w="0" w:type="dxa"/>
            <w:left w:w="108" w:type="dxa"/>
            <w:bottom w:w="0" w:type="dxa"/>
            <w:right w:w="108" w:type="dxa"/>
          </w:tblCellMar>
        </w:tblPrEx>
        <w:trPr>
          <w:trHeight w:val="680" w:hRule="exact"/>
        </w:trPr>
        <w:tc>
          <w:tcPr>
            <w:tcW w:w="10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1C1241">
            <w:pPr>
              <w:snapToGrid w:val="0"/>
              <w:rPr>
                <w:rFonts w:ascii="宋体" w:hAnsi="宋体"/>
                <w:color w:val="auto"/>
                <w:sz w:val="22"/>
              </w:rPr>
            </w:pPr>
          </w:p>
        </w:tc>
        <w:tc>
          <w:tcPr>
            <w:tcW w:w="8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6CF3C6">
            <w:pPr>
              <w:snapToGrid w:val="0"/>
              <w:rPr>
                <w:rFonts w:ascii="宋体" w:hAnsi="宋体"/>
                <w:color w:val="auto"/>
                <w:sz w:val="22"/>
              </w:rPr>
            </w:pP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7CF02A">
            <w:pPr>
              <w:snapToGrid w:val="0"/>
              <w:rPr>
                <w:rFonts w:ascii="宋体" w:hAnsi="宋体"/>
                <w:color w:val="auto"/>
                <w:sz w:val="22"/>
              </w:rPr>
            </w:pP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8FC73E">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F0118E">
            <w:pPr>
              <w:snapToGrid w:val="0"/>
              <w:rPr>
                <w:rFonts w:ascii="宋体" w:hAnsi="宋体"/>
                <w:color w:val="auto"/>
                <w:sz w:val="22"/>
              </w:rPr>
            </w:pPr>
          </w:p>
        </w:tc>
        <w:tc>
          <w:tcPr>
            <w:tcW w:w="14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9070F2">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E9C331">
            <w:pPr>
              <w:snapToGrid w:val="0"/>
              <w:rPr>
                <w:rFonts w:ascii="宋体" w:hAnsi="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18B3B8">
            <w:pPr>
              <w:snapToGrid w:val="0"/>
              <w:rPr>
                <w:rFonts w:ascii="宋体" w:hAnsi="宋体"/>
                <w:color w:val="auto"/>
                <w:sz w:val="22"/>
              </w:rPr>
            </w:pPr>
          </w:p>
        </w:tc>
      </w:tr>
    </w:tbl>
    <w:p w14:paraId="16CB6ECF">
      <w:pPr>
        <w:snapToGrid w:val="0"/>
        <w:rPr>
          <w:rFonts w:ascii="宋体" w:hAnsi="宋体"/>
          <w:color w:val="auto"/>
          <w:sz w:val="22"/>
        </w:rPr>
      </w:pPr>
    </w:p>
    <w:p w14:paraId="5B978A23">
      <w:pPr>
        <w:snapToGrid w:val="0"/>
        <w:rPr>
          <w:rFonts w:ascii="宋体" w:hAnsi="宋体"/>
          <w:color w:val="auto"/>
          <w:sz w:val="22"/>
        </w:rPr>
      </w:pPr>
      <w:r>
        <w:rPr>
          <w:rFonts w:ascii="宋体" w:hAnsi="宋体"/>
          <w:color w:val="auto"/>
          <w:sz w:val="22"/>
        </w:rPr>
        <w:t>注：1、本表人员有资格证书的应随表提交职称、资格证书复印件。</w:t>
      </w:r>
    </w:p>
    <w:p w14:paraId="0C70D630">
      <w:pPr>
        <w:snapToGrid w:val="0"/>
        <w:ind w:firstLine="480"/>
        <w:rPr>
          <w:rFonts w:ascii="宋体" w:hAnsi="宋体"/>
          <w:color w:val="auto"/>
          <w:sz w:val="22"/>
        </w:rPr>
      </w:pPr>
      <w:r>
        <w:rPr>
          <w:rFonts w:ascii="宋体" w:hAnsi="宋体"/>
          <w:color w:val="auto"/>
          <w:sz w:val="22"/>
        </w:rPr>
        <w:t>2、列入本表人员如要更换，需经</w:t>
      </w:r>
      <w:r>
        <w:rPr>
          <w:rFonts w:hint="eastAsia" w:ascii="宋体" w:hAnsi="宋体"/>
          <w:color w:val="auto"/>
          <w:sz w:val="22"/>
        </w:rPr>
        <w:t>采购</w:t>
      </w:r>
      <w:r>
        <w:rPr>
          <w:rFonts w:ascii="宋体" w:hAnsi="宋体"/>
          <w:color w:val="auto"/>
          <w:sz w:val="22"/>
        </w:rPr>
        <w:t>人同意；擅自更换或不到位属违约行为。</w:t>
      </w:r>
    </w:p>
    <w:p w14:paraId="242B0E2A">
      <w:pPr>
        <w:snapToGrid w:val="0"/>
        <w:ind w:firstLine="440"/>
        <w:rPr>
          <w:rFonts w:ascii="宋体" w:hAnsi="宋体"/>
          <w:color w:val="auto"/>
          <w:sz w:val="22"/>
        </w:rPr>
      </w:pPr>
      <w:r>
        <w:rPr>
          <w:rFonts w:hint="eastAsia" w:ascii="宋体" w:hAnsi="宋体"/>
          <w:color w:val="auto"/>
          <w:sz w:val="22"/>
        </w:rPr>
        <w:t>3、表格可以延续</w:t>
      </w:r>
      <w:r>
        <w:rPr>
          <w:rFonts w:ascii="宋体" w:hAnsi="宋体"/>
          <w:color w:val="auto"/>
          <w:sz w:val="22"/>
        </w:rPr>
        <w:t>。</w:t>
      </w:r>
    </w:p>
    <w:p w14:paraId="34601D40">
      <w:pPr>
        <w:snapToGrid w:val="0"/>
        <w:spacing w:line="460" w:lineRule="atLeast"/>
        <w:ind w:firstLine="480"/>
        <w:rPr>
          <w:rFonts w:ascii="宋体" w:hAnsi="宋体"/>
          <w:color w:val="auto"/>
          <w:spacing w:val="20"/>
          <w:sz w:val="22"/>
        </w:rPr>
      </w:pPr>
    </w:p>
    <w:p w14:paraId="187C1C53">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投标供应商（盖章） ：</w:t>
      </w:r>
    </w:p>
    <w:p w14:paraId="7776B801">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法定代表人或其授权代表（签字或盖章）：</w:t>
      </w:r>
    </w:p>
    <w:p w14:paraId="1C7D9F17">
      <w:pPr>
        <w:autoSpaceDE w:val="0"/>
        <w:autoSpaceDN w:val="0"/>
        <w:adjustRightInd w:val="0"/>
        <w:spacing w:line="460" w:lineRule="atLeast"/>
        <w:ind w:firstLine="446" w:firstLineChars="200"/>
        <w:rPr>
          <w:rFonts w:ascii="宋体" w:cs="Courier New"/>
          <w:color w:val="auto"/>
          <w:sz w:val="22"/>
          <w:szCs w:val="22"/>
        </w:rPr>
      </w:pPr>
      <w:r>
        <w:rPr>
          <w:rFonts w:hint="eastAsia" w:ascii="宋体" w:cs="Courier New"/>
          <w:color w:val="auto"/>
          <w:sz w:val="22"/>
          <w:szCs w:val="22"/>
        </w:rPr>
        <w:t>日期：</w:t>
      </w:r>
    </w:p>
    <w:p w14:paraId="1A081630">
      <w:pPr>
        <w:spacing w:line="360" w:lineRule="exact"/>
        <w:jc w:val="left"/>
        <w:rPr>
          <w:rFonts w:ascii="宋体" w:hAnsi="宋体" w:cs="宋体"/>
          <w:b/>
          <w:bCs/>
          <w:color w:val="auto"/>
          <w:sz w:val="30"/>
        </w:rPr>
      </w:pPr>
    </w:p>
    <w:p w14:paraId="31F32B7F">
      <w:pPr>
        <w:pStyle w:val="34"/>
        <w:outlineLvl w:val="2"/>
        <w:rPr>
          <w:rFonts w:ascii="宋体" w:hAnsi="宋体"/>
          <w:color w:val="auto"/>
          <w:sz w:val="28"/>
          <w:szCs w:val="18"/>
          <w:lang w:val="zh-CN"/>
        </w:rPr>
      </w:pPr>
      <w:r>
        <w:rPr>
          <w:rFonts w:hint="eastAsia" w:ascii="宋体" w:hAnsi="宋体"/>
          <w:color w:val="auto"/>
          <w:sz w:val="28"/>
          <w:szCs w:val="18"/>
          <w:lang w:val="zh-CN"/>
        </w:rPr>
        <w:t>附件十</w:t>
      </w:r>
      <w:bookmarkStart w:id="133" w:name="_Toc28287_WPSOffice_Level3"/>
      <w:r>
        <w:rPr>
          <w:rFonts w:hint="eastAsia" w:ascii="宋体" w:hAnsi="宋体"/>
          <w:color w:val="auto"/>
          <w:sz w:val="28"/>
          <w:szCs w:val="18"/>
        </w:rPr>
        <w:t xml:space="preserve">四  </w:t>
      </w:r>
      <w:r>
        <w:rPr>
          <w:rFonts w:hint="eastAsia" w:ascii="宋体" w:hAnsi="宋体"/>
          <w:color w:val="auto"/>
          <w:sz w:val="28"/>
          <w:szCs w:val="18"/>
          <w:lang w:val="zh-CN"/>
        </w:rPr>
        <w:t>供应商项目业绩清单</w:t>
      </w:r>
      <w:bookmarkEnd w:id="133"/>
    </w:p>
    <w:p w14:paraId="69BC49C6">
      <w:pPr>
        <w:autoSpaceDE w:val="0"/>
        <w:autoSpaceDN w:val="0"/>
        <w:adjustRightInd w:val="0"/>
        <w:spacing w:line="360" w:lineRule="exact"/>
        <w:rPr>
          <w:rFonts w:ascii="宋体" w:hAnsi="宋体" w:cs="宋体"/>
          <w:color w:val="auto"/>
          <w:sz w:val="32"/>
          <w:lang w:val="zh-CN"/>
        </w:rPr>
      </w:pPr>
      <w:r>
        <w:rPr>
          <w:rFonts w:hint="eastAsia" w:ascii="宋体"/>
          <w:color w:val="auto"/>
          <w:sz w:val="22"/>
          <w:szCs w:val="22"/>
        </w:rPr>
        <w:t>项目名称：                                       项目编号：</w:t>
      </w:r>
    </w:p>
    <w:tbl>
      <w:tblPr>
        <w:tblStyle w:val="36"/>
        <w:tblW w:w="0" w:type="auto"/>
        <w:tblInd w:w="94" w:type="dxa"/>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4411547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c>
          <w:tcPr>
            <w:tcW w:w="756" w:type="dxa"/>
            <w:noWrap w:val="0"/>
            <w:vAlign w:val="top"/>
          </w:tcPr>
          <w:p w14:paraId="0C1D9589">
            <w:pPr>
              <w:tabs>
                <w:tab w:val="left" w:pos="4140"/>
              </w:tabs>
              <w:adjustRightInd w:val="0"/>
              <w:snapToGrid w:val="0"/>
              <w:spacing w:line="320" w:lineRule="atLeast"/>
              <w:jc w:val="center"/>
              <w:rPr>
                <w:rFonts w:ascii="宋体" w:hAnsi="宋体" w:cs="宋体"/>
                <w:caps/>
                <w:color w:val="auto"/>
                <w:spacing w:val="20"/>
                <w:sz w:val="22"/>
              </w:rPr>
            </w:pPr>
            <w:r>
              <w:rPr>
                <w:rFonts w:hint="eastAsia" w:ascii="宋体" w:hAnsi="宋体" w:cs="宋体"/>
                <w:caps/>
                <w:color w:val="auto"/>
                <w:spacing w:val="20"/>
                <w:sz w:val="22"/>
              </w:rPr>
              <w:t>序号</w:t>
            </w:r>
          </w:p>
        </w:tc>
        <w:tc>
          <w:tcPr>
            <w:tcW w:w="1153" w:type="dxa"/>
            <w:noWrap w:val="0"/>
            <w:vAlign w:val="top"/>
          </w:tcPr>
          <w:p w14:paraId="32FDB029">
            <w:pPr>
              <w:tabs>
                <w:tab w:val="left" w:pos="4140"/>
              </w:tabs>
              <w:adjustRightInd w:val="0"/>
              <w:snapToGrid w:val="0"/>
              <w:spacing w:line="320" w:lineRule="atLeast"/>
              <w:jc w:val="center"/>
              <w:rPr>
                <w:rFonts w:ascii="宋体" w:hAnsi="宋体" w:cs="宋体"/>
                <w:color w:val="auto"/>
                <w:spacing w:val="20"/>
                <w:sz w:val="22"/>
              </w:rPr>
            </w:pPr>
            <w:r>
              <w:rPr>
                <w:rFonts w:hint="eastAsia" w:ascii="宋体" w:hAnsi="宋体" w:cs="宋体"/>
                <w:color w:val="auto"/>
                <w:spacing w:val="20"/>
                <w:sz w:val="22"/>
              </w:rPr>
              <w:t>采购</w:t>
            </w:r>
          </w:p>
          <w:p w14:paraId="75AC0B35">
            <w:pPr>
              <w:tabs>
                <w:tab w:val="left" w:pos="4140"/>
              </w:tabs>
              <w:adjustRightInd w:val="0"/>
              <w:snapToGrid w:val="0"/>
              <w:spacing w:line="320" w:lineRule="atLeast"/>
              <w:jc w:val="center"/>
              <w:rPr>
                <w:rFonts w:ascii="宋体" w:hAnsi="宋体" w:cs="宋体"/>
                <w:caps/>
                <w:color w:val="auto"/>
                <w:spacing w:val="20"/>
                <w:sz w:val="22"/>
              </w:rPr>
            </w:pPr>
            <w:r>
              <w:rPr>
                <w:rFonts w:hint="eastAsia" w:ascii="宋体" w:hAnsi="宋体" w:cs="宋体"/>
                <w:color w:val="auto"/>
                <w:spacing w:val="20"/>
                <w:sz w:val="22"/>
              </w:rPr>
              <w:t>单位</w:t>
            </w:r>
          </w:p>
        </w:tc>
        <w:tc>
          <w:tcPr>
            <w:tcW w:w="1154" w:type="dxa"/>
            <w:noWrap w:val="0"/>
            <w:vAlign w:val="top"/>
          </w:tcPr>
          <w:p w14:paraId="32A0FB90">
            <w:pPr>
              <w:tabs>
                <w:tab w:val="left" w:pos="4140"/>
              </w:tabs>
              <w:adjustRightInd w:val="0"/>
              <w:snapToGrid w:val="0"/>
              <w:spacing w:line="320" w:lineRule="atLeast"/>
              <w:jc w:val="center"/>
              <w:rPr>
                <w:rFonts w:ascii="宋体" w:hAnsi="宋体" w:cs="宋体"/>
                <w:caps/>
                <w:color w:val="auto"/>
                <w:spacing w:val="20"/>
                <w:sz w:val="22"/>
              </w:rPr>
            </w:pPr>
            <w:r>
              <w:rPr>
                <w:rFonts w:hint="eastAsia" w:ascii="宋体" w:hAnsi="宋体" w:cs="宋体"/>
                <w:caps/>
                <w:color w:val="auto"/>
                <w:spacing w:val="20"/>
                <w:sz w:val="22"/>
              </w:rPr>
              <w:t>项目</w:t>
            </w:r>
          </w:p>
          <w:p w14:paraId="5834858B">
            <w:pPr>
              <w:tabs>
                <w:tab w:val="left" w:pos="4140"/>
              </w:tabs>
              <w:adjustRightInd w:val="0"/>
              <w:snapToGrid w:val="0"/>
              <w:spacing w:line="320" w:lineRule="atLeast"/>
              <w:jc w:val="center"/>
              <w:rPr>
                <w:rFonts w:ascii="宋体" w:hAnsi="宋体" w:cs="宋体"/>
                <w:caps/>
                <w:color w:val="auto"/>
                <w:spacing w:val="20"/>
                <w:sz w:val="22"/>
              </w:rPr>
            </w:pPr>
            <w:r>
              <w:rPr>
                <w:rFonts w:hint="eastAsia" w:ascii="宋体" w:hAnsi="宋体" w:cs="宋体"/>
                <w:caps/>
                <w:color w:val="auto"/>
                <w:spacing w:val="20"/>
                <w:sz w:val="22"/>
              </w:rPr>
              <w:t>名称</w:t>
            </w:r>
          </w:p>
        </w:tc>
        <w:tc>
          <w:tcPr>
            <w:tcW w:w="1154" w:type="dxa"/>
            <w:noWrap w:val="0"/>
            <w:vAlign w:val="top"/>
          </w:tcPr>
          <w:p w14:paraId="5CDB1359">
            <w:pPr>
              <w:tabs>
                <w:tab w:val="left" w:pos="4140"/>
              </w:tabs>
              <w:adjustRightInd w:val="0"/>
              <w:snapToGrid w:val="0"/>
              <w:spacing w:line="320" w:lineRule="atLeast"/>
              <w:jc w:val="center"/>
              <w:rPr>
                <w:rFonts w:ascii="宋体" w:hAnsi="宋体" w:cs="宋体"/>
                <w:caps/>
                <w:color w:val="auto"/>
                <w:spacing w:val="20"/>
                <w:sz w:val="22"/>
              </w:rPr>
            </w:pPr>
            <w:r>
              <w:rPr>
                <w:rFonts w:hint="eastAsia" w:ascii="宋体" w:hAnsi="宋体" w:cs="宋体"/>
                <w:caps/>
                <w:color w:val="auto"/>
                <w:spacing w:val="20"/>
                <w:sz w:val="22"/>
              </w:rPr>
              <w:t>数量</w:t>
            </w:r>
          </w:p>
        </w:tc>
        <w:tc>
          <w:tcPr>
            <w:tcW w:w="1154" w:type="dxa"/>
            <w:noWrap w:val="0"/>
            <w:vAlign w:val="top"/>
          </w:tcPr>
          <w:p w14:paraId="5286CB71">
            <w:pPr>
              <w:tabs>
                <w:tab w:val="left" w:pos="4140"/>
              </w:tabs>
              <w:adjustRightInd w:val="0"/>
              <w:snapToGrid w:val="0"/>
              <w:spacing w:line="320" w:lineRule="atLeast"/>
              <w:jc w:val="center"/>
              <w:rPr>
                <w:rFonts w:ascii="宋体" w:hAnsi="宋体" w:cs="宋体"/>
                <w:caps/>
                <w:color w:val="auto"/>
                <w:spacing w:val="20"/>
                <w:sz w:val="22"/>
              </w:rPr>
            </w:pPr>
            <w:r>
              <w:rPr>
                <w:rFonts w:hint="eastAsia" w:ascii="宋体" w:hAnsi="宋体" w:cs="宋体"/>
                <w:caps/>
                <w:color w:val="auto"/>
                <w:spacing w:val="20"/>
                <w:sz w:val="22"/>
              </w:rPr>
              <w:t>合同</w:t>
            </w:r>
          </w:p>
          <w:p w14:paraId="5760E92E">
            <w:pPr>
              <w:tabs>
                <w:tab w:val="left" w:pos="4140"/>
              </w:tabs>
              <w:adjustRightInd w:val="0"/>
              <w:snapToGrid w:val="0"/>
              <w:spacing w:line="320" w:lineRule="atLeast"/>
              <w:jc w:val="center"/>
              <w:rPr>
                <w:rFonts w:ascii="宋体" w:hAnsi="宋体" w:cs="宋体"/>
                <w:caps/>
                <w:color w:val="auto"/>
                <w:spacing w:val="20"/>
                <w:sz w:val="22"/>
              </w:rPr>
            </w:pPr>
            <w:r>
              <w:rPr>
                <w:rFonts w:hint="eastAsia" w:ascii="宋体" w:hAnsi="宋体" w:cs="宋体"/>
                <w:caps/>
                <w:color w:val="auto"/>
                <w:spacing w:val="20"/>
                <w:sz w:val="22"/>
              </w:rPr>
              <w:t>金额</w:t>
            </w:r>
          </w:p>
        </w:tc>
        <w:tc>
          <w:tcPr>
            <w:tcW w:w="1154" w:type="dxa"/>
            <w:noWrap w:val="0"/>
            <w:vAlign w:val="top"/>
          </w:tcPr>
          <w:p w14:paraId="2AE7353A">
            <w:pPr>
              <w:tabs>
                <w:tab w:val="left" w:pos="4140"/>
              </w:tabs>
              <w:adjustRightInd w:val="0"/>
              <w:snapToGrid w:val="0"/>
              <w:spacing w:line="320" w:lineRule="atLeast"/>
              <w:jc w:val="center"/>
              <w:rPr>
                <w:rFonts w:ascii="宋体" w:hAnsi="宋体" w:cs="宋体"/>
                <w:color w:val="auto"/>
                <w:spacing w:val="20"/>
                <w:sz w:val="22"/>
              </w:rPr>
            </w:pPr>
            <w:r>
              <w:rPr>
                <w:rFonts w:hint="eastAsia" w:ascii="宋体" w:hAnsi="宋体" w:cs="宋体"/>
                <w:color w:val="auto"/>
                <w:spacing w:val="20"/>
                <w:sz w:val="22"/>
              </w:rPr>
              <w:t>签约</w:t>
            </w:r>
          </w:p>
          <w:p w14:paraId="5D96C002">
            <w:pPr>
              <w:tabs>
                <w:tab w:val="left" w:pos="4140"/>
              </w:tabs>
              <w:adjustRightInd w:val="0"/>
              <w:snapToGrid w:val="0"/>
              <w:spacing w:line="320" w:lineRule="atLeast"/>
              <w:jc w:val="center"/>
              <w:rPr>
                <w:rFonts w:ascii="宋体" w:hAnsi="宋体" w:cs="宋体"/>
                <w:caps/>
                <w:color w:val="auto"/>
                <w:spacing w:val="20"/>
                <w:sz w:val="22"/>
              </w:rPr>
            </w:pPr>
            <w:r>
              <w:rPr>
                <w:rFonts w:hint="eastAsia" w:ascii="宋体" w:hAnsi="宋体" w:cs="宋体"/>
                <w:color w:val="auto"/>
                <w:spacing w:val="20"/>
                <w:sz w:val="22"/>
              </w:rPr>
              <w:t>日期</w:t>
            </w:r>
          </w:p>
        </w:tc>
        <w:tc>
          <w:tcPr>
            <w:tcW w:w="1154" w:type="dxa"/>
            <w:noWrap w:val="0"/>
            <w:vAlign w:val="top"/>
          </w:tcPr>
          <w:p w14:paraId="1040DB67">
            <w:pPr>
              <w:tabs>
                <w:tab w:val="left" w:pos="4140"/>
              </w:tabs>
              <w:adjustRightInd w:val="0"/>
              <w:snapToGrid w:val="0"/>
              <w:spacing w:line="320" w:lineRule="atLeast"/>
              <w:jc w:val="center"/>
              <w:rPr>
                <w:rFonts w:ascii="宋体" w:hAnsi="宋体" w:cs="宋体"/>
                <w:color w:val="auto"/>
                <w:spacing w:val="20"/>
                <w:sz w:val="22"/>
              </w:rPr>
            </w:pPr>
            <w:r>
              <w:rPr>
                <w:rFonts w:hint="eastAsia" w:ascii="宋体" w:hAnsi="宋体" w:cs="宋体"/>
                <w:color w:val="auto"/>
                <w:spacing w:val="20"/>
                <w:sz w:val="22"/>
              </w:rPr>
              <w:t>联系人</w:t>
            </w:r>
          </w:p>
        </w:tc>
        <w:tc>
          <w:tcPr>
            <w:tcW w:w="1154" w:type="dxa"/>
            <w:noWrap w:val="0"/>
            <w:vAlign w:val="top"/>
          </w:tcPr>
          <w:p w14:paraId="64ABE526">
            <w:pPr>
              <w:tabs>
                <w:tab w:val="left" w:pos="4140"/>
              </w:tabs>
              <w:adjustRightInd w:val="0"/>
              <w:snapToGrid w:val="0"/>
              <w:spacing w:line="320" w:lineRule="atLeast"/>
              <w:jc w:val="center"/>
              <w:rPr>
                <w:rFonts w:ascii="宋体" w:hAnsi="宋体" w:cs="宋体"/>
                <w:color w:val="auto"/>
                <w:spacing w:val="20"/>
                <w:sz w:val="22"/>
              </w:rPr>
            </w:pPr>
            <w:r>
              <w:rPr>
                <w:rFonts w:hint="eastAsia" w:ascii="宋体" w:hAnsi="宋体" w:cs="宋体"/>
                <w:color w:val="auto"/>
                <w:spacing w:val="20"/>
                <w:sz w:val="22"/>
              </w:rPr>
              <w:t>联系</w:t>
            </w:r>
          </w:p>
          <w:p w14:paraId="677902B5">
            <w:pPr>
              <w:tabs>
                <w:tab w:val="left" w:pos="4140"/>
              </w:tabs>
              <w:adjustRightInd w:val="0"/>
              <w:snapToGrid w:val="0"/>
              <w:spacing w:line="320" w:lineRule="atLeast"/>
              <w:jc w:val="center"/>
              <w:rPr>
                <w:rFonts w:ascii="宋体" w:hAnsi="宋体" w:cs="宋体"/>
                <w:color w:val="auto"/>
                <w:spacing w:val="20"/>
                <w:sz w:val="22"/>
              </w:rPr>
            </w:pPr>
            <w:r>
              <w:rPr>
                <w:rFonts w:hint="eastAsia" w:ascii="宋体" w:hAnsi="宋体" w:cs="宋体"/>
                <w:color w:val="auto"/>
                <w:spacing w:val="20"/>
                <w:sz w:val="22"/>
              </w:rPr>
              <w:t>电话</w:t>
            </w:r>
          </w:p>
        </w:tc>
        <w:tc>
          <w:tcPr>
            <w:tcW w:w="770" w:type="dxa"/>
            <w:noWrap w:val="0"/>
            <w:vAlign w:val="top"/>
          </w:tcPr>
          <w:p w14:paraId="3AB8DA85">
            <w:pPr>
              <w:tabs>
                <w:tab w:val="left" w:pos="4140"/>
              </w:tabs>
              <w:adjustRightInd w:val="0"/>
              <w:snapToGrid w:val="0"/>
              <w:spacing w:line="320" w:lineRule="atLeast"/>
              <w:jc w:val="center"/>
              <w:rPr>
                <w:rFonts w:ascii="宋体" w:hAnsi="宋体" w:cs="宋体"/>
                <w:color w:val="auto"/>
                <w:spacing w:val="20"/>
                <w:sz w:val="22"/>
              </w:rPr>
            </w:pPr>
            <w:r>
              <w:rPr>
                <w:rFonts w:hint="eastAsia" w:ascii="宋体" w:hAnsi="宋体" w:cs="宋体"/>
                <w:color w:val="auto"/>
                <w:spacing w:val="20"/>
                <w:sz w:val="22"/>
              </w:rPr>
              <w:t>备注</w:t>
            </w:r>
          </w:p>
        </w:tc>
      </w:tr>
      <w:tr w14:paraId="40DC975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4CCDB7D5">
            <w:pPr>
              <w:tabs>
                <w:tab w:val="left" w:pos="4140"/>
              </w:tabs>
              <w:adjustRightInd w:val="0"/>
              <w:snapToGrid w:val="0"/>
              <w:spacing w:line="320" w:lineRule="atLeast"/>
              <w:rPr>
                <w:rFonts w:ascii="宋体" w:hAnsi="宋体" w:cs="宋体"/>
                <w:color w:val="auto"/>
                <w:spacing w:val="20"/>
                <w:sz w:val="22"/>
              </w:rPr>
            </w:pPr>
          </w:p>
        </w:tc>
        <w:tc>
          <w:tcPr>
            <w:tcW w:w="1153" w:type="dxa"/>
            <w:noWrap w:val="0"/>
            <w:vAlign w:val="top"/>
          </w:tcPr>
          <w:p w14:paraId="35F0B5E2">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7A42D78A">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2C769A12">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0ED5C3D5">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0B554FE2">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7EE0B43E">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4530C325">
            <w:pPr>
              <w:tabs>
                <w:tab w:val="left" w:pos="4140"/>
              </w:tabs>
              <w:adjustRightInd w:val="0"/>
              <w:snapToGrid w:val="0"/>
              <w:spacing w:line="320" w:lineRule="atLeast"/>
              <w:rPr>
                <w:rFonts w:ascii="宋体" w:hAnsi="宋体" w:cs="宋体"/>
                <w:color w:val="auto"/>
                <w:spacing w:val="20"/>
                <w:sz w:val="22"/>
              </w:rPr>
            </w:pPr>
          </w:p>
        </w:tc>
        <w:tc>
          <w:tcPr>
            <w:tcW w:w="770" w:type="dxa"/>
            <w:noWrap w:val="0"/>
            <w:vAlign w:val="top"/>
          </w:tcPr>
          <w:p w14:paraId="3E25089C">
            <w:pPr>
              <w:tabs>
                <w:tab w:val="left" w:pos="4140"/>
              </w:tabs>
              <w:adjustRightInd w:val="0"/>
              <w:snapToGrid w:val="0"/>
              <w:spacing w:line="320" w:lineRule="atLeast"/>
              <w:rPr>
                <w:rFonts w:ascii="宋体" w:hAnsi="宋体" w:cs="宋体"/>
                <w:color w:val="auto"/>
                <w:spacing w:val="20"/>
                <w:sz w:val="22"/>
              </w:rPr>
            </w:pPr>
          </w:p>
        </w:tc>
      </w:tr>
      <w:tr w14:paraId="2738601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27844C68">
            <w:pPr>
              <w:tabs>
                <w:tab w:val="left" w:pos="4140"/>
              </w:tabs>
              <w:adjustRightInd w:val="0"/>
              <w:snapToGrid w:val="0"/>
              <w:spacing w:line="320" w:lineRule="atLeast"/>
              <w:rPr>
                <w:rFonts w:ascii="宋体" w:hAnsi="宋体" w:cs="宋体"/>
                <w:color w:val="auto"/>
                <w:spacing w:val="20"/>
                <w:sz w:val="22"/>
              </w:rPr>
            </w:pPr>
          </w:p>
        </w:tc>
        <w:tc>
          <w:tcPr>
            <w:tcW w:w="1153" w:type="dxa"/>
            <w:noWrap w:val="0"/>
            <w:vAlign w:val="top"/>
          </w:tcPr>
          <w:p w14:paraId="5D07CF8F">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1CC1A798">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7B77C788">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7383D56E">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760F83B4">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69BDC1E3">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3843A97B">
            <w:pPr>
              <w:tabs>
                <w:tab w:val="left" w:pos="4140"/>
              </w:tabs>
              <w:adjustRightInd w:val="0"/>
              <w:snapToGrid w:val="0"/>
              <w:spacing w:line="320" w:lineRule="atLeast"/>
              <w:rPr>
                <w:rFonts w:ascii="宋体" w:hAnsi="宋体" w:cs="宋体"/>
                <w:color w:val="auto"/>
                <w:spacing w:val="20"/>
                <w:sz w:val="22"/>
              </w:rPr>
            </w:pPr>
          </w:p>
        </w:tc>
        <w:tc>
          <w:tcPr>
            <w:tcW w:w="770" w:type="dxa"/>
            <w:noWrap w:val="0"/>
            <w:vAlign w:val="top"/>
          </w:tcPr>
          <w:p w14:paraId="493423BD">
            <w:pPr>
              <w:tabs>
                <w:tab w:val="left" w:pos="4140"/>
              </w:tabs>
              <w:adjustRightInd w:val="0"/>
              <w:snapToGrid w:val="0"/>
              <w:spacing w:line="320" w:lineRule="atLeast"/>
              <w:rPr>
                <w:rFonts w:ascii="宋体" w:hAnsi="宋体" w:cs="宋体"/>
                <w:color w:val="auto"/>
                <w:spacing w:val="20"/>
                <w:sz w:val="22"/>
              </w:rPr>
            </w:pPr>
          </w:p>
        </w:tc>
      </w:tr>
      <w:tr w14:paraId="35C7667B">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70F73FCB">
            <w:pPr>
              <w:tabs>
                <w:tab w:val="left" w:pos="4140"/>
              </w:tabs>
              <w:adjustRightInd w:val="0"/>
              <w:snapToGrid w:val="0"/>
              <w:spacing w:line="320" w:lineRule="atLeast"/>
              <w:rPr>
                <w:rFonts w:ascii="宋体" w:hAnsi="宋体" w:cs="宋体"/>
                <w:color w:val="auto"/>
                <w:spacing w:val="20"/>
                <w:sz w:val="22"/>
              </w:rPr>
            </w:pPr>
          </w:p>
        </w:tc>
        <w:tc>
          <w:tcPr>
            <w:tcW w:w="1153" w:type="dxa"/>
            <w:noWrap w:val="0"/>
            <w:vAlign w:val="top"/>
          </w:tcPr>
          <w:p w14:paraId="794B00DE">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2C7473A5">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5BAA6737">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2B83284A">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55306536">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221EB0CC">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25ACDB35">
            <w:pPr>
              <w:tabs>
                <w:tab w:val="left" w:pos="4140"/>
              </w:tabs>
              <w:adjustRightInd w:val="0"/>
              <w:snapToGrid w:val="0"/>
              <w:spacing w:line="320" w:lineRule="atLeast"/>
              <w:rPr>
                <w:rFonts w:ascii="宋体" w:hAnsi="宋体" w:cs="宋体"/>
                <w:color w:val="auto"/>
                <w:spacing w:val="20"/>
                <w:sz w:val="22"/>
              </w:rPr>
            </w:pPr>
          </w:p>
        </w:tc>
        <w:tc>
          <w:tcPr>
            <w:tcW w:w="770" w:type="dxa"/>
            <w:noWrap w:val="0"/>
            <w:vAlign w:val="top"/>
          </w:tcPr>
          <w:p w14:paraId="67E4019D">
            <w:pPr>
              <w:tabs>
                <w:tab w:val="left" w:pos="4140"/>
              </w:tabs>
              <w:adjustRightInd w:val="0"/>
              <w:snapToGrid w:val="0"/>
              <w:spacing w:line="320" w:lineRule="atLeast"/>
              <w:rPr>
                <w:rFonts w:ascii="宋体" w:hAnsi="宋体" w:cs="宋体"/>
                <w:color w:val="auto"/>
                <w:spacing w:val="20"/>
                <w:sz w:val="22"/>
              </w:rPr>
            </w:pPr>
          </w:p>
        </w:tc>
      </w:tr>
      <w:tr w14:paraId="400F9F2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04A68ADD">
            <w:pPr>
              <w:tabs>
                <w:tab w:val="left" w:pos="4140"/>
              </w:tabs>
              <w:adjustRightInd w:val="0"/>
              <w:snapToGrid w:val="0"/>
              <w:spacing w:line="320" w:lineRule="atLeast"/>
              <w:rPr>
                <w:rFonts w:ascii="宋体" w:hAnsi="宋体" w:cs="宋体"/>
                <w:color w:val="auto"/>
                <w:spacing w:val="20"/>
                <w:sz w:val="22"/>
              </w:rPr>
            </w:pPr>
          </w:p>
        </w:tc>
        <w:tc>
          <w:tcPr>
            <w:tcW w:w="1153" w:type="dxa"/>
            <w:noWrap w:val="0"/>
            <w:vAlign w:val="top"/>
          </w:tcPr>
          <w:p w14:paraId="6A89EC42">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092680B8">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01B004F9">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32E51362">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2A7C42C2">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3D4FC3E7">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4D4B4312">
            <w:pPr>
              <w:tabs>
                <w:tab w:val="left" w:pos="4140"/>
              </w:tabs>
              <w:adjustRightInd w:val="0"/>
              <w:snapToGrid w:val="0"/>
              <w:spacing w:line="320" w:lineRule="atLeast"/>
              <w:rPr>
                <w:rFonts w:ascii="宋体" w:hAnsi="宋体" w:cs="宋体"/>
                <w:color w:val="auto"/>
                <w:spacing w:val="20"/>
                <w:sz w:val="22"/>
              </w:rPr>
            </w:pPr>
          </w:p>
        </w:tc>
        <w:tc>
          <w:tcPr>
            <w:tcW w:w="770" w:type="dxa"/>
            <w:noWrap w:val="0"/>
            <w:vAlign w:val="top"/>
          </w:tcPr>
          <w:p w14:paraId="684723C8">
            <w:pPr>
              <w:tabs>
                <w:tab w:val="left" w:pos="4140"/>
              </w:tabs>
              <w:adjustRightInd w:val="0"/>
              <w:snapToGrid w:val="0"/>
              <w:spacing w:line="320" w:lineRule="atLeast"/>
              <w:rPr>
                <w:rFonts w:ascii="宋体" w:hAnsi="宋体" w:cs="宋体"/>
                <w:color w:val="auto"/>
                <w:spacing w:val="20"/>
                <w:sz w:val="22"/>
              </w:rPr>
            </w:pPr>
          </w:p>
        </w:tc>
      </w:tr>
      <w:tr w14:paraId="1749B22F">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5B8C5A3E">
            <w:pPr>
              <w:tabs>
                <w:tab w:val="left" w:pos="4140"/>
              </w:tabs>
              <w:adjustRightInd w:val="0"/>
              <w:snapToGrid w:val="0"/>
              <w:spacing w:line="320" w:lineRule="atLeast"/>
              <w:rPr>
                <w:rFonts w:ascii="宋体" w:hAnsi="宋体" w:cs="宋体"/>
                <w:color w:val="auto"/>
                <w:spacing w:val="20"/>
                <w:sz w:val="22"/>
              </w:rPr>
            </w:pPr>
          </w:p>
        </w:tc>
        <w:tc>
          <w:tcPr>
            <w:tcW w:w="1153" w:type="dxa"/>
            <w:noWrap w:val="0"/>
            <w:vAlign w:val="top"/>
          </w:tcPr>
          <w:p w14:paraId="06E3F3CF">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7D11406A">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43A74C03">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5A84F0A6">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444FB05B">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426BE6A9">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29467FA2">
            <w:pPr>
              <w:tabs>
                <w:tab w:val="left" w:pos="4140"/>
              </w:tabs>
              <w:adjustRightInd w:val="0"/>
              <w:snapToGrid w:val="0"/>
              <w:spacing w:line="320" w:lineRule="atLeast"/>
              <w:rPr>
                <w:rFonts w:ascii="宋体" w:hAnsi="宋体" w:cs="宋体"/>
                <w:color w:val="auto"/>
                <w:spacing w:val="20"/>
                <w:sz w:val="22"/>
              </w:rPr>
            </w:pPr>
          </w:p>
        </w:tc>
        <w:tc>
          <w:tcPr>
            <w:tcW w:w="770" w:type="dxa"/>
            <w:noWrap w:val="0"/>
            <w:vAlign w:val="top"/>
          </w:tcPr>
          <w:p w14:paraId="4DCA2D5A">
            <w:pPr>
              <w:tabs>
                <w:tab w:val="left" w:pos="4140"/>
              </w:tabs>
              <w:adjustRightInd w:val="0"/>
              <w:snapToGrid w:val="0"/>
              <w:spacing w:line="320" w:lineRule="atLeast"/>
              <w:rPr>
                <w:rFonts w:ascii="宋体" w:hAnsi="宋体" w:cs="宋体"/>
                <w:color w:val="auto"/>
                <w:spacing w:val="20"/>
                <w:sz w:val="22"/>
              </w:rPr>
            </w:pPr>
          </w:p>
        </w:tc>
      </w:tr>
      <w:tr w14:paraId="466D5D21">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652ED06D">
            <w:pPr>
              <w:tabs>
                <w:tab w:val="left" w:pos="4140"/>
              </w:tabs>
              <w:adjustRightInd w:val="0"/>
              <w:snapToGrid w:val="0"/>
              <w:spacing w:line="320" w:lineRule="atLeast"/>
              <w:rPr>
                <w:rFonts w:ascii="宋体" w:hAnsi="宋体" w:cs="宋体"/>
                <w:color w:val="auto"/>
                <w:spacing w:val="20"/>
                <w:sz w:val="22"/>
              </w:rPr>
            </w:pPr>
          </w:p>
        </w:tc>
        <w:tc>
          <w:tcPr>
            <w:tcW w:w="1153" w:type="dxa"/>
            <w:noWrap w:val="0"/>
            <w:vAlign w:val="top"/>
          </w:tcPr>
          <w:p w14:paraId="7095573A">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2BE49595">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5EDA7A68">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0E91A5C7">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5F6541F0">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7B30E324">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3F568541">
            <w:pPr>
              <w:tabs>
                <w:tab w:val="left" w:pos="4140"/>
              </w:tabs>
              <w:adjustRightInd w:val="0"/>
              <w:snapToGrid w:val="0"/>
              <w:spacing w:line="320" w:lineRule="atLeast"/>
              <w:rPr>
                <w:rFonts w:ascii="宋体" w:hAnsi="宋体" w:cs="宋体"/>
                <w:color w:val="auto"/>
                <w:spacing w:val="20"/>
                <w:sz w:val="22"/>
              </w:rPr>
            </w:pPr>
          </w:p>
        </w:tc>
        <w:tc>
          <w:tcPr>
            <w:tcW w:w="770" w:type="dxa"/>
            <w:noWrap w:val="0"/>
            <w:vAlign w:val="top"/>
          </w:tcPr>
          <w:p w14:paraId="01774E41">
            <w:pPr>
              <w:tabs>
                <w:tab w:val="left" w:pos="4140"/>
              </w:tabs>
              <w:adjustRightInd w:val="0"/>
              <w:snapToGrid w:val="0"/>
              <w:spacing w:line="320" w:lineRule="atLeast"/>
              <w:rPr>
                <w:rFonts w:ascii="宋体" w:hAnsi="宋体" w:cs="宋体"/>
                <w:color w:val="auto"/>
                <w:spacing w:val="20"/>
                <w:sz w:val="22"/>
              </w:rPr>
            </w:pPr>
          </w:p>
        </w:tc>
      </w:tr>
      <w:tr w14:paraId="496CDE4A">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2940F732">
            <w:pPr>
              <w:tabs>
                <w:tab w:val="left" w:pos="4140"/>
              </w:tabs>
              <w:adjustRightInd w:val="0"/>
              <w:snapToGrid w:val="0"/>
              <w:spacing w:line="320" w:lineRule="atLeast"/>
              <w:rPr>
                <w:rFonts w:ascii="宋体" w:hAnsi="宋体" w:cs="宋体"/>
                <w:color w:val="auto"/>
                <w:spacing w:val="20"/>
                <w:sz w:val="22"/>
              </w:rPr>
            </w:pPr>
          </w:p>
        </w:tc>
        <w:tc>
          <w:tcPr>
            <w:tcW w:w="1153" w:type="dxa"/>
            <w:noWrap w:val="0"/>
            <w:vAlign w:val="top"/>
          </w:tcPr>
          <w:p w14:paraId="5349B213">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7AA807E6">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2BBEF036">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0DDD2866">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614D43AD">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17DDDD61">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3124F254">
            <w:pPr>
              <w:tabs>
                <w:tab w:val="left" w:pos="4140"/>
              </w:tabs>
              <w:adjustRightInd w:val="0"/>
              <w:snapToGrid w:val="0"/>
              <w:spacing w:line="320" w:lineRule="atLeast"/>
              <w:rPr>
                <w:rFonts w:ascii="宋体" w:hAnsi="宋体" w:cs="宋体"/>
                <w:color w:val="auto"/>
                <w:spacing w:val="20"/>
                <w:sz w:val="22"/>
              </w:rPr>
            </w:pPr>
          </w:p>
        </w:tc>
        <w:tc>
          <w:tcPr>
            <w:tcW w:w="770" w:type="dxa"/>
            <w:noWrap w:val="0"/>
            <w:vAlign w:val="top"/>
          </w:tcPr>
          <w:p w14:paraId="0E08375E">
            <w:pPr>
              <w:tabs>
                <w:tab w:val="left" w:pos="4140"/>
              </w:tabs>
              <w:adjustRightInd w:val="0"/>
              <w:snapToGrid w:val="0"/>
              <w:spacing w:line="320" w:lineRule="atLeast"/>
              <w:rPr>
                <w:rFonts w:ascii="宋体" w:hAnsi="宋体" w:cs="宋体"/>
                <w:color w:val="auto"/>
                <w:spacing w:val="20"/>
                <w:sz w:val="22"/>
              </w:rPr>
            </w:pPr>
          </w:p>
        </w:tc>
      </w:tr>
      <w:tr w14:paraId="7984A919">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223C6A21">
            <w:pPr>
              <w:tabs>
                <w:tab w:val="left" w:pos="4140"/>
              </w:tabs>
              <w:adjustRightInd w:val="0"/>
              <w:snapToGrid w:val="0"/>
              <w:spacing w:line="320" w:lineRule="atLeast"/>
              <w:rPr>
                <w:rFonts w:ascii="宋体" w:hAnsi="宋体" w:cs="宋体"/>
                <w:color w:val="auto"/>
                <w:spacing w:val="20"/>
                <w:sz w:val="22"/>
              </w:rPr>
            </w:pPr>
          </w:p>
        </w:tc>
        <w:tc>
          <w:tcPr>
            <w:tcW w:w="1153" w:type="dxa"/>
            <w:noWrap w:val="0"/>
            <w:vAlign w:val="top"/>
          </w:tcPr>
          <w:p w14:paraId="27FEF7D2">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766DF7AB">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5B80E8F1">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2A4C20A2">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2738857C">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0D68F471">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516C5336">
            <w:pPr>
              <w:tabs>
                <w:tab w:val="left" w:pos="4140"/>
              </w:tabs>
              <w:adjustRightInd w:val="0"/>
              <w:snapToGrid w:val="0"/>
              <w:spacing w:line="320" w:lineRule="atLeast"/>
              <w:rPr>
                <w:rFonts w:ascii="宋体" w:hAnsi="宋体" w:cs="宋体"/>
                <w:color w:val="auto"/>
                <w:spacing w:val="20"/>
                <w:sz w:val="22"/>
              </w:rPr>
            </w:pPr>
          </w:p>
        </w:tc>
        <w:tc>
          <w:tcPr>
            <w:tcW w:w="770" w:type="dxa"/>
            <w:noWrap w:val="0"/>
            <w:vAlign w:val="top"/>
          </w:tcPr>
          <w:p w14:paraId="1037F270">
            <w:pPr>
              <w:tabs>
                <w:tab w:val="left" w:pos="4140"/>
              </w:tabs>
              <w:adjustRightInd w:val="0"/>
              <w:snapToGrid w:val="0"/>
              <w:spacing w:line="320" w:lineRule="atLeast"/>
              <w:rPr>
                <w:rFonts w:ascii="宋体" w:hAnsi="宋体" w:cs="宋体"/>
                <w:color w:val="auto"/>
                <w:spacing w:val="20"/>
                <w:sz w:val="22"/>
              </w:rPr>
            </w:pPr>
          </w:p>
        </w:tc>
      </w:tr>
      <w:tr w14:paraId="111861D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158FD51A">
            <w:pPr>
              <w:tabs>
                <w:tab w:val="left" w:pos="4140"/>
              </w:tabs>
              <w:adjustRightInd w:val="0"/>
              <w:snapToGrid w:val="0"/>
              <w:spacing w:line="320" w:lineRule="atLeast"/>
              <w:rPr>
                <w:rFonts w:ascii="宋体" w:hAnsi="宋体" w:cs="宋体"/>
                <w:color w:val="auto"/>
                <w:spacing w:val="20"/>
                <w:sz w:val="22"/>
              </w:rPr>
            </w:pPr>
          </w:p>
        </w:tc>
        <w:tc>
          <w:tcPr>
            <w:tcW w:w="1153" w:type="dxa"/>
            <w:noWrap w:val="0"/>
            <w:vAlign w:val="top"/>
          </w:tcPr>
          <w:p w14:paraId="4FAD3E76">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4A2AB4B3">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60BCD4F3">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5E1F26E6">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0C0B04C6">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2C4948E6">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05E32D74">
            <w:pPr>
              <w:tabs>
                <w:tab w:val="left" w:pos="4140"/>
              </w:tabs>
              <w:adjustRightInd w:val="0"/>
              <w:snapToGrid w:val="0"/>
              <w:spacing w:line="320" w:lineRule="atLeast"/>
              <w:rPr>
                <w:rFonts w:ascii="宋体" w:hAnsi="宋体" w:cs="宋体"/>
                <w:color w:val="auto"/>
                <w:spacing w:val="20"/>
                <w:sz w:val="22"/>
              </w:rPr>
            </w:pPr>
          </w:p>
        </w:tc>
        <w:tc>
          <w:tcPr>
            <w:tcW w:w="770" w:type="dxa"/>
            <w:noWrap w:val="0"/>
            <w:vAlign w:val="top"/>
          </w:tcPr>
          <w:p w14:paraId="4D7712D3">
            <w:pPr>
              <w:tabs>
                <w:tab w:val="left" w:pos="4140"/>
              </w:tabs>
              <w:adjustRightInd w:val="0"/>
              <w:snapToGrid w:val="0"/>
              <w:spacing w:line="320" w:lineRule="atLeast"/>
              <w:rPr>
                <w:rFonts w:ascii="宋体" w:hAnsi="宋体" w:cs="宋体"/>
                <w:color w:val="auto"/>
                <w:spacing w:val="20"/>
                <w:sz w:val="22"/>
              </w:rPr>
            </w:pPr>
          </w:p>
        </w:tc>
      </w:tr>
      <w:tr w14:paraId="43AD30F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7A7679A0">
            <w:pPr>
              <w:tabs>
                <w:tab w:val="left" w:pos="4140"/>
              </w:tabs>
              <w:adjustRightInd w:val="0"/>
              <w:snapToGrid w:val="0"/>
              <w:spacing w:line="320" w:lineRule="atLeast"/>
              <w:rPr>
                <w:rFonts w:ascii="宋体" w:hAnsi="宋体" w:cs="宋体"/>
                <w:color w:val="auto"/>
                <w:spacing w:val="20"/>
                <w:sz w:val="22"/>
              </w:rPr>
            </w:pPr>
          </w:p>
        </w:tc>
        <w:tc>
          <w:tcPr>
            <w:tcW w:w="1153" w:type="dxa"/>
            <w:noWrap w:val="0"/>
            <w:vAlign w:val="top"/>
          </w:tcPr>
          <w:p w14:paraId="3C4B60C2">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4B36AA52">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48DB1061">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6FC5C6E8">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5666F6CD">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3BF6BAE8">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5BCEF4A8">
            <w:pPr>
              <w:tabs>
                <w:tab w:val="left" w:pos="4140"/>
              </w:tabs>
              <w:adjustRightInd w:val="0"/>
              <w:snapToGrid w:val="0"/>
              <w:spacing w:line="320" w:lineRule="atLeast"/>
              <w:rPr>
                <w:rFonts w:ascii="宋体" w:hAnsi="宋体" w:cs="宋体"/>
                <w:color w:val="auto"/>
                <w:spacing w:val="20"/>
                <w:sz w:val="22"/>
              </w:rPr>
            </w:pPr>
          </w:p>
        </w:tc>
        <w:tc>
          <w:tcPr>
            <w:tcW w:w="770" w:type="dxa"/>
            <w:noWrap w:val="0"/>
            <w:vAlign w:val="top"/>
          </w:tcPr>
          <w:p w14:paraId="021F9038">
            <w:pPr>
              <w:tabs>
                <w:tab w:val="left" w:pos="4140"/>
              </w:tabs>
              <w:adjustRightInd w:val="0"/>
              <w:snapToGrid w:val="0"/>
              <w:spacing w:line="320" w:lineRule="atLeast"/>
              <w:rPr>
                <w:rFonts w:ascii="宋体" w:hAnsi="宋体" w:cs="宋体"/>
                <w:color w:val="auto"/>
                <w:spacing w:val="20"/>
                <w:sz w:val="22"/>
              </w:rPr>
            </w:pPr>
          </w:p>
        </w:tc>
      </w:tr>
      <w:tr w14:paraId="124F57F0">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561FC489">
            <w:pPr>
              <w:tabs>
                <w:tab w:val="left" w:pos="4140"/>
              </w:tabs>
              <w:adjustRightInd w:val="0"/>
              <w:snapToGrid w:val="0"/>
              <w:spacing w:line="320" w:lineRule="atLeast"/>
              <w:rPr>
                <w:rFonts w:ascii="宋体" w:hAnsi="宋体" w:cs="宋体"/>
                <w:color w:val="auto"/>
                <w:spacing w:val="20"/>
                <w:sz w:val="22"/>
              </w:rPr>
            </w:pPr>
          </w:p>
        </w:tc>
        <w:tc>
          <w:tcPr>
            <w:tcW w:w="1153" w:type="dxa"/>
            <w:noWrap w:val="0"/>
            <w:vAlign w:val="top"/>
          </w:tcPr>
          <w:p w14:paraId="4E776D6E">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701464A1">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28C48275">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22340767">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1BA92B89">
            <w:pPr>
              <w:adjustRightInd w:val="0"/>
              <w:snapToGrid w:val="0"/>
              <w:spacing w:line="320" w:lineRule="atLeast"/>
              <w:ind w:firstLine="285" w:firstLineChars="0"/>
              <w:rPr>
                <w:rFonts w:ascii="宋体" w:hAnsi="宋体" w:cs="宋体"/>
                <w:color w:val="auto"/>
                <w:spacing w:val="20"/>
                <w:sz w:val="22"/>
              </w:rPr>
            </w:pPr>
          </w:p>
        </w:tc>
        <w:tc>
          <w:tcPr>
            <w:tcW w:w="1154" w:type="dxa"/>
            <w:noWrap w:val="0"/>
            <w:vAlign w:val="top"/>
          </w:tcPr>
          <w:p w14:paraId="542A4193">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51CB34A6">
            <w:pPr>
              <w:tabs>
                <w:tab w:val="left" w:pos="4140"/>
              </w:tabs>
              <w:adjustRightInd w:val="0"/>
              <w:snapToGrid w:val="0"/>
              <w:spacing w:line="320" w:lineRule="atLeast"/>
              <w:rPr>
                <w:rFonts w:ascii="宋体" w:hAnsi="宋体" w:cs="宋体"/>
                <w:color w:val="auto"/>
                <w:spacing w:val="20"/>
                <w:sz w:val="22"/>
              </w:rPr>
            </w:pPr>
          </w:p>
        </w:tc>
        <w:tc>
          <w:tcPr>
            <w:tcW w:w="770" w:type="dxa"/>
            <w:noWrap w:val="0"/>
            <w:vAlign w:val="top"/>
          </w:tcPr>
          <w:p w14:paraId="4C7EB414">
            <w:pPr>
              <w:tabs>
                <w:tab w:val="left" w:pos="4140"/>
              </w:tabs>
              <w:adjustRightInd w:val="0"/>
              <w:snapToGrid w:val="0"/>
              <w:spacing w:line="320" w:lineRule="atLeast"/>
              <w:rPr>
                <w:rFonts w:ascii="宋体" w:hAnsi="宋体" w:cs="宋体"/>
                <w:color w:val="auto"/>
                <w:spacing w:val="20"/>
                <w:sz w:val="22"/>
              </w:rPr>
            </w:pPr>
          </w:p>
        </w:tc>
      </w:tr>
      <w:tr w14:paraId="16CFCA96">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788FF38D">
            <w:pPr>
              <w:tabs>
                <w:tab w:val="left" w:pos="4140"/>
              </w:tabs>
              <w:adjustRightInd w:val="0"/>
              <w:snapToGrid w:val="0"/>
              <w:spacing w:line="320" w:lineRule="atLeast"/>
              <w:rPr>
                <w:rFonts w:ascii="宋体" w:hAnsi="宋体" w:cs="宋体"/>
                <w:color w:val="auto"/>
                <w:spacing w:val="20"/>
                <w:sz w:val="22"/>
              </w:rPr>
            </w:pPr>
          </w:p>
        </w:tc>
        <w:tc>
          <w:tcPr>
            <w:tcW w:w="1153" w:type="dxa"/>
            <w:noWrap w:val="0"/>
            <w:vAlign w:val="top"/>
          </w:tcPr>
          <w:p w14:paraId="30D3D0A1">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36A7F608">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1D2D9078">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321D96CE">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3E98E5FD">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53A5FF78">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0BF0C348">
            <w:pPr>
              <w:tabs>
                <w:tab w:val="left" w:pos="4140"/>
              </w:tabs>
              <w:adjustRightInd w:val="0"/>
              <w:snapToGrid w:val="0"/>
              <w:spacing w:line="320" w:lineRule="atLeast"/>
              <w:rPr>
                <w:rFonts w:ascii="宋体" w:hAnsi="宋体" w:cs="宋体"/>
                <w:color w:val="auto"/>
                <w:spacing w:val="20"/>
                <w:sz w:val="22"/>
              </w:rPr>
            </w:pPr>
          </w:p>
        </w:tc>
        <w:tc>
          <w:tcPr>
            <w:tcW w:w="770" w:type="dxa"/>
            <w:noWrap w:val="0"/>
            <w:vAlign w:val="top"/>
          </w:tcPr>
          <w:p w14:paraId="538ABB61">
            <w:pPr>
              <w:tabs>
                <w:tab w:val="left" w:pos="4140"/>
              </w:tabs>
              <w:adjustRightInd w:val="0"/>
              <w:snapToGrid w:val="0"/>
              <w:spacing w:line="320" w:lineRule="atLeast"/>
              <w:rPr>
                <w:rFonts w:ascii="宋体" w:hAnsi="宋体" w:cs="宋体"/>
                <w:color w:val="auto"/>
                <w:spacing w:val="20"/>
                <w:sz w:val="22"/>
              </w:rPr>
            </w:pPr>
          </w:p>
        </w:tc>
      </w:tr>
      <w:tr w14:paraId="09D4B66B">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7DE0B517">
            <w:pPr>
              <w:tabs>
                <w:tab w:val="left" w:pos="4140"/>
              </w:tabs>
              <w:adjustRightInd w:val="0"/>
              <w:snapToGrid w:val="0"/>
              <w:spacing w:line="320" w:lineRule="atLeast"/>
              <w:rPr>
                <w:rFonts w:ascii="宋体" w:hAnsi="宋体" w:cs="宋体"/>
                <w:color w:val="auto"/>
                <w:spacing w:val="20"/>
                <w:sz w:val="22"/>
              </w:rPr>
            </w:pPr>
          </w:p>
        </w:tc>
        <w:tc>
          <w:tcPr>
            <w:tcW w:w="1153" w:type="dxa"/>
            <w:noWrap w:val="0"/>
            <w:vAlign w:val="top"/>
          </w:tcPr>
          <w:p w14:paraId="3E2C4102">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0820CAB0">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5CC8D613">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56464FC6">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69267F2B">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6F04A919">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1FB17184">
            <w:pPr>
              <w:tabs>
                <w:tab w:val="left" w:pos="4140"/>
              </w:tabs>
              <w:adjustRightInd w:val="0"/>
              <w:snapToGrid w:val="0"/>
              <w:spacing w:line="320" w:lineRule="atLeast"/>
              <w:rPr>
                <w:rFonts w:ascii="宋体" w:hAnsi="宋体" w:cs="宋体"/>
                <w:color w:val="auto"/>
                <w:spacing w:val="20"/>
                <w:sz w:val="22"/>
              </w:rPr>
            </w:pPr>
          </w:p>
        </w:tc>
        <w:tc>
          <w:tcPr>
            <w:tcW w:w="770" w:type="dxa"/>
            <w:noWrap w:val="0"/>
            <w:vAlign w:val="top"/>
          </w:tcPr>
          <w:p w14:paraId="10FD6ED7">
            <w:pPr>
              <w:tabs>
                <w:tab w:val="left" w:pos="4140"/>
              </w:tabs>
              <w:adjustRightInd w:val="0"/>
              <w:snapToGrid w:val="0"/>
              <w:spacing w:line="320" w:lineRule="atLeast"/>
              <w:rPr>
                <w:rFonts w:ascii="宋体" w:hAnsi="宋体" w:cs="宋体"/>
                <w:color w:val="auto"/>
                <w:spacing w:val="20"/>
                <w:sz w:val="22"/>
              </w:rPr>
            </w:pPr>
          </w:p>
        </w:tc>
      </w:tr>
      <w:tr w14:paraId="550960A3">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16B8DB27">
            <w:pPr>
              <w:tabs>
                <w:tab w:val="left" w:pos="4140"/>
              </w:tabs>
              <w:adjustRightInd w:val="0"/>
              <w:snapToGrid w:val="0"/>
              <w:spacing w:line="320" w:lineRule="atLeast"/>
              <w:rPr>
                <w:rFonts w:ascii="宋体" w:hAnsi="宋体" w:cs="宋体"/>
                <w:color w:val="auto"/>
                <w:spacing w:val="20"/>
                <w:sz w:val="22"/>
              </w:rPr>
            </w:pPr>
          </w:p>
        </w:tc>
        <w:tc>
          <w:tcPr>
            <w:tcW w:w="1153" w:type="dxa"/>
            <w:noWrap w:val="0"/>
            <w:vAlign w:val="top"/>
          </w:tcPr>
          <w:p w14:paraId="346864E5">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1B0C0107">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087DBB39">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3E53936A">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7945B09F">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08602B7A">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0E11E4AE">
            <w:pPr>
              <w:tabs>
                <w:tab w:val="left" w:pos="4140"/>
              </w:tabs>
              <w:adjustRightInd w:val="0"/>
              <w:snapToGrid w:val="0"/>
              <w:spacing w:line="320" w:lineRule="atLeast"/>
              <w:rPr>
                <w:rFonts w:ascii="宋体" w:hAnsi="宋体" w:cs="宋体"/>
                <w:color w:val="auto"/>
                <w:spacing w:val="20"/>
                <w:sz w:val="22"/>
              </w:rPr>
            </w:pPr>
          </w:p>
        </w:tc>
        <w:tc>
          <w:tcPr>
            <w:tcW w:w="770" w:type="dxa"/>
            <w:noWrap w:val="0"/>
            <w:vAlign w:val="top"/>
          </w:tcPr>
          <w:p w14:paraId="07BEED87">
            <w:pPr>
              <w:tabs>
                <w:tab w:val="left" w:pos="4140"/>
              </w:tabs>
              <w:adjustRightInd w:val="0"/>
              <w:snapToGrid w:val="0"/>
              <w:spacing w:line="320" w:lineRule="atLeast"/>
              <w:rPr>
                <w:rFonts w:ascii="宋体" w:hAnsi="宋体" w:cs="宋体"/>
                <w:color w:val="auto"/>
                <w:spacing w:val="20"/>
                <w:sz w:val="22"/>
              </w:rPr>
            </w:pPr>
          </w:p>
        </w:tc>
      </w:tr>
      <w:tr w14:paraId="0875ED9D">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3B015869">
            <w:pPr>
              <w:tabs>
                <w:tab w:val="left" w:pos="4140"/>
              </w:tabs>
              <w:adjustRightInd w:val="0"/>
              <w:snapToGrid w:val="0"/>
              <w:spacing w:line="320" w:lineRule="atLeast"/>
              <w:rPr>
                <w:rFonts w:ascii="宋体" w:hAnsi="宋体" w:cs="宋体"/>
                <w:color w:val="auto"/>
                <w:spacing w:val="20"/>
                <w:sz w:val="22"/>
              </w:rPr>
            </w:pPr>
          </w:p>
        </w:tc>
        <w:tc>
          <w:tcPr>
            <w:tcW w:w="1153" w:type="dxa"/>
            <w:noWrap w:val="0"/>
            <w:vAlign w:val="top"/>
          </w:tcPr>
          <w:p w14:paraId="7D062678">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0783AE90">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78F854CC">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7143E380">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0EEEDC5D">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6B1B7A97">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03D874B8">
            <w:pPr>
              <w:tabs>
                <w:tab w:val="left" w:pos="4140"/>
              </w:tabs>
              <w:adjustRightInd w:val="0"/>
              <w:snapToGrid w:val="0"/>
              <w:spacing w:line="320" w:lineRule="atLeast"/>
              <w:rPr>
                <w:rFonts w:ascii="宋体" w:hAnsi="宋体" w:cs="宋体"/>
                <w:color w:val="auto"/>
                <w:spacing w:val="20"/>
                <w:sz w:val="22"/>
              </w:rPr>
            </w:pPr>
          </w:p>
        </w:tc>
        <w:tc>
          <w:tcPr>
            <w:tcW w:w="770" w:type="dxa"/>
            <w:noWrap w:val="0"/>
            <w:vAlign w:val="top"/>
          </w:tcPr>
          <w:p w14:paraId="6843112A">
            <w:pPr>
              <w:tabs>
                <w:tab w:val="left" w:pos="4140"/>
              </w:tabs>
              <w:adjustRightInd w:val="0"/>
              <w:snapToGrid w:val="0"/>
              <w:spacing w:line="320" w:lineRule="atLeast"/>
              <w:rPr>
                <w:rFonts w:ascii="宋体" w:hAnsi="宋体" w:cs="宋体"/>
                <w:color w:val="auto"/>
                <w:spacing w:val="20"/>
                <w:sz w:val="22"/>
              </w:rPr>
            </w:pPr>
          </w:p>
        </w:tc>
      </w:tr>
      <w:tr w14:paraId="5122091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1820F310">
            <w:pPr>
              <w:tabs>
                <w:tab w:val="left" w:pos="4140"/>
              </w:tabs>
              <w:adjustRightInd w:val="0"/>
              <w:snapToGrid w:val="0"/>
              <w:spacing w:line="320" w:lineRule="atLeast"/>
              <w:rPr>
                <w:rFonts w:ascii="宋体" w:hAnsi="宋体" w:cs="宋体"/>
                <w:color w:val="auto"/>
                <w:spacing w:val="20"/>
                <w:sz w:val="22"/>
              </w:rPr>
            </w:pPr>
          </w:p>
        </w:tc>
        <w:tc>
          <w:tcPr>
            <w:tcW w:w="1153" w:type="dxa"/>
            <w:noWrap w:val="0"/>
            <w:vAlign w:val="top"/>
          </w:tcPr>
          <w:p w14:paraId="1A28C888">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369E9785">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33ED03C5">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691CCA5E">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5CD0698F">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73B6C4CD">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263ECAFD">
            <w:pPr>
              <w:tabs>
                <w:tab w:val="left" w:pos="4140"/>
              </w:tabs>
              <w:adjustRightInd w:val="0"/>
              <w:snapToGrid w:val="0"/>
              <w:spacing w:line="320" w:lineRule="atLeast"/>
              <w:rPr>
                <w:rFonts w:ascii="宋体" w:hAnsi="宋体" w:cs="宋体"/>
                <w:color w:val="auto"/>
                <w:spacing w:val="20"/>
                <w:sz w:val="22"/>
              </w:rPr>
            </w:pPr>
          </w:p>
        </w:tc>
        <w:tc>
          <w:tcPr>
            <w:tcW w:w="770" w:type="dxa"/>
            <w:noWrap w:val="0"/>
            <w:vAlign w:val="top"/>
          </w:tcPr>
          <w:p w14:paraId="5E183DF5">
            <w:pPr>
              <w:tabs>
                <w:tab w:val="left" w:pos="4140"/>
              </w:tabs>
              <w:adjustRightInd w:val="0"/>
              <w:snapToGrid w:val="0"/>
              <w:spacing w:line="320" w:lineRule="atLeast"/>
              <w:rPr>
                <w:rFonts w:ascii="宋体" w:hAnsi="宋体" w:cs="宋体"/>
                <w:color w:val="auto"/>
                <w:spacing w:val="20"/>
                <w:sz w:val="22"/>
              </w:rPr>
            </w:pPr>
          </w:p>
        </w:tc>
      </w:tr>
      <w:tr w14:paraId="5112E961">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40930F4E">
            <w:pPr>
              <w:tabs>
                <w:tab w:val="left" w:pos="4140"/>
              </w:tabs>
              <w:adjustRightInd w:val="0"/>
              <w:snapToGrid w:val="0"/>
              <w:spacing w:line="320" w:lineRule="atLeast"/>
              <w:rPr>
                <w:rFonts w:ascii="宋体" w:hAnsi="宋体" w:cs="宋体"/>
                <w:color w:val="auto"/>
                <w:spacing w:val="20"/>
                <w:sz w:val="22"/>
              </w:rPr>
            </w:pPr>
          </w:p>
        </w:tc>
        <w:tc>
          <w:tcPr>
            <w:tcW w:w="1153" w:type="dxa"/>
            <w:noWrap w:val="0"/>
            <w:vAlign w:val="top"/>
          </w:tcPr>
          <w:p w14:paraId="4162CAF9">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37B6B8E6">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4B9EA67D">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617CA4BA">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59E322D8">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06759B28">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7F682861">
            <w:pPr>
              <w:tabs>
                <w:tab w:val="left" w:pos="4140"/>
              </w:tabs>
              <w:adjustRightInd w:val="0"/>
              <w:snapToGrid w:val="0"/>
              <w:spacing w:line="320" w:lineRule="atLeast"/>
              <w:rPr>
                <w:rFonts w:ascii="宋体" w:hAnsi="宋体" w:cs="宋体"/>
                <w:color w:val="auto"/>
                <w:spacing w:val="20"/>
                <w:sz w:val="22"/>
              </w:rPr>
            </w:pPr>
          </w:p>
        </w:tc>
        <w:tc>
          <w:tcPr>
            <w:tcW w:w="770" w:type="dxa"/>
            <w:noWrap w:val="0"/>
            <w:vAlign w:val="top"/>
          </w:tcPr>
          <w:p w14:paraId="2CA89756">
            <w:pPr>
              <w:tabs>
                <w:tab w:val="left" w:pos="4140"/>
              </w:tabs>
              <w:adjustRightInd w:val="0"/>
              <w:snapToGrid w:val="0"/>
              <w:spacing w:line="320" w:lineRule="atLeast"/>
              <w:rPr>
                <w:rFonts w:ascii="宋体" w:hAnsi="宋体" w:cs="宋体"/>
                <w:color w:val="auto"/>
                <w:spacing w:val="20"/>
                <w:sz w:val="22"/>
              </w:rPr>
            </w:pPr>
          </w:p>
        </w:tc>
      </w:tr>
      <w:tr w14:paraId="7A3839D0">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0D0FF1B3">
            <w:pPr>
              <w:tabs>
                <w:tab w:val="left" w:pos="4140"/>
              </w:tabs>
              <w:adjustRightInd w:val="0"/>
              <w:snapToGrid w:val="0"/>
              <w:spacing w:line="320" w:lineRule="atLeast"/>
              <w:rPr>
                <w:rFonts w:ascii="宋体" w:hAnsi="宋体" w:cs="宋体"/>
                <w:color w:val="auto"/>
                <w:spacing w:val="20"/>
                <w:sz w:val="22"/>
              </w:rPr>
            </w:pPr>
          </w:p>
        </w:tc>
        <w:tc>
          <w:tcPr>
            <w:tcW w:w="1153" w:type="dxa"/>
            <w:noWrap w:val="0"/>
            <w:vAlign w:val="top"/>
          </w:tcPr>
          <w:p w14:paraId="15098F54">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39A68268">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5D0CE882">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13C28C06">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4B9BC47E">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7E4CD0D9">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7DF47A71">
            <w:pPr>
              <w:tabs>
                <w:tab w:val="left" w:pos="4140"/>
              </w:tabs>
              <w:adjustRightInd w:val="0"/>
              <w:snapToGrid w:val="0"/>
              <w:spacing w:line="320" w:lineRule="atLeast"/>
              <w:rPr>
                <w:rFonts w:ascii="宋体" w:hAnsi="宋体" w:cs="宋体"/>
                <w:color w:val="auto"/>
                <w:spacing w:val="20"/>
                <w:sz w:val="22"/>
              </w:rPr>
            </w:pPr>
          </w:p>
        </w:tc>
        <w:tc>
          <w:tcPr>
            <w:tcW w:w="770" w:type="dxa"/>
            <w:noWrap w:val="0"/>
            <w:vAlign w:val="top"/>
          </w:tcPr>
          <w:p w14:paraId="7BEC00FA">
            <w:pPr>
              <w:tabs>
                <w:tab w:val="left" w:pos="4140"/>
              </w:tabs>
              <w:adjustRightInd w:val="0"/>
              <w:snapToGrid w:val="0"/>
              <w:spacing w:line="320" w:lineRule="atLeast"/>
              <w:rPr>
                <w:rFonts w:ascii="宋体" w:hAnsi="宋体" w:cs="宋体"/>
                <w:color w:val="auto"/>
                <w:spacing w:val="20"/>
                <w:sz w:val="22"/>
              </w:rPr>
            </w:pPr>
          </w:p>
        </w:tc>
      </w:tr>
      <w:tr w14:paraId="660AB14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57BB1B15">
            <w:pPr>
              <w:tabs>
                <w:tab w:val="left" w:pos="4140"/>
              </w:tabs>
              <w:adjustRightInd w:val="0"/>
              <w:snapToGrid w:val="0"/>
              <w:spacing w:line="320" w:lineRule="atLeast"/>
              <w:rPr>
                <w:rFonts w:ascii="宋体" w:hAnsi="宋体" w:cs="宋体"/>
                <w:color w:val="auto"/>
                <w:spacing w:val="20"/>
                <w:sz w:val="22"/>
              </w:rPr>
            </w:pPr>
          </w:p>
        </w:tc>
        <w:tc>
          <w:tcPr>
            <w:tcW w:w="1153" w:type="dxa"/>
            <w:noWrap w:val="0"/>
            <w:vAlign w:val="top"/>
          </w:tcPr>
          <w:p w14:paraId="453C4CC0">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06B5ED00">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368A8557">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3967088B">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1D72E417">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7E07854C">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18B93C76">
            <w:pPr>
              <w:tabs>
                <w:tab w:val="left" w:pos="4140"/>
              </w:tabs>
              <w:adjustRightInd w:val="0"/>
              <w:snapToGrid w:val="0"/>
              <w:spacing w:line="320" w:lineRule="atLeast"/>
              <w:rPr>
                <w:rFonts w:ascii="宋体" w:hAnsi="宋体" w:cs="宋体"/>
                <w:color w:val="auto"/>
                <w:spacing w:val="20"/>
                <w:sz w:val="22"/>
              </w:rPr>
            </w:pPr>
          </w:p>
        </w:tc>
        <w:tc>
          <w:tcPr>
            <w:tcW w:w="770" w:type="dxa"/>
            <w:noWrap w:val="0"/>
            <w:vAlign w:val="top"/>
          </w:tcPr>
          <w:p w14:paraId="034113E6">
            <w:pPr>
              <w:tabs>
                <w:tab w:val="left" w:pos="4140"/>
              </w:tabs>
              <w:adjustRightInd w:val="0"/>
              <w:snapToGrid w:val="0"/>
              <w:spacing w:line="320" w:lineRule="atLeast"/>
              <w:rPr>
                <w:rFonts w:ascii="宋体" w:hAnsi="宋体" w:cs="宋体"/>
                <w:color w:val="auto"/>
                <w:spacing w:val="20"/>
                <w:sz w:val="22"/>
              </w:rPr>
            </w:pPr>
          </w:p>
        </w:tc>
      </w:tr>
      <w:tr w14:paraId="589D1FB3">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2DECAF74">
            <w:pPr>
              <w:tabs>
                <w:tab w:val="left" w:pos="4140"/>
              </w:tabs>
              <w:adjustRightInd w:val="0"/>
              <w:snapToGrid w:val="0"/>
              <w:spacing w:line="320" w:lineRule="atLeast"/>
              <w:rPr>
                <w:rFonts w:ascii="宋体" w:hAnsi="宋体" w:cs="宋体"/>
                <w:color w:val="auto"/>
                <w:spacing w:val="20"/>
                <w:sz w:val="22"/>
              </w:rPr>
            </w:pPr>
          </w:p>
        </w:tc>
        <w:tc>
          <w:tcPr>
            <w:tcW w:w="1153" w:type="dxa"/>
            <w:noWrap w:val="0"/>
            <w:vAlign w:val="top"/>
          </w:tcPr>
          <w:p w14:paraId="609F8BEC">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5AA98017">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09E5D346">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064D90FF">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1A0FC656">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0B7A8505">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683BE2EA">
            <w:pPr>
              <w:tabs>
                <w:tab w:val="left" w:pos="4140"/>
              </w:tabs>
              <w:adjustRightInd w:val="0"/>
              <w:snapToGrid w:val="0"/>
              <w:spacing w:line="320" w:lineRule="atLeast"/>
              <w:rPr>
                <w:rFonts w:ascii="宋体" w:hAnsi="宋体" w:cs="宋体"/>
                <w:color w:val="auto"/>
                <w:spacing w:val="20"/>
                <w:sz w:val="22"/>
              </w:rPr>
            </w:pPr>
          </w:p>
        </w:tc>
        <w:tc>
          <w:tcPr>
            <w:tcW w:w="770" w:type="dxa"/>
            <w:noWrap w:val="0"/>
            <w:vAlign w:val="top"/>
          </w:tcPr>
          <w:p w14:paraId="43DAB44C">
            <w:pPr>
              <w:tabs>
                <w:tab w:val="left" w:pos="4140"/>
              </w:tabs>
              <w:adjustRightInd w:val="0"/>
              <w:snapToGrid w:val="0"/>
              <w:spacing w:line="320" w:lineRule="atLeast"/>
              <w:rPr>
                <w:rFonts w:ascii="宋体" w:hAnsi="宋体" w:cs="宋体"/>
                <w:color w:val="auto"/>
                <w:spacing w:val="20"/>
                <w:sz w:val="22"/>
              </w:rPr>
            </w:pPr>
          </w:p>
        </w:tc>
      </w:tr>
      <w:tr w14:paraId="78464BBD">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6A1F487D">
            <w:pPr>
              <w:tabs>
                <w:tab w:val="left" w:pos="4140"/>
              </w:tabs>
              <w:adjustRightInd w:val="0"/>
              <w:snapToGrid w:val="0"/>
              <w:spacing w:line="320" w:lineRule="atLeast"/>
              <w:rPr>
                <w:rFonts w:ascii="宋体" w:hAnsi="宋体" w:cs="宋体"/>
                <w:color w:val="auto"/>
                <w:spacing w:val="20"/>
                <w:sz w:val="22"/>
              </w:rPr>
            </w:pPr>
          </w:p>
        </w:tc>
        <w:tc>
          <w:tcPr>
            <w:tcW w:w="1153" w:type="dxa"/>
            <w:noWrap w:val="0"/>
            <w:vAlign w:val="top"/>
          </w:tcPr>
          <w:p w14:paraId="095D1A48">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6891C3D4">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0FC6EBA3">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11583488">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68520834">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774313BC">
            <w:pPr>
              <w:tabs>
                <w:tab w:val="left" w:pos="4140"/>
              </w:tabs>
              <w:adjustRightInd w:val="0"/>
              <w:snapToGrid w:val="0"/>
              <w:spacing w:line="320" w:lineRule="atLeast"/>
              <w:rPr>
                <w:rFonts w:ascii="宋体" w:hAnsi="宋体" w:cs="宋体"/>
                <w:color w:val="auto"/>
                <w:spacing w:val="20"/>
                <w:sz w:val="22"/>
              </w:rPr>
            </w:pPr>
          </w:p>
        </w:tc>
        <w:tc>
          <w:tcPr>
            <w:tcW w:w="1154" w:type="dxa"/>
            <w:noWrap w:val="0"/>
            <w:vAlign w:val="top"/>
          </w:tcPr>
          <w:p w14:paraId="5ADD3D92">
            <w:pPr>
              <w:tabs>
                <w:tab w:val="left" w:pos="4140"/>
              </w:tabs>
              <w:adjustRightInd w:val="0"/>
              <w:snapToGrid w:val="0"/>
              <w:spacing w:line="320" w:lineRule="atLeast"/>
              <w:rPr>
                <w:rFonts w:ascii="宋体" w:hAnsi="宋体" w:cs="宋体"/>
                <w:color w:val="auto"/>
                <w:spacing w:val="20"/>
                <w:sz w:val="22"/>
              </w:rPr>
            </w:pPr>
          </w:p>
        </w:tc>
        <w:tc>
          <w:tcPr>
            <w:tcW w:w="770" w:type="dxa"/>
            <w:noWrap w:val="0"/>
            <w:vAlign w:val="top"/>
          </w:tcPr>
          <w:p w14:paraId="32BB8800">
            <w:pPr>
              <w:tabs>
                <w:tab w:val="left" w:pos="4140"/>
              </w:tabs>
              <w:adjustRightInd w:val="0"/>
              <w:snapToGrid w:val="0"/>
              <w:spacing w:line="320" w:lineRule="atLeast"/>
              <w:rPr>
                <w:rFonts w:ascii="宋体" w:hAnsi="宋体" w:cs="宋体"/>
                <w:color w:val="auto"/>
                <w:spacing w:val="20"/>
                <w:sz w:val="22"/>
              </w:rPr>
            </w:pPr>
          </w:p>
        </w:tc>
      </w:tr>
    </w:tbl>
    <w:p w14:paraId="1A8879FE">
      <w:pPr>
        <w:pStyle w:val="21"/>
        <w:spacing w:line="360" w:lineRule="exact"/>
        <w:rPr>
          <w:rFonts w:hAnsi="宋体" w:cs="宋体"/>
          <w:b/>
          <w:bCs/>
          <w:color w:val="auto"/>
          <w:sz w:val="32"/>
        </w:rPr>
      </w:pPr>
      <w:r>
        <w:rPr>
          <w:rFonts w:hint="eastAsia" w:hAnsi="宋体" w:cs="宋体"/>
          <w:color w:val="auto"/>
          <w:sz w:val="22"/>
        </w:rPr>
        <w:t>本表后附相关证明材料，证明材料以第七部分评审细则中的要求为准。</w:t>
      </w:r>
    </w:p>
    <w:p w14:paraId="16D3E133">
      <w:pPr>
        <w:rPr>
          <w:rFonts w:ascii="宋体" w:hAnsi="宋体" w:cs="宋体"/>
          <w:color w:val="auto"/>
          <w:spacing w:val="20"/>
          <w:sz w:val="22"/>
        </w:rPr>
      </w:pPr>
    </w:p>
    <w:p w14:paraId="0208C412">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投标供应商（盖章） ：</w:t>
      </w:r>
    </w:p>
    <w:p w14:paraId="45308D7B">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法定代表人或其授权代表（签字或盖章）：</w:t>
      </w:r>
    </w:p>
    <w:p w14:paraId="0B604631">
      <w:pPr>
        <w:autoSpaceDE w:val="0"/>
        <w:autoSpaceDN w:val="0"/>
        <w:adjustRightInd w:val="0"/>
        <w:spacing w:line="460" w:lineRule="atLeast"/>
        <w:ind w:firstLine="446" w:firstLineChars="200"/>
        <w:rPr>
          <w:rFonts w:ascii="宋体" w:cs="Courier New"/>
          <w:color w:val="auto"/>
          <w:sz w:val="22"/>
          <w:szCs w:val="22"/>
        </w:rPr>
      </w:pPr>
      <w:r>
        <w:rPr>
          <w:rFonts w:hint="eastAsia" w:ascii="宋体" w:cs="Courier New"/>
          <w:color w:val="auto"/>
          <w:sz w:val="22"/>
          <w:szCs w:val="22"/>
        </w:rPr>
        <w:t>日期：</w:t>
      </w:r>
    </w:p>
    <w:p w14:paraId="5C8C364A">
      <w:pPr>
        <w:autoSpaceDE w:val="0"/>
        <w:autoSpaceDN w:val="0"/>
        <w:adjustRightInd w:val="0"/>
        <w:spacing w:line="360" w:lineRule="exact"/>
        <w:rPr>
          <w:rFonts w:ascii="宋体" w:hAnsi="宋体" w:cs="宋体"/>
          <w:b/>
          <w:bCs/>
          <w:color w:val="auto"/>
          <w:sz w:val="32"/>
          <w:lang w:val="zh-CN"/>
        </w:rPr>
      </w:pPr>
    </w:p>
    <w:p w14:paraId="60098125">
      <w:pPr>
        <w:pStyle w:val="19"/>
        <w:ind w:firstLine="440"/>
        <w:rPr>
          <w:rFonts w:ascii="宋体" w:cs="Courier New"/>
          <w:color w:val="auto"/>
          <w:sz w:val="22"/>
          <w:szCs w:val="22"/>
        </w:rPr>
      </w:pPr>
    </w:p>
    <w:p w14:paraId="6F6FB06A">
      <w:pPr>
        <w:pStyle w:val="34"/>
        <w:outlineLvl w:val="9"/>
        <w:rPr>
          <w:rFonts w:ascii="宋体" w:hAnsi="宋体" w:cs="宋体"/>
          <w:color w:val="auto"/>
          <w:sz w:val="22"/>
          <w:szCs w:val="22"/>
        </w:rPr>
      </w:pPr>
    </w:p>
    <w:p w14:paraId="035BFA02">
      <w:pPr>
        <w:pStyle w:val="34"/>
        <w:outlineLvl w:val="2"/>
        <w:rPr>
          <w:rFonts w:ascii="宋体" w:hAnsi="宋体"/>
          <w:color w:val="auto"/>
          <w:sz w:val="28"/>
          <w:szCs w:val="18"/>
          <w:lang w:val="zh-CN"/>
        </w:rPr>
      </w:pPr>
      <w:r>
        <w:rPr>
          <w:rFonts w:ascii="宋体" w:hAnsi="宋体" w:cs="宋体"/>
          <w:color w:val="auto"/>
          <w:sz w:val="22"/>
          <w:szCs w:val="22"/>
        </w:rPr>
        <w:br w:type="page"/>
      </w:r>
      <w:bookmarkStart w:id="134" w:name="_Toc44607661"/>
      <w:r>
        <w:rPr>
          <w:rFonts w:hint="eastAsia" w:ascii="宋体" w:hAnsi="宋体"/>
          <w:color w:val="auto"/>
          <w:sz w:val="28"/>
          <w:szCs w:val="18"/>
          <w:lang w:val="zh-CN"/>
        </w:rPr>
        <w:t>附件十</w:t>
      </w:r>
      <w:r>
        <w:rPr>
          <w:rFonts w:hint="eastAsia" w:ascii="宋体" w:hAnsi="宋体"/>
          <w:color w:val="auto"/>
          <w:sz w:val="28"/>
          <w:szCs w:val="18"/>
        </w:rPr>
        <w:t>五</w:t>
      </w:r>
      <w:r>
        <w:rPr>
          <w:rFonts w:hint="eastAsia" w:ascii="宋体" w:hAnsi="宋体"/>
          <w:color w:val="auto"/>
          <w:sz w:val="28"/>
          <w:szCs w:val="18"/>
          <w:lang w:val="zh-CN"/>
        </w:rPr>
        <w:t xml:space="preserve">  承诺函</w:t>
      </w:r>
      <w:bookmarkEnd w:id="134"/>
    </w:p>
    <w:p w14:paraId="0149109D">
      <w:pPr>
        <w:spacing w:line="480" w:lineRule="auto"/>
        <w:rPr>
          <w:rFonts w:ascii="宋体" w:cs="仿宋"/>
          <w:color w:val="auto"/>
          <w:sz w:val="28"/>
          <w:szCs w:val="36"/>
        </w:rPr>
      </w:pPr>
    </w:p>
    <w:p w14:paraId="74DA72F7">
      <w:pPr>
        <w:spacing w:line="480" w:lineRule="auto"/>
        <w:rPr>
          <w:rFonts w:ascii="宋体" w:cs="仿宋"/>
          <w:color w:val="auto"/>
          <w:sz w:val="22"/>
          <w:szCs w:val="22"/>
        </w:rPr>
      </w:pPr>
      <w:r>
        <w:rPr>
          <w:rFonts w:hint="eastAsia" w:ascii="宋体" w:cs="仿宋"/>
          <w:color w:val="auto"/>
          <w:sz w:val="22"/>
          <w:szCs w:val="22"/>
          <w:lang w:eastAsia="zh-CN"/>
        </w:rPr>
        <w:t>泰顺县卫生健康局</w:t>
      </w:r>
      <w:r>
        <w:rPr>
          <w:rFonts w:hint="eastAsia" w:ascii="宋体" w:cs="仿宋"/>
          <w:color w:val="auto"/>
          <w:sz w:val="22"/>
          <w:szCs w:val="22"/>
        </w:rPr>
        <w:t>：</w:t>
      </w:r>
    </w:p>
    <w:p w14:paraId="3949C352">
      <w:pPr>
        <w:spacing w:line="480" w:lineRule="auto"/>
        <w:ind w:firstLine="446" w:firstLineChars="200"/>
        <w:rPr>
          <w:rFonts w:ascii="宋体" w:cs="仿宋"/>
          <w:color w:val="auto"/>
          <w:sz w:val="22"/>
          <w:szCs w:val="22"/>
        </w:rPr>
      </w:pPr>
      <w:r>
        <w:rPr>
          <w:rFonts w:hint="eastAsia" w:ascii="宋体" w:cs="仿宋"/>
          <w:color w:val="auto"/>
          <w:sz w:val="22"/>
          <w:szCs w:val="22"/>
        </w:rPr>
        <w:t>本单位承诺将完全按贵局招标文件载明的方案及相关要求履行义务。如有偏离，我司自愿承担相应的经济赔偿责任。</w:t>
      </w:r>
    </w:p>
    <w:p w14:paraId="30B4E45E">
      <w:pPr>
        <w:spacing w:line="480" w:lineRule="auto"/>
        <w:rPr>
          <w:rFonts w:ascii="宋体" w:cs="仿宋"/>
          <w:color w:val="auto"/>
          <w:sz w:val="22"/>
          <w:szCs w:val="22"/>
        </w:rPr>
      </w:pPr>
    </w:p>
    <w:p w14:paraId="38354F81">
      <w:pPr>
        <w:spacing w:line="480" w:lineRule="auto"/>
        <w:rPr>
          <w:rFonts w:ascii="宋体" w:cs="仿宋"/>
          <w:color w:val="auto"/>
          <w:sz w:val="22"/>
          <w:szCs w:val="22"/>
        </w:rPr>
      </w:pPr>
    </w:p>
    <w:p w14:paraId="713D1F5B">
      <w:pPr>
        <w:spacing w:line="480" w:lineRule="auto"/>
        <w:ind w:left="3780" w:firstLine="420"/>
        <w:rPr>
          <w:rFonts w:ascii="宋体" w:cs="仿宋"/>
          <w:color w:val="auto"/>
          <w:sz w:val="22"/>
          <w:szCs w:val="22"/>
          <w:u w:val="single"/>
        </w:rPr>
      </w:pPr>
      <w:r>
        <w:rPr>
          <w:rFonts w:hint="eastAsia" w:ascii="宋体" w:cs="仿宋"/>
          <w:color w:val="auto"/>
          <w:sz w:val="22"/>
          <w:szCs w:val="22"/>
        </w:rPr>
        <w:t>投标单位负责人（签字或盖章）</w:t>
      </w:r>
    </w:p>
    <w:p w14:paraId="58BDA4D0">
      <w:pPr>
        <w:spacing w:line="480" w:lineRule="auto"/>
        <w:ind w:left="3780" w:firstLine="420"/>
        <w:rPr>
          <w:rFonts w:ascii="宋体" w:cs="仿宋"/>
          <w:color w:val="auto"/>
          <w:sz w:val="22"/>
          <w:szCs w:val="22"/>
          <w:u w:val="single"/>
        </w:rPr>
      </w:pPr>
      <w:r>
        <w:rPr>
          <w:rFonts w:hint="eastAsia" w:ascii="宋体" w:cs="仿宋"/>
          <w:color w:val="auto"/>
          <w:sz w:val="22"/>
          <w:szCs w:val="22"/>
        </w:rPr>
        <w:t>投标单位（盖章）</w:t>
      </w:r>
    </w:p>
    <w:p w14:paraId="2B7ADA29">
      <w:pPr>
        <w:spacing w:line="480" w:lineRule="auto"/>
        <w:ind w:left="3780" w:firstLine="420"/>
        <w:rPr>
          <w:rFonts w:ascii="宋体" w:cs="仿宋"/>
          <w:color w:val="auto"/>
          <w:sz w:val="22"/>
          <w:szCs w:val="22"/>
          <w:u w:val="single"/>
        </w:rPr>
      </w:pPr>
      <w:r>
        <w:rPr>
          <w:rFonts w:hint="eastAsia" w:ascii="宋体" w:cs="仿宋"/>
          <w:color w:val="auto"/>
          <w:sz w:val="22"/>
          <w:szCs w:val="22"/>
        </w:rPr>
        <w:t>日期：年月日</w:t>
      </w:r>
    </w:p>
    <w:p w14:paraId="7F4DB3DE">
      <w:pPr>
        <w:rPr>
          <w:rFonts w:ascii="宋体" w:hAnsi="宋体"/>
          <w:color w:val="auto"/>
        </w:rPr>
      </w:pPr>
      <w:r>
        <w:rPr>
          <w:rFonts w:hint="eastAsia" w:ascii="宋体" w:hAnsi="宋体"/>
          <w:color w:val="auto"/>
        </w:rPr>
        <w:br w:type="page"/>
      </w:r>
    </w:p>
    <w:p w14:paraId="21E00675">
      <w:pPr>
        <w:pStyle w:val="34"/>
        <w:outlineLvl w:val="2"/>
        <w:rPr>
          <w:rFonts w:ascii="宋体" w:hAnsi="宋体"/>
          <w:color w:val="auto"/>
          <w:sz w:val="28"/>
          <w:szCs w:val="18"/>
        </w:rPr>
      </w:pPr>
      <w:r>
        <w:rPr>
          <w:rFonts w:hint="eastAsia" w:ascii="宋体" w:hAnsi="宋体"/>
          <w:color w:val="auto"/>
          <w:sz w:val="28"/>
          <w:szCs w:val="18"/>
        </w:rPr>
        <w:t>附件十</w:t>
      </w:r>
      <w:bookmarkStart w:id="135" w:name="_Toc535442055"/>
      <w:r>
        <w:rPr>
          <w:rFonts w:hint="eastAsia" w:ascii="宋体" w:hAnsi="宋体"/>
          <w:color w:val="auto"/>
          <w:sz w:val="28"/>
          <w:szCs w:val="18"/>
        </w:rPr>
        <w:t>六</w:t>
      </w:r>
      <w:r>
        <w:rPr>
          <w:rFonts w:hint="eastAsia" w:ascii="宋体" w:hAnsi="宋体"/>
          <w:color w:val="auto"/>
          <w:sz w:val="28"/>
          <w:szCs w:val="18"/>
          <w:lang w:val="zh-CN"/>
        </w:rPr>
        <w:t xml:space="preserve">  </w:t>
      </w:r>
      <w:r>
        <w:rPr>
          <w:rFonts w:hint="eastAsia" w:cs="宋体"/>
          <w:bCs/>
          <w:color w:val="auto"/>
          <w:sz w:val="28"/>
          <w:szCs w:val="28"/>
        </w:rPr>
        <w:t>自查、自评表</w:t>
      </w:r>
      <w:bookmarkEnd w:id="135"/>
    </w:p>
    <w:p w14:paraId="2AA66848">
      <w:pPr>
        <w:rPr>
          <w:color w:val="auto"/>
        </w:rPr>
      </w:pPr>
      <w:bookmarkStart w:id="136" w:name="_Toc438994200"/>
      <w:bookmarkStart w:id="137" w:name="_Toc466613776"/>
      <w:bookmarkStart w:id="138" w:name="_Toc491954795"/>
      <w:bookmarkStart w:id="139" w:name="_Toc453620957"/>
      <w:bookmarkStart w:id="140" w:name="_Toc495870588"/>
    </w:p>
    <w:bookmarkEnd w:id="136"/>
    <w:bookmarkEnd w:id="137"/>
    <w:bookmarkEnd w:id="138"/>
    <w:bookmarkEnd w:id="139"/>
    <w:bookmarkEnd w:id="140"/>
    <w:p w14:paraId="0C5E1A01">
      <w:pPr>
        <w:rPr>
          <w:color w:val="auto"/>
          <w:szCs w:val="21"/>
        </w:rPr>
      </w:pPr>
    </w:p>
    <w:p w14:paraId="76F51CE7">
      <w:pPr>
        <w:spacing w:line="480" w:lineRule="auto"/>
        <w:ind w:firstLine="446" w:firstLineChars="200"/>
        <w:rPr>
          <w:rFonts w:hint="eastAsia" w:ascii="宋体" w:hAnsi="Times New Roman" w:eastAsia="宋体" w:cs="仿宋"/>
          <w:color w:val="auto"/>
          <w:sz w:val="22"/>
          <w:szCs w:val="22"/>
        </w:rPr>
      </w:pPr>
      <w:r>
        <w:rPr>
          <w:rFonts w:hint="eastAsia" w:ascii="宋体" w:hAnsi="Times New Roman" w:eastAsia="宋体" w:cs="仿宋"/>
          <w:color w:val="auto"/>
          <w:sz w:val="22"/>
          <w:szCs w:val="22"/>
        </w:rPr>
        <w:t xml:space="preserve">为方便各位专家快捷、高效地评标，特针对招标文件 “评分标准”进行了自查，以便于各位专家核对。以下列表仅供参考： </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98"/>
        <w:gridCol w:w="4559"/>
        <w:gridCol w:w="1985"/>
        <w:gridCol w:w="1262"/>
      </w:tblGrid>
      <w:tr w14:paraId="59D694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498" w:type="dxa"/>
            <w:tcBorders>
              <w:bottom w:val="single" w:color="auto" w:sz="4" w:space="0"/>
            </w:tcBorders>
            <w:noWrap w:val="0"/>
            <w:vAlign w:val="center"/>
          </w:tcPr>
          <w:p w14:paraId="3D9544A5">
            <w:pPr>
              <w:widowControl/>
              <w:jc w:val="center"/>
              <w:rPr>
                <w:rFonts w:hint="eastAsia" w:ascii="宋体" w:hAnsi="宋体" w:eastAsia="宋体" w:cs="宋体"/>
                <w:color w:val="auto"/>
                <w:sz w:val="22"/>
                <w:szCs w:val="22"/>
              </w:rPr>
            </w:pPr>
            <w:r>
              <w:rPr>
                <w:rFonts w:hint="eastAsia" w:ascii="宋体" w:hAnsi="宋体" w:eastAsia="宋体" w:cs="宋体"/>
                <w:b/>
                <w:bCs/>
                <w:color w:val="auto"/>
                <w:sz w:val="22"/>
                <w:szCs w:val="22"/>
              </w:rPr>
              <w:t>序号</w:t>
            </w:r>
          </w:p>
        </w:tc>
        <w:tc>
          <w:tcPr>
            <w:tcW w:w="6544" w:type="dxa"/>
            <w:gridSpan w:val="2"/>
            <w:noWrap w:val="0"/>
            <w:vAlign w:val="center"/>
          </w:tcPr>
          <w:p w14:paraId="419A4A26">
            <w:pPr>
              <w:jc w:val="center"/>
              <w:rPr>
                <w:rFonts w:hint="eastAsia" w:ascii="宋体" w:hAnsi="宋体" w:eastAsia="宋体" w:cs="宋体"/>
                <w:color w:val="auto"/>
                <w:sz w:val="22"/>
                <w:szCs w:val="22"/>
              </w:rPr>
            </w:pPr>
            <w:r>
              <w:rPr>
                <w:rFonts w:hint="eastAsia" w:ascii="宋体" w:hAnsi="宋体" w:eastAsia="宋体" w:cs="宋体"/>
                <w:b/>
                <w:bCs/>
                <w:color w:val="auto"/>
                <w:sz w:val="22"/>
                <w:szCs w:val="22"/>
              </w:rPr>
              <w:t>评审因素与评分值</w:t>
            </w:r>
          </w:p>
        </w:tc>
        <w:tc>
          <w:tcPr>
            <w:tcW w:w="1262" w:type="dxa"/>
            <w:noWrap w:val="0"/>
            <w:vAlign w:val="center"/>
          </w:tcPr>
          <w:p w14:paraId="2AD69D19">
            <w:pPr>
              <w:widowControl/>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rPr>
              <w:t>投标人自评分</w:t>
            </w:r>
          </w:p>
        </w:tc>
      </w:tr>
      <w:tr w14:paraId="4FD83F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8" w:type="dxa"/>
            <w:tcBorders>
              <w:top w:val="single" w:color="auto" w:sz="4" w:space="0"/>
            </w:tcBorders>
            <w:noWrap w:val="0"/>
            <w:vAlign w:val="center"/>
          </w:tcPr>
          <w:p w14:paraId="598FA931">
            <w:pPr>
              <w:pStyle w:val="46"/>
              <w:jc w:val="center"/>
              <w:rPr>
                <w:rFonts w:hint="eastAsia" w:ascii="宋体" w:hAnsi="宋体" w:eastAsia="宋体" w:cs="宋体"/>
                <w:color w:val="auto"/>
                <w:sz w:val="22"/>
                <w:szCs w:val="22"/>
              </w:rPr>
            </w:pPr>
            <w:r>
              <w:rPr>
                <w:rFonts w:hint="eastAsia" w:ascii="宋体" w:hAnsi="宋体" w:eastAsia="宋体" w:cs="宋体"/>
                <w:color w:val="auto"/>
                <w:sz w:val="22"/>
                <w:szCs w:val="22"/>
              </w:rPr>
              <w:t>1</w:t>
            </w:r>
          </w:p>
        </w:tc>
        <w:tc>
          <w:tcPr>
            <w:tcW w:w="4559" w:type="dxa"/>
            <w:tcBorders>
              <w:top w:val="single" w:color="auto" w:sz="4" w:space="0"/>
              <w:bottom w:val="single" w:color="auto" w:sz="4" w:space="0"/>
            </w:tcBorders>
            <w:noWrap w:val="0"/>
            <w:vAlign w:val="center"/>
          </w:tcPr>
          <w:p w14:paraId="3E5A958B">
            <w:pPr>
              <w:pStyle w:val="105"/>
              <w:autoSpaceDE w:val="0"/>
              <w:autoSpaceDN w:val="0"/>
              <w:adjustRightInd w:val="0"/>
              <w:spacing w:line="240" w:lineRule="exact"/>
              <w:jc w:val="left"/>
              <w:rPr>
                <w:rFonts w:hint="eastAsia" w:ascii="宋体" w:hAnsi="宋体" w:eastAsia="宋体" w:cs="宋体"/>
                <w:color w:val="auto"/>
                <w:sz w:val="22"/>
                <w:szCs w:val="22"/>
              </w:rPr>
            </w:pPr>
            <w:r>
              <w:rPr>
                <w:rFonts w:hint="eastAsia" w:ascii="宋体" w:hAnsi="宋体" w:eastAsia="宋体" w:cs="宋体"/>
                <w:color w:val="auto"/>
                <w:sz w:val="22"/>
                <w:szCs w:val="22"/>
              </w:rPr>
              <w:t>企业实力</w:t>
            </w:r>
          </w:p>
        </w:tc>
        <w:tc>
          <w:tcPr>
            <w:tcW w:w="1985" w:type="dxa"/>
            <w:noWrap w:val="0"/>
            <w:vAlign w:val="center"/>
          </w:tcPr>
          <w:p w14:paraId="3FD0C725">
            <w:pPr>
              <w:pStyle w:val="105"/>
              <w:spacing w:line="240" w:lineRule="exact"/>
              <w:rPr>
                <w:rFonts w:hint="eastAsia" w:ascii="宋体" w:hAnsi="宋体" w:eastAsia="宋体" w:cs="宋体"/>
                <w:color w:val="auto"/>
                <w:sz w:val="22"/>
                <w:szCs w:val="22"/>
              </w:rPr>
            </w:pPr>
            <w:r>
              <w:rPr>
                <w:rFonts w:hint="eastAsia" w:ascii="宋体" w:hAnsi="宋体" w:eastAsia="宋体" w:cs="宋体"/>
                <w:color w:val="auto"/>
                <w:sz w:val="22"/>
                <w:szCs w:val="22"/>
              </w:rPr>
              <w:t>0-3分</w:t>
            </w:r>
          </w:p>
        </w:tc>
        <w:tc>
          <w:tcPr>
            <w:tcW w:w="1262" w:type="dxa"/>
            <w:noWrap w:val="0"/>
            <w:vAlign w:val="center"/>
          </w:tcPr>
          <w:p w14:paraId="4491283A">
            <w:pPr>
              <w:widowControl/>
              <w:jc w:val="center"/>
              <w:rPr>
                <w:rFonts w:hint="eastAsia" w:ascii="宋体" w:hAnsi="宋体" w:eastAsia="宋体" w:cs="宋体"/>
                <w:bCs/>
                <w:snapToGrid w:val="0"/>
                <w:color w:val="auto"/>
                <w:kern w:val="0"/>
                <w:sz w:val="22"/>
                <w:szCs w:val="22"/>
              </w:rPr>
            </w:pPr>
          </w:p>
        </w:tc>
      </w:tr>
      <w:tr w14:paraId="6693F5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8" w:type="dxa"/>
            <w:noWrap w:val="0"/>
            <w:vAlign w:val="center"/>
          </w:tcPr>
          <w:p w14:paraId="2B9115E1">
            <w:pPr>
              <w:pStyle w:val="46"/>
              <w:jc w:val="center"/>
              <w:rPr>
                <w:rFonts w:hint="eastAsia" w:ascii="宋体" w:hAnsi="宋体" w:eastAsia="宋体" w:cs="宋体"/>
                <w:color w:val="auto"/>
                <w:sz w:val="22"/>
                <w:szCs w:val="22"/>
              </w:rPr>
            </w:pPr>
            <w:r>
              <w:rPr>
                <w:rFonts w:hint="eastAsia" w:ascii="宋体" w:hAnsi="宋体" w:eastAsia="宋体" w:cs="宋体"/>
                <w:color w:val="auto"/>
                <w:sz w:val="22"/>
                <w:szCs w:val="22"/>
              </w:rPr>
              <w:t>2</w:t>
            </w:r>
          </w:p>
        </w:tc>
        <w:tc>
          <w:tcPr>
            <w:tcW w:w="4559" w:type="dxa"/>
            <w:tcBorders>
              <w:top w:val="single" w:color="auto" w:sz="4" w:space="0"/>
            </w:tcBorders>
            <w:noWrap w:val="0"/>
            <w:vAlign w:val="center"/>
          </w:tcPr>
          <w:p w14:paraId="320CBA24">
            <w:pPr>
              <w:autoSpaceDE w:val="0"/>
              <w:autoSpaceDN w:val="0"/>
              <w:adjustRightInd w:val="0"/>
              <w:spacing w:line="240" w:lineRule="exact"/>
              <w:jc w:val="left"/>
              <w:rPr>
                <w:rFonts w:hint="eastAsia" w:ascii="宋体" w:hAnsi="宋体" w:eastAsia="宋体" w:cs="宋体"/>
                <w:color w:val="auto"/>
                <w:sz w:val="22"/>
                <w:szCs w:val="22"/>
              </w:rPr>
            </w:pPr>
            <w:r>
              <w:rPr>
                <w:rFonts w:hint="eastAsia" w:ascii="宋体" w:hAnsi="宋体" w:eastAsia="宋体" w:cs="宋体"/>
                <w:color w:val="auto"/>
                <w:sz w:val="22"/>
                <w:szCs w:val="22"/>
              </w:rPr>
              <w:t>项目组成员</w:t>
            </w:r>
          </w:p>
        </w:tc>
        <w:tc>
          <w:tcPr>
            <w:tcW w:w="1985" w:type="dxa"/>
            <w:noWrap w:val="0"/>
            <w:vAlign w:val="center"/>
          </w:tcPr>
          <w:p w14:paraId="56AE8138">
            <w:pPr>
              <w:pStyle w:val="105"/>
              <w:widowControl/>
              <w:spacing w:line="240" w:lineRule="atLeast"/>
              <w:jc w:val="left"/>
              <w:rPr>
                <w:rFonts w:hint="eastAsia" w:ascii="宋体" w:hAnsi="宋体" w:eastAsia="宋体" w:cs="宋体"/>
                <w:color w:val="auto"/>
                <w:kern w:val="0"/>
                <w:sz w:val="22"/>
                <w:szCs w:val="22"/>
              </w:rPr>
            </w:pPr>
            <w:r>
              <w:rPr>
                <w:rFonts w:hint="eastAsia" w:ascii="宋体" w:hAnsi="宋体" w:eastAsia="宋体" w:cs="宋体"/>
                <w:color w:val="auto"/>
                <w:sz w:val="22"/>
                <w:szCs w:val="22"/>
              </w:rPr>
              <w:t>0-11分</w:t>
            </w:r>
          </w:p>
        </w:tc>
        <w:tc>
          <w:tcPr>
            <w:tcW w:w="1262" w:type="dxa"/>
            <w:noWrap w:val="0"/>
            <w:vAlign w:val="center"/>
          </w:tcPr>
          <w:p w14:paraId="6BD490C4">
            <w:pPr>
              <w:widowControl/>
              <w:jc w:val="center"/>
              <w:rPr>
                <w:rFonts w:hint="eastAsia" w:ascii="宋体" w:hAnsi="宋体" w:eastAsia="宋体" w:cs="宋体"/>
                <w:bCs/>
                <w:snapToGrid w:val="0"/>
                <w:color w:val="auto"/>
                <w:kern w:val="0"/>
                <w:sz w:val="22"/>
                <w:szCs w:val="22"/>
              </w:rPr>
            </w:pPr>
          </w:p>
        </w:tc>
      </w:tr>
    </w:tbl>
    <w:p w14:paraId="6233B340">
      <w:pPr>
        <w:ind w:firstLine="420"/>
        <w:rPr>
          <w:color w:val="auto"/>
        </w:rPr>
      </w:pPr>
    </w:p>
    <w:p w14:paraId="45C6E791">
      <w:pPr>
        <w:ind w:firstLine="420"/>
        <w:rPr>
          <w:color w:val="auto"/>
        </w:rPr>
      </w:pPr>
    </w:p>
    <w:p w14:paraId="62EE3641">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投标供应商（盖章） ：</w:t>
      </w:r>
    </w:p>
    <w:p w14:paraId="481FAAE7">
      <w:pPr>
        <w:widowControl/>
        <w:snapToGrid w:val="0"/>
        <w:spacing w:line="460" w:lineRule="exact"/>
        <w:ind w:firstLine="446" w:firstLineChars="200"/>
        <w:jc w:val="left"/>
        <w:rPr>
          <w:rFonts w:ascii="宋体" w:cs="Courier New"/>
          <w:color w:val="auto"/>
          <w:sz w:val="22"/>
          <w:szCs w:val="22"/>
        </w:rPr>
      </w:pPr>
      <w:r>
        <w:rPr>
          <w:rFonts w:hint="eastAsia" w:ascii="宋体" w:cs="Courier New"/>
          <w:color w:val="auto"/>
          <w:sz w:val="22"/>
          <w:szCs w:val="22"/>
        </w:rPr>
        <w:t>法定代表人或其授权代表（签字或盖章）：</w:t>
      </w:r>
    </w:p>
    <w:p w14:paraId="79254656">
      <w:pPr>
        <w:autoSpaceDE w:val="0"/>
        <w:autoSpaceDN w:val="0"/>
        <w:adjustRightInd w:val="0"/>
        <w:spacing w:line="460" w:lineRule="atLeast"/>
        <w:ind w:firstLine="446" w:firstLineChars="200"/>
        <w:rPr>
          <w:rFonts w:ascii="宋体" w:cs="Courier New"/>
          <w:color w:val="auto"/>
          <w:sz w:val="22"/>
          <w:szCs w:val="22"/>
        </w:rPr>
      </w:pPr>
      <w:r>
        <w:rPr>
          <w:rFonts w:hint="eastAsia" w:ascii="宋体" w:cs="Courier New"/>
          <w:color w:val="auto"/>
          <w:sz w:val="22"/>
          <w:szCs w:val="22"/>
        </w:rPr>
        <w:t>日期：</w:t>
      </w:r>
    </w:p>
    <w:p w14:paraId="3D68B3AB">
      <w:pPr>
        <w:rPr>
          <w:rFonts w:hint="eastAsia" w:cs="宋体"/>
          <w:b/>
          <w:color w:val="auto"/>
          <w:sz w:val="32"/>
          <w:szCs w:val="32"/>
          <w:highlight w:val="none"/>
          <w:lang w:val="zh-CN"/>
        </w:rPr>
      </w:pPr>
      <w:r>
        <w:rPr>
          <w:rFonts w:hint="eastAsia" w:cs="宋体"/>
          <w:b/>
          <w:color w:val="auto"/>
          <w:sz w:val="32"/>
          <w:szCs w:val="32"/>
          <w:highlight w:val="none"/>
          <w:lang w:val="zh-CN"/>
        </w:rPr>
        <w:br w:type="page"/>
      </w:r>
    </w:p>
    <w:p w14:paraId="50CA2725">
      <w:pPr>
        <w:pStyle w:val="15"/>
        <w:rPr>
          <w:rFonts w:hint="eastAsia"/>
          <w:color w:val="auto"/>
          <w:lang w:val="zh-CN"/>
        </w:rPr>
      </w:pPr>
    </w:p>
    <w:p w14:paraId="13A2B66A">
      <w:pPr>
        <w:pStyle w:val="21"/>
        <w:spacing w:line="360" w:lineRule="exact"/>
        <w:jc w:val="center"/>
        <w:rPr>
          <w:rFonts w:cs="宋体"/>
          <w:b/>
          <w:color w:val="auto"/>
          <w:sz w:val="32"/>
          <w:szCs w:val="32"/>
          <w:highlight w:val="none"/>
          <w:lang w:val="zh-CN"/>
        </w:rPr>
      </w:pPr>
      <w:r>
        <w:rPr>
          <w:rFonts w:hint="eastAsia" w:cs="宋体"/>
          <w:b/>
          <w:color w:val="auto"/>
          <w:sz w:val="32"/>
          <w:szCs w:val="32"/>
          <w:highlight w:val="none"/>
          <w:lang w:val="zh-CN"/>
        </w:rPr>
        <w:t>第</w:t>
      </w:r>
      <w:r>
        <w:rPr>
          <w:rFonts w:hint="eastAsia" w:cs="宋体"/>
          <w:b/>
          <w:color w:val="auto"/>
          <w:sz w:val="32"/>
          <w:szCs w:val="32"/>
          <w:highlight w:val="none"/>
        </w:rPr>
        <w:t>七</w:t>
      </w:r>
      <w:r>
        <w:rPr>
          <w:rFonts w:hint="eastAsia" w:cs="宋体"/>
          <w:b/>
          <w:color w:val="auto"/>
          <w:sz w:val="32"/>
          <w:szCs w:val="32"/>
          <w:highlight w:val="none"/>
          <w:lang w:val="zh-CN"/>
        </w:rPr>
        <w:t>部分</w:t>
      </w:r>
      <w:bookmarkEnd w:id="80"/>
      <w:r>
        <w:rPr>
          <w:rFonts w:hint="eastAsia" w:cs="宋体"/>
          <w:b/>
          <w:color w:val="auto"/>
          <w:sz w:val="32"/>
          <w:szCs w:val="32"/>
          <w:highlight w:val="none"/>
        </w:rPr>
        <w:t>、</w:t>
      </w:r>
      <w:r>
        <w:rPr>
          <w:rFonts w:hint="eastAsia" w:cs="宋体"/>
          <w:b/>
          <w:color w:val="auto"/>
          <w:sz w:val="32"/>
          <w:szCs w:val="32"/>
          <w:highlight w:val="none"/>
          <w:lang w:val="zh-CN"/>
        </w:rPr>
        <w:t>评标办法</w:t>
      </w:r>
    </w:p>
    <w:p w14:paraId="65A7CEF8">
      <w:pPr>
        <w:snapToGrid w:val="0"/>
        <w:spacing w:line="380" w:lineRule="exact"/>
        <w:ind w:firstLine="540"/>
        <w:rPr>
          <w:rFonts w:ascii="宋体" w:cs="宋体"/>
          <w:color w:val="auto"/>
          <w:sz w:val="22"/>
          <w:highlight w:val="none"/>
        </w:rPr>
      </w:pPr>
      <w:r>
        <w:rPr>
          <w:rFonts w:hint="eastAsia" w:ascii="宋体" w:cs="宋体"/>
          <w:color w:val="auto"/>
          <w:sz w:val="22"/>
          <w:highlight w:val="none"/>
        </w:rPr>
        <w:t>根据《中华人民共和国政府采购法》等有关政府采购法规，结合本次所要采购项目的实际，按照公平、公正、科学、择优的原则选择成交单位，特制定本评审办法。</w:t>
      </w:r>
    </w:p>
    <w:p w14:paraId="7FD42DBA">
      <w:pPr>
        <w:snapToGrid w:val="0"/>
        <w:spacing w:line="380" w:lineRule="exact"/>
        <w:ind w:firstLine="3846" w:firstLineChars="1725"/>
        <w:rPr>
          <w:rFonts w:ascii="宋体" w:cs="宋体"/>
          <w:b/>
          <w:color w:val="auto"/>
          <w:sz w:val="22"/>
          <w:highlight w:val="none"/>
        </w:rPr>
      </w:pPr>
      <w:bookmarkStart w:id="141" w:name="_Toc32552_WPSOffice_Level2"/>
      <w:r>
        <w:rPr>
          <w:rFonts w:hint="eastAsia" w:ascii="宋体" w:cs="宋体"/>
          <w:b/>
          <w:color w:val="auto"/>
          <w:sz w:val="22"/>
          <w:highlight w:val="none"/>
        </w:rPr>
        <w:t>一、总则</w:t>
      </w:r>
      <w:bookmarkEnd w:id="141"/>
    </w:p>
    <w:p w14:paraId="6A4FD4D7">
      <w:pPr>
        <w:snapToGrid w:val="0"/>
        <w:spacing w:line="380" w:lineRule="exact"/>
        <w:ind w:firstLine="540"/>
        <w:rPr>
          <w:rFonts w:ascii="宋体" w:cs="宋体"/>
          <w:color w:val="auto"/>
          <w:sz w:val="22"/>
          <w:highlight w:val="none"/>
        </w:rPr>
      </w:pPr>
      <w:r>
        <w:rPr>
          <w:rFonts w:hint="eastAsia" w:ascii="宋体" w:cs="宋体"/>
          <w:color w:val="auto"/>
          <w:sz w:val="22"/>
          <w:highlight w:val="none"/>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5C5C6EA4">
      <w:pPr>
        <w:snapToGrid w:val="0"/>
        <w:spacing w:line="380" w:lineRule="exact"/>
        <w:ind w:firstLine="3846" w:firstLineChars="1725"/>
        <w:rPr>
          <w:rFonts w:ascii="宋体" w:cs="宋体"/>
          <w:color w:val="auto"/>
          <w:sz w:val="22"/>
          <w:highlight w:val="none"/>
        </w:rPr>
      </w:pPr>
      <w:bookmarkStart w:id="142" w:name="_Toc15399_WPSOffice_Level2"/>
      <w:r>
        <w:rPr>
          <w:rFonts w:hint="eastAsia" w:ascii="宋体" w:cs="宋体"/>
          <w:b/>
          <w:color w:val="auto"/>
          <w:sz w:val="22"/>
          <w:highlight w:val="none"/>
        </w:rPr>
        <w:t>二、评审组织</w:t>
      </w:r>
      <w:bookmarkEnd w:id="142"/>
    </w:p>
    <w:p w14:paraId="5E5ACF3D">
      <w:pPr>
        <w:snapToGrid w:val="0"/>
        <w:spacing w:line="380" w:lineRule="exact"/>
        <w:ind w:firstLine="540"/>
        <w:rPr>
          <w:rFonts w:ascii="宋体" w:cs="宋体"/>
          <w:color w:val="auto"/>
          <w:sz w:val="22"/>
          <w:highlight w:val="none"/>
        </w:rPr>
      </w:pPr>
      <w:r>
        <w:rPr>
          <w:rFonts w:hint="eastAsia" w:ascii="宋体" w:cs="宋体"/>
          <w:color w:val="auto"/>
          <w:sz w:val="22"/>
          <w:highlight w:val="none"/>
        </w:rPr>
        <w:t>评审工作由采购人依法组建的竞争性磋商小组负责，竞争性磋商小组由采购人代表以及评审专家库中随机抽取的有关技术、经济专家共同组成。评审全过程由采购管理部门全程监督。</w:t>
      </w:r>
    </w:p>
    <w:p w14:paraId="0B6B24CA">
      <w:pPr>
        <w:snapToGrid w:val="0"/>
        <w:spacing w:line="380" w:lineRule="exact"/>
        <w:ind w:firstLine="1774" w:firstLineChars="796"/>
        <w:rPr>
          <w:rFonts w:ascii="宋体" w:cs="宋体"/>
          <w:color w:val="auto"/>
          <w:sz w:val="22"/>
          <w:highlight w:val="none"/>
        </w:rPr>
      </w:pPr>
      <w:bookmarkStart w:id="143" w:name="_Toc7010_WPSOffice_Level2"/>
      <w:r>
        <w:rPr>
          <w:rFonts w:hint="eastAsia" w:ascii="宋体" w:cs="宋体"/>
          <w:b/>
          <w:color w:val="auto"/>
          <w:sz w:val="22"/>
          <w:highlight w:val="none"/>
        </w:rPr>
        <w:t>三、投标文件递交截止、磋商程序、磋商原则和方式</w:t>
      </w:r>
      <w:bookmarkEnd w:id="143"/>
    </w:p>
    <w:p w14:paraId="515AD277">
      <w:pPr>
        <w:pStyle w:val="21"/>
        <w:adjustRightInd w:val="0"/>
        <w:snapToGrid w:val="0"/>
        <w:spacing w:line="380" w:lineRule="exact"/>
        <w:ind w:firstLine="446" w:firstLineChars="200"/>
        <w:rPr>
          <w:rFonts w:cs="宋体"/>
          <w:b/>
          <w:color w:val="auto"/>
          <w:sz w:val="22"/>
          <w:highlight w:val="none"/>
        </w:rPr>
      </w:pPr>
      <w:r>
        <w:rPr>
          <w:rFonts w:hint="eastAsia" w:cs="宋体"/>
          <w:color w:val="auto"/>
          <w:sz w:val="22"/>
          <w:highlight w:val="none"/>
        </w:rPr>
        <w:t>1、投标文件递交截止</w:t>
      </w:r>
    </w:p>
    <w:p w14:paraId="14D2032D">
      <w:pPr>
        <w:pStyle w:val="21"/>
        <w:adjustRightInd w:val="0"/>
        <w:snapToGrid w:val="0"/>
        <w:spacing w:line="380" w:lineRule="exact"/>
        <w:ind w:firstLine="446" w:firstLineChars="200"/>
        <w:rPr>
          <w:rFonts w:cs="宋体"/>
          <w:b/>
          <w:color w:val="auto"/>
          <w:sz w:val="22"/>
          <w:highlight w:val="none"/>
        </w:rPr>
      </w:pPr>
      <w:r>
        <w:rPr>
          <w:rFonts w:hint="eastAsia" w:cs="宋体"/>
          <w:color w:val="auto"/>
          <w:sz w:val="22"/>
          <w:highlight w:val="none"/>
        </w:rPr>
        <w:t>1.1 供应商须按竞争性磋商文件规定的时间递交电子投标文件。</w:t>
      </w:r>
    </w:p>
    <w:p w14:paraId="7CB1BE0C">
      <w:pPr>
        <w:pStyle w:val="21"/>
        <w:adjustRightInd w:val="0"/>
        <w:snapToGrid w:val="0"/>
        <w:spacing w:line="380" w:lineRule="exact"/>
        <w:ind w:firstLine="450"/>
        <w:rPr>
          <w:rFonts w:cs="宋体"/>
          <w:b/>
          <w:color w:val="auto"/>
          <w:sz w:val="22"/>
          <w:highlight w:val="none"/>
        </w:rPr>
      </w:pPr>
      <w:r>
        <w:rPr>
          <w:rFonts w:hint="eastAsia" w:cs="宋体"/>
          <w:color w:val="auto"/>
          <w:sz w:val="22"/>
          <w:highlight w:val="none"/>
        </w:rPr>
        <w:t>1.2 供应商法定代表人或其授权代表应在线参加磋商采购会议。</w:t>
      </w:r>
    </w:p>
    <w:p w14:paraId="05B4B242">
      <w:pPr>
        <w:pStyle w:val="21"/>
        <w:adjustRightInd w:val="0"/>
        <w:snapToGrid w:val="0"/>
        <w:spacing w:line="380" w:lineRule="exact"/>
        <w:ind w:firstLine="450"/>
        <w:rPr>
          <w:rFonts w:cs="宋体"/>
          <w:b/>
          <w:color w:val="auto"/>
          <w:sz w:val="22"/>
          <w:highlight w:val="none"/>
        </w:rPr>
      </w:pPr>
      <w:r>
        <w:rPr>
          <w:rFonts w:hint="eastAsia" w:cs="宋体"/>
          <w:color w:val="auto"/>
          <w:sz w:val="22"/>
          <w:highlight w:val="none"/>
        </w:rPr>
        <w:t>2、本次采购是根据竞争性磋商采购方式进行，各供应商首次报价不公开。</w:t>
      </w:r>
    </w:p>
    <w:p w14:paraId="0B337427">
      <w:pPr>
        <w:pStyle w:val="21"/>
        <w:adjustRightInd w:val="0"/>
        <w:snapToGrid w:val="0"/>
        <w:spacing w:line="380" w:lineRule="exact"/>
        <w:ind w:firstLine="450"/>
        <w:rPr>
          <w:rFonts w:cs="宋体"/>
          <w:b/>
          <w:color w:val="auto"/>
          <w:sz w:val="22"/>
          <w:highlight w:val="none"/>
        </w:rPr>
      </w:pPr>
      <w:r>
        <w:rPr>
          <w:rFonts w:hint="eastAsia" w:cs="宋体"/>
          <w:color w:val="auto"/>
          <w:sz w:val="22"/>
          <w:highlight w:val="none"/>
        </w:rPr>
        <w:t>2.1 如竞争性磋商小组认为竞争性磋商文件能够详细列明采购标的的技术、服务要求的，评审结束后，竞争性磋商小组可以直接对供应商进行打分评价。</w:t>
      </w:r>
    </w:p>
    <w:p w14:paraId="56CAB939">
      <w:pPr>
        <w:pStyle w:val="21"/>
        <w:adjustRightInd w:val="0"/>
        <w:snapToGrid w:val="0"/>
        <w:spacing w:line="380" w:lineRule="exact"/>
        <w:ind w:firstLine="450"/>
        <w:rPr>
          <w:rFonts w:cs="宋体"/>
          <w:b/>
          <w:color w:val="auto"/>
          <w:sz w:val="22"/>
          <w:highlight w:val="none"/>
        </w:rPr>
      </w:pPr>
      <w:r>
        <w:rPr>
          <w:rFonts w:hint="eastAsia" w:cs="宋体"/>
          <w:color w:val="auto"/>
          <w:sz w:val="22"/>
          <w:highlight w:val="none"/>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43DB19A9">
      <w:pPr>
        <w:pStyle w:val="21"/>
        <w:adjustRightInd w:val="0"/>
        <w:snapToGrid w:val="0"/>
        <w:spacing w:line="380" w:lineRule="exact"/>
        <w:ind w:firstLine="450"/>
        <w:rPr>
          <w:rFonts w:cs="宋体"/>
          <w:b/>
          <w:color w:val="auto"/>
          <w:sz w:val="22"/>
          <w:highlight w:val="none"/>
        </w:rPr>
      </w:pPr>
      <w:r>
        <w:rPr>
          <w:rFonts w:hint="eastAsia" w:cs="宋体"/>
          <w:color w:val="auto"/>
          <w:sz w:val="22"/>
          <w:highlight w:val="none"/>
        </w:rPr>
        <w:t>对竞争性磋商文件作出的实质性变动是竞争性磋商文件的有效组成部分，竞争性磋商小组应当及时以书面形式同时通知所有参加磋商的供应商。</w:t>
      </w:r>
    </w:p>
    <w:p w14:paraId="51215F4C">
      <w:pPr>
        <w:pStyle w:val="21"/>
        <w:adjustRightInd w:val="0"/>
        <w:snapToGrid w:val="0"/>
        <w:spacing w:line="380" w:lineRule="exact"/>
        <w:ind w:firstLine="450"/>
        <w:rPr>
          <w:rFonts w:cs="宋体"/>
          <w:b/>
          <w:color w:val="auto"/>
          <w:sz w:val="22"/>
          <w:highlight w:val="none"/>
        </w:rPr>
      </w:pPr>
      <w:r>
        <w:rPr>
          <w:rFonts w:hint="eastAsia" w:cs="宋体"/>
          <w:color w:val="auto"/>
          <w:sz w:val="22"/>
          <w:highlight w:val="none"/>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205CDB4C">
      <w:pPr>
        <w:adjustRightInd w:val="0"/>
        <w:spacing w:line="380" w:lineRule="exact"/>
        <w:ind w:firstLine="420"/>
        <w:rPr>
          <w:rFonts w:ascii="宋体" w:cs="宋体"/>
          <w:color w:val="auto"/>
          <w:sz w:val="22"/>
          <w:highlight w:val="none"/>
        </w:rPr>
      </w:pPr>
      <w:r>
        <w:rPr>
          <w:rFonts w:hint="eastAsia" w:ascii="宋体" w:cs="宋体"/>
          <w:color w:val="auto"/>
          <w:sz w:val="22"/>
          <w:highlight w:val="none"/>
        </w:rPr>
        <w:t>已提交投标文件的供应商，在提交最终报价之前，可以根据磋商情况退出磋商。</w:t>
      </w:r>
    </w:p>
    <w:p w14:paraId="3A2B7258">
      <w:pPr>
        <w:pStyle w:val="21"/>
        <w:adjustRightInd w:val="0"/>
        <w:snapToGrid w:val="0"/>
        <w:spacing w:line="380" w:lineRule="exact"/>
        <w:ind w:firstLine="450"/>
        <w:rPr>
          <w:color w:val="auto"/>
          <w:highlight w:val="none"/>
        </w:rPr>
      </w:pPr>
      <w:r>
        <w:rPr>
          <w:rFonts w:hint="eastAsia" w:cs="宋体"/>
          <w:color w:val="auto"/>
          <w:sz w:val="22"/>
          <w:highlight w:val="none"/>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3695BB57">
      <w:pPr>
        <w:pStyle w:val="21"/>
        <w:adjustRightInd w:val="0"/>
        <w:snapToGrid w:val="0"/>
        <w:spacing w:line="380" w:lineRule="exact"/>
        <w:ind w:firstLine="450"/>
        <w:rPr>
          <w:rFonts w:cs="宋体"/>
          <w:b/>
          <w:color w:val="auto"/>
          <w:sz w:val="22"/>
          <w:highlight w:val="none"/>
        </w:rPr>
      </w:pPr>
      <w:r>
        <w:rPr>
          <w:rFonts w:hint="eastAsia" w:cs="宋体"/>
          <w:color w:val="auto"/>
          <w:sz w:val="22"/>
          <w:highlight w:val="none"/>
        </w:rPr>
        <w:t>3、评审原则和方法</w:t>
      </w:r>
    </w:p>
    <w:p w14:paraId="401F9ED9">
      <w:pPr>
        <w:pStyle w:val="21"/>
        <w:adjustRightInd w:val="0"/>
        <w:snapToGrid w:val="0"/>
        <w:spacing w:line="380" w:lineRule="exact"/>
        <w:ind w:firstLine="450"/>
        <w:rPr>
          <w:rFonts w:cs="宋体"/>
          <w:b/>
          <w:color w:val="auto"/>
          <w:sz w:val="22"/>
          <w:highlight w:val="none"/>
        </w:rPr>
      </w:pPr>
      <w:r>
        <w:rPr>
          <w:rFonts w:hint="eastAsia" w:cs="宋体"/>
          <w:color w:val="auto"/>
          <w:sz w:val="22"/>
          <w:highlight w:val="none"/>
        </w:rPr>
        <w:t>3.1 竞争性磋商小组负责审查投标文件是否符合竞争性磋商文件的要求，并作出评价。竞争性磋商小组认为必要时，可向供应商进行询标。竞争性磋商小组有权决定全部或部分供应商投标文件无效。</w:t>
      </w:r>
    </w:p>
    <w:p w14:paraId="29018F0B">
      <w:pPr>
        <w:pStyle w:val="21"/>
        <w:adjustRightInd w:val="0"/>
        <w:snapToGrid w:val="0"/>
        <w:spacing w:line="380" w:lineRule="exact"/>
        <w:ind w:firstLine="450"/>
        <w:rPr>
          <w:rFonts w:cs="宋体"/>
          <w:b/>
          <w:color w:val="auto"/>
          <w:sz w:val="22"/>
          <w:highlight w:val="none"/>
        </w:rPr>
      </w:pPr>
      <w:r>
        <w:rPr>
          <w:rFonts w:hint="eastAsia" w:cs="宋体"/>
          <w:color w:val="auto"/>
          <w:sz w:val="22"/>
          <w:highlight w:val="none"/>
        </w:rPr>
        <w:t>3.2 竞争性磋商小组将综合分析合格供应商的各项指标，而不是以单项指标的优劣评选出成交的供应商。</w:t>
      </w:r>
    </w:p>
    <w:p w14:paraId="7B14E416">
      <w:pPr>
        <w:pStyle w:val="21"/>
        <w:adjustRightInd w:val="0"/>
        <w:snapToGrid w:val="0"/>
        <w:spacing w:line="380" w:lineRule="exact"/>
        <w:ind w:firstLine="450"/>
        <w:rPr>
          <w:rFonts w:cs="宋体"/>
          <w:b/>
          <w:color w:val="auto"/>
          <w:sz w:val="22"/>
          <w:highlight w:val="none"/>
        </w:rPr>
      </w:pPr>
      <w:r>
        <w:rPr>
          <w:rFonts w:hint="eastAsia" w:cs="宋体"/>
          <w:color w:val="auto"/>
          <w:sz w:val="22"/>
          <w:highlight w:val="none"/>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095FD0AC">
      <w:pPr>
        <w:pStyle w:val="21"/>
        <w:adjustRightInd w:val="0"/>
        <w:snapToGrid w:val="0"/>
        <w:spacing w:line="380" w:lineRule="exact"/>
        <w:ind w:firstLine="450"/>
        <w:rPr>
          <w:rFonts w:cs="宋体"/>
          <w:b/>
          <w:color w:val="auto"/>
          <w:sz w:val="22"/>
          <w:highlight w:val="none"/>
        </w:rPr>
      </w:pPr>
      <w:r>
        <w:rPr>
          <w:rFonts w:hint="eastAsia" w:cs="宋体"/>
          <w:color w:val="auto"/>
          <w:sz w:val="22"/>
          <w:highlight w:val="none"/>
        </w:rPr>
        <w:t>本次评审采用综合评分法，竞争性磋商小组根据竞争性磋商文件制定的评审办法对供应商进行评审排序，将综合得分第一名的供应商向采购人推荐其为中标（成交）供应商。</w:t>
      </w:r>
    </w:p>
    <w:p w14:paraId="00630327">
      <w:pPr>
        <w:pStyle w:val="21"/>
        <w:adjustRightInd w:val="0"/>
        <w:snapToGrid w:val="0"/>
        <w:spacing w:line="380" w:lineRule="exact"/>
        <w:ind w:firstLine="450"/>
        <w:rPr>
          <w:rFonts w:cs="宋体"/>
          <w:b/>
          <w:color w:val="auto"/>
          <w:sz w:val="22"/>
          <w:highlight w:val="none"/>
        </w:rPr>
      </w:pPr>
      <w:r>
        <w:rPr>
          <w:rFonts w:hint="eastAsia" w:cs="宋体"/>
          <w:color w:val="auto"/>
          <w:sz w:val="22"/>
          <w:highlight w:val="none"/>
        </w:rPr>
        <w:t>4、投标文件的澄清</w:t>
      </w:r>
    </w:p>
    <w:p w14:paraId="06A9638B">
      <w:pPr>
        <w:pStyle w:val="21"/>
        <w:adjustRightInd w:val="0"/>
        <w:snapToGrid w:val="0"/>
        <w:spacing w:line="380" w:lineRule="exact"/>
        <w:ind w:firstLine="223" w:firstLineChars="100"/>
        <w:rPr>
          <w:rFonts w:cs="宋体"/>
          <w:b/>
          <w:color w:val="auto"/>
          <w:sz w:val="22"/>
          <w:highlight w:val="none"/>
        </w:rPr>
      </w:pPr>
      <w:r>
        <w:rPr>
          <w:rFonts w:hint="eastAsia" w:cs="宋体"/>
          <w:color w:val="auto"/>
          <w:sz w:val="22"/>
          <w:highlight w:val="none"/>
        </w:rPr>
        <w:t>为有利于对投标文件的评议，必要时采购人可要求供应商对投标文件进行澄清，并作出答复。答复须有供应商授权代表签字并作为投标文件内容的一部分。</w:t>
      </w:r>
    </w:p>
    <w:p w14:paraId="7CC92291">
      <w:pPr>
        <w:pStyle w:val="21"/>
        <w:adjustRightInd w:val="0"/>
        <w:snapToGrid w:val="0"/>
        <w:spacing w:line="380" w:lineRule="exact"/>
        <w:ind w:firstLine="446" w:firstLineChars="200"/>
        <w:jc w:val="center"/>
        <w:rPr>
          <w:rFonts w:cs="宋体"/>
          <w:color w:val="auto"/>
          <w:sz w:val="22"/>
          <w:highlight w:val="none"/>
        </w:rPr>
      </w:pPr>
      <w:bookmarkStart w:id="144" w:name="_Toc28287_WPSOffice_Level2"/>
    </w:p>
    <w:p w14:paraId="27076AC1">
      <w:pPr>
        <w:pStyle w:val="21"/>
        <w:adjustRightInd w:val="0"/>
        <w:snapToGrid w:val="0"/>
        <w:spacing w:line="380" w:lineRule="exact"/>
        <w:ind w:firstLine="446" w:firstLineChars="200"/>
        <w:jc w:val="center"/>
        <w:rPr>
          <w:rFonts w:cs="宋体"/>
          <w:b/>
          <w:bCs/>
          <w:color w:val="auto"/>
          <w:sz w:val="22"/>
          <w:highlight w:val="none"/>
        </w:rPr>
      </w:pPr>
      <w:r>
        <w:rPr>
          <w:rFonts w:hint="eastAsia" w:cs="宋体"/>
          <w:b/>
          <w:bCs/>
          <w:color w:val="auto"/>
          <w:sz w:val="22"/>
          <w:highlight w:val="none"/>
        </w:rPr>
        <w:t>四、评审细则</w:t>
      </w:r>
      <w:bookmarkEnd w:id="144"/>
    </w:p>
    <w:p w14:paraId="24819D54">
      <w:pPr>
        <w:pStyle w:val="21"/>
        <w:adjustRightInd w:val="0"/>
        <w:snapToGrid w:val="0"/>
        <w:spacing w:line="380" w:lineRule="exact"/>
        <w:ind w:firstLine="446" w:firstLineChars="200"/>
        <w:rPr>
          <w:rFonts w:cs="宋体"/>
          <w:b/>
          <w:bCs/>
          <w:color w:val="auto"/>
          <w:sz w:val="22"/>
          <w:highlight w:val="none"/>
        </w:rPr>
      </w:pPr>
      <w:bookmarkStart w:id="145" w:name="_Toc20707_WPSOffice_Level3"/>
      <w:r>
        <w:rPr>
          <w:rFonts w:hint="eastAsia" w:cs="宋体"/>
          <w:b/>
          <w:bCs/>
          <w:color w:val="auto"/>
          <w:sz w:val="22"/>
          <w:highlight w:val="none"/>
        </w:rPr>
        <w:t>（一）报价部分评分：</w:t>
      </w:r>
      <w:bookmarkEnd w:id="145"/>
      <w:r>
        <w:rPr>
          <w:rFonts w:hint="eastAsia" w:cs="宋体"/>
          <w:b/>
          <w:bCs/>
          <w:color w:val="auto"/>
          <w:sz w:val="22"/>
          <w:highlight w:val="none"/>
          <w:lang w:val="en-US" w:eastAsia="zh-CN"/>
        </w:rPr>
        <w:t>20</w:t>
      </w:r>
      <w:r>
        <w:rPr>
          <w:rFonts w:hint="eastAsia" w:cs="宋体"/>
          <w:b/>
          <w:bCs/>
          <w:color w:val="auto"/>
          <w:sz w:val="22"/>
          <w:highlight w:val="none"/>
        </w:rPr>
        <w:t>分</w:t>
      </w:r>
    </w:p>
    <w:p w14:paraId="69E8A027">
      <w:pPr>
        <w:pStyle w:val="21"/>
        <w:adjustRightInd w:val="0"/>
        <w:snapToGrid w:val="0"/>
        <w:spacing w:line="380" w:lineRule="exact"/>
        <w:ind w:firstLine="450"/>
        <w:rPr>
          <w:rFonts w:cs="宋体"/>
          <w:color w:val="auto"/>
          <w:sz w:val="22"/>
          <w:highlight w:val="none"/>
        </w:rPr>
      </w:pPr>
      <w:r>
        <w:rPr>
          <w:rFonts w:hint="eastAsia" w:cs="宋体"/>
          <w:color w:val="auto"/>
          <w:sz w:val="22"/>
          <w:highlight w:val="none"/>
        </w:rPr>
        <w:t>1.以满足竞争性磋商文件要求且最终报价最低的有效供应商的价格为磋商基准价，其价格分为满分。其他供应商的价格分统一按照下列公式计算：</w:t>
      </w:r>
    </w:p>
    <w:p w14:paraId="46FD0C21">
      <w:pPr>
        <w:pStyle w:val="21"/>
        <w:adjustRightInd w:val="0"/>
        <w:snapToGrid w:val="0"/>
        <w:spacing w:line="380" w:lineRule="exact"/>
        <w:ind w:firstLine="450"/>
        <w:rPr>
          <w:rFonts w:cs="宋体"/>
          <w:b/>
          <w:bCs/>
          <w:color w:val="auto"/>
          <w:sz w:val="22"/>
          <w:highlight w:val="none"/>
        </w:rPr>
      </w:pPr>
      <w:r>
        <w:rPr>
          <w:rFonts w:hint="eastAsia" w:cs="宋体"/>
          <w:b/>
          <w:bCs/>
          <w:color w:val="auto"/>
          <w:sz w:val="22"/>
          <w:highlight w:val="none"/>
        </w:rPr>
        <w:t>报价得分=（磋商基准价/最终报价）×</w:t>
      </w:r>
      <w:r>
        <w:rPr>
          <w:rFonts w:hint="eastAsia" w:cs="宋体"/>
          <w:b/>
          <w:bCs/>
          <w:color w:val="auto"/>
          <w:sz w:val="22"/>
          <w:highlight w:val="none"/>
          <w:lang w:val="en-US" w:eastAsia="zh-CN"/>
        </w:rPr>
        <w:t>20</w:t>
      </w:r>
      <w:r>
        <w:rPr>
          <w:rFonts w:hint="eastAsia" w:cs="宋体"/>
          <w:b/>
          <w:bCs/>
          <w:color w:val="auto"/>
          <w:sz w:val="22"/>
          <w:highlight w:val="none"/>
        </w:rPr>
        <w:t>%×100</w:t>
      </w:r>
    </w:p>
    <w:p w14:paraId="3E54B80B">
      <w:pPr>
        <w:ind w:firstLine="446" w:firstLineChars="200"/>
      </w:pPr>
      <w:r>
        <w:rPr>
          <w:rFonts w:hint="eastAsia" w:cs="宋体"/>
          <w:sz w:val="22"/>
        </w:rPr>
        <w:t>2.</w:t>
      </w:r>
      <w:r>
        <w:rPr>
          <w:rFonts w:hint="eastAsia"/>
          <w:sz w:val="22"/>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p>
    <w:p w14:paraId="4C4BDC32">
      <w:pPr>
        <w:pStyle w:val="21"/>
        <w:adjustRightInd w:val="0"/>
        <w:snapToGrid w:val="0"/>
        <w:spacing w:line="380" w:lineRule="exact"/>
        <w:ind w:left="561"/>
        <w:rPr>
          <w:rFonts w:cs="宋体"/>
          <w:b/>
          <w:bCs/>
          <w:color w:val="auto"/>
          <w:sz w:val="22"/>
          <w:highlight w:val="none"/>
        </w:rPr>
      </w:pPr>
      <w:r>
        <w:rPr>
          <w:rFonts w:hint="eastAsia" w:cs="宋体"/>
          <w:b/>
          <w:bCs/>
          <w:color w:val="auto"/>
          <w:sz w:val="22"/>
          <w:highlight w:val="none"/>
        </w:rPr>
        <w:t>（二）商务技术部分评分：</w:t>
      </w:r>
      <w:r>
        <w:rPr>
          <w:rFonts w:hint="eastAsia" w:cs="宋体"/>
          <w:b/>
          <w:bCs/>
          <w:color w:val="auto"/>
          <w:sz w:val="22"/>
          <w:highlight w:val="none"/>
          <w:lang w:val="en-US" w:eastAsia="zh-CN"/>
        </w:rPr>
        <w:t>80</w:t>
      </w:r>
      <w:r>
        <w:rPr>
          <w:rFonts w:hint="eastAsia" w:cs="宋体"/>
          <w:b/>
          <w:bCs/>
          <w:color w:val="auto"/>
          <w:sz w:val="22"/>
          <w:highlight w:val="none"/>
        </w:rPr>
        <w:t>分</w:t>
      </w:r>
    </w:p>
    <w:tbl>
      <w:tblPr>
        <w:tblStyle w:val="36"/>
        <w:tblW w:w="9690" w:type="dxa"/>
        <w:tblInd w:w="93" w:type="dxa"/>
        <w:tblLayout w:type="fixed"/>
        <w:tblCellMar>
          <w:top w:w="0" w:type="dxa"/>
          <w:left w:w="108" w:type="dxa"/>
          <w:bottom w:w="0" w:type="dxa"/>
          <w:right w:w="108" w:type="dxa"/>
        </w:tblCellMar>
      </w:tblPr>
      <w:tblGrid>
        <w:gridCol w:w="615"/>
        <w:gridCol w:w="1238"/>
        <w:gridCol w:w="7153"/>
        <w:gridCol w:w="684"/>
      </w:tblGrid>
      <w:tr w14:paraId="5111F7F0">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EAC2">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序号</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4722">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评分内容</w:t>
            </w:r>
          </w:p>
        </w:tc>
        <w:tc>
          <w:tcPr>
            <w:tcW w:w="7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F1F8">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评分标准说明</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019B">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分值</w:t>
            </w:r>
          </w:p>
        </w:tc>
      </w:tr>
      <w:tr w14:paraId="1EA9D7C6">
        <w:tblPrEx>
          <w:tblCellMar>
            <w:top w:w="0" w:type="dxa"/>
            <w:left w:w="108" w:type="dxa"/>
            <w:bottom w:w="0" w:type="dxa"/>
            <w:right w:w="108" w:type="dxa"/>
          </w:tblCellMar>
        </w:tblPrEx>
        <w:trPr>
          <w:trHeight w:val="81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32DD">
            <w:pPr>
              <w:widowControl/>
              <w:jc w:val="center"/>
              <w:textAlignment w:val="center"/>
              <w:rPr>
                <w:rFonts w:hint="eastAsia" w:ascii="宋体" w:hAnsi="宋体" w:eastAsia="宋体" w:cs="宋体"/>
                <w:color w:val="auto"/>
                <w:sz w:val="22"/>
                <w:highlight w:val="none"/>
                <w:lang w:eastAsia="zh-CN"/>
              </w:rPr>
            </w:pPr>
            <w:r>
              <w:rPr>
                <w:rFonts w:hint="eastAsia" w:ascii="宋体" w:hAnsi="宋体" w:cs="宋体"/>
                <w:color w:val="auto"/>
                <w:kern w:val="0"/>
                <w:sz w:val="22"/>
                <w:highlight w:val="none"/>
                <w:lang w:val="en-US" w:eastAsia="zh-CN"/>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C37A">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项目业绩</w:t>
            </w:r>
          </w:p>
        </w:tc>
        <w:tc>
          <w:tcPr>
            <w:tcW w:w="7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DC44">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投标人提供类似项目业绩，每提供一项业绩合同得1分，最高得2分。注：需提供合同关键页复印件或扫描件并加盖投标人公章，否则不得分。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8916">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w:t>
            </w:r>
          </w:p>
        </w:tc>
      </w:tr>
      <w:tr w14:paraId="3D3857D9">
        <w:tblPrEx>
          <w:tblCellMar>
            <w:top w:w="0" w:type="dxa"/>
            <w:left w:w="108" w:type="dxa"/>
            <w:bottom w:w="0" w:type="dxa"/>
            <w:right w:w="108" w:type="dxa"/>
          </w:tblCellMar>
        </w:tblPrEx>
        <w:trPr>
          <w:trHeight w:val="27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0122">
            <w:pPr>
              <w:widowControl/>
              <w:jc w:val="center"/>
              <w:textAlignment w:val="center"/>
              <w:rPr>
                <w:rFonts w:hint="eastAsia" w:ascii="宋体" w:hAnsi="宋体" w:eastAsia="宋体" w:cs="宋体"/>
                <w:color w:val="auto"/>
                <w:sz w:val="22"/>
                <w:highlight w:val="none"/>
                <w:lang w:eastAsia="zh-CN"/>
              </w:rPr>
            </w:pPr>
            <w:r>
              <w:rPr>
                <w:rFonts w:hint="eastAsia" w:ascii="宋体" w:hAnsi="宋体" w:cs="宋体"/>
                <w:color w:val="auto"/>
                <w:kern w:val="0"/>
                <w:sz w:val="22"/>
                <w:highlight w:val="none"/>
                <w:lang w:val="en-US" w:eastAsia="zh-CN"/>
              </w:rPr>
              <w:t>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1A52">
            <w:pPr>
              <w:widowControl/>
              <w:jc w:val="center"/>
              <w:textAlignment w:val="center"/>
              <w:rPr>
                <w:rFonts w:ascii="宋体" w:hAnsi="宋体" w:cs="宋体"/>
                <w:color w:val="auto"/>
                <w:kern w:val="0"/>
                <w:sz w:val="22"/>
                <w:highlight w:val="none"/>
              </w:rPr>
            </w:pPr>
            <w:r>
              <w:rPr>
                <w:rFonts w:hint="eastAsia" w:ascii="宋体" w:hAnsi="宋体" w:cs="宋体"/>
                <w:color w:val="auto"/>
                <w:kern w:val="0"/>
                <w:sz w:val="22"/>
                <w:highlight w:val="none"/>
              </w:rPr>
              <w:t>项目组人员情况</w:t>
            </w:r>
          </w:p>
        </w:tc>
        <w:tc>
          <w:tcPr>
            <w:tcW w:w="7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2392">
            <w:pPr>
              <w:widowControl/>
              <w:jc w:val="left"/>
              <w:textAlignment w:val="center"/>
              <w:rPr>
                <w:rFonts w:hint="default" w:ascii="宋体" w:hAnsi="宋体" w:cs="宋体"/>
                <w:color w:val="auto"/>
                <w:sz w:val="22"/>
                <w:highlight w:val="none"/>
                <w:lang w:val="en-US" w:eastAsia="zh-CN"/>
              </w:rPr>
            </w:pPr>
            <w:r>
              <w:rPr>
                <w:rFonts w:hint="eastAsia" w:ascii="宋体" w:hAnsi="宋体" w:cs="宋体"/>
                <w:color w:val="auto"/>
                <w:sz w:val="22"/>
                <w:highlight w:val="none"/>
                <w:lang w:val="en-US" w:eastAsia="zh-CN"/>
              </w:rPr>
              <w:t>1.</w:t>
            </w:r>
            <w:r>
              <w:rPr>
                <w:rFonts w:hint="eastAsia" w:ascii="宋体" w:hAnsi="宋体" w:cs="宋体"/>
                <w:color w:val="auto"/>
                <w:sz w:val="22"/>
                <w:highlight w:val="none"/>
              </w:rPr>
              <w:t>投入的项目负责人（一名）</w:t>
            </w:r>
            <w:r>
              <w:rPr>
                <w:rFonts w:hint="eastAsia" w:ascii="宋体" w:hAnsi="宋体" w:cs="宋体"/>
                <w:color w:val="auto"/>
                <w:sz w:val="22"/>
                <w:highlight w:val="none"/>
                <w:lang w:val="en-US" w:eastAsia="zh-CN"/>
              </w:rPr>
              <w:t>具有高级工程师（信息技术（技术开发））、系统架构设计师、数据库系统工程师和信创集成项目管理师证书的，每提供一种证书得1分，最高得4分</w:t>
            </w:r>
          </w:p>
          <w:p w14:paraId="742D7B12">
            <w:pPr>
              <w:widowControl/>
              <w:jc w:val="left"/>
              <w:textAlignment w:val="center"/>
              <w:rPr>
                <w:rFonts w:hint="eastAsia" w:ascii="宋体" w:hAnsi="宋体" w:cs="宋体"/>
                <w:color w:val="auto"/>
                <w:sz w:val="22"/>
                <w:highlight w:val="none"/>
                <w:lang w:eastAsia="zh-CN"/>
              </w:rPr>
            </w:pPr>
            <w:r>
              <w:rPr>
                <w:rFonts w:hint="eastAsia" w:ascii="宋体" w:hAnsi="宋体" w:cs="宋体"/>
                <w:color w:val="auto"/>
                <w:sz w:val="22"/>
                <w:highlight w:val="none"/>
                <w:lang w:val="en-US" w:eastAsia="zh-CN"/>
              </w:rPr>
              <w:t>2.投入的技术负责人（一名）具有系统分析师、信息系统监理师、信创系统架构师、CISP-CISO证书的，每提供一种证书得1分，最高得3分</w:t>
            </w:r>
          </w:p>
          <w:p w14:paraId="21BFC61D">
            <w:pPr>
              <w:widowControl/>
              <w:jc w:val="left"/>
              <w:textAlignment w:val="center"/>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3.投入的安全负责人（一名）具有信息系统项目管理师、信息安全管理（高级）、高级工程师证书的，每提供一种证书得1分，最高得3分</w:t>
            </w:r>
          </w:p>
          <w:p w14:paraId="654043F2">
            <w:pPr>
              <w:widowControl/>
              <w:jc w:val="left"/>
              <w:textAlignment w:val="center"/>
              <w:rPr>
                <w:rFonts w:ascii="宋体" w:hAnsi="宋体" w:cs="宋体"/>
                <w:color w:val="auto"/>
                <w:sz w:val="22"/>
                <w:highlight w:val="none"/>
              </w:rPr>
            </w:pPr>
            <w:r>
              <w:rPr>
                <w:rFonts w:hint="eastAsia" w:ascii="宋体" w:hAnsi="宋体" w:cs="宋体"/>
                <w:color w:val="auto"/>
                <w:sz w:val="22"/>
                <w:highlight w:val="none"/>
              </w:rPr>
              <w:t>须提供人员有效的证书扫描件和任意一月在供应商单位的社保证明材料扫描件，否则不得分。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8945">
            <w:pPr>
              <w:widowControl/>
              <w:jc w:val="center"/>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rPr>
              <w:t>10</w:t>
            </w:r>
          </w:p>
        </w:tc>
      </w:tr>
      <w:tr w14:paraId="517E0993">
        <w:tblPrEx>
          <w:tblCellMar>
            <w:top w:w="0" w:type="dxa"/>
            <w:left w:w="108" w:type="dxa"/>
            <w:bottom w:w="0" w:type="dxa"/>
            <w:right w:w="108" w:type="dxa"/>
          </w:tblCellMar>
        </w:tblPrEx>
        <w:trPr>
          <w:trHeight w:val="11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3143">
            <w:pPr>
              <w:widowControl/>
              <w:jc w:val="center"/>
              <w:textAlignment w:val="center"/>
              <w:rPr>
                <w:rFonts w:hint="eastAsia" w:ascii="宋体" w:hAnsi="宋体" w:eastAsia="宋体" w:cs="宋体"/>
                <w:color w:val="auto"/>
                <w:sz w:val="22"/>
                <w:highlight w:val="none"/>
                <w:lang w:eastAsia="zh-CN"/>
              </w:rPr>
            </w:pPr>
            <w:r>
              <w:rPr>
                <w:rFonts w:hint="eastAsia" w:ascii="宋体" w:hAnsi="宋体" w:cs="宋体"/>
                <w:color w:val="auto"/>
                <w:kern w:val="0"/>
                <w:sz w:val="22"/>
                <w:highlight w:val="none"/>
                <w:lang w:val="en-US" w:eastAsia="zh-CN"/>
              </w:rPr>
              <w:t>3</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B40E">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产品性能及技术参数响应情况</w:t>
            </w:r>
          </w:p>
        </w:tc>
        <w:tc>
          <w:tcPr>
            <w:tcW w:w="7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791A">
            <w:pPr>
              <w:widowControl/>
              <w:jc w:val="left"/>
              <w:textAlignment w:val="center"/>
              <w:rPr>
                <w:rFonts w:ascii="宋体" w:hAnsi="宋体" w:cs="宋体"/>
                <w:color w:val="auto"/>
                <w:sz w:val="22"/>
                <w:highlight w:val="none"/>
              </w:rPr>
            </w:pPr>
            <w:r>
              <w:rPr>
                <w:rFonts w:hint="eastAsia" w:ascii="宋体" w:hAnsi="宋体" w:cs="宋体"/>
                <w:b/>
                <w:bCs/>
                <w:color w:val="auto"/>
                <w:sz w:val="22"/>
                <w:highlight w:val="none"/>
              </w:rPr>
              <w:t>技术性能响应情况</w:t>
            </w:r>
            <w:r>
              <w:rPr>
                <w:rFonts w:hint="eastAsia" w:ascii="宋体" w:hAnsi="宋体" w:cs="宋体"/>
                <w:color w:val="auto"/>
                <w:sz w:val="22"/>
                <w:highlight w:val="none"/>
              </w:rPr>
              <w:t>：对应于采购文件“采购内容及需求”中“技术标准及要求”的符合情况。完全响应招标文件招标要求中各项技术参数的得满分</w:t>
            </w:r>
            <w:r>
              <w:rPr>
                <w:rFonts w:hint="eastAsia" w:ascii="宋体" w:hAnsi="宋体" w:cs="宋体"/>
                <w:color w:val="auto"/>
                <w:sz w:val="22"/>
                <w:highlight w:val="none"/>
                <w:lang w:val="en-US" w:eastAsia="zh-CN"/>
              </w:rPr>
              <w:t>30</w:t>
            </w:r>
            <w:r>
              <w:rPr>
                <w:rFonts w:hint="eastAsia" w:ascii="宋体" w:hAnsi="宋体" w:cs="宋体"/>
                <w:color w:val="auto"/>
                <w:sz w:val="22"/>
                <w:highlight w:val="none"/>
              </w:rPr>
              <w:t>分，带“★”的条款内容（提供截图），每一条不满足扣1分，不带“★”的条款内容，每一条不满足扣0.5分，扣完为止。</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5373">
            <w:pPr>
              <w:widowControl/>
              <w:jc w:val="center"/>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rPr>
              <w:t>33</w:t>
            </w:r>
          </w:p>
        </w:tc>
      </w:tr>
      <w:tr w14:paraId="658007AB">
        <w:tblPrEx>
          <w:tblCellMar>
            <w:top w:w="0" w:type="dxa"/>
            <w:left w:w="108" w:type="dxa"/>
            <w:bottom w:w="0" w:type="dxa"/>
            <w:right w:w="108" w:type="dxa"/>
          </w:tblCellMar>
        </w:tblPrEx>
        <w:trPr>
          <w:trHeight w:val="287" w:hRule="atLeast"/>
        </w:trPr>
        <w:tc>
          <w:tcPr>
            <w:tcW w:w="615" w:type="dxa"/>
            <w:vMerge w:val="restart"/>
            <w:tcBorders>
              <w:top w:val="single" w:color="000000" w:sz="4" w:space="0"/>
              <w:left w:val="single" w:color="000000" w:sz="4" w:space="0"/>
              <w:right w:val="single" w:color="000000" w:sz="4" w:space="0"/>
            </w:tcBorders>
            <w:shd w:val="clear" w:color="auto" w:fill="auto"/>
            <w:vAlign w:val="center"/>
          </w:tcPr>
          <w:p w14:paraId="08F51C98">
            <w:pPr>
              <w:widowControl/>
              <w:jc w:val="center"/>
              <w:textAlignment w:val="center"/>
              <w:rPr>
                <w:rFonts w:hint="eastAsia" w:ascii="宋体" w:hAnsi="宋体" w:eastAsia="宋体" w:cs="宋体"/>
                <w:color w:val="auto"/>
                <w:kern w:val="0"/>
                <w:sz w:val="22"/>
                <w:highlight w:val="none"/>
                <w:lang w:val="en-US" w:eastAsia="zh-CN"/>
              </w:rPr>
            </w:pPr>
            <w:r>
              <w:rPr>
                <w:rFonts w:hint="eastAsia" w:ascii="宋体" w:hAnsi="宋体" w:cs="宋体"/>
                <w:color w:val="auto"/>
                <w:kern w:val="0"/>
                <w:sz w:val="22"/>
                <w:highlight w:val="none"/>
                <w:lang w:val="en-US" w:eastAsia="zh-CN"/>
              </w:rPr>
              <w:t>4</w:t>
            </w:r>
          </w:p>
        </w:tc>
        <w:tc>
          <w:tcPr>
            <w:tcW w:w="1238" w:type="dxa"/>
            <w:vMerge w:val="restart"/>
            <w:tcBorders>
              <w:top w:val="single" w:color="000000" w:sz="4" w:space="0"/>
              <w:left w:val="single" w:color="000000" w:sz="4" w:space="0"/>
              <w:right w:val="single" w:color="000000" w:sz="4" w:space="0"/>
            </w:tcBorders>
            <w:shd w:val="clear" w:color="auto" w:fill="auto"/>
            <w:vAlign w:val="center"/>
          </w:tcPr>
          <w:p w14:paraId="0B30D392">
            <w:pPr>
              <w:widowControl/>
              <w:jc w:val="left"/>
              <w:rPr>
                <w:rFonts w:hint="eastAsia" w:ascii="宋体" w:hAnsi="宋体" w:eastAsia="宋体" w:cs="宋体"/>
                <w:color w:val="auto"/>
                <w:kern w:val="0"/>
                <w:sz w:val="22"/>
                <w:highlight w:val="none"/>
                <w:lang w:val="en-US" w:eastAsia="zh-CN"/>
              </w:rPr>
            </w:pPr>
            <w:r>
              <w:rPr>
                <w:rFonts w:hint="eastAsia" w:ascii="宋体" w:hAnsi="宋体" w:cs="宋体"/>
                <w:color w:val="auto"/>
                <w:kern w:val="0"/>
                <w:sz w:val="22"/>
                <w:highlight w:val="none"/>
                <w:lang w:val="en-US" w:eastAsia="zh-CN"/>
              </w:rPr>
              <w:t>系统演示</w:t>
            </w:r>
          </w:p>
        </w:tc>
        <w:tc>
          <w:tcPr>
            <w:tcW w:w="7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3719">
            <w:pPr>
              <w:pStyle w:val="15"/>
              <w:pageBreakBefore w:val="0"/>
              <w:widowControl/>
              <w:kinsoku/>
              <w:wordWrap/>
              <w:overflowPunct/>
              <w:topLinePunct w:val="0"/>
              <w:autoSpaceDE/>
              <w:autoSpaceDN/>
              <w:bidi w:val="0"/>
              <w:spacing w:after="0" w:line="240" w:lineRule="auto"/>
              <w:jc w:val="left"/>
              <w:textAlignment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诊前管理：</w:t>
            </w:r>
          </w:p>
          <w:p w14:paraId="520E1EFD">
            <w:pPr>
              <w:pStyle w:val="15"/>
              <w:pageBreakBefore w:val="0"/>
              <w:widowControl/>
              <w:numPr>
                <w:ilvl w:val="0"/>
                <w:numId w:val="9"/>
              </w:numPr>
              <w:kinsoku/>
              <w:wordWrap/>
              <w:overflowPunct/>
              <w:topLinePunct w:val="0"/>
              <w:autoSpaceDE/>
              <w:autoSpaceDN/>
              <w:bidi w:val="0"/>
              <w:spacing w:after="0" w:line="24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系统需具备诊前慢病患者身份识别及智能提醒功能，得0-</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p>
          <w:p w14:paraId="763594F4">
            <w:pPr>
              <w:pStyle w:val="15"/>
              <w:pageBreakBefore w:val="0"/>
              <w:widowControl/>
              <w:numPr>
                <w:ilvl w:val="0"/>
                <w:numId w:val="9"/>
              </w:numPr>
              <w:kinsoku/>
              <w:wordWrap/>
              <w:overflowPunct/>
              <w:topLinePunct w:val="0"/>
              <w:autoSpaceDE/>
              <w:autoSpaceDN/>
              <w:bidi w:val="0"/>
              <w:spacing w:after="0" w:line="240" w:lineRule="auto"/>
              <w:jc w:val="left"/>
              <w:textAlignment w:val="center"/>
              <w:rPr>
                <w:rFonts w:hint="eastAsia" w:ascii="宋体" w:hAnsi="宋体" w:cs="宋体"/>
                <w:b/>
                <w:bCs/>
                <w:color w:val="auto"/>
                <w:sz w:val="22"/>
                <w:highlight w:val="none"/>
              </w:rPr>
            </w:pPr>
            <w:r>
              <w:rPr>
                <w:rFonts w:hint="eastAsia" w:ascii="宋体" w:hAnsi="宋体" w:cs="宋体"/>
                <w:color w:val="auto"/>
                <w:kern w:val="0"/>
                <w:sz w:val="24"/>
                <w:szCs w:val="24"/>
                <w:highlight w:val="none"/>
                <w:lang w:val="en-US" w:eastAsia="zh-CN"/>
              </w:rPr>
              <w:t>诊前可</w:t>
            </w:r>
            <w:r>
              <w:rPr>
                <w:rFonts w:hint="eastAsia" w:ascii="宋体" w:hAnsi="宋体" w:eastAsia="宋体" w:cs="宋体"/>
                <w:color w:val="auto"/>
                <w:kern w:val="0"/>
                <w:sz w:val="24"/>
                <w:szCs w:val="24"/>
                <w:highlight w:val="none"/>
              </w:rPr>
              <w:t>完善信息、体征数据、疾病症状、生活方式指导、辅助检查等数据的采集功能，得0-</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p>
        </w:tc>
        <w:tc>
          <w:tcPr>
            <w:tcW w:w="684" w:type="dxa"/>
            <w:vMerge w:val="restart"/>
            <w:tcBorders>
              <w:top w:val="single" w:color="000000" w:sz="4" w:space="0"/>
              <w:left w:val="single" w:color="000000" w:sz="4" w:space="0"/>
              <w:right w:val="single" w:color="000000" w:sz="4" w:space="0"/>
            </w:tcBorders>
            <w:shd w:val="clear" w:color="auto" w:fill="auto"/>
            <w:vAlign w:val="center"/>
          </w:tcPr>
          <w:p w14:paraId="2C46B6FF">
            <w:pPr>
              <w:widowControl/>
              <w:jc w:val="center"/>
              <w:textAlignment w:val="center"/>
              <w:rPr>
                <w:rFonts w:hint="default" w:ascii="宋体" w:hAnsi="宋体" w:cs="宋体"/>
                <w:color w:val="auto"/>
                <w:kern w:val="0"/>
                <w:sz w:val="22"/>
                <w:highlight w:val="none"/>
                <w:lang w:val="en-US" w:eastAsia="zh-CN"/>
              </w:rPr>
            </w:pPr>
            <w:r>
              <w:rPr>
                <w:rFonts w:hint="eastAsia" w:ascii="宋体" w:hAnsi="宋体" w:cs="宋体"/>
                <w:color w:val="auto"/>
                <w:kern w:val="0"/>
                <w:sz w:val="22"/>
                <w:highlight w:val="none"/>
                <w:lang w:val="en-US" w:eastAsia="zh-CN"/>
              </w:rPr>
              <w:t>15</w:t>
            </w:r>
          </w:p>
        </w:tc>
      </w:tr>
      <w:tr w14:paraId="1958F805">
        <w:tblPrEx>
          <w:tblCellMar>
            <w:top w:w="0" w:type="dxa"/>
            <w:left w:w="108" w:type="dxa"/>
            <w:bottom w:w="0" w:type="dxa"/>
            <w:right w:w="108" w:type="dxa"/>
          </w:tblCellMar>
        </w:tblPrEx>
        <w:trPr>
          <w:trHeight w:val="287" w:hRule="atLeast"/>
        </w:trPr>
        <w:tc>
          <w:tcPr>
            <w:tcW w:w="615" w:type="dxa"/>
            <w:vMerge w:val="continue"/>
            <w:tcBorders>
              <w:left w:val="single" w:color="000000" w:sz="4" w:space="0"/>
              <w:right w:val="single" w:color="000000" w:sz="4" w:space="0"/>
            </w:tcBorders>
            <w:shd w:val="clear" w:color="auto" w:fill="auto"/>
            <w:vAlign w:val="center"/>
          </w:tcPr>
          <w:p w14:paraId="47FD24AA">
            <w:pPr>
              <w:widowControl/>
              <w:jc w:val="left"/>
              <w:textAlignment w:val="center"/>
              <w:rPr>
                <w:color w:val="auto"/>
              </w:rPr>
            </w:pPr>
          </w:p>
        </w:tc>
        <w:tc>
          <w:tcPr>
            <w:tcW w:w="1238" w:type="dxa"/>
            <w:vMerge w:val="continue"/>
            <w:tcBorders>
              <w:left w:val="single" w:color="000000" w:sz="4" w:space="0"/>
              <w:right w:val="single" w:color="000000" w:sz="4" w:space="0"/>
            </w:tcBorders>
            <w:shd w:val="clear" w:color="auto" w:fill="auto"/>
            <w:vAlign w:val="center"/>
          </w:tcPr>
          <w:p w14:paraId="7162ABC5">
            <w:pPr>
              <w:widowControl/>
              <w:jc w:val="left"/>
              <w:textAlignment w:val="center"/>
              <w:rPr>
                <w:color w:val="auto"/>
              </w:rPr>
            </w:pPr>
          </w:p>
        </w:tc>
        <w:tc>
          <w:tcPr>
            <w:tcW w:w="7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51C7">
            <w:pPr>
              <w:pageBreakBefore w:val="0"/>
              <w:widowControl/>
              <w:kinsoku/>
              <w:wordWrap/>
              <w:overflowPunct/>
              <w:topLinePunct w:val="0"/>
              <w:autoSpaceDE/>
              <w:autoSpaceDN/>
              <w:bidi w:val="0"/>
              <w:spacing w:line="240" w:lineRule="auto"/>
              <w:textAlignment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诊中管理：</w:t>
            </w:r>
          </w:p>
          <w:p w14:paraId="5E0FBBEE">
            <w:pPr>
              <w:pageBreakBefore w:val="0"/>
              <w:widowControl/>
              <w:kinsoku/>
              <w:wordWrap/>
              <w:overflowPunct/>
              <w:topLinePunct w:val="0"/>
              <w:autoSpaceDE/>
              <w:autoSpaceDN/>
              <w:bidi w:val="0"/>
              <w:adjustRightInd w:val="0"/>
              <w:spacing w:line="24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（1）系统需具备根据国家基层两慢病防治管理指南和浙江省公共卫生服务规范的要求进行路径化管理，并在接诊时以路径化弹框的形式进行提醒，得0-</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p>
          <w:p w14:paraId="5DDD9C43">
            <w:pPr>
              <w:pageBreakBefore w:val="0"/>
              <w:widowControl/>
              <w:kinsoku/>
              <w:wordWrap/>
              <w:overflowPunct/>
              <w:topLinePunct w:val="0"/>
              <w:autoSpaceDE/>
              <w:autoSpaceDN/>
              <w:bidi w:val="0"/>
              <w:adjustRightInd w:val="0"/>
              <w:spacing w:line="24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系统需具备汇聚患者的诊疗与公卫数据的功能，并形成患者的健康详情，展示患者的身高、体重、身份证、联系电话、联系地址、疾病标签、患者标签等基本信息，展示全生命周期管理流程、待办任务、关键慢病监测指标连续监测汇总、生成图表和趋势；慢病管理路径图展示，得0-</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p>
          <w:p w14:paraId="34126A50">
            <w:pPr>
              <w:pageBreakBefore w:val="0"/>
              <w:widowControl/>
              <w:kinsoku/>
              <w:wordWrap/>
              <w:overflowPunct/>
              <w:topLinePunct w:val="0"/>
              <w:autoSpaceDE/>
              <w:autoSpaceDN/>
              <w:bidi w:val="0"/>
              <w:adjustRightInd w:val="0"/>
              <w:spacing w:line="24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（3）系统需具备最近一次的体检时间提示，得</w:t>
            </w:r>
            <w:r>
              <w:rPr>
                <w:rFonts w:hint="eastAsia" w:ascii="宋体" w:hAnsi="宋体" w:eastAsia="宋体" w:cs="宋体"/>
                <w:color w:val="auto"/>
                <w:kern w:val="0"/>
                <w:sz w:val="24"/>
                <w:szCs w:val="24"/>
                <w:highlight w:val="none"/>
                <w:lang w:val="en-US" w:eastAsia="zh-CN"/>
              </w:rPr>
              <w:t>0-</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p>
          <w:p w14:paraId="3117E072">
            <w:pPr>
              <w:pageBreakBefore w:val="0"/>
              <w:widowControl/>
              <w:kinsoku/>
              <w:wordWrap/>
              <w:overflowPunct/>
              <w:topLinePunct w:val="0"/>
              <w:autoSpaceDE/>
              <w:autoSpaceDN/>
              <w:bidi w:val="0"/>
              <w:adjustRightInd w:val="0"/>
              <w:spacing w:line="24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（4）系统需具备诊间辅助功能，能够查看诊前模块采集的体征数据、疾病症状、生活方式指导、辅助检查等数据，得</w:t>
            </w:r>
            <w:r>
              <w:rPr>
                <w:rFonts w:hint="eastAsia" w:ascii="宋体" w:hAnsi="宋体" w:eastAsia="宋体" w:cs="宋体"/>
                <w:color w:val="auto"/>
                <w:kern w:val="0"/>
                <w:sz w:val="24"/>
                <w:szCs w:val="24"/>
                <w:highlight w:val="none"/>
                <w:lang w:val="en-US" w:eastAsia="zh-CN"/>
              </w:rPr>
              <w:t>0-</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p>
          <w:p w14:paraId="571FDFDB">
            <w:pPr>
              <w:pageBreakBefore w:val="0"/>
              <w:widowControl/>
              <w:kinsoku/>
              <w:wordWrap/>
              <w:overflowPunct/>
              <w:topLinePunct w:val="0"/>
              <w:autoSpaceDE/>
              <w:autoSpaceDN/>
              <w:bidi w:val="0"/>
              <w:adjustRightInd w:val="0"/>
              <w:spacing w:line="24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（5）系统需具备既往90天内检查项目的提醒，并能够形成连续的变化曲线；同时根据慢病管理路径要求提醒该患者未来90天内建议检查的项目，得0-</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p>
          <w:p w14:paraId="3AF7E559">
            <w:pPr>
              <w:pageBreakBefore w:val="0"/>
              <w:widowControl/>
              <w:kinsoku/>
              <w:wordWrap/>
              <w:overflowPunct/>
              <w:topLinePunct w:val="0"/>
              <w:autoSpaceDE/>
              <w:autoSpaceDN/>
              <w:bidi w:val="0"/>
              <w:adjustRightInd w:val="0"/>
              <w:spacing w:line="24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6）系统需具备根据患者管理等级及随访要求智能提醒诊中随访，并且工作系统一键抓取诊前采集的各类随访信息，完成慢病随访工作，得0-</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p>
          <w:p w14:paraId="04428181">
            <w:pPr>
              <w:pageBreakBefore w:val="0"/>
              <w:widowControl/>
              <w:kinsoku/>
              <w:wordWrap/>
              <w:overflowPunct/>
              <w:topLinePunct w:val="0"/>
              <w:autoSpaceDE/>
              <w:autoSpaceDN/>
              <w:bidi w:val="0"/>
              <w:adjustRightInd w:val="0"/>
              <w:spacing w:line="240" w:lineRule="auto"/>
              <w:jc w:val="left"/>
              <w:textAlignment w:val="center"/>
              <w:rPr>
                <w:rFonts w:hint="eastAsia" w:ascii="宋体" w:hAnsi="宋体" w:cs="宋体"/>
                <w:b/>
                <w:bCs/>
                <w:color w:val="auto"/>
                <w:sz w:val="22"/>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）系统需具备健康指导功能，根据患者的标签智能推荐健康教育文章，并且通过一键分享生成数字健康处方，提醒患者下次就诊的时间、预约医生及相应的检验检查等，得</w:t>
            </w:r>
            <w:r>
              <w:rPr>
                <w:rFonts w:hint="eastAsia" w:ascii="宋体" w:hAnsi="宋体" w:eastAsia="宋体" w:cs="宋体"/>
                <w:color w:val="auto"/>
                <w:kern w:val="0"/>
                <w:sz w:val="24"/>
                <w:szCs w:val="24"/>
                <w:highlight w:val="none"/>
                <w:lang w:val="en-US" w:eastAsia="zh-CN"/>
              </w:rPr>
              <w:t>0-</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p>
        </w:tc>
        <w:tc>
          <w:tcPr>
            <w:tcW w:w="684" w:type="dxa"/>
            <w:vMerge w:val="continue"/>
            <w:tcBorders>
              <w:left w:val="single" w:color="000000" w:sz="4" w:space="0"/>
              <w:right w:val="single" w:color="000000" w:sz="4" w:space="0"/>
            </w:tcBorders>
            <w:shd w:val="clear" w:color="auto" w:fill="auto"/>
            <w:vAlign w:val="center"/>
          </w:tcPr>
          <w:p w14:paraId="4AEB8F49">
            <w:pPr>
              <w:widowControl/>
              <w:jc w:val="left"/>
              <w:textAlignment w:val="center"/>
              <w:rPr>
                <w:rFonts w:hint="eastAsia" w:ascii="宋体" w:hAnsi="宋体" w:cs="宋体"/>
                <w:b/>
                <w:bCs/>
                <w:color w:val="auto"/>
                <w:sz w:val="22"/>
                <w:highlight w:val="none"/>
              </w:rPr>
            </w:pPr>
          </w:p>
        </w:tc>
      </w:tr>
      <w:tr w14:paraId="0BED04CF">
        <w:tblPrEx>
          <w:tblCellMar>
            <w:top w:w="0" w:type="dxa"/>
            <w:left w:w="108" w:type="dxa"/>
            <w:bottom w:w="0" w:type="dxa"/>
            <w:right w:w="108" w:type="dxa"/>
          </w:tblCellMar>
        </w:tblPrEx>
        <w:trPr>
          <w:trHeight w:val="287" w:hRule="atLeast"/>
        </w:trPr>
        <w:tc>
          <w:tcPr>
            <w:tcW w:w="615" w:type="dxa"/>
            <w:vMerge w:val="continue"/>
            <w:tcBorders>
              <w:left w:val="single" w:color="000000" w:sz="4" w:space="0"/>
              <w:right w:val="single" w:color="000000" w:sz="4" w:space="0"/>
            </w:tcBorders>
            <w:shd w:val="clear" w:color="auto" w:fill="auto"/>
            <w:vAlign w:val="center"/>
          </w:tcPr>
          <w:p w14:paraId="3E962B7A">
            <w:pPr>
              <w:widowControl/>
              <w:jc w:val="left"/>
              <w:textAlignment w:val="center"/>
              <w:rPr>
                <w:rFonts w:hint="eastAsia" w:ascii="宋体" w:hAnsi="宋体" w:cs="宋体"/>
                <w:b/>
                <w:bCs/>
                <w:color w:val="auto"/>
                <w:sz w:val="22"/>
                <w:highlight w:val="none"/>
              </w:rPr>
            </w:pPr>
          </w:p>
        </w:tc>
        <w:tc>
          <w:tcPr>
            <w:tcW w:w="1238" w:type="dxa"/>
            <w:vMerge w:val="continue"/>
            <w:tcBorders>
              <w:left w:val="single" w:color="000000" w:sz="4" w:space="0"/>
              <w:right w:val="single" w:color="000000" w:sz="4" w:space="0"/>
            </w:tcBorders>
            <w:shd w:val="clear" w:color="auto" w:fill="auto"/>
            <w:vAlign w:val="center"/>
          </w:tcPr>
          <w:p w14:paraId="7F5A01B4">
            <w:pPr>
              <w:widowControl/>
              <w:jc w:val="left"/>
              <w:textAlignment w:val="center"/>
              <w:rPr>
                <w:rFonts w:hint="eastAsia" w:ascii="宋体" w:hAnsi="宋体" w:cs="宋体"/>
                <w:b/>
                <w:bCs/>
                <w:color w:val="auto"/>
                <w:sz w:val="22"/>
                <w:highlight w:val="none"/>
              </w:rPr>
            </w:pPr>
          </w:p>
        </w:tc>
        <w:tc>
          <w:tcPr>
            <w:tcW w:w="7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EDF1">
            <w:pPr>
              <w:pageBreakBefore w:val="0"/>
              <w:widowControl/>
              <w:kinsoku/>
              <w:wordWrap/>
              <w:overflowPunct/>
              <w:topLinePunct w:val="0"/>
              <w:autoSpaceDE/>
              <w:autoSpaceDN/>
              <w:bidi w:val="0"/>
              <w:spacing w:line="240" w:lineRule="auto"/>
              <w:textAlignment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诊后管理：</w:t>
            </w:r>
          </w:p>
          <w:p w14:paraId="39FE5E74">
            <w:pPr>
              <w:pageBreakBefore w:val="0"/>
              <w:widowControl/>
              <w:kinsoku/>
              <w:wordWrap/>
              <w:overflowPunct/>
              <w:topLinePunct w:val="0"/>
              <w:autoSpaceDE/>
              <w:autoSpaceDN/>
              <w:bidi w:val="0"/>
              <w:adjustRightInd w:val="0"/>
              <w:spacing w:line="24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（1）系统需具备对医生接诊的患者及管理的患者分别记录诊前采集、就诊记录、检验检查、诊间随访、物理体检、健康处方、评估报告等内容的记录追溯，得0-</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p>
          <w:p w14:paraId="5201B01B">
            <w:pPr>
              <w:pageBreakBefore w:val="0"/>
              <w:widowControl/>
              <w:kinsoku/>
              <w:wordWrap/>
              <w:overflowPunct/>
              <w:topLinePunct w:val="0"/>
              <w:autoSpaceDE/>
              <w:autoSpaceDN/>
              <w:bidi w:val="0"/>
              <w:adjustRightInd w:val="0"/>
              <w:spacing w:line="24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（2）系统需具备生成预约的患者清单的功能，得</w:t>
            </w:r>
            <w:r>
              <w:rPr>
                <w:rFonts w:hint="eastAsia" w:ascii="宋体" w:hAnsi="宋体" w:eastAsia="宋体" w:cs="宋体"/>
                <w:color w:val="auto"/>
                <w:kern w:val="0"/>
                <w:sz w:val="24"/>
                <w:szCs w:val="24"/>
                <w:highlight w:val="none"/>
                <w:lang w:val="en-US" w:eastAsia="zh-CN"/>
              </w:rPr>
              <w:t>0-</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p>
          <w:p w14:paraId="53FF3AB9">
            <w:pPr>
              <w:pageBreakBefore w:val="0"/>
              <w:widowControl/>
              <w:kinsoku/>
              <w:wordWrap/>
              <w:overflowPunct/>
              <w:topLinePunct w:val="0"/>
              <w:autoSpaceDE/>
              <w:autoSpaceDN/>
              <w:bidi w:val="0"/>
              <w:adjustRightInd w:val="0"/>
              <w:spacing w:line="240" w:lineRule="auto"/>
              <w:jc w:val="left"/>
              <w:textAlignment w:val="center"/>
              <w:rPr>
                <w:rFonts w:hint="eastAsia" w:ascii="宋体" w:hAnsi="宋体" w:cs="宋体"/>
                <w:b/>
                <w:bCs/>
                <w:color w:val="auto"/>
                <w:sz w:val="22"/>
                <w:highlight w:val="none"/>
              </w:rPr>
            </w:pPr>
            <w:r>
              <w:rPr>
                <w:rFonts w:hint="eastAsia" w:ascii="宋体" w:hAnsi="宋体" w:eastAsia="宋体" w:cs="宋体"/>
                <w:color w:val="auto"/>
                <w:kern w:val="0"/>
                <w:sz w:val="24"/>
                <w:szCs w:val="24"/>
                <w:highlight w:val="none"/>
              </w:rPr>
              <w:t>（3）系统需具备同步随访记录到公卫系统的功能，得</w:t>
            </w:r>
            <w:r>
              <w:rPr>
                <w:rFonts w:hint="eastAsia" w:ascii="宋体" w:hAnsi="宋体" w:eastAsia="宋体" w:cs="宋体"/>
                <w:color w:val="auto"/>
                <w:kern w:val="0"/>
                <w:sz w:val="24"/>
                <w:szCs w:val="24"/>
                <w:highlight w:val="none"/>
                <w:lang w:val="en-US" w:eastAsia="zh-CN"/>
              </w:rPr>
              <w:t>0-</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p>
        </w:tc>
        <w:tc>
          <w:tcPr>
            <w:tcW w:w="684" w:type="dxa"/>
            <w:vMerge w:val="continue"/>
            <w:tcBorders>
              <w:left w:val="single" w:color="000000" w:sz="4" w:space="0"/>
              <w:right w:val="single" w:color="000000" w:sz="4" w:space="0"/>
            </w:tcBorders>
            <w:shd w:val="clear" w:color="auto" w:fill="auto"/>
            <w:vAlign w:val="center"/>
          </w:tcPr>
          <w:p w14:paraId="17864003">
            <w:pPr>
              <w:widowControl/>
              <w:jc w:val="left"/>
              <w:textAlignment w:val="center"/>
              <w:rPr>
                <w:rFonts w:hint="eastAsia" w:ascii="宋体" w:hAnsi="宋体" w:cs="宋体"/>
                <w:b/>
                <w:bCs/>
                <w:color w:val="auto"/>
                <w:sz w:val="22"/>
                <w:highlight w:val="none"/>
              </w:rPr>
            </w:pPr>
          </w:p>
        </w:tc>
      </w:tr>
      <w:tr w14:paraId="1F943D8C">
        <w:tblPrEx>
          <w:tblCellMar>
            <w:top w:w="0" w:type="dxa"/>
            <w:left w:w="108" w:type="dxa"/>
            <w:bottom w:w="0" w:type="dxa"/>
            <w:right w:w="108" w:type="dxa"/>
          </w:tblCellMar>
        </w:tblPrEx>
        <w:trPr>
          <w:trHeight w:val="782" w:hRule="atLeast"/>
        </w:trPr>
        <w:tc>
          <w:tcPr>
            <w:tcW w:w="615" w:type="dxa"/>
            <w:vMerge w:val="continue"/>
            <w:tcBorders>
              <w:left w:val="single" w:color="000000" w:sz="4" w:space="0"/>
              <w:bottom w:val="single" w:color="000000" w:sz="4" w:space="0"/>
              <w:right w:val="single" w:color="000000" w:sz="4" w:space="0"/>
            </w:tcBorders>
            <w:shd w:val="clear" w:color="auto" w:fill="auto"/>
            <w:vAlign w:val="center"/>
          </w:tcPr>
          <w:p w14:paraId="73EC6C48">
            <w:pPr>
              <w:widowControl/>
              <w:jc w:val="left"/>
              <w:textAlignment w:val="center"/>
              <w:rPr>
                <w:rFonts w:hint="eastAsia" w:ascii="宋体" w:hAnsi="宋体" w:cs="宋体"/>
                <w:b/>
                <w:bCs/>
                <w:color w:val="auto"/>
                <w:sz w:val="22"/>
                <w:highlight w:val="none"/>
              </w:rPr>
            </w:pPr>
          </w:p>
        </w:tc>
        <w:tc>
          <w:tcPr>
            <w:tcW w:w="1238" w:type="dxa"/>
            <w:vMerge w:val="continue"/>
            <w:tcBorders>
              <w:left w:val="single" w:color="000000" w:sz="4" w:space="0"/>
              <w:bottom w:val="single" w:color="000000" w:sz="4" w:space="0"/>
              <w:right w:val="single" w:color="000000" w:sz="4" w:space="0"/>
            </w:tcBorders>
            <w:shd w:val="clear" w:color="auto" w:fill="auto"/>
            <w:vAlign w:val="center"/>
          </w:tcPr>
          <w:p w14:paraId="107EC47F">
            <w:pPr>
              <w:widowControl/>
              <w:jc w:val="left"/>
              <w:textAlignment w:val="center"/>
              <w:rPr>
                <w:rFonts w:hint="eastAsia" w:ascii="宋体" w:hAnsi="宋体" w:cs="宋体"/>
                <w:b/>
                <w:bCs/>
                <w:color w:val="auto"/>
                <w:sz w:val="22"/>
                <w:highlight w:val="none"/>
              </w:rPr>
            </w:pPr>
          </w:p>
        </w:tc>
        <w:tc>
          <w:tcPr>
            <w:tcW w:w="7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7CF3">
            <w:pPr>
              <w:pageBreakBefore w:val="0"/>
              <w:widowControl/>
              <w:kinsoku/>
              <w:wordWrap/>
              <w:overflowPunct/>
              <w:topLinePunct w:val="0"/>
              <w:autoSpaceDE/>
              <w:autoSpaceDN/>
              <w:bidi w:val="0"/>
              <w:spacing w:line="240" w:lineRule="auto"/>
              <w:textAlignment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监管</w:t>
            </w:r>
            <w:r>
              <w:rPr>
                <w:rFonts w:hint="eastAsia" w:ascii="宋体" w:hAnsi="宋体" w:eastAsia="宋体" w:cs="宋体"/>
                <w:b/>
                <w:bCs/>
                <w:color w:val="auto"/>
                <w:kern w:val="0"/>
                <w:sz w:val="24"/>
                <w:szCs w:val="24"/>
                <w:highlight w:val="none"/>
              </w:rPr>
              <w:t>端：</w:t>
            </w:r>
          </w:p>
          <w:p w14:paraId="305E3A64">
            <w:pPr>
              <w:pageBreakBefore w:val="0"/>
              <w:widowControl/>
              <w:numPr>
                <w:ilvl w:val="0"/>
                <w:numId w:val="10"/>
              </w:numPr>
              <w:kinsoku/>
              <w:wordWrap/>
              <w:overflowPunct/>
              <w:topLinePunct w:val="0"/>
              <w:autoSpaceDE/>
              <w:autoSpaceDN/>
              <w:bidi w:val="0"/>
              <w:adjustRightInd w:val="0"/>
              <w:spacing w:line="240" w:lineRule="auto"/>
              <w:ind w:left="0" w:leftChars="0" w:firstLine="0" w:firstLineChars="0"/>
              <w:textAlignment w:val="center"/>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慢病管理概览：</w:t>
            </w:r>
            <w:r>
              <w:rPr>
                <w:rFonts w:hint="eastAsia" w:ascii="宋体" w:hAnsi="宋体" w:eastAsia="宋体" w:cs="宋体"/>
                <w:b w:val="0"/>
                <w:bCs w:val="0"/>
                <w:color w:val="auto"/>
                <w:sz w:val="24"/>
                <w:szCs w:val="24"/>
              </w:rPr>
              <w:t>包括患者主动管理分、患者人口构成、患者疾病分布、并发症分布、管理指数排名与分析、慢病管理指数、管理等级分布、达标率</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得</w:t>
            </w:r>
            <w:r>
              <w:rPr>
                <w:rFonts w:hint="eastAsia" w:ascii="宋体" w:hAnsi="宋体" w:eastAsia="宋体" w:cs="宋体"/>
                <w:b w:val="0"/>
                <w:bCs w:val="0"/>
                <w:color w:val="auto"/>
                <w:kern w:val="0"/>
                <w:sz w:val="24"/>
                <w:szCs w:val="24"/>
                <w:highlight w:val="none"/>
              </w:rPr>
              <w:t>0-</w:t>
            </w:r>
            <w:r>
              <w:rPr>
                <w:rFonts w:hint="eastAsia" w:ascii="宋体" w:hAnsi="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rPr>
              <w:t>分</w:t>
            </w:r>
            <w:r>
              <w:rPr>
                <w:rFonts w:hint="eastAsia" w:ascii="宋体" w:hAnsi="宋体" w:eastAsia="宋体" w:cs="宋体"/>
                <w:b w:val="0"/>
                <w:bCs w:val="0"/>
                <w:color w:val="auto"/>
                <w:sz w:val="24"/>
                <w:szCs w:val="24"/>
              </w:rPr>
              <w:t>。</w:t>
            </w:r>
          </w:p>
          <w:p w14:paraId="07F25777">
            <w:pPr>
              <w:pageBreakBefore w:val="0"/>
              <w:widowControl/>
              <w:numPr>
                <w:ilvl w:val="0"/>
                <w:numId w:val="10"/>
              </w:numPr>
              <w:kinsoku/>
              <w:wordWrap/>
              <w:overflowPunct/>
              <w:topLinePunct w:val="0"/>
              <w:autoSpaceDE/>
              <w:autoSpaceDN/>
              <w:bidi w:val="0"/>
              <w:adjustRightInd w:val="0"/>
              <w:spacing w:line="240" w:lineRule="auto"/>
              <w:ind w:left="0" w:leftChars="0" w:firstLine="0" w:firstLineChars="0"/>
              <w:textAlignment w:val="center"/>
              <w:rPr>
                <w:rFonts w:hint="eastAsia" w:ascii="宋体" w:hAnsi="宋体" w:eastAsia="宋体" w:cs="宋体"/>
                <w:color w:val="auto"/>
                <w:sz w:val="24"/>
                <w:szCs w:val="24"/>
                <w:lang w:val="en-US" w:eastAsia="zh-CN"/>
              </w:rPr>
            </w:pPr>
            <w:r>
              <w:rPr>
                <w:rFonts w:hint="eastAsia" w:ascii="宋体" w:hAnsi="宋体" w:cs="宋体"/>
                <w:color w:val="auto"/>
                <w:kern w:val="0"/>
                <w:sz w:val="24"/>
                <w:szCs w:val="24"/>
                <w:highlight w:val="none"/>
                <w:lang w:val="en-US" w:eastAsia="zh-CN"/>
              </w:rPr>
              <w:t>慢病</w:t>
            </w:r>
            <w:r>
              <w:rPr>
                <w:rFonts w:hint="eastAsia" w:ascii="宋体" w:hAnsi="宋体" w:eastAsia="宋体" w:cs="宋体"/>
                <w:color w:val="auto"/>
                <w:sz w:val="24"/>
                <w:szCs w:val="24"/>
              </w:rPr>
              <w:t>管理指数</w:t>
            </w:r>
            <w:r>
              <w:rPr>
                <w:rFonts w:hint="eastAsia" w:ascii="宋体" w:hAnsi="宋体" w:cs="宋体"/>
                <w:color w:val="auto"/>
                <w:sz w:val="24"/>
                <w:szCs w:val="24"/>
                <w:lang w:eastAsia="zh-CN"/>
              </w:rPr>
              <w:t>：</w:t>
            </w:r>
            <w:r>
              <w:rPr>
                <w:rFonts w:hint="eastAsia" w:ascii="宋体" w:hAnsi="宋体" w:eastAsia="宋体" w:cs="宋体"/>
                <w:color w:val="auto"/>
                <w:sz w:val="24"/>
                <w:szCs w:val="24"/>
              </w:rPr>
              <w:t>包括管理指数及趋势、管理过程得分、管理结果得分，以及详情页，提供机构排名和医生排名功能</w:t>
            </w:r>
            <w:r>
              <w:rPr>
                <w:rFonts w:hint="eastAsia" w:ascii="宋体" w:hAnsi="宋体" w:cs="宋体"/>
                <w:color w:val="auto"/>
                <w:sz w:val="24"/>
                <w:szCs w:val="24"/>
                <w:lang w:eastAsia="zh-CN"/>
              </w:rPr>
              <w:t>，</w:t>
            </w:r>
            <w:r>
              <w:rPr>
                <w:rFonts w:hint="eastAsia" w:ascii="宋体" w:hAnsi="宋体" w:cs="宋体"/>
                <w:b w:val="0"/>
                <w:bCs w:val="0"/>
                <w:color w:val="auto"/>
                <w:sz w:val="24"/>
                <w:szCs w:val="24"/>
                <w:lang w:val="en-US" w:eastAsia="zh-CN"/>
              </w:rPr>
              <w:t>得</w:t>
            </w:r>
            <w:r>
              <w:rPr>
                <w:rFonts w:hint="eastAsia" w:ascii="宋体" w:hAnsi="宋体" w:eastAsia="宋体" w:cs="宋体"/>
                <w:b w:val="0"/>
                <w:bCs w:val="0"/>
                <w:color w:val="auto"/>
                <w:kern w:val="0"/>
                <w:sz w:val="24"/>
                <w:szCs w:val="24"/>
                <w:highlight w:val="none"/>
              </w:rPr>
              <w:t>0-</w:t>
            </w:r>
            <w:r>
              <w:rPr>
                <w:rFonts w:hint="eastAsia" w:ascii="宋体" w:hAnsi="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rPr>
              <w:t>分</w:t>
            </w:r>
            <w:r>
              <w:rPr>
                <w:rFonts w:hint="eastAsia" w:ascii="宋体" w:hAnsi="宋体" w:eastAsia="宋体" w:cs="宋体"/>
                <w:color w:val="auto"/>
                <w:sz w:val="24"/>
                <w:szCs w:val="24"/>
              </w:rPr>
              <w:t>。</w:t>
            </w:r>
          </w:p>
          <w:p w14:paraId="268A148A">
            <w:pPr>
              <w:pageBreakBefore w:val="0"/>
              <w:widowControl/>
              <w:numPr>
                <w:ilvl w:val="0"/>
                <w:numId w:val="10"/>
              </w:numPr>
              <w:kinsoku/>
              <w:wordWrap/>
              <w:overflowPunct/>
              <w:topLinePunct w:val="0"/>
              <w:autoSpaceDE/>
              <w:autoSpaceDN/>
              <w:bidi w:val="0"/>
              <w:adjustRightInd w:val="0"/>
              <w:spacing w:line="240" w:lineRule="auto"/>
              <w:ind w:left="0" w:leftChars="0" w:firstLine="0" w:firstLineChars="0"/>
              <w:textAlignment w:val="center"/>
              <w:rPr>
                <w:rFonts w:hint="eastAsia" w:ascii="宋体" w:hAnsi="宋体" w:cs="宋体"/>
                <w:b/>
                <w:bCs/>
                <w:color w:val="auto"/>
                <w:sz w:val="22"/>
                <w:highlight w:val="none"/>
              </w:rPr>
            </w:pPr>
            <w:r>
              <w:rPr>
                <w:rFonts w:hint="eastAsia" w:ascii="宋体" w:hAnsi="宋体" w:eastAsia="宋体" w:cs="宋体"/>
                <w:color w:val="auto"/>
                <w:sz w:val="24"/>
                <w:szCs w:val="24"/>
              </w:rPr>
              <w:t>业务统计分析</w:t>
            </w:r>
            <w:r>
              <w:rPr>
                <w:rFonts w:hint="eastAsia" w:ascii="宋体" w:hAnsi="宋体" w:cs="宋体"/>
                <w:color w:val="auto"/>
                <w:sz w:val="24"/>
                <w:szCs w:val="24"/>
                <w:lang w:eastAsia="zh-CN"/>
              </w:rPr>
              <w:t>：</w:t>
            </w:r>
            <w:r>
              <w:rPr>
                <w:rFonts w:hint="eastAsia" w:ascii="宋体" w:hAnsi="宋体" w:eastAsia="宋体" w:cs="宋体"/>
                <w:color w:val="auto"/>
                <w:sz w:val="24"/>
                <w:szCs w:val="24"/>
              </w:rPr>
              <w:t>提供路径节点执行情况的完成率、任务量及工作量明细，支持排名查看、筛选、快照和导出</w:t>
            </w:r>
            <w:r>
              <w:rPr>
                <w:rFonts w:hint="eastAsia" w:ascii="宋体" w:hAnsi="宋体" w:cs="宋体"/>
                <w:color w:val="auto"/>
                <w:sz w:val="24"/>
                <w:szCs w:val="24"/>
                <w:lang w:eastAsia="zh-CN"/>
              </w:rPr>
              <w:t>，</w:t>
            </w:r>
            <w:r>
              <w:rPr>
                <w:rFonts w:hint="eastAsia" w:ascii="宋体" w:hAnsi="宋体" w:cs="宋体"/>
                <w:b w:val="0"/>
                <w:bCs w:val="0"/>
                <w:color w:val="auto"/>
                <w:sz w:val="24"/>
                <w:szCs w:val="24"/>
                <w:lang w:val="en-US" w:eastAsia="zh-CN"/>
              </w:rPr>
              <w:t>得</w:t>
            </w:r>
            <w:r>
              <w:rPr>
                <w:rFonts w:hint="eastAsia" w:ascii="宋体" w:hAnsi="宋体" w:eastAsia="宋体" w:cs="宋体"/>
                <w:b w:val="0"/>
                <w:bCs w:val="0"/>
                <w:color w:val="auto"/>
                <w:kern w:val="0"/>
                <w:sz w:val="24"/>
                <w:szCs w:val="24"/>
                <w:highlight w:val="none"/>
              </w:rPr>
              <w:t>0-</w:t>
            </w:r>
            <w:r>
              <w:rPr>
                <w:rFonts w:hint="eastAsia" w:ascii="宋体" w:hAnsi="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rPr>
              <w:t>分</w:t>
            </w:r>
            <w:r>
              <w:rPr>
                <w:rFonts w:hint="eastAsia" w:ascii="宋体" w:hAnsi="宋体" w:cs="宋体"/>
                <w:color w:val="auto"/>
                <w:sz w:val="24"/>
                <w:szCs w:val="24"/>
                <w:lang w:eastAsia="zh-CN"/>
              </w:rPr>
              <w:t>。</w:t>
            </w:r>
          </w:p>
        </w:tc>
        <w:tc>
          <w:tcPr>
            <w:tcW w:w="684" w:type="dxa"/>
            <w:vMerge w:val="continue"/>
            <w:tcBorders>
              <w:left w:val="single" w:color="000000" w:sz="4" w:space="0"/>
              <w:bottom w:val="single" w:color="000000" w:sz="4" w:space="0"/>
              <w:right w:val="single" w:color="000000" w:sz="4" w:space="0"/>
            </w:tcBorders>
            <w:shd w:val="clear" w:color="auto" w:fill="auto"/>
            <w:vAlign w:val="center"/>
          </w:tcPr>
          <w:p w14:paraId="121055D2">
            <w:pPr>
              <w:widowControl/>
              <w:jc w:val="left"/>
              <w:textAlignment w:val="center"/>
              <w:rPr>
                <w:rFonts w:hint="eastAsia" w:ascii="宋体" w:hAnsi="宋体" w:cs="宋体"/>
                <w:b/>
                <w:bCs/>
                <w:color w:val="auto"/>
                <w:sz w:val="22"/>
                <w:highlight w:val="none"/>
              </w:rPr>
            </w:pPr>
          </w:p>
        </w:tc>
      </w:tr>
      <w:tr w14:paraId="1CFF19A3">
        <w:tblPrEx>
          <w:tblCellMar>
            <w:top w:w="0" w:type="dxa"/>
            <w:left w:w="108" w:type="dxa"/>
            <w:bottom w:w="0" w:type="dxa"/>
            <w:right w:w="108" w:type="dxa"/>
          </w:tblCellMar>
        </w:tblPrEx>
        <w:trPr>
          <w:trHeight w:val="782" w:hRule="atLeast"/>
        </w:trPr>
        <w:tc>
          <w:tcPr>
            <w:tcW w:w="615" w:type="dxa"/>
            <w:vMerge w:val="continue"/>
            <w:tcBorders>
              <w:left w:val="single" w:color="000000" w:sz="4" w:space="0"/>
              <w:bottom w:val="single" w:color="000000" w:sz="4" w:space="0"/>
              <w:right w:val="single" w:color="000000" w:sz="4" w:space="0"/>
            </w:tcBorders>
            <w:shd w:val="clear" w:color="auto" w:fill="auto"/>
            <w:vAlign w:val="center"/>
          </w:tcPr>
          <w:p w14:paraId="7279E149">
            <w:pPr>
              <w:pageBreakBefore w:val="0"/>
              <w:widowControl/>
              <w:kinsoku/>
              <w:wordWrap/>
              <w:overflowPunct/>
              <w:topLinePunct w:val="0"/>
              <w:autoSpaceDE/>
              <w:autoSpaceDN/>
              <w:bidi w:val="0"/>
              <w:adjustRightInd w:val="0"/>
              <w:spacing w:line="240" w:lineRule="auto"/>
              <w:ind w:left="0" w:leftChars="0" w:firstLine="0" w:firstLineChars="0"/>
              <w:textAlignment w:val="center"/>
              <w:rPr>
                <w:color w:val="auto"/>
              </w:rPr>
            </w:pPr>
          </w:p>
        </w:tc>
        <w:tc>
          <w:tcPr>
            <w:tcW w:w="1238" w:type="dxa"/>
            <w:vMerge w:val="continue"/>
            <w:tcBorders>
              <w:left w:val="single" w:color="000000" w:sz="4" w:space="0"/>
              <w:bottom w:val="single" w:color="000000" w:sz="4" w:space="0"/>
              <w:right w:val="single" w:color="000000" w:sz="4" w:space="0"/>
            </w:tcBorders>
            <w:shd w:val="clear" w:color="auto" w:fill="auto"/>
            <w:vAlign w:val="center"/>
          </w:tcPr>
          <w:p w14:paraId="2653FBFD">
            <w:pPr>
              <w:pageBreakBefore w:val="0"/>
              <w:widowControl/>
              <w:kinsoku/>
              <w:wordWrap/>
              <w:overflowPunct/>
              <w:topLinePunct w:val="0"/>
              <w:autoSpaceDE/>
              <w:autoSpaceDN/>
              <w:bidi w:val="0"/>
              <w:adjustRightInd w:val="0"/>
              <w:spacing w:line="240" w:lineRule="auto"/>
              <w:ind w:left="0" w:leftChars="0" w:firstLine="0" w:firstLineChars="0"/>
              <w:textAlignment w:val="center"/>
              <w:rPr>
                <w:color w:val="auto"/>
              </w:rPr>
            </w:pPr>
          </w:p>
        </w:tc>
        <w:tc>
          <w:tcPr>
            <w:tcW w:w="7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7FE6">
            <w:pPr>
              <w:pageBreakBefore w:val="0"/>
              <w:widowControl/>
              <w:numPr>
                <w:ilvl w:val="0"/>
                <w:numId w:val="0"/>
              </w:numPr>
              <w:kinsoku/>
              <w:wordWrap/>
              <w:overflowPunct/>
              <w:topLinePunct w:val="0"/>
              <w:autoSpaceDE/>
              <w:autoSpaceDN/>
              <w:bidi w:val="0"/>
              <w:adjustRightInd w:val="0"/>
              <w:spacing w:line="240" w:lineRule="auto"/>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备注：</w:t>
            </w:r>
          </w:p>
          <w:p w14:paraId="0D9D859E">
            <w:pPr>
              <w:pageBreakBefore w:val="0"/>
              <w:widowControl/>
              <w:numPr>
                <w:ilvl w:val="0"/>
                <w:numId w:val="0"/>
              </w:numPr>
              <w:kinsoku/>
              <w:wordWrap/>
              <w:overflowPunct/>
              <w:topLinePunct w:val="0"/>
              <w:autoSpaceDE/>
              <w:autoSpaceDN/>
              <w:bidi w:val="0"/>
              <w:adjustRightInd w:val="0"/>
              <w:spacing w:line="240" w:lineRule="auto"/>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（1）系统演示说明：供应商直接携带电脑</w:t>
            </w:r>
            <w:r>
              <w:rPr>
                <w:rFonts w:hint="eastAsia" w:ascii="宋体" w:hAnsi="宋体" w:cs="宋体"/>
                <w:b/>
                <w:bCs/>
                <w:color w:val="auto"/>
                <w:kern w:val="0"/>
                <w:sz w:val="24"/>
                <w:szCs w:val="24"/>
                <w:highlight w:val="none"/>
                <w:lang w:val="en-US" w:eastAsia="zh-CN" w:bidi="ar"/>
              </w:rPr>
              <w:t>等</w:t>
            </w:r>
            <w:r>
              <w:rPr>
                <w:rFonts w:hint="eastAsia" w:ascii="宋体" w:hAnsi="宋体" w:eastAsia="宋体" w:cs="宋体"/>
                <w:b/>
                <w:bCs/>
                <w:color w:val="auto"/>
                <w:kern w:val="0"/>
                <w:sz w:val="24"/>
                <w:szCs w:val="24"/>
                <w:highlight w:val="none"/>
                <w:lang w:bidi="ar"/>
              </w:rPr>
              <w:t>设备进行实体软件现场演示（演示时间不超过25分钟）。</w:t>
            </w:r>
          </w:p>
          <w:p w14:paraId="38F6D24C">
            <w:pPr>
              <w:pageBreakBefore w:val="0"/>
              <w:widowControl/>
              <w:numPr>
                <w:ilvl w:val="0"/>
                <w:numId w:val="0"/>
              </w:numPr>
              <w:kinsoku/>
              <w:wordWrap/>
              <w:overflowPunct/>
              <w:topLinePunct w:val="0"/>
              <w:autoSpaceDE/>
              <w:autoSpaceDN/>
              <w:bidi w:val="0"/>
              <w:adjustRightInd w:val="0"/>
              <w:spacing w:line="240" w:lineRule="auto"/>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（2）供应商制作的项目演示内容应结合采购内容和需求以及商务技术文件中关于“功能演示”评分细则的要求。</w:t>
            </w:r>
          </w:p>
          <w:p w14:paraId="592A85F3">
            <w:pPr>
              <w:pageBreakBefore w:val="0"/>
              <w:widowControl/>
              <w:numPr>
                <w:ilvl w:val="0"/>
                <w:numId w:val="0"/>
              </w:numPr>
              <w:kinsoku/>
              <w:wordWrap/>
              <w:overflowPunct/>
              <w:topLinePunct w:val="0"/>
              <w:autoSpaceDE/>
              <w:autoSpaceDN/>
              <w:bidi w:val="0"/>
              <w:adjustRightInd w:val="0"/>
              <w:spacing w:line="240" w:lineRule="auto"/>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（3）演示内容应为实体软件，若供应商提供PPT、文档及其他非实体软件演示形式，则“系统演示”得分最高不超过</w:t>
            </w:r>
            <w:r>
              <w:rPr>
                <w:rFonts w:hint="eastAsia" w:ascii="宋体" w:hAnsi="宋体" w:eastAsia="宋体" w:cs="宋体"/>
                <w:b/>
                <w:bCs/>
                <w:color w:val="auto"/>
                <w:kern w:val="0"/>
                <w:sz w:val="24"/>
                <w:szCs w:val="24"/>
                <w:highlight w:val="none"/>
                <w:lang w:val="en-US" w:eastAsia="zh-CN" w:bidi="ar"/>
              </w:rPr>
              <w:t>7</w:t>
            </w:r>
            <w:r>
              <w:rPr>
                <w:rFonts w:hint="eastAsia" w:ascii="宋体" w:hAnsi="宋体" w:eastAsia="宋体" w:cs="宋体"/>
                <w:b/>
                <w:bCs/>
                <w:color w:val="auto"/>
                <w:kern w:val="0"/>
                <w:sz w:val="24"/>
                <w:szCs w:val="24"/>
                <w:highlight w:val="none"/>
                <w:lang w:bidi="ar"/>
              </w:rPr>
              <w:t>分。</w:t>
            </w:r>
          </w:p>
          <w:p w14:paraId="29D7F257">
            <w:pPr>
              <w:pageBreakBefore w:val="0"/>
              <w:widowControl/>
              <w:numPr>
                <w:ilvl w:val="0"/>
                <w:numId w:val="0"/>
              </w:numPr>
              <w:kinsoku/>
              <w:wordWrap/>
              <w:overflowPunct/>
              <w:topLinePunct w:val="0"/>
              <w:autoSpaceDE/>
              <w:autoSpaceDN/>
              <w:bidi w:val="0"/>
              <w:adjustRightInd w:val="0"/>
              <w:spacing w:line="240" w:lineRule="auto"/>
              <w:textAlignment w:val="center"/>
              <w:rPr>
                <w:rFonts w:hint="default" w:eastAsia="新宋体"/>
                <w:color w:val="auto"/>
                <w:lang w:val="en-US" w:eastAsia="zh-CN"/>
              </w:rPr>
            </w:pPr>
            <w:r>
              <w:rPr>
                <w:rFonts w:hint="eastAsia" w:ascii="宋体" w:hAnsi="宋体" w:eastAsia="宋体" w:cs="宋体"/>
                <w:b/>
                <w:bCs/>
                <w:color w:val="auto"/>
                <w:kern w:val="0"/>
                <w:sz w:val="24"/>
                <w:szCs w:val="24"/>
                <w:highlight w:val="none"/>
                <w:lang w:val="en-US" w:eastAsia="zh-CN" w:bidi="ar"/>
              </w:rPr>
              <w:t>（4）未提供不得分。</w:t>
            </w:r>
          </w:p>
        </w:tc>
        <w:tc>
          <w:tcPr>
            <w:tcW w:w="684" w:type="dxa"/>
            <w:vMerge w:val="continue"/>
            <w:tcBorders>
              <w:left w:val="single" w:color="000000" w:sz="4" w:space="0"/>
              <w:bottom w:val="single" w:color="000000" w:sz="4" w:space="0"/>
              <w:right w:val="single" w:color="000000" w:sz="4" w:space="0"/>
            </w:tcBorders>
            <w:shd w:val="clear" w:color="auto" w:fill="auto"/>
            <w:vAlign w:val="center"/>
          </w:tcPr>
          <w:p w14:paraId="76D6A621">
            <w:pPr>
              <w:pageBreakBefore w:val="0"/>
              <w:widowControl/>
              <w:kinsoku/>
              <w:wordWrap/>
              <w:overflowPunct/>
              <w:topLinePunct w:val="0"/>
              <w:autoSpaceDE/>
              <w:autoSpaceDN/>
              <w:bidi w:val="0"/>
              <w:adjustRightInd w:val="0"/>
              <w:spacing w:line="240" w:lineRule="auto"/>
              <w:ind w:left="0" w:leftChars="0" w:firstLine="0" w:firstLineChars="0"/>
              <w:textAlignment w:val="center"/>
              <w:rPr>
                <w:rFonts w:hint="eastAsia" w:ascii="宋体" w:hAnsi="宋体" w:eastAsia="宋体" w:cs="宋体"/>
                <w:color w:val="auto"/>
                <w:sz w:val="24"/>
                <w:szCs w:val="24"/>
              </w:rPr>
            </w:pPr>
          </w:p>
        </w:tc>
      </w:tr>
      <w:tr w14:paraId="773302EE">
        <w:tblPrEx>
          <w:tblCellMar>
            <w:top w:w="0" w:type="dxa"/>
            <w:left w:w="108" w:type="dxa"/>
            <w:bottom w:w="0" w:type="dxa"/>
            <w:right w:w="108" w:type="dxa"/>
          </w:tblCellMar>
        </w:tblPrEx>
        <w:trPr>
          <w:trHeight w:val="151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AD6D">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F978">
            <w:pPr>
              <w:widowControl/>
              <w:jc w:val="center"/>
              <w:textAlignment w:val="center"/>
              <w:rPr>
                <w:rFonts w:hint="eastAsia" w:ascii="宋体" w:hAnsi="宋体" w:eastAsia="宋体" w:cs="宋体"/>
                <w:color w:val="auto"/>
                <w:kern w:val="0"/>
                <w:sz w:val="22"/>
                <w:highlight w:val="none"/>
                <w:lang w:eastAsia="zh-CN"/>
              </w:rPr>
            </w:pPr>
            <w:r>
              <w:rPr>
                <w:rFonts w:hint="eastAsia" w:ascii="宋体" w:hAnsi="宋体" w:cs="宋体"/>
                <w:color w:val="auto"/>
                <w:kern w:val="0"/>
                <w:sz w:val="22"/>
                <w:highlight w:val="none"/>
                <w:lang w:val="en-US" w:eastAsia="zh-CN"/>
              </w:rPr>
              <w:t>技术方案</w:t>
            </w:r>
          </w:p>
        </w:tc>
        <w:tc>
          <w:tcPr>
            <w:tcW w:w="7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A638">
            <w:pPr>
              <w:pageBreakBefore w:val="0"/>
              <w:widowControl/>
              <w:kinsoku/>
              <w:wordWrap/>
              <w:overflowPunct/>
              <w:topLinePunct w:val="0"/>
              <w:autoSpaceDE/>
              <w:autoSpaceDN/>
              <w:bidi w:val="0"/>
              <w:spacing w:line="240" w:lineRule="auto"/>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投标人须提供严密的、具有逻辑性的技术方案，包括对需求解析、技术路线、功能点的技术实现等内容。根据项目技术方案设计完整合理、详尽准确、可行等情况综合打分。</w:t>
            </w:r>
          </w:p>
          <w:p w14:paraId="2E3FBA35">
            <w:pPr>
              <w:pageBreakBefore w:val="0"/>
              <w:widowControl/>
              <w:numPr>
                <w:ilvl w:val="0"/>
                <w:numId w:val="0"/>
              </w:numPr>
              <w:kinsoku/>
              <w:wordWrap/>
              <w:overflowPunct/>
              <w:topLinePunct w:val="0"/>
              <w:autoSpaceDE/>
              <w:autoSpaceDN/>
              <w:bidi w:val="0"/>
              <w:adjustRightInd w:val="0"/>
              <w:spacing w:line="240" w:lineRule="auto"/>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lang w:val="en-US" w:eastAsia="zh-CN" w:bidi="ar"/>
              </w:rPr>
              <w:t>1）</w:t>
            </w:r>
            <w:r>
              <w:rPr>
                <w:rFonts w:hint="eastAsia" w:ascii="宋体" w:hAnsi="宋体" w:eastAsia="宋体" w:cs="宋体"/>
                <w:color w:val="auto"/>
                <w:kern w:val="0"/>
                <w:sz w:val="24"/>
                <w:szCs w:val="24"/>
                <w:highlight w:val="none"/>
                <w:lang w:bidi="ar"/>
              </w:rPr>
              <w:t>方案完善、流程合理规范的，得</w:t>
            </w:r>
            <w:r>
              <w:rPr>
                <w:rFonts w:hint="eastAsia" w:ascii="宋体" w:hAnsi="宋体" w:cs="宋体"/>
                <w:color w:val="auto"/>
                <w:kern w:val="0"/>
                <w:sz w:val="24"/>
                <w:szCs w:val="24"/>
                <w:highlight w:val="none"/>
                <w:lang w:val="en-US" w:eastAsia="zh-CN" w:bidi="ar"/>
              </w:rPr>
              <w:t>3-5</w:t>
            </w:r>
            <w:r>
              <w:rPr>
                <w:rFonts w:hint="eastAsia" w:ascii="宋体" w:hAnsi="宋体" w:eastAsia="宋体" w:cs="宋体"/>
                <w:color w:val="auto"/>
                <w:kern w:val="0"/>
                <w:sz w:val="24"/>
                <w:szCs w:val="24"/>
                <w:highlight w:val="none"/>
                <w:lang w:bidi="ar"/>
              </w:rPr>
              <w:t>分；</w:t>
            </w:r>
          </w:p>
          <w:p w14:paraId="51D451BB">
            <w:pPr>
              <w:pageBreakBefore w:val="0"/>
              <w:widowControl/>
              <w:numPr>
                <w:ilvl w:val="0"/>
                <w:numId w:val="0"/>
              </w:numPr>
              <w:kinsoku/>
              <w:wordWrap/>
              <w:overflowPunct/>
              <w:topLinePunct w:val="0"/>
              <w:autoSpaceDE/>
              <w:autoSpaceDN/>
              <w:bidi w:val="0"/>
              <w:adjustRightInd w:val="0"/>
              <w:spacing w:line="240" w:lineRule="auto"/>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lang w:val="en-US" w:eastAsia="zh-CN" w:bidi="ar"/>
              </w:rPr>
              <w:t>2）</w:t>
            </w:r>
            <w:r>
              <w:rPr>
                <w:rFonts w:hint="eastAsia" w:ascii="宋体" w:hAnsi="宋体" w:eastAsia="宋体" w:cs="宋体"/>
                <w:color w:val="auto"/>
                <w:kern w:val="0"/>
                <w:sz w:val="24"/>
                <w:szCs w:val="24"/>
                <w:highlight w:val="none"/>
                <w:lang w:bidi="ar"/>
              </w:rPr>
              <w:t>方案基本完善、流程基本合理规范的，得</w:t>
            </w:r>
            <w:r>
              <w:rPr>
                <w:rFonts w:hint="eastAsia" w:ascii="宋体" w:hAnsi="宋体" w:cs="宋体"/>
                <w:color w:val="auto"/>
                <w:kern w:val="0"/>
                <w:sz w:val="24"/>
                <w:szCs w:val="24"/>
                <w:highlight w:val="none"/>
                <w:lang w:val="en-US" w:eastAsia="zh-CN" w:bidi="ar"/>
              </w:rPr>
              <w:t>2-3</w:t>
            </w:r>
            <w:r>
              <w:rPr>
                <w:rFonts w:hint="eastAsia" w:ascii="宋体" w:hAnsi="宋体" w:eastAsia="宋体" w:cs="宋体"/>
                <w:color w:val="auto"/>
                <w:kern w:val="0"/>
                <w:sz w:val="24"/>
                <w:szCs w:val="24"/>
                <w:highlight w:val="none"/>
                <w:lang w:bidi="ar"/>
              </w:rPr>
              <w:t>分；</w:t>
            </w:r>
          </w:p>
          <w:p w14:paraId="3D935D2C">
            <w:pPr>
              <w:pageBreakBefore w:val="0"/>
              <w:widowControl/>
              <w:numPr>
                <w:ilvl w:val="0"/>
                <w:numId w:val="0"/>
              </w:numPr>
              <w:kinsoku/>
              <w:wordWrap/>
              <w:overflowPunct/>
              <w:topLinePunct w:val="0"/>
              <w:autoSpaceDE/>
              <w:autoSpaceDN/>
              <w:bidi w:val="0"/>
              <w:adjustRightInd w:val="0"/>
              <w:spacing w:line="240" w:lineRule="auto"/>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lang w:val="en-US" w:eastAsia="zh-CN" w:bidi="ar"/>
              </w:rPr>
              <w:t>3）</w:t>
            </w:r>
            <w:r>
              <w:rPr>
                <w:rFonts w:hint="eastAsia" w:ascii="宋体" w:hAnsi="宋体" w:eastAsia="宋体" w:cs="宋体"/>
                <w:color w:val="auto"/>
                <w:kern w:val="0"/>
                <w:sz w:val="24"/>
                <w:szCs w:val="24"/>
                <w:highlight w:val="none"/>
                <w:lang w:bidi="ar"/>
              </w:rPr>
              <w:t>方案不完善、流程不合理规范的，得</w:t>
            </w:r>
            <w:r>
              <w:rPr>
                <w:rFonts w:hint="eastAsia" w:ascii="宋体" w:hAnsi="宋体" w:cs="宋体"/>
                <w:color w:val="auto"/>
                <w:kern w:val="0"/>
                <w:sz w:val="24"/>
                <w:szCs w:val="24"/>
                <w:highlight w:val="none"/>
                <w:lang w:val="en-US" w:eastAsia="zh-CN" w:bidi="ar"/>
              </w:rPr>
              <w:t>1-2</w:t>
            </w:r>
            <w:r>
              <w:rPr>
                <w:rFonts w:hint="eastAsia" w:ascii="宋体" w:hAnsi="宋体" w:eastAsia="宋体" w:cs="宋体"/>
                <w:color w:val="auto"/>
                <w:kern w:val="0"/>
                <w:sz w:val="24"/>
                <w:szCs w:val="24"/>
                <w:highlight w:val="none"/>
                <w:lang w:bidi="ar"/>
              </w:rPr>
              <w:t>分。</w:t>
            </w:r>
          </w:p>
          <w:p w14:paraId="37E3F591">
            <w:pPr>
              <w:widowControl/>
              <w:jc w:val="left"/>
              <w:textAlignment w:val="center"/>
              <w:rPr>
                <w:rFonts w:ascii="宋体" w:hAnsi="宋体" w:cs="宋体"/>
                <w:color w:val="auto"/>
                <w:sz w:val="22"/>
                <w:highlight w:val="none"/>
              </w:rPr>
            </w:pPr>
            <w:r>
              <w:rPr>
                <w:rFonts w:hint="eastAsia" w:ascii="宋体" w:hAnsi="宋体" w:eastAsia="宋体" w:cs="宋体"/>
                <w:color w:val="auto"/>
                <w:kern w:val="0"/>
                <w:sz w:val="24"/>
                <w:szCs w:val="24"/>
                <w:highlight w:val="none"/>
                <w:lang w:bidi="ar"/>
              </w:rPr>
              <w:t>4）未提供方案或未体现相关内容的得0</w:t>
            </w:r>
            <w:r>
              <w:rPr>
                <w:rFonts w:hint="eastAsia" w:ascii="宋体" w:hAnsi="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050C">
            <w:pPr>
              <w:widowControl/>
              <w:jc w:val="center"/>
              <w:textAlignment w:val="center"/>
              <w:rPr>
                <w:rFonts w:hint="eastAsia" w:ascii="宋体" w:hAnsi="宋体" w:eastAsia="宋体" w:cs="宋体"/>
                <w:color w:val="auto"/>
                <w:sz w:val="22"/>
                <w:highlight w:val="none"/>
                <w:lang w:eastAsia="zh-CN"/>
              </w:rPr>
            </w:pPr>
            <w:r>
              <w:rPr>
                <w:rFonts w:hint="eastAsia" w:ascii="宋体" w:hAnsi="宋体" w:cs="宋体"/>
                <w:color w:val="auto"/>
                <w:kern w:val="0"/>
                <w:sz w:val="22"/>
                <w:highlight w:val="none"/>
                <w:lang w:val="en-US" w:eastAsia="zh-CN"/>
              </w:rPr>
              <w:t>5</w:t>
            </w:r>
          </w:p>
        </w:tc>
      </w:tr>
      <w:tr w14:paraId="6BED6F2C">
        <w:tblPrEx>
          <w:tblCellMar>
            <w:top w:w="0" w:type="dxa"/>
            <w:left w:w="108" w:type="dxa"/>
            <w:bottom w:w="0" w:type="dxa"/>
            <w:right w:w="108" w:type="dxa"/>
          </w:tblCellMar>
        </w:tblPrEx>
        <w:trPr>
          <w:trHeight w:val="14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958A">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6</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F2E5">
            <w:pPr>
              <w:widowControl/>
              <w:jc w:val="center"/>
              <w:textAlignment w:val="center"/>
              <w:rPr>
                <w:rFonts w:hint="eastAsia" w:ascii="宋体" w:hAnsi="宋体" w:eastAsia="宋体" w:cs="宋体"/>
                <w:color w:val="auto"/>
                <w:kern w:val="0"/>
                <w:sz w:val="22"/>
                <w:highlight w:val="none"/>
                <w:lang w:eastAsia="zh-CN"/>
              </w:rPr>
            </w:pPr>
            <w:r>
              <w:rPr>
                <w:rFonts w:hint="eastAsia" w:ascii="宋体" w:hAnsi="宋体" w:cs="宋体"/>
                <w:color w:val="auto"/>
                <w:kern w:val="0"/>
                <w:sz w:val="22"/>
                <w:highlight w:val="none"/>
              </w:rPr>
              <w:t>实施</w:t>
            </w:r>
            <w:r>
              <w:rPr>
                <w:rFonts w:hint="eastAsia" w:ascii="宋体" w:hAnsi="宋体" w:cs="宋体"/>
                <w:color w:val="auto"/>
                <w:kern w:val="0"/>
                <w:sz w:val="22"/>
                <w:highlight w:val="none"/>
                <w:lang w:val="en-US" w:eastAsia="zh-CN"/>
              </w:rPr>
              <w:t>方案</w:t>
            </w:r>
          </w:p>
        </w:tc>
        <w:tc>
          <w:tcPr>
            <w:tcW w:w="7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3B27">
            <w:pPr>
              <w:pageBreakBefore w:val="0"/>
              <w:widowControl/>
              <w:kinsoku/>
              <w:wordWrap/>
              <w:overflowPunct/>
              <w:topLinePunct w:val="0"/>
              <w:autoSpaceDE/>
              <w:autoSpaceDN/>
              <w:bidi w:val="0"/>
              <w:spacing w:line="240" w:lineRule="auto"/>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投标人须提供成熟的实施方案，清晰定义项目实施各环节的任务。并对项目实施团队并进行严格要求，明确实施人员职责及任务。根据实施方案完整详尽、清晰准确、合理可行等情况综合打分。</w:t>
            </w:r>
          </w:p>
          <w:p w14:paraId="5213ACCE">
            <w:pPr>
              <w:pageBreakBefore w:val="0"/>
              <w:widowControl/>
              <w:numPr>
                <w:ilvl w:val="0"/>
                <w:numId w:val="0"/>
              </w:numPr>
              <w:kinsoku/>
              <w:wordWrap/>
              <w:overflowPunct/>
              <w:topLinePunct w:val="0"/>
              <w:autoSpaceDE/>
              <w:autoSpaceDN/>
              <w:bidi w:val="0"/>
              <w:adjustRightInd w:val="0"/>
              <w:spacing w:line="240" w:lineRule="auto"/>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lang w:val="en-US" w:eastAsia="zh-CN" w:bidi="ar"/>
              </w:rPr>
              <w:t>1）</w:t>
            </w:r>
            <w:r>
              <w:rPr>
                <w:rFonts w:hint="eastAsia" w:ascii="宋体" w:hAnsi="宋体" w:eastAsia="宋体" w:cs="宋体"/>
                <w:color w:val="auto"/>
                <w:kern w:val="0"/>
                <w:sz w:val="24"/>
                <w:szCs w:val="24"/>
                <w:highlight w:val="none"/>
                <w:lang w:bidi="ar"/>
              </w:rPr>
              <w:t>方案完善、流程合理规范的，得</w:t>
            </w:r>
            <w:r>
              <w:rPr>
                <w:rFonts w:hint="eastAsia" w:ascii="宋体" w:hAnsi="宋体" w:cs="宋体"/>
                <w:color w:val="auto"/>
                <w:kern w:val="0"/>
                <w:sz w:val="24"/>
                <w:szCs w:val="24"/>
                <w:highlight w:val="none"/>
                <w:lang w:val="en-US" w:eastAsia="zh-CN" w:bidi="ar"/>
              </w:rPr>
              <w:t>3-5</w:t>
            </w:r>
            <w:r>
              <w:rPr>
                <w:rFonts w:hint="eastAsia" w:ascii="宋体" w:hAnsi="宋体" w:eastAsia="宋体" w:cs="宋体"/>
                <w:color w:val="auto"/>
                <w:kern w:val="0"/>
                <w:sz w:val="24"/>
                <w:szCs w:val="24"/>
                <w:highlight w:val="none"/>
                <w:lang w:bidi="ar"/>
              </w:rPr>
              <w:t>分；</w:t>
            </w:r>
          </w:p>
          <w:p w14:paraId="37CCA765">
            <w:pPr>
              <w:pageBreakBefore w:val="0"/>
              <w:widowControl/>
              <w:numPr>
                <w:ilvl w:val="0"/>
                <w:numId w:val="0"/>
              </w:numPr>
              <w:kinsoku/>
              <w:wordWrap/>
              <w:overflowPunct/>
              <w:topLinePunct w:val="0"/>
              <w:autoSpaceDE/>
              <w:autoSpaceDN/>
              <w:bidi w:val="0"/>
              <w:adjustRightInd w:val="0"/>
              <w:spacing w:line="240" w:lineRule="auto"/>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lang w:val="en-US" w:eastAsia="zh-CN" w:bidi="ar"/>
              </w:rPr>
              <w:t>2）</w:t>
            </w:r>
            <w:r>
              <w:rPr>
                <w:rFonts w:hint="eastAsia" w:ascii="宋体" w:hAnsi="宋体" w:eastAsia="宋体" w:cs="宋体"/>
                <w:color w:val="auto"/>
                <w:kern w:val="0"/>
                <w:sz w:val="24"/>
                <w:szCs w:val="24"/>
                <w:highlight w:val="none"/>
                <w:lang w:bidi="ar"/>
              </w:rPr>
              <w:t>方案基本完善、流程基本合理规范的，得</w:t>
            </w:r>
            <w:r>
              <w:rPr>
                <w:rFonts w:hint="eastAsia" w:ascii="宋体" w:hAnsi="宋体" w:cs="宋体"/>
                <w:color w:val="auto"/>
                <w:kern w:val="0"/>
                <w:sz w:val="24"/>
                <w:szCs w:val="24"/>
                <w:highlight w:val="none"/>
                <w:lang w:val="en-US" w:eastAsia="zh-CN" w:bidi="ar"/>
              </w:rPr>
              <w:t>2-3</w:t>
            </w:r>
            <w:r>
              <w:rPr>
                <w:rFonts w:hint="eastAsia" w:ascii="宋体" w:hAnsi="宋体" w:eastAsia="宋体" w:cs="宋体"/>
                <w:color w:val="auto"/>
                <w:kern w:val="0"/>
                <w:sz w:val="24"/>
                <w:szCs w:val="24"/>
                <w:highlight w:val="none"/>
                <w:lang w:bidi="ar"/>
              </w:rPr>
              <w:t>分；</w:t>
            </w:r>
          </w:p>
          <w:p w14:paraId="295F4B9A">
            <w:pPr>
              <w:pageBreakBefore w:val="0"/>
              <w:widowControl/>
              <w:numPr>
                <w:ilvl w:val="0"/>
                <w:numId w:val="0"/>
              </w:numPr>
              <w:kinsoku/>
              <w:wordWrap/>
              <w:overflowPunct/>
              <w:topLinePunct w:val="0"/>
              <w:autoSpaceDE/>
              <w:autoSpaceDN/>
              <w:bidi w:val="0"/>
              <w:adjustRightInd w:val="0"/>
              <w:spacing w:line="240" w:lineRule="auto"/>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lang w:val="en-US" w:eastAsia="zh-CN" w:bidi="ar"/>
              </w:rPr>
              <w:t>3）</w:t>
            </w:r>
            <w:r>
              <w:rPr>
                <w:rFonts w:hint="eastAsia" w:ascii="宋体" w:hAnsi="宋体" w:eastAsia="宋体" w:cs="宋体"/>
                <w:color w:val="auto"/>
                <w:kern w:val="0"/>
                <w:sz w:val="24"/>
                <w:szCs w:val="24"/>
                <w:highlight w:val="none"/>
                <w:lang w:bidi="ar"/>
              </w:rPr>
              <w:t>方案不完善、流程不合理规范的，得</w:t>
            </w:r>
            <w:r>
              <w:rPr>
                <w:rFonts w:hint="eastAsia" w:ascii="宋体" w:hAnsi="宋体" w:cs="宋体"/>
                <w:color w:val="auto"/>
                <w:kern w:val="0"/>
                <w:sz w:val="24"/>
                <w:szCs w:val="24"/>
                <w:highlight w:val="none"/>
                <w:lang w:val="en-US" w:eastAsia="zh-CN" w:bidi="ar"/>
              </w:rPr>
              <w:t>1-2</w:t>
            </w:r>
            <w:r>
              <w:rPr>
                <w:rFonts w:hint="eastAsia" w:ascii="宋体" w:hAnsi="宋体" w:eastAsia="宋体" w:cs="宋体"/>
                <w:color w:val="auto"/>
                <w:kern w:val="0"/>
                <w:sz w:val="24"/>
                <w:szCs w:val="24"/>
                <w:highlight w:val="none"/>
                <w:lang w:bidi="ar"/>
              </w:rPr>
              <w:t>分。</w:t>
            </w:r>
          </w:p>
          <w:p w14:paraId="0DE44114">
            <w:pPr>
              <w:widowControl/>
              <w:jc w:val="left"/>
              <w:textAlignment w:val="center"/>
              <w:rPr>
                <w:rFonts w:ascii="宋体" w:hAnsi="宋体" w:cs="宋体"/>
                <w:color w:val="auto"/>
                <w:sz w:val="22"/>
                <w:highlight w:val="none"/>
              </w:rPr>
            </w:pPr>
            <w:r>
              <w:rPr>
                <w:rFonts w:hint="eastAsia" w:ascii="宋体" w:hAnsi="宋体" w:eastAsia="宋体" w:cs="宋体"/>
                <w:color w:val="auto"/>
                <w:kern w:val="0"/>
                <w:sz w:val="24"/>
                <w:szCs w:val="24"/>
                <w:highlight w:val="none"/>
                <w:lang w:bidi="ar"/>
              </w:rPr>
              <w:t>4）未提供方案或未体现相关内容的得0</w:t>
            </w:r>
            <w:r>
              <w:rPr>
                <w:rFonts w:hint="eastAsia" w:ascii="宋体" w:hAnsi="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4925">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w:t>
            </w:r>
          </w:p>
        </w:tc>
      </w:tr>
      <w:tr w14:paraId="12CE54AA">
        <w:tblPrEx>
          <w:tblCellMar>
            <w:top w:w="0" w:type="dxa"/>
            <w:left w:w="108" w:type="dxa"/>
            <w:bottom w:w="0" w:type="dxa"/>
            <w:right w:w="108" w:type="dxa"/>
          </w:tblCellMar>
        </w:tblPrEx>
        <w:trPr>
          <w:trHeight w:val="14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1CE3">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7</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4F29">
            <w:pPr>
              <w:widowControl/>
              <w:jc w:val="center"/>
              <w:textAlignment w:val="center"/>
              <w:rPr>
                <w:rFonts w:hint="default" w:ascii="宋体" w:hAnsi="宋体" w:eastAsia="宋体" w:cs="宋体"/>
                <w:color w:val="auto"/>
                <w:kern w:val="0"/>
                <w:sz w:val="22"/>
                <w:highlight w:val="none"/>
                <w:lang w:val="en-US" w:eastAsia="zh-CN"/>
              </w:rPr>
            </w:pPr>
            <w:r>
              <w:rPr>
                <w:rFonts w:hint="eastAsia" w:ascii="宋体" w:hAnsi="宋体" w:cs="宋体"/>
                <w:color w:val="auto"/>
                <w:kern w:val="0"/>
                <w:sz w:val="22"/>
                <w:highlight w:val="none"/>
                <w:lang w:val="en-US" w:eastAsia="zh-CN"/>
              </w:rPr>
              <w:t>售后服务方案</w:t>
            </w:r>
          </w:p>
        </w:tc>
        <w:tc>
          <w:tcPr>
            <w:tcW w:w="7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A0B4">
            <w:pPr>
              <w:pageBreakBefore w:val="0"/>
              <w:widowControl/>
              <w:kinsoku/>
              <w:wordWrap/>
              <w:overflowPunct/>
              <w:topLinePunct w:val="0"/>
              <w:autoSpaceDE/>
              <w:autoSpaceDN/>
              <w:bidi w:val="0"/>
              <w:spacing w:line="240" w:lineRule="auto"/>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根据投标人提供的售后服务方案，具体包含售后服务承诺、响应时间、故障处理方案、售后服务团队、本地化服务等内容，由评委在分值范围内进行打分。</w:t>
            </w:r>
          </w:p>
          <w:p w14:paraId="47460F23">
            <w:pPr>
              <w:pageBreakBefore w:val="0"/>
              <w:widowControl/>
              <w:numPr>
                <w:ilvl w:val="0"/>
                <w:numId w:val="0"/>
              </w:numPr>
              <w:kinsoku/>
              <w:wordWrap/>
              <w:overflowPunct/>
              <w:topLinePunct w:val="0"/>
              <w:autoSpaceDE/>
              <w:autoSpaceDN/>
              <w:bidi w:val="0"/>
              <w:adjustRightInd w:val="0"/>
              <w:spacing w:line="240" w:lineRule="auto"/>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lang w:val="en-US" w:eastAsia="zh-CN" w:bidi="ar"/>
              </w:rPr>
              <w:t>1）</w:t>
            </w:r>
            <w:r>
              <w:rPr>
                <w:rFonts w:hint="eastAsia" w:ascii="宋体" w:hAnsi="宋体" w:eastAsia="宋体" w:cs="宋体"/>
                <w:color w:val="auto"/>
                <w:kern w:val="0"/>
                <w:sz w:val="24"/>
                <w:szCs w:val="24"/>
                <w:highlight w:val="none"/>
                <w:lang w:bidi="ar"/>
              </w:rPr>
              <w:t>方案完善、流程合理规范的，得</w:t>
            </w:r>
            <w:r>
              <w:rPr>
                <w:rFonts w:hint="eastAsia" w:ascii="宋体" w:hAnsi="宋体" w:cs="宋体"/>
                <w:color w:val="auto"/>
                <w:kern w:val="0"/>
                <w:sz w:val="24"/>
                <w:szCs w:val="24"/>
                <w:highlight w:val="none"/>
                <w:lang w:val="en-US" w:eastAsia="zh-CN" w:bidi="ar"/>
              </w:rPr>
              <w:t>3-5</w:t>
            </w:r>
            <w:r>
              <w:rPr>
                <w:rFonts w:hint="eastAsia" w:ascii="宋体" w:hAnsi="宋体" w:eastAsia="宋体" w:cs="宋体"/>
                <w:color w:val="auto"/>
                <w:kern w:val="0"/>
                <w:sz w:val="24"/>
                <w:szCs w:val="24"/>
                <w:highlight w:val="none"/>
                <w:lang w:bidi="ar"/>
              </w:rPr>
              <w:t>分；</w:t>
            </w:r>
          </w:p>
          <w:p w14:paraId="19F78BFC">
            <w:pPr>
              <w:pageBreakBefore w:val="0"/>
              <w:widowControl/>
              <w:numPr>
                <w:ilvl w:val="0"/>
                <w:numId w:val="0"/>
              </w:numPr>
              <w:kinsoku/>
              <w:wordWrap/>
              <w:overflowPunct/>
              <w:topLinePunct w:val="0"/>
              <w:autoSpaceDE/>
              <w:autoSpaceDN/>
              <w:bidi w:val="0"/>
              <w:adjustRightInd w:val="0"/>
              <w:spacing w:line="240" w:lineRule="auto"/>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lang w:val="en-US" w:eastAsia="zh-CN" w:bidi="ar"/>
              </w:rPr>
              <w:t>2）</w:t>
            </w:r>
            <w:r>
              <w:rPr>
                <w:rFonts w:hint="eastAsia" w:ascii="宋体" w:hAnsi="宋体" w:eastAsia="宋体" w:cs="宋体"/>
                <w:color w:val="auto"/>
                <w:kern w:val="0"/>
                <w:sz w:val="24"/>
                <w:szCs w:val="24"/>
                <w:highlight w:val="none"/>
                <w:lang w:bidi="ar"/>
              </w:rPr>
              <w:t>方案基本完善、流程基本合理规范的，得</w:t>
            </w:r>
            <w:r>
              <w:rPr>
                <w:rFonts w:hint="eastAsia" w:ascii="宋体" w:hAnsi="宋体" w:cs="宋体"/>
                <w:color w:val="auto"/>
                <w:kern w:val="0"/>
                <w:sz w:val="24"/>
                <w:szCs w:val="24"/>
                <w:highlight w:val="none"/>
                <w:lang w:val="en-US" w:eastAsia="zh-CN" w:bidi="ar"/>
              </w:rPr>
              <w:t>2-3</w:t>
            </w:r>
            <w:r>
              <w:rPr>
                <w:rFonts w:hint="eastAsia" w:ascii="宋体" w:hAnsi="宋体" w:eastAsia="宋体" w:cs="宋体"/>
                <w:color w:val="auto"/>
                <w:kern w:val="0"/>
                <w:sz w:val="24"/>
                <w:szCs w:val="24"/>
                <w:highlight w:val="none"/>
                <w:lang w:bidi="ar"/>
              </w:rPr>
              <w:t>分；</w:t>
            </w:r>
          </w:p>
          <w:p w14:paraId="00D866D7">
            <w:pPr>
              <w:pageBreakBefore w:val="0"/>
              <w:widowControl/>
              <w:numPr>
                <w:ilvl w:val="0"/>
                <w:numId w:val="0"/>
              </w:numPr>
              <w:kinsoku/>
              <w:wordWrap/>
              <w:overflowPunct/>
              <w:topLinePunct w:val="0"/>
              <w:autoSpaceDE/>
              <w:autoSpaceDN/>
              <w:bidi w:val="0"/>
              <w:adjustRightInd w:val="0"/>
              <w:spacing w:line="240" w:lineRule="auto"/>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lang w:val="en-US" w:eastAsia="zh-CN" w:bidi="ar"/>
              </w:rPr>
              <w:t>3）</w:t>
            </w:r>
            <w:r>
              <w:rPr>
                <w:rFonts w:hint="eastAsia" w:ascii="宋体" w:hAnsi="宋体" w:eastAsia="宋体" w:cs="宋体"/>
                <w:color w:val="auto"/>
                <w:kern w:val="0"/>
                <w:sz w:val="24"/>
                <w:szCs w:val="24"/>
                <w:highlight w:val="none"/>
                <w:lang w:bidi="ar"/>
              </w:rPr>
              <w:t>方案不完善、流程不合理规范的，得</w:t>
            </w:r>
            <w:r>
              <w:rPr>
                <w:rFonts w:hint="eastAsia" w:ascii="宋体" w:hAnsi="宋体" w:cs="宋体"/>
                <w:color w:val="auto"/>
                <w:kern w:val="0"/>
                <w:sz w:val="24"/>
                <w:szCs w:val="24"/>
                <w:highlight w:val="none"/>
                <w:lang w:val="en-US" w:eastAsia="zh-CN" w:bidi="ar"/>
              </w:rPr>
              <w:t>1-2</w:t>
            </w:r>
            <w:r>
              <w:rPr>
                <w:rFonts w:hint="eastAsia" w:ascii="宋体" w:hAnsi="宋体" w:eastAsia="宋体" w:cs="宋体"/>
                <w:color w:val="auto"/>
                <w:kern w:val="0"/>
                <w:sz w:val="24"/>
                <w:szCs w:val="24"/>
                <w:highlight w:val="none"/>
                <w:lang w:bidi="ar"/>
              </w:rPr>
              <w:t>分。</w:t>
            </w:r>
          </w:p>
          <w:p w14:paraId="0CEA570F">
            <w:pPr>
              <w:widowControl/>
              <w:jc w:val="left"/>
              <w:textAlignment w:val="center"/>
              <w:rPr>
                <w:rFonts w:ascii="宋体" w:hAnsi="宋体" w:cs="宋体"/>
                <w:color w:val="auto"/>
                <w:sz w:val="22"/>
                <w:highlight w:val="none"/>
              </w:rPr>
            </w:pPr>
            <w:r>
              <w:rPr>
                <w:rFonts w:hint="eastAsia" w:ascii="宋体" w:hAnsi="宋体" w:eastAsia="宋体" w:cs="宋体"/>
                <w:color w:val="auto"/>
                <w:kern w:val="0"/>
                <w:sz w:val="24"/>
                <w:szCs w:val="24"/>
                <w:highlight w:val="none"/>
                <w:lang w:bidi="ar"/>
              </w:rPr>
              <w:t>4）未提供方案或未体现相关内容的得0</w:t>
            </w:r>
            <w:r>
              <w:rPr>
                <w:rFonts w:hint="eastAsia" w:ascii="宋体" w:hAnsi="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3166">
            <w:pPr>
              <w:widowControl/>
              <w:jc w:val="center"/>
              <w:textAlignment w:val="center"/>
              <w:rPr>
                <w:rFonts w:hint="eastAsia" w:ascii="宋体" w:hAnsi="宋体" w:eastAsia="宋体" w:cs="宋体"/>
                <w:color w:val="auto"/>
                <w:sz w:val="22"/>
                <w:highlight w:val="none"/>
                <w:lang w:eastAsia="zh-CN"/>
              </w:rPr>
            </w:pPr>
            <w:r>
              <w:rPr>
                <w:rFonts w:hint="eastAsia" w:ascii="宋体" w:hAnsi="宋体" w:cs="宋体"/>
                <w:color w:val="auto"/>
                <w:kern w:val="0"/>
                <w:sz w:val="22"/>
                <w:highlight w:val="none"/>
                <w:lang w:val="en-US" w:eastAsia="zh-CN"/>
              </w:rPr>
              <w:t>5</w:t>
            </w:r>
          </w:p>
        </w:tc>
      </w:tr>
      <w:tr w14:paraId="7FEBDBEA">
        <w:tblPrEx>
          <w:tblCellMar>
            <w:top w:w="0" w:type="dxa"/>
            <w:left w:w="108" w:type="dxa"/>
            <w:bottom w:w="0" w:type="dxa"/>
            <w:right w:w="108" w:type="dxa"/>
          </w:tblCellMar>
        </w:tblPrEx>
        <w:trPr>
          <w:trHeight w:val="264"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00C1">
            <w:pPr>
              <w:widowControl/>
              <w:jc w:val="center"/>
              <w:textAlignment w:val="center"/>
              <w:rPr>
                <w:rFonts w:hint="eastAsia" w:ascii="宋体" w:hAnsi="宋体" w:eastAsia="宋体" w:cs="宋体"/>
                <w:color w:val="auto"/>
                <w:kern w:val="0"/>
                <w:sz w:val="22"/>
                <w:highlight w:val="none"/>
                <w:lang w:eastAsia="zh-CN"/>
              </w:rPr>
            </w:pPr>
            <w:r>
              <w:rPr>
                <w:rFonts w:hint="eastAsia" w:ascii="宋体" w:hAnsi="宋体" w:cs="宋体"/>
                <w:color w:val="auto"/>
                <w:kern w:val="0"/>
                <w:sz w:val="22"/>
                <w:highlight w:val="none"/>
                <w:lang w:val="en-US" w:eastAsia="zh-CN"/>
              </w:rPr>
              <w:t>8</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0307">
            <w:pPr>
              <w:widowControl/>
              <w:jc w:val="center"/>
              <w:textAlignment w:val="center"/>
              <w:rPr>
                <w:rFonts w:hint="default" w:ascii="宋体" w:hAnsi="宋体" w:eastAsia="宋体" w:cs="宋体"/>
                <w:color w:val="auto"/>
                <w:kern w:val="0"/>
                <w:sz w:val="22"/>
                <w:highlight w:val="none"/>
                <w:lang w:val="en-US" w:eastAsia="zh-CN"/>
              </w:rPr>
            </w:pPr>
            <w:r>
              <w:rPr>
                <w:rFonts w:hint="eastAsia" w:ascii="宋体" w:hAnsi="宋体" w:cs="宋体"/>
                <w:color w:val="auto"/>
                <w:kern w:val="0"/>
                <w:sz w:val="22"/>
                <w:highlight w:val="none"/>
                <w:lang w:val="en-US" w:eastAsia="zh-CN"/>
              </w:rPr>
              <w:t>培训方案</w:t>
            </w:r>
          </w:p>
        </w:tc>
        <w:tc>
          <w:tcPr>
            <w:tcW w:w="7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8B1E">
            <w:pPr>
              <w:pageBreakBefore w:val="0"/>
              <w:widowControl/>
              <w:kinsoku/>
              <w:wordWrap/>
              <w:overflowPunct/>
              <w:topLinePunct w:val="0"/>
              <w:autoSpaceDE/>
              <w:autoSpaceDN/>
              <w:bidi w:val="0"/>
              <w:spacing w:line="240" w:lineRule="auto"/>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投标人须提供实用、全面的培训方案，根据方案的培训内容、培训计划、培训团队、培训时间等情况综合打分。</w:t>
            </w:r>
          </w:p>
          <w:p w14:paraId="24E73020">
            <w:pPr>
              <w:pageBreakBefore w:val="0"/>
              <w:widowControl/>
              <w:kinsoku/>
              <w:wordWrap/>
              <w:overflowPunct/>
              <w:topLinePunct w:val="0"/>
              <w:autoSpaceDE/>
              <w:autoSpaceDN/>
              <w:bidi w:val="0"/>
              <w:spacing w:line="240" w:lineRule="auto"/>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1）</w:t>
            </w:r>
            <w:r>
              <w:rPr>
                <w:rFonts w:hint="eastAsia" w:ascii="宋体" w:hAnsi="宋体" w:eastAsia="宋体" w:cs="宋体"/>
                <w:color w:val="auto"/>
                <w:kern w:val="0"/>
                <w:sz w:val="24"/>
                <w:szCs w:val="24"/>
                <w:highlight w:val="none"/>
              </w:rPr>
              <w:t>有完善培训内容、培训计划、培训团队、培训时间，且培训方式合理，说明详细可操作，得</w:t>
            </w:r>
            <w:r>
              <w:rPr>
                <w:rFonts w:hint="eastAsia" w:ascii="宋体" w:hAnsi="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rPr>
              <w:t>分；</w:t>
            </w:r>
          </w:p>
          <w:p w14:paraId="5473D29A">
            <w:pPr>
              <w:pageBreakBefore w:val="0"/>
              <w:widowControl/>
              <w:kinsoku/>
              <w:wordWrap/>
              <w:overflowPunct/>
              <w:topLinePunct w:val="0"/>
              <w:autoSpaceDE/>
              <w:autoSpaceDN/>
              <w:bidi w:val="0"/>
              <w:spacing w:line="240" w:lineRule="auto"/>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2）</w:t>
            </w:r>
            <w:r>
              <w:rPr>
                <w:rFonts w:hint="eastAsia" w:ascii="宋体" w:hAnsi="宋体" w:eastAsia="宋体" w:cs="宋体"/>
                <w:color w:val="auto"/>
                <w:kern w:val="0"/>
                <w:sz w:val="24"/>
                <w:szCs w:val="24"/>
                <w:highlight w:val="none"/>
              </w:rPr>
              <w:t>有相应培训内容、培训计划、培训团队、培训时间，培训方式较为合理，但是不够完善，得</w:t>
            </w:r>
            <w:r>
              <w:rPr>
                <w:rFonts w:hint="eastAsia" w:ascii="宋体" w:hAnsi="宋体" w:cs="宋体"/>
                <w:color w:val="auto"/>
                <w:kern w:val="0"/>
                <w:sz w:val="24"/>
                <w:szCs w:val="24"/>
                <w:highlight w:val="none"/>
                <w:lang w:val="en-US" w:eastAsia="zh-CN"/>
              </w:rPr>
              <w:t>2-3</w:t>
            </w:r>
            <w:r>
              <w:rPr>
                <w:rFonts w:hint="eastAsia" w:ascii="宋体" w:hAnsi="宋体" w:eastAsia="宋体" w:cs="宋体"/>
                <w:color w:val="auto"/>
                <w:kern w:val="0"/>
                <w:sz w:val="24"/>
                <w:szCs w:val="24"/>
                <w:highlight w:val="none"/>
              </w:rPr>
              <w:t>分；</w:t>
            </w:r>
          </w:p>
          <w:p w14:paraId="6FBC24A2">
            <w:pPr>
              <w:pageBreakBefore w:val="0"/>
              <w:widowControl/>
              <w:kinsoku/>
              <w:wordWrap/>
              <w:overflowPunct/>
              <w:topLinePunct w:val="0"/>
              <w:autoSpaceDE/>
              <w:autoSpaceDN/>
              <w:bidi w:val="0"/>
              <w:spacing w:line="240" w:lineRule="auto"/>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3）</w:t>
            </w:r>
            <w:r>
              <w:rPr>
                <w:rFonts w:hint="eastAsia" w:ascii="宋体" w:hAnsi="宋体" w:eastAsia="宋体" w:cs="宋体"/>
                <w:color w:val="auto"/>
                <w:kern w:val="0"/>
                <w:sz w:val="24"/>
                <w:szCs w:val="24"/>
                <w:highlight w:val="none"/>
              </w:rPr>
              <w:t>培训内容、培训计划、培训团队、培训时间不够详尽，培训方式不够合理完善，得1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p>
          <w:p w14:paraId="473E6034">
            <w:pPr>
              <w:widowControl/>
              <w:jc w:val="left"/>
              <w:textAlignment w:val="center"/>
              <w:rPr>
                <w:rFonts w:ascii="宋体"/>
                <w:color w:val="auto"/>
                <w:sz w:val="22"/>
                <w:highlight w:val="none"/>
              </w:rPr>
            </w:pPr>
            <w:r>
              <w:rPr>
                <w:rFonts w:hint="eastAsia" w:ascii="宋体" w:hAnsi="宋体" w:eastAsia="宋体" w:cs="宋体"/>
                <w:color w:val="auto"/>
                <w:kern w:val="0"/>
                <w:sz w:val="24"/>
                <w:szCs w:val="24"/>
                <w:highlight w:val="none"/>
                <w:lang w:bidi="ar"/>
              </w:rPr>
              <w:t>4）未提供方案或未体现相关内容的得0</w:t>
            </w:r>
            <w:r>
              <w:rPr>
                <w:rFonts w:hint="eastAsia" w:ascii="宋体" w:hAnsi="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A422">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r>
    </w:tbl>
    <w:p w14:paraId="308ABF8F">
      <w:pPr>
        <w:rPr>
          <w:color w:val="auto"/>
          <w:highlight w:val="none"/>
        </w:rPr>
      </w:pPr>
    </w:p>
    <w:p w14:paraId="0B5B0639">
      <w:pPr>
        <w:pStyle w:val="21"/>
        <w:adjustRightInd w:val="0"/>
        <w:snapToGrid w:val="0"/>
        <w:spacing w:line="420" w:lineRule="exact"/>
        <w:jc w:val="center"/>
        <w:rPr>
          <w:rFonts w:cs="宋体"/>
          <w:b/>
          <w:bCs/>
          <w:color w:val="auto"/>
          <w:sz w:val="22"/>
          <w:szCs w:val="22"/>
          <w:highlight w:val="none"/>
        </w:rPr>
      </w:pPr>
      <w:r>
        <w:rPr>
          <w:rFonts w:hint="eastAsia" w:cs="宋体"/>
          <w:b/>
          <w:bCs/>
          <w:color w:val="auto"/>
          <w:sz w:val="22"/>
          <w:szCs w:val="22"/>
          <w:highlight w:val="none"/>
        </w:rPr>
        <w:t>五、说明</w:t>
      </w:r>
    </w:p>
    <w:p w14:paraId="68D18072">
      <w:pPr>
        <w:pStyle w:val="21"/>
        <w:adjustRightInd w:val="0"/>
        <w:snapToGrid w:val="0"/>
        <w:spacing w:line="440" w:lineRule="atLeast"/>
        <w:ind w:firstLine="446" w:firstLineChars="200"/>
        <w:rPr>
          <w:rFonts w:cs="宋体"/>
          <w:color w:val="auto"/>
          <w:sz w:val="22"/>
          <w:highlight w:val="none"/>
        </w:rPr>
      </w:pPr>
      <w:r>
        <w:rPr>
          <w:rFonts w:hint="eastAsia" w:cs="宋体"/>
          <w:color w:val="auto"/>
          <w:sz w:val="22"/>
          <w:highlight w:val="none"/>
        </w:rPr>
        <w:t>1、供应商最终得分=商务技术部分分值（所有竞争性磋商小组成员打分的算术平均值）＋报价部分分值。</w:t>
      </w:r>
    </w:p>
    <w:p w14:paraId="752502F3">
      <w:pPr>
        <w:pStyle w:val="21"/>
        <w:adjustRightInd w:val="0"/>
        <w:snapToGrid w:val="0"/>
        <w:spacing w:line="440" w:lineRule="atLeast"/>
        <w:ind w:firstLine="446" w:firstLineChars="200"/>
        <w:rPr>
          <w:rFonts w:cs="宋体"/>
          <w:color w:val="auto"/>
          <w:sz w:val="22"/>
          <w:highlight w:val="none"/>
        </w:rPr>
      </w:pPr>
      <w:r>
        <w:rPr>
          <w:rFonts w:hint="eastAsia" w:cs="宋体"/>
          <w:color w:val="auto"/>
          <w:sz w:val="22"/>
          <w:highlight w:val="none"/>
        </w:rPr>
        <w:t>2、竞争性磋商小组推荐综合得分第一名的供应商为中标（成交）供应商，如果得分相同的，按投标报价由低到高顺序排列，得分且报价均相同的，按商务技术部分得分由高到低排列。</w:t>
      </w:r>
    </w:p>
    <w:p w14:paraId="64BE28E5">
      <w:pPr>
        <w:pStyle w:val="21"/>
        <w:adjustRightInd w:val="0"/>
        <w:snapToGrid w:val="0"/>
        <w:spacing w:line="440" w:lineRule="atLeast"/>
        <w:ind w:firstLine="446" w:firstLineChars="200"/>
        <w:rPr>
          <w:rFonts w:cs="宋体"/>
          <w:color w:val="auto"/>
          <w:sz w:val="22"/>
          <w:highlight w:val="none"/>
        </w:rPr>
      </w:pPr>
      <w:r>
        <w:rPr>
          <w:rFonts w:hint="eastAsia" w:cs="宋体"/>
          <w:color w:val="auto"/>
          <w:sz w:val="22"/>
          <w:highlight w:val="none"/>
        </w:rPr>
        <w:t>3、所有分值计算保留小数点后二位，小数点后三位四舍五入。</w:t>
      </w:r>
    </w:p>
    <w:p w14:paraId="2693DCD0">
      <w:pPr>
        <w:pStyle w:val="21"/>
        <w:adjustRightInd w:val="0"/>
        <w:snapToGrid w:val="0"/>
        <w:spacing w:line="440" w:lineRule="atLeast"/>
        <w:rPr>
          <w:rFonts w:hint="eastAsia" w:eastAsia="宋体"/>
          <w:color w:val="auto"/>
          <w:lang w:eastAsia="zh-CN"/>
        </w:rPr>
      </w:pPr>
      <w:r>
        <w:rPr>
          <w:rFonts w:hint="eastAsia" w:cs="宋体"/>
          <w:color w:val="auto"/>
          <w:sz w:val="22"/>
          <w:highlight w:val="none"/>
        </w:rPr>
        <w:t>参见本竞争性磋商文件第三部分：“供应商须知”中的相关内容，未尽事宜按有关法律规定处理。</w:t>
      </w:r>
      <w:bookmarkEnd w:id="81"/>
    </w:p>
    <w:sectPr>
      <w:headerReference r:id="rId7" w:type="first"/>
      <w:footerReference r:id="rId9" w:type="first"/>
      <w:headerReference r:id="rId6" w:type="default"/>
      <w:footerReference r:id="rId8" w:type="default"/>
      <w:pgSz w:w="11906" w:h="16838"/>
      <w:pgMar w:top="1440" w:right="1247" w:bottom="1440" w:left="1247" w:header="851" w:footer="992" w:gutter="0"/>
      <w:cols w:space="720" w:num="1"/>
      <w:formProt w:val="0"/>
      <w:titlePg/>
      <w:docGrid w:type="linesAndChars" w:linePitch="313" w:charSpace="7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ntury Gothic">
    <w:altName w:val="Segoe Print"/>
    <w:panose1 w:val="020B0502020202020204"/>
    <w:charset w:val="00"/>
    <w:family w:val="swiss"/>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Helvetica">
    <w:altName w:val="Arial"/>
    <w:panose1 w:val="00000000000000000000"/>
    <w:charset w:val="00"/>
    <w:family w:val="swiss"/>
    <w:pitch w:val="default"/>
    <w:sig w:usb0="00000000" w:usb1="00000000" w:usb2="00000000" w:usb3="00000000" w:csb0="2000019F" w:csb1="4F01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Arial (W1)">
    <w:altName w:val="Arial"/>
    <w:panose1 w:val="00000000000000000000"/>
    <w:charset w:val="00"/>
    <w:family w:val="auto"/>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77999">
    <w:pPr>
      <w:pStyle w:val="2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A3541">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3A3541">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7EEBB">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3" name="文本框 6"/>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a:effectLst/>
                    </wps:spPr>
                    <wps:txbx>
                      <w:txbxContent>
                        <w:p w14:paraId="5DD34A7F">
                          <w:pPr>
                            <w:pStyle w:val="24"/>
                          </w:pPr>
                          <w:r>
                            <w:fldChar w:fldCharType="begin"/>
                          </w:r>
                          <w:r>
                            <w:instrText xml:space="preserve"> PAGE  \* MERGEFORMAT </w:instrText>
                          </w:r>
                          <w:r>
                            <w:fldChar w:fldCharType="separate"/>
                          </w:r>
                          <w:r>
                            <w:t>73</w:t>
                          </w:r>
                          <w:r>
                            <w:fldChar w:fldCharType="end"/>
                          </w:r>
                        </w:p>
                      </w:txbxContent>
                    </wps:txbx>
                    <wps:bodyPr vert="horz" wrap="none" lIns="0" tIns="0" rIns="0" bIns="0" anchor="t" anchorCtr="0" upright="0">
                      <a:spAutoFit/>
                    </wps:bodyPr>
                  </wps:wsp>
                </a:graphicData>
              </a:graphic>
            </wp:anchor>
          </w:drawing>
        </mc:Choice>
        <mc:Fallback>
          <w:pict>
            <v:rect id="文本框 6"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XRSXJ1QAAAAMBAAAPAAAAAAAAAAEAIAAAACIAAABk&#10;cnMvZG93bnJldi54bWxQSwECFAAUAAAACACHTuJAspVk1QkCAAADBAAADgAAAAAAAAABACAAAAAk&#10;AQAAZHJzL2Uyb0RvYy54bWxQSwUGAAAAAAYABgBZAQAAnwUAAAAA&#10;">
              <v:fill on="f" focussize="0,0"/>
              <v:stroke on="f" weight="0.5pt" joinstyle="round"/>
              <v:imagedata o:title=""/>
              <o:lock v:ext="edit" aspectratio="f"/>
              <v:textbox inset="0mm,0mm,0mm,0mm" style="mso-fit-shape-to-text:t;">
                <w:txbxContent>
                  <w:p w14:paraId="5DD34A7F">
                    <w:pPr>
                      <w:pStyle w:val="24"/>
                    </w:pPr>
                    <w:r>
                      <w:fldChar w:fldCharType="begin"/>
                    </w:r>
                    <w:r>
                      <w:instrText xml:space="preserve"> PAGE  \* MERGEFORMAT </w:instrText>
                    </w:r>
                    <w:r>
                      <w:fldChar w:fldCharType="separate"/>
                    </w:r>
                    <w:r>
                      <w:t>73</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67BE9">
    <w:pPr>
      <w:pStyle w:val="24"/>
      <w:rPr>
        <w:rFonts w:asci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6" name="文本框 7"/>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a:effectLst/>
                    </wps:spPr>
                    <wps:txbx>
                      <w:txbxContent>
                        <w:p w14:paraId="047FDD12">
                          <w:pPr>
                            <w:pStyle w:val="24"/>
                          </w:pPr>
                          <w:r>
                            <w:fldChar w:fldCharType="begin"/>
                          </w:r>
                          <w:r>
                            <w:instrText xml:space="preserve"> PAGE  \* MERGEFORMAT </w:instrText>
                          </w:r>
                          <w:r>
                            <w:fldChar w:fldCharType="separate"/>
                          </w:r>
                          <w:r>
                            <w:t>65</w:t>
                          </w:r>
                          <w:r>
                            <w:fldChar w:fldCharType="end"/>
                          </w:r>
                        </w:p>
                      </w:txbxContent>
                    </wps:txbx>
                    <wps:bodyPr vert="horz" wrap="none" lIns="0" tIns="0" rIns="0" bIns="0" anchor="t" anchorCtr="0" upright="0">
                      <a:spAutoFit/>
                    </wps:bodyPr>
                  </wps:wsp>
                </a:graphicData>
              </a:graphic>
            </wp:anchor>
          </w:drawing>
        </mc:Choice>
        <mc:Fallback>
          <w:pict>
            <v:rect id="文本框 7"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&#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XRSXJ1QAAAAMBAAAPAAAAAAAAAAEAIAAAACIAAABk&#10;cnMvZG93bnJldi54bWxQSwECFAAUAAAACACHTuJA8OCA+wkCAAADBAAADgAAAAAAAAABACAAAAAk&#10;AQAAZHJzL2Uyb0RvYy54bWxQSwUGAAAAAAYABgBZAQAAnwUAAAAA&#10;">
              <v:fill on="f" focussize="0,0"/>
              <v:stroke on="f" weight="0.5pt" joinstyle="round"/>
              <v:imagedata o:title=""/>
              <o:lock v:ext="edit" aspectratio="f"/>
              <v:textbox inset="0mm,0mm,0mm,0mm" style="mso-fit-shape-to-text:t;">
                <w:txbxContent>
                  <w:p w14:paraId="047FDD12">
                    <w:pPr>
                      <w:pStyle w:val="24"/>
                    </w:pPr>
                    <w:r>
                      <w:fldChar w:fldCharType="begin"/>
                    </w:r>
                    <w:r>
                      <w:instrText xml:space="preserve"> PAGE  \* MERGEFORMAT </w:instrText>
                    </w:r>
                    <w:r>
                      <w:fldChar w:fldCharType="separate"/>
                    </w:r>
                    <w:r>
                      <w:t>65</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A704D">
    <w:pPr>
      <w:pStyle w:val="26"/>
      <w:rPr>
        <w:b/>
        <w:bCs/>
        <w:u w:val="single"/>
      </w:rPr>
    </w:pPr>
    <w:r>
      <w:rPr>
        <w:rFonts w:hint="eastAsia"/>
        <w:b/>
        <w:bCs/>
        <w:sz w:val="16"/>
        <w:szCs w:val="16"/>
        <w:u w:val="single"/>
      </w:rPr>
      <w:t xml:space="preserve">泰顺政府采购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351D3">
    <w:pPr>
      <w:pStyle w:val="26"/>
    </w:pPr>
    <w:r>
      <w:rPr>
        <w:rFonts w:hint="eastAsia"/>
        <w:b/>
        <w:bCs/>
        <w:sz w:val="16"/>
        <w:szCs w:val="16"/>
        <w:u w:val="single"/>
      </w:rPr>
      <w:t xml:space="preserve">泰顺政府采购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936B2">
    <w:pPr>
      <w:pStyle w:val="26"/>
      <w:rPr>
        <w:u w:val="single"/>
      </w:rPr>
    </w:pPr>
    <w:r>
      <w:rPr>
        <w:rFonts w:hint="eastAsia"/>
        <w:b/>
        <w:bCs/>
        <w:sz w:val="16"/>
        <w:szCs w:val="16"/>
        <w:u w:val="single"/>
      </w:rPr>
      <w:t xml:space="preserve">泰顺政府采购 </w:t>
    </w:r>
    <w:r>
      <w:pict>
        <v:shape id="艺术字 5 12" o:spid="_x0000_s4097" o:spt="136" type="#_x0000_t136" style="position:absolute;left:0pt;height:44.25pt;width:271.5pt;mso-position-horizontal:center;mso-position-horizontal-relative:margin;mso-position-vertical:center;mso-position-vertical-relative:margin;rotation:20643840f;z-index:-251656192;mso-width-relative:page;mso-height-relative:page;" fillcolor="#C0C0C0" filled="t" stroked="f" coordsize="21600,21600">
          <v:path/>
          <v:fill on="t" opacity="32768f" focussize="0,0"/>
          <v:stroke on="f"/>
          <v:imagedata o:title=""/>
          <o:lock v:ext="edit" aspectratio="t"/>
          <v:textpath on="t" fitshape="t" fitpath="t" trim="t" xscale="f" string="泰顺县政府采购" style="font-family:宋体;font-size:44pt;v-text-align:center;"/>
        </v:shape>
      </w:pict>
    </w:r>
    <w:r>
      <w:rPr>
        <w:rFonts w:hint="eastAsia"/>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6AA0E">
    <w:pPr>
      <w:pStyle w:val="26"/>
      <w:rPr>
        <w:rFonts w:ascii="宋体"/>
        <w:u w:val="single"/>
      </w:rPr>
    </w:pPr>
    <w:r>
      <w:rPr>
        <w:rFonts w:hint="eastAsia"/>
        <w:b/>
        <w:bCs/>
        <w:sz w:val="16"/>
        <w:szCs w:val="16"/>
        <w:u w:val="single"/>
      </w:rPr>
      <w:t xml:space="preserve">泰顺政府采购 </w:t>
    </w:r>
    <w:r>
      <w:rPr>
        <w:rFonts w:hint="eastAsia" w:ascii="宋体"/>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7BCB4"/>
    <w:multiLevelType w:val="multilevel"/>
    <w:tmpl w:val="95D7BCB4"/>
    <w:lvl w:ilvl="0" w:tentative="0">
      <w:start w:val="1"/>
      <w:numFmt w:val="chineseCountingThousand"/>
      <w:suff w:val="space"/>
      <w:lvlText w:val="第 %1 章"/>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decimal"/>
      <w:isLgl/>
      <w:suff w:val="space"/>
      <w:lvlText w:val="%1.%2"/>
      <w:lvlJc w:val="left"/>
      <w:pPr>
        <w:ind w:left="284"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vertAlign w:val="baseline"/>
      </w:rPr>
    </w:lvl>
    <w:lvl w:ilvl="2" w:tentative="0">
      <w:start w:val="1"/>
      <w:numFmt w:val="decimal"/>
      <w:isLgl/>
      <w:suff w:val="space"/>
      <w:lvlText w:val="%1.%2.%3"/>
      <w:lvlJc w:val="left"/>
      <w:pPr>
        <w:ind w:left="567" w:firstLine="0"/>
      </w:pPr>
      <w:rPr>
        <w:rFonts w:hint="eastAsia" w:cs="Times New Roman"/>
        <w:b w:val="0"/>
        <w:bCs w:val="0"/>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0" w:firstLine="0"/>
      </w:pPr>
      <w:rPr>
        <w:rFonts w:hint="default" w:ascii="Arial" w:hAnsi="Arial" w:eastAsia="黑体"/>
        <w:b w:val="0"/>
        <w:i w:val="0"/>
        <w:sz w:val="30"/>
      </w:rPr>
    </w:lvl>
    <w:lvl w:ilvl="4" w:tentative="0">
      <w:start w:val="1"/>
      <w:numFmt w:val="decimal"/>
      <w:pStyle w:val="6"/>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8" w:tentative="0">
      <w:start w:val="1"/>
      <w:numFmt w:val="decimal"/>
      <w:isLgl/>
      <w:suff w:val="space"/>
      <w:lvlText w:val="%1.%2.%3.%4.%5.%6.%7.%8.%9"/>
      <w:lvlJc w:val="left"/>
      <w:pPr>
        <w:ind w:left="0" w:firstLine="0"/>
      </w:pPr>
      <w:rPr>
        <w:b w:val="0"/>
        <w:bCs w:val="0"/>
        <w:i w:val="0"/>
        <w:iCs w:val="0"/>
        <w:caps w:val="0"/>
        <w:smallCaps w:val="0"/>
        <w:strike w:val="0"/>
        <w:dstrike w:val="0"/>
        <w:vanish w:val="0"/>
        <w:spacing w:val="0"/>
        <w:position w:val="0"/>
        <w:u w:val="none"/>
        <w:vertAlign w:val="baseline"/>
      </w:rPr>
    </w:lvl>
  </w:abstractNum>
  <w:abstractNum w:abstractNumId="1">
    <w:nsid w:val="963ED97F"/>
    <w:multiLevelType w:val="singleLevel"/>
    <w:tmpl w:val="963ED97F"/>
    <w:lvl w:ilvl="0" w:tentative="0">
      <w:start w:val="1"/>
      <w:numFmt w:val="decimalEnclosedCircleChinese"/>
      <w:suff w:val="nothing"/>
      <w:lvlText w:val="%1　"/>
      <w:lvlJc w:val="left"/>
      <w:pPr>
        <w:ind w:left="0" w:firstLine="400"/>
      </w:pPr>
    </w:lvl>
  </w:abstractNum>
  <w:abstractNum w:abstractNumId="2">
    <w:nsid w:val="D2CFA4EA"/>
    <w:multiLevelType w:val="singleLevel"/>
    <w:tmpl w:val="D2CFA4EA"/>
    <w:lvl w:ilvl="0" w:tentative="0">
      <w:start w:val="1"/>
      <w:numFmt w:val="decimal"/>
      <w:lvlText w:val="(%1)"/>
      <w:lvlJc w:val="left"/>
      <w:pPr>
        <w:ind w:left="425" w:hanging="425"/>
      </w:pPr>
      <w:rPr>
        <w:rFonts w:hint="default"/>
        <w:b w:val="0"/>
        <w:bCs w:val="0"/>
      </w:rPr>
    </w:lvl>
  </w:abstractNum>
  <w:abstractNum w:abstractNumId="3">
    <w:nsid w:val="00000000"/>
    <w:multiLevelType w:val="singleLevel"/>
    <w:tmpl w:val="00000000"/>
    <w:lvl w:ilvl="0" w:tentative="0">
      <w:start w:val="1"/>
      <w:numFmt w:val="decimal"/>
      <w:suff w:val="space"/>
      <w:lvlText w:val="%1."/>
      <w:lvlJc w:val="left"/>
    </w:lvl>
  </w:abstractNum>
  <w:abstractNum w:abstractNumId="4">
    <w:nsid w:val="00000004"/>
    <w:multiLevelType w:val="singleLevel"/>
    <w:tmpl w:val="00000004"/>
    <w:lvl w:ilvl="0" w:tentative="0">
      <w:start w:val="1"/>
      <w:numFmt w:val="decimal"/>
      <w:pStyle w:val="73"/>
      <w:lvlText w:val="%1."/>
      <w:lvlJc w:val="left"/>
      <w:pPr>
        <w:tabs>
          <w:tab w:val="left" w:pos="1200"/>
        </w:tabs>
        <w:ind w:left="1200" w:hanging="360"/>
      </w:pPr>
    </w:lvl>
  </w:abstractNum>
  <w:abstractNum w:abstractNumId="5">
    <w:nsid w:val="00000005"/>
    <w:multiLevelType w:val="multilevel"/>
    <w:tmpl w:val="00000005"/>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6">
    <w:nsid w:val="2C78673A"/>
    <w:multiLevelType w:val="singleLevel"/>
    <w:tmpl w:val="2C78673A"/>
    <w:lvl w:ilvl="0" w:tentative="0">
      <w:start w:val="1"/>
      <w:numFmt w:val="decimal"/>
      <w:suff w:val="nothing"/>
      <w:lvlText w:val="（%1）"/>
      <w:lvlJc w:val="left"/>
      <w:rPr>
        <w:rFonts w:hint="default"/>
        <w:b w:val="0"/>
        <w:bCs w:val="0"/>
      </w:rPr>
    </w:lvl>
  </w:abstractNum>
  <w:abstractNum w:abstractNumId="7">
    <w:nsid w:val="3B363D98"/>
    <w:multiLevelType w:val="multilevel"/>
    <w:tmpl w:val="3B363D98"/>
    <w:lvl w:ilvl="0" w:tentative="0">
      <w:start w:val="1"/>
      <w:numFmt w:val="decimal"/>
      <w:pStyle w:val="10"/>
      <w:suff w:val="space"/>
      <w:lvlText w:val="图%1."/>
      <w:lvlJc w:val="left"/>
      <w:pPr>
        <w:ind w:left="2263" w:hanging="420"/>
      </w:pPr>
      <w:rPr>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8">
    <w:nsid w:val="47CD5460"/>
    <w:multiLevelType w:val="multilevel"/>
    <w:tmpl w:val="47CD5460"/>
    <w:lvl w:ilvl="0" w:tentative="0">
      <w:start w:val="1"/>
      <w:numFmt w:val="decimal"/>
      <w:pStyle w:val="2"/>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9">
    <w:nsid w:val="492C0FB6"/>
    <w:multiLevelType w:val="singleLevel"/>
    <w:tmpl w:val="492C0FB6"/>
    <w:lvl w:ilvl="0" w:tentative="0">
      <w:start w:val="3"/>
      <w:numFmt w:val="chineseCounting"/>
      <w:suff w:val="nothing"/>
      <w:lvlText w:val="%1、"/>
      <w:lvlJc w:val="left"/>
      <w:rPr>
        <w:rFonts w:hint="eastAsia"/>
      </w:rPr>
    </w:lvl>
  </w:abstractNum>
  <w:num w:numId="1">
    <w:abstractNumId w:val="8"/>
  </w:num>
  <w:num w:numId="2">
    <w:abstractNumId w:val="0"/>
  </w:num>
  <w:num w:numId="3">
    <w:abstractNumId w:val="7"/>
  </w:num>
  <w:num w:numId="4">
    <w:abstractNumId w:val="4"/>
  </w:num>
  <w:num w:numId="5">
    <w:abstractNumId w:val="5"/>
  </w:num>
  <w:num w:numId="6">
    <w:abstractNumId w:val="9"/>
  </w:num>
  <w:num w:numId="7">
    <w:abstractNumId w:val="3"/>
  </w:num>
  <w:num w:numId="8">
    <w:abstractNumId w:val="1"/>
    <w:lvlOverride w:ilvl="0">
      <w:startOverride w:val="1"/>
    </w:lvlOverride>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hideSpellingErrors/>
  <w:documentProtection w:edit="trackedChanges" w:enforcement="0"/>
  <w:defaultTabStop w:val="420"/>
  <w:drawingGridHorizontalSpacing w:val="107"/>
  <w:drawingGridVerticalSpacing w:val="156"/>
  <w:displayHorizontalDrawingGridEvery w:val="1"/>
  <w:displayVerticalDrawingGridEvery w:val="1"/>
  <w:doNotShadeFormData w:val="1"/>
  <w:noPunctuationKerning w:val="1"/>
  <w:characterSpacingControl w:val="compressPunctuation"/>
  <w:hdrShapeDefaults>
    <o:shapelayout v:ext="edit">
      <o:idmap v:ext="edit" data="1,3,4"/>
    </o:shapelayout>
  </w:hdrShapeDefaults>
  <w:compat>
    <w:spaceForUL/>
    <w:balanceSingleByteDoubleByteWidth/>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Njk0ZGYzYzk1OTZiYzA2NTYwZTg1ODY0OGMwOGEifQ=="/>
  </w:docVars>
  <w:rsids>
    <w:rsidRoot w:val="00684C56"/>
    <w:rsid w:val="00094B48"/>
    <w:rsid w:val="000C0363"/>
    <w:rsid w:val="000E7F88"/>
    <w:rsid w:val="000F1212"/>
    <w:rsid w:val="00193947"/>
    <w:rsid w:val="001A7B20"/>
    <w:rsid w:val="001C3696"/>
    <w:rsid w:val="00204881"/>
    <w:rsid w:val="00204AE8"/>
    <w:rsid w:val="00221FA7"/>
    <w:rsid w:val="00244CF8"/>
    <w:rsid w:val="0029253B"/>
    <w:rsid w:val="002F79E1"/>
    <w:rsid w:val="004053F8"/>
    <w:rsid w:val="00417141"/>
    <w:rsid w:val="00441793"/>
    <w:rsid w:val="00487E96"/>
    <w:rsid w:val="004967C5"/>
    <w:rsid w:val="004A54DE"/>
    <w:rsid w:val="004A63F2"/>
    <w:rsid w:val="005018DE"/>
    <w:rsid w:val="005422E9"/>
    <w:rsid w:val="00564ED4"/>
    <w:rsid w:val="00667F2C"/>
    <w:rsid w:val="00674923"/>
    <w:rsid w:val="00684C56"/>
    <w:rsid w:val="006A3D83"/>
    <w:rsid w:val="007E014A"/>
    <w:rsid w:val="00891CEE"/>
    <w:rsid w:val="008F050D"/>
    <w:rsid w:val="009263C9"/>
    <w:rsid w:val="00940D49"/>
    <w:rsid w:val="009546A7"/>
    <w:rsid w:val="00A11D66"/>
    <w:rsid w:val="00A44A1A"/>
    <w:rsid w:val="00A738FE"/>
    <w:rsid w:val="00A749A4"/>
    <w:rsid w:val="00AA1F4A"/>
    <w:rsid w:val="00B21E63"/>
    <w:rsid w:val="00B5147E"/>
    <w:rsid w:val="00B93AE9"/>
    <w:rsid w:val="00BA2D4A"/>
    <w:rsid w:val="00C633DE"/>
    <w:rsid w:val="00CE3559"/>
    <w:rsid w:val="00D449EF"/>
    <w:rsid w:val="00EA1644"/>
    <w:rsid w:val="00ED61C0"/>
    <w:rsid w:val="00EE49EC"/>
    <w:rsid w:val="00EF0816"/>
    <w:rsid w:val="00F81DF5"/>
    <w:rsid w:val="02D45050"/>
    <w:rsid w:val="0C0909BE"/>
    <w:rsid w:val="11361EFC"/>
    <w:rsid w:val="114C732A"/>
    <w:rsid w:val="117C1CD6"/>
    <w:rsid w:val="12386C7D"/>
    <w:rsid w:val="12FA3B44"/>
    <w:rsid w:val="140F352C"/>
    <w:rsid w:val="16636E66"/>
    <w:rsid w:val="1700420E"/>
    <w:rsid w:val="18624A54"/>
    <w:rsid w:val="1A1C51E5"/>
    <w:rsid w:val="1A753EF5"/>
    <w:rsid w:val="1B7D74AB"/>
    <w:rsid w:val="1D5A03F0"/>
    <w:rsid w:val="1E6434B0"/>
    <w:rsid w:val="2456224A"/>
    <w:rsid w:val="25DC5E46"/>
    <w:rsid w:val="26133EE6"/>
    <w:rsid w:val="2A445A50"/>
    <w:rsid w:val="2D7B5F44"/>
    <w:rsid w:val="2E1A146F"/>
    <w:rsid w:val="2E991DFC"/>
    <w:rsid w:val="2EA061F8"/>
    <w:rsid w:val="2F6C023B"/>
    <w:rsid w:val="3A5E796E"/>
    <w:rsid w:val="3D5347E8"/>
    <w:rsid w:val="3EC3599D"/>
    <w:rsid w:val="41A10793"/>
    <w:rsid w:val="425122FD"/>
    <w:rsid w:val="42BE76A7"/>
    <w:rsid w:val="43AC4C52"/>
    <w:rsid w:val="46BC33FE"/>
    <w:rsid w:val="4B93657C"/>
    <w:rsid w:val="4D234F6F"/>
    <w:rsid w:val="4E616EA2"/>
    <w:rsid w:val="4EDE6341"/>
    <w:rsid w:val="52201508"/>
    <w:rsid w:val="523675E0"/>
    <w:rsid w:val="53EE096F"/>
    <w:rsid w:val="553F42C6"/>
    <w:rsid w:val="55AA2FDF"/>
    <w:rsid w:val="55C75AED"/>
    <w:rsid w:val="579F0619"/>
    <w:rsid w:val="57A8352A"/>
    <w:rsid w:val="590F3861"/>
    <w:rsid w:val="5B417642"/>
    <w:rsid w:val="5BA109BC"/>
    <w:rsid w:val="5CAF202A"/>
    <w:rsid w:val="5E135BA1"/>
    <w:rsid w:val="5FDC6467"/>
    <w:rsid w:val="611A3DA6"/>
    <w:rsid w:val="645D016A"/>
    <w:rsid w:val="66D87988"/>
    <w:rsid w:val="673004BF"/>
    <w:rsid w:val="69A91168"/>
    <w:rsid w:val="6B78013E"/>
    <w:rsid w:val="6BCE477F"/>
    <w:rsid w:val="6C117498"/>
    <w:rsid w:val="6C1642C6"/>
    <w:rsid w:val="6C7D4B2E"/>
    <w:rsid w:val="6E407C9B"/>
    <w:rsid w:val="6F1057E5"/>
    <w:rsid w:val="70215592"/>
    <w:rsid w:val="708E3DDC"/>
    <w:rsid w:val="718B7E30"/>
    <w:rsid w:val="72670015"/>
    <w:rsid w:val="732706F9"/>
    <w:rsid w:val="737109E9"/>
    <w:rsid w:val="75EA4FE2"/>
    <w:rsid w:val="76D766D3"/>
    <w:rsid w:val="773D55E5"/>
    <w:rsid w:val="77772ACB"/>
    <w:rsid w:val="77F044A8"/>
    <w:rsid w:val="78271D87"/>
    <w:rsid w:val="78527A53"/>
    <w:rsid w:val="79A84D26"/>
    <w:rsid w:val="7A72669B"/>
    <w:rsid w:val="7EFB1099"/>
    <w:rsid w:val="7FFE71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pageBreakBefore/>
      <w:widowControl/>
      <w:numPr>
        <w:ilvl w:val="0"/>
        <w:numId w:val="1"/>
      </w:numPr>
      <w:spacing w:before="240" w:after="120"/>
      <w:jc w:val="left"/>
      <w:outlineLvl w:val="0"/>
    </w:pPr>
    <w:rPr>
      <w:b/>
      <w:bCs/>
      <w:kern w:val="44"/>
      <w:sz w:val="44"/>
      <w:szCs w:val="44"/>
    </w:rPr>
  </w:style>
  <w:style w:type="paragraph" w:styleId="3">
    <w:name w:val="heading 2"/>
    <w:basedOn w:val="1"/>
    <w:next w:val="1"/>
    <w:qFormat/>
    <w:uiPriority w:val="0"/>
    <w:pPr>
      <w:widowControl/>
      <w:spacing w:before="100" w:beforeAutospacing="1" w:after="100" w:afterAutospacing="1"/>
      <w:jc w:val="left"/>
      <w:outlineLvl w:val="1"/>
    </w:pPr>
    <w:rPr>
      <w:rFonts w:eastAsia="等线"/>
      <w:b/>
      <w:bCs/>
      <w:kern w:val="0"/>
      <w:sz w:val="36"/>
      <w:szCs w:val="36"/>
    </w:rPr>
  </w:style>
  <w:style w:type="paragraph" w:styleId="4">
    <w:name w:val="heading 3"/>
    <w:basedOn w:val="1"/>
    <w:next w:val="1"/>
    <w:qFormat/>
    <w:uiPriority w:val="0"/>
    <w:pPr>
      <w:widowControl/>
      <w:spacing w:before="100" w:beforeAutospacing="1" w:after="100" w:afterAutospacing="1"/>
      <w:jc w:val="left"/>
      <w:outlineLvl w:val="2"/>
    </w:pPr>
    <w:rPr>
      <w:rFonts w:eastAsia="等线"/>
      <w:b/>
      <w:bCs/>
      <w:kern w:val="0"/>
      <w:sz w:val="27"/>
      <w:szCs w:val="27"/>
    </w:rPr>
  </w:style>
  <w:style w:type="paragraph" w:styleId="5">
    <w:name w:val="heading 4"/>
    <w:basedOn w:val="1"/>
    <w:next w:val="1"/>
    <w:qFormat/>
    <w:uiPriority w:val="0"/>
    <w:pPr>
      <w:keepNext/>
      <w:keepLines/>
      <w:spacing w:before="280" w:after="290" w:line="377" w:lineRule="auto"/>
      <w:outlineLvl w:val="3"/>
    </w:pPr>
    <w:rPr>
      <w:rFonts w:ascii="Cambria" w:hAnsi="Cambria"/>
      <w:b/>
      <w:bCs/>
      <w:sz w:val="28"/>
      <w:szCs w:val="28"/>
    </w:rPr>
  </w:style>
  <w:style w:type="paragraph" w:styleId="6">
    <w:name w:val="heading 5"/>
    <w:basedOn w:val="1"/>
    <w:next w:val="1"/>
    <w:qFormat/>
    <w:uiPriority w:val="0"/>
    <w:pPr>
      <w:keepNext/>
      <w:keepLines/>
      <w:numPr>
        <w:ilvl w:val="4"/>
        <w:numId w:val="2"/>
      </w:numPr>
      <w:snapToGrid w:val="0"/>
      <w:spacing w:beforeLines="50"/>
      <w:jc w:val="left"/>
      <w:outlineLvl w:val="4"/>
    </w:pPr>
    <w:rPr>
      <w:rFonts w:eastAsia="黑体"/>
      <w:bCs/>
      <w:sz w:val="28"/>
      <w:szCs w:val="28"/>
    </w:rPr>
  </w:style>
  <w:style w:type="character" w:default="1" w:styleId="37">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Note Heading"/>
    <w:basedOn w:val="1"/>
    <w:next w:val="1"/>
    <w:qFormat/>
    <w:uiPriority w:val="0"/>
    <w:pPr>
      <w:spacing w:before="20" w:beforeLines="20" w:after="20" w:afterLines="20"/>
      <w:ind w:firstLine="0" w:firstLineChars="0"/>
      <w:jc w:val="center"/>
    </w:pPr>
    <w:rPr>
      <w:rFonts w:eastAsia="黑体" w:cs="Times New Roman"/>
      <w:sz w:val="24"/>
      <w:szCs w:val="22"/>
    </w:rPr>
  </w:style>
  <w:style w:type="paragraph" w:styleId="8">
    <w:name w:val="Normal Indent"/>
    <w:basedOn w:val="1"/>
    <w:next w:val="9"/>
    <w:qFormat/>
    <w:uiPriority w:val="0"/>
    <w:pPr>
      <w:ind w:firstLine="420"/>
    </w:pPr>
    <w:rPr>
      <w:szCs w:val="20"/>
    </w:rPr>
  </w:style>
  <w:style w:type="paragraph" w:styleId="9">
    <w:name w:val="Balloon Text"/>
    <w:basedOn w:val="1"/>
    <w:qFormat/>
    <w:uiPriority w:val="0"/>
    <w:rPr>
      <w:rFonts w:ascii="Calibri" w:hAnsi="Calibri"/>
      <w:sz w:val="18"/>
      <w:szCs w:val="18"/>
    </w:rPr>
  </w:style>
  <w:style w:type="paragraph" w:styleId="10">
    <w:name w:val="caption"/>
    <w:basedOn w:val="1"/>
    <w:next w:val="1"/>
    <w:qFormat/>
    <w:uiPriority w:val="0"/>
    <w:pPr>
      <w:numPr>
        <w:ilvl w:val="0"/>
        <w:numId w:val="3"/>
      </w:numPr>
      <w:ind w:firstLine="0"/>
      <w:jc w:val="center"/>
    </w:pPr>
    <w:rPr>
      <w:rFonts w:ascii="Arial Unicode MS" w:hAnsi="Arial Unicode MS"/>
    </w:rPr>
  </w:style>
  <w:style w:type="paragraph" w:styleId="11">
    <w:name w:val="Document Map"/>
    <w:basedOn w:val="1"/>
    <w:qFormat/>
    <w:uiPriority w:val="0"/>
    <w:pPr>
      <w:shd w:val="clear" w:color="auto" w:fill="000080"/>
    </w:pPr>
  </w:style>
  <w:style w:type="paragraph" w:styleId="12">
    <w:name w:val="toa heading"/>
    <w:basedOn w:val="1"/>
    <w:next w:val="1"/>
    <w:qFormat/>
    <w:uiPriority w:val="0"/>
    <w:pPr>
      <w:widowControl/>
      <w:spacing w:before="120"/>
      <w:jc w:val="left"/>
    </w:pPr>
    <w:rPr>
      <w:rFonts w:ascii="Arial" w:hAnsi="Arial"/>
      <w:sz w:val="24"/>
      <w:szCs w:val="20"/>
    </w:rPr>
  </w:style>
  <w:style w:type="paragraph" w:styleId="13">
    <w:name w:val="annotation text"/>
    <w:basedOn w:val="1"/>
    <w:qFormat/>
    <w:uiPriority w:val="0"/>
    <w:pPr>
      <w:jc w:val="left"/>
    </w:pPr>
    <w:rPr>
      <w:rFonts w:ascii="Calibri" w:hAnsi="Calibri"/>
    </w:rPr>
  </w:style>
  <w:style w:type="paragraph" w:styleId="14">
    <w:name w:val="Body Text 3"/>
    <w:basedOn w:val="1"/>
    <w:qFormat/>
    <w:uiPriority w:val="0"/>
    <w:pPr>
      <w:spacing w:after="120"/>
    </w:pPr>
    <w:rPr>
      <w:sz w:val="16"/>
      <w:szCs w:val="16"/>
    </w:rPr>
  </w:style>
  <w:style w:type="paragraph" w:styleId="15">
    <w:name w:val="Body Text"/>
    <w:basedOn w:val="1"/>
    <w:next w:val="16"/>
    <w:qFormat/>
    <w:uiPriority w:val="0"/>
    <w:rPr>
      <w:kern w:val="0"/>
      <w:sz w:val="20"/>
      <w:szCs w:val="20"/>
    </w:rPr>
  </w:style>
  <w:style w:type="paragraph" w:styleId="16">
    <w:name w:val="Body Text First Indent"/>
    <w:basedOn w:val="15"/>
    <w:next w:val="17"/>
    <w:qFormat/>
    <w:uiPriority w:val="0"/>
    <w:pPr>
      <w:spacing w:line="312" w:lineRule="auto"/>
      <w:ind w:firstLine="420"/>
    </w:pPr>
    <w:rPr>
      <w:szCs w:val="24"/>
    </w:rPr>
  </w:style>
  <w:style w:type="paragraph" w:styleId="17">
    <w:name w:val="toc 6"/>
    <w:basedOn w:val="1"/>
    <w:next w:val="1"/>
    <w:qFormat/>
    <w:uiPriority w:val="0"/>
    <w:pPr>
      <w:ind w:left="1050"/>
      <w:jc w:val="left"/>
    </w:pPr>
    <w:rPr>
      <w:rFonts w:ascii="Century Gothic" w:hAnsi="Century Gothic"/>
      <w:sz w:val="18"/>
      <w:szCs w:val="18"/>
    </w:rPr>
  </w:style>
  <w:style w:type="paragraph" w:styleId="18">
    <w:name w:val="Body Text Indent"/>
    <w:basedOn w:val="1"/>
    <w:next w:val="19"/>
    <w:qFormat/>
    <w:uiPriority w:val="0"/>
    <w:pPr>
      <w:ind w:left="200" w:hanging="200" w:hangingChars="200"/>
    </w:pPr>
    <w:rPr>
      <w:sz w:val="24"/>
    </w:rPr>
  </w:style>
  <w:style w:type="paragraph" w:styleId="19">
    <w:name w:val="Body Text First Indent 2"/>
    <w:basedOn w:val="18"/>
    <w:qFormat/>
    <w:uiPriority w:val="0"/>
    <w:pPr>
      <w:spacing w:after="120"/>
      <w:ind w:leftChars="200"/>
    </w:pPr>
    <w:rPr>
      <w:rFonts w:cs="宋体"/>
      <w:sz w:val="21"/>
      <w:szCs w:val="21"/>
    </w:rPr>
  </w:style>
  <w:style w:type="paragraph" w:styleId="20">
    <w:name w:val="Block Text"/>
    <w:basedOn w:val="1"/>
    <w:qFormat/>
    <w:uiPriority w:val="0"/>
    <w:pPr>
      <w:adjustRightInd w:val="0"/>
      <w:spacing w:line="300" w:lineRule="auto"/>
      <w:ind w:left="958" w:right="-120" w:rightChars="-120"/>
      <w:jc w:val="left"/>
    </w:pPr>
    <w:rPr>
      <w:rFonts w:ascii="宋体"/>
      <w:sz w:val="28"/>
    </w:rPr>
  </w:style>
  <w:style w:type="paragraph" w:styleId="21">
    <w:name w:val="Plain Text"/>
    <w:basedOn w:val="1"/>
    <w:next w:val="15"/>
    <w:qFormat/>
    <w:uiPriority w:val="0"/>
    <w:rPr>
      <w:rFonts w:ascii="宋体"/>
      <w:kern w:val="0"/>
      <w:szCs w:val="21"/>
    </w:rPr>
  </w:style>
  <w:style w:type="paragraph" w:styleId="22">
    <w:name w:val="Body Text Indent 2"/>
    <w:basedOn w:val="1"/>
    <w:qFormat/>
    <w:uiPriority w:val="0"/>
    <w:pPr>
      <w:widowControl/>
      <w:spacing w:line="480" w:lineRule="atLeast"/>
      <w:ind w:firstLine="480"/>
    </w:pPr>
    <w:rPr>
      <w:kern w:val="0"/>
      <w:sz w:val="20"/>
      <w:szCs w:val="20"/>
    </w:rPr>
  </w:style>
  <w:style w:type="paragraph" w:styleId="23">
    <w:name w:val="endnote text"/>
    <w:basedOn w:val="1"/>
    <w:qFormat/>
    <w:uiPriority w:val="0"/>
    <w:rPr>
      <w:rFonts w:ascii="Calibri" w:hAnsi="Calibri" w:cs="Calibri"/>
      <w:szCs w:val="21"/>
    </w:rPr>
  </w:style>
  <w:style w:type="paragraph" w:styleId="24">
    <w:name w:val="footer"/>
    <w:basedOn w:val="1"/>
    <w:qFormat/>
    <w:uiPriority w:val="0"/>
    <w:pPr>
      <w:tabs>
        <w:tab w:val="center" w:pos="4153"/>
        <w:tab w:val="right" w:pos="8306"/>
      </w:tabs>
      <w:snapToGrid w:val="0"/>
      <w:jc w:val="left"/>
    </w:pPr>
    <w:rPr>
      <w:kern w:val="0"/>
      <w:sz w:val="18"/>
      <w:szCs w:val="18"/>
    </w:rPr>
  </w:style>
  <w:style w:type="paragraph" w:styleId="25">
    <w:name w:val="envelope return"/>
    <w:basedOn w:val="1"/>
    <w:qFormat/>
    <w:uiPriority w:val="0"/>
    <w:pPr>
      <w:snapToGrid w:val="0"/>
    </w:pPr>
    <w:rPr>
      <w:rFonts w:ascii="Arial" w:hAnsi="Arial"/>
    </w:rPr>
  </w:style>
  <w:style w:type="paragraph" w:styleId="26">
    <w:name w:val="header"/>
    <w:basedOn w:val="1"/>
    <w:qFormat/>
    <w:uiPriority w:val="0"/>
    <w:pPr>
      <w:tabs>
        <w:tab w:val="center" w:pos="4153"/>
        <w:tab w:val="right" w:pos="8306"/>
      </w:tabs>
      <w:snapToGrid w:val="0"/>
    </w:pPr>
    <w:rPr>
      <w:kern w:val="0"/>
      <w:sz w:val="18"/>
      <w:szCs w:val="18"/>
    </w:rPr>
  </w:style>
  <w:style w:type="paragraph" w:styleId="27">
    <w:name w:val="toc 1"/>
    <w:basedOn w:val="28"/>
    <w:next w:val="1"/>
    <w:qFormat/>
    <w:uiPriority w:val="0"/>
    <w:rPr>
      <w:rFonts w:ascii="Times New Roman" w:eastAsia="宋体"/>
      <w:szCs w:val="24"/>
    </w:rPr>
  </w:style>
  <w:style w:type="paragraph" w:styleId="28">
    <w:name w:val="index 1"/>
    <w:basedOn w:val="1"/>
    <w:next w:val="1"/>
    <w:qFormat/>
    <w:uiPriority w:val="0"/>
    <w:pPr>
      <w:spacing w:line="220" w:lineRule="exact"/>
      <w:jc w:val="center"/>
    </w:pPr>
    <w:rPr>
      <w:rFonts w:ascii="仿宋_GB2312" w:eastAsia="仿宋_GB2312"/>
      <w:szCs w:val="21"/>
    </w:rPr>
  </w:style>
  <w:style w:type="paragraph" w:styleId="29">
    <w:name w:val="toc 4"/>
    <w:basedOn w:val="1"/>
    <w:next w:val="1"/>
    <w:qFormat/>
    <w:uiPriority w:val="0"/>
    <w:pPr>
      <w:wordWrap w:val="0"/>
      <w:ind w:left="850"/>
    </w:pPr>
  </w:style>
  <w:style w:type="paragraph" w:styleId="30">
    <w:name w:val="table of figures"/>
    <w:basedOn w:val="1"/>
    <w:next w:val="1"/>
    <w:qFormat/>
    <w:uiPriority w:val="0"/>
    <w:pPr>
      <w:ind w:left="400" w:leftChars="200" w:hanging="200" w:hangingChars="200"/>
    </w:pPr>
  </w:style>
  <w:style w:type="paragraph" w:styleId="31">
    <w:name w:val="toc 2"/>
    <w:basedOn w:val="1"/>
    <w:next w:val="1"/>
    <w:qFormat/>
    <w:uiPriority w:val="0"/>
    <w:pPr>
      <w:ind w:left="200" w:leftChars="200"/>
    </w:pPr>
    <w:rPr>
      <w:szCs w:val="24"/>
    </w:rPr>
  </w:style>
  <w:style w:type="paragraph" w:styleId="32">
    <w:name w:val="Body Text 2"/>
    <w:basedOn w:val="1"/>
    <w:qFormat/>
    <w:uiPriority w:val="0"/>
    <w:pPr>
      <w:spacing w:after="120" w:line="480" w:lineRule="auto"/>
    </w:pPr>
    <w:rPr>
      <w:b/>
      <w:sz w:val="28"/>
      <w:szCs w:val="24"/>
    </w:rPr>
  </w:style>
  <w:style w:type="paragraph" w:styleId="33">
    <w:name w:val="Normal (Web)"/>
    <w:basedOn w:val="1"/>
    <w:qFormat/>
    <w:uiPriority w:val="0"/>
    <w:pPr>
      <w:spacing w:beforeAutospacing="1" w:afterAutospacing="1"/>
      <w:jc w:val="left"/>
    </w:pPr>
    <w:rPr>
      <w:kern w:val="0"/>
      <w:sz w:val="24"/>
    </w:rPr>
  </w:style>
  <w:style w:type="paragraph" w:styleId="34">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35">
    <w:name w:val="annotation subject"/>
    <w:basedOn w:val="13"/>
    <w:next w:val="13"/>
    <w:qFormat/>
    <w:uiPriority w:val="0"/>
    <w:rPr>
      <w:b/>
      <w:bCs/>
    </w:rPr>
  </w:style>
  <w:style w:type="character" w:styleId="38">
    <w:name w:val="Strong"/>
    <w:qFormat/>
    <w:uiPriority w:val="0"/>
    <w:rPr>
      <w:rFonts w:ascii="Times New Roman" w:hAnsi="Times New Roman" w:eastAsia="宋体" w:cs="Times New Roman"/>
      <w:b/>
      <w:bCs/>
      <w:lang w:bidi="ar-SA"/>
    </w:rPr>
  </w:style>
  <w:style w:type="character" w:styleId="39">
    <w:name w:val="FollowedHyperlink"/>
    <w:qFormat/>
    <w:uiPriority w:val="0"/>
    <w:rPr>
      <w:rFonts w:ascii="Times New Roman" w:hAnsi="Times New Roman" w:eastAsia="宋体" w:cs="Times New Roman"/>
      <w:color w:val="333333"/>
      <w:u w:val="none"/>
      <w:lang w:bidi="ar-SA"/>
    </w:rPr>
  </w:style>
  <w:style w:type="character" w:styleId="40">
    <w:name w:val="Emphasis"/>
    <w:qFormat/>
    <w:uiPriority w:val="0"/>
    <w:rPr>
      <w:rFonts w:ascii="Times New Roman" w:hAnsi="Times New Roman" w:eastAsia="宋体" w:cs="Times New Roman"/>
      <w:i/>
      <w:lang w:bidi="ar-SA"/>
    </w:rPr>
  </w:style>
  <w:style w:type="character" w:styleId="41">
    <w:name w:val="Hyperlink"/>
    <w:qFormat/>
    <w:uiPriority w:val="0"/>
    <w:rPr>
      <w:rFonts w:ascii="Times New Roman" w:hAnsi="Times New Roman" w:eastAsia="宋体" w:cs="Times New Roman"/>
      <w:color w:val="333333"/>
      <w:u w:val="none"/>
      <w:lang w:bidi="ar-SA"/>
    </w:rPr>
  </w:style>
  <w:style w:type="character" w:styleId="42">
    <w:name w:val="HTML Code"/>
    <w:basedOn w:val="37"/>
    <w:qFormat/>
    <w:uiPriority w:val="0"/>
    <w:rPr>
      <w:rFonts w:ascii="Courier New" w:hAnsi="Courier New"/>
      <w:sz w:val="20"/>
    </w:rPr>
  </w:style>
  <w:style w:type="character" w:styleId="43">
    <w:name w:val="annotation reference"/>
    <w:basedOn w:val="37"/>
    <w:qFormat/>
    <w:uiPriority w:val="0"/>
    <w:rPr>
      <w:rFonts w:ascii="Times New Roman" w:hAnsi="Times New Roman" w:eastAsia="宋体" w:cs="Times New Roman"/>
      <w:sz w:val="21"/>
      <w:szCs w:val="21"/>
      <w:lang w:bidi="ar-SA"/>
    </w:rPr>
  </w:style>
  <w:style w:type="character" w:styleId="44">
    <w:name w:val="HTML Sample"/>
    <w:qFormat/>
    <w:uiPriority w:val="0"/>
    <w:rPr>
      <w:rFonts w:ascii="Courier New" w:hAnsi="Courier New"/>
      <w:lang w:bidi="ar-SA"/>
    </w:rPr>
  </w:style>
  <w:style w:type="paragraph" w:customStyle="1" w:styleId="45">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4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48">
    <w:name w:val="font41"/>
    <w:qFormat/>
    <w:uiPriority w:val="0"/>
    <w:rPr>
      <w:rFonts w:ascii="宋体" w:eastAsia="宋体" w:cs="宋体"/>
      <w:color w:val="000000"/>
      <w:sz w:val="18"/>
      <w:szCs w:val="18"/>
      <w:u w:val="none"/>
      <w:lang w:bidi="ar-SA"/>
    </w:rPr>
  </w:style>
  <w:style w:type="character" w:customStyle="1" w:styleId="49">
    <w:name w:val="font101"/>
    <w:qFormat/>
    <w:uiPriority w:val="0"/>
    <w:rPr>
      <w:rFonts w:ascii="Calibri" w:hAnsi="Calibri" w:cs="Calibri"/>
      <w:color w:val="000000"/>
      <w:sz w:val="21"/>
      <w:szCs w:val="21"/>
      <w:u w:val="none"/>
      <w:lang w:bidi="ar-SA"/>
    </w:rPr>
  </w:style>
  <w:style w:type="character" w:customStyle="1" w:styleId="50">
    <w:name w:val="font01"/>
    <w:qFormat/>
    <w:uiPriority w:val="0"/>
    <w:rPr>
      <w:rFonts w:ascii="宋体" w:eastAsia="宋体" w:cs="宋体"/>
      <w:color w:val="000000"/>
      <w:sz w:val="20"/>
      <w:szCs w:val="20"/>
      <w:u w:val="none"/>
      <w:lang w:bidi="ar-SA"/>
    </w:rPr>
  </w:style>
  <w:style w:type="character" w:customStyle="1" w:styleId="51">
    <w:name w:val="font11"/>
    <w:basedOn w:val="37"/>
    <w:qFormat/>
    <w:uiPriority w:val="0"/>
    <w:rPr>
      <w:rFonts w:ascii="宋体" w:eastAsia="宋体" w:cs="宋体"/>
      <w:color w:val="000000"/>
      <w:sz w:val="18"/>
      <w:szCs w:val="18"/>
      <w:u w:val="none"/>
      <w:lang w:bidi="ar-SA"/>
    </w:rPr>
  </w:style>
  <w:style w:type="character" w:customStyle="1" w:styleId="52">
    <w:name w:val="font91"/>
    <w:qFormat/>
    <w:uiPriority w:val="0"/>
    <w:rPr>
      <w:rFonts w:ascii="宋体" w:eastAsia="宋体" w:cs="宋体"/>
      <w:color w:val="000000"/>
      <w:sz w:val="20"/>
      <w:szCs w:val="20"/>
      <w:u w:val="none"/>
      <w:lang w:bidi="ar-SA"/>
    </w:rPr>
  </w:style>
  <w:style w:type="character" w:customStyle="1" w:styleId="53">
    <w:name w:val="font21"/>
    <w:qFormat/>
    <w:uiPriority w:val="0"/>
    <w:rPr>
      <w:rFonts w:ascii="Arial" w:hAnsi="Arial" w:eastAsia="宋体" w:cs="Arial"/>
      <w:color w:val="000000"/>
      <w:sz w:val="20"/>
      <w:szCs w:val="20"/>
      <w:u w:val="none"/>
      <w:lang w:bidi="ar-SA"/>
    </w:rPr>
  </w:style>
  <w:style w:type="character" w:customStyle="1" w:styleId="54">
    <w:name w:val="font161"/>
    <w:qFormat/>
    <w:uiPriority w:val="0"/>
    <w:rPr>
      <w:rFonts w:ascii="宋体" w:eastAsia="宋体" w:cs="宋体"/>
      <w:color w:val="000000"/>
      <w:sz w:val="20"/>
      <w:szCs w:val="20"/>
      <w:u w:val="none"/>
      <w:lang w:bidi="ar-SA"/>
    </w:rPr>
  </w:style>
  <w:style w:type="character" w:customStyle="1" w:styleId="55">
    <w:name w:val="font51"/>
    <w:qFormat/>
    <w:uiPriority w:val="0"/>
    <w:rPr>
      <w:rFonts w:ascii="宋体" w:eastAsia="宋体" w:cs="宋体"/>
      <w:color w:val="000000"/>
      <w:sz w:val="22"/>
      <w:szCs w:val="22"/>
      <w:u w:val="none"/>
      <w:lang w:bidi="ar-SA"/>
    </w:rPr>
  </w:style>
  <w:style w:type="character" w:customStyle="1" w:styleId="56">
    <w:name w:val="font191"/>
    <w:qFormat/>
    <w:uiPriority w:val="0"/>
    <w:rPr>
      <w:rFonts w:ascii="宋体" w:eastAsia="宋体" w:cs="宋体"/>
      <w:color w:val="000000"/>
      <w:sz w:val="22"/>
      <w:szCs w:val="22"/>
      <w:u w:val="none"/>
      <w:lang w:bidi="ar-SA"/>
    </w:rPr>
  </w:style>
  <w:style w:type="character" w:customStyle="1" w:styleId="57">
    <w:name w:val="font151"/>
    <w:qFormat/>
    <w:uiPriority w:val="0"/>
    <w:rPr>
      <w:rFonts w:ascii="宋体" w:eastAsia="宋体" w:cs="宋体"/>
      <w:b/>
      <w:color w:val="000000"/>
      <w:sz w:val="20"/>
      <w:szCs w:val="20"/>
      <w:u w:val="none"/>
      <w:lang w:bidi="ar-SA"/>
    </w:rPr>
  </w:style>
  <w:style w:type="character" w:customStyle="1" w:styleId="58">
    <w:name w:val="font112"/>
    <w:qFormat/>
    <w:uiPriority w:val="0"/>
    <w:rPr>
      <w:rFonts w:ascii="宋体" w:eastAsia="宋体" w:cs="宋体"/>
      <w:color w:val="000000"/>
      <w:sz w:val="20"/>
      <w:szCs w:val="20"/>
      <w:u w:val="none"/>
      <w:lang w:bidi="ar-SA"/>
    </w:rPr>
  </w:style>
  <w:style w:type="character" w:customStyle="1" w:styleId="59">
    <w:name w:val="font31"/>
    <w:basedOn w:val="37"/>
    <w:qFormat/>
    <w:uiPriority w:val="0"/>
    <w:rPr>
      <w:rFonts w:ascii="宋体" w:eastAsia="宋体" w:cs="宋体"/>
      <w:color w:val="000000"/>
      <w:sz w:val="20"/>
      <w:szCs w:val="20"/>
      <w:u w:val="none"/>
      <w:lang w:bidi="ar-SA"/>
    </w:rPr>
  </w:style>
  <w:style w:type="character" w:customStyle="1" w:styleId="60">
    <w:name w:val="font61"/>
    <w:qFormat/>
    <w:uiPriority w:val="0"/>
    <w:rPr>
      <w:rFonts w:ascii="宋体" w:eastAsia="宋体" w:cs="宋体"/>
      <w:color w:val="000000"/>
      <w:sz w:val="18"/>
      <w:szCs w:val="18"/>
      <w:u w:val="none"/>
      <w:lang w:bidi="ar-SA"/>
    </w:rPr>
  </w:style>
  <w:style w:type="character" w:customStyle="1" w:styleId="61">
    <w:name w:val="font131"/>
    <w:qFormat/>
    <w:uiPriority w:val="0"/>
    <w:rPr>
      <w:rFonts w:ascii="宋体" w:eastAsia="宋体" w:cs="宋体"/>
      <w:color w:val="000000"/>
      <w:sz w:val="18"/>
      <w:szCs w:val="18"/>
      <w:u w:val="none"/>
      <w:lang w:bidi="ar-SA"/>
    </w:rPr>
  </w:style>
  <w:style w:type="character" w:customStyle="1" w:styleId="62">
    <w:name w:val="font221"/>
    <w:qFormat/>
    <w:uiPriority w:val="0"/>
    <w:rPr>
      <w:rFonts w:ascii="微软雅黑" w:eastAsia="微软雅黑" w:cs="微软雅黑"/>
      <w:color w:val="000000"/>
      <w:sz w:val="20"/>
      <w:szCs w:val="20"/>
      <w:u w:val="none"/>
      <w:lang w:bidi="ar-SA"/>
    </w:rPr>
  </w:style>
  <w:style w:type="character" w:customStyle="1" w:styleId="63">
    <w:name w:val="NormalCharacter"/>
    <w:qFormat/>
    <w:uiPriority w:val="0"/>
    <w:rPr>
      <w:rFonts w:ascii="等线" w:eastAsia="等线" w:cs="Times New Roman"/>
      <w:lang w:bidi="ar-SA"/>
    </w:rPr>
  </w:style>
  <w:style w:type="paragraph" w:customStyle="1" w:styleId="64">
    <w:name w:val="列出段落1"/>
    <w:basedOn w:val="1"/>
    <w:qFormat/>
    <w:uiPriority w:val="0"/>
    <w:pPr>
      <w:ind w:firstLine="200" w:firstLineChars="200"/>
    </w:pPr>
  </w:style>
  <w:style w:type="paragraph" w:customStyle="1" w:styleId="65">
    <w:name w:val="0-正文"/>
    <w:basedOn w:val="1"/>
    <w:qFormat/>
    <w:uiPriority w:val="0"/>
    <w:pPr>
      <w:spacing w:line="360" w:lineRule="auto"/>
      <w:ind w:firstLine="200" w:firstLineChars="200"/>
    </w:pPr>
    <w:rPr>
      <w:sz w:val="24"/>
    </w:rPr>
  </w:style>
  <w:style w:type="paragraph" w:customStyle="1" w:styleId="66">
    <w:name w:val="Fließtext"/>
    <w:basedOn w:val="1"/>
    <w:qFormat/>
    <w:uiPriority w:val="0"/>
    <w:pPr>
      <w:overflowPunct w:val="0"/>
      <w:autoSpaceDE w:val="0"/>
      <w:autoSpaceDN w:val="0"/>
      <w:adjustRightInd w:val="0"/>
      <w:textAlignment w:val="baseline"/>
    </w:pPr>
    <w:rPr>
      <w:kern w:val="28"/>
      <w:szCs w:val="20"/>
    </w:rPr>
  </w:style>
  <w:style w:type="paragraph" w:customStyle="1" w:styleId="67">
    <w:name w:val="pa-0"/>
    <w:basedOn w:val="1"/>
    <w:qFormat/>
    <w:uiPriority w:val="0"/>
    <w:pPr>
      <w:widowControl/>
      <w:spacing w:before="100" w:beforeAutospacing="1" w:after="100" w:afterAutospacing="1"/>
      <w:jc w:val="left"/>
    </w:pPr>
    <w:rPr>
      <w:rFonts w:ascii="宋体" w:cs="宋体"/>
      <w:kern w:val="0"/>
      <w:sz w:val="24"/>
    </w:rPr>
  </w:style>
  <w:style w:type="paragraph" w:customStyle="1" w:styleId="6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69">
    <w:name w:val="Normal (Web)1"/>
    <w:basedOn w:val="1"/>
    <w:qFormat/>
    <w:uiPriority w:val="0"/>
    <w:pPr>
      <w:widowControl/>
      <w:spacing w:beforeAutospacing="1" w:after="100" w:afterAutospacing="1"/>
      <w:jc w:val="left"/>
    </w:pPr>
    <w:rPr>
      <w:rFonts w:ascii="宋体" w:cs="宋体"/>
      <w:kern w:val="0"/>
      <w:sz w:val="24"/>
      <w:szCs w:val="24"/>
    </w:rPr>
  </w:style>
  <w:style w:type="paragraph" w:customStyle="1" w:styleId="70">
    <w:name w:val="_Style 3"/>
    <w:next w:val="1"/>
    <w:qFormat/>
    <w:uiPriority w:val="0"/>
    <w:rPr>
      <w:rFonts w:ascii="Times New Roman" w:hAnsi="Times New Roman" w:eastAsia="宋体" w:cs="Times New Roman"/>
      <w:sz w:val="22"/>
      <w:szCs w:val="22"/>
      <w:lang w:val="en-US" w:eastAsia="zh-CN" w:bidi="ar-SA"/>
    </w:rPr>
  </w:style>
  <w:style w:type="paragraph" w:customStyle="1" w:styleId="71">
    <w:name w:val="正文1"/>
    <w:next w:val="1"/>
    <w:qFormat/>
    <w:uiPriority w:val="0"/>
    <w:pPr>
      <w:widowControl w:val="0"/>
      <w:jc w:val="both"/>
    </w:pPr>
    <w:rPr>
      <w:rFonts w:ascii="Times New Roman" w:hAnsi="Times New Roman" w:eastAsia="宋体" w:cs="Calibri"/>
      <w:kern w:val="2"/>
      <w:sz w:val="21"/>
      <w:szCs w:val="21"/>
      <w:lang w:val="en-US" w:eastAsia="zh-CN" w:bidi="ar-SA"/>
    </w:rPr>
  </w:style>
  <w:style w:type="paragraph" w:styleId="72">
    <w:name w:val="List Paragraph"/>
    <w:basedOn w:val="1"/>
    <w:qFormat/>
    <w:uiPriority w:val="0"/>
    <w:pPr>
      <w:ind w:firstLine="200" w:firstLineChars="200"/>
    </w:pPr>
    <w:rPr>
      <w:szCs w:val="24"/>
    </w:rPr>
  </w:style>
  <w:style w:type="paragraph" w:customStyle="1" w:styleId="73">
    <w:name w:val="Char"/>
    <w:basedOn w:val="1"/>
    <w:qFormat/>
    <w:uiPriority w:val="0"/>
    <w:pPr>
      <w:numPr>
        <w:ilvl w:val="0"/>
        <w:numId w:val="4"/>
      </w:numPr>
    </w:pPr>
    <w:rPr>
      <w:sz w:val="24"/>
    </w:rPr>
  </w:style>
  <w:style w:type="paragraph" w:customStyle="1" w:styleId="74">
    <w:name w:val="Normal Indent1"/>
    <w:basedOn w:val="1"/>
    <w:qFormat/>
    <w:uiPriority w:val="0"/>
    <w:pPr>
      <w:ind w:firstLine="200" w:firstLineChars="200"/>
    </w:pPr>
  </w:style>
  <w:style w:type="paragraph" w:customStyle="1" w:styleId="75">
    <w:name w:val="[Normal]"/>
    <w:qFormat/>
    <w:uiPriority w:val="0"/>
    <w:rPr>
      <w:rFonts w:ascii="宋体" w:hAnsi="宋体" w:eastAsia="Calibri" w:cs="Times New Roman"/>
      <w:sz w:val="24"/>
      <w:lang w:val="en-US" w:eastAsia="zh-CN" w:bidi="ar-SA"/>
    </w:rPr>
  </w:style>
  <w:style w:type="paragraph" w:customStyle="1" w:styleId="76">
    <w:name w:val="纯文本1"/>
    <w:basedOn w:val="71"/>
    <w:qFormat/>
    <w:uiPriority w:val="0"/>
    <w:pPr>
      <w:widowControl/>
      <w:jc w:val="left"/>
    </w:pPr>
    <w:rPr>
      <w:rFonts w:ascii="宋体" w:cs="宋体"/>
    </w:rPr>
  </w:style>
  <w:style w:type="paragraph" w:customStyle="1" w:styleId="77">
    <w:name w:val="样式 首行缩进:  0 字符"/>
    <w:basedOn w:val="1"/>
    <w:qFormat/>
    <w:uiPriority w:val="0"/>
  </w:style>
  <w:style w:type="paragraph" w:customStyle="1" w:styleId="78">
    <w:name w:val="首行缩进"/>
    <w:basedOn w:val="1"/>
    <w:qFormat/>
    <w:uiPriority w:val="0"/>
    <w:pPr>
      <w:spacing w:afterLines="50" w:line="360" w:lineRule="auto"/>
      <w:ind w:firstLine="200" w:firstLineChars="200"/>
      <w:jc w:val="left"/>
    </w:pPr>
    <w:rPr>
      <w:kern w:val="0"/>
      <w:sz w:val="24"/>
      <w:szCs w:val="24"/>
    </w:rPr>
  </w:style>
  <w:style w:type="paragraph" w:customStyle="1" w:styleId="79">
    <w:name w:val="正文2"/>
    <w:basedOn w:val="1"/>
    <w:qFormat/>
    <w:uiPriority w:val="0"/>
    <w:pPr>
      <w:spacing w:before="156" w:line="360" w:lineRule="auto"/>
      <w:ind w:firstLine="200" w:firstLineChars="200"/>
    </w:pPr>
    <w:rPr>
      <w:sz w:val="24"/>
      <w:szCs w:val="20"/>
    </w:rPr>
  </w:style>
  <w:style w:type="paragraph" w:customStyle="1" w:styleId="80">
    <w:name w:val="Plain Text1"/>
    <w:basedOn w:val="1"/>
    <w:qFormat/>
    <w:uiPriority w:val="0"/>
    <w:rPr>
      <w:rFonts w:ascii="宋体"/>
      <w:szCs w:val="20"/>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a"/>
    <w:basedOn w:val="1"/>
    <w:qFormat/>
    <w:uiPriority w:val="0"/>
    <w:pPr>
      <w:widowControl/>
      <w:jc w:val="left"/>
    </w:pPr>
    <w:rPr>
      <w:rFonts w:ascii="宋体" w:cs="宋体"/>
      <w:kern w:val="0"/>
      <w:sz w:val="24"/>
    </w:rPr>
  </w:style>
  <w:style w:type="paragraph" w:customStyle="1" w:styleId="83">
    <w:name w:val="cjk"/>
    <w:basedOn w:val="1"/>
    <w:qFormat/>
    <w:uiPriority w:val="0"/>
    <w:pPr>
      <w:widowControl/>
      <w:spacing w:before="100" w:beforeAutospacing="1" w:after="142" w:line="276" w:lineRule="auto"/>
    </w:pPr>
    <w:rPr>
      <w:rFonts w:ascii="宋体" w:cs="宋体"/>
      <w:color w:val="000000"/>
      <w:kern w:val="0"/>
      <w:sz w:val="20"/>
      <w:szCs w:val="20"/>
    </w:rPr>
  </w:style>
  <w:style w:type="paragraph" w:customStyle="1" w:styleId="84">
    <w:name w:val="表格文字"/>
    <w:basedOn w:val="21"/>
    <w:next w:val="15"/>
    <w:qFormat/>
    <w:uiPriority w:val="0"/>
    <w:pPr>
      <w:adjustRightInd w:val="0"/>
      <w:spacing w:line="420" w:lineRule="atLeast"/>
      <w:jc w:val="left"/>
      <w:textAlignment w:val="baseline"/>
    </w:pPr>
    <w:rPr>
      <w:rFonts w:ascii="Times New Roman"/>
      <w:szCs w:val="24"/>
    </w:rPr>
  </w:style>
  <w:style w:type="paragraph" w:customStyle="1" w:styleId="85">
    <w:name w:val="Char1"/>
    <w:basedOn w:val="1"/>
    <w:qFormat/>
    <w:uiPriority w:val="0"/>
    <w:pPr>
      <w:widowControl/>
      <w:spacing w:after="160" w:line="240" w:lineRule="exact"/>
      <w:jc w:val="left"/>
    </w:pPr>
    <w:rPr>
      <w:rFonts w:ascii="Verdana" w:hAnsi="Verdana" w:eastAsia="仿宋_GB2312"/>
      <w:kern w:val="0"/>
      <w:sz w:val="24"/>
      <w:szCs w:val="20"/>
    </w:rPr>
  </w:style>
  <w:style w:type="paragraph" w:customStyle="1" w:styleId="86">
    <w:name w:val="无间隔1"/>
    <w:qFormat/>
    <w:uiPriority w:val="0"/>
    <w:pPr>
      <w:widowControl w:val="0"/>
      <w:jc w:val="both"/>
    </w:pPr>
    <w:rPr>
      <w:rFonts w:ascii="等线" w:hAnsi="等线" w:eastAsia="仿宋" w:cs="Times New Roman"/>
      <w:kern w:val="2"/>
      <w:sz w:val="24"/>
      <w:szCs w:val="22"/>
      <w:lang w:val="en-US" w:eastAsia="zh-CN" w:bidi="ar-SA"/>
    </w:rPr>
  </w:style>
  <w:style w:type="paragraph" w:customStyle="1" w:styleId="87">
    <w:name w:val="Table Paragraph"/>
    <w:basedOn w:val="1"/>
    <w:qFormat/>
    <w:uiPriority w:val="0"/>
    <w:rPr>
      <w:rFonts w:ascii="宋体" w:cs="宋体"/>
      <w:lang w:val="zh-CN" w:bidi="zh-CN"/>
    </w:rPr>
  </w:style>
  <w:style w:type="paragraph" w:customStyle="1" w:styleId="88">
    <w:name w:val="l正文"/>
    <w:basedOn w:val="1"/>
    <w:qFormat/>
    <w:uiPriority w:val="0"/>
    <w:pPr>
      <w:spacing w:line="300" w:lineRule="auto"/>
      <w:ind w:firstLine="200" w:firstLineChars="200"/>
      <w:jc w:val="left"/>
    </w:pPr>
    <w:rPr>
      <w:rFonts w:ascii="楷体_GB2312" w:eastAsia="楷体_GB2312" w:cs="等线"/>
      <w:sz w:val="24"/>
    </w:rPr>
  </w:style>
  <w:style w:type="paragraph" w:customStyle="1" w:styleId="89">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9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91">
    <w:name w:val="List Paragraph1"/>
    <w:basedOn w:val="1"/>
    <w:qFormat/>
    <w:uiPriority w:val="0"/>
    <w:pPr>
      <w:ind w:firstLine="200" w:firstLineChars="200"/>
    </w:pPr>
  </w:style>
  <w:style w:type="paragraph" w:customStyle="1" w:styleId="92">
    <w:name w:val="正文文本缩进1"/>
    <w:basedOn w:val="1"/>
    <w:next w:val="93"/>
    <w:qFormat/>
    <w:uiPriority w:val="0"/>
    <w:pPr>
      <w:ind w:left="200" w:hanging="200" w:hangingChars="200"/>
    </w:pPr>
    <w:rPr>
      <w:sz w:val="24"/>
    </w:rPr>
  </w:style>
  <w:style w:type="paragraph" w:customStyle="1" w:styleId="93">
    <w:name w:val="正文首行缩进 21"/>
    <w:basedOn w:val="92"/>
    <w:qFormat/>
    <w:uiPriority w:val="0"/>
    <w:pPr>
      <w:spacing w:after="120"/>
      <w:ind w:leftChars="200"/>
    </w:pPr>
    <w:rPr>
      <w:rFonts w:cs="宋体"/>
      <w:sz w:val="21"/>
      <w:szCs w:val="21"/>
    </w:rPr>
  </w:style>
  <w:style w:type="character" w:customStyle="1" w:styleId="94">
    <w:name w:val="font71"/>
    <w:qFormat/>
    <w:uiPriority w:val="0"/>
    <w:rPr>
      <w:rFonts w:ascii="宋体" w:hAnsi="宋体" w:eastAsia="宋体" w:cs="宋体"/>
      <w:b/>
      <w:bCs/>
      <w:color w:val="FF0000"/>
      <w:sz w:val="20"/>
      <w:szCs w:val="20"/>
      <w:u w:val="none"/>
      <w:lang w:bidi="ar-SA"/>
    </w:rPr>
  </w:style>
  <w:style w:type="character" w:customStyle="1" w:styleId="95">
    <w:name w:val="font81"/>
    <w:qFormat/>
    <w:uiPriority w:val="0"/>
    <w:rPr>
      <w:rFonts w:ascii="宋体" w:hAnsi="宋体" w:eastAsia="宋体" w:cs="宋体"/>
      <w:color w:val="FF0000"/>
      <w:sz w:val="20"/>
      <w:szCs w:val="20"/>
      <w:u w:val="none"/>
      <w:lang w:bidi="ar-SA"/>
    </w:rPr>
  </w:style>
  <w:style w:type="character" w:customStyle="1" w:styleId="96">
    <w:name w:val="font121"/>
    <w:basedOn w:val="37"/>
    <w:qFormat/>
    <w:uiPriority w:val="0"/>
    <w:rPr>
      <w:rFonts w:ascii="Calibri" w:hAnsi="Calibri" w:cs="Calibri"/>
      <w:color w:val="000000"/>
      <w:sz w:val="22"/>
      <w:szCs w:val="22"/>
      <w:u w:val="none"/>
    </w:rPr>
  </w:style>
  <w:style w:type="paragraph" w:customStyle="1" w:styleId="97">
    <w:name w:val="AONormal"/>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styleId="98">
    <w:name w:val="No Spacing"/>
    <w:qFormat/>
    <w:uiPriority w:val="0"/>
    <w:pPr>
      <w:widowControl w:val="0"/>
      <w:jc w:val="both"/>
    </w:pPr>
    <w:rPr>
      <w:rFonts w:ascii="Calibri" w:hAnsi="Calibri" w:eastAsia="宋体" w:cs="Times New Roman"/>
      <w:kern w:val="2"/>
      <w:sz w:val="24"/>
      <w:szCs w:val="24"/>
      <w:lang w:val="en-US" w:eastAsia="zh-CN" w:bidi="ar-SA"/>
    </w:rPr>
  </w:style>
  <w:style w:type="paragraph" w:customStyle="1" w:styleId="99">
    <w:name w:val="表格正文"/>
    <w:basedOn w:val="1"/>
    <w:qFormat/>
    <w:uiPriority w:val="0"/>
    <w:pPr>
      <w:widowControl/>
      <w:ind w:firstLine="640"/>
      <w:jc w:val="center"/>
    </w:pPr>
    <w:rPr>
      <w:rFonts w:ascii="宋体" w:hAnsi="宋体" w:cs="宋体"/>
      <w:kern w:val="0"/>
      <w:sz w:val="20"/>
      <w:szCs w:val="20"/>
    </w:rPr>
  </w:style>
  <w:style w:type="character" w:customStyle="1" w:styleId="100">
    <w:name w:val="15"/>
    <w:basedOn w:val="37"/>
    <w:qFormat/>
    <w:uiPriority w:val="0"/>
    <w:rPr>
      <w:rFonts w:ascii="宋体" w:hAnsi="宋体" w:eastAsia="宋体"/>
      <w:color w:val="000000"/>
      <w:sz w:val="24"/>
      <w:szCs w:val="24"/>
    </w:rPr>
  </w:style>
  <w:style w:type="paragraph" w:customStyle="1" w:styleId="101">
    <w:name w:val="章正文"/>
    <w:basedOn w:val="1"/>
    <w:qFormat/>
    <w:locked/>
    <w:uiPriority w:val="0"/>
    <w:pPr>
      <w:spacing w:before="156" w:beforeLines="50" w:after="120" w:line="300" w:lineRule="auto"/>
      <w:ind w:firstLine="480"/>
    </w:pPr>
    <w:rPr>
      <w:rFonts w:ascii="Helvetica" w:hAnsi="Helvetica"/>
      <w:kern w:val="0"/>
      <w:szCs w:val="24"/>
    </w:rPr>
  </w:style>
  <w:style w:type="paragraph" w:customStyle="1" w:styleId="102">
    <w:name w:val="0正文"/>
    <w:basedOn w:val="1"/>
    <w:qFormat/>
    <w:uiPriority w:val="0"/>
    <w:pPr>
      <w:spacing w:line="560" w:lineRule="exact"/>
      <w:ind w:firstLine="200" w:firstLineChars="200"/>
    </w:pPr>
    <w:rPr>
      <w:rFonts w:ascii="Tahoma" w:hAnsi="Tahoma"/>
    </w:rPr>
  </w:style>
  <w:style w:type="paragraph" w:customStyle="1" w:styleId="103">
    <w:name w:val="正文_2_0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4">
    <w:name w:val="_Style 78"/>
    <w:basedOn w:val="15"/>
    <w:next w:val="16"/>
    <w:qFormat/>
    <w:uiPriority w:val="0"/>
    <w:pPr>
      <w:ind w:firstLine="420"/>
    </w:pPr>
    <w:rPr>
      <w:rFonts w:eastAsia="楷体_GB2312"/>
      <w:sz w:val="32"/>
      <w:szCs w:val="20"/>
    </w:rPr>
  </w:style>
  <w:style w:type="paragraph" w:customStyle="1" w:styleId="105">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emf"/><Relationship Id="rId12" Type="http://schemas.openxmlformats.org/officeDocument/2006/relationships/oleObject" Target="embeddings/oleObject1.bin"/><Relationship Id="rId11" Type="http://schemas.openxmlformats.org/officeDocument/2006/relationships/image" Target="media/image1.emf"/><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4097"/>
  </customShpExts>
</s:customData>
</file>

<file path=customXml/item2.xml><?xml version="1.0" encoding="utf-8"?>
<customData xmlns="http://www.yozosoft.com.cn/officeDocument/2016/customData">
  <customProps>
    <docPr revisions="3 0 5 0 0 0 1 0 0 0 3000 0 1 1 1 1"/>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B8B92F-93EE-46D7-9C2D-100C7B7FB6F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68</Pages>
  <Words>5432</Words>
  <Characters>6139</Characters>
  <Lines>374</Lines>
  <Paragraphs>105</Paragraphs>
  <TotalTime>0</TotalTime>
  <ScaleCrop>false</ScaleCrop>
  <LinksUpToDate>false</LinksUpToDate>
  <CharactersWithSpaces>6395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2023-10-31T02:49:00Z</dcterms:created>
  <dc:creator>Mi</dc:creator>
  <cp:lastModifiedBy>Frizzle</cp:lastModifiedBy>
  <cp:lastPrinted>2024-07-08T01:57:00Z</cp:lastPrinted>
  <dcterms:modified xsi:type="dcterms:W3CDTF">2025-11-05T00:49:12Z</dcterms:modified>
  <dc:title>泰顺县政府采购</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AC6F11F58E16468DBF97606DF5727E24_13</vt:lpwstr>
  </property>
  <property fmtid="{D5CDD505-2E9C-101B-9397-08002B2CF9AE}" pid="4" name="KSOTemplateDocerSaveRecord">
    <vt:lpwstr>eyJoZGlkIjoiYjE5MTY0ZGNiODE0MjU3YzJkYTVhMTU3YWJmNjZkYzciLCJ1c2VySWQiOiIyNzQ0NzUwMTMifQ==</vt:lpwstr>
  </property>
</Properties>
</file>