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9C76A">
      <w:pPr>
        <w:tabs>
          <w:tab w:val="left" w:pos="1069"/>
          <w:tab w:val="left" w:pos="2352"/>
        </w:tabs>
        <w:jc w:val="center"/>
        <w:rPr>
          <w:rFonts w:hint="eastAsia" w:ascii="宋体" w:hAnsi="宋体" w:cs="宋体"/>
          <w:b/>
          <w:bCs/>
          <w:color w:val="auto"/>
          <w:spacing w:val="100"/>
          <w:sz w:val="72"/>
          <w:szCs w:val="72"/>
          <w:highlight w:val="none"/>
        </w:rPr>
      </w:pPr>
      <w:bookmarkStart w:id="92" w:name="_GoBack"/>
      <w:bookmarkEnd w:id="92"/>
    </w:p>
    <w:p w14:paraId="1805275C">
      <w:pPr>
        <w:tabs>
          <w:tab w:val="left" w:pos="1069"/>
          <w:tab w:val="left" w:pos="2352"/>
        </w:tabs>
        <w:jc w:val="center"/>
        <w:rPr>
          <w:rFonts w:ascii="宋体" w:hAnsi="宋体" w:cs="宋体"/>
          <w:b/>
          <w:bCs/>
          <w:color w:val="auto"/>
          <w:spacing w:val="100"/>
          <w:sz w:val="72"/>
          <w:szCs w:val="72"/>
          <w:highlight w:val="none"/>
        </w:rPr>
      </w:pPr>
      <w:r>
        <w:rPr>
          <w:rFonts w:hint="eastAsia" w:ascii="宋体" w:hAnsi="宋体" w:cs="宋体"/>
          <w:b/>
          <w:bCs/>
          <w:color w:val="auto"/>
          <w:spacing w:val="100"/>
          <w:sz w:val="72"/>
          <w:szCs w:val="72"/>
          <w:highlight w:val="none"/>
        </w:rPr>
        <w:t>泰顺县政府采购</w:t>
      </w:r>
    </w:p>
    <w:p w14:paraId="622B6AED">
      <w:pPr>
        <w:tabs>
          <w:tab w:val="left" w:pos="1069"/>
          <w:tab w:val="left" w:pos="2352"/>
        </w:tabs>
        <w:jc w:val="center"/>
        <w:rPr>
          <w:rFonts w:ascii="宋体" w:hAnsi="宋体" w:cs="宋体"/>
          <w:b/>
          <w:bCs/>
          <w:color w:val="auto"/>
          <w:kern w:val="0"/>
          <w:szCs w:val="24"/>
          <w:highlight w:val="none"/>
        </w:rPr>
      </w:pPr>
    </w:p>
    <w:p w14:paraId="54BD0215">
      <w:pPr>
        <w:pStyle w:val="31"/>
        <w:tabs>
          <w:tab w:val="left" w:pos="1069"/>
          <w:tab w:val="left" w:pos="2352"/>
        </w:tabs>
        <w:rPr>
          <w:rFonts w:ascii="宋体" w:hAnsi="宋体" w:cs="宋体"/>
          <w:color w:val="auto"/>
          <w:highlight w:val="none"/>
        </w:rPr>
      </w:pPr>
    </w:p>
    <w:p w14:paraId="6BE9374E">
      <w:pPr>
        <w:tabs>
          <w:tab w:val="left" w:pos="1069"/>
          <w:tab w:val="left" w:pos="2352"/>
        </w:tabs>
        <w:jc w:val="center"/>
        <w:rPr>
          <w:rFonts w:ascii="宋体" w:hAnsi="宋体" w:cs="宋体"/>
          <w:b/>
          <w:bCs/>
          <w:color w:val="auto"/>
          <w:kern w:val="0"/>
          <w:szCs w:val="24"/>
          <w:highlight w:val="none"/>
        </w:rPr>
      </w:pPr>
    </w:p>
    <w:p w14:paraId="0267A5E1">
      <w:pPr>
        <w:tabs>
          <w:tab w:val="left" w:pos="1069"/>
          <w:tab w:val="left" w:pos="2352"/>
        </w:tabs>
        <w:jc w:val="center"/>
        <w:rPr>
          <w:rFonts w:ascii="宋体" w:hAnsi="宋体" w:cs="宋体"/>
          <w:b/>
          <w:bCs/>
          <w:color w:val="auto"/>
          <w:kern w:val="0"/>
          <w:szCs w:val="24"/>
          <w:highlight w:val="none"/>
        </w:rPr>
      </w:pPr>
    </w:p>
    <w:p w14:paraId="114D4717">
      <w:pPr>
        <w:pStyle w:val="9"/>
        <w:tabs>
          <w:tab w:val="left" w:pos="1069"/>
          <w:tab w:val="left" w:pos="2352"/>
        </w:tabs>
        <w:rPr>
          <w:rFonts w:ascii="宋体" w:hAnsi="宋体" w:cs="宋体"/>
          <w:b/>
          <w:color w:val="auto"/>
          <w:szCs w:val="24"/>
          <w:highlight w:val="none"/>
        </w:rPr>
      </w:pPr>
    </w:p>
    <w:p w14:paraId="02D23F72">
      <w:pPr>
        <w:pStyle w:val="9"/>
        <w:tabs>
          <w:tab w:val="left" w:pos="1069"/>
          <w:tab w:val="left" w:pos="2352"/>
        </w:tabs>
        <w:rPr>
          <w:rFonts w:ascii="宋体" w:hAnsi="宋体" w:cs="宋体"/>
          <w:b/>
          <w:color w:val="auto"/>
          <w:szCs w:val="24"/>
          <w:highlight w:val="none"/>
        </w:rPr>
      </w:pPr>
    </w:p>
    <w:p w14:paraId="16046492">
      <w:pPr>
        <w:pStyle w:val="9"/>
        <w:tabs>
          <w:tab w:val="left" w:pos="1069"/>
          <w:tab w:val="left" w:pos="2352"/>
        </w:tabs>
        <w:rPr>
          <w:rFonts w:ascii="宋体" w:hAnsi="宋体" w:cs="宋体"/>
          <w:b/>
          <w:color w:val="auto"/>
          <w:szCs w:val="24"/>
          <w:highlight w:val="none"/>
        </w:rPr>
      </w:pPr>
    </w:p>
    <w:p w14:paraId="40052BA9">
      <w:pPr>
        <w:pStyle w:val="9"/>
        <w:tabs>
          <w:tab w:val="left" w:pos="1069"/>
          <w:tab w:val="left" w:pos="2352"/>
        </w:tabs>
        <w:rPr>
          <w:rFonts w:ascii="宋体" w:hAnsi="宋体" w:cs="宋体"/>
          <w:b/>
          <w:color w:val="auto"/>
          <w:szCs w:val="24"/>
          <w:highlight w:val="none"/>
        </w:rPr>
      </w:pPr>
    </w:p>
    <w:p w14:paraId="5DB59168">
      <w:pPr>
        <w:tabs>
          <w:tab w:val="left" w:pos="1069"/>
          <w:tab w:val="left" w:pos="2352"/>
        </w:tabs>
        <w:spacing w:line="900" w:lineRule="exact"/>
        <w:jc w:val="center"/>
        <w:rPr>
          <w:rFonts w:ascii="宋体" w:hAnsi="宋体" w:cs="宋体"/>
          <w:b/>
          <w:bCs/>
          <w:color w:val="auto"/>
          <w:spacing w:val="140"/>
          <w:sz w:val="72"/>
          <w:szCs w:val="72"/>
          <w:highlight w:val="none"/>
        </w:rPr>
      </w:pPr>
      <w:r>
        <w:rPr>
          <w:rFonts w:hint="eastAsia" w:ascii="宋体" w:hAnsi="宋体" w:cs="宋体"/>
          <w:b/>
          <w:bCs/>
          <w:color w:val="auto"/>
          <w:spacing w:val="140"/>
          <w:sz w:val="72"/>
          <w:szCs w:val="72"/>
          <w:highlight w:val="none"/>
        </w:rPr>
        <w:t>竞争性磋商文件</w:t>
      </w:r>
    </w:p>
    <w:p w14:paraId="583A3140">
      <w:pPr>
        <w:tabs>
          <w:tab w:val="left" w:pos="1069"/>
          <w:tab w:val="left" w:pos="2352"/>
        </w:tabs>
        <w:jc w:val="center"/>
        <w:rPr>
          <w:rFonts w:ascii="宋体" w:hAnsi="宋体" w:cs="宋体"/>
          <w:b/>
          <w:color w:val="auto"/>
          <w:sz w:val="36"/>
          <w:szCs w:val="36"/>
          <w:highlight w:val="none"/>
        </w:rPr>
      </w:pPr>
    </w:p>
    <w:p w14:paraId="75065702">
      <w:pPr>
        <w:tabs>
          <w:tab w:val="left" w:pos="1069"/>
          <w:tab w:val="left" w:pos="2352"/>
        </w:tabs>
        <w:jc w:val="center"/>
        <w:rPr>
          <w:rFonts w:ascii="宋体" w:hAnsi="宋体" w:cs="宋体"/>
          <w:b/>
          <w:color w:val="auto"/>
          <w:sz w:val="36"/>
          <w:szCs w:val="36"/>
          <w:highlight w:val="none"/>
        </w:rPr>
      </w:pPr>
      <w:r>
        <w:rPr>
          <w:rFonts w:hint="eastAsia" w:ascii="宋体" w:hAnsi="宋体" w:cs="宋体"/>
          <w:b/>
          <w:color w:val="auto"/>
          <w:sz w:val="36"/>
          <w:szCs w:val="36"/>
          <w:highlight w:val="none"/>
        </w:rPr>
        <w:t>（线上电子招投标）</w:t>
      </w:r>
    </w:p>
    <w:p w14:paraId="088C42D4">
      <w:pPr>
        <w:pStyle w:val="18"/>
        <w:tabs>
          <w:tab w:val="left" w:pos="2352"/>
        </w:tabs>
        <w:ind w:left="856" w:hanging="428"/>
        <w:rPr>
          <w:color w:val="auto"/>
          <w:highlight w:val="none"/>
        </w:rPr>
      </w:pPr>
    </w:p>
    <w:tbl>
      <w:tblPr>
        <w:tblStyle w:val="26"/>
        <w:tblpPr w:leftFromText="180" w:rightFromText="180" w:vertAnchor="text" w:tblpXSpec="right" w:tblpY="1"/>
        <w:tblOverlap w:val="never"/>
        <w:tblW w:w="0" w:type="auto"/>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590"/>
        <w:gridCol w:w="6574"/>
      </w:tblGrid>
      <w:tr w14:paraId="5060832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69776D66">
            <w:pPr>
              <w:tabs>
                <w:tab w:val="left" w:pos="1069"/>
                <w:tab w:val="left" w:pos="213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采购编号</w:t>
            </w:r>
          </w:p>
        </w:tc>
        <w:tc>
          <w:tcPr>
            <w:tcW w:w="6574" w:type="dxa"/>
            <w:vAlign w:val="center"/>
          </w:tcPr>
          <w:p w14:paraId="67A9BF91">
            <w:pPr>
              <w:tabs>
                <w:tab w:val="left" w:pos="1069"/>
                <w:tab w:val="left" w:pos="2139"/>
                <w:tab w:val="left" w:pos="2352"/>
              </w:tabs>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eastAsia="zh-CN"/>
              </w:rPr>
              <w:t xml:space="preserve">330329253440010000110-TSCG202512013 </w:t>
            </w:r>
          </w:p>
        </w:tc>
      </w:tr>
      <w:tr w14:paraId="2AC02AF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590E867C">
            <w:pPr>
              <w:tabs>
                <w:tab w:val="left" w:pos="1069"/>
                <w:tab w:val="left" w:pos="213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项目名称</w:t>
            </w:r>
          </w:p>
        </w:tc>
        <w:tc>
          <w:tcPr>
            <w:tcW w:w="6574" w:type="dxa"/>
            <w:vAlign w:val="center"/>
          </w:tcPr>
          <w:p w14:paraId="663BBBBD">
            <w:pPr>
              <w:tabs>
                <w:tab w:val="left" w:pos="1069"/>
                <w:tab w:val="left" w:pos="2139"/>
                <w:tab w:val="left" w:pos="2352"/>
              </w:tabs>
              <w:rPr>
                <w:rFonts w:hint="eastAsia" w:ascii="宋体" w:hAnsi="宋体" w:eastAsia="宋体" w:cs="宋体"/>
                <w:b/>
                <w:color w:val="auto"/>
                <w:sz w:val="30"/>
                <w:szCs w:val="30"/>
                <w:highlight w:val="none"/>
                <w:lang w:eastAsia="zh-CN"/>
              </w:rPr>
            </w:pPr>
            <w:r>
              <w:rPr>
                <w:rFonts w:hint="eastAsia" w:ascii="宋体" w:hAnsi="宋体" w:cs="宋体"/>
                <w:b/>
                <w:bCs/>
                <w:color w:val="auto"/>
                <w:sz w:val="30"/>
                <w:szCs w:val="30"/>
                <w:highlight w:val="none"/>
                <w:lang w:eastAsia="zh-CN"/>
              </w:rPr>
              <w:t>2025年泰顺县森林资源动态监测与评价</w:t>
            </w:r>
          </w:p>
        </w:tc>
      </w:tr>
      <w:tr w14:paraId="4340F4D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026A358B">
            <w:pPr>
              <w:tabs>
                <w:tab w:val="left" w:pos="1069"/>
                <w:tab w:val="left" w:pos="213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采购方式</w:t>
            </w:r>
          </w:p>
        </w:tc>
        <w:tc>
          <w:tcPr>
            <w:tcW w:w="6574" w:type="dxa"/>
            <w:vAlign w:val="center"/>
          </w:tcPr>
          <w:p w14:paraId="4BC472B3">
            <w:pPr>
              <w:tabs>
                <w:tab w:val="left" w:pos="1069"/>
                <w:tab w:val="left" w:pos="213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竞争性磋商</w:t>
            </w:r>
          </w:p>
        </w:tc>
      </w:tr>
      <w:tr w14:paraId="5F570B8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59978CB1">
            <w:pPr>
              <w:tabs>
                <w:tab w:val="left" w:pos="1069"/>
                <w:tab w:val="left" w:pos="213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采购单位</w:t>
            </w:r>
          </w:p>
        </w:tc>
        <w:tc>
          <w:tcPr>
            <w:tcW w:w="6574" w:type="dxa"/>
            <w:vAlign w:val="center"/>
          </w:tcPr>
          <w:p w14:paraId="0BEA266D">
            <w:pPr>
              <w:tabs>
                <w:tab w:val="left" w:pos="1069"/>
                <w:tab w:val="left" w:pos="2139"/>
                <w:tab w:val="left" w:pos="2352"/>
              </w:tabs>
              <w:snapToGrid w:val="0"/>
              <w:spacing w:line="500" w:lineRule="atLeast"/>
              <w:rPr>
                <w:rFonts w:ascii="宋体" w:hAnsi="宋体" w:cs="宋体"/>
                <w:b/>
                <w:color w:val="auto"/>
                <w:sz w:val="30"/>
                <w:szCs w:val="30"/>
                <w:highlight w:val="none"/>
              </w:rPr>
            </w:pPr>
            <w:r>
              <w:rPr>
                <w:rFonts w:hint="eastAsia" w:ascii="宋体" w:hAnsi="宋体" w:cs="宋体"/>
                <w:b/>
                <w:color w:val="auto"/>
                <w:sz w:val="30"/>
                <w:szCs w:val="30"/>
                <w:highlight w:val="none"/>
              </w:rPr>
              <w:t>泰顺县自然资源和规划局</w:t>
            </w:r>
          </w:p>
        </w:tc>
      </w:tr>
      <w:tr w14:paraId="6320325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7EF71157">
            <w:pPr>
              <w:tabs>
                <w:tab w:val="left" w:pos="1069"/>
                <w:tab w:val="left" w:pos="213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招标代理机构</w:t>
            </w:r>
          </w:p>
        </w:tc>
        <w:tc>
          <w:tcPr>
            <w:tcW w:w="6574" w:type="dxa"/>
            <w:vAlign w:val="center"/>
          </w:tcPr>
          <w:p w14:paraId="2CBBF719">
            <w:pPr>
              <w:tabs>
                <w:tab w:val="left" w:pos="1069"/>
                <w:tab w:val="left" w:pos="213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杭州华旗招标代理有限公司</w:t>
            </w:r>
          </w:p>
        </w:tc>
      </w:tr>
      <w:tr w14:paraId="645CCEA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3DB5B9A0">
            <w:pPr>
              <w:tabs>
                <w:tab w:val="left" w:pos="1069"/>
                <w:tab w:val="left" w:pos="2139"/>
                <w:tab w:val="left" w:pos="2352"/>
              </w:tabs>
              <w:rPr>
                <w:rFonts w:ascii="宋体" w:hAnsi="宋体" w:cs="宋体"/>
                <w:b/>
                <w:bCs/>
                <w:color w:val="auto"/>
                <w:sz w:val="28"/>
                <w:szCs w:val="28"/>
                <w:highlight w:val="none"/>
              </w:rPr>
            </w:pPr>
            <w:r>
              <w:rPr>
                <w:rFonts w:hint="eastAsia" w:ascii="宋体" w:hAnsi="宋体" w:cs="宋体"/>
                <w:b/>
                <w:color w:val="auto"/>
                <w:sz w:val="30"/>
                <w:szCs w:val="30"/>
                <w:highlight w:val="none"/>
              </w:rPr>
              <w:t>监督及备案机构</w:t>
            </w:r>
          </w:p>
        </w:tc>
        <w:tc>
          <w:tcPr>
            <w:tcW w:w="6574" w:type="dxa"/>
            <w:vAlign w:val="center"/>
          </w:tcPr>
          <w:p w14:paraId="0DF4278B">
            <w:pPr>
              <w:tabs>
                <w:tab w:val="left" w:pos="1069"/>
                <w:tab w:val="left" w:pos="2139"/>
                <w:tab w:val="left" w:pos="2352"/>
              </w:tabs>
              <w:rPr>
                <w:rFonts w:ascii="宋体" w:hAnsi="宋体" w:cs="宋体"/>
                <w:b/>
                <w:bCs/>
                <w:color w:val="auto"/>
                <w:sz w:val="28"/>
                <w:szCs w:val="28"/>
                <w:highlight w:val="none"/>
              </w:rPr>
            </w:pPr>
            <w:bookmarkStart w:id="0" w:name="B20_同级政府采购监督管理部门"/>
            <w:r>
              <w:rPr>
                <w:rFonts w:hint="eastAsia" w:ascii="宋体" w:hAnsi="宋体" w:cs="宋体"/>
                <w:b/>
                <w:color w:val="auto"/>
                <w:sz w:val="30"/>
                <w:szCs w:val="30"/>
                <w:highlight w:val="none"/>
              </w:rPr>
              <w:t>泰顺县</w:t>
            </w:r>
            <w:bookmarkEnd w:id="0"/>
            <w:r>
              <w:rPr>
                <w:rFonts w:hint="eastAsia" w:ascii="宋体" w:hAnsi="宋体" w:cs="宋体"/>
                <w:b/>
                <w:color w:val="auto"/>
                <w:sz w:val="30"/>
                <w:szCs w:val="30"/>
                <w:highlight w:val="none"/>
              </w:rPr>
              <w:t>财政局</w:t>
            </w:r>
          </w:p>
        </w:tc>
      </w:tr>
    </w:tbl>
    <w:p w14:paraId="7E5F8BA6">
      <w:pPr>
        <w:tabs>
          <w:tab w:val="left" w:pos="1069"/>
          <w:tab w:val="left" w:pos="2352"/>
        </w:tabs>
        <w:autoSpaceDE w:val="0"/>
        <w:autoSpaceDN w:val="0"/>
        <w:adjustRightInd w:val="0"/>
        <w:spacing w:line="440" w:lineRule="atLeast"/>
        <w:jc w:val="center"/>
        <w:rPr>
          <w:rFonts w:ascii="宋体" w:hAnsi="宋体" w:cs="宋体"/>
          <w:b/>
          <w:color w:val="auto"/>
          <w:sz w:val="30"/>
          <w:szCs w:val="30"/>
          <w:highlight w:val="none"/>
        </w:rPr>
      </w:pPr>
    </w:p>
    <w:p w14:paraId="52C80183">
      <w:pPr>
        <w:tabs>
          <w:tab w:val="left" w:pos="1069"/>
          <w:tab w:val="left" w:pos="2352"/>
          <w:tab w:val="left" w:pos="3850"/>
        </w:tabs>
        <w:autoSpaceDE w:val="0"/>
        <w:autoSpaceDN w:val="0"/>
        <w:adjustRightInd w:val="0"/>
        <w:spacing w:line="440" w:lineRule="atLeast"/>
        <w:jc w:val="center"/>
        <w:rPr>
          <w:rFonts w:ascii="宋体" w:hAnsi="宋体" w:cs="宋体"/>
          <w:color w:val="auto"/>
          <w:highlight w:val="none"/>
        </w:rPr>
        <w:sectPr>
          <w:headerReference r:id="rId5" w:type="first"/>
          <w:headerReference r:id="rId3" w:type="default"/>
          <w:headerReference r:id="rId4" w:type="even"/>
          <w:footerReference r:id="rId6" w:type="even"/>
          <w:pgSz w:w="11906" w:h="16838"/>
          <w:pgMar w:top="1440" w:right="1247" w:bottom="1440" w:left="1247" w:header="851" w:footer="992" w:gutter="0"/>
          <w:pgNumType w:fmt="numberInDash"/>
          <w:cols w:space="720" w:num="1"/>
          <w:titlePg/>
          <w:docGrid w:type="linesAndChars" w:linePitch="317" w:charSpace="800"/>
        </w:sectPr>
      </w:pPr>
      <w:r>
        <w:rPr>
          <w:rFonts w:hint="eastAsia" w:ascii="宋体" w:hAnsi="宋体" w:cs="宋体"/>
          <w:b/>
          <w:color w:val="auto"/>
          <w:sz w:val="30"/>
          <w:szCs w:val="30"/>
          <w:highlight w:val="none"/>
        </w:rPr>
        <w:t>二○二</w:t>
      </w:r>
      <w:r>
        <w:rPr>
          <w:rFonts w:hint="eastAsia" w:ascii="宋体" w:hAnsi="宋体" w:cs="宋体"/>
          <w:b/>
          <w:color w:val="auto"/>
          <w:sz w:val="30"/>
          <w:szCs w:val="30"/>
          <w:highlight w:val="none"/>
          <w:lang w:val="en-US" w:eastAsia="zh-CN"/>
        </w:rPr>
        <w:t>五</w:t>
      </w:r>
      <w:r>
        <w:rPr>
          <w:rFonts w:hint="eastAsia" w:ascii="宋体" w:hAnsi="宋体" w:cs="宋体"/>
          <w:b/>
          <w:color w:val="auto"/>
          <w:sz w:val="30"/>
          <w:szCs w:val="30"/>
          <w:highlight w:val="none"/>
        </w:rPr>
        <w:t>年</w:t>
      </w:r>
      <w:r>
        <w:rPr>
          <w:rFonts w:hint="eastAsia" w:ascii="宋体" w:hAnsi="宋体" w:cs="宋体"/>
          <w:b/>
          <w:color w:val="auto"/>
          <w:sz w:val="30"/>
          <w:szCs w:val="30"/>
          <w:highlight w:val="none"/>
          <w:lang w:val="en-US" w:eastAsia="zh-CN"/>
        </w:rPr>
        <w:t>十一</w:t>
      </w:r>
      <w:r>
        <w:rPr>
          <w:rFonts w:hint="eastAsia" w:ascii="宋体" w:hAnsi="宋体" w:cs="宋体"/>
          <w:b/>
          <w:color w:val="auto"/>
          <w:sz w:val="30"/>
          <w:szCs w:val="30"/>
          <w:highlight w:val="none"/>
        </w:rPr>
        <w:t>月</w:t>
      </w:r>
    </w:p>
    <w:p w14:paraId="24385394">
      <w:pPr>
        <w:tabs>
          <w:tab w:val="left" w:pos="1069"/>
          <w:tab w:val="left" w:pos="1080"/>
          <w:tab w:val="left" w:pos="2352"/>
        </w:tabs>
        <w:autoSpaceDE w:val="0"/>
        <w:autoSpaceDN w:val="0"/>
        <w:adjustRightInd w:val="0"/>
        <w:spacing w:line="500" w:lineRule="atLeast"/>
        <w:textAlignment w:val="baseline"/>
        <w:rPr>
          <w:rFonts w:ascii="宋体" w:hAnsi="宋体" w:cs="宋体"/>
          <w:b/>
          <w:bCs/>
          <w:color w:val="auto"/>
          <w:sz w:val="32"/>
          <w:szCs w:val="32"/>
          <w:highlight w:val="none"/>
          <w:lang w:val="zh-CN"/>
        </w:rPr>
      </w:pPr>
      <w:bookmarkStart w:id="1" w:name="_Toc6035_WPSOffice_Level1"/>
    </w:p>
    <w:p w14:paraId="0A9DA15A">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rPr>
      </w:pPr>
    </w:p>
    <w:p w14:paraId="6D71F2E3">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rPr>
      </w:pPr>
      <w:r>
        <w:rPr>
          <w:rFonts w:hint="eastAsia" w:ascii="宋体" w:hAnsi="宋体" w:cs="宋体"/>
          <w:b/>
          <w:bCs/>
          <w:color w:val="auto"/>
          <w:sz w:val="32"/>
          <w:szCs w:val="32"/>
          <w:highlight w:val="none"/>
        </w:rPr>
        <w:t>竞争性磋商文件目录</w:t>
      </w:r>
    </w:p>
    <w:p w14:paraId="31B7BC67">
      <w:pPr>
        <w:tabs>
          <w:tab w:val="left" w:pos="1069"/>
          <w:tab w:val="left" w:pos="1080"/>
          <w:tab w:val="left" w:pos="2352"/>
        </w:tabs>
        <w:autoSpaceDE w:val="0"/>
        <w:autoSpaceDN w:val="0"/>
        <w:adjustRightInd w:val="0"/>
        <w:spacing w:line="500" w:lineRule="atLeast"/>
        <w:textAlignment w:val="baseline"/>
        <w:rPr>
          <w:rFonts w:ascii="宋体" w:hAnsi="宋体" w:cs="宋体"/>
          <w:color w:val="auto"/>
          <w:sz w:val="28"/>
          <w:szCs w:val="28"/>
          <w:highlight w:val="none"/>
        </w:rPr>
      </w:pPr>
    </w:p>
    <w:p w14:paraId="05D90E7A">
      <w:pPr>
        <w:tabs>
          <w:tab w:val="left" w:pos="1069"/>
          <w:tab w:val="left" w:pos="1080"/>
          <w:tab w:val="left" w:pos="2352"/>
        </w:tabs>
        <w:autoSpaceDE w:val="0"/>
        <w:autoSpaceDN w:val="0"/>
        <w:adjustRightInd w:val="0"/>
        <w:spacing w:line="500" w:lineRule="atLeast"/>
        <w:textAlignment w:val="baseline"/>
        <w:rPr>
          <w:rFonts w:ascii="宋体" w:hAnsi="宋体" w:cs="宋体"/>
          <w:color w:val="auto"/>
          <w:sz w:val="28"/>
          <w:szCs w:val="28"/>
          <w:highlight w:val="none"/>
        </w:rPr>
      </w:pPr>
      <w:r>
        <w:rPr>
          <w:rFonts w:hint="eastAsia" w:ascii="宋体" w:hAnsi="宋体" w:cs="宋体"/>
          <w:color w:val="auto"/>
          <w:sz w:val="28"/>
          <w:szCs w:val="28"/>
          <w:highlight w:val="none"/>
        </w:rPr>
        <w:t>采购公告..................................................2</w:t>
      </w:r>
    </w:p>
    <w:p w14:paraId="7D09148E">
      <w:pPr>
        <w:numPr>
          <w:ilvl w:val="0"/>
          <w:numId w:val="1"/>
        </w:numPr>
        <w:tabs>
          <w:tab w:val="left" w:pos="1069"/>
          <w:tab w:val="left" w:pos="1080"/>
          <w:tab w:val="left" w:pos="2352"/>
        </w:tabs>
        <w:autoSpaceDE w:val="0"/>
        <w:autoSpaceDN w:val="0"/>
        <w:adjustRightInd w:val="0"/>
        <w:spacing w:line="800" w:lineRule="exact"/>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投标邀请函（投标须知前附表）....................</w:t>
      </w:r>
      <w:r>
        <w:rPr>
          <w:rFonts w:hint="eastAsia" w:ascii="宋体" w:hAnsi="宋体" w:cs="宋体"/>
          <w:color w:val="auto"/>
          <w:sz w:val="28"/>
          <w:szCs w:val="28"/>
          <w:highlight w:val="none"/>
          <w:lang w:val="en-US" w:eastAsia="zh-CN"/>
        </w:rPr>
        <w:t>6</w:t>
      </w:r>
    </w:p>
    <w:p w14:paraId="4B1ECE63">
      <w:pPr>
        <w:tabs>
          <w:tab w:val="left" w:pos="1069"/>
          <w:tab w:val="left" w:pos="1080"/>
          <w:tab w:val="left" w:pos="2352"/>
        </w:tabs>
        <w:autoSpaceDE w:val="0"/>
        <w:autoSpaceDN w:val="0"/>
        <w:adjustRightInd w:val="0"/>
        <w:spacing w:line="800" w:lineRule="exact"/>
        <w:textAlignment w:val="baseline"/>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rPr>
        <w:t>第</w:t>
      </w:r>
      <w:r>
        <w:rPr>
          <w:rFonts w:hint="eastAsia" w:ascii="宋体" w:hAnsi="宋体" w:cs="宋体"/>
          <w:color w:val="auto"/>
          <w:sz w:val="28"/>
          <w:szCs w:val="28"/>
          <w:highlight w:val="none"/>
          <w:lang w:val="en-US" w:eastAsia="zh-CN"/>
        </w:rPr>
        <w:t>二</w:t>
      </w:r>
      <w:r>
        <w:rPr>
          <w:rFonts w:hint="eastAsia" w:ascii="宋体" w:hAnsi="宋体" w:cs="宋体"/>
          <w:color w:val="auto"/>
          <w:sz w:val="28"/>
          <w:szCs w:val="28"/>
          <w:highlight w:val="none"/>
        </w:rPr>
        <w:t>部分、</w:t>
      </w:r>
      <w:r>
        <w:rPr>
          <w:rFonts w:hint="eastAsia" w:ascii="宋体" w:hAnsi="宋体" w:cs="宋体"/>
          <w:color w:val="auto"/>
          <w:sz w:val="28"/>
          <w:szCs w:val="28"/>
          <w:highlight w:val="none"/>
          <w:lang w:val="en-US" w:eastAsia="zh-CN"/>
        </w:rPr>
        <w:t>采购内容</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9</w:t>
      </w:r>
    </w:p>
    <w:p w14:paraId="34AE4494">
      <w:pPr>
        <w:tabs>
          <w:tab w:val="left" w:pos="1069"/>
          <w:tab w:val="left" w:pos="1080"/>
          <w:tab w:val="left" w:pos="2352"/>
        </w:tabs>
        <w:autoSpaceDE w:val="0"/>
        <w:autoSpaceDN w:val="0"/>
        <w:adjustRightInd w:val="0"/>
        <w:spacing w:line="800" w:lineRule="exact"/>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第三部分、供应商须知......................................1</w:t>
      </w:r>
      <w:r>
        <w:rPr>
          <w:rFonts w:hint="eastAsia" w:ascii="宋体" w:hAnsi="宋体" w:cs="宋体"/>
          <w:color w:val="auto"/>
          <w:sz w:val="28"/>
          <w:szCs w:val="28"/>
          <w:highlight w:val="none"/>
          <w:lang w:val="en-US" w:eastAsia="zh-CN"/>
        </w:rPr>
        <w:t>3</w:t>
      </w:r>
    </w:p>
    <w:p w14:paraId="1B638E88">
      <w:pPr>
        <w:tabs>
          <w:tab w:val="left" w:pos="1069"/>
          <w:tab w:val="left" w:pos="1080"/>
          <w:tab w:val="left" w:pos="2352"/>
        </w:tabs>
        <w:autoSpaceDE w:val="0"/>
        <w:autoSpaceDN w:val="0"/>
        <w:adjustRightInd w:val="0"/>
        <w:spacing w:line="800" w:lineRule="exact"/>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第四部分、政府采购政策功能相关说明........................2</w:t>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rPr>
        <w:t>第五部分、合同格式........................................2</w:t>
      </w:r>
      <w:r>
        <w:rPr>
          <w:rFonts w:hint="eastAsia" w:ascii="宋体" w:hAnsi="宋体" w:cs="宋体"/>
          <w:color w:val="auto"/>
          <w:sz w:val="28"/>
          <w:szCs w:val="28"/>
          <w:highlight w:val="none"/>
          <w:lang w:val="en-US" w:eastAsia="zh-CN"/>
        </w:rPr>
        <w:t>8</w:t>
      </w:r>
    </w:p>
    <w:p w14:paraId="3B03A50B">
      <w:pPr>
        <w:tabs>
          <w:tab w:val="left" w:pos="1069"/>
          <w:tab w:val="left" w:pos="1080"/>
          <w:tab w:val="left" w:pos="2352"/>
        </w:tabs>
        <w:autoSpaceDE w:val="0"/>
        <w:autoSpaceDN w:val="0"/>
        <w:adjustRightInd w:val="0"/>
        <w:spacing w:line="800" w:lineRule="exact"/>
        <w:textAlignment w:val="baseline"/>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rPr>
        <w:t>第六部分、投标（响应）文件格式............................3</w:t>
      </w:r>
      <w:r>
        <w:rPr>
          <w:rFonts w:hint="eastAsia" w:ascii="宋体" w:hAnsi="宋体" w:cs="宋体"/>
          <w:color w:val="auto"/>
          <w:sz w:val="28"/>
          <w:szCs w:val="28"/>
          <w:highlight w:val="none"/>
          <w:lang w:val="en-US" w:eastAsia="zh-CN"/>
        </w:rPr>
        <w:t>5</w:t>
      </w:r>
    </w:p>
    <w:p w14:paraId="1C8EF6F7">
      <w:pPr>
        <w:tabs>
          <w:tab w:val="left" w:pos="1069"/>
          <w:tab w:val="left" w:pos="1080"/>
          <w:tab w:val="left" w:pos="2352"/>
        </w:tabs>
        <w:autoSpaceDE w:val="0"/>
        <w:autoSpaceDN w:val="0"/>
        <w:adjustRightInd w:val="0"/>
        <w:spacing w:line="800" w:lineRule="exact"/>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第七部分、评标办法........................................4</w:t>
      </w:r>
      <w:r>
        <w:rPr>
          <w:rFonts w:hint="eastAsia" w:ascii="宋体" w:hAnsi="宋体" w:cs="宋体"/>
          <w:color w:val="auto"/>
          <w:sz w:val="28"/>
          <w:szCs w:val="28"/>
          <w:highlight w:val="none"/>
          <w:lang w:val="en-US" w:eastAsia="zh-CN"/>
        </w:rPr>
        <w:t>7</w:t>
      </w:r>
    </w:p>
    <w:p w14:paraId="4A2E4ECC">
      <w:pPr>
        <w:pStyle w:val="16"/>
        <w:tabs>
          <w:tab w:val="left" w:pos="2352"/>
        </w:tabs>
        <w:rPr>
          <w:color w:val="auto"/>
          <w:highlight w:val="none"/>
        </w:rPr>
      </w:pPr>
    </w:p>
    <w:p w14:paraId="71F73494">
      <w:pPr>
        <w:tabs>
          <w:tab w:val="left" w:pos="1069"/>
          <w:tab w:val="left" w:pos="1080"/>
          <w:tab w:val="left" w:pos="2352"/>
        </w:tabs>
        <w:autoSpaceDE w:val="0"/>
        <w:autoSpaceDN w:val="0"/>
        <w:adjustRightInd w:val="0"/>
        <w:spacing w:line="360" w:lineRule="auto"/>
        <w:textAlignment w:val="baseline"/>
        <w:rPr>
          <w:rFonts w:ascii="宋体" w:hAnsi="宋体" w:cs="宋体"/>
          <w:color w:val="auto"/>
          <w:sz w:val="28"/>
          <w:szCs w:val="28"/>
          <w:highlight w:val="none"/>
        </w:rPr>
      </w:pPr>
    </w:p>
    <w:p w14:paraId="77F79CC8">
      <w:pPr>
        <w:tabs>
          <w:tab w:val="left" w:pos="1069"/>
          <w:tab w:val="left" w:pos="1080"/>
          <w:tab w:val="left" w:pos="2352"/>
        </w:tabs>
        <w:autoSpaceDE w:val="0"/>
        <w:autoSpaceDN w:val="0"/>
        <w:adjustRightInd w:val="0"/>
        <w:spacing w:line="360" w:lineRule="auto"/>
        <w:textAlignment w:val="baseline"/>
        <w:rPr>
          <w:rFonts w:ascii="宋体" w:hAnsi="宋体" w:cs="宋体"/>
          <w:b/>
          <w:bCs/>
          <w:color w:val="auto"/>
          <w:sz w:val="24"/>
          <w:szCs w:val="24"/>
          <w:highlight w:val="none"/>
          <w:u w:val="single"/>
        </w:rPr>
      </w:pPr>
      <w:r>
        <w:rPr>
          <w:rFonts w:hint="eastAsia" w:ascii="宋体" w:hAnsi="宋体" w:cs="宋体"/>
          <w:color w:val="auto"/>
          <w:sz w:val="28"/>
          <w:szCs w:val="28"/>
          <w:highlight w:val="none"/>
        </w:rPr>
        <w:t xml:space="preserve">  </w:t>
      </w:r>
      <w:r>
        <w:rPr>
          <w:rFonts w:hint="eastAsia" w:ascii="宋体" w:hAnsi="宋体" w:cs="宋体"/>
          <w:b/>
          <w:bCs/>
          <w:color w:val="auto"/>
          <w:sz w:val="24"/>
          <w:szCs w:val="24"/>
          <w:highlight w:val="none"/>
          <w:u w:val="single"/>
        </w:rPr>
        <w:t>注：竞争性磋商文件中标“▲”号的为招标的实质性要求和条件，着重提醒各供应商必须响应。各供应商必须认真阅读和理解竞争性磋商文件中的每一个条款及要求，因误读竞争性磋商文件而造成的后果，采购人概不负责。</w:t>
      </w:r>
    </w:p>
    <w:p w14:paraId="41DB4366">
      <w:pPr>
        <w:tabs>
          <w:tab w:val="left" w:pos="1069"/>
          <w:tab w:val="left" w:pos="1080"/>
          <w:tab w:val="left" w:pos="2352"/>
        </w:tabs>
        <w:autoSpaceDE w:val="0"/>
        <w:autoSpaceDN w:val="0"/>
        <w:adjustRightInd w:val="0"/>
        <w:spacing w:line="360" w:lineRule="auto"/>
        <w:textAlignment w:val="baseline"/>
        <w:rPr>
          <w:rFonts w:ascii="宋体" w:hAnsi="宋体" w:cs="宋体"/>
          <w:color w:val="auto"/>
          <w:sz w:val="28"/>
          <w:szCs w:val="28"/>
          <w:highlight w:val="none"/>
        </w:rPr>
      </w:pPr>
    </w:p>
    <w:p w14:paraId="542D371C">
      <w:pPr>
        <w:pStyle w:val="16"/>
        <w:tabs>
          <w:tab w:val="left" w:pos="2352"/>
        </w:tabs>
        <w:rPr>
          <w:color w:val="auto"/>
          <w:highlight w:val="none"/>
        </w:rPr>
      </w:pPr>
    </w:p>
    <w:p w14:paraId="2D0AAD8C">
      <w:pPr>
        <w:pStyle w:val="16"/>
        <w:tabs>
          <w:tab w:val="left" w:pos="2352"/>
        </w:tabs>
        <w:rPr>
          <w:color w:val="auto"/>
          <w:highlight w:val="none"/>
        </w:rPr>
      </w:pPr>
    </w:p>
    <w:p w14:paraId="50C8EB45">
      <w:pPr>
        <w:pStyle w:val="3"/>
        <w:widowControl/>
        <w:spacing w:line="225" w:lineRule="atLeast"/>
        <w:jc w:val="center"/>
        <w:rPr>
          <w:rFonts w:ascii="宋体" w:hAnsi="宋体" w:eastAsia="宋体" w:cs="宋体"/>
          <w:color w:val="auto"/>
          <w:sz w:val="28"/>
          <w:szCs w:val="28"/>
          <w:highlight w:val="none"/>
        </w:rPr>
      </w:pPr>
      <w:r>
        <w:rPr>
          <w:rFonts w:hint="eastAsia" w:ascii="宋体" w:hAnsi="宋体" w:eastAsia="宋体" w:cs="宋体"/>
          <w:color w:val="auto"/>
          <w:sz w:val="22"/>
          <w:szCs w:val="22"/>
          <w:highlight w:val="none"/>
          <w:shd w:val="clear" w:color="auto" w:fill="FFFFFF"/>
        </w:rPr>
        <w:t xml:space="preserve"> </w:t>
      </w:r>
      <w:r>
        <w:rPr>
          <w:rFonts w:hint="eastAsia" w:ascii="宋体" w:hAnsi="宋体" w:eastAsia="宋体" w:cs="宋体"/>
          <w:color w:val="auto"/>
          <w:sz w:val="28"/>
          <w:szCs w:val="28"/>
          <w:highlight w:val="none"/>
        </w:rPr>
        <w:t>关于</w:t>
      </w:r>
      <w:r>
        <w:rPr>
          <w:rFonts w:hint="eastAsia" w:ascii="宋体" w:hAnsi="宋体" w:eastAsia="宋体" w:cs="宋体"/>
          <w:color w:val="auto"/>
          <w:sz w:val="28"/>
          <w:szCs w:val="28"/>
          <w:highlight w:val="none"/>
          <w:lang w:eastAsia="zh-CN"/>
        </w:rPr>
        <w:t>2025年泰顺县森林资源动态监测与评价</w:t>
      </w:r>
      <w:r>
        <w:rPr>
          <w:rFonts w:hint="eastAsia" w:ascii="宋体" w:hAnsi="宋体" w:eastAsia="宋体" w:cs="宋体"/>
          <w:color w:val="auto"/>
          <w:sz w:val="28"/>
          <w:szCs w:val="28"/>
          <w:highlight w:val="none"/>
        </w:rPr>
        <w:t>的竞争性磋商公告</w:t>
      </w:r>
    </w:p>
    <w:tbl>
      <w:tblPr>
        <w:tblStyle w:val="27"/>
        <w:tblpPr w:leftFromText="180" w:rightFromText="180" w:vertAnchor="text" w:tblpX="-132" w:tblpY="158"/>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9D8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000" w:type="pct"/>
          </w:tcPr>
          <w:p w14:paraId="3129194F">
            <w:pPr>
              <w:pStyle w:val="21"/>
              <w:spacing w:before="38" w:after="156"/>
              <w:rPr>
                <w:color w:val="auto"/>
                <w:sz w:val="24"/>
                <w:szCs w:val="24"/>
                <w:highlight w:val="none"/>
              </w:rPr>
            </w:pPr>
            <w:r>
              <w:rPr>
                <w:rFonts w:ascii="仿宋" w:hAnsi="仿宋" w:eastAsia="仿宋" w:cs="仿宋"/>
                <w:color w:val="auto"/>
                <w:sz w:val="24"/>
                <w:szCs w:val="24"/>
                <w:highlight w:val="none"/>
              </w:rPr>
              <w:t>项目概况</w:t>
            </w:r>
            <w:r>
              <w:rPr>
                <w:rFonts w:hint="eastAsia" w:ascii="仿宋" w:hAnsi="仿宋" w:eastAsia="仿宋" w:cs="仿宋"/>
                <w:color w:val="auto"/>
                <w:sz w:val="24"/>
                <w:szCs w:val="24"/>
                <w:highlight w:val="none"/>
              </w:rPr>
              <w:t>                                                    </w:t>
            </w:r>
          </w:p>
          <w:p w14:paraId="74BDA9A2">
            <w:pPr>
              <w:pStyle w:val="21"/>
              <w:spacing w:after="156"/>
              <w:ind w:firstLine="480" w:firstLineChars="200"/>
              <w:rPr>
                <w:rFonts w:ascii="宋体" w:hAnsi="宋体" w:eastAsia="宋体" w:cs="宋体"/>
                <w:color w:val="auto"/>
                <w:sz w:val="24"/>
                <w:szCs w:val="24"/>
                <w:highlight w:val="none"/>
                <w:shd w:val="clear" w:color="auto" w:fill="FFFFFF"/>
              </w:rPr>
            </w:pPr>
            <w:r>
              <w:rPr>
                <w:rFonts w:hint="eastAsia" w:ascii="仿宋" w:hAnsi="仿宋" w:eastAsia="仿宋" w:cs="仿宋"/>
                <w:color w:val="auto"/>
                <w:sz w:val="24"/>
                <w:szCs w:val="24"/>
                <w:highlight w:val="none"/>
              </w:rPr>
              <w:t>    </w:t>
            </w:r>
            <w:r>
              <w:rPr>
                <w:rFonts w:hint="eastAsia" w:ascii="仿宋" w:hAnsi="仿宋" w:eastAsia="仿宋" w:cs="仿宋"/>
                <w:color w:val="auto"/>
                <w:sz w:val="24"/>
                <w:szCs w:val="24"/>
                <w:highlight w:val="none"/>
                <w:lang w:eastAsia="zh-CN"/>
              </w:rPr>
              <w:t>2025年泰顺县森林资源动态监测与评价</w:t>
            </w:r>
            <w:r>
              <w:rPr>
                <w:rFonts w:hint="eastAsia" w:ascii="仿宋" w:hAnsi="仿宋" w:eastAsia="仿宋" w:cs="仿宋"/>
                <w:color w:val="auto"/>
                <w:sz w:val="24"/>
                <w:szCs w:val="24"/>
                <w:highlight w:val="none"/>
              </w:rPr>
              <w:t>采购项目的潜在供应商应在政采云平台http://zfcg.czt.zj.gov.cn/ 获取（下载）采购文件，并于</w:t>
            </w:r>
            <w:r>
              <w:rPr>
                <w:rFonts w:hint="eastAsia" w:ascii="仿宋" w:hAnsi="仿宋" w:eastAsia="仿宋" w:cs="仿宋"/>
                <w:color w:val="auto"/>
                <w:sz w:val="24"/>
                <w:szCs w:val="24"/>
                <w:highlight w:val="none"/>
                <w:lang w:eastAsia="zh-CN"/>
              </w:rPr>
              <w:t>2025年12月29日</w:t>
            </w:r>
            <w:r>
              <w:rPr>
                <w:rFonts w:hint="eastAsia" w:ascii="仿宋" w:hAnsi="仿宋" w:eastAsia="仿宋" w:cs="仿宋"/>
                <w:color w:val="auto"/>
                <w:sz w:val="24"/>
                <w:szCs w:val="24"/>
                <w:highlight w:val="none"/>
                <w:lang w:val="en-US" w:eastAsia="zh-CN"/>
              </w:rPr>
              <w:t>09</w:t>
            </w:r>
            <w:r>
              <w:rPr>
                <w:rFonts w:hint="eastAsia" w:ascii="仿宋" w:hAnsi="仿宋" w:eastAsia="仿宋" w:cs="仿宋"/>
                <w:color w:val="auto"/>
                <w:sz w:val="24"/>
                <w:szCs w:val="24"/>
                <w:highlight w:val="none"/>
              </w:rPr>
              <w:t>:00 （北京时间）前提交（上传）响应文件。       </w:t>
            </w:r>
          </w:p>
        </w:tc>
      </w:tr>
    </w:tbl>
    <w:p w14:paraId="6D8E985B">
      <w:pPr>
        <w:pStyle w:val="21"/>
        <w:spacing w:before="38" w:after="156"/>
        <w:rPr>
          <w:color w:val="auto"/>
          <w:sz w:val="24"/>
          <w:szCs w:val="24"/>
          <w:highlight w:val="none"/>
        </w:rPr>
      </w:pPr>
      <w:r>
        <w:rPr>
          <w:rFonts w:hint="eastAsia" w:ascii="仿宋" w:hAnsi="仿宋" w:eastAsia="仿宋" w:cs="仿宋"/>
          <w:color w:val="auto"/>
          <w:sz w:val="24"/>
          <w:szCs w:val="24"/>
          <w:highlight w:val="none"/>
        </w:rPr>
        <w:t xml:space="preserve">                     </w:t>
      </w:r>
    </w:p>
    <w:p w14:paraId="24B35E4A">
      <w:pPr>
        <w:pStyle w:val="21"/>
        <w:spacing w:before="128" w:after="156" w:line="225" w:lineRule="atLeast"/>
        <w:jc w:val="both"/>
        <w:rPr>
          <w:rFonts w:ascii="黑体" w:hAnsi="宋体" w:eastAsia="黑体" w:cs="黑体"/>
          <w:color w:val="auto"/>
          <w:sz w:val="24"/>
          <w:szCs w:val="24"/>
          <w:highlight w:val="none"/>
        </w:rPr>
      </w:pPr>
      <w:r>
        <w:rPr>
          <w:rStyle w:val="29"/>
          <w:rFonts w:ascii="黑体" w:hAnsi="宋体" w:eastAsia="黑体" w:cs="黑体"/>
          <w:color w:val="auto"/>
          <w:sz w:val="24"/>
          <w:szCs w:val="24"/>
          <w:highlight w:val="none"/>
        </w:rPr>
        <w:t>一、项目基本情况</w:t>
      </w:r>
    </w:p>
    <w:p w14:paraId="39E2424F">
      <w:pPr>
        <w:pStyle w:val="21"/>
        <w:spacing w:before="38" w:after="156" w:line="150" w:lineRule="atLeast"/>
        <w:rPr>
          <w:color w:val="auto"/>
          <w:sz w:val="24"/>
          <w:szCs w:val="24"/>
          <w:highlight w:val="none"/>
        </w:rPr>
      </w:pPr>
      <w:r>
        <w:rPr>
          <w:rFonts w:hint="eastAsia" w:ascii="仿宋" w:hAnsi="仿宋" w:eastAsia="仿宋" w:cs="仿宋"/>
          <w:color w:val="auto"/>
          <w:sz w:val="24"/>
          <w:szCs w:val="24"/>
          <w:highlight w:val="none"/>
        </w:rPr>
        <w:t>    项目编号：</w:t>
      </w:r>
      <w:r>
        <w:rPr>
          <w:rFonts w:hint="eastAsia" w:ascii="仿宋" w:hAnsi="仿宋" w:eastAsia="仿宋" w:cs="仿宋"/>
          <w:color w:val="auto"/>
          <w:sz w:val="24"/>
          <w:szCs w:val="24"/>
          <w:highlight w:val="none"/>
          <w:lang w:eastAsia="zh-CN"/>
        </w:rPr>
        <w:t xml:space="preserve">330329253440010000110-TSCG202512013 </w:t>
      </w:r>
      <w:r>
        <w:rPr>
          <w:rFonts w:hint="eastAsia" w:ascii="仿宋" w:hAnsi="仿宋" w:eastAsia="仿宋" w:cs="仿宋"/>
          <w:color w:val="auto"/>
          <w:sz w:val="24"/>
          <w:szCs w:val="24"/>
          <w:highlight w:val="none"/>
        </w:rPr>
        <w:t> </w:t>
      </w:r>
    </w:p>
    <w:p w14:paraId="70096683">
      <w:pPr>
        <w:pStyle w:val="21"/>
        <w:spacing w:before="38" w:after="156" w:line="150" w:lineRule="atLeast"/>
        <w:rPr>
          <w:color w:val="auto"/>
          <w:sz w:val="24"/>
          <w:szCs w:val="24"/>
          <w:highlight w:val="none"/>
        </w:rPr>
      </w:pPr>
      <w:r>
        <w:rPr>
          <w:rFonts w:hint="eastAsia" w:ascii="仿宋" w:hAnsi="仿宋" w:eastAsia="仿宋" w:cs="仿宋"/>
          <w:color w:val="auto"/>
          <w:sz w:val="24"/>
          <w:szCs w:val="24"/>
          <w:highlight w:val="none"/>
        </w:rPr>
        <w:t>    项目名称：</w:t>
      </w:r>
      <w:r>
        <w:rPr>
          <w:rFonts w:hint="eastAsia" w:ascii="仿宋" w:hAnsi="仿宋" w:eastAsia="仿宋" w:cs="仿宋"/>
          <w:color w:val="auto"/>
          <w:sz w:val="24"/>
          <w:szCs w:val="24"/>
          <w:highlight w:val="none"/>
          <w:lang w:eastAsia="zh-CN"/>
        </w:rPr>
        <w:t>2025年泰顺县森林资源动态监测与评价</w:t>
      </w:r>
      <w:r>
        <w:rPr>
          <w:rFonts w:hint="eastAsia" w:ascii="仿宋" w:hAnsi="仿宋" w:eastAsia="仿宋" w:cs="仿宋"/>
          <w:color w:val="auto"/>
          <w:sz w:val="24"/>
          <w:szCs w:val="24"/>
          <w:highlight w:val="none"/>
        </w:rPr>
        <w:t> </w:t>
      </w:r>
    </w:p>
    <w:p w14:paraId="66D6C013">
      <w:pPr>
        <w:pStyle w:val="21"/>
        <w:spacing w:before="38" w:after="156" w:line="150" w:lineRule="atLeast"/>
        <w:rPr>
          <w:color w:val="auto"/>
          <w:sz w:val="24"/>
          <w:szCs w:val="24"/>
          <w:highlight w:val="none"/>
        </w:rPr>
      </w:pPr>
      <w:r>
        <w:rPr>
          <w:rFonts w:hint="eastAsia" w:ascii="仿宋" w:hAnsi="仿宋" w:eastAsia="仿宋" w:cs="仿宋"/>
          <w:color w:val="auto"/>
          <w:sz w:val="24"/>
          <w:szCs w:val="24"/>
          <w:highlight w:val="none"/>
        </w:rPr>
        <w:t>    采购方式：竞争性磋商 </w:t>
      </w:r>
    </w:p>
    <w:p w14:paraId="71D45E32">
      <w:pPr>
        <w:pStyle w:val="21"/>
        <w:spacing w:before="38" w:after="156" w:line="150" w:lineRule="atLeast"/>
        <w:rPr>
          <w:color w:val="auto"/>
          <w:sz w:val="24"/>
          <w:szCs w:val="24"/>
          <w:highlight w:val="none"/>
        </w:rPr>
      </w:pPr>
      <w:r>
        <w:rPr>
          <w:rFonts w:hint="eastAsia" w:ascii="仿宋" w:hAnsi="仿宋" w:eastAsia="仿宋" w:cs="仿宋"/>
          <w:color w:val="auto"/>
          <w:sz w:val="24"/>
          <w:szCs w:val="24"/>
          <w:highlight w:val="none"/>
        </w:rPr>
        <w:t>    预算金额（元）：</w:t>
      </w:r>
      <w:r>
        <w:rPr>
          <w:rFonts w:hint="eastAsia" w:ascii="仿宋" w:hAnsi="仿宋" w:eastAsia="仿宋" w:cs="仿宋"/>
          <w:color w:val="auto"/>
          <w:sz w:val="24"/>
          <w:szCs w:val="24"/>
          <w:highlight w:val="none"/>
          <w:lang w:eastAsia="zh-CN"/>
        </w:rPr>
        <w:t>480000</w:t>
      </w:r>
      <w:r>
        <w:rPr>
          <w:rFonts w:hint="eastAsia" w:ascii="仿宋" w:hAnsi="仿宋" w:eastAsia="仿宋" w:cs="仿宋"/>
          <w:color w:val="auto"/>
          <w:sz w:val="24"/>
          <w:szCs w:val="24"/>
          <w:highlight w:val="none"/>
        </w:rPr>
        <w:t>  </w:t>
      </w:r>
    </w:p>
    <w:p w14:paraId="71EA27F4">
      <w:pPr>
        <w:pStyle w:val="21"/>
        <w:spacing w:before="38" w:after="156" w:line="150" w:lineRule="atLeast"/>
        <w:rPr>
          <w:color w:val="auto"/>
          <w:sz w:val="24"/>
          <w:szCs w:val="24"/>
          <w:highlight w:val="none"/>
        </w:rPr>
      </w:pPr>
      <w:r>
        <w:rPr>
          <w:rFonts w:hint="eastAsia" w:ascii="仿宋" w:hAnsi="仿宋" w:eastAsia="仿宋" w:cs="仿宋"/>
          <w:color w:val="auto"/>
          <w:sz w:val="24"/>
          <w:szCs w:val="24"/>
          <w:highlight w:val="none"/>
        </w:rPr>
        <w:t>    最高限价（元）：</w:t>
      </w:r>
      <w:r>
        <w:rPr>
          <w:rFonts w:hint="eastAsia" w:ascii="仿宋" w:hAnsi="仿宋" w:eastAsia="仿宋" w:cs="仿宋"/>
          <w:color w:val="auto"/>
          <w:sz w:val="24"/>
          <w:szCs w:val="24"/>
          <w:highlight w:val="none"/>
          <w:lang w:eastAsia="zh-CN"/>
        </w:rPr>
        <w:t>480000</w:t>
      </w:r>
      <w:r>
        <w:rPr>
          <w:rFonts w:hint="eastAsia" w:ascii="仿宋" w:hAnsi="仿宋" w:eastAsia="仿宋" w:cs="仿宋"/>
          <w:color w:val="auto"/>
          <w:sz w:val="24"/>
          <w:szCs w:val="24"/>
          <w:highlight w:val="none"/>
        </w:rPr>
        <w:t>  </w:t>
      </w:r>
    </w:p>
    <w:p w14:paraId="057C83AF">
      <w:pPr>
        <w:pStyle w:val="21"/>
        <w:spacing w:before="38" w:after="156" w:line="150" w:lineRule="atLeast"/>
        <w:rPr>
          <w:color w:val="auto"/>
          <w:sz w:val="24"/>
          <w:szCs w:val="24"/>
          <w:highlight w:val="none"/>
        </w:rPr>
      </w:pPr>
      <w:r>
        <w:rPr>
          <w:rFonts w:hint="eastAsia" w:ascii="仿宋" w:hAnsi="仿宋" w:eastAsia="仿宋" w:cs="仿宋"/>
          <w:color w:val="auto"/>
          <w:sz w:val="24"/>
          <w:szCs w:val="24"/>
          <w:highlight w:val="none"/>
        </w:rPr>
        <w:t>    采购需求：</w:t>
      </w:r>
    </w:p>
    <w:p w14:paraId="2FA401B8">
      <w:pPr>
        <w:widowControl/>
        <w:spacing w:line="150" w:lineRule="atLeast"/>
        <w:jc w:val="left"/>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   数量：不限       </w:t>
      </w:r>
    </w:p>
    <w:p w14:paraId="0F04B436">
      <w:pPr>
        <w:pStyle w:val="21"/>
        <w:spacing w:before="38" w:after="156" w:line="150" w:lineRule="atLeast"/>
        <w:rPr>
          <w:color w:val="auto"/>
          <w:sz w:val="24"/>
          <w:szCs w:val="24"/>
          <w:highlight w:val="none"/>
        </w:rPr>
      </w:pPr>
      <w:r>
        <w:rPr>
          <w:rFonts w:hint="eastAsia" w:ascii="仿宋" w:hAnsi="仿宋" w:eastAsia="仿宋" w:cs="仿宋"/>
          <w:color w:val="auto"/>
          <w:sz w:val="24"/>
          <w:szCs w:val="24"/>
          <w:highlight w:val="none"/>
        </w:rPr>
        <w:t>   预算金额（元）：</w:t>
      </w:r>
      <w:r>
        <w:rPr>
          <w:rFonts w:hint="eastAsia" w:ascii="仿宋" w:hAnsi="仿宋" w:eastAsia="仿宋" w:cs="仿宋"/>
          <w:color w:val="auto"/>
          <w:sz w:val="24"/>
          <w:szCs w:val="24"/>
          <w:highlight w:val="none"/>
          <w:lang w:eastAsia="zh-CN"/>
        </w:rPr>
        <w:t>480000</w:t>
      </w:r>
      <w:r>
        <w:rPr>
          <w:rFonts w:hint="eastAsia" w:ascii="仿宋" w:hAnsi="仿宋" w:eastAsia="仿宋" w:cs="仿宋"/>
          <w:color w:val="auto"/>
          <w:sz w:val="24"/>
          <w:szCs w:val="24"/>
          <w:highlight w:val="none"/>
        </w:rPr>
        <w:t> </w:t>
      </w:r>
    </w:p>
    <w:p w14:paraId="0F0CE54E">
      <w:pPr>
        <w:pStyle w:val="21"/>
        <w:spacing w:before="38" w:after="156" w:line="150" w:lineRule="atLeast"/>
        <w:rPr>
          <w:color w:val="auto"/>
          <w:sz w:val="24"/>
          <w:szCs w:val="24"/>
          <w:highlight w:val="none"/>
        </w:rPr>
      </w:pPr>
      <w:r>
        <w:rPr>
          <w:rFonts w:hint="eastAsia" w:ascii="仿宋" w:hAnsi="仿宋" w:eastAsia="仿宋" w:cs="仿宋"/>
          <w:color w:val="auto"/>
          <w:sz w:val="24"/>
          <w:szCs w:val="24"/>
          <w:highlight w:val="none"/>
        </w:rPr>
        <w:t>   单位：项 </w:t>
      </w:r>
    </w:p>
    <w:p w14:paraId="1BDB704D">
      <w:pPr>
        <w:pStyle w:val="21"/>
        <w:spacing w:before="38" w:after="156" w:line="150" w:lineRule="atLeast"/>
        <w:rPr>
          <w:color w:val="auto"/>
          <w:sz w:val="24"/>
          <w:szCs w:val="24"/>
          <w:highlight w:val="none"/>
        </w:rPr>
      </w:pPr>
      <w:r>
        <w:rPr>
          <w:rFonts w:hint="eastAsia" w:ascii="仿宋" w:hAnsi="仿宋" w:eastAsia="仿宋" w:cs="仿宋"/>
          <w:color w:val="auto"/>
          <w:sz w:val="24"/>
          <w:szCs w:val="24"/>
          <w:highlight w:val="none"/>
        </w:rPr>
        <w:t>   简要规格描述：</w:t>
      </w:r>
      <w:r>
        <w:rPr>
          <w:rFonts w:hint="eastAsia" w:ascii="仿宋" w:hAnsi="仿宋" w:eastAsia="仿宋" w:cs="仿宋"/>
          <w:color w:val="auto"/>
          <w:sz w:val="24"/>
          <w:szCs w:val="24"/>
          <w:highlight w:val="none"/>
          <w:lang w:eastAsia="zh-CN"/>
        </w:rPr>
        <w:t>2025年泰顺县森林资源动态监测与评价</w:t>
      </w:r>
      <w:r>
        <w:rPr>
          <w:rFonts w:hint="eastAsia" w:ascii="仿宋" w:hAnsi="仿宋" w:eastAsia="仿宋" w:cs="仿宋"/>
          <w:color w:val="auto"/>
          <w:sz w:val="24"/>
          <w:szCs w:val="24"/>
          <w:highlight w:val="none"/>
        </w:rPr>
        <w:t> </w:t>
      </w:r>
    </w:p>
    <w:p w14:paraId="49066934">
      <w:pPr>
        <w:pStyle w:val="21"/>
        <w:spacing w:before="38" w:after="156" w:line="150" w:lineRule="atLeast"/>
        <w:rPr>
          <w:color w:val="auto"/>
          <w:sz w:val="24"/>
          <w:szCs w:val="24"/>
          <w:highlight w:val="none"/>
        </w:rPr>
      </w:pPr>
      <w:r>
        <w:rPr>
          <w:rFonts w:hint="eastAsia" w:ascii="仿宋" w:hAnsi="仿宋" w:eastAsia="仿宋" w:cs="仿宋"/>
          <w:color w:val="auto"/>
          <w:sz w:val="24"/>
          <w:szCs w:val="24"/>
          <w:highlight w:val="none"/>
        </w:rPr>
        <w:t>   备注： </w:t>
      </w:r>
    </w:p>
    <w:p w14:paraId="080B17DF">
      <w:pPr>
        <w:pStyle w:val="21"/>
        <w:spacing w:before="38" w:after="156" w:line="150" w:lineRule="atLeast"/>
        <w:rPr>
          <w:color w:val="auto"/>
          <w:sz w:val="24"/>
          <w:szCs w:val="24"/>
          <w:highlight w:val="none"/>
        </w:rPr>
      </w:pPr>
      <w:r>
        <w:rPr>
          <w:rFonts w:hint="eastAsia" w:ascii="仿宋" w:hAnsi="仿宋" w:eastAsia="仿宋" w:cs="仿宋"/>
          <w:color w:val="auto"/>
          <w:sz w:val="24"/>
          <w:szCs w:val="24"/>
          <w:highlight w:val="none"/>
        </w:rPr>
        <w:t>    合同履约期限：标项 1，按采购文件规定。  </w:t>
      </w:r>
    </w:p>
    <w:p w14:paraId="3C5EE5D8">
      <w:pPr>
        <w:pStyle w:val="21"/>
        <w:spacing w:before="38" w:after="156" w:line="150" w:lineRule="atLeast"/>
        <w:rPr>
          <w:color w:val="auto"/>
          <w:sz w:val="24"/>
          <w:szCs w:val="24"/>
          <w:highlight w:val="none"/>
        </w:rPr>
      </w:pPr>
      <w:r>
        <w:rPr>
          <w:rFonts w:hint="eastAsia" w:ascii="仿宋" w:hAnsi="仿宋" w:eastAsia="仿宋" w:cs="仿宋"/>
          <w:color w:val="auto"/>
          <w:sz w:val="24"/>
          <w:szCs w:val="24"/>
          <w:highlight w:val="none"/>
        </w:rPr>
        <w:t>    本项目（否）接受联合体投标。  </w:t>
      </w:r>
    </w:p>
    <w:p w14:paraId="5CCF5A1C">
      <w:pPr>
        <w:pStyle w:val="21"/>
        <w:spacing w:before="128" w:after="156" w:line="225" w:lineRule="atLeast"/>
        <w:jc w:val="both"/>
        <w:rPr>
          <w:rFonts w:ascii="黑体" w:hAnsi="宋体" w:eastAsia="黑体" w:cs="黑体"/>
          <w:color w:val="auto"/>
          <w:sz w:val="24"/>
          <w:szCs w:val="24"/>
          <w:highlight w:val="none"/>
        </w:rPr>
      </w:pPr>
      <w:r>
        <w:rPr>
          <w:rStyle w:val="29"/>
          <w:rFonts w:ascii="黑体" w:hAnsi="宋体" w:eastAsia="黑体" w:cs="黑体"/>
          <w:color w:val="auto"/>
          <w:sz w:val="24"/>
          <w:szCs w:val="24"/>
          <w:highlight w:val="none"/>
        </w:rPr>
        <w:t>二、申请人的资格要求：</w:t>
      </w:r>
    </w:p>
    <w:p w14:paraId="2D87FF00">
      <w:pPr>
        <w:pStyle w:val="21"/>
        <w:spacing w:before="38" w:after="156" w:line="150" w:lineRule="atLeast"/>
        <w:rPr>
          <w:color w:val="auto"/>
          <w:sz w:val="24"/>
          <w:szCs w:val="24"/>
          <w:highlight w:val="none"/>
        </w:rPr>
      </w:pPr>
      <w:r>
        <w:rPr>
          <w:rFonts w:hint="eastAsia" w:ascii="仿宋" w:hAnsi="仿宋" w:eastAsia="仿宋" w:cs="仿宋"/>
          <w:color w:val="auto"/>
          <w:sz w:val="24"/>
          <w:szCs w:val="24"/>
          <w:highlight w:val="none"/>
        </w:rPr>
        <w:t>    1.满足《中华人民共和国政府采购法》第二十二条规定；未被“信用中国”（www.creditchina.gov.cn)、中国政府采购网（www.ccgp.gov.cn）列入失信被执行人、重大税收违法案件当事人名单、政府采购严重违法失信行为记录名单。</w:t>
      </w:r>
    </w:p>
    <w:p w14:paraId="0A42C845">
      <w:pPr>
        <w:pStyle w:val="21"/>
        <w:spacing w:before="38" w:after="156" w:line="150" w:lineRule="atLeast"/>
        <w:ind w:firstLine="37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2.落实政府采购政策需满足的资格要求：无 </w:t>
      </w:r>
    </w:p>
    <w:p w14:paraId="22F0819C">
      <w:pPr>
        <w:pStyle w:val="21"/>
        <w:spacing w:before="38" w:after="156" w:line="150" w:lineRule="atLeast"/>
        <w:ind w:firstLine="373"/>
        <w:rPr>
          <w:color w:val="auto"/>
          <w:sz w:val="24"/>
          <w:szCs w:val="24"/>
          <w:highlight w:val="none"/>
        </w:rPr>
      </w:pPr>
      <w:r>
        <w:rPr>
          <w:rFonts w:hint="eastAsia" w:ascii="仿宋" w:hAnsi="仿宋" w:eastAsia="仿宋" w:cs="仿宋"/>
          <w:color w:val="auto"/>
          <w:sz w:val="24"/>
          <w:szCs w:val="24"/>
          <w:highlight w:val="none"/>
        </w:rPr>
        <w:t>3.本项目的特定资格要求：无 </w:t>
      </w:r>
    </w:p>
    <w:p w14:paraId="717D02C1">
      <w:pPr>
        <w:pStyle w:val="21"/>
        <w:spacing w:before="128" w:after="156" w:line="225" w:lineRule="atLeast"/>
        <w:jc w:val="both"/>
        <w:rPr>
          <w:rFonts w:ascii="黑体" w:hAnsi="宋体" w:eastAsia="黑体" w:cs="黑体"/>
          <w:color w:val="auto"/>
          <w:sz w:val="24"/>
          <w:szCs w:val="24"/>
          <w:highlight w:val="none"/>
        </w:rPr>
      </w:pPr>
      <w:r>
        <w:rPr>
          <w:rStyle w:val="29"/>
          <w:rFonts w:ascii="黑体" w:hAnsi="宋体" w:eastAsia="黑体" w:cs="黑体"/>
          <w:color w:val="auto"/>
          <w:sz w:val="24"/>
          <w:szCs w:val="24"/>
          <w:highlight w:val="none"/>
        </w:rPr>
        <w:t>三、获取（下载）采购文件</w:t>
      </w:r>
    </w:p>
    <w:p w14:paraId="1B745509">
      <w:pPr>
        <w:pStyle w:val="21"/>
        <w:spacing w:before="38" w:after="156" w:line="150" w:lineRule="atLeast"/>
        <w:rPr>
          <w:color w:val="auto"/>
          <w:sz w:val="24"/>
          <w:szCs w:val="24"/>
          <w:highlight w:val="none"/>
        </w:rPr>
      </w:pPr>
      <w:r>
        <w:rPr>
          <w:rFonts w:hint="eastAsia" w:ascii="仿宋" w:hAnsi="仿宋" w:eastAsia="仿宋" w:cs="仿宋"/>
          <w:color w:val="auto"/>
          <w:sz w:val="24"/>
          <w:szCs w:val="24"/>
          <w:highlight w:val="none"/>
        </w:rPr>
        <w:t>    时间：/至</w:t>
      </w:r>
      <w:r>
        <w:rPr>
          <w:rFonts w:hint="eastAsia" w:ascii="仿宋" w:hAnsi="仿宋" w:eastAsia="仿宋" w:cs="仿宋"/>
          <w:color w:val="auto"/>
          <w:sz w:val="24"/>
          <w:szCs w:val="24"/>
          <w:highlight w:val="none"/>
          <w:lang w:eastAsia="zh-CN"/>
        </w:rPr>
        <w:t>2025年12月29日</w:t>
      </w:r>
      <w:r>
        <w:rPr>
          <w:rFonts w:hint="eastAsia" w:ascii="仿宋" w:hAnsi="仿宋" w:eastAsia="仿宋" w:cs="仿宋"/>
          <w:color w:val="auto"/>
          <w:sz w:val="24"/>
          <w:szCs w:val="24"/>
          <w:highlight w:val="none"/>
        </w:rPr>
        <w:t>，每天上午00:00至12:00，下午12:00至23:59（北京时间，线上获取法定节假日均可，线下获取文件法定节假日除外）</w:t>
      </w:r>
    </w:p>
    <w:p w14:paraId="2ABAB892">
      <w:pPr>
        <w:pStyle w:val="21"/>
        <w:spacing w:before="38" w:after="156" w:line="150" w:lineRule="atLeast"/>
        <w:rPr>
          <w:color w:val="auto"/>
          <w:sz w:val="24"/>
          <w:szCs w:val="24"/>
          <w:highlight w:val="none"/>
        </w:rPr>
      </w:pPr>
      <w:r>
        <w:rPr>
          <w:rFonts w:hint="eastAsia" w:ascii="仿宋" w:hAnsi="仿宋" w:eastAsia="仿宋" w:cs="仿宋"/>
          <w:color w:val="auto"/>
          <w:sz w:val="24"/>
          <w:szCs w:val="24"/>
          <w:highlight w:val="none"/>
        </w:rPr>
        <w:t>    地点（网址）：政采云平台http://zfcg.czt.zj.gov.cn/  </w:t>
      </w:r>
    </w:p>
    <w:p w14:paraId="0CA3A778">
      <w:pPr>
        <w:pStyle w:val="21"/>
        <w:spacing w:before="38" w:after="156" w:line="150" w:lineRule="atLeast"/>
        <w:rPr>
          <w:color w:val="auto"/>
          <w:sz w:val="24"/>
          <w:szCs w:val="24"/>
          <w:highlight w:val="none"/>
        </w:rPr>
      </w:pPr>
      <w:r>
        <w:rPr>
          <w:rFonts w:hint="eastAsia" w:ascii="仿宋" w:hAnsi="仿宋" w:eastAsia="仿宋" w:cs="仿宋"/>
          <w:color w:val="auto"/>
          <w:sz w:val="24"/>
          <w:szCs w:val="24"/>
          <w:highlight w:val="none"/>
        </w:rPr>
        <w:t>    方式：供应商登录政采云平台http://zfcg.czt.zj.gov.cn/ 在线申请获取采购文件（进入“项目采购”应用，在获取采购文件菜单中选择项目，申请获取采购文件） </w:t>
      </w:r>
    </w:p>
    <w:p w14:paraId="2538C201">
      <w:pPr>
        <w:pStyle w:val="21"/>
        <w:spacing w:before="38" w:after="156" w:line="150" w:lineRule="atLeast"/>
        <w:rPr>
          <w:color w:val="auto"/>
          <w:sz w:val="24"/>
          <w:szCs w:val="24"/>
          <w:highlight w:val="none"/>
        </w:rPr>
      </w:pPr>
      <w:r>
        <w:rPr>
          <w:rFonts w:hint="eastAsia" w:ascii="仿宋" w:hAnsi="仿宋" w:eastAsia="仿宋" w:cs="仿宋"/>
          <w:color w:val="auto"/>
          <w:sz w:val="24"/>
          <w:szCs w:val="24"/>
          <w:highlight w:val="none"/>
        </w:rPr>
        <w:t>    售价（元）：0 </w:t>
      </w:r>
    </w:p>
    <w:p w14:paraId="4A5DE8E3">
      <w:pPr>
        <w:pStyle w:val="21"/>
        <w:spacing w:before="128" w:after="156" w:line="225" w:lineRule="atLeast"/>
        <w:jc w:val="both"/>
        <w:rPr>
          <w:rFonts w:ascii="黑体" w:hAnsi="宋体" w:eastAsia="黑体" w:cs="黑体"/>
          <w:color w:val="auto"/>
          <w:sz w:val="24"/>
          <w:szCs w:val="24"/>
          <w:highlight w:val="none"/>
        </w:rPr>
      </w:pPr>
      <w:r>
        <w:rPr>
          <w:rStyle w:val="29"/>
          <w:rFonts w:ascii="黑体" w:hAnsi="宋体" w:eastAsia="黑体" w:cs="黑体"/>
          <w:color w:val="auto"/>
          <w:sz w:val="24"/>
          <w:szCs w:val="24"/>
          <w:highlight w:val="none"/>
        </w:rPr>
        <w:t>四、响应文件提交（上传）</w:t>
      </w:r>
      <w:r>
        <w:rPr>
          <w:rFonts w:ascii="黑体" w:hAnsi="宋体" w:eastAsia="黑体" w:cs="黑体"/>
          <w:color w:val="auto"/>
          <w:sz w:val="24"/>
          <w:szCs w:val="24"/>
          <w:highlight w:val="none"/>
        </w:rPr>
        <w:t> </w:t>
      </w:r>
    </w:p>
    <w:p w14:paraId="2A1C03A9">
      <w:pPr>
        <w:pStyle w:val="21"/>
        <w:spacing w:before="38" w:after="156" w:line="150" w:lineRule="atLeast"/>
        <w:rPr>
          <w:color w:val="auto"/>
          <w:sz w:val="24"/>
          <w:szCs w:val="24"/>
          <w:highlight w:val="none"/>
        </w:rPr>
      </w:pPr>
      <w:r>
        <w:rPr>
          <w:rFonts w:hint="eastAsia" w:ascii="仿宋" w:hAnsi="仿宋" w:eastAsia="仿宋" w:cs="仿宋"/>
          <w:color w:val="auto"/>
          <w:sz w:val="24"/>
          <w:szCs w:val="24"/>
          <w:highlight w:val="none"/>
        </w:rPr>
        <w:t>    截止时间：</w:t>
      </w:r>
      <w:r>
        <w:rPr>
          <w:rFonts w:hint="eastAsia" w:ascii="仿宋" w:hAnsi="仿宋" w:eastAsia="仿宋" w:cs="仿宋"/>
          <w:color w:val="auto"/>
          <w:sz w:val="24"/>
          <w:szCs w:val="24"/>
          <w:highlight w:val="none"/>
          <w:lang w:eastAsia="zh-CN"/>
        </w:rPr>
        <w:t>2025年12月29日 09:00</w:t>
      </w:r>
      <w:r>
        <w:rPr>
          <w:rFonts w:hint="eastAsia" w:ascii="仿宋" w:hAnsi="仿宋" w:eastAsia="仿宋" w:cs="仿宋"/>
          <w:color w:val="auto"/>
          <w:sz w:val="24"/>
          <w:szCs w:val="24"/>
          <w:highlight w:val="none"/>
        </w:rPr>
        <w:t> （北京时间）</w:t>
      </w:r>
    </w:p>
    <w:p w14:paraId="04AF64D8">
      <w:pPr>
        <w:pStyle w:val="21"/>
        <w:spacing w:before="38" w:after="156" w:line="150" w:lineRule="atLeast"/>
        <w:rPr>
          <w:color w:val="auto"/>
          <w:sz w:val="24"/>
          <w:szCs w:val="24"/>
          <w:highlight w:val="none"/>
        </w:rPr>
      </w:pPr>
      <w:r>
        <w:rPr>
          <w:rFonts w:hint="eastAsia" w:ascii="仿宋" w:hAnsi="仿宋" w:eastAsia="仿宋" w:cs="仿宋"/>
          <w:color w:val="auto"/>
          <w:sz w:val="24"/>
          <w:szCs w:val="24"/>
          <w:highlight w:val="none"/>
        </w:rPr>
        <w:t>    地点（网址）：“政府采购云平台（http://zfcg.czt.zj.gov.cn/）”在线递交 </w:t>
      </w:r>
    </w:p>
    <w:p w14:paraId="60A1FBC0">
      <w:pPr>
        <w:pStyle w:val="21"/>
        <w:spacing w:before="128" w:after="156" w:line="225" w:lineRule="atLeast"/>
        <w:jc w:val="both"/>
        <w:rPr>
          <w:rFonts w:ascii="黑体" w:hAnsi="宋体" w:eastAsia="黑体" w:cs="黑体"/>
          <w:color w:val="auto"/>
          <w:sz w:val="24"/>
          <w:szCs w:val="24"/>
          <w:highlight w:val="none"/>
        </w:rPr>
      </w:pPr>
      <w:r>
        <w:rPr>
          <w:rStyle w:val="29"/>
          <w:rFonts w:ascii="黑体" w:hAnsi="宋体" w:eastAsia="黑体" w:cs="黑体"/>
          <w:color w:val="auto"/>
          <w:sz w:val="24"/>
          <w:szCs w:val="24"/>
          <w:highlight w:val="none"/>
        </w:rPr>
        <w:t>五、响应文件开启</w:t>
      </w:r>
      <w:r>
        <w:rPr>
          <w:rFonts w:ascii="黑体" w:hAnsi="宋体" w:eastAsia="黑体" w:cs="黑体"/>
          <w:color w:val="auto"/>
          <w:sz w:val="24"/>
          <w:szCs w:val="24"/>
          <w:highlight w:val="none"/>
        </w:rPr>
        <w:t> </w:t>
      </w:r>
    </w:p>
    <w:p w14:paraId="6E9D1391">
      <w:pPr>
        <w:pStyle w:val="21"/>
        <w:spacing w:before="38" w:after="156" w:line="150" w:lineRule="atLeast"/>
        <w:rPr>
          <w:color w:val="auto"/>
          <w:sz w:val="24"/>
          <w:szCs w:val="24"/>
          <w:highlight w:val="none"/>
        </w:rPr>
      </w:pPr>
      <w:r>
        <w:rPr>
          <w:rFonts w:hint="eastAsia" w:ascii="仿宋" w:hAnsi="仿宋" w:eastAsia="仿宋" w:cs="仿宋"/>
          <w:color w:val="auto"/>
          <w:sz w:val="24"/>
          <w:szCs w:val="24"/>
          <w:highlight w:val="none"/>
        </w:rPr>
        <w:t>    开启时间：</w:t>
      </w:r>
      <w:r>
        <w:rPr>
          <w:rFonts w:hint="eastAsia" w:ascii="仿宋" w:hAnsi="仿宋" w:eastAsia="仿宋" w:cs="仿宋"/>
          <w:color w:val="auto"/>
          <w:sz w:val="24"/>
          <w:szCs w:val="24"/>
          <w:highlight w:val="none"/>
          <w:lang w:eastAsia="zh-CN"/>
        </w:rPr>
        <w:t>2025年12月29日 09:00</w:t>
      </w:r>
      <w:r>
        <w:rPr>
          <w:rFonts w:hint="eastAsia" w:ascii="仿宋" w:hAnsi="仿宋" w:eastAsia="仿宋" w:cs="仿宋"/>
          <w:color w:val="auto"/>
          <w:sz w:val="24"/>
          <w:szCs w:val="24"/>
          <w:highlight w:val="none"/>
        </w:rPr>
        <w:t> （北京时间）</w:t>
      </w:r>
    </w:p>
    <w:p w14:paraId="373CF287">
      <w:pPr>
        <w:pStyle w:val="21"/>
        <w:spacing w:before="38" w:after="156" w:line="150" w:lineRule="atLeast"/>
        <w:rPr>
          <w:color w:val="auto"/>
          <w:sz w:val="24"/>
          <w:szCs w:val="24"/>
          <w:highlight w:val="none"/>
        </w:rPr>
      </w:pPr>
      <w:r>
        <w:rPr>
          <w:rFonts w:hint="eastAsia" w:ascii="仿宋" w:hAnsi="仿宋" w:eastAsia="仿宋" w:cs="仿宋"/>
          <w:color w:val="auto"/>
          <w:sz w:val="24"/>
          <w:szCs w:val="24"/>
          <w:highlight w:val="none"/>
        </w:rPr>
        <w:t>    地点（网址）：“政府采购云平台（http://zfcg.czt.zj.gov.cn/）”在线开标 </w:t>
      </w:r>
    </w:p>
    <w:p w14:paraId="15363BE3">
      <w:pPr>
        <w:pStyle w:val="21"/>
        <w:spacing w:before="128" w:after="156" w:line="225" w:lineRule="atLeast"/>
        <w:jc w:val="both"/>
        <w:rPr>
          <w:rFonts w:ascii="黑体" w:hAnsi="宋体" w:eastAsia="黑体" w:cs="黑体"/>
          <w:color w:val="auto"/>
          <w:sz w:val="24"/>
          <w:szCs w:val="24"/>
          <w:highlight w:val="none"/>
        </w:rPr>
      </w:pPr>
      <w:r>
        <w:rPr>
          <w:rStyle w:val="29"/>
          <w:rFonts w:ascii="黑体" w:hAnsi="宋体" w:eastAsia="黑体" w:cs="黑体"/>
          <w:color w:val="auto"/>
          <w:sz w:val="24"/>
          <w:szCs w:val="24"/>
          <w:highlight w:val="none"/>
        </w:rPr>
        <w:t>六、公告期限</w:t>
      </w:r>
    </w:p>
    <w:p w14:paraId="39A98287">
      <w:pPr>
        <w:pStyle w:val="21"/>
        <w:spacing w:before="38" w:after="156"/>
        <w:rPr>
          <w:color w:val="auto"/>
          <w:sz w:val="24"/>
          <w:szCs w:val="24"/>
          <w:highlight w:val="none"/>
        </w:rPr>
      </w:pPr>
      <w:r>
        <w:rPr>
          <w:rFonts w:hint="eastAsia" w:ascii="仿宋" w:hAnsi="仿宋" w:eastAsia="仿宋" w:cs="仿宋"/>
          <w:color w:val="auto"/>
          <w:sz w:val="24"/>
          <w:szCs w:val="24"/>
          <w:highlight w:val="none"/>
        </w:rPr>
        <w:t>    自本公告发布之日起3个工作日。</w:t>
      </w:r>
    </w:p>
    <w:p w14:paraId="5B9034D1">
      <w:pPr>
        <w:pStyle w:val="21"/>
        <w:spacing w:before="128" w:after="156" w:line="225" w:lineRule="atLeast"/>
        <w:jc w:val="both"/>
        <w:rPr>
          <w:rFonts w:ascii="黑体" w:hAnsi="宋体" w:eastAsia="黑体" w:cs="黑体"/>
          <w:color w:val="auto"/>
          <w:sz w:val="24"/>
          <w:szCs w:val="24"/>
          <w:highlight w:val="none"/>
        </w:rPr>
      </w:pPr>
      <w:r>
        <w:rPr>
          <w:rStyle w:val="29"/>
          <w:rFonts w:ascii="黑体" w:hAnsi="宋体" w:eastAsia="黑体" w:cs="黑体"/>
          <w:color w:val="auto"/>
          <w:sz w:val="24"/>
          <w:szCs w:val="24"/>
          <w:highlight w:val="none"/>
        </w:rPr>
        <w:t>七、其他补充事宜</w:t>
      </w:r>
      <w:r>
        <w:rPr>
          <w:rFonts w:ascii="黑体" w:hAnsi="宋体" w:eastAsia="黑体" w:cs="黑体"/>
          <w:color w:val="auto"/>
          <w:sz w:val="24"/>
          <w:szCs w:val="24"/>
          <w:highlight w:val="none"/>
        </w:rPr>
        <w:t> </w:t>
      </w:r>
    </w:p>
    <w:p w14:paraId="198DDFE1">
      <w:pPr>
        <w:widowControl/>
        <w:spacing w:before="75" w:beforeAutospacing="0" w:after="75" w:afterAutospacing="0" w:line="300" w:lineRule="atLeast"/>
        <w:ind w:firstLine="480" w:firstLineChars="20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63327DC8">
      <w:pPr>
        <w:widowControl/>
        <w:spacing w:before="75" w:beforeAutospacing="0" w:after="75" w:afterAutospacing="0" w:line="300" w:lineRule="atLeast"/>
        <w:ind w:firstLine="480" w:firstLineChars="20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1D58DB6">
      <w:pPr>
        <w:widowControl/>
        <w:spacing w:before="75" w:beforeAutospacing="0" w:after="75" w:afterAutospacing="0" w:line="300" w:lineRule="atLeast"/>
        <w:ind w:firstLine="480" w:firstLineChars="20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551338E9">
      <w:pPr>
        <w:widowControl/>
        <w:spacing w:before="75" w:beforeAutospacing="0" w:after="75" w:afterAutospacing="0" w:line="300" w:lineRule="atLeast"/>
        <w:ind w:firstLine="480" w:firstLineChars="20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4.其他事项：</w:t>
      </w:r>
    </w:p>
    <w:p w14:paraId="651C4861">
      <w:pPr>
        <w:widowControl/>
        <w:spacing w:before="75" w:beforeAutospacing="0" w:after="75" w:afterAutospacing="0" w:line="300" w:lineRule="atLeast"/>
        <w:ind w:firstLine="480" w:firstLineChars="20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4.1本项目采用政府采购电子化交易。</w:t>
      </w:r>
    </w:p>
    <w:p w14:paraId="42B73BB8">
      <w:pPr>
        <w:widowControl/>
        <w:spacing w:before="75" w:beforeAutospacing="0" w:after="75" w:afterAutospacing="0" w:line="300" w:lineRule="atLeast"/>
        <w:ind w:firstLine="480" w:firstLineChars="20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4.2为确保网上操作合法、有效和安全，供应商应当在投标截止时间前，注册政府采购云平台（供应商注册页面：https://middle.zcygov.cn/settle-front/#/registry），完成电子交易平台上的CA数字证书办理（办理流程详见</w:t>
      </w:r>
      <w:r>
        <w:rPr>
          <w:rFonts w:hint="eastAsia" w:ascii="仿宋" w:hAnsi="仿宋" w:eastAsia="仿宋" w:cs="仿宋"/>
          <w:color w:val="auto"/>
          <w:kern w:val="0"/>
          <w:sz w:val="24"/>
          <w:szCs w:val="24"/>
          <w:highlight w:val="none"/>
          <w:lang w:val="en-US" w:eastAsia="zh-CN" w:bidi="ar-SA"/>
        </w:rPr>
        <w:fldChar w:fldCharType="begin"/>
      </w:r>
      <w:r>
        <w:rPr>
          <w:rFonts w:hint="eastAsia" w:ascii="仿宋" w:hAnsi="仿宋" w:eastAsia="仿宋" w:cs="仿宋"/>
          <w:color w:val="auto"/>
          <w:kern w:val="0"/>
          <w:sz w:val="24"/>
          <w:szCs w:val="24"/>
          <w:highlight w:val="none"/>
          <w:lang w:val="en-US" w:eastAsia="zh-CN" w:bidi="ar-SA"/>
        </w:rPr>
        <w:instrText xml:space="preserve"> HYPERLINK "http://zfcg.czt.zj.gov.cn/）。" </w:instrText>
      </w:r>
      <w:r>
        <w:rPr>
          <w:rFonts w:hint="eastAsia" w:ascii="仿宋" w:hAnsi="仿宋" w:eastAsia="仿宋" w:cs="仿宋"/>
          <w:color w:val="auto"/>
          <w:kern w:val="0"/>
          <w:sz w:val="24"/>
          <w:szCs w:val="24"/>
          <w:highlight w:val="none"/>
          <w:lang w:val="en-US" w:eastAsia="zh-CN" w:bidi="ar-SA"/>
        </w:rPr>
        <w:fldChar w:fldCharType="separate"/>
      </w:r>
      <w:r>
        <w:rPr>
          <w:rFonts w:hint="eastAsia" w:ascii="仿宋" w:hAnsi="仿宋" w:eastAsia="仿宋" w:cs="仿宋"/>
          <w:color w:val="auto"/>
          <w:kern w:val="0"/>
          <w:sz w:val="24"/>
          <w:szCs w:val="24"/>
          <w:highlight w:val="none"/>
          <w:lang w:val="en-US" w:eastAsia="zh-CN" w:bidi="ar-SA"/>
        </w:rPr>
        <w:t>http://zfcg.czt.zj.gov.cn/）。</w:t>
      </w:r>
      <w:r>
        <w:rPr>
          <w:rFonts w:hint="eastAsia" w:ascii="仿宋" w:hAnsi="仿宋" w:eastAsia="仿宋" w:cs="仿宋"/>
          <w:color w:val="auto"/>
          <w:kern w:val="0"/>
          <w:sz w:val="24"/>
          <w:szCs w:val="24"/>
          <w:highlight w:val="none"/>
          <w:lang w:val="en-US" w:eastAsia="zh-CN" w:bidi="ar-SA"/>
        </w:rPr>
        <w:fldChar w:fldCharType="end"/>
      </w:r>
    </w:p>
    <w:p w14:paraId="36C94191">
      <w:pPr>
        <w:widowControl/>
        <w:spacing w:before="75" w:beforeAutospacing="0" w:after="75" w:afterAutospacing="0" w:line="300" w:lineRule="atLeast"/>
        <w:ind w:firstLine="480" w:firstLineChars="20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4.3投标供应商应安装“政采云投标客户端”，电子投标工具请投标供应商自行前往浙江政府采购网下载并安装，（下载网址：</w:t>
      </w:r>
      <w:r>
        <w:rPr>
          <w:rFonts w:hint="eastAsia" w:ascii="仿宋" w:hAnsi="仿宋" w:eastAsia="仿宋" w:cs="仿宋"/>
          <w:color w:val="auto"/>
          <w:kern w:val="0"/>
          <w:sz w:val="24"/>
          <w:szCs w:val="24"/>
          <w:highlight w:val="none"/>
          <w:lang w:val="en-US" w:eastAsia="zh-CN" w:bidi="ar-SA"/>
        </w:rPr>
        <w:fldChar w:fldCharType="begin"/>
      </w:r>
      <w:r>
        <w:rPr>
          <w:rFonts w:hint="eastAsia" w:ascii="仿宋" w:hAnsi="仿宋" w:eastAsia="仿宋" w:cs="仿宋"/>
          <w:color w:val="auto"/>
          <w:kern w:val="0"/>
          <w:sz w:val="24"/>
          <w:szCs w:val="24"/>
          <w:highlight w:val="none"/>
          <w:lang w:val="en-US" w:eastAsia="zh-CN" w:bidi="ar-SA"/>
        </w:rPr>
        <w:instrText xml:space="preserve"> HYPERLINK "http://zfcg.czt.zj.gov.cn/）。" </w:instrText>
      </w:r>
      <w:r>
        <w:rPr>
          <w:rFonts w:hint="eastAsia" w:ascii="仿宋" w:hAnsi="仿宋" w:eastAsia="仿宋" w:cs="仿宋"/>
          <w:color w:val="auto"/>
          <w:kern w:val="0"/>
          <w:sz w:val="24"/>
          <w:szCs w:val="24"/>
          <w:highlight w:val="none"/>
          <w:lang w:val="en-US" w:eastAsia="zh-CN" w:bidi="ar-SA"/>
        </w:rPr>
        <w:fldChar w:fldCharType="separate"/>
      </w:r>
      <w:r>
        <w:rPr>
          <w:rFonts w:hint="eastAsia" w:ascii="仿宋" w:hAnsi="仿宋" w:eastAsia="仿宋" w:cs="仿宋"/>
          <w:color w:val="auto"/>
          <w:kern w:val="0"/>
          <w:sz w:val="24"/>
          <w:szCs w:val="24"/>
          <w:highlight w:val="none"/>
          <w:lang w:val="en-US" w:eastAsia="zh-CN" w:bidi="ar-SA"/>
        </w:rPr>
        <w:t>http://zfcg.czt.zj.gov.cn/）。</w:t>
      </w:r>
      <w:r>
        <w:rPr>
          <w:rFonts w:hint="eastAsia" w:ascii="仿宋" w:hAnsi="仿宋" w:eastAsia="仿宋" w:cs="仿宋"/>
          <w:color w:val="auto"/>
          <w:kern w:val="0"/>
          <w:sz w:val="24"/>
          <w:szCs w:val="24"/>
          <w:highlight w:val="none"/>
          <w:lang w:val="en-US" w:eastAsia="zh-CN" w:bidi="ar-SA"/>
        </w:rPr>
        <w:fldChar w:fldCharType="end"/>
      </w:r>
    </w:p>
    <w:p w14:paraId="59928ACE">
      <w:pPr>
        <w:widowControl/>
        <w:spacing w:before="75" w:beforeAutospacing="0" w:after="75" w:afterAutospacing="0" w:line="300" w:lineRule="atLeast"/>
        <w:ind w:firstLine="480" w:firstLineChars="20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4.4电子交易具体流程详见操作指南：登录政府采购云平台（http://zfcg.czt.zj.gov.cn/），从首页-服务中心-帮助文档-项目采购-电子招投标，查看文档和视频。</w:t>
      </w:r>
    </w:p>
    <w:p w14:paraId="5D014EF8">
      <w:pPr>
        <w:widowControl/>
        <w:spacing w:before="75" w:beforeAutospacing="0" w:after="75" w:afterAutospacing="0" w:line="300" w:lineRule="atLeast"/>
        <w:ind w:firstLine="480" w:firstLineChars="20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4.5如有疑问，可致电政府采购云平台技术支持热线咨询，联系方式：95763。</w:t>
      </w:r>
    </w:p>
    <w:p w14:paraId="147F4CDD">
      <w:pPr>
        <w:widowControl/>
        <w:spacing w:before="75" w:beforeAutospacing="0" w:after="75" w:afterAutospacing="0" w:line="300" w:lineRule="atLeast"/>
        <w:ind w:firstLine="480" w:firstLineChars="20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4.6供应商应当在投标截止时间前完成“电子加密响应文件”的在线提交，投标截止时间前可以补充、修改或者撤回电子加密响应文件。补充或者修改电子加密响应文件的，应当先行撤回原文件，补充、修改后重新上传提交。投标截止时间前未完成提交的，视为撤回响应文件。逾期递交的电子加密响应文件，将被政采云平台拒收。</w:t>
      </w:r>
    </w:p>
    <w:p w14:paraId="58F1123D">
      <w:pPr>
        <w:pStyle w:val="21"/>
        <w:spacing w:before="128" w:after="156" w:line="150" w:lineRule="atLeast"/>
        <w:ind w:firstLine="420"/>
        <w:jc w:val="both"/>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SA"/>
        </w:rPr>
        <w:t>4.7中标人应在合同签订前完成政府采购云平台（http://zfcg.czt.zj.gov.cn/）全部注册步骤并成为正式注册入库供应商，否则将导致合同款无法正常支付，责任由中标人承担。</w:t>
      </w:r>
    </w:p>
    <w:p w14:paraId="120A05E7">
      <w:pPr>
        <w:pStyle w:val="21"/>
        <w:shd w:val="clear" w:color="auto" w:fill="FFFFFF"/>
        <w:spacing w:before="128" w:after="156" w:line="240" w:lineRule="atLeast"/>
        <w:jc w:val="both"/>
        <w:rPr>
          <w:rFonts w:ascii="宋体" w:hAnsi="宋体" w:eastAsia="宋体" w:cs="宋体"/>
          <w:color w:val="auto"/>
          <w:sz w:val="24"/>
          <w:szCs w:val="24"/>
          <w:highlight w:val="none"/>
        </w:rPr>
      </w:pPr>
      <w:r>
        <w:rPr>
          <w:rStyle w:val="29"/>
          <w:rFonts w:hint="eastAsia" w:ascii="宋体" w:hAnsi="宋体" w:eastAsia="宋体" w:cs="宋体"/>
          <w:color w:val="auto"/>
          <w:sz w:val="24"/>
          <w:szCs w:val="24"/>
          <w:highlight w:val="none"/>
          <w:shd w:val="clear" w:color="auto" w:fill="FFFFFF"/>
        </w:rPr>
        <w:t>八、凡对本次招标提出询问、质疑、投诉，请按以下方式联系</w:t>
      </w:r>
    </w:p>
    <w:p w14:paraId="47406127">
      <w:pPr>
        <w:pStyle w:val="21"/>
        <w:spacing w:before="128" w:after="156" w:line="150" w:lineRule="atLeast"/>
        <w:ind w:firstLine="42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1.采购人信息</w:t>
      </w:r>
    </w:p>
    <w:p w14:paraId="236CC8C8">
      <w:pPr>
        <w:pStyle w:val="21"/>
        <w:spacing w:before="128" w:after="156" w:line="150" w:lineRule="atLeast"/>
        <w:ind w:firstLine="42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名    称：泰顺县自然资源和规划局</w:t>
      </w:r>
    </w:p>
    <w:p w14:paraId="511CF2BD">
      <w:pPr>
        <w:pStyle w:val="21"/>
        <w:spacing w:before="128" w:after="156" w:line="150" w:lineRule="atLeast"/>
        <w:ind w:firstLine="42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地    址：温州市泰顺县罗阳镇常青路25号</w:t>
      </w:r>
    </w:p>
    <w:p w14:paraId="379FB23B">
      <w:pPr>
        <w:pStyle w:val="21"/>
        <w:spacing w:before="128" w:after="156" w:line="150" w:lineRule="atLeast"/>
        <w:ind w:firstLine="42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传    真：</w:t>
      </w:r>
    </w:p>
    <w:p w14:paraId="011DF900">
      <w:pPr>
        <w:pStyle w:val="21"/>
        <w:spacing w:before="128" w:after="156" w:line="150" w:lineRule="atLeast"/>
        <w:ind w:firstLine="42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项目联系人（询问）：林先生</w:t>
      </w:r>
    </w:p>
    <w:p w14:paraId="735B7273">
      <w:pPr>
        <w:pStyle w:val="21"/>
        <w:spacing w:before="128" w:after="156" w:line="150" w:lineRule="atLeast"/>
        <w:ind w:firstLine="42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项目联系方式（询问）：0577-67582404</w:t>
      </w:r>
    </w:p>
    <w:p w14:paraId="40E147AD">
      <w:pPr>
        <w:pStyle w:val="21"/>
        <w:spacing w:before="128" w:after="156" w:line="150" w:lineRule="atLeast"/>
        <w:ind w:firstLine="42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质疑联系人：徐先生</w:t>
      </w:r>
    </w:p>
    <w:p w14:paraId="165E517F">
      <w:pPr>
        <w:pStyle w:val="21"/>
        <w:spacing w:before="128" w:after="156" w:line="150" w:lineRule="atLeast"/>
        <w:ind w:firstLine="42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质疑联系方式：0577-67593464</w:t>
      </w:r>
    </w:p>
    <w:p w14:paraId="21BE3F3D">
      <w:pPr>
        <w:pStyle w:val="21"/>
        <w:spacing w:before="128" w:after="156" w:line="150" w:lineRule="atLeast"/>
        <w:ind w:firstLine="42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br w:type="textWrapping"/>
      </w:r>
      <w:r>
        <w:rPr>
          <w:rFonts w:hint="eastAsia" w:ascii="仿宋" w:hAnsi="仿宋" w:eastAsia="仿宋" w:cs="仿宋"/>
          <w:color w:val="auto"/>
          <w:kern w:val="0"/>
          <w:sz w:val="24"/>
          <w:szCs w:val="24"/>
          <w:highlight w:val="none"/>
          <w:lang w:val="en-US" w:eastAsia="zh-CN" w:bidi="ar-SA"/>
        </w:rPr>
        <w:t>2.采购代理机构信息</w:t>
      </w:r>
    </w:p>
    <w:p w14:paraId="16B1183D">
      <w:pPr>
        <w:pStyle w:val="21"/>
        <w:spacing w:before="128" w:after="156" w:line="150" w:lineRule="atLeast"/>
        <w:ind w:firstLine="42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名    称：杭州华旗招标代理有限公司</w:t>
      </w:r>
    </w:p>
    <w:p w14:paraId="0A168865">
      <w:pPr>
        <w:pStyle w:val="21"/>
        <w:spacing w:before="128" w:after="156" w:line="150" w:lineRule="atLeast"/>
        <w:ind w:firstLine="42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地    址：温州市泰顺县罗阳镇文祥大道电网弄1号301（县交通运输管理中心隔壁）</w:t>
      </w:r>
    </w:p>
    <w:p w14:paraId="24D3C0C8">
      <w:pPr>
        <w:pStyle w:val="21"/>
        <w:spacing w:before="128" w:after="156" w:line="150" w:lineRule="atLeast"/>
        <w:ind w:firstLine="42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传    真：</w:t>
      </w:r>
    </w:p>
    <w:p w14:paraId="65B8CCDF">
      <w:pPr>
        <w:pStyle w:val="21"/>
        <w:spacing w:before="128" w:after="156" w:line="150" w:lineRule="atLeast"/>
        <w:ind w:firstLine="42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项目联系人（询问）：翁爱霜</w:t>
      </w:r>
    </w:p>
    <w:p w14:paraId="6550D5FC">
      <w:pPr>
        <w:pStyle w:val="21"/>
        <w:spacing w:before="128" w:after="156" w:line="150" w:lineRule="atLeast"/>
        <w:ind w:firstLine="42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项目联系方式（询问）：17858065131</w:t>
      </w:r>
    </w:p>
    <w:p w14:paraId="170A521C">
      <w:pPr>
        <w:pStyle w:val="21"/>
        <w:spacing w:before="128" w:after="156" w:line="150" w:lineRule="atLeast"/>
        <w:ind w:firstLine="42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质疑联系人：苏红</w:t>
      </w:r>
    </w:p>
    <w:p w14:paraId="398F6564">
      <w:pPr>
        <w:pStyle w:val="21"/>
        <w:spacing w:before="128" w:after="156" w:line="150" w:lineRule="atLeast"/>
        <w:ind w:firstLine="42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质疑联系方式：15888799321</w:t>
      </w:r>
    </w:p>
    <w:p w14:paraId="290645BA">
      <w:pPr>
        <w:pStyle w:val="21"/>
        <w:spacing w:before="128" w:after="156" w:line="150" w:lineRule="atLeast"/>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br w:type="textWrapping"/>
      </w:r>
      <w:r>
        <w:rPr>
          <w:rFonts w:hint="eastAsia" w:ascii="仿宋" w:hAnsi="仿宋" w:eastAsia="仿宋" w:cs="仿宋"/>
          <w:color w:val="auto"/>
          <w:kern w:val="0"/>
          <w:sz w:val="24"/>
          <w:szCs w:val="24"/>
          <w:highlight w:val="none"/>
          <w:lang w:val="en-US" w:eastAsia="zh-CN" w:bidi="ar-SA"/>
        </w:rPr>
        <w:t>3.同级政府采购监督管理部门</w:t>
      </w:r>
    </w:p>
    <w:p w14:paraId="73F3D79C">
      <w:pPr>
        <w:pStyle w:val="21"/>
        <w:spacing w:before="128" w:after="156" w:line="150" w:lineRule="atLeast"/>
        <w:ind w:firstLine="42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名称：泰顺县财政局（浙江省政府采购行政裁决服务中心（温州））</w:t>
      </w:r>
    </w:p>
    <w:p w14:paraId="2CFA9BBE">
      <w:pPr>
        <w:pStyle w:val="21"/>
        <w:spacing w:before="128" w:after="156" w:line="150" w:lineRule="atLeast"/>
        <w:ind w:firstLine="42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地址：温州市鹿城区滨江街道瓯江路展银大厦1606室</w:t>
      </w:r>
    </w:p>
    <w:p w14:paraId="414911D2">
      <w:pPr>
        <w:pStyle w:val="21"/>
        <w:spacing w:before="128" w:after="156" w:line="150" w:lineRule="atLeast"/>
        <w:ind w:firstLine="42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传真：</w:t>
      </w:r>
    </w:p>
    <w:p w14:paraId="69E987DF">
      <w:pPr>
        <w:pStyle w:val="21"/>
        <w:spacing w:before="128" w:after="156" w:line="150" w:lineRule="atLeast"/>
        <w:ind w:firstLine="42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联系人：李老师、王老师</w:t>
      </w:r>
    </w:p>
    <w:p w14:paraId="0968D4EB">
      <w:pPr>
        <w:pStyle w:val="21"/>
        <w:spacing w:before="128" w:after="156" w:line="150" w:lineRule="atLeast"/>
        <w:ind w:firstLine="42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监督投诉电话：0577-85501561，0577-85501562</w:t>
      </w:r>
    </w:p>
    <w:p w14:paraId="5A1463E9">
      <w:pPr>
        <w:pStyle w:val="21"/>
        <w:spacing w:before="128" w:after="156" w:line="150" w:lineRule="atLeast"/>
        <w:ind w:firstLine="420"/>
        <w:jc w:val="both"/>
        <w:rPr>
          <w:rFonts w:hint="eastAsia" w:ascii="仿宋" w:hAnsi="仿宋" w:eastAsia="仿宋" w:cs="仿宋"/>
          <w:color w:val="auto"/>
          <w:kern w:val="0"/>
          <w:sz w:val="24"/>
          <w:szCs w:val="24"/>
          <w:highlight w:val="none"/>
          <w:lang w:val="zh-CN" w:eastAsia="zh-CN" w:bidi="ar-SA"/>
        </w:rPr>
      </w:pPr>
    </w:p>
    <w:p w14:paraId="13D1EEF7">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24"/>
          <w:szCs w:val="24"/>
          <w:highlight w:val="none"/>
          <w:lang w:val="zh-CN"/>
        </w:rPr>
      </w:pPr>
    </w:p>
    <w:p w14:paraId="7A1C4BD2">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lang w:val="zh-CN"/>
        </w:rPr>
      </w:pPr>
    </w:p>
    <w:p w14:paraId="53BE05A6">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lang w:val="zh-CN"/>
        </w:rPr>
      </w:pPr>
    </w:p>
    <w:p w14:paraId="01BDDCCF">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lang w:val="zh-CN"/>
        </w:rPr>
      </w:pPr>
    </w:p>
    <w:p w14:paraId="4D7FFA1E">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lang w:val="zh-CN"/>
        </w:rPr>
      </w:pPr>
    </w:p>
    <w:p w14:paraId="03979670">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lang w:val="zh-CN"/>
        </w:rPr>
      </w:pPr>
    </w:p>
    <w:p w14:paraId="7DEB9A27">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lang w:val="zh-CN"/>
        </w:rPr>
      </w:pPr>
    </w:p>
    <w:p w14:paraId="6F44D92A">
      <w:pPr>
        <w:tabs>
          <w:tab w:val="left" w:pos="1069"/>
          <w:tab w:val="left" w:pos="1080"/>
          <w:tab w:val="left" w:pos="2352"/>
        </w:tabs>
        <w:autoSpaceDE w:val="0"/>
        <w:autoSpaceDN w:val="0"/>
        <w:adjustRightInd w:val="0"/>
        <w:spacing w:line="500" w:lineRule="atLeast"/>
        <w:jc w:val="center"/>
        <w:textAlignment w:val="baseline"/>
        <w:rPr>
          <w:rFonts w:hint="eastAsia" w:ascii="宋体" w:hAnsi="宋体" w:cs="宋体"/>
          <w:b/>
          <w:bCs/>
          <w:color w:val="auto"/>
          <w:sz w:val="32"/>
          <w:szCs w:val="32"/>
          <w:highlight w:val="none"/>
          <w:lang w:val="zh-CN"/>
        </w:rPr>
      </w:pPr>
    </w:p>
    <w:p w14:paraId="4BDCA039">
      <w:pPr>
        <w:tabs>
          <w:tab w:val="left" w:pos="1069"/>
          <w:tab w:val="left" w:pos="1080"/>
          <w:tab w:val="left" w:pos="2352"/>
        </w:tabs>
        <w:autoSpaceDE w:val="0"/>
        <w:autoSpaceDN w:val="0"/>
        <w:adjustRightInd w:val="0"/>
        <w:spacing w:line="500" w:lineRule="atLeast"/>
        <w:jc w:val="center"/>
        <w:textAlignment w:val="baseline"/>
        <w:rPr>
          <w:rFonts w:hint="eastAsia" w:ascii="宋体" w:hAnsi="宋体" w:cs="宋体"/>
          <w:b/>
          <w:bCs/>
          <w:color w:val="auto"/>
          <w:sz w:val="32"/>
          <w:szCs w:val="32"/>
          <w:highlight w:val="none"/>
          <w:lang w:val="zh-CN"/>
        </w:rPr>
      </w:pPr>
    </w:p>
    <w:p w14:paraId="608D0787">
      <w:pPr>
        <w:tabs>
          <w:tab w:val="left" w:pos="1069"/>
          <w:tab w:val="left" w:pos="1080"/>
          <w:tab w:val="left" w:pos="2352"/>
        </w:tabs>
        <w:autoSpaceDE w:val="0"/>
        <w:autoSpaceDN w:val="0"/>
        <w:adjustRightInd w:val="0"/>
        <w:spacing w:line="500" w:lineRule="atLeast"/>
        <w:jc w:val="center"/>
        <w:textAlignment w:val="baseline"/>
        <w:rPr>
          <w:rFonts w:hint="eastAsia" w:ascii="宋体" w:hAnsi="宋体" w:cs="宋体"/>
          <w:b/>
          <w:bCs/>
          <w:color w:val="auto"/>
          <w:sz w:val="32"/>
          <w:szCs w:val="32"/>
          <w:highlight w:val="none"/>
          <w:lang w:val="zh-CN"/>
        </w:rPr>
      </w:pPr>
    </w:p>
    <w:p w14:paraId="27625F68">
      <w:pPr>
        <w:tabs>
          <w:tab w:val="left" w:pos="1069"/>
          <w:tab w:val="left" w:pos="1080"/>
          <w:tab w:val="left" w:pos="2352"/>
        </w:tabs>
        <w:autoSpaceDE w:val="0"/>
        <w:autoSpaceDN w:val="0"/>
        <w:adjustRightInd w:val="0"/>
        <w:spacing w:line="500" w:lineRule="atLeast"/>
        <w:jc w:val="center"/>
        <w:textAlignment w:val="baseline"/>
        <w:rPr>
          <w:rFonts w:hint="eastAsia" w:ascii="宋体" w:hAnsi="宋体" w:cs="宋体"/>
          <w:b/>
          <w:bCs/>
          <w:color w:val="auto"/>
          <w:sz w:val="32"/>
          <w:szCs w:val="32"/>
          <w:highlight w:val="none"/>
          <w:lang w:val="zh-CN"/>
        </w:rPr>
      </w:pPr>
    </w:p>
    <w:p w14:paraId="406DE600">
      <w:pPr>
        <w:tabs>
          <w:tab w:val="left" w:pos="1069"/>
          <w:tab w:val="left" w:pos="1080"/>
          <w:tab w:val="left" w:pos="2352"/>
        </w:tabs>
        <w:autoSpaceDE w:val="0"/>
        <w:autoSpaceDN w:val="0"/>
        <w:adjustRightInd w:val="0"/>
        <w:spacing w:line="500" w:lineRule="atLeast"/>
        <w:jc w:val="center"/>
        <w:textAlignment w:val="baseline"/>
        <w:rPr>
          <w:rFonts w:hint="eastAsia" w:ascii="宋体" w:hAnsi="宋体" w:cs="宋体"/>
          <w:b/>
          <w:bCs/>
          <w:color w:val="auto"/>
          <w:sz w:val="32"/>
          <w:szCs w:val="32"/>
          <w:highlight w:val="none"/>
          <w:lang w:val="zh-CN"/>
        </w:rPr>
      </w:pPr>
    </w:p>
    <w:p w14:paraId="20C9ED86">
      <w:pPr>
        <w:tabs>
          <w:tab w:val="left" w:pos="1069"/>
          <w:tab w:val="left" w:pos="1080"/>
          <w:tab w:val="left" w:pos="2352"/>
        </w:tabs>
        <w:autoSpaceDE w:val="0"/>
        <w:autoSpaceDN w:val="0"/>
        <w:adjustRightInd w:val="0"/>
        <w:spacing w:line="500" w:lineRule="atLeast"/>
        <w:jc w:val="center"/>
        <w:textAlignment w:val="baseline"/>
        <w:rPr>
          <w:rFonts w:hint="eastAsia" w:ascii="宋体" w:hAnsi="宋体" w:cs="宋体"/>
          <w:b/>
          <w:bCs/>
          <w:color w:val="auto"/>
          <w:sz w:val="32"/>
          <w:szCs w:val="32"/>
          <w:highlight w:val="none"/>
          <w:lang w:val="zh-CN"/>
        </w:rPr>
      </w:pPr>
    </w:p>
    <w:p w14:paraId="0FF350F9">
      <w:pPr>
        <w:pStyle w:val="3"/>
        <w:rPr>
          <w:rFonts w:hint="eastAsia"/>
          <w:color w:val="auto"/>
          <w:lang w:val="zh-CN"/>
        </w:rPr>
      </w:pPr>
    </w:p>
    <w:p w14:paraId="410EC339">
      <w:pPr>
        <w:tabs>
          <w:tab w:val="left" w:pos="1069"/>
          <w:tab w:val="left" w:pos="1080"/>
          <w:tab w:val="left" w:pos="2352"/>
        </w:tabs>
        <w:autoSpaceDE w:val="0"/>
        <w:autoSpaceDN w:val="0"/>
        <w:adjustRightInd w:val="0"/>
        <w:spacing w:line="500" w:lineRule="atLeast"/>
        <w:jc w:val="center"/>
        <w:textAlignment w:val="baseline"/>
        <w:rPr>
          <w:rFonts w:hint="eastAsia" w:ascii="宋体" w:hAnsi="宋体" w:cs="宋体"/>
          <w:b/>
          <w:bCs/>
          <w:color w:val="auto"/>
          <w:sz w:val="32"/>
          <w:szCs w:val="32"/>
          <w:highlight w:val="none"/>
          <w:lang w:val="zh-CN"/>
        </w:rPr>
      </w:pPr>
    </w:p>
    <w:p w14:paraId="591456D5">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第一部分、投标邀请函（投标须知前附表）</w:t>
      </w:r>
      <w:bookmarkEnd w:id="1"/>
    </w:p>
    <w:tbl>
      <w:tblPr>
        <w:tblStyle w:val="26"/>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2658BF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54" w:hRule="atLeast"/>
          <w:jc w:val="center"/>
        </w:trPr>
        <w:tc>
          <w:tcPr>
            <w:tcW w:w="952" w:type="dxa"/>
            <w:tcBorders>
              <w:top w:val="single" w:color="auto" w:sz="12" w:space="0"/>
            </w:tcBorders>
            <w:vAlign w:val="center"/>
          </w:tcPr>
          <w:p w14:paraId="2BFA395B">
            <w:pPr>
              <w:tabs>
                <w:tab w:val="left" w:pos="1069"/>
                <w:tab w:val="left" w:pos="2352"/>
              </w:tabs>
              <w:spacing w:line="400" w:lineRule="atLeast"/>
              <w:jc w:val="right"/>
              <w:rPr>
                <w:rFonts w:ascii="宋体" w:hAnsi="宋体" w:cs="宋体"/>
                <w:color w:val="auto"/>
                <w:sz w:val="22"/>
                <w:highlight w:val="none"/>
              </w:rPr>
            </w:pPr>
            <w:r>
              <w:rPr>
                <w:rFonts w:hint="eastAsia" w:ascii="宋体" w:hAnsi="宋体" w:cs="宋体"/>
                <w:color w:val="auto"/>
                <w:sz w:val="22"/>
                <w:highlight w:val="none"/>
              </w:rPr>
              <w:t>项号</w:t>
            </w:r>
          </w:p>
        </w:tc>
        <w:tc>
          <w:tcPr>
            <w:tcW w:w="1600" w:type="dxa"/>
            <w:tcBorders>
              <w:top w:val="single" w:color="auto" w:sz="12" w:space="0"/>
            </w:tcBorders>
            <w:vAlign w:val="center"/>
          </w:tcPr>
          <w:p w14:paraId="2108045A">
            <w:pPr>
              <w:tabs>
                <w:tab w:val="left" w:pos="1069"/>
                <w:tab w:val="left" w:pos="2352"/>
              </w:tabs>
              <w:spacing w:line="400" w:lineRule="atLeast"/>
              <w:jc w:val="center"/>
              <w:rPr>
                <w:rFonts w:ascii="宋体" w:hAnsi="宋体" w:cs="宋体"/>
                <w:color w:val="auto"/>
                <w:sz w:val="22"/>
                <w:highlight w:val="none"/>
              </w:rPr>
            </w:pPr>
            <w:r>
              <w:rPr>
                <w:rFonts w:hint="eastAsia" w:ascii="宋体" w:hAnsi="宋体" w:cs="宋体"/>
                <w:color w:val="auto"/>
                <w:sz w:val="22"/>
                <w:highlight w:val="none"/>
              </w:rPr>
              <w:t>内容</w:t>
            </w:r>
          </w:p>
        </w:tc>
        <w:tc>
          <w:tcPr>
            <w:tcW w:w="7619" w:type="dxa"/>
            <w:tcBorders>
              <w:top w:val="single" w:color="auto" w:sz="12" w:space="0"/>
            </w:tcBorders>
            <w:vAlign w:val="center"/>
          </w:tcPr>
          <w:p w14:paraId="6252B646">
            <w:pPr>
              <w:tabs>
                <w:tab w:val="left" w:pos="1069"/>
                <w:tab w:val="left" w:pos="2352"/>
              </w:tabs>
              <w:spacing w:line="400" w:lineRule="atLeast"/>
              <w:jc w:val="center"/>
              <w:rPr>
                <w:rFonts w:ascii="宋体" w:hAnsi="宋体" w:cs="宋体"/>
                <w:color w:val="auto"/>
                <w:sz w:val="22"/>
                <w:highlight w:val="none"/>
              </w:rPr>
            </w:pPr>
            <w:r>
              <w:rPr>
                <w:rFonts w:hint="eastAsia" w:ascii="宋体" w:hAnsi="宋体" w:cs="宋体"/>
                <w:color w:val="auto"/>
                <w:sz w:val="22"/>
                <w:highlight w:val="none"/>
              </w:rPr>
              <w:t>说明与要求</w:t>
            </w:r>
          </w:p>
        </w:tc>
      </w:tr>
      <w:tr w14:paraId="692ECF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50028108">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2E3D0EB8">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项目名称</w:t>
            </w:r>
          </w:p>
        </w:tc>
        <w:tc>
          <w:tcPr>
            <w:tcW w:w="7619" w:type="dxa"/>
            <w:vAlign w:val="center"/>
          </w:tcPr>
          <w:p w14:paraId="2EA5DD80">
            <w:pPr>
              <w:tabs>
                <w:tab w:val="left" w:pos="1069"/>
                <w:tab w:val="left" w:pos="2352"/>
              </w:tabs>
              <w:rPr>
                <w:rFonts w:hint="eastAsia" w:ascii="宋体" w:hAnsi="宋体" w:eastAsia="宋体" w:cs="宋体"/>
                <w:color w:val="auto"/>
                <w:sz w:val="22"/>
                <w:highlight w:val="none"/>
                <w:lang w:eastAsia="zh-CN"/>
              </w:rPr>
            </w:pPr>
            <w:r>
              <w:rPr>
                <w:rFonts w:hint="eastAsia" w:ascii="宋体" w:hAnsi="宋体" w:cs="宋体"/>
                <w:bCs/>
                <w:color w:val="auto"/>
                <w:sz w:val="22"/>
                <w:highlight w:val="none"/>
                <w:lang w:eastAsia="zh-CN"/>
              </w:rPr>
              <w:t>2025年泰顺县森林资源动态监测与评价</w:t>
            </w:r>
          </w:p>
        </w:tc>
      </w:tr>
      <w:tr w14:paraId="51FA2B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160D6C7">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17036422">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项目编号</w:t>
            </w:r>
          </w:p>
        </w:tc>
        <w:tc>
          <w:tcPr>
            <w:tcW w:w="7619" w:type="dxa"/>
            <w:vAlign w:val="center"/>
          </w:tcPr>
          <w:p w14:paraId="71D694FD">
            <w:pPr>
              <w:tabs>
                <w:tab w:val="left" w:pos="1069"/>
                <w:tab w:val="left" w:pos="2352"/>
              </w:tabs>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 xml:space="preserve">330329253440010000110-TSCG202512013 </w:t>
            </w:r>
          </w:p>
        </w:tc>
      </w:tr>
      <w:tr w14:paraId="3A14A9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52C148F3">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58D712AD">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资金来源</w:t>
            </w:r>
          </w:p>
        </w:tc>
        <w:tc>
          <w:tcPr>
            <w:tcW w:w="7619" w:type="dxa"/>
            <w:vAlign w:val="center"/>
          </w:tcPr>
          <w:p w14:paraId="2D07A507">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财政性资金</w:t>
            </w:r>
          </w:p>
        </w:tc>
      </w:tr>
      <w:tr w14:paraId="2AD1E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13D8B71D">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4457743D">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采购方式</w:t>
            </w:r>
          </w:p>
        </w:tc>
        <w:tc>
          <w:tcPr>
            <w:tcW w:w="7619" w:type="dxa"/>
            <w:vAlign w:val="center"/>
          </w:tcPr>
          <w:p w14:paraId="0DD9B973">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竞争性磋商</w:t>
            </w:r>
          </w:p>
        </w:tc>
      </w:tr>
      <w:tr w14:paraId="4F011E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AE44C37">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7FE9AAA7">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采购预算</w:t>
            </w:r>
          </w:p>
          <w:p w14:paraId="437C31B5">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（最高限价）</w:t>
            </w:r>
          </w:p>
        </w:tc>
        <w:tc>
          <w:tcPr>
            <w:tcW w:w="7619" w:type="dxa"/>
            <w:vAlign w:val="center"/>
          </w:tcPr>
          <w:p w14:paraId="189D2160">
            <w:pPr>
              <w:tabs>
                <w:tab w:val="left" w:pos="1069"/>
                <w:tab w:val="left" w:pos="2352"/>
              </w:tabs>
              <w:rPr>
                <w:rFonts w:ascii="宋体" w:hAnsi="宋体" w:cs="宋体"/>
                <w:color w:val="auto"/>
                <w:sz w:val="22"/>
                <w:highlight w:val="none"/>
              </w:rPr>
            </w:pPr>
            <w:r>
              <w:rPr>
                <w:rFonts w:hint="eastAsia" w:ascii="宋体" w:hAnsi="宋体" w:cs="宋体"/>
                <w:bCs/>
                <w:color w:val="auto"/>
                <w:sz w:val="22"/>
                <w:highlight w:val="none"/>
                <w:lang w:val="en-US" w:eastAsia="zh-CN"/>
              </w:rPr>
              <w:t>48</w:t>
            </w:r>
            <w:r>
              <w:rPr>
                <w:rFonts w:hint="eastAsia" w:ascii="宋体" w:hAnsi="宋体" w:cs="宋体"/>
                <w:bCs/>
                <w:color w:val="auto"/>
                <w:sz w:val="22"/>
                <w:highlight w:val="none"/>
              </w:rPr>
              <w:t>万元</w:t>
            </w:r>
          </w:p>
        </w:tc>
      </w:tr>
      <w:tr w14:paraId="0465EE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4885B7F0">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39E02035">
            <w:pPr>
              <w:tabs>
                <w:tab w:val="left" w:pos="1069"/>
              </w:tabs>
              <w:adjustRightInd w:val="0"/>
              <w:jc w:val="center"/>
              <w:rPr>
                <w:rFonts w:ascii="宋体" w:hAnsi="宋体" w:cs="宋体"/>
                <w:color w:val="auto"/>
                <w:sz w:val="22"/>
                <w:highlight w:val="none"/>
              </w:rPr>
            </w:pPr>
            <w:r>
              <w:rPr>
                <w:rFonts w:hint="eastAsia" w:ascii="宋体" w:hAnsi="宋体" w:cs="宋体"/>
                <w:color w:val="auto"/>
                <w:sz w:val="22"/>
                <w:highlight w:val="none"/>
              </w:rPr>
              <w:t>采购人</w:t>
            </w:r>
          </w:p>
        </w:tc>
        <w:tc>
          <w:tcPr>
            <w:tcW w:w="7619" w:type="dxa"/>
            <w:vAlign w:val="center"/>
          </w:tcPr>
          <w:p w14:paraId="3B5212CC">
            <w:pPr>
              <w:tabs>
                <w:tab w:val="left" w:pos="1069"/>
              </w:tabs>
              <w:adjustRightInd w:val="0"/>
              <w:jc w:val="left"/>
              <w:rPr>
                <w:rFonts w:ascii="宋体" w:hAnsi="宋体" w:cs="宋体"/>
                <w:color w:val="auto"/>
                <w:sz w:val="22"/>
                <w:highlight w:val="none"/>
              </w:rPr>
            </w:pPr>
            <w:r>
              <w:rPr>
                <w:rFonts w:hint="eastAsia" w:ascii="宋体" w:hAnsi="宋体" w:cs="宋体"/>
                <w:color w:val="auto"/>
                <w:sz w:val="22"/>
                <w:highlight w:val="none"/>
              </w:rPr>
              <w:t>详见采购公告</w:t>
            </w:r>
          </w:p>
        </w:tc>
      </w:tr>
      <w:tr w14:paraId="72F208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64E10F9">
            <w:pPr>
              <w:widowControl/>
              <w:numPr>
                <w:ilvl w:val="0"/>
                <w:numId w:val="2"/>
              </w:numPr>
              <w:tabs>
                <w:tab w:val="left" w:pos="420"/>
                <w:tab w:val="left" w:pos="1069"/>
                <w:tab w:val="left" w:pos="2352"/>
                <w:tab w:val="clear" w:pos="720"/>
              </w:tabs>
              <w:ind w:left="420" w:right="105" w:hanging="420"/>
              <w:jc w:val="right"/>
              <w:rPr>
                <w:rFonts w:ascii="宋体" w:hAnsi="宋体" w:cs="宋体"/>
                <w:color w:val="auto"/>
                <w:sz w:val="22"/>
                <w:highlight w:val="none"/>
              </w:rPr>
            </w:pPr>
          </w:p>
        </w:tc>
        <w:tc>
          <w:tcPr>
            <w:tcW w:w="1600" w:type="dxa"/>
            <w:vAlign w:val="center"/>
          </w:tcPr>
          <w:p w14:paraId="58A3F41D">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招标代理机构</w:t>
            </w:r>
          </w:p>
        </w:tc>
        <w:tc>
          <w:tcPr>
            <w:tcW w:w="7619" w:type="dxa"/>
            <w:vAlign w:val="center"/>
          </w:tcPr>
          <w:p w14:paraId="5604BC0D">
            <w:pPr>
              <w:tabs>
                <w:tab w:val="left" w:pos="1069"/>
                <w:tab w:val="left" w:pos="2352"/>
              </w:tabs>
              <w:adjustRightInd w:val="0"/>
              <w:jc w:val="left"/>
              <w:rPr>
                <w:rFonts w:ascii="宋体" w:hAnsi="宋体" w:cs="宋体"/>
                <w:color w:val="auto"/>
                <w:sz w:val="22"/>
                <w:highlight w:val="none"/>
              </w:rPr>
            </w:pPr>
            <w:r>
              <w:rPr>
                <w:rFonts w:hint="eastAsia" w:ascii="宋体" w:hAnsi="宋体" w:cs="宋体"/>
                <w:color w:val="auto"/>
                <w:sz w:val="22"/>
                <w:highlight w:val="none"/>
              </w:rPr>
              <w:t>详见采购公告</w:t>
            </w:r>
          </w:p>
        </w:tc>
      </w:tr>
      <w:tr w14:paraId="69FC99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7C90EBD">
            <w:pPr>
              <w:widowControl/>
              <w:numPr>
                <w:ilvl w:val="0"/>
                <w:numId w:val="2"/>
              </w:numPr>
              <w:tabs>
                <w:tab w:val="left" w:pos="420"/>
                <w:tab w:val="left" w:pos="1069"/>
                <w:tab w:val="left" w:pos="2352"/>
                <w:tab w:val="clear" w:pos="720"/>
              </w:tabs>
              <w:ind w:left="420" w:right="105" w:hanging="420"/>
              <w:jc w:val="right"/>
              <w:rPr>
                <w:rFonts w:ascii="宋体" w:hAnsi="宋体" w:cs="宋体"/>
                <w:color w:val="auto"/>
                <w:sz w:val="22"/>
                <w:highlight w:val="none"/>
              </w:rPr>
            </w:pPr>
          </w:p>
        </w:tc>
        <w:tc>
          <w:tcPr>
            <w:tcW w:w="1600" w:type="dxa"/>
            <w:vAlign w:val="center"/>
          </w:tcPr>
          <w:p w14:paraId="2519FC33">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评标办法</w:t>
            </w:r>
          </w:p>
        </w:tc>
        <w:tc>
          <w:tcPr>
            <w:tcW w:w="7619" w:type="dxa"/>
            <w:vAlign w:val="center"/>
          </w:tcPr>
          <w:p w14:paraId="304CAF94">
            <w:pPr>
              <w:tabs>
                <w:tab w:val="left" w:pos="1069"/>
                <w:tab w:val="left" w:pos="2352"/>
              </w:tabs>
              <w:adjustRightInd w:val="0"/>
              <w:rPr>
                <w:rFonts w:ascii="宋体" w:hAnsi="宋体" w:cs="宋体"/>
                <w:color w:val="auto"/>
                <w:sz w:val="22"/>
                <w:highlight w:val="none"/>
              </w:rPr>
            </w:pPr>
            <w:r>
              <w:rPr>
                <w:rFonts w:hint="eastAsia" w:ascii="宋体" w:hAnsi="宋体" w:cs="宋体"/>
                <w:color w:val="auto"/>
                <w:sz w:val="22"/>
                <w:highlight w:val="none"/>
              </w:rPr>
              <w:t>综合评分法</w:t>
            </w:r>
          </w:p>
        </w:tc>
      </w:tr>
      <w:tr w14:paraId="18A7A0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E58A725">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082F5981">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招标内容</w:t>
            </w:r>
          </w:p>
        </w:tc>
        <w:tc>
          <w:tcPr>
            <w:tcW w:w="7619" w:type="dxa"/>
            <w:vAlign w:val="center"/>
          </w:tcPr>
          <w:p w14:paraId="532419BF">
            <w:pPr>
              <w:tabs>
                <w:tab w:val="left" w:pos="1069"/>
                <w:tab w:val="left" w:pos="2352"/>
              </w:tabs>
              <w:adjustRightInd w:val="0"/>
              <w:rPr>
                <w:rFonts w:ascii="宋体" w:hAnsi="宋体" w:cs="宋体"/>
                <w:color w:val="auto"/>
                <w:sz w:val="22"/>
                <w:highlight w:val="none"/>
              </w:rPr>
            </w:pPr>
            <w:r>
              <w:rPr>
                <w:rFonts w:hint="eastAsia" w:ascii="宋体" w:hAnsi="宋体" w:cs="宋体"/>
                <w:color w:val="auto"/>
                <w:sz w:val="22"/>
                <w:highlight w:val="none"/>
              </w:rPr>
              <w:t>具体内容见竞争性磋商文件。</w:t>
            </w:r>
          </w:p>
        </w:tc>
      </w:tr>
      <w:tr w14:paraId="0D8B5C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0AFD26A1">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0D7F5E05">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投标供应商</w:t>
            </w:r>
          </w:p>
          <w:p w14:paraId="7FD267C7">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资格要求</w:t>
            </w:r>
          </w:p>
        </w:tc>
        <w:tc>
          <w:tcPr>
            <w:tcW w:w="7619" w:type="dxa"/>
            <w:vAlign w:val="center"/>
          </w:tcPr>
          <w:p w14:paraId="5966549F">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详见采购公告</w:t>
            </w:r>
          </w:p>
        </w:tc>
      </w:tr>
      <w:tr w14:paraId="06C103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226AFC4">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3E64946B">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踏勘现场</w:t>
            </w:r>
          </w:p>
        </w:tc>
        <w:tc>
          <w:tcPr>
            <w:tcW w:w="7619" w:type="dxa"/>
            <w:vAlign w:val="center"/>
          </w:tcPr>
          <w:p w14:paraId="40E00A41">
            <w:pPr>
              <w:tabs>
                <w:tab w:val="left" w:pos="1069"/>
                <w:tab w:val="left" w:pos="2352"/>
              </w:tabs>
              <w:rPr>
                <w:rFonts w:ascii="宋体" w:hAnsi="宋体" w:cs="宋体"/>
                <w:color w:val="auto"/>
                <w:sz w:val="22"/>
                <w:highlight w:val="none"/>
              </w:rPr>
            </w:pPr>
            <w:r>
              <w:rPr>
                <w:rFonts w:hint="eastAsia" w:ascii="宋体" w:hAnsi="宋体" w:cs="宋体"/>
                <w:b/>
                <w:bCs/>
                <w:color w:val="auto"/>
                <w:kern w:val="0"/>
                <w:sz w:val="22"/>
                <w:highlight w:val="none"/>
              </w:rPr>
              <w:fldChar w:fldCharType="begin"/>
            </w:r>
            <w:r>
              <w:rPr>
                <w:rFonts w:hint="eastAsia" w:ascii="宋体" w:hAnsi="宋体" w:cs="宋体"/>
                <w:b/>
                <w:bCs/>
                <w:color w:val="auto"/>
                <w:kern w:val="0"/>
                <w:sz w:val="22"/>
                <w:highlight w:val="none"/>
              </w:rPr>
              <w:instrText xml:space="preserve"> eq \o\ac(□</w:instrText>
            </w:r>
            <w:r>
              <w:rPr>
                <w:rFonts w:hint="eastAsia" w:ascii="宋体" w:hAnsi="宋体" w:cs="宋体"/>
                <w:b/>
                <w:bCs/>
                <w:color w:val="auto"/>
                <w:kern w:val="0"/>
                <w:sz w:val="22"/>
                <w:highlight w:val="none"/>
                <w:lang w:eastAsia="zh-CN"/>
              </w:rPr>
              <w:instrText xml:space="preserve">,</w:instrText>
            </w:r>
            <w:r>
              <w:rPr>
                <w:rFonts w:hint="eastAsia" w:ascii="宋体" w:hAnsi="宋体" w:cs="宋体"/>
                <w:b/>
                <w:bCs/>
                <w:color w:val="auto"/>
                <w:kern w:val="0"/>
                <w:position w:val="2"/>
                <w:sz w:val="15"/>
                <w:highlight w:val="none"/>
                <w:lang w:eastAsia="zh-CN"/>
              </w:rPr>
              <w:instrText xml:space="preserve">√</w:instrText>
            </w:r>
            <w:r>
              <w:rPr>
                <w:rFonts w:hint="eastAsia" w:ascii="宋体" w:hAnsi="宋体" w:cs="宋体"/>
                <w:b/>
                <w:bCs/>
                <w:color w:val="auto"/>
                <w:kern w:val="0"/>
                <w:sz w:val="22"/>
                <w:highlight w:val="none"/>
              </w:rPr>
              <w:instrText xml:space="preserve">)</w:instrText>
            </w:r>
            <w:r>
              <w:rPr>
                <w:rFonts w:hint="eastAsia" w:ascii="宋体" w:hAnsi="宋体" w:cs="宋体"/>
                <w:b/>
                <w:bCs/>
                <w:color w:val="auto"/>
                <w:kern w:val="0"/>
                <w:sz w:val="22"/>
                <w:highlight w:val="none"/>
              </w:rPr>
              <w:fldChar w:fldCharType="end"/>
            </w:r>
            <w:r>
              <w:rPr>
                <w:rFonts w:hint="eastAsia" w:ascii="宋体" w:hAnsi="宋体" w:cs="宋体"/>
                <w:color w:val="auto"/>
                <w:sz w:val="22"/>
                <w:highlight w:val="none"/>
              </w:rPr>
              <w:t>不组织</w:t>
            </w:r>
          </w:p>
          <w:p w14:paraId="0B8B5471">
            <w:pPr>
              <w:tabs>
                <w:tab w:val="left" w:pos="1069"/>
                <w:tab w:val="left" w:pos="2352"/>
              </w:tabs>
              <w:rPr>
                <w:rFonts w:ascii="宋体" w:hAnsi="宋体" w:cs="宋体"/>
                <w:color w:val="auto"/>
                <w:sz w:val="22"/>
                <w:highlight w:val="none"/>
              </w:rPr>
            </w:pPr>
            <w:r>
              <w:rPr>
                <w:rFonts w:hint="eastAsia" w:ascii="宋体" w:hAnsi="宋体" w:cs="宋体"/>
                <w:b/>
                <w:bCs/>
                <w:color w:val="auto"/>
                <w:kern w:val="0"/>
                <w:sz w:val="22"/>
                <w:highlight w:val="none"/>
              </w:rPr>
              <w:fldChar w:fldCharType="begin"/>
            </w:r>
            <w:r>
              <w:rPr>
                <w:rFonts w:hint="eastAsia" w:ascii="宋体" w:hAnsi="宋体" w:cs="宋体"/>
                <w:b/>
                <w:bCs/>
                <w:color w:val="auto"/>
                <w:kern w:val="0"/>
                <w:sz w:val="22"/>
                <w:highlight w:val="none"/>
              </w:rPr>
              <w:instrText xml:space="preserve"> eq \o\ac(□)</w:instrText>
            </w:r>
            <w:r>
              <w:rPr>
                <w:rFonts w:hint="eastAsia" w:ascii="宋体" w:hAnsi="宋体" w:cs="宋体"/>
                <w:b/>
                <w:bCs/>
                <w:color w:val="auto"/>
                <w:kern w:val="0"/>
                <w:sz w:val="22"/>
                <w:highlight w:val="none"/>
              </w:rPr>
              <w:fldChar w:fldCharType="end"/>
            </w:r>
            <w:r>
              <w:rPr>
                <w:rFonts w:hint="eastAsia" w:ascii="宋体" w:hAnsi="宋体" w:cs="宋体"/>
                <w:color w:val="auto"/>
                <w:sz w:val="22"/>
                <w:highlight w:val="none"/>
              </w:rPr>
              <w:t>组织</w:t>
            </w:r>
          </w:p>
        </w:tc>
      </w:tr>
      <w:tr w14:paraId="3D168C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627D8FA8">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61FF25AE">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是否允许递交备选投标方案</w:t>
            </w:r>
          </w:p>
        </w:tc>
        <w:tc>
          <w:tcPr>
            <w:tcW w:w="7619" w:type="dxa"/>
            <w:vAlign w:val="center"/>
          </w:tcPr>
          <w:p w14:paraId="51BE86CC">
            <w:pPr>
              <w:tabs>
                <w:tab w:val="left" w:pos="1069"/>
                <w:tab w:val="left" w:pos="2352"/>
              </w:tabs>
              <w:rPr>
                <w:rFonts w:ascii="宋体" w:hAnsi="宋体" w:cs="宋体"/>
                <w:color w:val="auto"/>
                <w:sz w:val="22"/>
                <w:highlight w:val="none"/>
              </w:rPr>
            </w:pPr>
            <w:r>
              <w:rPr>
                <w:rFonts w:hint="eastAsia" w:ascii="宋体" w:hAnsi="宋体" w:cs="宋体"/>
                <w:b/>
                <w:bCs/>
                <w:color w:val="auto"/>
                <w:kern w:val="0"/>
                <w:sz w:val="22"/>
                <w:highlight w:val="none"/>
              </w:rPr>
              <w:fldChar w:fldCharType="begin"/>
            </w:r>
            <w:r>
              <w:rPr>
                <w:rFonts w:hint="eastAsia" w:ascii="宋体" w:hAnsi="宋体" w:cs="宋体"/>
                <w:b/>
                <w:bCs/>
                <w:color w:val="auto"/>
                <w:kern w:val="0"/>
                <w:sz w:val="22"/>
                <w:highlight w:val="none"/>
              </w:rPr>
              <w:instrText xml:space="preserve"> eq \o\ac(□</w:instrText>
            </w:r>
            <w:r>
              <w:rPr>
                <w:rFonts w:hint="eastAsia" w:ascii="宋体" w:hAnsi="宋体" w:cs="宋体"/>
                <w:b/>
                <w:bCs/>
                <w:color w:val="auto"/>
                <w:kern w:val="0"/>
                <w:sz w:val="22"/>
                <w:highlight w:val="none"/>
                <w:lang w:eastAsia="zh-CN"/>
              </w:rPr>
              <w:instrText xml:space="preserve">,</w:instrText>
            </w:r>
            <w:r>
              <w:rPr>
                <w:rFonts w:hint="eastAsia" w:ascii="宋体" w:hAnsi="宋体" w:cs="宋体"/>
                <w:b/>
                <w:bCs/>
                <w:color w:val="auto"/>
                <w:kern w:val="0"/>
                <w:position w:val="2"/>
                <w:sz w:val="15"/>
                <w:highlight w:val="none"/>
                <w:lang w:eastAsia="zh-CN"/>
              </w:rPr>
              <w:instrText xml:space="preserve">√</w:instrText>
            </w:r>
            <w:r>
              <w:rPr>
                <w:rFonts w:hint="eastAsia" w:ascii="宋体" w:hAnsi="宋体" w:cs="宋体"/>
                <w:b/>
                <w:bCs/>
                <w:color w:val="auto"/>
                <w:kern w:val="0"/>
                <w:sz w:val="22"/>
                <w:highlight w:val="none"/>
              </w:rPr>
              <w:instrText xml:space="preserve">)</w:instrText>
            </w:r>
            <w:r>
              <w:rPr>
                <w:rFonts w:hint="eastAsia" w:ascii="宋体" w:hAnsi="宋体" w:cs="宋体"/>
                <w:b/>
                <w:bCs/>
                <w:color w:val="auto"/>
                <w:kern w:val="0"/>
                <w:sz w:val="22"/>
                <w:highlight w:val="none"/>
              </w:rPr>
              <w:fldChar w:fldCharType="end"/>
            </w:r>
            <w:r>
              <w:rPr>
                <w:rFonts w:hint="eastAsia" w:ascii="宋体" w:hAnsi="宋体" w:cs="宋体"/>
                <w:color w:val="auto"/>
                <w:sz w:val="22"/>
                <w:highlight w:val="none"/>
              </w:rPr>
              <w:t>不允许</w:t>
            </w:r>
          </w:p>
          <w:p w14:paraId="16D42923">
            <w:pPr>
              <w:tabs>
                <w:tab w:val="left" w:pos="1069"/>
                <w:tab w:val="left" w:pos="2352"/>
              </w:tabs>
              <w:rPr>
                <w:rFonts w:ascii="宋体" w:hAnsi="宋体" w:cs="宋体"/>
                <w:color w:val="auto"/>
                <w:sz w:val="22"/>
                <w:highlight w:val="none"/>
              </w:rPr>
            </w:pPr>
            <w:r>
              <w:rPr>
                <w:rFonts w:hint="eastAsia" w:ascii="宋体" w:hAnsi="宋体" w:cs="宋体"/>
                <w:b/>
                <w:bCs/>
                <w:color w:val="auto"/>
                <w:kern w:val="0"/>
                <w:sz w:val="22"/>
                <w:highlight w:val="none"/>
              </w:rPr>
              <w:fldChar w:fldCharType="begin"/>
            </w:r>
            <w:r>
              <w:rPr>
                <w:rFonts w:hint="eastAsia" w:ascii="宋体" w:hAnsi="宋体" w:cs="宋体"/>
                <w:b/>
                <w:bCs/>
                <w:color w:val="auto"/>
                <w:kern w:val="0"/>
                <w:sz w:val="22"/>
                <w:highlight w:val="none"/>
              </w:rPr>
              <w:instrText xml:space="preserve"> eq \o\ac(□)</w:instrText>
            </w:r>
            <w:r>
              <w:rPr>
                <w:rFonts w:hint="eastAsia" w:ascii="宋体" w:hAnsi="宋体" w:cs="宋体"/>
                <w:b/>
                <w:bCs/>
                <w:color w:val="auto"/>
                <w:kern w:val="0"/>
                <w:sz w:val="22"/>
                <w:highlight w:val="none"/>
              </w:rPr>
              <w:fldChar w:fldCharType="end"/>
            </w:r>
            <w:r>
              <w:rPr>
                <w:rFonts w:hint="eastAsia" w:ascii="宋体" w:hAnsi="宋体" w:cs="宋体"/>
                <w:color w:val="auto"/>
                <w:sz w:val="22"/>
                <w:highlight w:val="none"/>
              </w:rPr>
              <w:t>允许</w:t>
            </w:r>
          </w:p>
        </w:tc>
      </w:tr>
      <w:tr w14:paraId="0E59E9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7CEE9C29">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41FC1697">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投标货币</w:t>
            </w:r>
          </w:p>
        </w:tc>
        <w:tc>
          <w:tcPr>
            <w:tcW w:w="7619" w:type="dxa"/>
            <w:vAlign w:val="center"/>
          </w:tcPr>
          <w:p w14:paraId="26788D91">
            <w:pPr>
              <w:tabs>
                <w:tab w:val="left" w:pos="1069"/>
                <w:tab w:val="left" w:pos="2352"/>
              </w:tabs>
              <w:adjustRightInd w:val="0"/>
              <w:rPr>
                <w:rFonts w:ascii="宋体" w:hAnsi="宋体" w:cs="宋体"/>
                <w:color w:val="auto"/>
                <w:sz w:val="22"/>
                <w:highlight w:val="none"/>
              </w:rPr>
            </w:pPr>
            <w:r>
              <w:rPr>
                <w:rFonts w:hint="eastAsia" w:ascii="宋体" w:hAnsi="宋体" w:cs="宋体"/>
                <w:color w:val="auto"/>
                <w:sz w:val="22"/>
                <w:highlight w:val="none"/>
              </w:rPr>
              <w:t>人民币</w:t>
            </w:r>
          </w:p>
        </w:tc>
      </w:tr>
      <w:tr w14:paraId="02911A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952" w:type="dxa"/>
            <w:vAlign w:val="center"/>
          </w:tcPr>
          <w:p w14:paraId="4457E24F">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27AE98E7">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投标语言</w:t>
            </w:r>
          </w:p>
        </w:tc>
        <w:tc>
          <w:tcPr>
            <w:tcW w:w="7619" w:type="dxa"/>
            <w:vAlign w:val="center"/>
          </w:tcPr>
          <w:p w14:paraId="403B8BC1">
            <w:pPr>
              <w:tabs>
                <w:tab w:val="left" w:pos="1069"/>
                <w:tab w:val="left" w:pos="2352"/>
              </w:tabs>
              <w:adjustRightInd w:val="0"/>
              <w:rPr>
                <w:rFonts w:ascii="宋体" w:hAnsi="宋体" w:cs="宋体"/>
                <w:color w:val="auto"/>
                <w:sz w:val="22"/>
                <w:highlight w:val="none"/>
              </w:rPr>
            </w:pPr>
            <w:r>
              <w:rPr>
                <w:rFonts w:hint="eastAsia" w:ascii="宋体" w:hAnsi="宋体" w:cs="宋体"/>
                <w:color w:val="auto"/>
                <w:sz w:val="22"/>
                <w:highlight w:val="none"/>
              </w:rPr>
              <w:t>中文</w:t>
            </w:r>
          </w:p>
        </w:tc>
      </w:tr>
      <w:tr w14:paraId="7F483E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11D314F1">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730B6C83">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说明</w:t>
            </w:r>
          </w:p>
        </w:tc>
        <w:tc>
          <w:tcPr>
            <w:tcW w:w="7619" w:type="dxa"/>
            <w:vAlign w:val="center"/>
          </w:tcPr>
          <w:p w14:paraId="0967E166">
            <w:pPr>
              <w:tabs>
                <w:tab w:val="left" w:pos="1069"/>
                <w:tab w:val="left" w:pos="2352"/>
              </w:tabs>
              <w:autoSpaceDE w:val="0"/>
              <w:autoSpaceDN w:val="0"/>
              <w:adjustRightInd w:val="0"/>
              <w:jc w:val="left"/>
              <w:rPr>
                <w:rFonts w:ascii="宋体" w:hAnsi="宋体" w:cs="宋体"/>
                <w:color w:val="auto"/>
                <w:sz w:val="22"/>
                <w:highlight w:val="none"/>
                <w:lang w:val="zh-CN"/>
              </w:rPr>
            </w:pPr>
            <w:r>
              <w:rPr>
                <w:rFonts w:hint="eastAsia" w:ascii="宋体" w:hAnsi="宋体" w:cs="宋体"/>
                <w:color w:val="auto"/>
                <w:sz w:val="22"/>
                <w:highlight w:val="none"/>
                <w:lang w:val="zh-CN"/>
              </w:rPr>
              <w:t>1、</w:t>
            </w:r>
            <w:r>
              <w:rPr>
                <w:rFonts w:hint="eastAsia" w:ascii="宋体" w:hAnsi="宋体" w:cs="宋体"/>
                <w:b/>
                <w:bCs/>
                <w:color w:val="auto"/>
                <w:sz w:val="22"/>
                <w:highlight w:val="none"/>
                <w:lang w:val="zh-CN"/>
              </w:rPr>
              <w:t>投标文件组成：</w:t>
            </w:r>
            <w:r>
              <w:rPr>
                <w:rFonts w:hint="eastAsia" w:ascii="宋体" w:hAnsi="宋体" w:cs="宋体"/>
                <w:color w:val="auto"/>
                <w:sz w:val="22"/>
                <w:highlight w:val="none"/>
                <w:lang w:val="zh-CN"/>
              </w:rPr>
              <w:t>《资格文件》及《商务技术文件》和《报价文件》。</w:t>
            </w:r>
          </w:p>
          <w:p w14:paraId="172D3982">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b/>
                <w:bCs/>
                <w:color w:val="auto"/>
                <w:sz w:val="22"/>
                <w:highlight w:val="none"/>
              </w:rPr>
              <w:t>投标文件编制：</w:t>
            </w:r>
            <w:r>
              <w:rPr>
                <w:rFonts w:hint="eastAsia" w:ascii="宋体" w:hAnsi="宋体" w:cs="宋体"/>
                <w:color w:val="auto"/>
                <w:sz w:val="22"/>
                <w:highlight w:val="none"/>
              </w:rPr>
              <w:t>供应商应先安装“政采云电子交易客户端”，并按照本采购文件和“政府采购云平台”的要求，通过“政采云电子交易客户端”编制并加密投标文件。</w:t>
            </w:r>
          </w:p>
          <w:p w14:paraId="053E5754">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3、</w:t>
            </w:r>
            <w:r>
              <w:rPr>
                <w:rFonts w:hint="eastAsia" w:ascii="宋体" w:hAnsi="宋体" w:cs="宋体"/>
                <w:b/>
                <w:bCs/>
                <w:color w:val="auto"/>
                <w:sz w:val="22"/>
                <w:highlight w:val="none"/>
              </w:rPr>
              <w:t>投标文件的签章：</w:t>
            </w:r>
            <w:r>
              <w:rPr>
                <w:rFonts w:hint="eastAsia" w:ascii="宋体" w:hAnsi="宋体" w:cs="宋体"/>
                <w:color w:val="auto"/>
                <w:sz w:val="22"/>
                <w:highlight w:val="none"/>
              </w:rPr>
              <w:t>电子签章。</w:t>
            </w:r>
          </w:p>
          <w:p w14:paraId="1DA7EF87">
            <w:pPr>
              <w:tabs>
                <w:tab w:val="left" w:pos="1069"/>
                <w:tab w:val="left" w:pos="2352"/>
              </w:tabs>
              <w:rPr>
                <w:rFonts w:ascii="宋体" w:hAnsi="宋体" w:cs="宋体"/>
                <w:color w:val="auto"/>
                <w:sz w:val="22"/>
                <w:highlight w:val="none"/>
                <w:lang w:bidi="ar"/>
              </w:rPr>
            </w:pPr>
            <w:r>
              <w:rPr>
                <w:rFonts w:hint="eastAsia" w:ascii="宋体" w:hAnsi="宋体" w:cs="宋体"/>
                <w:color w:val="auto"/>
                <w:sz w:val="22"/>
                <w:highlight w:val="none"/>
              </w:rPr>
              <w:t>4、</w:t>
            </w:r>
            <w:r>
              <w:rPr>
                <w:rFonts w:hint="eastAsia" w:ascii="宋体" w:hAnsi="宋体" w:cs="宋体"/>
                <w:b/>
                <w:bCs/>
                <w:color w:val="auto"/>
                <w:sz w:val="22"/>
                <w:highlight w:val="none"/>
              </w:rPr>
              <w:t>投标文件的形式：</w:t>
            </w:r>
            <w:r>
              <w:rPr>
                <w:rFonts w:hint="eastAsia" w:ascii="宋体" w:hAnsi="宋体" w:cs="宋体"/>
                <w:color w:val="auto"/>
                <w:sz w:val="22"/>
                <w:highlight w:val="none"/>
              </w:rPr>
              <w:t>☑电子投标文件（“</w:t>
            </w:r>
            <w:r>
              <w:rPr>
                <w:rFonts w:hint="eastAsia" w:ascii="宋体" w:hAnsi="宋体" w:cs="宋体"/>
                <w:color w:val="auto"/>
                <w:sz w:val="22"/>
                <w:highlight w:val="none"/>
                <w:lang w:bidi="ar"/>
              </w:rPr>
              <w:t>电子加密投标文件”，在投标文件编制完成后生成）；</w:t>
            </w:r>
          </w:p>
          <w:p w14:paraId="57C0F198">
            <w:pPr>
              <w:tabs>
                <w:tab w:val="left" w:pos="1069"/>
                <w:tab w:val="left" w:pos="2352"/>
              </w:tabs>
              <w:rPr>
                <w:rFonts w:ascii="宋体" w:hAnsi="宋体" w:cs="宋体"/>
                <w:color w:val="auto"/>
                <w:sz w:val="22"/>
                <w:highlight w:val="none"/>
                <w:lang w:bidi="ar"/>
              </w:rPr>
            </w:pPr>
            <w:r>
              <w:rPr>
                <w:rFonts w:hint="eastAsia" w:ascii="宋体" w:hAnsi="宋体" w:cs="宋体"/>
                <w:color w:val="auto"/>
                <w:sz w:val="22"/>
                <w:highlight w:val="none"/>
                <w:lang w:bidi="ar"/>
              </w:rPr>
              <w:t>“电子加密投标文件”是指通过“政采云电子交易客户端”完成投标文件编制后生成并加密的数据电文形式的投标文件。</w:t>
            </w:r>
          </w:p>
          <w:p w14:paraId="06BECCB1">
            <w:pPr>
              <w:tabs>
                <w:tab w:val="left" w:pos="1069"/>
                <w:tab w:val="left" w:pos="2352"/>
              </w:tabs>
              <w:autoSpaceDE w:val="0"/>
              <w:autoSpaceDN w:val="0"/>
              <w:adjustRightInd w:val="0"/>
              <w:jc w:val="left"/>
              <w:rPr>
                <w:rFonts w:ascii="宋体" w:hAnsi="宋体" w:cs="宋体"/>
                <w:color w:val="auto"/>
                <w:sz w:val="22"/>
                <w:highlight w:val="none"/>
                <w:lang w:bidi="ar"/>
              </w:rPr>
            </w:pPr>
            <w:r>
              <w:rPr>
                <w:rFonts w:hint="eastAsia" w:ascii="宋体" w:hAnsi="宋体" w:cs="宋体"/>
                <w:b/>
                <w:bCs/>
                <w:color w:val="auto"/>
                <w:sz w:val="22"/>
                <w:highlight w:val="none"/>
                <w:lang w:bidi="ar"/>
              </w:rPr>
              <w:t>5、投标文件份数：</w:t>
            </w:r>
            <w:r>
              <w:rPr>
                <w:rFonts w:hint="eastAsia" w:ascii="宋体" w:hAnsi="宋体" w:cs="宋体"/>
                <w:color w:val="auto"/>
                <w:sz w:val="22"/>
                <w:highlight w:val="none"/>
                <w:lang w:bidi="ar"/>
              </w:rPr>
              <w:t>“电子加密投标文件”：在线上传递交。</w:t>
            </w:r>
          </w:p>
          <w:p w14:paraId="1A624F4F">
            <w:pPr>
              <w:tabs>
                <w:tab w:val="left" w:pos="1069"/>
                <w:tab w:val="left" w:pos="2352"/>
              </w:tabs>
              <w:rPr>
                <w:rFonts w:ascii="宋体" w:hAnsi="宋体" w:cs="宋体"/>
                <w:b/>
                <w:bCs/>
                <w:color w:val="auto"/>
                <w:sz w:val="22"/>
                <w:highlight w:val="none"/>
                <w:lang w:bidi="ar"/>
              </w:rPr>
            </w:pPr>
            <w:r>
              <w:rPr>
                <w:rFonts w:hint="eastAsia" w:ascii="宋体" w:hAnsi="宋体" w:cs="宋体"/>
                <w:color w:val="auto"/>
                <w:sz w:val="22"/>
                <w:highlight w:val="none"/>
                <w:lang w:bidi="ar"/>
              </w:rPr>
              <w:t>6、</w:t>
            </w:r>
            <w:r>
              <w:rPr>
                <w:rFonts w:hint="eastAsia" w:ascii="宋体" w:hAnsi="宋体" w:cs="宋体"/>
                <w:b/>
                <w:bCs/>
                <w:color w:val="auto"/>
                <w:sz w:val="22"/>
                <w:highlight w:val="none"/>
                <w:lang w:bidi="ar"/>
              </w:rPr>
              <w:t>投标文件的上传和递交：</w:t>
            </w:r>
          </w:p>
          <w:p w14:paraId="5F9C1215">
            <w:pPr>
              <w:tabs>
                <w:tab w:val="left" w:pos="1069"/>
                <w:tab w:val="left" w:pos="2352"/>
              </w:tabs>
              <w:rPr>
                <w:rFonts w:ascii="宋体" w:hAnsi="宋体" w:cs="宋体"/>
                <w:color w:val="auto"/>
                <w:sz w:val="22"/>
                <w:highlight w:val="none"/>
                <w:lang w:bidi="ar"/>
              </w:rPr>
            </w:pPr>
            <w:r>
              <w:rPr>
                <w:rFonts w:hint="eastAsia" w:ascii="宋体" w:hAnsi="宋体" w:cs="宋体"/>
                <w:color w:val="auto"/>
                <w:sz w:val="22"/>
                <w:highlight w:val="none"/>
                <w:lang w:bidi="ar"/>
              </w:rPr>
              <w:t>“电子加密投标文件”的上传、递交：</w:t>
            </w:r>
          </w:p>
          <w:p w14:paraId="501378D6">
            <w:pPr>
              <w:tabs>
                <w:tab w:val="left" w:pos="1069"/>
                <w:tab w:val="left" w:pos="2352"/>
              </w:tabs>
              <w:rPr>
                <w:rFonts w:ascii="宋体" w:hAnsi="宋体" w:cs="宋体"/>
                <w:color w:val="auto"/>
                <w:sz w:val="22"/>
                <w:highlight w:val="none"/>
                <w:lang w:bidi="ar"/>
              </w:rPr>
            </w:pPr>
            <w:r>
              <w:rPr>
                <w:rFonts w:hint="eastAsia" w:ascii="宋体" w:hAnsi="宋体" w:cs="宋体"/>
                <w:color w:val="auto"/>
                <w:sz w:val="22"/>
                <w:highlight w:val="none"/>
                <w:lang w:bidi="ar"/>
              </w:rPr>
              <w:t>a.供应商应在投标截止时间前将“电子加密投标文件”成功上传递交至“政府采购云平台”，否则投标无效。</w:t>
            </w:r>
          </w:p>
          <w:p w14:paraId="75451FB9">
            <w:pPr>
              <w:tabs>
                <w:tab w:val="left" w:pos="1069"/>
                <w:tab w:val="left" w:pos="2352"/>
              </w:tabs>
              <w:rPr>
                <w:rFonts w:ascii="宋体" w:hAnsi="宋体" w:cs="宋体"/>
                <w:color w:val="auto"/>
                <w:sz w:val="22"/>
                <w:highlight w:val="none"/>
                <w:lang w:bidi="ar"/>
              </w:rPr>
            </w:pPr>
            <w:r>
              <w:rPr>
                <w:rFonts w:hint="eastAsia" w:ascii="宋体" w:hAnsi="宋体" w:cs="宋体"/>
                <w:color w:val="auto"/>
                <w:sz w:val="22"/>
                <w:highlight w:val="none"/>
                <w:lang w:bidi="ar"/>
              </w:rPr>
              <w:t>b.“电子加密投标文件”成功上传递交后，供应商可自行打印投标文件接收回执。</w:t>
            </w:r>
          </w:p>
          <w:p w14:paraId="67743D8D">
            <w:pPr>
              <w:tabs>
                <w:tab w:val="left" w:pos="1069"/>
                <w:tab w:val="left" w:pos="2352"/>
              </w:tabs>
              <w:rPr>
                <w:rFonts w:ascii="宋体" w:hAnsi="宋体" w:cs="宋体"/>
                <w:b/>
                <w:bCs/>
                <w:color w:val="auto"/>
                <w:sz w:val="22"/>
                <w:highlight w:val="none"/>
                <w:lang w:bidi="ar"/>
              </w:rPr>
            </w:pPr>
            <w:r>
              <w:rPr>
                <w:rFonts w:hint="eastAsia" w:ascii="宋体" w:hAnsi="宋体" w:cs="宋体"/>
                <w:b/>
                <w:bCs/>
                <w:color w:val="auto"/>
                <w:sz w:val="22"/>
                <w:highlight w:val="none"/>
                <w:lang w:bidi="ar"/>
              </w:rPr>
              <w:t>7、电子加密投标文件的解密和异常情况处理：</w:t>
            </w:r>
          </w:p>
          <w:p w14:paraId="74601F95">
            <w:pPr>
              <w:tabs>
                <w:tab w:val="left" w:pos="1069"/>
                <w:tab w:val="left" w:pos="2352"/>
              </w:tabs>
              <w:autoSpaceDE w:val="0"/>
              <w:autoSpaceDN w:val="0"/>
              <w:adjustRightInd w:val="0"/>
              <w:jc w:val="left"/>
              <w:rPr>
                <w:rFonts w:ascii="宋体" w:hAnsi="宋体" w:cs="宋体"/>
                <w:color w:val="auto"/>
                <w:sz w:val="22"/>
                <w:highlight w:val="none"/>
                <w:lang w:bidi="ar"/>
              </w:rPr>
            </w:pPr>
            <w:r>
              <w:rPr>
                <w:rFonts w:hint="eastAsia" w:ascii="宋体" w:hAnsi="宋体" w:cs="宋体"/>
                <w:color w:val="auto"/>
                <w:sz w:val="22"/>
                <w:highlight w:val="none"/>
                <w:lang w:bidi="ar"/>
              </w:rPr>
              <w:t>（1）开标后，采购组织机构将向各供应商发出“电子加密投标文件”的解密通知，各供应商代表应当在接到解密通知后30分钟内自行完成“电子加密投标文件”的在线解密。</w:t>
            </w:r>
          </w:p>
          <w:p w14:paraId="4A32461F">
            <w:pPr>
              <w:tabs>
                <w:tab w:val="left" w:pos="1069"/>
                <w:tab w:val="left" w:pos="2352"/>
              </w:tabs>
              <w:autoSpaceDE w:val="0"/>
              <w:autoSpaceDN w:val="0"/>
              <w:adjustRightInd w:val="0"/>
              <w:jc w:val="left"/>
              <w:rPr>
                <w:rFonts w:ascii="宋体" w:hAnsi="宋体" w:cs="宋体"/>
                <w:color w:val="auto"/>
                <w:sz w:val="22"/>
                <w:highlight w:val="none"/>
                <w:lang w:bidi="ar"/>
              </w:rPr>
            </w:pPr>
            <w:r>
              <w:rPr>
                <w:rFonts w:hint="eastAsia" w:ascii="宋体" w:hAnsi="宋体" w:cs="宋体"/>
                <w:color w:val="auto"/>
                <w:sz w:val="22"/>
                <w:highlight w:val="none"/>
                <w:lang w:bidi="ar"/>
              </w:rPr>
              <w:t>（2）</w:t>
            </w:r>
            <w:r>
              <w:rPr>
                <w:rStyle w:val="29"/>
                <w:rFonts w:hint="eastAsia" w:ascii="宋体" w:hAnsi="宋体" w:cs="宋体"/>
                <w:b w:val="0"/>
                <w:color w:val="auto"/>
                <w:sz w:val="22"/>
                <w:highlight w:val="none"/>
              </w:rPr>
              <w:t>通过“政府采购云平台”上传递交的“电子加密投标文件”无法按时解密的，其投标无效。</w:t>
            </w:r>
          </w:p>
          <w:p w14:paraId="4B931429">
            <w:pPr>
              <w:tabs>
                <w:tab w:val="left" w:pos="1069"/>
                <w:tab w:val="left" w:pos="2352"/>
              </w:tabs>
              <w:snapToGrid w:val="0"/>
              <w:rPr>
                <w:rFonts w:ascii="宋体" w:hAnsi="宋体" w:cs="宋体"/>
                <w:color w:val="auto"/>
                <w:sz w:val="22"/>
                <w:highlight w:val="none"/>
                <w:lang w:bidi="ar"/>
              </w:rPr>
            </w:pPr>
            <w:r>
              <w:rPr>
                <w:rFonts w:hint="eastAsia" w:ascii="宋体" w:hAnsi="宋体" w:cs="宋体"/>
                <w:b/>
                <w:bCs/>
                <w:color w:val="auto"/>
                <w:sz w:val="22"/>
                <w:highlight w:val="none"/>
                <w:lang w:bidi="ar"/>
              </w:rPr>
              <w:t>8、</w:t>
            </w:r>
            <w:r>
              <w:rPr>
                <w:rFonts w:hint="eastAsia" w:ascii="宋体" w:hAnsi="宋体" w:cs="宋体"/>
                <w:color w:val="auto"/>
                <w:sz w:val="22"/>
                <w:highlight w:val="none"/>
                <w:lang w:bidi="ar"/>
              </w:rPr>
              <w:t>投标截止后，在投标有效期内，供应商不能撤销投标文件。</w:t>
            </w:r>
          </w:p>
          <w:p w14:paraId="20B45A9F">
            <w:pPr>
              <w:tabs>
                <w:tab w:val="left" w:pos="1069"/>
                <w:tab w:val="left" w:pos="2352"/>
              </w:tabs>
              <w:snapToGrid w:val="0"/>
              <w:rPr>
                <w:rFonts w:ascii="宋体" w:hAnsi="宋体" w:cs="宋体"/>
                <w:color w:val="auto"/>
                <w:sz w:val="22"/>
                <w:highlight w:val="none"/>
                <w:lang w:bidi="ar"/>
              </w:rPr>
            </w:pPr>
            <w:r>
              <w:rPr>
                <w:rFonts w:hint="eastAsia" w:ascii="宋体" w:hAnsi="宋体" w:cs="宋体"/>
                <w:color w:val="auto"/>
                <w:sz w:val="22"/>
                <w:highlight w:val="none"/>
                <w:lang w:bidi="ar"/>
              </w:rPr>
              <w:t>9、存在下列行为的，招标代理机构将其失信行为上报政府采购主管部门，由主管部门按有关规定对其违法失信行为记录进行公开：</w:t>
            </w:r>
          </w:p>
          <w:p w14:paraId="048D5B16">
            <w:pPr>
              <w:tabs>
                <w:tab w:val="left" w:pos="1069"/>
                <w:tab w:val="left" w:pos="2352"/>
              </w:tabs>
              <w:snapToGrid w:val="0"/>
              <w:rPr>
                <w:rFonts w:ascii="宋体" w:hAnsi="宋体" w:cs="宋体"/>
                <w:color w:val="auto"/>
                <w:sz w:val="22"/>
                <w:highlight w:val="none"/>
                <w:lang w:bidi="ar"/>
              </w:rPr>
            </w:pPr>
            <w:r>
              <w:rPr>
                <w:rFonts w:hint="eastAsia" w:ascii="宋体" w:hAnsi="宋体" w:cs="宋体"/>
                <w:color w:val="auto"/>
                <w:sz w:val="22"/>
                <w:highlight w:val="none"/>
                <w:lang w:bidi="ar"/>
              </w:rPr>
              <w:t>（1）中标或者成交后，拒绝签订政府采购合同的；</w:t>
            </w:r>
          </w:p>
          <w:p w14:paraId="652DC144">
            <w:pPr>
              <w:tabs>
                <w:tab w:val="left" w:pos="1069"/>
                <w:tab w:val="left" w:pos="2352"/>
              </w:tabs>
              <w:rPr>
                <w:rFonts w:hint="eastAsia" w:ascii="宋体" w:hAnsi="宋体" w:eastAsia="宋体" w:cs="宋体"/>
                <w:color w:val="auto"/>
                <w:sz w:val="22"/>
                <w:highlight w:val="none"/>
                <w:lang w:eastAsia="zh-CN"/>
              </w:rPr>
            </w:pPr>
            <w:r>
              <w:rPr>
                <w:rFonts w:hint="eastAsia" w:ascii="宋体" w:hAnsi="宋体" w:cs="宋体"/>
                <w:color w:val="auto"/>
                <w:sz w:val="22"/>
                <w:highlight w:val="none"/>
                <w:lang w:bidi="ar"/>
              </w:rPr>
              <w:t>（2）投标有效期内撤销投标文件的</w:t>
            </w:r>
            <w:r>
              <w:rPr>
                <w:rFonts w:hint="eastAsia" w:ascii="宋体" w:hAnsi="宋体" w:cs="宋体"/>
                <w:color w:val="auto"/>
                <w:sz w:val="22"/>
                <w:highlight w:val="none"/>
                <w:lang w:eastAsia="zh-CN" w:bidi="ar"/>
              </w:rPr>
              <w:t>。</w:t>
            </w:r>
          </w:p>
        </w:tc>
      </w:tr>
      <w:tr w14:paraId="15D582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8" w:hRule="atLeast"/>
          <w:jc w:val="center"/>
        </w:trPr>
        <w:tc>
          <w:tcPr>
            <w:tcW w:w="952" w:type="dxa"/>
            <w:vAlign w:val="center"/>
          </w:tcPr>
          <w:p w14:paraId="75CD9F30">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18616BB2">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投标样品</w:t>
            </w:r>
          </w:p>
        </w:tc>
        <w:tc>
          <w:tcPr>
            <w:tcW w:w="7619" w:type="dxa"/>
            <w:vAlign w:val="center"/>
          </w:tcPr>
          <w:p w14:paraId="145C9948">
            <w:pPr>
              <w:tabs>
                <w:tab w:val="left" w:pos="1069"/>
                <w:tab w:val="left" w:pos="2352"/>
              </w:tabs>
              <w:adjustRightInd w:val="0"/>
              <w:snapToGrid w:val="0"/>
              <w:rPr>
                <w:rFonts w:ascii="宋体" w:hAnsi="宋体" w:cs="宋体"/>
                <w:color w:val="auto"/>
                <w:sz w:val="22"/>
                <w:highlight w:val="none"/>
              </w:rPr>
            </w:pPr>
            <w:r>
              <w:rPr>
                <w:rFonts w:hint="eastAsia" w:ascii="宋体" w:hAnsi="宋体" w:cs="宋体"/>
                <w:b/>
                <w:bCs/>
                <w:color w:val="auto"/>
                <w:kern w:val="0"/>
                <w:sz w:val="22"/>
                <w:highlight w:val="none"/>
              </w:rPr>
              <w:fldChar w:fldCharType="begin"/>
            </w:r>
            <w:r>
              <w:rPr>
                <w:rFonts w:hint="eastAsia" w:ascii="宋体" w:hAnsi="宋体" w:cs="宋体"/>
                <w:b/>
                <w:bCs/>
                <w:color w:val="auto"/>
                <w:kern w:val="0"/>
                <w:sz w:val="22"/>
                <w:highlight w:val="none"/>
              </w:rPr>
              <w:instrText xml:space="preserve"> eq \o\ac(□</w:instrText>
            </w:r>
            <w:r>
              <w:rPr>
                <w:rFonts w:hint="eastAsia" w:ascii="宋体" w:hAnsi="宋体" w:cs="宋体"/>
                <w:b/>
                <w:bCs/>
                <w:color w:val="auto"/>
                <w:kern w:val="0"/>
                <w:sz w:val="22"/>
                <w:highlight w:val="none"/>
                <w:lang w:eastAsia="zh-CN"/>
              </w:rPr>
              <w:instrText xml:space="preserve">,</w:instrText>
            </w:r>
            <w:r>
              <w:rPr>
                <w:rFonts w:hint="eastAsia" w:ascii="宋体" w:hAnsi="宋体" w:cs="宋体"/>
                <w:b/>
                <w:bCs/>
                <w:color w:val="auto"/>
                <w:kern w:val="0"/>
                <w:position w:val="2"/>
                <w:sz w:val="15"/>
                <w:highlight w:val="none"/>
                <w:lang w:eastAsia="zh-CN"/>
              </w:rPr>
              <w:instrText xml:space="preserve">√</w:instrText>
            </w:r>
            <w:r>
              <w:rPr>
                <w:rFonts w:hint="eastAsia" w:ascii="宋体" w:hAnsi="宋体" w:cs="宋体"/>
                <w:b/>
                <w:bCs/>
                <w:color w:val="auto"/>
                <w:kern w:val="0"/>
                <w:sz w:val="22"/>
                <w:highlight w:val="none"/>
              </w:rPr>
              <w:instrText xml:space="preserve">)</w:instrText>
            </w:r>
            <w:r>
              <w:rPr>
                <w:rFonts w:hint="eastAsia" w:ascii="宋体" w:hAnsi="宋体" w:cs="宋体"/>
                <w:b/>
                <w:bCs/>
                <w:color w:val="auto"/>
                <w:kern w:val="0"/>
                <w:sz w:val="22"/>
                <w:highlight w:val="none"/>
              </w:rPr>
              <w:fldChar w:fldCharType="end"/>
            </w:r>
            <w:r>
              <w:rPr>
                <w:rFonts w:hint="eastAsia" w:ascii="宋体" w:hAnsi="宋体" w:cs="宋体"/>
                <w:color w:val="auto"/>
                <w:kern w:val="0"/>
                <w:sz w:val="22"/>
                <w:highlight w:val="none"/>
              </w:rPr>
              <w:t xml:space="preserve">不需要  </w:t>
            </w:r>
            <w:r>
              <w:rPr>
                <w:rFonts w:hint="eastAsia" w:ascii="宋体" w:hAnsi="宋体" w:cs="宋体"/>
                <w:b/>
                <w:bCs/>
                <w:color w:val="auto"/>
                <w:kern w:val="0"/>
                <w:sz w:val="22"/>
                <w:highlight w:val="none"/>
              </w:rPr>
              <w:fldChar w:fldCharType="begin"/>
            </w:r>
            <w:r>
              <w:rPr>
                <w:rFonts w:hint="eastAsia" w:ascii="宋体" w:hAnsi="宋体" w:cs="宋体"/>
                <w:b/>
                <w:bCs/>
                <w:color w:val="auto"/>
                <w:kern w:val="0"/>
                <w:sz w:val="22"/>
                <w:highlight w:val="none"/>
              </w:rPr>
              <w:instrText xml:space="preserve"> eq \o\ac(□)</w:instrText>
            </w:r>
            <w:r>
              <w:rPr>
                <w:rFonts w:hint="eastAsia" w:ascii="宋体" w:hAnsi="宋体" w:cs="宋体"/>
                <w:b/>
                <w:bCs/>
                <w:color w:val="auto"/>
                <w:kern w:val="0"/>
                <w:sz w:val="22"/>
                <w:highlight w:val="none"/>
              </w:rPr>
              <w:fldChar w:fldCharType="end"/>
            </w:r>
            <w:r>
              <w:rPr>
                <w:rFonts w:hint="eastAsia" w:ascii="宋体" w:hAnsi="宋体" w:cs="宋体"/>
                <w:color w:val="auto"/>
                <w:kern w:val="0"/>
                <w:sz w:val="22"/>
                <w:highlight w:val="none"/>
              </w:rPr>
              <w:t>需要</w:t>
            </w:r>
          </w:p>
        </w:tc>
      </w:tr>
      <w:tr w14:paraId="051AC5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77" w:hRule="atLeast"/>
          <w:jc w:val="center"/>
        </w:trPr>
        <w:tc>
          <w:tcPr>
            <w:tcW w:w="952" w:type="dxa"/>
            <w:vAlign w:val="center"/>
          </w:tcPr>
          <w:p w14:paraId="62DEB9FF">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5FB7CE15">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投标保证金</w:t>
            </w:r>
          </w:p>
        </w:tc>
        <w:tc>
          <w:tcPr>
            <w:tcW w:w="7619" w:type="dxa"/>
            <w:vAlign w:val="center"/>
          </w:tcPr>
          <w:p w14:paraId="089CE3C6">
            <w:pPr>
              <w:tabs>
                <w:tab w:val="left" w:pos="1069"/>
                <w:tab w:val="left" w:pos="2352"/>
              </w:tabs>
              <w:adjustRightInd w:val="0"/>
              <w:snapToGrid w:val="0"/>
              <w:rPr>
                <w:rFonts w:ascii="宋体" w:hAnsi="宋体" w:cs="宋体"/>
                <w:color w:val="auto"/>
                <w:sz w:val="22"/>
                <w:highlight w:val="none"/>
              </w:rPr>
            </w:pPr>
            <w:r>
              <w:rPr>
                <w:rFonts w:hint="eastAsia" w:ascii="宋体" w:hAnsi="宋体" w:cs="宋体"/>
                <w:b/>
                <w:bCs/>
                <w:color w:val="auto"/>
                <w:kern w:val="0"/>
                <w:sz w:val="22"/>
                <w:highlight w:val="none"/>
              </w:rPr>
              <w:fldChar w:fldCharType="begin"/>
            </w:r>
            <w:r>
              <w:rPr>
                <w:rFonts w:hint="eastAsia" w:ascii="宋体" w:hAnsi="宋体" w:cs="宋体"/>
                <w:b/>
                <w:bCs/>
                <w:color w:val="auto"/>
                <w:kern w:val="0"/>
                <w:sz w:val="22"/>
                <w:highlight w:val="none"/>
              </w:rPr>
              <w:instrText xml:space="preserve"> eq \o\ac(□</w:instrText>
            </w:r>
            <w:r>
              <w:rPr>
                <w:rFonts w:hint="eastAsia" w:ascii="宋体" w:hAnsi="宋体" w:cs="宋体"/>
                <w:b/>
                <w:bCs/>
                <w:color w:val="auto"/>
                <w:kern w:val="0"/>
                <w:sz w:val="22"/>
                <w:highlight w:val="none"/>
                <w:lang w:eastAsia="zh-CN"/>
              </w:rPr>
              <w:instrText xml:space="preserve">,</w:instrText>
            </w:r>
            <w:r>
              <w:rPr>
                <w:rFonts w:hint="eastAsia" w:ascii="宋体" w:hAnsi="宋体" w:cs="宋体"/>
                <w:b/>
                <w:bCs/>
                <w:color w:val="auto"/>
                <w:kern w:val="0"/>
                <w:position w:val="2"/>
                <w:sz w:val="15"/>
                <w:highlight w:val="none"/>
                <w:lang w:eastAsia="zh-CN"/>
              </w:rPr>
              <w:instrText xml:space="preserve">√</w:instrText>
            </w:r>
            <w:r>
              <w:rPr>
                <w:rFonts w:hint="eastAsia" w:ascii="宋体" w:hAnsi="宋体" w:cs="宋体"/>
                <w:b/>
                <w:bCs/>
                <w:color w:val="auto"/>
                <w:kern w:val="0"/>
                <w:sz w:val="22"/>
                <w:highlight w:val="none"/>
              </w:rPr>
              <w:instrText xml:space="preserve">)</w:instrText>
            </w:r>
            <w:r>
              <w:rPr>
                <w:rFonts w:hint="eastAsia" w:ascii="宋体" w:hAnsi="宋体" w:cs="宋体"/>
                <w:b/>
                <w:bCs/>
                <w:color w:val="auto"/>
                <w:kern w:val="0"/>
                <w:sz w:val="22"/>
                <w:highlight w:val="none"/>
              </w:rPr>
              <w:fldChar w:fldCharType="end"/>
            </w:r>
            <w:r>
              <w:rPr>
                <w:rFonts w:hint="eastAsia" w:ascii="宋体" w:hAnsi="宋体" w:cs="宋体"/>
                <w:color w:val="auto"/>
                <w:kern w:val="0"/>
                <w:sz w:val="22"/>
                <w:highlight w:val="none"/>
              </w:rPr>
              <w:t xml:space="preserve">不需要  </w:t>
            </w:r>
            <w:r>
              <w:rPr>
                <w:rFonts w:hint="eastAsia" w:ascii="宋体" w:hAnsi="宋体" w:cs="宋体"/>
                <w:b/>
                <w:bCs/>
                <w:color w:val="auto"/>
                <w:kern w:val="0"/>
                <w:sz w:val="22"/>
                <w:highlight w:val="none"/>
              </w:rPr>
              <w:fldChar w:fldCharType="begin"/>
            </w:r>
            <w:r>
              <w:rPr>
                <w:rFonts w:hint="eastAsia" w:ascii="宋体" w:hAnsi="宋体" w:cs="宋体"/>
                <w:b/>
                <w:bCs/>
                <w:color w:val="auto"/>
                <w:kern w:val="0"/>
                <w:sz w:val="22"/>
                <w:highlight w:val="none"/>
              </w:rPr>
              <w:instrText xml:space="preserve"> eq \o\ac(□)</w:instrText>
            </w:r>
            <w:r>
              <w:rPr>
                <w:rFonts w:hint="eastAsia" w:ascii="宋体" w:hAnsi="宋体" w:cs="宋体"/>
                <w:b/>
                <w:bCs/>
                <w:color w:val="auto"/>
                <w:kern w:val="0"/>
                <w:sz w:val="22"/>
                <w:highlight w:val="none"/>
              </w:rPr>
              <w:fldChar w:fldCharType="end"/>
            </w:r>
            <w:r>
              <w:rPr>
                <w:rFonts w:hint="eastAsia" w:ascii="宋体" w:hAnsi="宋体" w:cs="宋体"/>
                <w:color w:val="auto"/>
                <w:kern w:val="0"/>
                <w:sz w:val="22"/>
                <w:highlight w:val="none"/>
              </w:rPr>
              <w:t>需要</w:t>
            </w:r>
          </w:p>
        </w:tc>
      </w:tr>
      <w:tr w14:paraId="1E9DC5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70E86060">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6A221C46">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履约担保</w:t>
            </w:r>
          </w:p>
        </w:tc>
        <w:tc>
          <w:tcPr>
            <w:tcW w:w="7619" w:type="dxa"/>
            <w:vAlign w:val="center"/>
          </w:tcPr>
          <w:p w14:paraId="5AD918B1">
            <w:pPr>
              <w:tabs>
                <w:tab w:val="left" w:pos="1069"/>
                <w:tab w:val="left" w:pos="2352"/>
              </w:tabs>
              <w:rPr>
                <w:rFonts w:ascii="宋体" w:hAnsi="宋体" w:cs="宋体"/>
                <w:color w:val="auto"/>
                <w:sz w:val="22"/>
                <w:highlight w:val="none"/>
              </w:rPr>
            </w:pPr>
            <w:r>
              <w:rPr>
                <w:rFonts w:hint="eastAsia" w:ascii="宋体" w:hAnsi="宋体" w:cs="宋体"/>
                <w:b/>
                <w:bCs/>
                <w:color w:val="auto"/>
                <w:kern w:val="0"/>
                <w:sz w:val="22"/>
                <w:highlight w:val="none"/>
              </w:rPr>
              <w:fldChar w:fldCharType="begin"/>
            </w:r>
            <w:r>
              <w:rPr>
                <w:rFonts w:hint="eastAsia" w:ascii="宋体" w:hAnsi="宋体" w:cs="宋体"/>
                <w:b/>
                <w:bCs/>
                <w:color w:val="auto"/>
                <w:kern w:val="0"/>
                <w:sz w:val="22"/>
                <w:highlight w:val="none"/>
              </w:rPr>
              <w:instrText xml:space="preserve"> eq \o\ac(□,</w:instrText>
            </w:r>
            <w:r>
              <w:rPr>
                <w:rFonts w:hint="eastAsia" w:ascii="宋体" w:hAnsi="宋体" w:cs="宋体"/>
                <w:b/>
                <w:bCs/>
                <w:color w:val="auto"/>
                <w:kern w:val="0"/>
                <w:position w:val="2"/>
                <w:sz w:val="15"/>
                <w:highlight w:val="none"/>
              </w:rPr>
              <w:instrText xml:space="preserve">√</w:instrText>
            </w:r>
            <w:r>
              <w:rPr>
                <w:rFonts w:hint="eastAsia" w:ascii="宋体" w:hAnsi="宋体" w:cs="宋体"/>
                <w:b/>
                <w:bCs/>
                <w:color w:val="auto"/>
                <w:kern w:val="0"/>
                <w:sz w:val="22"/>
                <w:highlight w:val="none"/>
              </w:rPr>
              <w:instrText xml:space="preserve">)</w:instrText>
            </w:r>
            <w:r>
              <w:rPr>
                <w:rFonts w:hint="eastAsia" w:ascii="宋体" w:hAnsi="宋体" w:cs="宋体"/>
                <w:b/>
                <w:bCs/>
                <w:color w:val="auto"/>
                <w:kern w:val="0"/>
                <w:sz w:val="22"/>
                <w:highlight w:val="none"/>
              </w:rPr>
              <w:fldChar w:fldCharType="end"/>
            </w:r>
            <w:r>
              <w:rPr>
                <w:rFonts w:hint="eastAsia" w:ascii="宋体" w:hAnsi="宋体" w:cs="宋体"/>
                <w:color w:val="auto"/>
                <w:sz w:val="22"/>
                <w:highlight w:val="none"/>
              </w:rPr>
              <w:t xml:space="preserve">不需要  </w:t>
            </w:r>
            <w:r>
              <w:rPr>
                <w:rFonts w:hint="eastAsia" w:ascii="宋体" w:hAnsi="宋体" w:cs="宋体"/>
                <w:b/>
                <w:bCs/>
                <w:color w:val="auto"/>
                <w:kern w:val="0"/>
                <w:sz w:val="22"/>
                <w:highlight w:val="none"/>
              </w:rPr>
              <w:fldChar w:fldCharType="begin"/>
            </w:r>
            <w:r>
              <w:rPr>
                <w:rFonts w:hint="eastAsia" w:ascii="宋体" w:hAnsi="宋体" w:cs="宋体"/>
                <w:b/>
                <w:bCs/>
                <w:color w:val="auto"/>
                <w:kern w:val="0"/>
                <w:sz w:val="22"/>
                <w:highlight w:val="none"/>
              </w:rPr>
              <w:instrText xml:space="preserve"> eq \o\ac(□)</w:instrText>
            </w:r>
            <w:r>
              <w:rPr>
                <w:rFonts w:hint="eastAsia" w:ascii="宋体" w:hAnsi="宋体" w:cs="宋体"/>
                <w:b/>
                <w:bCs/>
                <w:color w:val="auto"/>
                <w:kern w:val="0"/>
                <w:sz w:val="22"/>
                <w:highlight w:val="none"/>
              </w:rPr>
              <w:fldChar w:fldCharType="end"/>
            </w:r>
            <w:r>
              <w:rPr>
                <w:rFonts w:hint="eastAsia" w:ascii="宋体" w:hAnsi="宋体" w:cs="宋体"/>
                <w:color w:val="auto"/>
                <w:kern w:val="0"/>
                <w:sz w:val="22"/>
                <w:highlight w:val="none"/>
              </w:rPr>
              <w:t>需要</w:t>
            </w:r>
          </w:p>
        </w:tc>
      </w:tr>
      <w:tr w14:paraId="4A9C84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18" w:hRule="atLeast"/>
          <w:jc w:val="center"/>
        </w:trPr>
        <w:tc>
          <w:tcPr>
            <w:tcW w:w="952" w:type="dxa"/>
            <w:vAlign w:val="center"/>
          </w:tcPr>
          <w:p w14:paraId="4E10B076">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44B619B3">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竞争性磋商文件发售时间及获取方式</w:t>
            </w:r>
          </w:p>
        </w:tc>
        <w:tc>
          <w:tcPr>
            <w:tcW w:w="7619" w:type="dxa"/>
            <w:vAlign w:val="center"/>
          </w:tcPr>
          <w:p w14:paraId="66A3288F">
            <w:pPr>
              <w:tabs>
                <w:tab w:val="left" w:pos="1069"/>
                <w:tab w:val="left" w:pos="2352"/>
              </w:tabs>
              <w:jc w:val="left"/>
              <w:rPr>
                <w:rFonts w:ascii="宋体" w:hAnsi="宋体" w:cs="宋体"/>
                <w:color w:val="auto"/>
                <w:sz w:val="22"/>
                <w:highlight w:val="none"/>
                <w:lang w:bidi="ar"/>
              </w:rPr>
            </w:pPr>
            <w:r>
              <w:rPr>
                <w:rFonts w:hint="eastAsia" w:ascii="宋体" w:hAnsi="宋体" w:cs="宋体"/>
                <w:color w:val="auto"/>
                <w:sz w:val="22"/>
                <w:highlight w:val="none"/>
                <w:lang w:bidi="ar"/>
              </w:rPr>
              <w:t>登录浙江省政府采购网（网址：</w:t>
            </w:r>
            <w:r>
              <w:rPr>
                <w:rFonts w:hint="eastAsia" w:ascii="宋体" w:hAnsi="宋体" w:cs="宋体"/>
                <w:color w:val="auto"/>
                <w:sz w:val="22"/>
                <w:highlight w:val="none"/>
                <w:lang w:bidi="ar"/>
              </w:rPr>
              <w:fldChar w:fldCharType="begin"/>
            </w:r>
            <w:r>
              <w:rPr>
                <w:rFonts w:hint="eastAsia" w:ascii="宋体" w:hAnsi="宋体" w:cs="宋体"/>
                <w:color w:val="auto"/>
                <w:sz w:val="22"/>
                <w:highlight w:val="none"/>
                <w:lang w:bidi="ar"/>
              </w:rPr>
              <w:instrText xml:space="preserve"> HYPERLINK "http://www.zjzfcg.gov.cn）查找本项目并获取采购文件，获取采购文件时应填写正确的电子邮箱。" </w:instrText>
            </w:r>
            <w:r>
              <w:rPr>
                <w:rFonts w:hint="eastAsia" w:ascii="宋体" w:hAnsi="宋体" w:cs="宋体"/>
                <w:color w:val="auto"/>
                <w:sz w:val="22"/>
                <w:highlight w:val="none"/>
                <w:lang w:bidi="ar"/>
              </w:rPr>
              <w:fldChar w:fldCharType="separate"/>
            </w:r>
            <w:r>
              <w:rPr>
                <w:rFonts w:hint="eastAsia" w:ascii="宋体" w:hAnsi="宋体" w:cs="宋体"/>
                <w:color w:val="auto"/>
                <w:sz w:val="22"/>
                <w:highlight w:val="none"/>
                <w:lang w:bidi="ar"/>
              </w:rPr>
              <w:t>http://zfcg.czt.zj.gov.cn/）查找本项目并获取采购文件，获取采购文件时应填写正确的电子邮箱（开标时若有文件传输均发至此邮箱）。</w:t>
            </w:r>
          </w:p>
          <w:p w14:paraId="50EBEF3D">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lang w:bidi="ar"/>
              </w:rPr>
              <w:fldChar w:fldCharType="end"/>
            </w:r>
            <w:r>
              <w:rPr>
                <w:rFonts w:hint="eastAsia" w:ascii="宋体" w:hAnsi="宋体" w:cs="宋体"/>
                <w:color w:val="auto"/>
                <w:sz w:val="22"/>
                <w:highlight w:val="none"/>
                <w:lang w:bidi="ar"/>
              </w:rPr>
              <w:t>采购文件获取截止时间：本项目开标时间。</w:t>
            </w:r>
          </w:p>
        </w:tc>
      </w:tr>
      <w:tr w14:paraId="4DD0F2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39" w:hRule="atLeast"/>
          <w:jc w:val="center"/>
        </w:trPr>
        <w:tc>
          <w:tcPr>
            <w:tcW w:w="952" w:type="dxa"/>
            <w:vAlign w:val="center"/>
          </w:tcPr>
          <w:p w14:paraId="2AFF7C0F">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751106EF">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投标文件递交截止时间及地点</w:t>
            </w:r>
          </w:p>
        </w:tc>
        <w:tc>
          <w:tcPr>
            <w:tcW w:w="7619" w:type="dxa"/>
            <w:vAlign w:val="center"/>
          </w:tcPr>
          <w:p w14:paraId="7401CA63">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lang w:eastAsia="zh-CN"/>
              </w:rPr>
              <w:t>2025年12月29日 09:00</w:t>
            </w:r>
            <w:r>
              <w:rPr>
                <w:rFonts w:hint="eastAsia" w:ascii="宋体" w:hAnsi="宋体" w:cs="宋体"/>
                <w:color w:val="auto"/>
                <w:sz w:val="22"/>
                <w:highlight w:val="none"/>
              </w:rPr>
              <w:t>(北京时间)</w:t>
            </w:r>
          </w:p>
          <w:p w14:paraId="43BF9F17">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投标文件递交地点：“政府采购云平台（http://zfcg.czt.zj.gov.cn/）”在线递交</w:t>
            </w:r>
          </w:p>
        </w:tc>
      </w:tr>
      <w:tr w14:paraId="0510C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96A857A">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79226DD6">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开标时间</w:t>
            </w:r>
          </w:p>
          <w:p w14:paraId="20FC07CA">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开标地点</w:t>
            </w:r>
          </w:p>
        </w:tc>
        <w:tc>
          <w:tcPr>
            <w:tcW w:w="7619" w:type="dxa"/>
            <w:vAlign w:val="center"/>
          </w:tcPr>
          <w:p w14:paraId="450A12F2">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开标时间：</w:t>
            </w:r>
            <w:r>
              <w:rPr>
                <w:rFonts w:hint="eastAsia" w:ascii="宋体" w:hAnsi="宋体" w:cs="宋体"/>
                <w:color w:val="auto"/>
                <w:sz w:val="22"/>
                <w:highlight w:val="none"/>
                <w:lang w:eastAsia="zh-CN"/>
              </w:rPr>
              <w:t>2025年12月29日</w:t>
            </w:r>
            <w:r>
              <w:rPr>
                <w:rFonts w:hint="eastAsia" w:ascii="宋体" w:hAnsi="宋体" w:cs="宋体"/>
                <w:color w:val="auto"/>
                <w:sz w:val="22"/>
                <w:highlight w:val="none"/>
                <w:lang w:val="en-US" w:eastAsia="zh-CN"/>
              </w:rPr>
              <w:t>09</w:t>
            </w:r>
            <w:r>
              <w:rPr>
                <w:rFonts w:hint="eastAsia" w:ascii="宋体" w:hAnsi="宋体" w:cs="宋体"/>
                <w:color w:val="auto"/>
                <w:sz w:val="22"/>
                <w:highlight w:val="none"/>
              </w:rPr>
              <w:t>:00 (北京时间)</w:t>
            </w:r>
          </w:p>
          <w:p w14:paraId="3ABBBFD4">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开标地点：“政府采购云平台（http://zfcg.czt.zj.gov.cn/）”在线开标</w:t>
            </w:r>
          </w:p>
        </w:tc>
      </w:tr>
      <w:tr w14:paraId="237081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0BE17251">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648C4B1E">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评审地点</w:t>
            </w:r>
          </w:p>
        </w:tc>
        <w:tc>
          <w:tcPr>
            <w:tcW w:w="7619" w:type="dxa"/>
            <w:vAlign w:val="center"/>
          </w:tcPr>
          <w:p w14:paraId="58003BA0">
            <w:pPr>
              <w:tabs>
                <w:tab w:val="left" w:pos="1069"/>
                <w:tab w:val="left" w:pos="2352"/>
              </w:tabs>
              <w:jc w:val="left"/>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杭州华旗招标代理有限公司（温州市泰顺县罗阳镇文祥大道电网弄1号301（县交通运输管理中心隔壁））</w:t>
            </w:r>
          </w:p>
        </w:tc>
      </w:tr>
      <w:tr w14:paraId="75AFD5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2" w:hRule="atLeast"/>
          <w:jc w:val="center"/>
        </w:trPr>
        <w:tc>
          <w:tcPr>
            <w:tcW w:w="952" w:type="dxa"/>
            <w:vAlign w:val="center"/>
          </w:tcPr>
          <w:p w14:paraId="2C672D8A">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0F267068">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开标程序</w:t>
            </w:r>
          </w:p>
        </w:tc>
        <w:tc>
          <w:tcPr>
            <w:tcW w:w="7619" w:type="dxa"/>
            <w:vAlign w:val="center"/>
          </w:tcPr>
          <w:p w14:paraId="53C6BA29">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（一）开标准备</w:t>
            </w:r>
          </w:p>
          <w:p w14:paraId="5F460443">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1.采购组织机构原则上采用电子评标，按照响应文件规定的时间通过“政府采购云平台”组织开标、开启响应文件，所有供应商均应当准时在线参加。供应商如不参加磋商大会的，视同认可磋商结果，事后不得对采购相关人员、磋商过程和磋商结果提出异议，同时供应商因未在线参加磋商而导致响应文件无法按时解密等一切后果由供应商自己承担。</w:t>
            </w:r>
          </w:p>
          <w:p w14:paraId="68DBC182">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2.若磋商供应商在规定时间内无法解密或解密失败的，其投标无效。</w:t>
            </w:r>
          </w:p>
          <w:p w14:paraId="3435A7C6">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3.所有二次报价询标流程，均在线上完成，请各供应商务必不要离开电脑太久，并留意手机短信。（请提前检查“政采云”内，关于‘项目采购’的岗位权限是否已勾选上。如有问题，请致电400-881-7190）。</w:t>
            </w:r>
          </w:p>
          <w:p w14:paraId="0DCC2535">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（二）电子招投标开标及评审程序</w:t>
            </w:r>
          </w:p>
          <w:p w14:paraId="57470E47">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1.磋商会由采购代理机构主持，磋商响应截止时间后，供应商登录政采云平台，用“项目采购-开标评标”功能对电子响应文件进行在线解密，各供应商代表在收到解密通知后30分钟内自行完成“电子加密投标文件”的在线解密。</w:t>
            </w:r>
          </w:p>
          <w:p w14:paraId="5DBDDF80">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2.投标文件解密结束，开启响应文件，磋商小组对资格和商务技术响应文件进行评审；</w:t>
            </w:r>
          </w:p>
          <w:p w14:paraId="20519378">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3.供应商按签到的前后顺序决定磋商的顺序，就价格、服务等认为需要磋商的内容进行磋商，供应商逐家回答磋商小组的提问，响应人作出最终承诺和最终报价。</w:t>
            </w:r>
          </w:p>
          <w:p w14:paraId="29628F88">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5.在系统上公开资格和</w:t>
            </w:r>
            <w:r>
              <w:rPr>
                <w:rFonts w:hint="eastAsia" w:hAnsi="宋体" w:cs="宋体"/>
                <w:color w:val="auto"/>
                <w:sz w:val="22"/>
                <w:highlight w:val="none"/>
              </w:rPr>
              <w:t>商务技术评分</w:t>
            </w:r>
            <w:r>
              <w:rPr>
                <w:rFonts w:hint="eastAsia" w:ascii="宋体" w:hAnsi="宋体" w:cs="宋体"/>
                <w:color w:val="auto"/>
                <w:sz w:val="22"/>
                <w:highlight w:val="none"/>
              </w:rPr>
              <w:t>评审结果；</w:t>
            </w:r>
          </w:p>
          <w:p w14:paraId="04182B58">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6.在系统上录入最终报价情况；</w:t>
            </w:r>
          </w:p>
          <w:p w14:paraId="5D97D9DA">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7.磋商小组对报价情况进行评审；</w:t>
            </w:r>
          </w:p>
          <w:p w14:paraId="71A65CCB">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8.在系统上公布评审结果。</w:t>
            </w:r>
          </w:p>
          <w:p w14:paraId="436BC15A">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特别说明：政采云公司如对电子化开标及评审程序有调整的，按调整后的程序操作。</w:t>
            </w:r>
          </w:p>
        </w:tc>
      </w:tr>
      <w:tr w14:paraId="351254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4645C3A">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6E3D8DCE">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评审小组的</w:t>
            </w:r>
          </w:p>
          <w:p w14:paraId="5CB2DDB5">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组建</w:t>
            </w:r>
          </w:p>
        </w:tc>
        <w:tc>
          <w:tcPr>
            <w:tcW w:w="7619" w:type="dxa"/>
            <w:vAlign w:val="center"/>
          </w:tcPr>
          <w:p w14:paraId="5514722F">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评审小组构成：由采购人代表以及有关技术、经济等方面的专家组成，成员为3人及以上单数，其中技术、经济类专家不得少于总人数的2/3；评标专家确定方式：按相关规定从专家库中抽取。</w:t>
            </w:r>
          </w:p>
        </w:tc>
      </w:tr>
      <w:tr w14:paraId="4CDA7C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749FBE01">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409AEBCD">
            <w:pPr>
              <w:adjustRightInd w:val="0"/>
              <w:jc w:val="center"/>
              <w:rPr>
                <w:rFonts w:ascii="宋体" w:hAnsi="宋体" w:cs="宋体"/>
                <w:color w:val="auto"/>
                <w:sz w:val="22"/>
                <w:highlight w:val="none"/>
              </w:rPr>
            </w:pPr>
            <w:r>
              <w:rPr>
                <w:rFonts w:hint="eastAsia" w:ascii="宋体" w:hAnsi="宋体" w:cs="宋体"/>
                <w:color w:val="auto"/>
                <w:sz w:val="22"/>
                <w:highlight w:val="none"/>
              </w:rPr>
              <w:t>政府采购</w:t>
            </w:r>
          </w:p>
          <w:p w14:paraId="151E9B62">
            <w:pPr>
              <w:adjustRightInd w:val="0"/>
              <w:jc w:val="center"/>
              <w:rPr>
                <w:rFonts w:ascii="宋体" w:hAnsi="宋体" w:cs="宋体"/>
                <w:color w:val="auto"/>
                <w:sz w:val="22"/>
                <w:highlight w:val="none"/>
              </w:rPr>
            </w:pPr>
            <w:r>
              <w:rPr>
                <w:rFonts w:hint="eastAsia" w:ascii="宋体" w:hAnsi="宋体" w:cs="宋体"/>
                <w:color w:val="auto"/>
                <w:sz w:val="22"/>
                <w:highlight w:val="none"/>
              </w:rPr>
              <w:t>扶持政策</w:t>
            </w:r>
          </w:p>
        </w:tc>
        <w:tc>
          <w:tcPr>
            <w:tcW w:w="7619" w:type="dxa"/>
            <w:vAlign w:val="center"/>
          </w:tcPr>
          <w:p w14:paraId="68B7ED51">
            <w:pPr>
              <w:tabs>
                <w:tab w:val="left" w:pos="1069"/>
                <w:tab w:val="left" w:pos="2352"/>
              </w:tabs>
              <w:rPr>
                <w:rFonts w:ascii="宋体" w:cs="Arial"/>
                <w:color w:val="auto"/>
                <w:sz w:val="22"/>
                <w:highlight w:val="none"/>
              </w:rPr>
            </w:pPr>
            <w:r>
              <w:rPr>
                <w:rFonts w:ascii="宋体"/>
                <w:color w:val="auto"/>
                <w:sz w:val="22"/>
                <w:highlight w:val="none"/>
              </w:rPr>
              <w:t>1</w:t>
            </w:r>
            <w:r>
              <w:rPr>
                <w:rFonts w:hint="eastAsia" w:ascii="宋体"/>
                <w:color w:val="auto"/>
                <w:sz w:val="22"/>
                <w:highlight w:val="none"/>
              </w:rPr>
              <w:t>.</w:t>
            </w:r>
            <w:r>
              <w:rPr>
                <w:rFonts w:hint="eastAsia" w:ascii="宋体" w:hAnsi="宋体" w:cs="宋体"/>
                <w:color w:val="auto"/>
                <w:sz w:val="22"/>
                <w:highlight w:val="none"/>
              </w:rPr>
              <w:t>对符合财政扶持政策的小微企业（或监狱企业、或残疾人福利性单位）给予评标价格折扣。供应商企业属于以上多种性质的，不重复享受扶持政策</w:t>
            </w:r>
            <w:r>
              <w:rPr>
                <w:rFonts w:hint="eastAsia" w:ascii="宋体" w:cs="Arial"/>
                <w:color w:val="auto"/>
                <w:sz w:val="22"/>
                <w:highlight w:val="none"/>
              </w:rPr>
              <w:t>。</w:t>
            </w:r>
          </w:p>
          <w:p w14:paraId="75A303E4">
            <w:pPr>
              <w:rPr>
                <w:rFonts w:ascii="宋体" w:hAnsi="宋体" w:cs="宋体"/>
                <w:color w:val="auto"/>
                <w:sz w:val="22"/>
                <w:highlight w:val="none"/>
              </w:rPr>
            </w:pPr>
            <w:r>
              <w:rPr>
                <w:rFonts w:ascii="宋体" w:cs="Arial"/>
                <w:color w:val="auto"/>
                <w:sz w:val="22"/>
                <w:highlight w:val="none"/>
              </w:rPr>
              <w:t>2</w:t>
            </w:r>
            <w:r>
              <w:rPr>
                <w:rFonts w:hint="eastAsia" w:ascii="宋体" w:cs="Arial"/>
                <w:color w:val="auto"/>
                <w:sz w:val="22"/>
                <w:highlight w:val="none"/>
              </w:rPr>
              <w:t>.对节能、环保产品优先采购。</w:t>
            </w:r>
          </w:p>
        </w:tc>
      </w:tr>
      <w:tr w14:paraId="143156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279DE991">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05FB4583">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供应商信用查询</w:t>
            </w:r>
          </w:p>
        </w:tc>
        <w:tc>
          <w:tcPr>
            <w:tcW w:w="7619" w:type="dxa"/>
            <w:vAlign w:val="center"/>
          </w:tcPr>
          <w:p w14:paraId="2E3A7007">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投标供应商信用信息查询的查询渠道：“信用中国”(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)；“中国政府采购网”（http://www.ccgp.gov.cn/）；</w:t>
            </w:r>
          </w:p>
          <w:p w14:paraId="592C40E8">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投标供应商信用信息查询截止时点：本项目投标截止时间前。</w:t>
            </w:r>
          </w:p>
          <w:p w14:paraId="531A306C">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3</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投标供应商信用信息查询记录和证据留存的具体方式：网页截图打印；</w:t>
            </w:r>
          </w:p>
          <w:p w14:paraId="73D47B4B">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4</w:t>
            </w:r>
            <w:r>
              <w:rPr>
                <w:rFonts w:hint="eastAsia" w:ascii="宋体" w:hAnsi="宋体" w:cs="宋体"/>
                <w:color w:val="auto"/>
                <w:sz w:val="22"/>
                <w:highlight w:val="none"/>
                <w:lang w:eastAsia="zh-CN"/>
              </w:rPr>
              <w:t>.</w:t>
            </w:r>
            <w:r>
              <w:rPr>
                <w:rFonts w:hint="eastAsia" w:ascii="宋体" w:hAnsi="宋体" w:cs="宋体"/>
                <w:color w:val="auto"/>
                <w:sz w:val="22"/>
                <w:highlight w:val="none"/>
              </w:rPr>
              <w:t>信用信息的使用规则：信用中国”被列入失信被执行人名单、重大税收违法案件当事人名单的供应商，或“中国政府采购网”具有严重违法失信行为信息记录的供应商，其投标做无效投标处理；</w:t>
            </w:r>
          </w:p>
        </w:tc>
      </w:tr>
      <w:tr w14:paraId="1476AA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3290DAA6">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49DFDD5E">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合同备案</w:t>
            </w:r>
          </w:p>
        </w:tc>
        <w:tc>
          <w:tcPr>
            <w:tcW w:w="7619" w:type="dxa"/>
            <w:vAlign w:val="center"/>
          </w:tcPr>
          <w:p w14:paraId="69A5CB91">
            <w:pPr>
              <w:numPr>
                <w:ilvl w:val="0"/>
                <w:numId w:val="0"/>
              </w:numPr>
              <w:tabs>
                <w:tab w:val="left" w:pos="1069"/>
                <w:tab w:val="left" w:pos="2352"/>
              </w:tabs>
              <w:jc w:val="both"/>
              <w:rPr>
                <w:rFonts w:ascii="宋体" w:hAnsi="宋体" w:cs="宋体"/>
                <w:color w:val="auto"/>
                <w:sz w:val="22"/>
                <w:highlight w:val="none"/>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rPr>
              <w:t>中标（成交）供应商须在发出中标（成交）通知书之日起30日历天内与</w:t>
            </w:r>
          </w:p>
          <w:p w14:paraId="3C9E40F1">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采购人签订合同。</w:t>
            </w:r>
          </w:p>
          <w:p w14:paraId="3EEF3960">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color w:val="auto"/>
                <w:sz w:val="22"/>
                <w:highlight w:val="none"/>
              </w:rPr>
              <w:t>中标（成交）供应商与采购人签订合同后，2日历天内将合同原件交招标代理机构备案。</w:t>
            </w:r>
          </w:p>
          <w:p w14:paraId="3F5C88D8">
            <w:pPr>
              <w:numPr>
                <w:ilvl w:val="0"/>
                <w:numId w:val="0"/>
              </w:num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lang w:val="en-US" w:eastAsia="zh-CN"/>
              </w:rPr>
              <w:t>3.</w:t>
            </w:r>
            <w:r>
              <w:rPr>
                <w:rFonts w:hint="eastAsia" w:ascii="宋体" w:hAnsi="宋体" w:cs="宋体"/>
                <w:color w:val="auto"/>
                <w:sz w:val="22"/>
                <w:highlight w:val="none"/>
              </w:rPr>
              <w:t>本项目政府采购合同按规定在浙江政府采购网（http://zfcg.czt.zj.gov.cn/）予以公告。</w:t>
            </w:r>
          </w:p>
        </w:tc>
      </w:tr>
      <w:tr w14:paraId="43D265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73CA1406">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15362ECF">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合同履约管理</w:t>
            </w:r>
          </w:p>
        </w:tc>
        <w:tc>
          <w:tcPr>
            <w:tcW w:w="7619" w:type="dxa"/>
            <w:vAlign w:val="center"/>
          </w:tcPr>
          <w:p w14:paraId="67218224">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合同签订后，采购人依法加强对合同履约进行管理，并在中标（成交）单位供货（或服务）、项目验收等重要关节，如实填写《合同验收报告》（表附合同条款中），并及时向同级财政部门报告验收过程中遇到的问题。</w:t>
            </w:r>
          </w:p>
        </w:tc>
      </w:tr>
      <w:tr w14:paraId="427C14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378DEB08">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58523962">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免责声明</w:t>
            </w:r>
          </w:p>
        </w:tc>
        <w:tc>
          <w:tcPr>
            <w:tcW w:w="7619" w:type="dxa"/>
            <w:vAlign w:val="center"/>
          </w:tcPr>
          <w:p w14:paraId="30185211">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投标供应商自行承担投标过程中产生的费用。无论何种因素导致采购项目延期开标、废标（流标）、投标供应商未成交、项目终止采购的，采购人与代理机构均不承担供应商投标费用。</w:t>
            </w:r>
          </w:p>
          <w:p w14:paraId="74C0CDA3">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投标供应商在投标、合同履行过程中必须做好安全保障工作，不因项目实施而危及自身及第三方人员、财产安全。若发生任何安全事故，由中标（成交）供应商自行承担一切责任并赔偿损失。</w:t>
            </w:r>
          </w:p>
        </w:tc>
      </w:tr>
      <w:tr w14:paraId="52B398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487ABEB">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bookmarkStart w:id="2" w:name="_Toc758_WPSOffice_Level1"/>
          </w:p>
        </w:tc>
        <w:tc>
          <w:tcPr>
            <w:tcW w:w="1600" w:type="dxa"/>
            <w:shd w:val="clear" w:color="auto" w:fill="auto"/>
            <w:vAlign w:val="center"/>
          </w:tcPr>
          <w:p w14:paraId="0C74C925">
            <w:pPr>
              <w:tabs>
                <w:tab w:val="left" w:pos="1069"/>
                <w:tab w:val="left" w:pos="2352"/>
              </w:tabs>
              <w:jc w:val="left"/>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highlight w:val="none"/>
              </w:rPr>
              <w:t>纸质投标文件</w:t>
            </w:r>
          </w:p>
        </w:tc>
        <w:tc>
          <w:tcPr>
            <w:tcW w:w="7619" w:type="dxa"/>
            <w:shd w:val="clear" w:color="auto" w:fill="auto"/>
            <w:vAlign w:val="center"/>
          </w:tcPr>
          <w:p w14:paraId="7904D75C">
            <w:pPr>
              <w:tabs>
                <w:tab w:val="left" w:pos="1069"/>
                <w:tab w:val="left" w:pos="2352"/>
              </w:tabs>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highlight w:val="none"/>
                <w:u w:val="none"/>
                <w:lang w:bidi="ar"/>
              </w:rPr>
              <w:t>中标后，中标供应商须提供3份纸质投标文件至招标代理机构处作为纸质存档（正本一份，副本</w:t>
            </w:r>
            <w:r>
              <w:rPr>
                <w:rFonts w:hint="eastAsia" w:ascii="宋体" w:hAnsi="宋体" w:eastAsia="宋体" w:cs="宋体"/>
                <w:b w:val="0"/>
                <w:bCs w:val="0"/>
                <w:color w:val="auto"/>
                <w:sz w:val="22"/>
                <w:highlight w:val="none"/>
                <w:u w:val="none"/>
                <w:lang w:val="en-US" w:eastAsia="zh-CN" w:bidi="ar"/>
              </w:rPr>
              <w:t>三</w:t>
            </w:r>
            <w:r>
              <w:rPr>
                <w:rFonts w:hint="eastAsia" w:ascii="宋体" w:hAnsi="宋体" w:eastAsia="宋体" w:cs="宋体"/>
                <w:b w:val="0"/>
                <w:bCs w:val="0"/>
                <w:color w:val="auto"/>
                <w:sz w:val="22"/>
                <w:highlight w:val="none"/>
                <w:u w:val="none"/>
                <w:lang w:bidi="ar"/>
              </w:rPr>
              <w:t>份）邮寄至杭州华旗招标代理有限公司（邮寄信息：</w:t>
            </w:r>
            <w:r>
              <w:rPr>
                <w:rFonts w:hint="eastAsia" w:ascii="宋体" w:hAnsi="宋体" w:cs="宋体"/>
                <w:b w:val="0"/>
                <w:bCs w:val="0"/>
                <w:color w:val="auto"/>
                <w:sz w:val="22"/>
                <w:highlight w:val="none"/>
                <w:u w:val="none"/>
                <w:lang w:eastAsia="zh-CN" w:bidi="ar"/>
              </w:rPr>
              <w:t>温州市泰顺县罗阳镇文祥大道电网弄1号301（县交通运输管理中心隔壁） </w:t>
            </w:r>
            <w:r>
              <w:rPr>
                <w:rFonts w:hint="eastAsia" w:ascii="宋体" w:hAnsi="宋体" w:eastAsia="宋体" w:cs="宋体"/>
                <w:b w:val="0"/>
                <w:bCs w:val="0"/>
                <w:color w:val="auto"/>
                <w:sz w:val="22"/>
                <w:highlight w:val="none"/>
                <w:u w:val="none"/>
                <w:lang w:bidi="ar"/>
              </w:rPr>
              <w:t>，翁女士，17858065131）。</w:t>
            </w:r>
          </w:p>
        </w:tc>
      </w:tr>
    </w:tbl>
    <w:p w14:paraId="5B4972CD">
      <w:pPr>
        <w:tabs>
          <w:tab w:val="left" w:pos="1069"/>
          <w:tab w:val="left" w:pos="2352"/>
        </w:tabs>
        <w:autoSpaceDE w:val="0"/>
        <w:autoSpaceDN w:val="0"/>
        <w:adjustRightInd w:val="0"/>
        <w:snapToGrid w:val="0"/>
        <w:spacing w:line="400" w:lineRule="exact"/>
        <w:jc w:val="center"/>
        <w:rPr>
          <w:rFonts w:ascii="宋体" w:hAnsi="宋体" w:cs="宋体"/>
          <w:b/>
          <w:color w:val="auto"/>
          <w:sz w:val="32"/>
          <w:szCs w:val="32"/>
          <w:highlight w:val="none"/>
          <w:lang w:val="zh-CN"/>
        </w:rPr>
      </w:pPr>
    </w:p>
    <w:p w14:paraId="5B5C2095">
      <w:pPr>
        <w:tabs>
          <w:tab w:val="left" w:pos="1069"/>
          <w:tab w:val="left" w:pos="2352"/>
        </w:tabs>
        <w:autoSpaceDE w:val="0"/>
        <w:autoSpaceDN w:val="0"/>
        <w:adjustRightInd w:val="0"/>
        <w:snapToGrid w:val="0"/>
        <w:spacing w:line="400" w:lineRule="exact"/>
        <w:jc w:val="center"/>
        <w:rPr>
          <w:rFonts w:ascii="宋体" w:hAnsi="宋体" w:cs="宋体"/>
          <w:b/>
          <w:color w:val="auto"/>
          <w:sz w:val="32"/>
          <w:szCs w:val="32"/>
          <w:highlight w:val="none"/>
          <w:lang w:val="zh-CN"/>
        </w:rPr>
      </w:pPr>
      <w:r>
        <w:rPr>
          <w:rFonts w:hint="eastAsia" w:ascii="宋体" w:hAnsi="宋体" w:cs="宋体"/>
          <w:b/>
          <w:color w:val="auto"/>
          <w:sz w:val="32"/>
          <w:szCs w:val="32"/>
          <w:highlight w:val="none"/>
          <w:lang w:val="zh-CN"/>
        </w:rPr>
        <w:t>第二部分、采购内容</w:t>
      </w:r>
      <w:bookmarkEnd w:id="2"/>
    </w:p>
    <w:p w14:paraId="38AC65DD">
      <w:pPr>
        <w:pStyle w:val="6"/>
        <w:spacing w:line="400" w:lineRule="exact"/>
        <w:rPr>
          <w:rFonts w:ascii="宋体" w:hAnsi="宋体" w:cs="宋体"/>
          <w:b/>
          <w:bCs/>
          <w:color w:val="auto"/>
          <w:sz w:val="22"/>
          <w:szCs w:val="22"/>
          <w:highlight w:val="none"/>
        </w:rPr>
      </w:pPr>
      <w:bookmarkStart w:id="3" w:name="_Toc5493_WPSOffice_Level1"/>
      <w:r>
        <w:rPr>
          <w:rFonts w:hint="eastAsia" w:ascii="宋体" w:hAnsi="宋体" w:cs="宋体"/>
          <w:b/>
          <w:bCs/>
          <w:color w:val="auto"/>
          <w:sz w:val="22"/>
          <w:szCs w:val="22"/>
          <w:highlight w:val="none"/>
        </w:rPr>
        <w:t>一、项目简介</w:t>
      </w:r>
    </w:p>
    <w:p w14:paraId="7B68A275">
      <w:pPr>
        <w:pStyle w:val="6"/>
        <w:spacing w:line="400" w:lineRule="exact"/>
        <w:rPr>
          <w:rFonts w:ascii="宋体" w:hAnsi="宋体" w:cs="宋体"/>
          <w:color w:val="auto"/>
          <w:sz w:val="22"/>
          <w:szCs w:val="22"/>
          <w:highlight w:val="none"/>
        </w:rPr>
      </w:pPr>
      <w:bookmarkStart w:id="4" w:name="_Toc24980"/>
      <w:r>
        <w:rPr>
          <w:rFonts w:hint="eastAsia" w:ascii="宋体" w:hAnsi="宋体" w:cs="宋体"/>
          <w:color w:val="auto"/>
          <w:sz w:val="22"/>
          <w:szCs w:val="22"/>
          <w:highlight w:val="none"/>
        </w:rPr>
        <w:t>根据</w:t>
      </w:r>
      <w:bookmarkEnd w:id="4"/>
      <w:r>
        <w:rPr>
          <w:rFonts w:hint="eastAsia" w:asciiTheme="minorEastAsia" w:hAnsiTheme="minorEastAsia" w:eastAsiaTheme="minorEastAsia" w:cstheme="minorEastAsia"/>
          <w:color w:val="auto"/>
          <w:sz w:val="22"/>
          <w:szCs w:val="22"/>
          <w:highlight w:val="none"/>
          <w:shd w:val="clear" w:color="auto" w:fill="auto"/>
          <w:lang w:val="en-US" w:eastAsia="zh-CN"/>
        </w:rPr>
        <w:t>《浙江省</w:t>
      </w:r>
      <w:r>
        <w:rPr>
          <w:rFonts w:hint="eastAsia" w:asciiTheme="minorEastAsia" w:hAnsiTheme="minorEastAsia" w:eastAsiaTheme="minorEastAsia" w:cstheme="minorEastAsia"/>
          <w:color w:val="auto"/>
          <w:sz w:val="22"/>
          <w:szCs w:val="22"/>
          <w:highlight w:val="none"/>
          <w:shd w:val="clear" w:color="auto" w:fill="auto"/>
          <w:lang w:eastAsia="zh-CN"/>
        </w:rPr>
        <w:t>自然资源厅</w:t>
      </w:r>
      <w:r>
        <w:rPr>
          <w:rFonts w:hint="eastAsia" w:asciiTheme="minorEastAsia" w:hAnsiTheme="minorEastAsia" w:eastAsiaTheme="minorEastAsia" w:cstheme="minorEastAsia"/>
          <w:color w:val="auto"/>
          <w:sz w:val="22"/>
          <w:szCs w:val="22"/>
          <w:highlight w:val="none"/>
          <w:shd w:val="clear" w:color="auto" w:fill="auto"/>
          <w:lang w:val="en-US" w:eastAsia="zh-CN"/>
        </w:rPr>
        <w:t xml:space="preserve"> 浙江省林业局关于开展全省森林草原湿地普查工作的通知》（浙</w:t>
      </w:r>
      <w:r>
        <w:rPr>
          <w:rFonts w:hint="eastAsia" w:asciiTheme="minorEastAsia" w:hAnsiTheme="minorEastAsia" w:eastAsiaTheme="minorEastAsia" w:cstheme="minorEastAsia"/>
          <w:b w:val="0"/>
          <w:i w:val="0"/>
          <w:caps w:val="0"/>
          <w:color w:val="auto"/>
          <w:spacing w:val="0"/>
          <w:sz w:val="22"/>
          <w:szCs w:val="22"/>
          <w:highlight w:val="none"/>
          <w:shd w:val="clear" w:color="auto" w:fill="auto"/>
        </w:rPr>
        <w:t>自然资发</w:t>
      </w:r>
      <w:r>
        <w:rPr>
          <w:rFonts w:hint="eastAsia" w:asciiTheme="minorEastAsia" w:hAnsiTheme="minorEastAsia" w:eastAsiaTheme="minorEastAsia" w:cstheme="minorEastAsia"/>
          <w:color w:val="auto"/>
          <w:sz w:val="22"/>
          <w:szCs w:val="22"/>
          <w:highlight w:val="none"/>
          <w:lang w:val="en-US" w:eastAsia="zh-CN"/>
        </w:rPr>
        <w:t>〔2024〕</w:t>
      </w:r>
      <w:r>
        <w:rPr>
          <w:rFonts w:hint="eastAsia" w:asciiTheme="minorEastAsia" w:hAnsiTheme="minorEastAsia" w:eastAsiaTheme="minorEastAsia" w:cstheme="minorEastAsia"/>
          <w:b w:val="0"/>
          <w:i w:val="0"/>
          <w:caps w:val="0"/>
          <w:color w:val="auto"/>
          <w:spacing w:val="0"/>
          <w:sz w:val="22"/>
          <w:szCs w:val="22"/>
          <w:highlight w:val="none"/>
          <w:shd w:val="clear" w:color="auto" w:fill="auto"/>
          <w:lang w:val="en-US" w:eastAsia="zh-CN"/>
        </w:rPr>
        <w:t>4</w:t>
      </w:r>
      <w:r>
        <w:rPr>
          <w:rFonts w:hint="eastAsia" w:asciiTheme="minorEastAsia" w:hAnsiTheme="minorEastAsia" w:eastAsiaTheme="minorEastAsia" w:cstheme="minorEastAsia"/>
          <w:b w:val="0"/>
          <w:i w:val="0"/>
          <w:caps w:val="0"/>
          <w:color w:val="auto"/>
          <w:spacing w:val="0"/>
          <w:sz w:val="22"/>
          <w:szCs w:val="22"/>
          <w:highlight w:val="none"/>
          <w:shd w:val="clear" w:color="auto" w:fill="auto"/>
        </w:rPr>
        <w:t>号</w:t>
      </w:r>
      <w:r>
        <w:rPr>
          <w:rFonts w:hint="eastAsia" w:asciiTheme="minorEastAsia" w:hAnsiTheme="minorEastAsia" w:eastAsiaTheme="minorEastAsia" w:cstheme="minorEastAsia"/>
          <w:color w:val="auto"/>
          <w:sz w:val="22"/>
          <w:szCs w:val="22"/>
          <w:highlight w:val="none"/>
          <w:shd w:val="clear" w:color="auto" w:fill="auto"/>
          <w:lang w:val="en-US" w:eastAsia="zh-CN"/>
        </w:rPr>
        <w:t>）</w:t>
      </w:r>
      <w:r>
        <w:rPr>
          <w:rFonts w:hint="eastAsia" w:ascii="宋体" w:hAnsi="宋体" w:cs="宋体"/>
          <w:color w:val="auto"/>
          <w:sz w:val="22"/>
          <w:szCs w:val="22"/>
          <w:highlight w:val="none"/>
        </w:rPr>
        <w:t>文件精神，结合泰顺县实际，开展</w:t>
      </w:r>
      <w:r>
        <w:rPr>
          <w:rFonts w:hint="eastAsia" w:ascii="宋体" w:hAnsi="宋体" w:cs="宋体"/>
          <w:color w:val="auto"/>
          <w:sz w:val="22"/>
          <w:szCs w:val="22"/>
          <w:highlight w:val="none"/>
          <w:lang w:eastAsia="zh-CN"/>
        </w:rPr>
        <w:t>2025年</w:t>
      </w:r>
      <w:r>
        <w:rPr>
          <w:rFonts w:hint="eastAsia" w:ascii="宋体" w:hAnsi="宋体" w:cs="宋体"/>
          <w:color w:val="auto"/>
          <w:sz w:val="22"/>
          <w:szCs w:val="22"/>
          <w:highlight w:val="none"/>
        </w:rPr>
        <w:t>泰顺县森林、草地、湿地调查监测工作，全面及时掌握全县林草湿资源年度变化情况。</w:t>
      </w:r>
    </w:p>
    <w:p w14:paraId="1AEA704D">
      <w:pPr>
        <w:pStyle w:val="6"/>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二、项目目的</w:t>
      </w:r>
    </w:p>
    <w:p w14:paraId="60964DED">
      <w:pPr>
        <w:pStyle w:val="6"/>
        <w:spacing w:line="40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在2024年度国土变更调查成果和浙江省森林草地湿地普查成果基础上，按照“统一标准、统一时点、统一平台”等要求，通过变化图斑监测，协同推进年度林草湿监测与国土变更调查工作。以地类与植被覆盖类型变化为重点，开展林草湿变化图斑监测，查清全省范围内森林草地湿地资源的数量、质量、结构及其管理等情况，汇交调查监测数据，开展数据库建设并进行统计分析，产出以 2025 年 12 月 31 日作为标准时点的年度调查监测成果，为自然资源管理和国土空间规划“一张图”建设、打造国土空间治理省域样板、统筹推进山水林田湖草一体化保护和系统治理等提供坚实的基础数据支撑。</w:t>
      </w:r>
    </w:p>
    <w:p w14:paraId="09C61D56">
      <w:pPr>
        <w:pStyle w:val="6"/>
        <w:spacing w:line="40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三、工作内容</w:t>
      </w:r>
    </w:p>
    <w:p w14:paraId="29EF5902">
      <w:pPr>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lang w:val="en-US" w:eastAsia="zh-CN"/>
        </w:rPr>
        <w:t>1.开展</w:t>
      </w:r>
      <w:r>
        <w:rPr>
          <w:rFonts w:hint="eastAsia" w:ascii="宋体" w:hAnsi="宋体" w:cs="宋体"/>
          <w:color w:val="auto"/>
          <w:sz w:val="22"/>
          <w:highlight w:val="none"/>
        </w:rPr>
        <w:t>林草湿变化图斑监测</w:t>
      </w:r>
      <w:r>
        <w:rPr>
          <w:rFonts w:hint="eastAsia" w:ascii="宋体" w:hAnsi="宋体" w:cs="宋体"/>
          <w:color w:val="auto"/>
          <w:sz w:val="22"/>
          <w:highlight w:val="none"/>
          <w:lang w:eastAsia="zh-CN"/>
        </w:rPr>
        <w:t>。</w:t>
      </w:r>
      <w:r>
        <w:rPr>
          <w:rFonts w:hint="eastAsia" w:ascii="宋体" w:hAnsi="宋体" w:cs="宋体"/>
          <w:color w:val="auto"/>
          <w:sz w:val="22"/>
          <w:highlight w:val="none"/>
        </w:rPr>
        <w:t>根据自然资源部办公厅国家林业和草原局办公室《关于开展2025 年度全国国土变更调查及森林草原湿地荒漠调查监测工作的通知》(自然资办发〔2025〕33 号)和《森林草原湿地荒漠调查监测技术要求(2025 年度适用)》要求</w:t>
      </w:r>
      <w:r>
        <w:rPr>
          <w:rFonts w:hint="eastAsia" w:ascii="宋体" w:hAnsi="宋体" w:cs="宋体"/>
          <w:color w:val="auto"/>
          <w:sz w:val="22"/>
          <w:highlight w:val="none"/>
          <w:lang w:eastAsia="zh-CN"/>
        </w:rPr>
        <w:t>，</w:t>
      </w:r>
      <w:r>
        <w:rPr>
          <w:rFonts w:hint="eastAsia" w:ascii="宋体" w:hAnsi="宋体" w:cs="宋体"/>
          <w:color w:val="auto"/>
          <w:sz w:val="22"/>
          <w:highlight w:val="none"/>
        </w:rPr>
        <w:t>以地类与植被覆盖类型变化为重点,开展林草湿变化图斑监测。</w:t>
      </w:r>
    </w:p>
    <w:p w14:paraId="5EABD9C8">
      <w:pPr>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lang w:val="en-US" w:eastAsia="zh-CN"/>
        </w:rPr>
        <w:t>2.开展</w:t>
      </w:r>
      <w:r>
        <w:rPr>
          <w:rFonts w:hint="eastAsia" w:ascii="宋体" w:hAnsi="宋体" w:cs="宋体"/>
          <w:color w:val="auto"/>
          <w:sz w:val="22"/>
          <w:highlight w:val="none"/>
        </w:rPr>
        <w:t>林草湿变化图斑调查更新</w:t>
      </w:r>
      <w:r>
        <w:rPr>
          <w:rFonts w:hint="eastAsia" w:ascii="宋体" w:hAnsi="宋体" w:cs="宋体"/>
          <w:color w:val="auto"/>
          <w:sz w:val="22"/>
          <w:highlight w:val="none"/>
          <w:lang w:eastAsia="zh-CN"/>
        </w:rPr>
        <w:t>。</w:t>
      </w:r>
      <w:r>
        <w:rPr>
          <w:rFonts w:hint="eastAsia" w:ascii="宋体" w:hAnsi="宋体" w:cs="宋体"/>
          <w:color w:val="auto"/>
          <w:sz w:val="22"/>
          <w:highlight w:val="none"/>
        </w:rPr>
        <w:t>采取遥感监测、档案更新、补充调查、现地核实、模型更新、数据耦合等多种方法</w:t>
      </w:r>
      <w:r>
        <w:rPr>
          <w:rFonts w:hint="eastAsia" w:ascii="宋体" w:hAnsi="宋体" w:cs="宋体"/>
          <w:color w:val="auto"/>
          <w:sz w:val="22"/>
          <w:highlight w:val="none"/>
          <w:lang w:eastAsia="zh-CN"/>
        </w:rPr>
        <w:t>，</w:t>
      </w:r>
      <w:r>
        <w:rPr>
          <w:rFonts w:hint="eastAsia" w:ascii="宋体" w:hAnsi="宋体" w:cs="宋体"/>
          <w:color w:val="auto"/>
          <w:sz w:val="22"/>
          <w:highlight w:val="none"/>
        </w:rPr>
        <w:t>完成林草湿图斑资源属性因子调查更新,摸清林草湿资源数量、质量、结构及其管理等情况。</w:t>
      </w:r>
    </w:p>
    <w:p w14:paraId="15561000">
      <w:pPr>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lang w:val="en-US" w:eastAsia="zh-CN"/>
        </w:rPr>
        <w:t>3.</w:t>
      </w:r>
      <w:r>
        <w:rPr>
          <w:rFonts w:hint="eastAsia" w:ascii="宋体" w:hAnsi="宋体" w:cs="宋体"/>
          <w:color w:val="auto"/>
          <w:sz w:val="22"/>
          <w:highlight w:val="none"/>
        </w:rPr>
        <w:t>协助开展国家大样地调查试点</w:t>
      </w:r>
      <w:r>
        <w:rPr>
          <w:rFonts w:hint="eastAsia" w:ascii="宋体" w:hAnsi="宋体" w:cs="宋体"/>
          <w:color w:val="auto"/>
          <w:sz w:val="22"/>
          <w:highlight w:val="none"/>
          <w:lang w:eastAsia="zh-CN"/>
        </w:rPr>
        <w:t>。</w:t>
      </w:r>
      <w:r>
        <w:rPr>
          <w:rFonts w:hint="eastAsia" w:ascii="宋体" w:hAnsi="宋体" w:cs="宋体"/>
          <w:color w:val="auto"/>
          <w:sz w:val="22"/>
          <w:highlight w:val="none"/>
        </w:rPr>
        <w:t>协助开展国家大样地调查试点</w:t>
      </w:r>
      <w:r>
        <w:rPr>
          <w:rFonts w:hint="eastAsia" w:ascii="宋体" w:hAnsi="宋体" w:cs="宋体"/>
          <w:color w:val="auto"/>
          <w:sz w:val="22"/>
          <w:highlight w:val="none"/>
          <w:lang w:eastAsia="zh-CN"/>
        </w:rPr>
        <w:t>，</w:t>
      </w:r>
      <w:r>
        <w:rPr>
          <w:rFonts w:hint="eastAsia" w:ascii="宋体" w:hAnsi="宋体" w:cs="宋体"/>
          <w:color w:val="auto"/>
          <w:sz w:val="22"/>
          <w:highlight w:val="none"/>
        </w:rPr>
        <w:t>探索高清影像、无人机航拍、激光雷达等高新技术集成应用。</w:t>
      </w:r>
    </w:p>
    <w:p w14:paraId="59260822">
      <w:pPr>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lang w:val="en-US" w:eastAsia="zh-CN"/>
        </w:rPr>
        <w:t>4.</w:t>
      </w:r>
      <w:r>
        <w:rPr>
          <w:rFonts w:hint="eastAsia" w:ascii="宋体" w:hAnsi="宋体" w:cs="宋体"/>
          <w:color w:val="auto"/>
          <w:sz w:val="22"/>
          <w:highlight w:val="none"/>
        </w:rPr>
        <w:t>建立林草湿调查监测数据库</w:t>
      </w:r>
      <w:r>
        <w:rPr>
          <w:rFonts w:hint="eastAsia" w:ascii="宋体" w:hAnsi="宋体" w:cs="宋体"/>
          <w:color w:val="auto"/>
          <w:sz w:val="22"/>
          <w:highlight w:val="none"/>
          <w:lang w:eastAsia="zh-CN"/>
        </w:rPr>
        <w:t>。</w:t>
      </w:r>
      <w:r>
        <w:rPr>
          <w:rFonts w:hint="eastAsia" w:ascii="宋体" w:hAnsi="宋体" w:cs="宋体"/>
          <w:color w:val="auto"/>
          <w:sz w:val="22"/>
          <w:highlight w:val="none"/>
        </w:rPr>
        <w:t>建立林草湿调查监测数据库</w:t>
      </w:r>
      <w:r>
        <w:rPr>
          <w:rFonts w:hint="eastAsia" w:ascii="宋体" w:hAnsi="宋体" w:cs="宋体"/>
          <w:color w:val="auto"/>
          <w:sz w:val="22"/>
          <w:highlight w:val="none"/>
          <w:lang w:eastAsia="zh-CN"/>
        </w:rPr>
        <w:t>，</w:t>
      </w:r>
      <w:r>
        <w:rPr>
          <w:rFonts w:hint="eastAsia" w:ascii="宋体" w:hAnsi="宋体" w:cs="宋体"/>
          <w:color w:val="auto"/>
          <w:sz w:val="22"/>
          <w:highlight w:val="none"/>
        </w:rPr>
        <w:t>开展森林草地湿地植被状况、保护利用状况分析,制作专题图件</w:t>
      </w:r>
      <w:r>
        <w:rPr>
          <w:rFonts w:hint="eastAsia" w:ascii="宋体" w:hAnsi="宋体" w:cs="宋体"/>
          <w:color w:val="auto"/>
          <w:sz w:val="22"/>
          <w:highlight w:val="none"/>
          <w:lang w:eastAsia="zh-CN"/>
        </w:rPr>
        <w:t>，</w:t>
      </w:r>
      <w:r>
        <w:rPr>
          <w:rFonts w:hint="eastAsia" w:ascii="宋体" w:hAnsi="宋体" w:cs="宋体"/>
          <w:color w:val="auto"/>
          <w:sz w:val="22"/>
          <w:highlight w:val="none"/>
        </w:rPr>
        <w:t>编制年度监测报告</w:t>
      </w:r>
      <w:r>
        <w:rPr>
          <w:rFonts w:hint="eastAsia" w:ascii="宋体" w:hAnsi="宋体" w:cs="宋体"/>
          <w:color w:val="auto"/>
          <w:sz w:val="22"/>
          <w:highlight w:val="none"/>
          <w:lang w:eastAsia="zh-CN"/>
        </w:rPr>
        <w:t>。</w:t>
      </w:r>
      <w:r>
        <w:rPr>
          <w:rFonts w:hint="eastAsia" w:ascii="宋体" w:hAnsi="宋体" w:cs="宋体"/>
          <w:color w:val="auto"/>
          <w:sz w:val="22"/>
          <w:highlight w:val="none"/>
        </w:rPr>
        <w:t>产出林草湿年度调查监测成果。</w:t>
      </w:r>
    </w:p>
    <w:p w14:paraId="6A9D873B">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5.其他技术支撑</w:t>
      </w:r>
      <w:r>
        <w:rPr>
          <w:rFonts w:hint="eastAsia" w:ascii="宋体" w:hAnsi="宋体" w:cs="宋体"/>
          <w:color w:val="auto"/>
          <w:sz w:val="22"/>
          <w:highlight w:val="none"/>
          <w:lang w:eastAsia="zh-CN"/>
        </w:rPr>
        <w:t>。</w:t>
      </w:r>
      <w:r>
        <w:rPr>
          <w:rFonts w:hint="eastAsia" w:ascii="宋体" w:hAnsi="宋体" w:cs="宋体"/>
          <w:color w:val="auto"/>
          <w:sz w:val="22"/>
          <w:highlight w:val="none"/>
        </w:rPr>
        <w:t>项目实施过程中根据国家林草局、省林业局工作方案做好相应技术服务工作，主要包括数据库调整和报送、统计表生成和报送以及其它相关要求。</w:t>
      </w:r>
    </w:p>
    <w:p w14:paraId="0FA7A3F7">
      <w:pPr>
        <w:spacing w:line="40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四、调查监测工作质量检查</w:t>
      </w:r>
    </w:p>
    <w:p w14:paraId="6B01D720">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采取县级自查、市级核查、省级核查的质量分级管控措施</w:t>
      </w:r>
      <w:r>
        <w:rPr>
          <w:rFonts w:hint="eastAsia" w:ascii="宋体" w:hAnsi="宋体" w:cs="宋体"/>
          <w:color w:val="auto"/>
          <w:sz w:val="22"/>
          <w:highlight w:val="none"/>
          <w:lang w:eastAsia="zh-CN"/>
        </w:rPr>
        <w:t>，</w:t>
      </w:r>
      <w:r>
        <w:rPr>
          <w:rFonts w:hint="eastAsia" w:ascii="宋体" w:hAnsi="宋体" w:cs="宋体"/>
          <w:color w:val="auto"/>
          <w:sz w:val="22"/>
          <w:highlight w:val="none"/>
        </w:rPr>
        <w:t>按照分级检查和过程管控的要求</w:t>
      </w:r>
      <w:r>
        <w:rPr>
          <w:rFonts w:hint="eastAsia" w:ascii="宋体" w:hAnsi="宋体" w:cs="宋体"/>
          <w:color w:val="auto"/>
          <w:sz w:val="22"/>
          <w:highlight w:val="none"/>
          <w:lang w:eastAsia="zh-CN"/>
        </w:rPr>
        <w:t>，</w:t>
      </w:r>
      <w:r>
        <w:rPr>
          <w:rFonts w:hint="eastAsia" w:ascii="宋体" w:hAnsi="宋体" w:cs="宋体"/>
          <w:color w:val="auto"/>
          <w:sz w:val="22"/>
          <w:highlight w:val="none"/>
        </w:rPr>
        <w:t>对林草湿图斑调查监测成果进行检查。</w:t>
      </w:r>
    </w:p>
    <w:p w14:paraId="7673992C">
      <w:pPr>
        <w:pStyle w:val="6"/>
        <w:spacing w:line="40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五、分项限价</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26"/>
        <w:gridCol w:w="5136"/>
        <w:gridCol w:w="1811"/>
        <w:gridCol w:w="843"/>
      </w:tblGrid>
      <w:tr w14:paraId="1DC5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16" w:type="pct"/>
            <w:vAlign w:val="center"/>
          </w:tcPr>
          <w:p w14:paraId="280F722D">
            <w:pPr>
              <w:spacing w:line="360" w:lineRule="auto"/>
              <w:jc w:val="center"/>
              <w:rPr>
                <w:rFonts w:ascii="宋体" w:hAnsi="宋体" w:cs="宋体"/>
                <w:b/>
                <w:bCs/>
                <w:color w:val="auto"/>
                <w:sz w:val="22"/>
                <w:highlight w:val="none"/>
              </w:rPr>
            </w:pPr>
            <w:r>
              <w:rPr>
                <w:rFonts w:hint="eastAsia" w:ascii="宋体" w:hAnsi="宋体" w:cs="宋体"/>
                <w:b/>
                <w:bCs/>
                <w:color w:val="auto"/>
                <w:sz w:val="22"/>
                <w:highlight w:val="none"/>
              </w:rPr>
              <w:t>序号</w:t>
            </w:r>
          </w:p>
        </w:tc>
        <w:tc>
          <w:tcPr>
            <w:tcW w:w="3088" w:type="pct"/>
            <w:vAlign w:val="center"/>
          </w:tcPr>
          <w:p w14:paraId="4944E394">
            <w:pPr>
              <w:spacing w:line="360" w:lineRule="auto"/>
              <w:jc w:val="center"/>
              <w:rPr>
                <w:rFonts w:ascii="宋体" w:hAnsi="宋体" w:cs="宋体"/>
                <w:b/>
                <w:bCs/>
                <w:color w:val="auto"/>
                <w:sz w:val="22"/>
                <w:highlight w:val="none"/>
              </w:rPr>
            </w:pPr>
            <w:r>
              <w:rPr>
                <w:rFonts w:hint="eastAsia" w:ascii="宋体" w:hAnsi="宋体" w:cs="宋体"/>
                <w:b/>
                <w:bCs/>
                <w:color w:val="auto"/>
                <w:sz w:val="22"/>
                <w:highlight w:val="none"/>
              </w:rPr>
              <w:t>工作内容</w:t>
            </w:r>
          </w:p>
        </w:tc>
        <w:tc>
          <w:tcPr>
            <w:tcW w:w="1089" w:type="pct"/>
            <w:vAlign w:val="center"/>
          </w:tcPr>
          <w:p w14:paraId="047869D8">
            <w:pPr>
              <w:spacing w:line="360" w:lineRule="auto"/>
              <w:jc w:val="center"/>
              <w:rPr>
                <w:rFonts w:ascii="宋体" w:hAnsi="宋体" w:cs="宋体"/>
                <w:b/>
                <w:bCs/>
                <w:color w:val="auto"/>
                <w:sz w:val="22"/>
                <w:highlight w:val="none"/>
              </w:rPr>
            </w:pPr>
            <w:r>
              <w:rPr>
                <w:rFonts w:hint="eastAsia" w:ascii="宋体" w:hAnsi="宋体" w:cs="宋体"/>
                <w:b/>
                <w:bCs/>
                <w:color w:val="auto"/>
                <w:sz w:val="22"/>
                <w:highlight w:val="none"/>
              </w:rPr>
              <w:t>分项限价（元）</w:t>
            </w:r>
          </w:p>
        </w:tc>
        <w:tc>
          <w:tcPr>
            <w:tcW w:w="507" w:type="pct"/>
            <w:vAlign w:val="center"/>
          </w:tcPr>
          <w:p w14:paraId="1444D833">
            <w:pPr>
              <w:spacing w:line="360" w:lineRule="auto"/>
              <w:jc w:val="center"/>
              <w:rPr>
                <w:rFonts w:ascii="宋体" w:hAnsi="宋体" w:cs="宋体"/>
                <w:b/>
                <w:bCs/>
                <w:color w:val="auto"/>
                <w:sz w:val="22"/>
                <w:highlight w:val="none"/>
              </w:rPr>
            </w:pPr>
            <w:r>
              <w:rPr>
                <w:rFonts w:hint="eastAsia" w:ascii="宋体" w:hAnsi="宋体" w:cs="宋体"/>
                <w:b/>
                <w:bCs/>
                <w:color w:val="auto"/>
                <w:sz w:val="22"/>
                <w:highlight w:val="none"/>
              </w:rPr>
              <w:t>合计</w:t>
            </w:r>
          </w:p>
        </w:tc>
      </w:tr>
      <w:tr w14:paraId="23D65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16" w:type="pct"/>
            <w:vAlign w:val="center"/>
          </w:tcPr>
          <w:p w14:paraId="4AF84A68">
            <w:pPr>
              <w:spacing w:line="360" w:lineRule="auto"/>
              <w:jc w:val="center"/>
              <w:rPr>
                <w:rFonts w:ascii="宋体" w:hAnsi="宋体" w:cs="宋体"/>
                <w:color w:val="auto"/>
                <w:sz w:val="22"/>
                <w:highlight w:val="none"/>
              </w:rPr>
            </w:pPr>
            <w:r>
              <w:rPr>
                <w:rFonts w:hint="eastAsia" w:ascii="宋体" w:hAnsi="宋体" w:cs="宋体"/>
                <w:color w:val="auto"/>
                <w:sz w:val="22"/>
                <w:highlight w:val="none"/>
              </w:rPr>
              <w:t>1</w:t>
            </w:r>
          </w:p>
        </w:tc>
        <w:tc>
          <w:tcPr>
            <w:tcW w:w="5136" w:type="dxa"/>
            <w:vAlign w:val="center"/>
          </w:tcPr>
          <w:p w14:paraId="00708EDC">
            <w:pPr>
              <w:spacing w:line="400" w:lineRule="exact"/>
              <w:ind w:firstLine="440" w:firstLineChars="200"/>
              <w:rPr>
                <w:rFonts w:hint="default" w:ascii="宋体" w:hAnsi="宋体" w:eastAsia="宋体" w:cs="宋体"/>
                <w:color w:val="auto"/>
                <w:sz w:val="22"/>
                <w:highlight w:val="none"/>
                <w:lang w:val="en-US" w:eastAsia="zh-CN"/>
              </w:rPr>
            </w:pPr>
            <w:r>
              <w:rPr>
                <w:rFonts w:hint="eastAsia" w:ascii="宋体" w:hAnsi="宋体" w:cs="宋体"/>
                <w:color w:val="auto"/>
                <w:sz w:val="22"/>
                <w:highlight w:val="none"/>
              </w:rPr>
              <w:t>森林督查图斑现状外业调查</w:t>
            </w:r>
            <w:r>
              <w:rPr>
                <w:rFonts w:hint="eastAsia" w:ascii="宋体" w:hAnsi="宋体" w:cs="宋体"/>
                <w:color w:val="auto"/>
                <w:sz w:val="22"/>
                <w:highlight w:val="none"/>
                <w:lang w:val="en-US" w:eastAsia="zh-CN"/>
              </w:rPr>
              <w:t>和内业上报</w:t>
            </w:r>
          </w:p>
        </w:tc>
        <w:tc>
          <w:tcPr>
            <w:tcW w:w="1811" w:type="dxa"/>
            <w:vAlign w:val="center"/>
          </w:tcPr>
          <w:p w14:paraId="1AD04840">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lang w:val="en-US" w:eastAsia="zh-CN"/>
              </w:rPr>
              <w:t>4</w:t>
            </w:r>
            <w:r>
              <w:rPr>
                <w:rFonts w:hint="eastAsia" w:ascii="宋体" w:hAnsi="宋体" w:cs="宋体"/>
                <w:color w:val="auto"/>
                <w:sz w:val="22"/>
                <w:highlight w:val="none"/>
              </w:rPr>
              <w:t>万</w:t>
            </w:r>
          </w:p>
        </w:tc>
        <w:tc>
          <w:tcPr>
            <w:tcW w:w="507" w:type="pct"/>
            <w:vMerge w:val="restart"/>
            <w:vAlign w:val="center"/>
          </w:tcPr>
          <w:p w14:paraId="03605D84">
            <w:pPr>
              <w:spacing w:line="360" w:lineRule="auto"/>
              <w:jc w:val="center"/>
              <w:rPr>
                <w:rFonts w:ascii="宋体" w:hAnsi="宋体" w:cs="宋体"/>
                <w:color w:val="auto"/>
                <w:sz w:val="22"/>
                <w:highlight w:val="none"/>
              </w:rPr>
            </w:pPr>
            <w:r>
              <w:rPr>
                <w:rFonts w:hint="eastAsia" w:ascii="宋体" w:hAnsi="宋体" w:cs="宋体"/>
                <w:color w:val="auto"/>
                <w:sz w:val="22"/>
                <w:highlight w:val="none"/>
                <w:lang w:val="en-US" w:eastAsia="zh-CN"/>
              </w:rPr>
              <w:t>48</w:t>
            </w:r>
            <w:r>
              <w:rPr>
                <w:rFonts w:hint="eastAsia" w:ascii="宋体" w:hAnsi="宋体" w:cs="宋体"/>
                <w:color w:val="auto"/>
                <w:sz w:val="22"/>
                <w:highlight w:val="none"/>
              </w:rPr>
              <w:t>万元</w:t>
            </w:r>
          </w:p>
        </w:tc>
      </w:tr>
      <w:tr w14:paraId="2A522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16" w:type="pct"/>
            <w:vAlign w:val="center"/>
          </w:tcPr>
          <w:p w14:paraId="6BEC535A">
            <w:pPr>
              <w:spacing w:line="360" w:lineRule="auto"/>
              <w:jc w:val="center"/>
              <w:rPr>
                <w:rFonts w:ascii="宋体" w:hAnsi="宋体" w:cs="宋体"/>
                <w:color w:val="auto"/>
                <w:sz w:val="22"/>
                <w:highlight w:val="none"/>
              </w:rPr>
            </w:pPr>
            <w:r>
              <w:rPr>
                <w:rFonts w:hint="eastAsia" w:ascii="宋体" w:hAnsi="宋体" w:cs="宋体"/>
                <w:color w:val="auto"/>
                <w:sz w:val="22"/>
                <w:highlight w:val="none"/>
              </w:rPr>
              <w:t>2</w:t>
            </w:r>
          </w:p>
        </w:tc>
        <w:tc>
          <w:tcPr>
            <w:tcW w:w="5136" w:type="dxa"/>
            <w:vAlign w:val="center"/>
          </w:tcPr>
          <w:p w14:paraId="6A296D29">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林地、草地、湿地变化图斑现状外业核实</w:t>
            </w:r>
          </w:p>
        </w:tc>
        <w:tc>
          <w:tcPr>
            <w:tcW w:w="1811" w:type="dxa"/>
            <w:vAlign w:val="center"/>
          </w:tcPr>
          <w:p w14:paraId="622C52B7">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lang w:val="en-US" w:eastAsia="zh-CN"/>
              </w:rPr>
              <w:t>24</w:t>
            </w:r>
            <w:r>
              <w:rPr>
                <w:rFonts w:hint="eastAsia" w:ascii="宋体" w:hAnsi="宋体" w:cs="宋体"/>
                <w:color w:val="auto"/>
                <w:sz w:val="22"/>
                <w:highlight w:val="none"/>
              </w:rPr>
              <w:t>万</w:t>
            </w:r>
          </w:p>
        </w:tc>
        <w:tc>
          <w:tcPr>
            <w:tcW w:w="507" w:type="pct"/>
            <w:vMerge w:val="continue"/>
            <w:vAlign w:val="center"/>
          </w:tcPr>
          <w:p w14:paraId="1D5FFC8B">
            <w:pPr>
              <w:spacing w:line="360" w:lineRule="auto"/>
              <w:jc w:val="center"/>
              <w:rPr>
                <w:rFonts w:ascii="宋体" w:hAnsi="宋体" w:cs="宋体"/>
                <w:color w:val="auto"/>
                <w:sz w:val="22"/>
                <w:highlight w:val="none"/>
              </w:rPr>
            </w:pPr>
          </w:p>
        </w:tc>
      </w:tr>
      <w:tr w14:paraId="7DD58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16" w:type="pct"/>
            <w:vAlign w:val="center"/>
          </w:tcPr>
          <w:p w14:paraId="65B04F09">
            <w:pPr>
              <w:spacing w:line="360" w:lineRule="auto"/>
              <w:jc w:val="center"/>
              <w:rPr>
                <w:rFonts w:ascii="宋体" w:hAnsi="宋体" w:cs="宋体"/>
                <w:color w:val="auto"/>
                <w:sz w:val="22"/>
                <w:highlight w:val="none"/>
              </w:rPr>
            </w:pPr>
            <w:r>
              <w:rPr>
                <w:rFonts w:hint="eastAsia" w:ascii="宋体" w:hAnsi="宋体" w:cs="宋体"/>
                <w:color w:val="auto"/>
                <w:sz w:val="22"/>
                <w:highlight w:val="none"/>
              </w:rPr>
              <w:t>3</w:t>
            </w:r>
          </w:p>
        </w:tc>
        <w:tc>
          <w:tcPr>
            <w:tcW w:w="5136" w:type="dxa"/>
            <w:vAlign w:val="center"/>
          </w:tcPr>
          <w:p w14:paraId="5CDD05BB">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公益林、天然林、国有林等专题数据核实更新</w:t>
            </w:r>
          </w:p>
        </w:tc>
        <w:tc>
          <w:tcPr>
            <w:tcW w:w="1811" w:type="dxa"/>
            <w:vAlign w:val="center"/>
          </w:tcPr>
          <w:p w14:paraId="3CF91ED5">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5万</w:t>
            </w:r>
          </w:p>
        </w:tc>
        <w:tc>
          <w:tcPr>
            <w:tcW w:w="507" w:type="pct"/>
            <w:vMerge w:val="continue"/>
            <w:vAlign w:val="center"/>
          </w:tcPr>
          <w:p w14:paraId="5EA9EEF3">
            <w:pPr>
              <w:spacing w:line="360" w:lineRule="auto"/>
              <w:jc w:val="center"/>
              <w:rPr>
                <w:rFonts w:ascii="宋体" w:hAnsi="宋体" w:cs="宋体"/>
                <w:color w:val="auto"/>
                <w:sz w:val="22"/>
                <w:highlight w:val="none"/>
              </w:rPr>
            </w:pPr>
          </w:p>
        </w:tc>
      </w:tr>
      <w:tr w14:paraId="1797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16" w:type="pct"/>
            <w:vAlign w:val="center"/>
          </w:tcPr>
          <w:p w14:paraId="305935B0">
            <w:pPr>
              <w:spacing w:line="360" w:lineRule="auto"/>
              <w:jc w:val="center"/>
              <w:rPr>
                <w:rFonts w:ascii="宋体" w:hAnsi="宋体" w:cs="宋体"/>
                <w:color w:val="auto"/>
                <w:sz w:val="22"/>
                <w:highlight w:val="none"/>
              </w:rPr>
            </w:pPr>
            <w:r>
              <w:rPr>
                <w:rFonts w:hint="eastAsia" w:ascii="宋体" w:hAnsi="宋体" w:cs="宋体"/>
                <w:color w:val="auto"/>
                <w:sz w:val="22"/>
                <w:highlight w:val="none"/>
              </w:rPr>
              <w:t>4</w:t>
            </w:r>
          </w:p>
        </w:tc>
        <w:tc>
          <w:tcPr>
            <w:tcW w:w="5136" w:type="dxa"/>
            <w:vAlign w:val="center"/>
          </w:tcPr>
          <w:p w14:paraId="753AA1E9">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林草湿变化图斑年度更新落图</w:t>
            </w:r>
          </w:p>
        </w:tc>
        <w:tc>
          <w:tcPr>
            <w:tcW w:w="1811" w:type="dxa"/>
            <w:vAlign w:val="center"/>
          </w:tcPr>
          <w:p w14:paraId="5D0CC14A">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10万</w:t>
            </w:r>
          </w:p>
        </w:tc>
        <w:tc>
          <w:tcPr>
            <w:tcW w:w="507" w:type="pct"/>
            <w:vMerge w:val="continue"/>
            <w:vAlign w:val="center"/>
          </w:tcPr>
          <w:p w14:paraId="277FE444">
            <w:pPr>
              <w:spacing w:line="360" w:lineRule="auto"/>
              <w:jc w:val="center"/>
              <w:rPr>
                <w:rFonts w:ascii="宋体" w:hAnsi="宋体" w:cs="宋体"/>
                <w:color w:val="auto"/>
                <w:sz w:val="22"/>
                <w:highlight w:val="none"/>
              </w:rPr>
            </w:pPr>
          </w:p>
        </w:tc>
      </w:tr>
      <w:tr w14:paraId="609E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16" w:type="pct"/>
            <w:vAlign w:val="center"/>
          </w:tcPr>
          <w:p w14:paraId="4F26EAFB">
            <w:pPr>
              <w:spacing w:line="360" w:lineRule="auto"/>
              <w:jc w:val="center"/>
              <w:rPr>
                <w:rFonts w:ascii="宋体" w:hAnsi="宋体" w:cs="宋体"/>
                <w:color w:val="auto"/>
                <w:sz w:val="22"/>
                <w:highlight w:val="none"/>
              </w:rPr>
            </w:pPr>
            <w:r>
              <w:rPr>
                <w:rFonts w:hint="eastAsia" w:ascii="宋体" w:hAnsi="宋体" w:cs="宋体"/>
                <w:color w:val="auto"/>
                <w:sz w:val="22"/>
                <w:highlight w:val="none"/>
              </w:rPr>
              <w:t>5</w:t>
            </w:r>
          </w:p>
        </w:tc>
        <w:tc>
          <w:tcPr>
            <w:tcW w:w="5136" w:type="dxa"/>
            <w:vAlign w:val="center"/>
          </w:tcPr>
          <w:p w14:paraId="4325D8C7">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统计报表、数据库、自查成果表、成果报告编制</w:t>
            </w:r>
          </w:p>
        </w:tc>
        <w:tc>
          <w:tcPr>
            <w:tcW w:w="1811" w:type="dxa"/>
            <w:vAlign w:val="center"/>
          </w:tcPr>
          <w:p w14:paraId="3E648699">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5万</w:t>
            </w:r>
          </w:p>
        </w:tc>
        <w:tc>
          <w:tcPr>
            <w:tcW w:w="507" w:type="pct"/>
            <w:vMerge w:val="continue"/>
            <w:vAlign w:val="center"/>
          </w:tcPr>
          <w:p w14:paraId="46AA7D09">
            <w:pPr>
              <w:spacing w:line="360" w:lineRule="auto"/>
              <w:jc w:val="center"/>
              <w:rPr>
                <w:rFonts w:ascii="宋体" w:hAnsi="宋体" w:cs="宋体"/>
                <w:color w:val="auto"/>
                <w:sz w:val="22"/>
                <w:highlight w:val="none"/>
              </w:rPr>
            </w:pPr>
          </w:p>
        </w:tc>
      </w:tr>
    </w:tbl>
    <w:p w14:paraId="3640EA6A">
      <w:pPr>
        <w:spacing w:line="40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六、项目成果</w:t>
      </w:r>
    </w:p>
    <w:p w14:paraId="70634AF4">
      <w:pPr>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以县为单位提交林草湿调查监测成果数据库。分别形成现状数据库和变化数据库,编制统计表和成果报告,并逐级汇总形成省级成果。</w:t>
      </w:r>
    </w:p>
    <w:p w14:paraId="4D72F291">
      <w:pPr>
        <w:spacing w:line="400" w:lineRule="exact"/>
        <w:ind w:firstLine="440" w:firstLineChars="200"/>
        <w:rPr>
          <w:rFonts w:hint="eastAsia" w:ascii="宋体" w:hAnsi="宋体" w:cs="宋体"/>
          <w:color w:val="auto"/>
          <w:sz w:val="22"/>
          <w:highlight w:val="none"/>
          <w:lang w:eastAsia="zh-CN"/>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rPr>
        <w:t>数据库</w:t>
      </w:r>
    </w:p>
    <w:p w14:paraId="0E1F7995">
      <w:pPr>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按省级数据结构、代码提交成果数据库:(1)县级林草湿调查监测现状数据库(gdb 格式)。命名规则:F_LD_县代码_LCSXZ_调查年度。(2)县级林草湿调查监测变化数据库(gdb 格式)。命名规则:F_LD_县代码_LCSBH_调查年度。(3)县级林草湿调查监测增量包数据库(gdb 格式)。命名规则:F_LD_县代码_LCSZLB_调查年度。</w:t>
      </w:r>
    </w:p>
    <w:p w14:paraId="52D8674E">
      <w:pPr>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2 统计表</w:t>
      </w:r>
    </w:p>
    <w:p w14:paraId="6AAEE62B">
      <w:pPr>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以林草湿调查监测现状数据库和林草湿调查监测变化数据库为基础,按调查基本单位进行统计,县级以乡级为单位、省级以县级为单位,逐级统计汇总。应保证“图数表一致”,统计报表表内、表间逻辑关系正确,以电子表格 xls/xlsx 格式提交。主要包括各类资源种类、数量、质量、结构、分布等现状及年度变化统计表等。</w:t>
      </w:r>
    </w:p>
    <w:p w14:paraId="07A81EFF">
      <w:pPr>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3 成果报告</w:t>
      </w:r>
    </w:p>
    <w:p w14:paraId="274646DE">
      <w:pPr>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林草湿调查监测成果县级需提交成果数据库(现状数据库、变化数据库、增量包数据库),市级核查报告,省级提交统计表和成果报告。县级年度林草湿监测成果上报表(见附录 A)盖章后扫描件统一报送。</w:t>
      </w:r>
    </w:p>
    <w:p w14:paraId="650466C6">
      <w:pPr>
        <w:spacing w:line="40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七、服务要求</w:t>
      </w:r>
    </w:p>
    <w:p w14:paraId="4884CAC9">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1、服务响应：未经采购人许可，本项目投入人员不得擅自更换，工作期间，要求在12小时内响应采购人提出的疑问并及时提交解释说明或修改意见。</w:t>
      </w:r>
    </w:p>
    <w:p w14:paraId="5CD90E55">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2、项目负责人须全过程参与项目及各阶段项目成果的交流、汇报等工作。</w:t>
      </w:r>
    </w:p>
    <w:p w14:paraId="4FBD2C69">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3、质保期及售后服务</w:t>
      </w:r>
    </w:p>
    <w:p w14:paraId="7E9048D4">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(1)质保期：项目完工后，自项目验收合格之日起不少于1年的质保期。</w:t>
      </w:r>
    </w:p>
    <w:p w14:paraId="47D26126">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(2)质保期内中标供应商须按照招标采购单位要求提供技术支持等服务。</w:t>
      </w:r>
    </w:p>
    <w:p w14:paraId="0151BE7B">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(3)响应时间要求：提供7×24小时电话技术咨询支持，在收到用户通知后，30分钟内须响应，必要时按采购人需要到达现场。</w:t>
      </w:r>
    </w:p>
    <w:p w14:paraId="275E9101">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(4)问题解决时间要求：一般问题在8小时内解决，严重问题要求及时提出招标采购单位可接受的解决方案和服务承诺。</w:t>
      </w:r>
    </w:p>
    <w:p w14:paraId="0A76D324">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4、其他</w:t>
      </w:r>
    </w:p>
    <w:p w14:paraId="6FD6A7C7">
      <w:pPr>
        <w:pStyle w:val="6"/>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(1)项目过程保密及数据保密：在项目实施过程中运行过程中（包括合同解除、终止后），中标方必须对采购人提供的任何数据及文档有保密的责任和义务。不得以任何理由留存，不得转让和使用本项目的成果。否则，中标单位应承担由此产生的一切法律和经济责任。在投标书中应对该项内容提交书面承诺书，作为签订项目保密合同的依据，并作为合同密不可分的一部分。</w:t>
      </w:r>
    </w:p>
    <w:p w14:paraId="0F5A395B">
      <w:pPr>
        <w:pStyle w:val="6"/>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(2)严格遵守《中华人民共和国档案法》、《保密法》保密规定及相关规章制度。档案整理和加工工作须在采购人指定的场所内进行，确保档案数据的安全。</w:t>
      </w:r>
    </w:p>
    <w:p w14:paraId="7A841AD5">
      <w:pPr>
        <w:pStyle w:val="6"/>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(3)版权与保密：本项目所有数据的版权属采购人所有，未经同意，中标方不得自行删除、复制、修改、转移数据，亦不得以任何形式向第三方提供；采购人提供的任何业务资料，中标方需认真保管、严格保密，并在使用完毕后及时归还。</w:t>
      </w:r>
    </w:p>
    <w:p w14:paraId="64A2B582">
      <w:pPr>
        <w:pStyle w:val="6"/>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(4)保密期限：永久。</w:t>
      </w:r>
    </w:p>
    <w:p w14:paraId="58B1C83D">
      <w:pPr>
        <w:pStyle w:val="6"/>
        <w:spacing w:line="40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八、技术规范标准</w:t>
      </w:r>
    </w:p>
    <w:p w14:paraId="7BB28F03">
      <w:pPr>
        <w:pStyle w:val="6"/>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GB/T 38590-2020 森林资源连续清查技术规程</w:t>
      </w:r>
    </w:p>
    <w:p w14:paraId="4B66F504">
      <w:pPr>
        <w:pStyle w:val="6"/>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GB/T 38582-2020 森林生态系统服务功能评估规范</w:t>
      </w:r>
    </w:p>
    <w:p w14:paraId="0A1A0A3A">
      <w:pPr>
        <w:pStyle w:val="6"/>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GB/T 35377-2017 森林生态系统长期定位观测指标体系</w:t>
      </w:r>
    </w:p>
    <w:p w14:paraId="5035165E">
      <w:pPr>
        <w:pStyle w:val="6"/>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GB/T 21010-2017 土地利用现状分类</w:t>
      </w:r>
    </w:p>
    <w:p w14:paraId="65433227">
      <w:pPr>
        <w:pStyle w:val="6"/>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GB/T 15968-2016 遥感影像平面图制作规范</w:t>
      </w:r>
    </w:p>
    <w:p w14:paraId="3FF13F65">
      <w:pPr>
        <w:pStyle w:val="6"/>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GB/T 30363-2013 森林植被状况监测技术规范</w:t>
      </w:r>
    </w:p>
    <w:p w14:paraId="67D5D32A">
      <w:pPr>
        <w:pStyle w:val="6"/>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GB/T 27648-2011 重要湿地监测指标体系</w:t>
      </w:r>
    </w:p>
    <w:p w14:paraId="6D700266">
      <w:pPr>
        <w:pStyle w:val="6"/>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GB/T 26424-2010 森林资源规划设计调查技术规程</w:t>
      </w:r>
    </w:p>
    <w:p w14:paraId="372B93A7">
      <w:pPr>
        <w:pStyle w:val="6"/>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LY/T 3321-2022 草原生态价值评估技术规范</w:t>
      </w:r>
    </w:p>
    <w:p w14:paraId="3E0FAD10">
      <w:pPr>
        <w:pStyle w:val="6"/>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LY/T 2899-2017 湿地生态系统服务评估规范</w:t>
      </w:r>
    </w:p>
    <w:p w14:paraId="0B0E2FEF">
      <w:pPr>
        <w:pStyle w:val="6"/>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LY/T 2794-2017 红树林湿地健康评价技术规程</w:t>
      </w:r>
    </w:p>
    <w:p w14:paraId="3CBF3260">
      <w:pPr>
        <w:pStyle w:val="6"/>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LY/T 1957-2011 国家森林资源连续清查数据处理统计规范</w:t>
      </w:r>
    </w:p>
    <w:p w14:paraId="2240051B">
      <w:pPr>
        <w:pStyle w:val="6"/>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64 —LY/T 1954-2011 森林资源调查卫星遥感影像图制作技术规程</w:t>
      </w:r>
    </w:p>
    <w:p w14:paraId="11003FC9">
      <w:pPr>
        <w:pStyle w:val="6"/>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TD/T 1055-2019 第三次全国国土调查技术规程</w:t>
      </w:r>
    </w:p>
    <w:p w14:paraId="42C9B38A">
      <w:pPr>
        <w:pStyle w:val="6"/>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NY/T 1233-2006 草原资源和生态监测技术规程</w:t>
      </w:r>
    </w:p>
    <w:p w14:paraId="5FBD4804">
      <w:pPr>
        <w:pStyle w:val="6"/>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HJ442-2008 近海海域环境监测规范</w:t>
      </w:r>
    </w:p>
    <w:p w14:paraId="35710580">
      <w:pPr>
        <w:pStyle w:val="6"/>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《国土空间调查、规划、用途管制用地用海分类指南》(自然资发〔2023〕234 号)</w:t>
      </w:r>
    </w:p>
    <w:p w14:paraId="4C3812CB">
      <w:pPr>
        <w:pStyle w:val="6"/>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《全国草原监测评价工作手册(2021 年)》</w:t>
      </w:r>
    </w:p>
    <w:p w14:paraId="068DD09C">
      <w:pPr>
        <w:pStyle w:val="6"/>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《全国森林草原湿地荒漠化普查技术规程》(办资字〔2024〕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128 号)</w:t>
      </w:r>
    </w:p>
    <w:p w14:paraId="176A04AA">
      <w:pPr>
        <w:pStyle w:val="6"/>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《草原健康和退化评估技术指南(2024 年)》</w:t>
      </w:r>
    </w:p>
    <w:p w14:paraId="5E7E4B8A">
      <w:pPr>
        <w:pStyle w:val="6"/>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浙江省 2025 年度国土变更调查实施细则</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浙江省 2025 年度森林草地湿地调查监测实施细则</w:t>
      </w:r>
      <w:r>
        <w:rPr>
          <w:rFonts w:hint="eastAsia" w:ascii="宋体" w:hAnsi="宋体" w:eastAsia="宋体" w:cs="宋体"/>
          <w:color w:val="auto"/>
          <w:sz w:val="22"/>
          <w:szCs w:val="22"/>
          <w:highlight w:val="none"/>
          <w:lang w:eastAsia="zh-CN"/>
        </w:rPr>
        <w:t>》（浙自然资厅函〔2025〕1088 号）</w:t>
      </w:r>
    </w:p>
    <w:p w14:paraId="67B894BE">
      <w:pPr>
        <w:pStyle w:val="6"/>
        <w:spacing w:line="40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九、工期要求</w:t>
      </w:r>
    </w:p>
    <w:p w14:paraId="7344D347">
      <w:pPr>
        <w:pStyle w:val="6"/>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成果于</w:t>
      </w:r>
      <w:r>
        <w:rPr>
          <w:rFonts w:hint="eastAsia" w:ascii="宋体" w:hAnsi="宋体" w:cs="宋体"/>
          <w:color w:val="auto"/>
          <w:sz w:val="22"/>
          <w:szCs w:val="22"/>
          <w:highlight w:val="none"/>
          <w:lang w:eastAsia="zh-CN"/>
        </w:rPr>
        <w:t>2025年</w:t>
      </w:r>
      <w:r>
        <w:rPr>
          <w:rFonts w:hint="eastAsia" w:ascii="宋体" w:hAnsi="宋体" w:cs="宋体"/>
          <w:color w:val="auto"/>
          <w:sz w:val="22"/>
          <w:szCs w:val="22"/>
          <w:highlight w:val="none"/>
        </w:rPr>
        <w:t>12月底提交（具体时间根据省林业</w:t>
      </w:r>
      <w:r>
        <w:rPr>
          <w:rFonts w:hint="eastAsia" w:ascii="宋体" w:hAnsi="宋体" w:cs="宋体"/>
          <w:color w:val="auto"/>
          <w:sz w:val="22"/>
          <w:szCs w:val="22"/>
          <w:highlight w:val="none"/>
          <w:lang w:eastAsia="zh-CN"/>
        </w:rPr>
        <w:t>局</w:t>
      </w:r>
      <w:r>
        <w:rPr>
          <w:rFonts w:hint="eastAsia" w:ascii="宋体" w:hAnsi="宋体" w:cs="宋体"/>
          <w:color w:val="auto"/>
          <w:sz w:val="22"/>
          <w:szCs w:val="22"/>
          <w:highlight w:val="none"/>
        </w:rPr>
        <w:t>要求作相应调整）。</w:t>
      </w:r>
    </w:p>
    <w:p w14:paraId="3D9AEDB6">
      <w:pPr>
        <w:snapToGrid w:val="0"/>
        <w:spacing w:line="40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十、验收</w:t>
      </w:r>
    </w:p>
    <w:p w14:paraId="6A468A35">
      <w:pPr>
        <w:tabs>
          <w:tab w:val="left" w:pos="1069"/>
        </w:tabs>
        <w:snapToGrid w:val="0"/>
        <w:spacing w:line="400" w:lineRule="exact"/>
        <w:ind w:firstLine="541" w:firstLineChars="246"/>
        <w:rPr>
          <w:rFonts w:ascii="宋体" w:hAnsi="宋体" w:cs="宋体"/>
          <w:b/>
          <w:color w:val="auto"/>
          <w:sz w:val="22"/>
          <w:highlight w:val="none"/>
        </w:rPr>
      </w:pPr>
      <w:r>
        <w:rPr>
          <w:rFonts w:hint="eastAsia" w:ascii="宋体" w:hAnsi="宋体" w:cs="宋体"/>
          <w:color w:val="auto"/>
          <w:sz w:val="22"/>
          <w:highlight w:val="none"/>
        </w:rPr>
        <w:t>1.验收按有关的规定、规范进行；2.验收标准：按省市县文件规范要求；3.所需费用由中标方承担</w:t>
      </w:r>
      <w:r>
        <w:rPr>
          <w:rFonts w:hint="eastAsia" w:ascii="宋体" w:hAnsi="宋体" w:cs="宋体"/>
          <w:bCs/>
          <w:color w:val="auto"/>
          <w:sz w:val="22"/>
          <w:highlight w:val="none"/>
        </w:rPr>
        <w:t>。</w:t>
      </w:r>
    </w:p>
    <w:p w14:paraId="3DD51C42">
      <w:pPr>
        <w:snapToGrid w:val="0"/>
        <w:spacing w:line="40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十一、付款方式</w:t>
      </w:r>
    </w:p>
    <w:p w14:paraId="5D2180D5">
      <w:pPr>
        <w:tabs>
          <w:tab w:val="left" w:pos="1069"/>
          <w:tab w:val="left" w:pos="2352"/>
        </w:tabs>
        <w:spacing w:line="400" w:lineRule="exact"/>
        <w:ind w:firstLine="440" w:firstLineChars="200"/>
        <w:jc w:val="left"/>
        <w:rPr>
          <w:rFonts w:ascii="宋体" w:hAnsi="宋体" w:cs="宋体"/>
          <w:color w:val="auto"/>
          <w:sz w:val="22"/>
          <w:highlight w:val="none"/>
        </w:rPr>
      </w:pPr>
      <w:r>
        <w:rPr>
          <w:rFonts w:hint="eastAsia" w:ascii="宋体" w:hAnsi="宋体" w:cs="宋体"/>
          <w:bCs/>
          <w:color w:val="auto"/>
          <w:sz w:val="22"/>
          <w:highlight w:val="none"/>
        </w:rPr>
        <w:t>根据《保障中小企业款项支付条例》、省财政厅《关于坚决打赢疫情防控阻击战进一步做</w:t>
      </w:r>
      <w:r>
        <w:rPr>
          <w:rFonts w:hint="eastAsia" w:ascii="宋体" w:hAnsi="宋体" w:cs="宋体"/>
          <w:color w:val="auto"/>
          <w:sz w:val="22"/>
          <w:highlight w:val="none"/>
        </w:rPr>
        <w:t>好政府采购资金支持企业发展工作的通知》（浙财采监〔2020〕33号）、（6）《浙江省财政厅关于进一步发挥政府采购政策 功能全力推动经济稳进提质的通知》（浙财采监〔2022〕3号）、《关于进一步加大政府采购 支持中小企业力度 助力扎实稳住经济 的通知》（浙财采监〔2022〕8号）要求，制定如下付款方式：</w:t>
      </w:r>
    </w:p>
    <w:p w14:paraId="783B7047">
      <w:pPr>
        <w:spacing w:line="400" w:lineRule="exact"/>
        <w:ind w:firstLine="440" w:firstLineChars="200"/>
        <w:rPr>
          <w:rFonts w:ascii="宋体" w:hAnsi="宋体" w:cs="宋体"/>
          <w:bCs/>
          <w:color w:val="auto"/>
          <w:sz w:val="22"/>
          <w:highlight w:val="none"/>
        </w:rPr>
      </w:pPr>
      <w:r>
        <w:rPr>
          <w:rFonts w:hint="eastAsia" w:ascii="宋体" w:hAnsi="宋体" w:cs="宋体"/>
          <w:bCs/>
          <w:color w:val="auto"/>
          <w:sz w:val="22"/>
          <w:highlight w:val="none"/>
        </w:rPr>
        <w:t>1.合同生效且具备支付条件后，采购人预付合同总价的40%。</w:t>
      </w:r>
    </w:p>
    <w:p w14:paraId="76D9845E">
      <w:pPr>
        <w:spacing w:line="400" w:lineRule="exact"/>
        <w:ind w:firstLine="440" w:firstLineChars="200"/>
        <w:rPr>
          <w:rFonts w:ascii="宋体" w:hAnsi="宋体" w:cs="宋体"/>
          <w:bCs/>
          <w:color w:val="auto"/>
          <w:sz w:val="22"/>
          <w:highlight w:val="none"/>
        </w:rPr>
      </w:pPr>
      <w:r>
        <w:rPr>
          <w:rFonts w:hint="eastAsia" w:ascii="宋体" w:hAnsi="宋体" w:cs="宋体"/>
          <w:bCs/>
          <w:color w:val="auto"/>
          <w:sz w:val="22"/>
          <w:highlight w:val="none"/>
        </w:rPr>
        <w:t>2.通过采购人验收后，采购人支付合同总价的60%。</w:t>
      </w:r>
    </w:p>
    <w:p w14:paraId="4D017F17">
      <w:pPr>
        <w:spacing w:line="400" w:lineRule="exact"/>
        <w:ind w:firstLine="440" w:firstLineChars="200"/>
        <w:rPr>
          <w:rFonts w:ascii="宋体" w:hAnsi="宋体" w:cs="宋体"/>
          <w:color w:val="auto"/>
          <w:sz w:val="22"/>
          <w:highlight w:val="none"/>
        </w:rPr>
      </w:pPr>
      <w:r>
        <w:rPr>
          <w:rFonts w:hint="eastAsia" w:ascii="宋体" w:hAnsi="宋体" w:cs="宋体"/>
          <w:bCs/>
          <w:color w:val="auto"/>
          <w:sz w:val="22"/>
          <w:highlight w:val="none"/>
        </w:rPr>
        <w:t>若中标供应商明确表示无需预付款或者主动要求降低预付款比例的，采购人可不适用前述规定。注： 中标供应商在接到采购人通知后的7个工作日内将增值税发票送达采购人</w:t>
      </w:r>
      <w:r>
        <w:rPr>
          <w:rFonts w:hint="eastAsia" w:ascii="宋体" w:hAnsi="宋体" w:cs="宋体"/>
          <w:color w:val="auto"/>
          <w:sz w:val="22"/>
          <w:highlight w:val="none"/>
        </w:rPr>
        <w:t>。</w:t>
      </w:r>
    </w:p>
    <w:p w14:paraId="1049D58C">
      <w:pPr>
        <w:pStyle w:val="32"/>
        <w:snapToGrid w:val="0"/>
        <w:spacing w:line="400" w:lineRule="exact"/>
        <w:ind w:firstLine="0" w:firstLineChars="0"/>
        <w:rPr>
          <w:rFonts w:ascii="宋体" w:hAnsi="宋体" w:cs="宋体"/>
          <w:color w:val="auto"/>
          <w:sz w:val="22"/>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14:paraId="2258E196">
      <w:pPr>
        <w:spacing w:line="400" w:lineRule="exact"/>
        <w:rPr>
          <w:rFonts w:ascii="宋体" w:hAnsi="宋体" w:cs="宋体"/>
          <w:color w:val="auto"/>
          <w:sz w:val="22"/>
          <w:highlight w:val="none"/>
        </w:rPr>
      </w:pPr>
    </w:p>
    <w:p w14:paraId="7AC89061">
      <w:pPr>
        <w:tabs>
          <w:tab w:val="left" w:pos="1069"/>
          <w:tab w:val="left" w:pos="2352"/>
        </w:tabs>
        <w:autoSpaceDE w:val="0"/>
        <w:autoSpaceDN w:val="0"/>
        <w:adjustRightInd w:val="0"/>
        <w:snapToGrid w:val="0"/>
        <w:spacing w:line="400" w:lineRule="exact"/>
        <w:jc w:val="center"/>
        <w:rPr>
          <w:rFonts w:ascii="宋体" w:hAnsi="宋体" w:cs="宋体"/>
          <w:b/>
          <w:color w:val="auto"/>
          <w:sz w:val="32"/>
          <w:szCs w:val="32"/>
          <w:highlight w:val="none"/>
          <w:lang w:val="zh-CN"/>
        </w:rPr>
      </w:pPr>
      <w:r>
        <w:rPr>
          <w:rFonts w:hint="eastAsia" w:ascii="宋体" w:hAnsi="宋体" w:cs="宋体"/>
          <w:b/>
          <w:color w:val="auto"/>
          <w:sz w:val="32"/>
          <w:szCs w:val="32"/>
          <w:highlight w:val="none"/>
        </w:rPr>
        <w:t>第</w:t>
      </w:r>
      <w:r>
        <w:rPr>
          <w:rFonts w:hint="eastAsia" w:ascii="宋体" w:hAnsi="宋体" w:cs="宋体"/>
          <w:b/>
          <w:color w:val="auto"/>
          <w:sz w:val="32"/>
          <w:szCs w:val="32"/>
          <w:highlight w:val="none"/>
          <w:lang w:val="zh-CN"/>
        </w:rPr>
        <w:t>三部分</w:t>
      </w:r>
      <w:r>
        <w:rPr>
          <w:rFonts w:hint="eastAsia" w:ascii="宋体" w:hAnsi="宋体" w:cs="宋体"/>
          <w:b/>
          <w:color w:val="auto"/>
          <w:sz w:val="32"/>
          <w:szCs w:val="32"/>
          <w:highlight w:val="none"/>
        </w:rPr>
        <w:t>、</w:t>
      </w:r>
      <w:r>
        <w:rPr>
          <w:rFonts w:hint="eastAsia" w:ascii="宋体" w:hAnsi="宋体" w:cs="宋体"/>
          <w:b/>
          <w:color w:val="auto"/>
          <w:sz w:val="32"/>
          <w:szCs w:val="32"/>
          <w:highlight w:val="none"/>
          <w:lang w:val="zh-CN"/>
        </w:rPr>
        <w:t>供应商须知</w:t>
      </w:r>
      <w:bookmarkEnd w:id="3"/>
    </w:p>
    <w:p w14:paraId="5D593B35">
      <w:pPr>
        <w:tabs>
          <w:tab w:val="left" w:pos="1069"/>
          <w:tab w:val="left" w:pos="2352"/>
        </w:tabs>
        <w:autoSpaceDE w:val="0"/>
        <w:autoSpaceDN w:val="0"/>
        <w:adjustRightInd w:val="0"/>
        <w:spacing w:line="450" w:lineRule="atLeast"/>
        <w:ind w:firstLine="446" w:firstLineChars="200"/>
        <w:rPr>
          <w:rFonts w:ascii="宋体" w:hAnsi="宋体" w:cs="宋体"/>
          <w:b/>
          <w:color w:val="auto"/>
          <w:sz w:val="22"/>
          <w:highlight w:val="none"/>
          <w:lang w:val="zh-CN"/>
        </w:rPr>
      </w:pPr>
      <w:bookmarkStart w:id="5" w:name="_Toc9317_WPSOffice_Level2"/>
      <w:r>
        <w:rPr>
          <w:rFonts w:hint="eastAsia" w:ascii="宋体" w:hAnsi="宋体" w:cs="宋体"/>
          <w:b/>
          <w:color w:val="auto"/>
          <w:sz w:val="22"/>
          <w:highlight w:val="none"/>
          <w:lang w:val="zh-CN"/>
        </w:rPr>
        <w:t>一、说明</w:t>
      </w:r>
      <w:bookmarkEnd w:id="5"/>
    </w:p>
    <w:p w14:paraId="59D27AFE">
      <w:pPr>
        <w:tabs>
          <w:tab w:val="left" w:pos="1069"/>
          <w:tab w:val="left" w:pos="2352"/>
        </w:tabs>
        <w:adjustRightInd w:val="0"/>
        <w:spacing w:line="400" w:lineRule="atLeast"/>
        <w:ind w:firstLine="436" w:firstLineChars="196"/>
        <w:rPr>
          <w:rFonts w:ascii="宋体" w:hAnsi="宋体" w:cs="宋体"/>
          <w:color w:val="auto"/>
          <w:sz w:val="22"/>
          <w:highlight w:val="none"/>
          <w:lang w:val="zh-CN"/>
        </w:rPr>
      </w:pPr>
      <w:r>
        <w:rPr>
          <w:rFonts w:hint="eastAsia" w:ascii="宋体" w:hAnsi="宋体" w:cs="宋体"/>
          <w:color w:val="auto"/>
          <w:sz w:val="22"/>
          <w:highlight w:val="none"/>
        </w:rPr>
        <w:t>1.</w:t>
      </w:r>
      <w:r>
        <w:rPr>
          <w:rFonts w:hint="eastAsia" w:ascii="宋体" w:hAnsi="宋体" w:cs="宋体"/>
          <w:color w:val="auto"/>
          <w:sz w:val="22"/>
          <w:highlight w:val="none"/>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4E8D7868">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bCs/>
          <w:color w:val="auto"/>
          <w:sz w:val="22"/>
          <w:highlight w:val="none"/>
        </w:rPr>
        <w:t>供应商必须对所投标项全部内容进行报价</w:t>
      </w:r>
      <w:r>
        <w:rPr>
          <w:rFonts w:hint="eastAsia" w:ascii="宋体" w:hAnsi="宋体" w:cs="宋体"/>
          <w:color w:val="auto"/>
          <w:sz w:val="22"/>
          <w:highlight w:val="none"/>
        </w:rPr>
        <w:t>，只对部分内容进行报价的供应商将按无效投标处理。</w:t>
      </w:r>
    </w:p>
    <w:p w14:paraId="60E2758A">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3.无论投标过程中的作法和结果如何，供应商自行承担投标活动中所发生的全部费用；采购人有权选择供应商的供货和服务范围。</w:t>
      </w:r>
    </w:p>
    <w:p w14:paraId="7ADE6E8D">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4.安全管理</w:t>
      </w:r>
    </w:p>
    <w:p w14:paraId="2A071F37">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在招标及合同执行过程中，供应商应承担由于其行为所造成的人身伤害、财产损失或损坏的责任，无论何种原因所造成，采购人均不负责。</w:t>
      </w:r>
    </w:p>
    <w:p w14:paraId="33C66251">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5.知识产权</w:t>
      </w:r>
    </w:p>
    <w:p w14:paraId="2523132E">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5.1供应商应保证，采购人在中华人民共和国使用货物或服务的任何一部分时，免受第三方提出侵犯其专利权、商标权或其它知识产权的起诉。</w:t>
      </w:r>
    </w:p>
    <w:p w14:paraId="4534677A">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5.2投标人应对采购人在使用该服务时所涉及到的专利权负责，不损害采购人的利益。</w:t>
      </w:r>
    </w:p>
    <w:p w14:paraId="571223EA">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5.3报价应包括所有应支付的对专利权和版权、设计或其他知识产权而需要向其他方支付的版税。</w:t>
      </w:r>
    </w:p>
    <w:p w14:paraId="3A352CB5">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5.4投标人提供的服务中如使用其他公司的相关专利，应在标书中出示相关授权，如未出示但使用了其他公司的专利，导致供应商中标(成交)而引起相关诉讼，由投标人承担。</w:t>
      </w:r>
    </w:p>
    <w:p w14:paraId="7BCFAB98">
      <w:pPr>
        <w:tabs>
          <w:tab w:val="left" w:pos="1069"/>
          <w:tab w:val="left" w:pos="2352"/>
        </w:tabs>
        <w:adjustRightInd w:val="0"/>
        <w:spacing w:line="400" w:lineRule="atLeast"/>
        <w:ind w:firstLine="436" w:firstLineChars="196"/>
        <w:rPr>
          <w:rFonts w:ascii="宋体" w:hAnsi="宋体" w:cs="宋体"/>
          <w:color w:val="auto"/>
          <w:sz w:val="22"/>
          <w:highlight w:val="none"/>
          <w:lang w:val="zh-CN"/>
        </w:rPr>
      </w:pPr>
      <w:r>
        <w:rPr>
          <w:rFonts w:hint="eastAsia" w:ascii="宋体" w:hAnsi="宋体" w:cs="宋体"/>
          <w:color w:val="auto"/>
          <w:sz w:val="22"/>
          <w:highlight w:val="none"/>
        </w:rPr>
        <w:t>6.</w:t>
      </w:r>
      <w:r>
        <w:rPr>
          <w:rFonts w:hint="eastAsia" w:ascii="宋体" w:hAnsi="宋体" w:cs="宋体"/>
          <w:color w:val="auto"/>
          <w:sz w:val="22"/>
          <w:highlight w:val="none"/>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4D541458">
      <w:pPr>
        <w:tabs>
          <w:tab w:val="left" w:pos="1069"/>
          <w:tab w:val="left" w:pos="2352"/>
        </w:tabs>
        <w:adjustRightInd w:val="0"/>
        <w:spacing w:line="400" w:lineRule="atLeast"/>
        <w:ind w:firstLine="436" w:firstLineChars="196"/>
        <w:rPr>
          <w:rFonts w:ascii="宋体" w:hAnsi="宋体" w:cs="宋体"/>
          <w:color w:val="auto"/>
          <w:sz w:val="22"/>
          <w:highlight w:val="none"/>
          <w:lang w:val="zh-CN"/>
        </w:rPr>
      </w:pPr>
      <w:r>
        <w:rPr>
          <w:rFonts w:hint="eastAsia" w:ascii="宋体" w:hAnsi="宋体" w:cs="宋体"/>
          <w:color w:val="auto"/>
          <w:sz w:val="22"/>
          <w:highlight w:val="none"/>
        </w:rPr>
        <w:t>7.</w:t>
      </w:r>
      <w:r>
        <w:rPr>
          <w:rFonts w:hint="eastAsia" w:ascii="宋体" w:hAnsi="宋体" w:cs="宋体"/>
          <w:color w:val="auto"/>
          <w:sz w:val="22"/>
          <w:highlight w:val="none"/>
          <w:lang w:val="zh-CN"/>
        </w:rPr>
        <w:t>为采购项目提供整体设计、规范编制或者项目管理、监理、检测等服务的供应商，不得再参加该采购项目的其他采购活动。</w:t>
      </w:r>
    </w:p>
    <w:p w14:paraId="1CC45C98">
      <w:pPr>
        <w:tabs>
          <w:tab w:val="left" w:pos="1069"/>
          <w:tab w:val="left" w:pos="2352"/>
        </w:tabs>
        <w:autoSpaceDE w:val="0"/>
        <w:autoSpaceDN w:val="0"/>
        <w:adjustRightInd w:val="0"/>
        <w:spacing w:line="400" w:lineRule="atLeast"/>
        <w:ind w:firstLine="446" w:firstLineChars="200"/>
        <w:textAlignment w:val="bottom"/>
        <w:rPr>
          <w:rFonts w:ascii="宋体" w:hAnsi="宋体" w:cs="宋体"/>
          <w:b/>
          <w:color w:val="auto"/>
          <w:sz w:val="22"/>
          <w:highlight w:val="none"/>
        </w:rPr>
      </w:pPr>
      <w:r>
        <w:rPr>
          <w:rFonts w:hint="eastAsia" w:ascii="宋体" w:hAnsi="宋体" w:cs="宋体"/>
          <w:color w:val="auto"/>
          <w:sz w:val="22"/>
          <w:highlight w:val="none"/>
        </w:rPr>
        <w:t>8</w:t>
      </w:r>
      <w:r>
        <w:rPr>
          <w:rFonts w:hint="eastAsia" w:ascii="宋体" w:hAnsi="宋体" w:cs="宋体"/>
          <w:color w:val="auto"/>
          <w:sz w:val="22"/>
          <w:highlight w:val="none"/>
          <w:lang w:val="zh-CN"/>
        </w:rPr>
        <w:t>.</w:t>
      </w:r>
      <w:r>
        <w:rPr>
          <w:rFonts w:hint="eastAsia" w:ascii="宋体" w:hAnsi="宋体" w:cs="宋体"/>
          <w:b/>
          <w:color w:val="auto"/>
          <w:sz w:val="22"/>
          <w:highlight w:val="none"/>
        </w:rPr>
        <w:t>▲供应商须具有良好的商业信誉：</w:t>
      </w:r>
    </w:p>
    <w:p w14:paraId="1EAC5E08">
      <w:pPr>
        <w:tabs>
          <w:tab w:val="left" w:pos="2352"/>
        </w:tabs>
        <w:autoSpaceDE w:val="0"/>
        <w:autoSpaceDN w:val="0"/>
        <w:adjustRightInd w:val="0"/>
        <w:spacing w:line="400" w:lineRule="atLeast"/>
        <w:ind w:firstLine="446" w:firstLineChars="200"/>
        <w:textAlignment w:val="bottom"/>
        <w:rPr>
          <w:rFonts w:ascii="宋体"/>
          <w:b/>
          <w:color w:val="auto"/>
          <w:sz w:val="22"/>
          <w:highlight w:val="none"/>
          <w:u w:val="single"/>
        </w:rPr>
      </w:pPr>
      <w:r>
        <w:rPr>
          <w:rFonts w:ascii="宋体" w:hAnsi="宋体"/>
          <w:b/>
          <w:color w:val="auto"/>
          <w:sz w:val="22"/>
          <w:highlight w:val="none"/>
          <w:u w:val="single"/>
        </w:rPr>
        <w:t>1</w:t>
      </w:r>
      <w:r>
        <w:rPr>
          <w:rFonts w:hint="eastAsia" w:ascii="宋体" w:hAnsi="宋体"/>
          <w:b/>
          <w:color w:val="auto"/>
          <w:sz w:val="22"/>
          <w:highlight w:val="none"/>
          <w:u w:val="single"/>
        </w:rPr>
        <w:t>）供应商在国家企业信用信息公示系统网：（http://www.gsxt.gov.cn/index.html）无严重违法企业记录。</w:t>
      </w:r>
    </w:p>
    <w:p w14:paraId="116CE0B0">
      <w:pPr>
        <w:tabs>
          <w:tab w:val="left" w:pos="2352"/>
        </w:tabs>
        <w:autoSpaceDE w:val="0"/>
        <w:autoSpaceDN w:val="0"/>
        <w:adjustRightInd w:val="0"/>
        <w:spacing w:line="400" w:lineRule="atLeast"/>
        <w:ind w:firstLine="446" w:firstLineChars="200"/>
        <w:textAlignment w:val="bottom"/>
        <w:rPr>
          <w:rFonts w:ascii="宋体"/>
          <w:b/>
          <w:color w:val="auto"/>
          <w:sz w:val="22"/>
          <w:highlight w:val="none"/>
          <w:u w:val="single"/>
        </w:rPr>
      </w:pPr>
      <w:r>
        <w:rPr>
          <w:rFonts w:ascii="宋体" w:hAnsi="宋体"/>
          <w:b/>
          <w:color w:val="auto"/>
          <w:sz w:val="22"/>
          <w:highlight w:val="none"/>
          <w:u w:val="single"/>
        </w:rPr>
        <w:t>2</w:t>
      </w:r>
      <w:r>
        <w:rPr>
          <w:rFonts w:hint="eastAsia" w:ascii="宋体" w:hAnsi="宋体"/>
          <w:b/>
          <w:color w:val="auto"/>
          <w:sz w:val="22"/>
          <w:highlight w:val="none"/>
          <w:u w:val="single"/>
        </w:rPr>
        <w:t>）供应商在中国执行信息公开网（http://zxgk.court.gov.cn/）无失信信息记录。</w:t>
      </w:r>
    </w:p>
    <w:p w14:paraId="0391FB56">
      <w:pPr>
        <w:tabs>
          <w:tab w:val="left" w:pos="1069"/>
          <w:tab w:val="left" w:pos="2352"/>
        </w:tabs>
        <w:autoSpaceDE w:val="0"/>
        <w:autoSpaceDN w:val="0"/>
        <w:adjustRightInd w:val="0"/>
        <w:spacing w:line="400" w:lineRule="atLeast"/>
        <w:ind w:firstLine="446" w:firstLineChars="200"/>
        <w:textAlignment w:val="bottom"/>
        <w:rPr>
          <w:rFonts w:ascii="宋体" w:hAnsi="宋体" w:cs="宋体"/>
          <w:b/>
          <w:color w:val="auto"/>
          <w:sz w:val="22"/>
          <w:highlight w:val="none"/>
          <w:u w:val="single"/>
        </w:rPr>
      </w:pPr>
      <w:r>
        <w:rPr>
          <w:rFonts w:ascii="宋体" w:hAnsi="宋体"/>
          <w:b/>
          <w:color w:val="auto"/>
          <w:sz w:val="22"/>
          <w:highlight w:val="none"/>
          <w:u w:val="single"/>
        </w:rPr>
        <w:t>3</w:t>
      </w:r>
      <w:r>
        <w:rPr>
          <w:rFonts w:hint="eastAsia" w:ascii="宋体" w:hAnsi="宋体"/>
          <w:b/>
          <w:color w:val="auto"/>
          <w:sz w:val="22"/>
          <w:highlight w:val="none"/>
          <w:u w:val="single"/>
        </w:rPr>
        <w:t>）供应商在中国政府采购网（</w:t>
      </w:r>
      <w:r>
        <w:rPr>
          <w:rFonts w:ascii="宋体" w:hAnsi="宋体"/>
          <w:b/>
          <w:color w:val="auto"/>
          <w:sz w:val="22"/>
          <w:highlight w:val="none"/>
          <w:u w:val="single"/>
        </w:rPr>
        <w:t>http://www.ccgp.gov.cn/cr/list</w:t>
      </w:r>
      <w:r>
        <w:rPr>
          <w:rFonts w:hint="eastAsia" w:ascii="宋体" w:hAnsi="宋体"/>
          <w:b/>
          <w:color w:val="auto"/>
          <w:sz w:val="22"/>
          <w:highlight w:val="none"/>
          <w:u w:val="single"/>
        </w:rPr>
        <w:t>）无严重违法行为记录</w:t>
      </w:r>
      <w:r>
        <w:rPr>
          <w:rFonts w:hint="eastAsia" w:ascii="宋体" w:hAnsi="宋体" w:cs="宋体"/>
          <w:b/>
          <w:color w:val="auto"/>
          <w:sz w:val="22"/>
          <w:highlight w:val="none"/>
          <w:u w:val="single"/>
        </w:rPr>
        <w:t>。</w:t>
      </w:r>
    </w:p>
    <w:p w14:paraId="0454F599">
      <w:pPr>
        <w:widowControl/>
        <w:tabs>
          <w:tab w:val="left" w:pos="1069"/>
          <w:tab w:val="left" w:pos="2352"/>
        </w:tabs>
        <w:snapToGrid w:val="0"/>
        <w:spacing w:line="400" w:lineRule="atLeast"/>
        <w:ind w:firstLine="446" w:firstLineChars="200"/>
        <w:jc w:val="left"/>
        <w:rPr>
          <w:rFonts w:ascii="宋体" w:hAnsi="宋体" w:cs="宋体"/>
          <w:b/>
          <w:color w:val="auto"/>
          <w:sz w:val="22"/>
          <w:highlight w:val="none"/>
          <w:u w:val="single"/>
        </w:rPr>
      </w:pPr>
      <w:r>
        <w:rPr>
          <w:rFonts w:hint="eastAsia" w:ascii="宋体" w:hAnsi="宋体" w:cs="宋体"/>
          <w:b/>
          <w:color w:val="auto"/>
          <w:sz w:val="22"/>
          <w:highlight w:val="none"/>
          <w:u w:val="single"/>
        </w:rPr>
        <w:t>4）未被各级财政部门列入政府采购黑名单或被各级财政部门禁止参加政府采购项目投标。</w:t>
      </w:r>
      <w:r>
        <w:rPr>
          <w:rFonts w:hint="eastAsia" w:ascii="宋体" w:hAnsi="宋体" w:cs="宋体"/>
          <w:color w:val="auto"/>
          <w:sz w:val="22"/>
          <w:highlight w:val="none"/>
        </w:rPr>
        <w:t>▲</w:t>
      </w:r>
      <w:r>
        <w:rPr>
          <w:rFonts w:hint="eastAsia" w:ascii="宋体" w:hAnsi="宋体" w:cs="宋体"/>
          <w:b/>
          <w:color w:val="auto"/>
          <w:sz w:val="22"/>
          <w:highlight w:val="none"/>
          <w:u w:val="single"/>
        </w:rPr>
        <w:t>如供应商有上述情形并参与本项目投标的，一经查实，其投标做无效投标处理。</w:t>
      </w:r>
    </w:p>
    <w:p w14:paraId="4D9941E0">
      <w:pPr>
        <w:widowControl/>
        <w:tabs>
          <w:tab w:val="left" w:pos="1069"/>
          <w:tab w:val="left" w:pos="2352"/>
        </w:tabs>
        <w:snapToGrid w:val="0"/>
        <w:spacing w:line="380" w:lineRule="exact"/>
        <w:ind w:firstLine="446" w:firstLineChars="200"/>
        <w:rPr>
          <w:rFonts w:ascii="宋体" w:hAnsi="宋体" w:cs="宋体"/>
          <w:color w:val="auto"/>
          <w:sz w:val="22"/>
          <w:highlight w:val="none"/>
          <w:u w:val="single"/>
        </w:rPr>
      </w:pPr>
      <w:r>
        <w:rPr>
          <w:rFonts w:hint="eastAsia" w:ascii="宋体" w:hAnsi="宋体" w:cs="宋体"/>
          <w:b/>
          <w:color w:val="auto"/>
          <w:sz w:val="22"/>
          <w:highlight w:val="none"/>
        </w:rPr>
        <w:t>9.</w:t>
      </w:r>
      <w:r>
        <w:rPr>
          <w:rFonts w:hint="eastAsia" w:ascii="宋体" w:hAnsi="宋体" w:cs="宋体"/>
          <w:color w:val="auto"/>
          <w:sz w:val="22"/>
          <w:highlight w:val="none"/>
          <w:u w:val="single"/>
        </w:rPr>
        <w:t>本项目采用资格后审，符合资格要求的供应商均可在本公告附件下载竞争性磋商文件，并按竞争性磋商文件规定的时间、地点递交投标（响应）文件（竞争性磋商文件下载网址：浙江政府采购网（http://zfcg.czt.zj.gov.cn/）,竞争性磋商文件如有补充更正均见浙江政府采购网http://zfcg.czt.zj.gov.cn//。供应商须在投标截止前自行查看是否有补充、更正文件，并按补充、更正文件要求投标，否则责任自负。</w:t>
      </w:r>
    </w:p>
    <w:p w14:paraId="315378B2">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rPr>
        <w:t>10</w:t>
      </w:r>
      <w:r>
        <w:rPr>
          <w:rFonts w:hint="eastAsia" w:ascii="宋体" w:hAnsi="宋体" w:cs="宋体"/>
          <w:color w:val="auto"/>
          <w:sz w:val="22"/>
          <w:highlight w:val="none"/>
          <w:lang w:val="zh-CN"/>
        </w:rPr>
        <w:t>.▲本项目采用竞争性磋商采购方式进行采购，在磋商过程中，评审小组可以根据竞争性磋商文件和磋商情况实质性变动采购需求中的技术、服务要求以及合同草案条款，但不得变动竞争性磋商文件中的其他内容。已提交投标（响应）文件的供应商，在提交最终报价之前，可以根据磋商情况退出磋商。</w:t>
      </w:r>
    </w:p>
    <w:p w14:paraId="54A3B987">
      <w:pPr>
        <w:tabs>
          <w:tab w:val="left" w:pos="1069"/>
          <w:tab w:val="left" w:pos="2352"/>
        </w:tabs>
        <w:autoSpaceDE w:val="0"/>
        <w:autoSpaceDN w:val="0"/>
        <w:adjustRightInd w:val="0"/>
        <w:spacing w:line="400" w:lineRule="atLeast"/>
        <w:ind w:firstLine="446" w:firstLineChars="200"/>
        <w:rPr>
          <w:rFonts w:ascii="宋体" w:hAnsi="宋体" w:cs="宋体"/>
          <w:b/>
          <w:color w:val="auto"/>
          <w:sz w:val="22"/>
          <w:highlight w:val="none"/>
          <w:lang w:val="zh-CN"/>
        </w:rPr>
      </w:pPr>
      <w:bookmarkStart w:id="6" w:name="_Toc6226_WPSOffice_Level2"/>
      <w:r>
        <w:rPr>
          <w:rFonts w:hint="eastAsia" w:ascii="宋体" w:hAnsi="宋体" w:cs="宋体"/>
          <w:b/>
          <w:color w:val="auto"/>
          <w:sz w:val="22"/>
          <w:highlight w:val="none"/>
        </w:rPr>
        <w:t>二</w:t>
      </w:r>
      <w:r>
        <w:rPr>
          <w:rFonts w:hint="eastAsia" w:ascii="宋体" w:hAnsi="宋体" w:cs="宋体"/>
          <w:b/>
          <w:color w:val="auto"/>
          <w:sz w:val="22"/>
          <w:highlight w:val="none"/>
          <w:lang w:val="zh-CN"/>
        </w:rPr>
        <w:t>、竞争性磋商文件</w:t>
      </w:r>
      <w:bookmarkEnd w:id="6"/>
    </w:p>
    <w:p w14:paraId="514B8023">
      <w:pPr>
        <w:tabs>
          <w:tab w:val="left" w:pos="1069"/>
          <w:tab w:val="left" w:pos="2352"/>
        </w:tabs>
        <w:spacing w:line="400" w:lineRule="atLeast"/>
        <w:ind w:firstLine="446" w:firstLineChars="200"/>
        <w:rPr>
          <w:rFonts w:ascii="宋体" w:hAnsi="宋体" w:cs="宋体"/>
          <w:color w:val="auto"/>
          <w:sz w:val="22"/>
          <w:highlight w:val="none"/>
        </w:rPr>
      </w:pPr>
      <w:bookmarkStart w:id="7" w:name="_Toc24610_WPSOffice_Level3"/>
      <w:r>
        <w:rPr>
          <w:rFonts w:hint="eastAsia" w:ascii="宋体" w:hAnsi="宋体" w:cs="宋体"/>
          <w:color w:val="auto"/>
          <w:sz w:val="22"/>
          <w:highlight w:val="none"/>
          <w:lang w:val="zh-CN"/>
        </w:rPr>
        <w:t>1.竞争性磋商文件</w:t>
      </w:r>
      <w:bookmarkEnd w:id="7"/>
    </w:p>
    <w:p w14:paraId="258B84D3">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1.1</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竞争性磋商文件的发放</w:t>
      </w:r>
    </w:p>
    <w:p w14:paraId="7E6620DD">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本项目投标供应商直接</w:t>
      </w:r>
      <w:r>
        <w:rPr>
          <w:rFonts w:hint="eastAsia" w:ascii="宋体" w:hAnsi="宋体" w:cs="宋体"/>
          <w:color w:val="auto"/>
          <w:sz w:val="22"/>
          <w:highlight w:val="none"/>
        </w:rPr>
        <w:t>在</w:t>
      </w:r>
      <w:r>
        <w:rPr>
          <w:rFonts w:hint="eastAsia" w:ascii="宋体" w:hAnsi="宋体" w:cs="宋体"/>
          <w:color w:val="auto"/>
          <w:sz w:val="22"/>
          <w:highlight w:val="none"/>
          <w:lang w:val="zh-CN"/>
        </w:rPr>
        <w:t>网上</w:t>
      </w:r>
      <w:r>
        <w:rPr>
          <w:rFonts w:hint="eastAsia" w:ascii="宋体" w:hAnsi="宋体" w:cs="宋体"/>
          <w:color w:val="auto"/>
          <w:sz w:val="22"/>
          <w:highlight w:val="none"/>
        </w:rPr>
        <w:t>下载</w:t>
      </w:r>
      <w:r>
        <w:rPr>
          <w:rFonts w:hint="eastAsia" w:ascii="宋体" w:hAnsi="宋体" w:cs="宋体"/>
          <w:color w:val="auto"/>
          <w:sz w:val="22"/>
          <w:highlight w:val="none"/>
          <w:lang w:val="zh-CN"/>
        </w:rPr>
        <w:t>竞争性磋商文件。</w:t>
      </w:r>
    </w:p>
    <w:p w14:paraId="23337320">
      <w:pPr>
        <w:tabs>
          <w:tab w:val="left" w:pos="1069"/>
          <w:tab w:val="left" w:pos="2352"/>
        </w:tabs>
        <w:autoSpaceDE w:val="0"/>
        <w:autoSpaceDN w:val="0"/>
        <w:adjustRightInd w:val="0"/>
        <w:spacing w:line="400" w:lineRule="atLeast"/>
        <w:ind w:firstLine="446" w:firstLineChars="200"/>
        <w:textAlignment w:val="bottom"/>
        <w:outlineLvl w:val="1"/>
        <w:rPr>
          <w:rFonts w:ascii="宋体" w:hAnsi="宋体" w:cs="宋体"/>
          <w:color w:val="auto"/>
          <w:sz w:val="22"/>
          <w:highlight w:val="none"/>
        </w:rPr>
      </w:pPr>
      <w:r>
        <w:rPr>
          <w:rFonts w:hint="eastAsia" w:ascii="宋体" w:hAnsi="宋体" w:cs="宋体"/>
          <w:color w:val="auto"/>
          <w:sz w:val="22"/>
          <w:highlight w:val="none"/>
          <w:lang w:val="zh-CN"/>
        </w:rPr>
        <w:t>1.2</w:t>
      </w:r>
      <w:r>
        <w:rPr>
          <w:rFonts w:hint="eastAsia" w:ascii="宋体" w:hAnsi="宋体" w:cs="宋体"/>
          <w:color w:val="auto"/>
          <w:sz w:val="22"/>
          <w:highlight w:val="none"/>
        </w:rPr>
        <w:t xml:space="preserve"> 竞争性磋商文件约束力</w:t>
      </w:r>
    </w:p>
    <w:p w14:paraId="54BD7CE5">
      <w:pPr>
        <w:tabs>
          <w:tab w:val="left" w:pos="1069"/>
          <w:tab w:val="left" w:pos="2352"/>
        </w:tabs>
        <w:autoSpaceDE w:val="0"/>
        <w:autoSpaceDN w:val="0"/>
        <w:adjustRightInd w:val="0"/>
        <w:spacing w:line="400" w:lineRule="atLeast"/>
        <w:ind w:firstLine="446" w:firstLineChars="200"/>
        <w:rPr>
          <w:rFonts w:ascii="宋体" w:hAnsi="宋体" w:cs="宋体"/>
          <w:b/>
          <w:color w:val="auto"/>
          <w:sz w:val="22"/>
          <w:highlight w:val="none"/>
          <w:u w:val="single"/>
          <w:lang w:val="zh-CN"/>
        </w:rPr>
      </w:pPr>
      <w:r>
        <w:rPr>
          <w:rFonts w:hint="eastAsia" w:ascii="宋体" w:hAnsi="宋体" w:cs="宋体"/>
          <w:b/>
          <w:color w:val="auto"/>
          <w:sz w:val="22"/>
          <w:highlight w:val="none"/>
          <w:u w:val="single"/>
          <w:lang w:val="zh-CN"/>
        </w:rPr>
        <w:t>供应商</w:t>
      </w:r>
      <w:r>
        <w:rPr>
          <w:rFonts w:hint="eastAsia" w:ascii="宋体" w:hAnsi="宋体" w:cs="宋体"/>
          <w:b/>
          <w:color w:val="auto"/>
          <w:sz w:val="22"/>
          <w:highlight w:val="none"/>
          <w:u w:val="single"/>
        </w:rPr>
        <w:t>一旦获取了本项目竞争性磋商文件，在质疑期内未提出质疑，并参加投标，即被认为接受了本竞争性磋商文件中所有条款和规定。</w:t>
      </w:r>
    </w:p>
    <w:p w14:paraId="5D47950A">
      <w:pPr>
        <w:tabs>
          <w:tab w:val="left" w:pos="1069"/>
          <w:tab w:val="left" w:pos="2352"/>
        </w:tabs>
        <w:autoSpaceDE w:val="0"/>
        <w:autoSpaceDN w:val="0"/>
        <w:adjustRightInd w:val="0"/>
        <w:spacing w:line="400" w:lineRule="atLeast"/>
        <w:ind w:firstLine="669" w:firstLineChars="300"/>
        <w:rPr>
          <w:rFonts w:ascii="宋体" w:hAnsi="宋体" w:cs="宋体"/>
          <w:color w:val="auto"/>
          <w:sz w:val="22"/>
          <w:highlight w:val="none"/>
          <w:lang w:val="zh-CN"/>
        </w:rPr>
      </w:pPr>
      <w:bookmarkStart w:id="8" w:name="_Toc9317_WPSOffice_Level3"/>
      <w:r>
        <w:rPr>
          <w:rFonts w:hint="eastAsia" w:ascii="宋体" w:hAnsi="宋体" w:cs="宋体"/>
          <w:color w:val="auto"/>
          <w:sz w:val="22"/>
          <w:highlight w:val="none"/>
          <w:lang w:val="zh-CN"/>
        </w:rPr>
        <w:t>2.竞争性磋商文件的澄清</w:t>
      </w:r>
      <w:bookmarkEnd w:id="8"/>
    </w:p>
    <w:p w14:paraId="650E62A5">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6BD898CF">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bookmarkStart w:id="9" w:name="_Toc6226_WPSOffice_Level3"/>
      <w:r>
        <w:rPr>
          <w:rFonts w:hint="eastAsia" w:ascii="宋体" w:hAnsi="宋体" w:cs="宋体"/>
          <w:color w:val="auto"/>
          <w:sz w:val="22"/>
          <w:highlight w:val="none"/>
          <w:lang w:val="zh-CN"/>
        </w:rPr>
        <w:t>3.竞争性磋商文件的修改</w:t>
      </w:r>
      <w:bookmarkEnd w:id="9"/>
    </w:p>
    <w:p w14:paraId="67E1ABCC">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3.1</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在投标截止时间前，采购人或采购机构有权修改竞争性磋商文件，并通知供应商。补充文件作为竞争性磋商文件的补充和组成部分，对所有供应商均有约束力。</w:t>
      </w:r>
    </w:p>
    <w:p w14:paraId="516F82D1">
      <w:pPr>
        <w:tabs>
          <w:tab w:val="left" w:pos="1069"/>
          <w:tab w:val="left" w:pos="2352"/>
        </w:tabs>
        <w:autoSpaceDE w:val="0"/>
        <w:autoSpaceDN w:val="0"/>
        <w:adjustRightInd w:val="0"/>
        <w:spacing w:line="400" w:lineRule="atLeast"/>
        <w:ind w:firstLine="446" w:firstLineChars="200"/>
        <w:rPr>
          <w:rFonts w:ascii="宋体" w:hAnsi="宋体" w:cs="宋体"/>
          <w:b/>
          <w:color w:val="auto"/>
          <w:sz w:val="22"/>
          <w:highlight w:val="none"/>
          <w:lang w:val="zh-CN"/>
        </w:rPr>
      </w:pPr>
      <w:r>
        <w:rPr>
          <w:rFonts w:hint="eastAsia" w:ascii="宋体" w:hAnsi="宋体" w:cs="宋体"/>
          <w:color w:val="auto"/>
          <w:sz w:val="22"/>
          <w:highlight w:val="none"/>
          <w:lang w:val="zh-CN"/>
        </w:rPr>
        <w:t>3.2</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为使供应商有足够的时间按竞争性磋商文件要求修正投标（响应）文件，采购人按相关规定推迟投标截止时间和开标时间，并将此变更通知放至相关网站公示。</w:t>
      </w:r>
    </w:p>
    <w:p w14:paraId="6A0724FC">
      <w:pPr>
        <w:tabs>
          <w:tab w:val="left" w:pos="1069"/>
          <w:tab w:val="left" w:pos="2352"/>
        </w:tabs>
        <w:autoSpaceDE w:val="0"/>
        <w:autoSpaceDN w:val="0"/>
        <w:adjustRightInd w:val="0"/>
        <w:spacing w:line="400" w:lineRule="atLeast"/>
        <w:ind w:firstLine="446" w:firstLineChars="200"/>
        <w:rPr>
          <w:rFonts w:ascii="宋体" w:hAnsi="宋体" w:cs="宋体"/>
          <w:b/>
          <w:color w:val="auto"/>
          <w:sz w:val="22"/>
          <w:highlight w:val="none"/>
          <w:lang w:val="zh-CN"/>
        </w:rPr>
      </w:pPr>
      <w:bookmarkStart w:id="10" w:name="_Toc4378_WPSOffice_Level2"/>
      <w:r>
        <w:rPr>
          <w:rFonts w:hint="eastAsia" w:ascii="宋体" w:hAnsi="宋体" w:cs="宋体"/>
          <w:b/>
          <w:color w:val="auto"/>
          <w:sz w:val="22"/>
          <w:highlight w:val="none"/>
        </w:rPr>
        <w:t>三</w:t>
      </w:r>
      <w:r>
        <w:rPr>
          <w:rFonts w:hint="eastAsia" w:ascii="宋体" w:hAnsi="宋体" w:cs="宋体"/>
          <w:b/>
          <w:color w:val="auto"/>
          <w:sz w:val="22"/>
          <w:highlight w:val="none"/>
          <w:lang w:val="zh-CN"/>
        </w:rPr>
        <w:t>、</w:t>
      </w:r>
      <w:bookmarkEnd w:id="10"/>
      <w:r>
        <w:rPr>
          <w:rFonts w:hint="eastAsia" w:ascii="宋体" w:hAnsi="宋体" w:cs="宋体"/>
          <w:b/>
          <w:color w:val="auto"/>
          <w:sz w:val="22"/>
          <w:highlight w:val="none"/>
          <w:lang w:val="zh-CN"/>
        </w:rPr>
        <w:t>投标（响应）文件</w:t>
      </w:r>
    </w:p>
    <w:p w14:paraId="4BB8F0C5">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1.投标（响应）文件</w:t>
      </w:r>
    </w:p>
    <w:p w14:paraId="2218990C">
      <w:pPr>
        <w:tabs>
          <w:tab w:val="left" w:pos="1069"/>
          <w:tab w:val="left" w:pos="2352"/>
        </w:tabs>
        <w:autoSpaceDE w:val="0"/>
        <w:autoSpaceDN w:val="0"/>
        <w:adjustRightInd w:val="0"/>
        <w:spacing w:line="400" w:lineRule="atLeas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lang w:val="zh-CN"/>
        </w:rPr>
        <w:t>1.1</w:t>
      </w:r>
      <w:r>
        <w:rPr>
          <w:rFonts w:hint="eastAsia" w:ascii="宋体" w:hAnsi="宋体" w:cs="宋体"/>
          <w:color w:val="auto"/>
          <w:sz w:val="22"/>
          <w:highlight w:val="none"/>
        </w:rPr>
        <w:t xml:space="preserve"> 供应商应仔细阅读竞争性磋商文件中的所有内容，按照竞争性磋商文件要求，详细编制投标（响应）文件。并对竞争性磋商文件的要求做出实质上响应。实质上响应的报价应该是与竞争性磋商文件要求没有重大偏离的投标（响应）文件。未实质上响应的投标（响应）文件将被拒绝，但允许供应商在基本满足采购要求的前提下出现的微小差异。</w:t>
      </w:r>
    </w:p>
    <w:p w14:paraId="1435B989">
      <w:pPr>
        <w:tabs>
          <w:tab w:val="left" w:pos="1069"/>
          <w:tab w:val="left" w:pos="2352"/>
        </w:tabs>
        <w:autoSpaceDE w:val="0"/>
        <w:autoSpaceDN w:val="0"/>
        <w:adjustRightInd w:val="0"/>
        <w:spacing w:line="400" w:lineRule="atLeas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lang w:val="zh-CN"/>
        </w:rPr>
        <w:t>1.2</w:t>
      </w:r>
      <w:r>
        <w:rPr>
          <w:rFonts w:hint="eastAsia" w:ascii="宋体" w:hAnsi="宋体" w:cs="宋体"/>
          <w:color w:val="auto"/>
          <w:sz w:val="22"/>
          <w:highlight w:val="none"/>
        </w:rPr>
        <w:t xml:space="preserve"> 供应商必须按竞争性磋商文件的要求提供相关技术参数、资料，包括采用的计量单位，并保证投标（响应）文件的正确性和真实性。投标（响应）文件全部内容应保持一致，否则可能导致不利于其投标的评定甚至被拒绝。技术和商务如有偏离均应填写偏离表。</w:t>
      </w:r>
    </w:p>
    <w:p w14:paraId="1684DBE1">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1.3</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供应商应仔细阅读竞争性磋商文件中的所有内容，按照竞争性磋商文件要求，详细编制投标（响应）文件，所有文件资料必须是针对本次投标。不按竞争性磋商文件的要求提供的投标（响应）文件可能导致被拒绝。</w:t>
      </w:r>
    </w:p>
    <w:p w14:paraId="5106F7B5">
      <w:pPr>
        <w:tabs>
          <w:tab w:val="left" w:pos="1069"/>
          <w:tab w:val="left" w:pos="2352"/>
        </w:tabs>
        <w:autoSpaceDE w:val="0"/>
        <w:autoSpaceDN w:val="0"/>
        <w:adjustRightInd w:val="0"/>
        <w:snapToGri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2.投标（响应）文件的组成</w:t>
      </w:r>
    </w:p>
    <w:p w14:paraId="6495B994">
      <w:pPr>
        <w:tabs>
          <w:tab w:val="left" w:pos="1069"/>
          <w:tab w:val="left" w:pos="2352"/>
        </w:tabs>
        <w:autoSpaceDE w:val="0"/>
        <w:autoSpaceDN w:val="0"/>
        <w:adjustRightInd w:val="0"/>
        <w:snapToGrid w:val="0"/>
        <w:spacing w:line="400" w:lineRule="atLeast"/>
        <w:ind w:firstLine="446" w:firstLineChars="200"/>
        <w:rPr>
          <w:rFonts w:ascii="宋体" w:hAnsi="宋体" w:cs="宋体"/>
          <w:b/>
          <w:bCs/>
          <w:color w:val="auto"/>
          <w:sz w:val="22"/>
          <w:highlight w:val="none"/>
          <w:u w:val="single"/>
          <w:lang w:val="zh-CN"/>
        </w:rPr>
      </w:pPr>
      <w:r>
        <w:rPr>
          <w:rFonts w:hint="eastAsia" w:ascii="宋体" w:hAnsi="宋体" w:cs="宋体"/>
          <w:b/>
          <w:bCs/>
          <w:color w:val="auto"/>
          <w:sz w:val="22"/>
          <w:highlight w:val="none"/>
          <w:u w:val="single"/>
        </w:rPr>
        <w:t>投标文件由《资格文件》《商务技术文件》《报价文件》三部分组成。</w:t>
      </w:r>
    </w:p>
    <w:p w14:paraId="60FAACF6">
      <w:pPr>
        <w:tabs>
          <w:tab w:val="left" w:pos="1069"/>
          <w:tab w:val="left" w:pos="2352"/>
        </w:tabs>
        <w:autoSpaceDE w:val="0"/>
        <w:autoSpaceDN w:val="0"/>
        <w:adjustRightInd w:val="0"/>
        <w:snapToGrid w:val="0"/>
        <w:spacing w:line="400" w:lineRule="atLeast"/>
        <w:ind w:firstLine="446" w:firstLineChars="200"/>
        <w:rPr>
          <w:rFonts w:ascii="宋体" w:hAnsi="宋体" w:cs="宋体"/>
          <w:b/>
          <w:color w:val="auto"/>
          <w:sz w:val="22"/>
          <w:highlight w:val="none"/>
          <w:lang w:val="zh-CN"/>
        </w:rPr>
      </w:pPr>
      <w:r>
        <w:rPr>
          <w:rFonts w:hint="eastAsia" w:ascii="宋体" w:hAnsi="宋体" w:cs="宋体"/>
          <w:color w:val="auto"/>
          <w:sz w:val="22"/>
          <w:highlight w:val="none"/>
          <w:lang w:val="zh-CN"/>
        </w:rPr>
        <w:t>2.1</w:t>
      </w:r>
      <w:r>
        <w:rPr>
          <w:rFonts w:hint="eastAsia" w:ascii="宋体" w:hAnsi="宋体" w:cs="宋体"/>
          <w:color w:val="auto"/>
          <w:sz w:val="22"/>
          <w:highlight w:val="none"/>
        </w:rPr>
        <w:t xml:space="preserve"> </w:t>
      </w:r>
      <w:r>
        <w:rPr>
          <w:rFonts w:hint="eastAsia" w:ascii="宋体" w:hAnsi="宋体" w:cs="宋体"/>
          <w:b/>
          <w:bCs/>
          <w:color w:val="auto"/>
          <w:sz w:val="22"/>
          <w:highlight w:val="none"/>
        </w:rPr>
        <w:t>《报价文件》</w:t>
      </w:r>
      <w:r>
        <w:rPr>
          <w:rFonts w:hint="eastAsia" w:ascii="宋体" w:hAnsi="宋体" w:cs="宋体"/>
          <w:b/>
          <w:bCs/>
          <w:color w:val="auto"/>
          <w:sz w:val="22"/>
          <w:highlight w:val="none"/>
          <w:lang w:val="zh-CN"/>
        </w:rPr>
        <w:t>组成</w:t>
      </w:r>
    </w:p>
    <w:tbl>
      <w:tblPr>
        <w:tblStyle w:val="26"/>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7EE72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3347DFD3">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bookmarkStart w:id="11" w:name="_Toc132122410"/>
            <w:bookmarkStart w:id="12" w:name="_Toc132122113"/>
            <w:r>
              <w:rPr>
                <w:rFonts w:hint="eastAsia" w:ascii="宋体" w:hAnsi="宋体" w:cs="宋体"/>
                <w:color w:val="auto"/>
                <w:sz w:val="22"/>
                <w:highlight w:val="none"/>
                <w:lang w:val="zh-CN"/>
              </w:rPr>
              <w:t>序号</w:t>
            </w:r>
          </w:p>
        </w:tc>
        <w:tc>
          <w:tcPr>
            <w:tcW w:w="8736" w:type="dxa"/>
          </w:tcPr>
          <w:p w14:paraId="57D0E60F">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内容（▲序号</w:t>
            </w:r>
            <w:r>
              <w:rPr>
                <w:rFonts w:hint="eastAsia" w:ascii="宋体" w:hAnsi="宋体" w:cs="宋体"/>
                <w:color w:val="auto"/>
                <w:sz w:val="22"/>
                <w:highlight w:val="none"/>
              </w:rPr>
              <w:t>1-2</w:t>
            </w:r>
            <w:r>
              <w:rPr>
                <w:rFonts w:hint="eastAsia" w:ascii="宋体" w:hAnsi="宋体" w:cs="宋体"/>
                <w:color w:val="auto"/>
                <w:sz w:val="22"/>
                <w:highlight w:val="none"/>
                <w:lang w:val="zh-CN"/>
              </w:rPr>
              <w:t>项供应商必须提供，否则不能通过符合性审查的，责任自负）</w:t>
            </w:r>
          </w:p>
        </w:tc>
      </w:tr>
      <w:tr w14:paraId="4033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Pr>
          <w:p w14:paraId="6B48F7A7">
            <w:pPr>
              <w:numPr>
                <w:ilvl w:val="0"/>
                <w:numId w:val="3"/>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36" w:type="dxa"/>
          </w:tcPr>
          <w:p w14:paraId="51F62001">
            <w:pPr>
              <w:tabs>
                <w:tab w:val="left" w:pos="1069"/>
                <w:tab w:val="left" w:pos="2352"/>
              </w:tabs>
              <w:autoSpaceDE w:val="0"/>
              <w:autoSpaceDN w:val="0"/>
              <w:adjustRightInd w:val="0"/>
              <w:spacing w:line="430" w:lineRule="atLeast"/>
              <w:textAlignment w:val="bottom"/>
              <w:rPr>
                <w:rFonts w:ascii="宋体" w:hAnsi="宋体" w:cs="宋体"/>
                <w:color w:val="auto"/>
                <w:sz w:val="22"/>
                <w:highlight w:val="none"/>
              </w:rPr>
            </w:pPr>
            <w:r>
              <w:rPr>
                <w:rFonts w:hint="eastAsia" w:ascii="宋体" w:hAnsi="宋体" w:cs="宋体"/>
                <w:color w:val="auto"/>
                <w:sz w:val="22"/>
                <w:highlight w:val="none"/>
              </w:rPr>
              <w:t>开标（报价）一览表（附件一）</w:t>
            </w:r>
          </w:p>
        </w:tc>
      </w:tr>
      <w:tr w14:paraId="7E87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Pr>
          <w:p w14:paraId="27B21D19">
            <w:pPr>
              <w:numPr>
                <w:ilvl w:val="0"/>
                <w:numId w:val="3"/>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36" w:type="dxa"/>
          </w:tcPr>
          <w:p w14:paraId="26C07992">
            <w:pPr>
              <w:tabs>
                <w:tab w:val="left" w:pos="1069"/>
                <w:tab w:val="left" w:pos="2352"/>
              </w:tabs>
              <w:autoSpaceDE w:val="0"/>
              <w:autoSpaceDN w:val="0"/>
              <w:adjustRightInd w:val="0"/>
              <w:spacing w:line="430" w:lineRule="atLeast"/>
              <w:textAlignment w:val="bottom"/>
              <w:rPr>
                <w:rFonts w:ascii="宋体" w:hAnsi="宋体" w:cs="宋体"/>
                <w:color w:val="auto"/>
                <w:sz w:val="22"/>
                <w:highlight w:val="none"/>
              </w:rPr>
            </w:pPr>
            <w:r>
              <w:rPr>
                <w:rFonts w:hint="eastAsia" w:ascii="宋体" w:hAnsi="宋体" w:cs="宋体"/>
                <w:color w:val="auto"/>
                <w:sz w:val="22"/>
                <w:highlight w:val="none"/>
              </w:rPr>
              <w:t>投标分项报价表（附件二）</w:t>
            </w:r>
          </w:p>
        </w:tc>
      </w:tr>
      <w:bookmarkEnd w:id="11"/>
      <w:bookmarkEnd w:id="12"/>
    </w:tbl>
    <w:p w14:paraId="5585166E">
      <w:pPr>
        <w:tabs>
          <w:tab w:val="left" w:pos="1069"/>
          <w:tab w:val="left" w:pos="2352"/>
        </w:tabs>
        <w:autoSpaceDE w:val="0"/>
        <w:autoSpaceDN w:val="0"/>
        <w:adjustRightInd w:val="0"/>
        <w:snapToGrid w:val="0"/>
        <w:spacing w:line="430" w:lineRule="atLeas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2.2 </w:t>
      </w:r>
      <w:r>
        <w:rPr>
          <w:rFonts w:hint="eastAsia" w:ascii="宋体" w:hAnsi="宋体" w:cs="宋体"/>
          <w:b/>
          <w:bCs/>
          <w:color w:val="auto"/>
          <w:sz w:val="22"/>
          <w:highlight w:val="none"/>
        </w:rPr>
        <w:t>《资格文件》组成</w:t>
      </w:r>
    </w:p>
    <w:tbl>
      <w:tblPr>
        <w:tblStyle w:val="26"/>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17D5C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B6A4266">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8747" w:type="dxa"/>
          </w:tcPr>
          <w:p w14:paraId="4F9E5555">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内容（▲</w:t>
            </w:r>
            <w:r>
              <w:rPr>
                <w:rFonts w:hint="eastAsia" w:ascii="宋体" w:hAnsi="宋体" w:cs="宋体"/>
                <w:color w:val="auto"/>
                <w:sz w:val="22"/>
                <w:highlight w:val="none"/>
              </w:rPr>
              <w:t>下列项</w:t>
            </w:r>
            <w:r>
              <w:rPr>
                <w:rFonts w:hint="eastAsia" w:ascii="宋体" w:hAnsi="宋体" w:cs="宋体"/>
                <w:color w:val="auto"/>
                <w:sz w:val="22"/>
                <w:highlight w:val="none"/>
                <w:lang w:val="zh-CN"/>
              </w:rPr>
              <w:t>供应商必须提供，否则不能通过符合性审查的，责任自负）</w:t>
            </w:r>
          </w:p>
        </w:tc>
      </w:tr>
      <w:tr w14:paraId="05E7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5B0F4A68">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475E79E2">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rPr>
              <w:t>供应商的营业执照、税务登记证（如为多证合一仅需提供营业执照）</w:t>
            </w:r>
          </w:p>
        </w:tc>
      </w:tr>
      <w:tr w14:paraId="0B5F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1EE01F57">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718B6D18">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4"/>
                <w:szCs w:val="24"/>
                <w:highlight w:val="none"/>
              </w:rPr>
              <w:t>符合参加政府采购活动应当具备的一般条件的承诺函（附件三）</w:t>
            </w:r>
          </w:p>
        </w:tc>
      </w:tr>
      <w:tr w14:paraId="36F23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01FD6602">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vAlign w:val="center"/>
          </w:tcPr>
          <w:p w14:paraId="323353D2">
            <w:pPr>
              <w:tabs>
                <w:tab w:val="left" w:pos="1069"/>
                <w:tab w:val="left" w:pos="2352"/>
              </w:tabs>
              <w:autoSpaceDE w:val="0"/>
              <w:autoSpaceDN w:val="0"/>
              <w:adjustRightInd w:val="0"/>
              <w:spacing w:line="260" w:lineRule="exact"/>
              <w:textAlignment w:val="bottom"/>
              <w:rPr>
                <w:rFonts w:ascii="宋体" w:hAnsi="宋体" w:cs="宋体"/>
                <w:color w:val="auto"/>
                <w:sz w:val="22"/>
                <w:highlight w:val="none"/>
              </w:rPr>
            </w:pPr>
            <w:r>
              <w:rPr>
                <w:rFonts w:hint="eastAsia" w:ascii="宋体" w:hAnsi="宋体" w:cs="宋体"/>
                <w:color w:val="auto"/>
                <w:sz w:val="22"/>
                <w:highlight w:val="none"/>
              </w:rPr>
              <w:t>供应商“信用中国”(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)；“中国政府采购网”（http://www.ccgp.gov.cn/）信用记录网页截图（招标公告发布之日至投标截止时间前均可）</w:t>
            </w:r>
          </w:p>
        </w:tc>
      </w:tr>
      <w:tr w14:paraId="7C696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62DDD40B">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vAlign w:val="center"/>
          </w:tcPr>
          <w:p w14:paraId="57DDCB55">
            <w:pPr>
              <w:tabs>
                <w:tab w:val="left" w:pos="1069"/>
                <w:tab w:val="left" w:pos="2352"/>
              </w:tabs>
              <w:autoSpaceDE w:val="0"/>
              <w:autoSpaceDN w:val="0"/>
              <w:adjustRightInd w:val="0"/>
              <w:spacing w:line="260" w:lineRule="exact"/>
              <w:textAlignment w:val="bottom"/>
              <w:rPr>
                <w:rFonts w:ascii="宋体" w:hAnsi="宋体" w:cs="宋体"/>
                <w:color w:val="auto"/>
                <w:sz w:val="22"/>
                <w:highlight w:val="none"/>
              </w:rPr>
            </w:pPr>
            <w:r>
              <w:rPr>
                <w:rFonts w:hint="eastAsia" w:ascii="宋体" w:hAnsi="宋体" w:cs="宋体"/>
                <w:color w:val="auto"/>
                <w:sz w:val="22"/>
                <w:highlight w:val="none"/>
              </w:rPr>
              <w:t>法定代表人授权书（附件四）</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若法定代表人直接参与的无需提供此项</w:t>
            </w:r>
            <w:r>
              <w:rPr>
                <w:rFonts w:hint="eastAsia" w:ascii="宋体" w:hAnsi="宋体" w:cs="宋体"/>
                <w:color w:val="auto"/>
                <w:sz w:val="22"/>
                <w:highlight w:val="none"/>
                <w:lang w:eastAsia="zh-CN"/>
              </w:rPr>
              <w:t>）</w:t>
            </w:r>
          </w:p>
        </w:tc>
      </w:tr>
    </w:tbl>
    <w:p w14:paraId="6A83E36A">
      <w:pPr>
        <w:tabs>
          <w:tab w:val="left" w:pos="1069"/>
          <w:tab w:val="left" w:pos="2352"/>
        </w:tabs>
        <w:autoSpaceDE w:val="0"/>
        <w:autoSpaceDN w:val="0"/>
        <w:adjustRightInd w:val="0"/>
        <w:snapToGrid w:val="0"/>
        <w:spacing w:line="430" w:lineRule="atLeas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2.3 </w:t>
      </w:r>
      <w:r>
        <w:rPr>
          <w:rFonts w:hint="eastAsia" w:ascii="宋体" w:hAnsi="宋体" w:cs="宋体"/>
          <w:b/>
          <w:bCs/>
          <w:color w:val="auto"/>
          <w:sz w:val="22"/>
          <w:highlight w:val="none"/>
        </w:rPr>
        <w:t>《商务技术文件》组成</w:t>
      </w:r>
    </w:p>
    <w:tbl>
      <w:tblPr>
        <w:tblStyle w:val="26"/>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4CF2A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E0AD416">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8747" w:type="dxa"/>
          </w:tcPr>
          <w:p w14:paraId="6D2C741D">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内容（▲序号1</w:t>
            </w:r>
            <w:r>
              <w:rPr>
                <w:rFonts w:hint="eastAsia" w:ascii="宋体" w:hAnsi="宋体" w:cs="宋体"/>
                <w:color w:val="auto"/>
                <w:sz w:val="22"/>
                <w:highlight w:val="none"/>
              </w:rPr>
              <w:t>-6</w:t>
            </w:r>
            <w:r>
              <w:rPr>
                <w:rFonts w:hint="eastAsia" w:ascii="宋体" w:hAnsi="宋体" w:cs="宋体"/>
                <w:color w:val="auto"/>
                <w:sz w:val="22"/>
                <w:highlight w:val="none"/>
                <w:lang w:val="zh-CN"/>
              </w:rPr>
              <w:t>项供应商必须提供，否则不能通过符合性审查的，责任自负）</w:t>
            </w:r>
          </w:p>
        </w:tc>
      </w:tr>
      <w:tr w14:paraId="4843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3" w:type="dxa"/>
          </w:tcPr>
          <w:p w14:paraId="6D9DA61D">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7B19884C">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lang w:val="zh-CN"/>
              </w:rPr>
            </w:pPr>
            <w:r>
              <w:rPr>
                <w:rFonts w:hint="eastAsia" w:ascii="宋体" w:hAnsi="宋体" w:cs="宋体"/>
                <w:b/>
                <w:bCs/>
                <w:color w:val="auto"/>
                <w:sz w:val="22"/>
                <w:highlight w:val="none"/>
              </w:rPr>
              <w:t>报价函（附件六）</w:t>
            </w:r>
          </w:p>
        </w:tc>
      </w:tr>
      <w:tr w14:paraId="6EDF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064E7B3">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55124098">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lang w:val="zh-CN"/>
              </w:rPr>
            </w:pPr>
            <w:r>
              <w:rPr>
                <w:rFonts w:hint="eastAsia" w:ascii="宋体" w:hAnsi="宋体" w:cs="宋体"/>
                <w:b/>
                <w:bCs/>
                <w:color w:val="auto"/>
                <w:sz w:val="22"/>
                <w:highlight w:val="none"/>
              </w:rPr>
              <w:t>供应商参与政府采购活动投标资格声明（附件七）</w:t>
            </w:r>
          </w:p>
        </w:tc>
      </w:tr>
      <w:tr w14:paraId="7E623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543E82E">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31AFA051">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rPr>
            </w:pPr>
            <w:r>
              <w:rPr>
                <w:rFonts w:hint="eastAsia" w:ascii="宋体" w:hAnsi="宋体" w:cs="宋体"/>
                <w:b/>
                <w:bCs/>
                <w:color w:val="auto"/>
                <w:sz w:val="22"/>
                <w:highlight w:val="none"/>
              </w:rPr>
              <w:t>法定代表人诚信投标承诺书（附件八）</w:t>
            </w:r>
          </w:p>
        </w:tc>
      </w:tr>
      <w:tr w14:paraId="3E539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41D2FD2">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492BB7DD">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rPr>
            </w:pPr>
            <w:r>
              <w:rPr>
                <w:rFonts w:hint="eastAsia" w:ascii="宋体" w:hAnsi="宋体" w:cs="宋体"/>
                <w:b/>
                <w:bCs/>
                <w:color w:val="auto"/>
                <w:sz w:val="22"/>
                <w:highlight w:val="none"/>
              </w:rPr>
              <w:t>商务偏离表（附件九（一））、技术偏离表（附件九（二））</w:t>
            </w:r>
          </w:p>
        </w:tc>
      </w:tr>
      <w:tr w14:paraId="25FB0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8DBD2F0">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308F6664">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rPr>
            </w:pPr>
            <w:r>
              <w:rPr>
                <w:rFonts w:hint="eastAsia" w:ascii="宋体" w:hAnsi="宋体"/>
                <w:b/>
                <w:bCs/>
                <w:color w:val="auto"/>
                <w:sz w:val="22"/>
                <w:highlight w:val="none"/>
              </w:rPr>
              <w:t>技术方案</w:t>
            </w:r>
          </w:p>
        </w:tc>
      </w:tr>
      <w:tr w14:paraId="4E5CD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7EBDAC6">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6871AC00">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rPr>
            </w:pPr>
            <w:r>
              <w:rPr>
                <w:rFonts w:hint="eastAsia" w:ascii="宋体" w:hAnsi="宋体" w:cs="宋体"/>
                <w:b/>
                <w:bCs/>
                <w:color w:val="auto"/>
                <w:sz w:val="22"/>
                <w:highlight w:val="none"/>
              </w:rPr>
              <w:t>供应商项目服务人员汇总表（附件十）；</w:t>
            </w:r>
          </w:p>
        </w:tc>
      </w:tr>
      <w:tr w14:paraId="1216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102B6310">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61E08762">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项目理解、质量关键点分析 、质量保证措施、服务承诺等</w:t>
            </w:r>
          </w:p>
        </w:tc>
      </w:tr>
      <w:tr w14:paraId="360E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F294A4C">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0AB79A88">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距离采购人最近的服务机构的详细介绍、服务机构总负责人，电话，地址，技术力量配置等；</w:t>
            </w:r>
          </w:p>
        </w:tc>
      </w:tr>
      <w:tr w14:paraId="7860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AC1CE77">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0F3F611F">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供应商质量体系认证证书、供应商环境体系认证证书、供应商职业健康体系认证证书（（如有则提供）</w:t>
            </w:r>
          </w:p>
        </w:tc>
      </w:tr>
      <w:tr w14:paraId="5413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B333A71">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vAlign w:val="center"/>
          </w:tcPr>
          <w:p w14:paraId="0BD75B44">
            <w:pPr>
              <w:tabs>
                <w:tab w:val="left" w:pos="1069"/>
                <w:tab w:val="left" w:pos="2352"/>
              </w:tabs>
              <w:autoSpaceDE w:val="0"/>
              <w:autoSpaceDN w:val="0"/>
              <w:adjustRightInd w:val="0"/>
              <w:snapToGrid w:val="0"/>
              <w:spacing w:line="430" w:lineRule="atLeast"/>
              <w:jc w:val="left"/>
              <w:rPr>
                <w:rFonts w:ascii="宋体" w:hAnsi="宋体" w:cs="宋体"/>
                <w:color w:val="auto"/>
                <w:sz w:val="22"/>
                <w:highlight w:val="none"/>
              </w:rPr>
            </w:pPr>
            <w:r>
              <w:rPr>
                <w:rFonts w:hint="eastAsia" w:ascii="宋体" w:hAnsi="宋体" w:cs="宋体"/>
                <w:color w:val="auto"/>
                <w:sz w:val="22"/>
                <w:highlight w:val="none"/>
              </w:rPr>
              <w:t>供应商项目业绩清单，如有（附件十）</w:t>
            </w:r>
          </w:p>
        </w:tc>
      </w:tr>
      <w:tr w14:paraId="765D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42F6BF3">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vAlign w:val="center"/>
          </w:tcPr>
          <w:p w14:paraId="3ABE2587">
            <w:pPr>
              <w:tabs>
                <w:tab w:val="left" w:pos="1069"/>
                <w:tab w:val="left" w:pos="2352"/>
              </w:tabs>
              <w:autoSpaceDE w:val="0"/>
              <w:autoSpaceDN w:val="0"/>
              <w:adjustRightInd w:val="0"/>
              <w:snapToGrid w:val="0"/>
              <w:spacing w:line="430" w:lineRule="atLeast"/>
              <w:jc w:val="left"/>
              <w:rPr>
                <w:rFonts w:ascii="宋体" w:hAnsi="宋体" w:cs="宋体"/>
                <w:color w:val="auto"/>
                <w:sz w:val="22"/>
                <w:highlight w:val="none"/>
              </w:rPr>
            </w:pPr>
            <w:r>
              <w:rPr>
                <w:rFonts w:hint="eastAsia" w:ascii="宋体" w:hAnsi="宋体" w:cs="宋体"/>
                <w:color w:val="auto"/>
                <w:sz w:val="22"/>
                <w:highlight w:val="none"/>
              </w:rPr>
              <w:t>供应商具有的其它相关资质证书（如有则提供）</w:t>
            </w:r>
          </w:p>
        </w:tc>
      </w:tr>
      <w:tr w14:paraId="0F7C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0346881">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27751066">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根据竞争性磋商文件中的采购内容与技术要求、评标细则，需要提供的其它文件和资料。</w:t>
            </w:r>
          </w:p>
        </w:tc>
      </w:tr>
      <w:tr w14:paraId="09C3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99A09C9">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6E607B66">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其它供应商须说明的资料（如有则提供）</w:t>
            </w:r>
          </w:p>
        </w:tc>
      </w:tr>
      <w:tr w14:paraId="34DA4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882373C">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58581207">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供应商应编制目录索引，注明项目所在投标文件页码。</w:t>
            </w:r>
          </w:p>
        </w:tc>
      </w:tr>
      <w:tr w14:paraId="4E67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F6974BA">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467D1189">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政府采购活动现场确认声明书（附件十一）</w:t>
            </w:r>
          </w:p>
        </w:tc>
      </w:tr>
      <w:tr w14:paraId="70E2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7C4AFF8">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52A0AA88">
            <w:pPr>
              <w:tabs>
                <w:tab w:val="left" w:pos="1069"/>
              </w:tabs>
              <w:autoSpaceDE w:val="0"/>
              <w:autoSpaceDN w:val="0"/>
              <w:adjustRightInd w:val="0"/>
              <w:spacing w:line="260" w:lineRule="exact"/>
              <w:textAlignment w:val="bottom"/>
              <w:rPr>
                <w:rFonts w:ascii="宋体" w:hAnsi="宋体" w:cs="宋体"/>
                <w:color w:val="auto"/>
                <w:sz w:val="22"/>
                <w:highlight w:val="none"/>
              </w:rPr>
            </w:pPr>
            <w:r>
              <w:rPr>
                <w:rFonts w:hint="eastAsia" w:ascii="宋体" w:hAnsi="宋体" w:cs="宋体"/>
                <w:color w:val="auto"/>
                <w:sz w:val="22"/>
                <w:highlight w:val="none"/>
              </w:rPr>
              <w:t>符合中小企业要求应按要求提供以下证明材料：</w:t>
            </w:r>
          </w:p>
          <w:p w14:paraId="483AD108">
            <w:pPr>
              <w:tabs>
                <w:tab w:val="left" w:pos="1069"/>
              </w:tabs>
              <w:autoSpaceDE w:val="0"/>
              <w:autoSpaceDN w:val="0"/>
              <w:adjustRightInd w:val="0"/>
              <w:spacing w:line="260" w:lineRule="exact"/>
              <w:textAlignment w:val="bottom"/>
              <w:rPr>
                <w:rFonts w:ascii="宋体" w:hAnsi="宋体" w:cs="宋体"/>
                <w:color w:val="auto"/>
                <w:sz w:val="22"/>
                <w:highlight w:val="none"/>
              </w:rPr>
            </w:pPr>
            <w:r>
              <w:rPr>
                <w:rFonts w:hint="eastAsia" w:ascii="宋体" w:hAnsi="宋体" w:cs="宋体"/>
                <w:color w:val="auto"/>
                <w:sz w:val="22"/>
                <w:highlight w:val="none"/>
              </w:rPr>
              <w:t>（1）中小企业：中小企业声明函（原件，加盖供应商公章，格式见附件1）</w:t>
            </w:r>
          </w:p>
          <w:p w14:paraId="321E2EDD">
            <w:pPr>
              <w:tabs>
                <w:tab w:val="left" w:pos="1069"/>
              </w:tabs>
              <w:autoSpaceDE w:val="0"/>
              <w:autoSpaceDN w:val="0"/>
              <w:adjustRightInd w:val="0"/>
              <w:spacing w:line="260" w:lineRule="exact"/>
              <w:textAlignment w:val="bottom"/>
              <w:rPr>
                <w:rFonts w:ascii="宋体" w:hAnsi="宋体" w:cs="宋体"/>
                <w:color w:val="auto"/>
                <w:sz w:val="22"/>
                <w:highlight w:val="none"/>
              </w:rPr>
            </w:pPr>
            <w:r>
              <w:rPr>
                <w:rFonts w:hint="eastAsia" w:ascii="宋体" w:hAnsi="宋体" w:cs="宋体"/>
                <w:color w:val="auto"/>
                <w:sz w:val="22"/>
                <w:highlight w:val="none"/>
              </w:rPr>
              <w:t>（2）残疾人福利性单位：残疾人福利性单位声明函（原件，加盖供应商公章，格式见附件1）</w:t>
            </w:r>
          </w:p>
          <w:p w14:paraId="1A44171C">
            <w:pPr>
              <w:tabs>
                <w:tab w:val="left" w:pos="1069"/>
                <w:tab w:val="left" w:pos="2352"/>
              </w:tabs>
              <w:autoSpaceDE w:val="0"/>
              <w:autoSpaceDN w:val="0"/>
              <w:adjustRightInd w:val="0"/>
              <w:snapToGrid w:val="0"/>
              <w:spacing w:line="430" w:lineRule="atLeast"/>
              <w:rPr>
                <w:rFonts w:hint="eastAsia" w:ascii="宋体" w:hAnsi="宋体" w:cs="宋体"/>
                <w:color w:val="auto"/>
                <w:sz w:val="22"/>
                <w:highlight w:val="none"/>
              </w:rPr>
            </w:pPr>
            <w:r>
              <w:rPr>
                <w:rFonts w:hint="eastAsia" w:ascii="宋体" w:hAnsi="宋体" w:cs="宋体"/>
                <w:color w:val="auto"/>
                <w:sz w:val="22"/>
                <w:highlight w:val="none"/>
              </w:rPr>
              <w:t>（3）监狱企业：提供由省级以上监狱管理局、戒毒管理局（含新疆生产建设兵团）出具的属于监狱企业的证明文件（原件）</w:t>
            </w:r>
          </w:p>
        </w:tc>
      </w:tr>
    </w:tbl>
    <w:p w14:paraId="394A9C21">
      <w:pPr>
        <w:tabs>
          <w:tab w:val="left" w:pos="1069"/>
          <w:tab w:val="left" w:pos="2352"/>
        </w:tabs>
        <w:rPr>
          <w:rFonts w:ascii="宋体" w:hAnsi="宋体" w:cs="宋体"/>
          <w:color w:val="auto"/>
          <w:highlight w:val="none"/>
        </w:rPr>
      </w:pPr>
    </w:p>
    <w:p w14:paraId="3C1F6280">
      <w:pPr>
        <w:tabs>
          <w:tab w:val="left" w:pos="1069"/>
          <w:tab w:val="left" w:pos="2352"/>
        </w:tabs>
        <w:autoSpaceDE w:val="0"/>
        <w:autoSpaceDN w:val="0"/>
        <w:adjustRightInd w:val="0"/>
        <w:snapToGrid w:val="0"/>
        <w:spacing w:line="400" w:lineRule="exact"/>
        <w:textAlignment w:val="bottom"/>
        <w:rPr>
          <w:rFonts w:ascii="宋体" w:hAnsi="宋体" w:cs="宋体"/>
          <w:color w:val="auto"/>
          <w:sz w:val="22"/>
          <w:highlight w:val="none"/>
        </w:rPr>
      </w:pPr>
      <w:r>
        <w:rPr>
          <w:rFonts w:hint="eastAsia" w:ascii="宋体" w:hAnsi="宋体" w:cs="宋体"/>
          <w:color w:val="auto"/>
          <w:sz w:val="22"/>
          <w:highlight w:val="none"/>
        </w:rPr>
        <w:t>3.投标内容填写说明</w:t>
      </w:r>
    </w:p>
    <w:p w14:paraId="7E748E18">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供应商应按照（上表）所列出的内容及格式组成投标文件。</w:t>
      </w:r>
    </w:p>
    <w:p w14:paraId="554D3B22">
      <w:pPr>
        <w:tabs>
          <w:tab w:val="left" w:pos="1069"/>
          <w:tab w:val="left" w:pos="2352"/>
        </w:tabs>
        <w:autoSpaceDE w:val="0"/>
        <w:autoSpaceDN w:val="0"/>
        <w:adjustRightInd w:val="0"/>
        <w:snapToGrid w:val="0"/>
        <w:spacing w:line="400" w:lineRule="exact"/>
        <w:textAlignment w:val="bottom"/>
        <w:rPr>
          <w:rFonts w:ascii="宋体" w:hAnsi="宋体" w:cs="宋体"/>
          <w:color w:val="auto"/>
          <w:sz w:val="22"/>
          <w:highlight w:val="none"/>
        </w:rPr>
      </w:pPr>
      <w:bookmarkStart w:id="13" w:name="_Toc132122412"/>
      <w:bookmarkStart w:id="14" w:name="_Toc132122115"/>
      <w:r>
        <w:rPr>
          <w:rFonts w:hint="eastAsia" w:ascii="宋体" w:hAnsi="宋体" w:cs="宋体"/>
          <w:color w:val="auto"/>
          <w:sz w:val="22"/>
          <w:highlight w:val="none"/>
        </w:rPr>
        <w:t>4.投标报价</w:t>
      </w:r>
      <w:bookmarkEnd w:id="13"/>
      <w:bookmarkEnd w:id="14"/>
    </w:p>
    <w:p w14:paraId="33201E7D">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4.1 供应商应按竞争性磋商文件中《开标（报价）一览表》填写投标报价。</w:t>
      </w:r>
    </w:p>
    <w:p w14:paraId="57DBDBB8">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u w:val="single"/>
        </w:rPr>
      </w:pPr>
      <w:r>
        <w:rPr>
          <w:rFonts w:hint="eastAsia" w:ascii="宋体" w:hAnsi="宋体" w:cs="宋体"/>
          <w:color w:val="auto"/>
          <w:sz w:val="22"/>
          <w:highlight w:val="none"/>
        </w:rPr>
        <w:t>4.2 供应商应在各自技术和商务占优势的基础上并充分考虑本项目的重要性，提供对采购人最优惠的报价。</w:t>
      </w:r>
    </w:p>
    <w:p w14:paraId="22C2E123">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5.采购人要求分类报价是为了方便评标，但在任何情况下不限制采购人以其认为最合适的条款签订合同的权利。</w:t>
      </w:r>
    </w:p>
    <w:p w14:paraId="5436A4F2">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bookmarkStart w:id="15" w:name="_Toc132122117"/>
      <w:bookmarkStart w:id="16" w:name="_Toc132122414"/>
      <w:r>
        <w:rPr>
          <w:rFonts w:hint="eastAsia" w:ascii="宋体" w:hAnsi="宋体" w:cs="宋体"/>
          <w:color w:val="auto"/>
          <w:sz w:val="22"/>
          <w:highlight w:val="none"/>
        </w:rPr>
        <w:t>6.投标（响应）文件的有效期</w:t>
      </w:r>
      <w:bookmarkEnd w:id="15"/>
      <w:bookmarkEnd w:id="16"/>
    </w:p>
    <w:p w14:paraId="6270B7D1">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6.1 自报价截止时间起90天内，投标（响应）文件应保持有效。有效期短于这个规定期限的报价将被拒绝。</w:t>
      </w:r>
    </w:p>
    <w:p w14:paraId="587AB508">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6.2 在特殊情况下，采购人可与供应商协商延长投标（响应）文件的有效期，这种要求和答复均应以书面形式进行。</w:t>
      </w:r>
    </w:p>
    <w:p w14:paraId="0D1B5387">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6.3 供应商可拒绝接受延期要求，同意延长有效期的供应商不能修改投标（响应）文件。</w:t>
      </w:r>
    </w:p>
    <w:p w14:paraId="5C64A58E">
      <w:pPr>
        <w:pStyle w:val="33"/>
        <w:tabs>
          <w:tab w:val="left" w:pos="1069"/>
          <w:tab w:val="left" w:pos="2352"/>
        </w:tabs>
        <w:adjustRightInd w:val="0"/>
        <w:snapToGrid w:val="0"/>
        <w:spacing w:line="400" w:lineRule="atLeast"/>
        <w:outlineLvl w:val="0"/>
        <w:rPr>
          <w:rFonts w:hAnsi="宋体" w:cs="宋体"/>
          <w:b/>
          <w:bCs/>
          <w:color w:val="auto"/>
          <w:sz w:val="22"/>
          <w:szCs w:val="22"/>
          <w:highlight w:val="none"/>
        </w:rPr>
      </w:pPr>
      <w:bookmarkStart w:id="17" w:name="_Toc132125096"/>
      <w:bookmarkStart w:id="18" w:name="_Toc132123635"/>
      <w:bookmarkStart w:id="19" w:name="_Toc132122417"/>
      <w:bookmarkStart w:id="20" w:name="_Toc132123882"/>
      <w:bookmarkStart w:id="21" w:name="_Toc132123548"/>
      <w:bookmarkStart w:id="22" w:name="_Toc132126155"/>
      <w:bookmarkStart w:id="23" w:name="_Toc132125152"/>
      <w:bookmarkStart w:id="24" w:name="_Toc132123440"/>
      <w:bookmarkStart w:id="25" w:name="_Toc132125575"/>
      <w:bookmarkStart w:id="26" w:name="_Toc132122120"/>
      <w:bookmarkStart w:id="27" w:name="_Toc132655777"/>
      <w:bookmarkStart w:id="28" w:name="_Toc132125038"/>
      <w:bookmarkStart w:id="29" w:name="_Toc132123839"/>
      <w:bookmarkStart w:id="30" w:name="_Toc132124595"/>
      <w:bookmarkStart w:id="31" w:name="_Toc132125984"/>
      <w:r>
        <w:rPr>
          <w:rFonts w:hint="eastAsia" w:hAnsi="宋体" w:cs="宋体"/>
          <w:b/>
          <w:bCs/>
          <w:color w:val="auto"/>
          <w:sz w:val="22"/>
          <w:highlight w:val="none"/>
        </w:rPr>
        <w:t>四、</w:t>
      </w:r>
      <w:r>
        <w:rPr>
          <w:rFonts w:hint="eastAsia" w:hAnsi="宋体" w:cs="宋体"/>
          <w:b/>
          <w:bCs/>
          <w:color w:val="auto"/>
          <w:sz w:val="22"/>
          <w:szCs w:val="22"/>
          <w:highlight w:val="none"/>
        </w:rPr>
        <w:t>投标文件</w:t>
      </w:r>
    </w:p>
    <w:p w14:paraId="64562CA0">
      <w:pPr>
        <w:pStyle w:val="33"/>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1. 投标文件的上传、递交：见《投标邀请函（投标须知前附表）》。</w:t>
      </w:r>
    </w:p>
    <w:p w14:paraId="18A6C3B7">
      <w:pPr>
        <w:pStyle w:val="33"/>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2.“电子加密投标文件”解密和异常情况处理：见《投标邀请函（投标须知前附表）》。</w:t>
      </w:r>
    </w:p>
    <w:p w14:paraId="62D5FF93">
      <w:pPr>
        <w:pStyle w:val="33"/>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3.投标文件的补充、修改或撤回</w:t>
      </w:r>
    </w:p>
    <w:p w14:paraId="02B53939">
      <w:pPr>
        <w:pStyle w:val="33"/>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5DF589FF">
      <w:pPr>
        <w:pStyle w:val="33"/>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3.2投标截止时间后，供应商不得撤回、修改《投标文件》。</w:t>
      </w:r>
    </w:p>
    <w:p w14:paraId="290ABE46">
      <w:pPr>
        <w:pStyle w:val="33"/>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4.投标文件的备选方案</w:t>
      </w:r>
    </w:p>
    <w:p w14:paraId="0DE306D7">
      <w:pPr>
        <w:pStyle w:val="33"/>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4.1供应商不得递交任何的投标备选（替代）方案，否则其投标文件将作无效标处理。</w:t>
      </w:r>
    </w:p>
    <w:p w14:paraId="158D3C49">
      <w:pPr>
        <w:pStyle w:val="33"/>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5. 投标截止期</w:t>
      </w:r>
    </w:p>
    <w:p w14:paraId="1E505B47">
      <w:pPr>
        <w:pStyle w:val="33"/>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5.1供应商应按前附表中规定的时间、地点将投标文件递交给采购人，采购人将拒绝接受逾期送达的投标文件。</w:t>
      </w:r>
    </w:p>
    <w:p w14:paraId="190861FC">
      <w:pPr>
        <w:pStyle w:val="10"/>
        <w:tabs>
          <w:tab w:val="left" w:pos="1069"/>
          <w:tab w:val="left" w:pos="2352"/>
        </w:tabs>
        <w:adjustRightInd w:val="0"/>
        <w:spacing w:line="400" w:lineRule="exact"/>
        <w:ind w:firstLine="446" w:firstLineChars="200"/>
        <w:rPr>
          <w:rFonts w:hAnsi="宋体" w:cs="宋体"/>
          <w:b/>
          <w:bCs/>
          <w:color w:val="auto"/>
          <w:sz w:val="22"/>
          <w:highlight w:val="none"/>
        </w:rPr>
      </w:pPr>
      <w:r>
        <w:rPr>
          <w:rFonts w:hint="eastAsia" w:hAnsi="宋体" w:cs="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1484E7D8">
      <w:pPr>
        <w:pStyle w:val="10"/>
        <w:tabs>
          <w:tab w:val="left" w:pos="1069"/>
          <w:tab w:val="left" w:pos="2352"/>
        </w:tabs>
        <w:adjustRightInd w:val="0"/>
        <w:snapToGrid w:val="0"/>
        <w:spacing w:line="400" w:lineRule="exact"/>
        <w:ind w:firstLine="480"/>
        <w:outlineLvl w:val="0"/>
        <w:rPr>
          <w:rFonts w:hAnsi="宋体" w:cs="宋体"/>
          <w:b/>
          <w:bCs/>
          <w:color w:val="auto"/>
          <w:sz w:val="22"/>
          <w:highlight w:val="none"/>
        </w:rPr>
      </w:pPr>
      <w:bookmarkStart w:id="32" w:name="_Toc493530207"/>
      <w:bookmarkStart w:id="33" w:name="_Toc15003_WPSOffice_Level2"/>
      <w:r>
        <w:rPr>
          <w:rFonts w:hint="eastAsia" w:hAnsi="宋体" w:cs="宋体"/>
          <w:b/>
          <w:bCs/>
          <w:color w:val="auto"/>
          <w:sz w:val="22"/>
          <w:highlight w:val="none"/>
        </w:rPr>
        <w:t>五、开标和评标</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4CF6D1D7">
      <w:pPr>
        <w:pStyle w:val="10"/>
        <w:tabs>
          <w:tab w:val="left" w:pos="1069"/>
          <w:tab w:val="left" w:pos="2352"/>
        </w:tabs>
        <w:snapToGrid w:val="0"/>
        <w:spacing w:line="440" w:lineRule="exact"/>
        <w:ind w:firstLine="436" w:firstLineChars="196"/>
        <w:rPr>
          <w:rFonts w:hAnsi="宋体" w:cs="宋体"/>
          <w:color w:val="auto"/>
          <w:sz w:val="22"/>
          <w:szCs w:val="22"/>
          <w:highlight w:val="none"/>
        </w:rPr>
      </w:pPr>
      <w:r>
        <w:rPr>
          <w:rFonts w:hint="eastAsia" w:hAnsi="宋体" w:cs="宋体"/>
          <w:color w:val="auto"/>
          <w:sz w:val="22"/>
          <w:szCs w:val="22"/>
          <w:highlight w:val="none"/>
        </w:rPr>
        <w:t>（一）开标准备</w:t>
      </w:r>
    </w:p>
    <w:p w14:paraId="38584FC7">
      <w:pPr>
        <w:tabs>
          <w:tab w:val="left" w:pos="1069"/>
          <w:tab w:val="left" w:pos="2352"/>
        </w:tabs>
        <w:snapToGrid w:val="0"/>
        <w:spacing w:line="440" w:lineRule="exact"/>
        <w:ind w:firstLine="446" w:firstLineChars="200"/>
        <w:jc w:val="left"/>
        <w:rPr>
          <w:rFonts w:ascii="宋体" w:hAnsi="宋体" w:cs="宋体"/>
          <w:b/>
          <w:color w:val="auto"/>
          <w:kern w:val="0"/>
          <w:sz w:val="22"/>
          <w:highlight w:val="none"/>
        </w:rPr>
      </w:pPr>
      <w:r>
        <w:rPr>
          <w:rFonts w:hint="eastAsia" w:ascii="宋体" w:hAnsi="宋体" w:cs="宋体"/>
          <w:b/>
          <w:color w:val="auto"/>
          <w:sz w:val="22"/>
          <w:highlight w:val="none"/>
        </w:rPr>
        <w:t>1.采购组织机构原则上采用电子评标，按照响应文件规定的时间通过“政府采购云平台”组织开标、开启响应文件，所有供应商均应当准时在线参加。</w:t>
      </w:r>
      <w:r>
        <w:rPr>
          <w:rFonts w:hint="eastAsia" w:ascii="宋体" w:hAnsi="宋体" w:cs="宋体"/>
          <w:b/>
          <w:color w:val="auto"/>
          <w:kern w:val="0"/>
          <w:sz w:val="22"/>
          <w:highlight w:val="none"/>
        </w:rPr>
        <w:t>供应商如不参加磋商大会的，视同认可磋商结果，事后不得对采购相关人员、磋商过程和磋商结果提出异议，同时供应商因未在线参加磋商而导致响应文件无法按时解密等一切后果由供应商自己承担。</w:t>
      </w:r>
    </w:p>
    <w:p w14:paraId="4EFE36FB">
      <w:pPr>
        <w:pStyle w:val="34"/>
        <w:tabs>
          <w:tab w:val="left" w:pos="1069"/>
          <w:tab w:val="left" w:pos="2352"/>
        </w:tabs>
        <w:spacing w:before="0" w:line="440" w:lineRule="exact"/>
        <w:ind w:left="0" w:firstLine="446" w:firstLineChars="200"/>
        <w:contextualSpacing/>
        <w:rPr>
          <w:rFonts w:ascii="宋体" w:hAnsi="宋体" w:cs="宋体"/>
          <w:color w:val="auto"/>
          <w:sz w:val="22"/>
          <w:szCs w:val="22"/>
          <w:highlight w:val="none"/>
        </w:rPr>
      </w:pPr>
      <w:r>
        <w:rPr>
          <w:rFonts w:hint="eastAsia" w:ascii="宋体" w:hAnsi="宋体" w:cs="宋体"/>
          <w:color w:val="auto"/>
          <w:sz w:val="22"/>
          <w:szCs w:val="22"/>
          <w:highlight w:val="none"/>
        </w:rPr>
        <w:t>2.若磋商供应商在规定时间内无法解密或解密失败的，其投标无效。</w:t>
      </w:r>
    </w:p>
    <w:p w14:paraId="2554B76F">
      <w:pPr>
        <w:tabs>
          <w:tab w:val="left" w:pos="1069"/>
          <w:tab w:val="left" w:pos="2352"/>
        </w:tabs>
        <w:snapToGrid w:val="0"/>
        <w:spacing w:line="440" w:lineRule="exact"/>
        <w:ind w:firstLine="446" w:firstLineChars="200"/>
        <w:jc w:val="left"/>
        <w:rPr>
          <w:rFonts w:ascii="宋体" w:hAnsi="宋体" w:cs="宋体"/>
          <w:b/>
          <w:bCs/>
          <w:color w:val="auto"/>
          <w:sz w:val="22"/>
          <w:highlight w:val="none"/>
        </w:rPr>
      </w:pPr>
      <w:r>
        <w:rPr>
          <w:rFonts w:hint="eastAsia" w:ascii="宋体" w:hAnsi="宋体" w:cs="宋体"/>
          <w:b/>
          <w:bCs/>
          <w:color w:val="auto"/>
          <w:sz w:val="22"/>
          <w:highlight w:val="none"/>
          <w:shd w:val="clear" w:color="auto" w:fill="FFFFFF"/>
        </w:rPr>
        <w:t>3.所有二次报价询标流程，均在线上完成，请各供应商务必不要离开电脑太久，并留意手机短信。（请提前检查“政采云”内，关于‘项目采购’的岗位权限是否已勾选上。如有问题，请致电400-881-7190）</w:t>
      </w:r>
    </w:p>
    <w:p w14:paraId="6F75D1C0">
      <w:pPr>
        <w:tabs>
          <w:tab w:val="left" w:pos="1069"/>
          <w:tab w:val="left" w:pos="2352"/>
        </w:tabs>
        <w:snapToGrid w:val="0"/>
        <w:spacing w:line="440" w:lineRule="exact"/>
        <w:ind w:firstLine="446" w:firstLineChars="200"/>
        <w:jc w:val="left"/>
        <w:rPr>
          <w:rFonts w:ascii="宋体" w:hAnsi="宋体" w:cs="宋体"/>
          <w:bCs/>
          <w:color w:val="auto"/>
          <w:sz w:val="22"/>
          <w:highlight w:val="none"/>
        </w:rPr>
      </w:pPr>
      <w:r>
        <w:rPr>
          <w:rFonts w:hint="eastAsia" w:ascii="宋体" w:hAnsi="宋体" w:cs="宋体"/>
          <w:bCs/>
          <w:color w:val="auto"/>
          <w:sz w:val="22"/>
          <w:highlight w:val="none"/>
        </w:rPr>
        <w:t>（二）电子招投标开标及评审程序</w:t>
      </w:r>
    </w:p>
    <w:p w14:paraId="309DBABD">
      <w:pPr>
        <w:tabs>
          <w:tab w:val="left" w:pos="1069"/>
          <w:tab w:val="left" w:pos="2352"/>
        </w:tabs>
        <w:spacing w:line="440" w:lineRule="exact"/>
        <w:ind w:firstLine="446" w:firstLineChars="200"/>
        <w:rPr>
          <w:rFonts w:ascii="宋体" w:hAnsi="宋体" w:cs="宋体"/>
          <w:color w:val="auto"/>
          <w:sz w:val="22"/>
          <w:highlight w:val="none"/>
        </w:rPr>
      </w:pPr>
      <w:r>
        <w:rPr>
          <w:rFonts w:hint="eastAsia" w:ascii="宋体" w:hAnsi="宋体" w:cs="宋体"/>
          <w:bCs/>
          <w:color w:val="auto"/>
          <w:sz w:val="22"/>
          <w:highlight w:val="none"/>
        </w:rPr>
        <w:t>1.磋商会由采购代理机构主持，磋商响应截止时间后，供应商登录政采云平台，用“项目采购-开标评标”功能对电子响应文件进行在线解密，</w:t>
      </w:r>
      <w:r>
        <w:rPr>
          <w:rFonts w:hint="eastAsia" w:ascii="宋体" w:hAnsi="宋体" w:cs="宋体"/>
          <w:color w:val="auto"/>
          <w:sz w:val="22"/>
          <w:highlight w:val="none"/>
        </w:rPr>
        <w:t>各供应商代表在收到解密通知后30分钟内自行完成“电子加密投标文件”的在线解密。</w:t>
      </w:r>
    </w:p>
    <w:p w14:paraId="4075ED6E">
      <w:pPr>
        <w:tabs>
          <w:tab w:val="left" w:pos="1069"/>
          <w:tab w:val="left" w:pos="2352"/>
        </w:tabs>
        <w:spacing w:line="440" w:lineRule="exact"/>
        <w:ind w:firstLine="446" w:firstLineChars="200"/>
        <w:jc w:val="left"/>
        <w:rPr>
          <w:rFonts w:ascii="宋体" w:hAnsi="宋体" w:cs="宋体"/>
          <w:bCs/>
          <w:color w:val="auto"/>
          <w:sz w:val="22"/>
          <w:highlight w:val="none"/>
        </w:rPr>
      </w:pPr>
      <w:r>
        <w:rPr>
          <w:rFonts w:hint="eastAsia" w:ascii="宋体" w:hAnsi="宋体" w:cs="宋体"/>
          <w:color w:val="auto"/>
          <w:kern w:val="0"/>
          <w:sz w:val="22"/>
          <w:highlight w:val="none"/>
        </w:rPr>
        <w:t>2.投标文件解密结束，</w:t>
      </w:r>
      <w:r>
        <w:rPr>
          <w:rFonts w:hint="eastAsia" w:ascii="宋体" w:hAnsi="宋体" w:cs="宋体"/>
          <w:bCs/>
          <w:color w:val="auto"/>
          <w:sz w:val="22"/>
          <w:highlight w:val="none"/>
        </w:rPr>
        <w:t>开启响应文件，磋商小组对资格和商务技术响应文件进行评审；</w:t>
      </w:r>
    </w:p>
    <w:p w14:paraId="4561AA8B">
      <w:pPr>
        <w:tabs>
          <w:tab w:val="left" w:pos="1069"/>
          <w:tab w:val="left" w:pos="2352"/>
        </w:tabs>
        <w:spacing w:line="44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3.供应商按签到的前后顺序决定磋商的顺序，就价格、服务等认为需要磋商的内容进行磋商，</w:t>
      </w:r>
      <w:r>
        <w:rPr>
          <w:rFonts w:hint="eastAsia" w:ascii="宋体" w:hAnsi="宋体" w:cs="宋体"/>
          <w:color w:val="auto"/>
          <w:sz w:val="22"/>
          <w:highlight w:val="none"/>
        </w:rPr>
        <w:t>供应商逐家回答磋商小组的提问，</w:t>
      </w:r>
      <w:r>
        <w:rPr>
          <w:rFonts w:hint="eastAsia" w:ascii="宋体" w:hAnsi="宋体" w:cs="宋体"/>
          <w:bCs/>
          <w:color w:val="auto"/>
          <w:sz w:val="22"/>
          <w:highlight w:val="none"/>
        </w:rPr>
        <w:t>响应人作出最终承诺和最终报价（</w:t>
      </w:r>
      <w:r>
        <w:rPr>
          <w:rFonts w:hint="eastAsia" w:ascii="宋体" w:hAnsi="宋体" w:cs="宋体"/>
          <w:b/>
          <w:color w:val="auto"/>
          <w:sz w:val="22"/>
          <w:highlight w:val="none"/>
          <w:u w:val="single"/>
        </w:rPr>
        <w:t>超过时间未递交最终报价的，以首次报价为准</w:t>
      </w:r>
      <w:r>
        <w:rPr>
          <w:rFonts w:hint="eastAsia" w:ascii="宋体" w:hAnsi="宋体" w:cs="宋体"/>
          <w:bCs/>
          <w:color w:val="auto"/>
          <w:sz w:val="22"/>
          <w:highlight w:val="none"/>
        </w:rPr>
        <w:t>）。</w:t>
      </w:r>
    </w:p>
    <w:p w14:paraId="1B37AF23">
      <w:pPr>
        <w:tabs>
          <w:tab w:val="left" w:pos="1069"/>
          <w:tab w:val="left" w:pos="2352"/>
        </w:tabs>
        <w:snapToGrid w:val="0"/>
        <w:spacing w:line="440" w:lineRule="exact"/>
        <w:ind w:firstLine="446" w:firstLineChars="200"/>
        <w:jc w:val="left"/>
        <w:rPr>
          <w:rFonts w:ascii="宋体" w:hAnsi="宋体" w:cs="宋体"/>
          <w:bCs/>
          <w:color w:val="auto"/>
          <w:sz w:val="22"/>
          <w:highlight w:val="none"/>
        </w:rPr>
      </w:pPr>
      <w:r>
        <w:rPr>
          <w:rFonts w:ascii="宋体" w:hAnsi="宋体" w:cs="宋体"/>
          <w:bCs/>
          <w:color w:val="auto"/>
          <w:sz w:val="22"/>
          <w:highlight w:val="none"/>
        </w:rPr>
        <w:t>4</w:t>
      </w:r>
      <w:r>
        <w:rPr>
          <w:rFonts w:hint="eastAsia" w:ascii="宋体" w:hAnsi="宋体" w:cs="宋体"/>
          <w:bCs/>
          <w:color w:val="auto"/>
          <w:sz w:val="22"/>
          <w:highlight w:val="none"/>
        </w:rPr>
        <w:t>.在系统上公开资格和商务技术评审结果；</w:t>
      </w:r>
    </w:p>
    <w:p w14:paraId="58E0086E">
      <w:pPr>
        <w:tabs>
          <w:tab w:val="left" w:pos="1069"/>
          <w:tab w:val="left" w:pos="2352"/>
        </w:tabs>
        <w:snapToGrid w:val="0"/>
        <w:spacing w:line="440" w:lineRule="exact"/>
        <w:ind w:firstLine="446" w:firstLineChars="200"/>
        <w:jc w:val="left"/>
        <w:rPr>
          <w:rFonts w:ascii="宋体" w:hAnsi="宋体" w:cs="宋体"/>
          <w:bCs/>
          <w:color w:val="auto"/>
          <w:sz w:val="22"/>
          <w:highlight w:val="none"/>
        </w:rPr>
      </w:pPr>
      <w:r>
        <w:rPr>
          <w:rFonts w:ascii="宋体" w:hAnsi="宋体" w:cs="宋体"/>
          <w:bCs/>
          <w:color w:val="auto"/>
          <w:sz w:val="22"/>
          <w:highlight w:val="none"/>
        </w:rPr>
        <w:t>5</w:t>
      </w:r>
      <w:r>
        <w:rPr>
          <w:rFonts w:hint="eastAsia" w:ascii="宋体" w:hAnsi="宋体" w:cs="宋体"/>
          <w:bCs/>
          <w:color w:val="auto"/>
          <w:sz w:val="22"/>
          <w:highlight w:val="none"/>
        </w:rPr>
        <w:t>.在系统上录入最终报价情况；</w:t>
      </w:r>
    </w:p>
    <w:p w14:paraId="048164FA">
      <w:pPr>
        <w:tabs>
          <w:tab w:val="left" w:pos="1069"/>
          <w:tab w:val="left" w:pos="2352"/>
        </w:tabs>
        <w:snapToGrid w:val="0"/>
        <w:spacing w:line="440" w:lineRule="exact"/>
        <w:ind w:firstLine="446" w:firstLineChars="200"/>
        <w:jc w:val="left"/>
        <w:rPr>
          <w:rFonts w:ascii="宋体" w:hAnsi="宋体" w:cs="宋体"/>
          <w:bCs/>
          <w:color w:val="auto"/>
          <w:sz w:val="22"/>
          <w:highlight w:val="none"/>
        </w:rPr>
      </w:pPr>
      <w:r>
        <w:rPr>
          <w:rFonts w:ascii="宋体" w:hAnsi="宋体" w:cs="宋体"/>
          <w:bCs/>
          <w:color w:val="auto"/>
          <w:sz w:val="22"/>
          <w:highlight w:val="none"/>
        </w:rPr>
        <w:t>6</w:t>
      </w:r>
      <w:r>
        <w:rPr>
          <w:rFonts w:hint="eastAsia" w:ascii="宋体" w:hAnsi="宋体" w:cs="宋体"/>
          <w:bCs/>
          <w:color w:val="auto"/>
          <w:sz w:val="22"/>
          <w:highlight w:val="none"/>
        </w:rPr>
        <w:t>.磋商小组对报价情况进行评审；</w:t>
      </w:r>
    </w:p>
    <w:p w14:paraId="5D0211B0">
      <w:pPr>
        <w:tabs>
          <w:tab w:val="left" w:pos="1069"/>
          <w:tab w:val="left" w:pos="2352"/>
        </w:tabs>
        <w:snapToGrid w:val="0"/>
        <w:spacing w:line="440" w:lineRule="exact"/>
        <w:ind w:firstLine="446" w:firstLineChars="200"/>
        <w:jc w:val="left"/>
        <w:rPr>
          <w:rFonts w:ascii="宋体" w:hAnsi="宋体" w:cs="宋体"/>
          <w:color w:val="auto"/>
          <w:sz w:val="22"/>
          <w:highlight w:val="none"/>
        </w:rPr>
      </w:pPr>
      <w:r>
        <w:rPr>
          <w:rFonts w:ascii="宋体" w:hAnsi="宋体" w:cs="宋体"/>
          <w:bCs/>
          <w:color w:val="auto"/>
          <w:sz w:val="22"/>
          <w:highlight w:val="none"/>
        </w:rPr>
        <w:t>7</w:t>
      </w:r>
      <w:r>
        <w:rPr>
          <w:rFonts w:hint="eastAsia" w:ascii="宋体" w:hAnsi="宋体" w:cs="宋体"/>
          <w:bCs/>
          <w:color w:val="auto"/>
          <w:sz w:val="22"/>
          <w:highlight w:val="none"/>
        </w:rPr>
        <w:t>.在系统上公布评审结果。</w:t>
      </w:r>
    </w:p>
    <w:p w14:paraId="3E4F9BC6">
      <w:pPr>
        <w:pStyle w:val="10"/>
        <w:tabs>
          <w:tab w:val="left" w:pos="1069"/>
          <w:tab w:val="left" w:pos="2352"/>
        </w:tabs>
        <w:adjustRightInd w:val="0"/>
        <w:spacing w:line="400" w:lineRule="exact"/>
        <w:ind w:firstLine="446" w:firstLineChars="200"/>
        <w:rPr>
          <w:rFonts w:hAnsi="宋体" w:cs="宋体"/>
          <w:b/>
          <w:bCs/>
          <w:color w:val="auto"/>
          <w:sz w:val="22"/>
          <w:szCs w:val="22"/>
          <w:highlight w:val="none"/>
        </w:rPr>
      </w:pPr>
      <w:r>
        <w:rPr>
          <w:rFonts w:hint="eastAsia" w:hAnsi="宋体" w:cs="宋体"/>
          <w:b/>
          <w:bCs/>
          <w:color w:val="auto"/>
          <w:sz w:val="22"/>
          <w:szCs w:val="22"/>
          <w:highlight w:val="none"/>
        </w:rPr>
        <w:t>特别说明：政采云公司如对电子化开标及评审程序有调整的，按调整后的程序操作。</w:t>
      </w:r>
    </w:p>
    <w:p w14:paraId="02F7B73B">
      <w:pPr>
        <w:tabs>
          <w:tab w:val="left" w:pos="1069"/>
          <w:tab w:val="left" w:pos="2352"/>
        </w:tabs>
        <w:adjustRightInd w:val="0"/>
        <w:snapToGrid w:val="0"/>
        <w:spacing w:line="400" w:lineRule="atLeast"/>
        <w:ind w:firstLine="438" w:firstLineChars="197"/>
        <w:rPr>
          <w:rFonts w:ascii="宋体" w:hAnsi="宋体" w:cs="宋体"/>
          <w:color w:val="auto"/>
          <w:highlight w:val="none"/>
        </w:rPr>
      </w:pPr>
      <w:r>
        <w:rPr>
          <w:rFonts w:hint="eastAsia" w:ascii="宋体" w:hAnsi="宋体" w:cs="宋体"/>
          <w:color w:val="auto"/>
          <w:sz w:val="22"/>
          <w:highlight w:val="none"/>
        </w:rPr>
        <w:t>▲</w:t>
      </w:r>
      <w:r>
        <w:rPr>
          <w:rFonts w:hint="eastAsia" w:ascii="宋体" w:hAnsi="宋体" w:cs="宋体"/>
          <w:b/>
          <w:bCs/>
          <w:color w:val="auto"/>
          <w:sz w:val="22"/>
          <w:highlight w:val="none"/>
        </w:rPr>
        <w:t>供应商政采云系统填写报价和电子投标文件（开标（报价）一览表）中填写不一致的，以电子投标文件（开标（报价）一览表）为准，如果不接受调整价格的做废标处理。</w:t>
      </w:r>
    </w:p>
    <w:p w14:paraId="220C5993">
      <w:pPr>
        <w:pStyle w:val="10"/>
        <w:tabs>
          <w:tab w:val="left" w:pos="1069"/>
          <w:tab w:val="left" w:pos="2352"/>
        </w:tabs>
        <w:adjustRightInd w:val="0"/>
        <w:spacing w:line="400" w:lineRule="exact"/>
        <w:ind w:firstLine="446" w:firstLineChars="200"/>
        <w:rPr>
          <w:rFonts w:hAnsi="宋体" w:cs="宋体"/>
          <w:b/>
          <w:bCs/>
          <w:color w:val="auto"/>
          <w:sz w:val="22"/>
          <w:szCs w:val="22"/>
          <w:highlight w:val="none"/>
        </w:rPr>
      </w:pPr>
    </w:p>
    <w:p w14:paraId="10341F3D">
      <w:pPr>
        <w:pStyle w:val="10"/>
        <w:tabs>
          <w:tab w:val="left" w:pos="1069"/>
          <w:tab w:val="left" w:pos="2352"/>
        </w:tabs>
        <w:adjustRightInd w:val="0"/>
        <w:spacing w:line="400" w:lineRule="exact"/>
        <w:ind w:firstLine="446" w:firstLineChars="200"/>
        <w:rPr>
          <w:rFonts w:hAnsi="宋体" w:cs="宋体"/>
          <w:b/>
          <w:bCs/>
          <w:color w:val="auto"/>
          <w:sz w:val="22"/>
          <w:highlight w:val="none"/>
        </w:rPr>
      </w:pPr>
      <w:r>
        <w:rPr>
          <w:rFonts w:hint="eastAsia" w:hAnsi="宋体" w:cs="宋体"/>
          <w:color w:val="auto"/>
          <w:sz w:val="22"/>
          <w:highlight w:val="none"/>
        </w:rPr>
        <w:t>2.评标</w:t>
      </w:r>
    </w:p>
    <w:p w14:paraId="152CBBD2">
      <w:pPr>
        <w:pStyle w:val="10"/>
        <w:tabs>
          <w:tab w:val="left" w:pos="1069"/>
          <w:tab w:val="left" w:pos="2352"/>
        </w:tabs>
        <w:adjustRightInd w:val="0"/>
        <w:spacing w:line="400" w:lineRule="exact"/>
        <w:ind w:firstLine="446" w:firstLineChars="200"/>
        <w:rPr>
          <w:rFonts w:hAnsi="宋体" w:cs="宋体"/>
          <w:b/>
          <w:bCs/>
          <w:color w:val="auto"/>
          <w:sz w:val="22"/>
          <w:highlight w:val="none"/>
        </w:rPr>
      </w:pPr>
      <w:r>
        <w:rPr>
          <w:rFonts w:hint="eastAsia" w:hAnsi="宋体" w:cs="宋体"/>
          <w:color w:val="auto"/>
          <w:sz w:val="22"/>
          <w:highlight w:val="none"/>
        </w:rPr>
        <w:t>2.1 评标由采购人依法组建的评审小组负责，并独立履行下列职责：</w:t>
      </w:r>
    </w:p>
    <w:p w14:paraId="349CFD4C">
      <w:pPr>
        <w:tabs>
          <w:tab w:val="left" w:pos="1069"/>
          <w:tab w:val="left" w:pos="2352"/>
        </w:tabs>
        <w:spacing w:line="400" w:lineRule="exact"/>
        <w:ind w:firstLine="436" w:firstLineChars="196"/>
        <w:rPr>
          <w:rFonts w:ascii="宋体" w:hAnsi="宋体" w:cs="宋体"/>
          <w:color w:val="auto"/>
          <w:sz w:val="22"/>
          <w:highlight w:val="none"/>
        </w:rPr>
      </w:pPr>
      <w:bookmarkStart w:id="34" w:name="_Toc2500_WPSOffice_Level3"/>
      <w:r>
        <w:rPr>
          <w:rFonts w:hint="eastAsia" w:ascii="宋体" w:hAnsi="宋体" w:cs="宋体"/>
          <w:color w:val="auto"/>
          <w:sz w:val="22"/>
          <w:highlight w:val="none"/>
        </w:rPr>
        <w:t>1）审查投标（响应）文件是否符合竞争性磋商文件要求，并作出评价；</w:t>
      </w:r>
      <w:bookmarkEnd w:id="34"/>
    </w:p>
    <w:p w14:paraId="01A57D36">
      <w:pPr>
        <w:tabs>
          <w:tab w:val="left" w:pos="1069"/>
          <w:tab w:val="left" w:pos="2352"/>
        </w:tabs>
        <w:spacing w:line="400" w:lineRule="exact"/>
        <w:ind w:firstLine="446" w:firstLineChars="200"/>
        <w:rPr>
          <w:rFonts w:ascii="宋体" w:hAnsi="宋体" w:cs="宋体"/>
          <w:color w:val="auto"/>
          <w:sz w:val="22"/>
          <w:highlight w:val="none"/>
        </w:rPr>
      </w:pPr>
      <w:bookmarkStart w:id="35" w:name="_Toc20806_WPSOffice_Level3"/>
      <w:r>
        <w:rPr>
          <w:rFonts w:hint="eastAsia" w:ascii="宋体" w:hAnsi="宋体" w:cs="宋体"/>
          <w:color w:val="auto"/>
          <w:sz w:val="22"/>
          <w:highlight w:val="none"/>
        </w:rPr>
        <w:t>2）要求供应商对投标（响应）文件有关事项作出解释或者澄清；</w:t>
      </w:r>
      <w:bookmarkEnd w:id="35"/>
    </w:p>
    <w:p w14:paraId="79592E09">
      <w:pPr>
        <w:tabs>
          <w:tab w:val="left" w:pos="1069"/>
          <w:tab w:val="left" w:pos="2352"/>
        </w:tabs>
        <w:spacing w:line="400" w:lineRule="exact"/>
        <w:ind w:firstLine="446" w:firstLineChars="200"/>
        <w:rPr>
          <w:rFonts w:ascii="宋体" w:hAnsi="宋体" w:cs="宋体"/>
          <w:color w:val="auto"/>
          <w:sz w:val="22"/>
          <w:highlight w:val="none"/>
        </w:rPr>
      </w:pPr>
      <w:bookmarkStart w:id="36" w:name="_Toc12689_WPSOffice_Level3"/>
      <w:r>
        <w:rPr>
          <w:rFonts w:hint="eastAsia" w:ascii="宋体" w:hAnsi="宋体" w:cs="宋体"/>
          <w:color w:val="auto"/>
          <w:sz w:val="22"/>
          <w:highlight w:val="none"/>
        </w:rPr>
        <w:t>3）按照竞争性磋商文件确定的评标办法直接确定中标（成交）供应商；</w:t>
      </w:r>
      <w:bookmarkEnd w:id="36"/>
    </w:p>
    <w:p w14:paraId="1A1CC9CC">
      <w:pPr>
        <w:pStyle w:val="10"/>
        <w:tabs>
          <w:tab w:val="left" w:pos="1069"/>
          <w:tab w:val="left" w:pos="2352"/>
        </w:tabs>
        <w:adjustRightInd w:val="0"/>
        <w:spacing w:line="400" w:lineRule="exact"/>
        <w:ind w:firstLine="436" w:firstLineChars="196"/>
        <w:rPr>
          <w:rFonts w:hAnsi="宋体" w:cs="宋体"/>
          <w:b/>
          <w:bCs/>
          <w:color w:val="auto"/>
          <w:sz w:val="22"/>
          <w:highlight w:val="none"/>
        </w:rPr>
      </w:pPr>
      <w:bookmarkStart w:id="37" w:name="_Toc20017_WPSOffice_Level3"/>
      <w:r>
        <w:rPr>
          <w:rFonts w:hint="eastAsia" w:hAnsi="宋体" w:cs="宋体"/>
          <w:color w:val="auto"/>
          <w:sz w:val="22"/>
          <w:highlight w:val="none"/>
        </w:rPr>
        <w:t>4）向采购人或者有关部门报告非法干预评标工作的行为。</w:t>
      </w:r>
      <w:bookmarkEnd w:id="37"/>
    </w:p>
    <w:p w14:paraId="5D74344E">
      <w:pPr>
        <w:tabs>
          <w:tab w:val="left" w:pos="1069"/>
          <w:tab w:val="left" w:pos="2352"/>
        </w:tabs>
        <w:spacing w:line="400" w:lineRule="exact"/>
        <w:ind w:firstLine="436" w:firstLineChars="196"/>
        <w:rPr>
          <w:rFonts w:ascii="宋体" w:hAnsi="宋体" w:cs="宋体"/>
          <w:color w:val="auto"/>
          <w:sz w:val="22"/>
          <w:highlight w:val="none"/>
        </w:rPr>
      </w:pPr>
      <w:r>
        <w:rPr>
          <w:rFonts w:hint="eastAsia" w:ascii="宋体" w:hAnsi="宋体" w:cs="宋体"/>
          <w:color w:val="auto"/>
          <w:sz w:val="22"/>
          <w:highlight w:val="none"/>
        </w:rPr>
        <w:t>2.2 评标应当遵循下列工作程序：</w:t>
      </w:r>
    </w:p>
    <w:p w14:paraId="2D5962DF">
      <w:pPr>
        <w:tabs>
          <w:tab w:val="left" w:pos="1069"/>
          <w:tab w:val="left" w:pos="2352"/>
        </w:tabs>
        <w:spacing w:line="400" w:lineRule="exact"/>
        <w:rPr>
          <w:rFonts w:ascii="宋体" w:hAnsi="宋体" w:cs="宋体"/>
          <w:color w:val="auto"/>
          <w:sz w:val="22"/>
          <w:highlight w:val="none"/>
        </w:rPr>
      </w:pPr>
      <w:r>
        <w:rPr>
          <w:rFonts w:hint="eastAsia" w:ascii="宋体" w:hAnsi="宋体" w:cs="宋体"/>
          <w:color w:val="auto"/>
          <w:sz w:val="22"/>
          <w:highlight w:val="none"/>
        </w:rPr>
        <w:t xml:space="preserve">    1）投标（响应）文件初审。初审分为资格性检查和符合性检查。</w:t>
      </w:r>
    </w:p>
    <w:p w14:paraId="00751BC6">
      <w:pPr>
        <w:tabs>
          <w:tab w:val="left" w:pos="1069"/>
          <w:tab w:val="left" w:pos="2352"/>
        </w:tabs>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（1)资格性检查。由采购人代表或招标代理机构对供应商资格进行审查。依据法律法规和竞争性磋商文件的规定，对投标（响应）文件中的资格证明文件等进行审查，以确定供应商是否具备投标资格。</w:t>
      </w:r>
    </w:p>
    <w:p w14:paraId="4D35898F">
      <w:pPr>
        <w:tabs>
          <w:tab w:val="left" w:pos="1069"/>
          <w:tab w:val="left" w:pos="2352"/>
        </w:tabs>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（2)符合性检查。评审小组依据竞争性磋商文件的规定，从投标（响应）文件的有效性、完整性和对竞争性磋商文件的响应程度进行审查，以确定是否对竞争性磋商文件的实质性要求作出响应。</w:t>
      </w:r>
    </w:p>
    <w:p w14:paraId="23E94DD5">
      <w:pPr>
        <w:tabs>
          <w:tab w:val="left" w:pos="1069"/>
          <w:tab w:val="left" w:pos="2352"/>
        </w:tabs>
        <w:spacing w:line="400" w:lineRule="exact"/>
        <w:ind w:firstLine="440"/>
        <w:rPr>
          <w:rFonts w:ascii="宋体" w:hAnsi="宋体" w:cs="宋体"/>
          <w:color w:val="auto"/>
          <w:sz w:val="22"/>
          <w:highlight w:val="none"/>
        </w:rPr>
      </w:pPr>
      <w:r>
        <w:rPr>
          <w:rFonts w:hint="eastAsia" w:ascii="宋体" w:hAnsi="宋体" w:cs="宋体"/>
          <w:color w:val="auto"/>
          <w:sz w:val="22"/>
          <w:highlight w:val="none"/>
        </w:rPr>
        <w:t>2）评审小组可以根据供应商投标（响应）文件情况，经采购人确认，调整竞争性磋商文件及采购方案，在统一采购要求的基础上，要求所有有效供应商重新修正投标（响应）文件及进行多轮次报价。</w:t>
      </w:r>
    </w:p>
    <w:p w14:paraId="2B8EB6B4">
      <w:pPr>
        <w:tabs>
          <w:tab w:val="left" w:pos="1069"/>
          <w:tab w:val="left" w:pos="2352"/>
        </w:tabs>
        <w:spacing w:line="400" w:lineRule="exact"/>
        <w:ind w:firstLine="440"/>
        <w:rPr>
          <w:rFonts w:ascii="宋体" w:hAnsi="宋体" w:cs="宋体"/>
          <w:color w:val="auto"/>
          <w:sz w:val="22"/>
          <w:highlight w:val="none"/>
        </w:rPr>
      </w:pPr>
      <w:r>
        <w:rPr>
          <w:rFonts w:hint="eastAsia" w:ascii="宋体" w:hAnsi="宋体" w:cs="宋体"/>
          <w:color w:val="auto"/>
          <w:sz w:val="22"/>
          <w:highlight w:val="none"/>
        </w:rPr>
        <w:t>3）评价。按竞争性磋商文件中规定的评标方法和标准，对资格性检查和符合性检查合格的投标（响应）文件进行商务和技术评估，综合评价。</w:t>
      </w:r>
    </w:p>
    <w:p w14:paraId="5FB3F288">
      <w:pPr>
        <w:tabs>
          <w:tab w:val="left" w:pos="1069"/>
          <w:tab w:val="left" w:pos="2352"/>
        </w:tabs>
        <w:spacing w:line="400" w:lineRule="exact"/>
        <w:ind w:firstLine="440"/>
        <w:rPr>
          <w:rFonts w:ascii="宋体" w:hAnsi="宋体" w:cs="宋体"/>
          <w:color w:val="auto"/>
          <w:sz w:val="22"/>
          <w:highlight w:val="none"/>
        </w:rPr>
      </w:pPr>
      <w:r>
        <w:rPr>
          <w:rFonts w:hint="eastAsia" w:ascii="宋体" w:hAnsi="宋体" w:cs="宋体"/>
          <w:color w:val="auto"/>
          <w:sz w:val="22"/>
          <w:highlight w:val="none"/>
        </w:rPr>
        <w:t>4）推荐中标（成交）供应商候选人名单，并根据采购人的授权确定中标（成交）供应商。</w:t>
      </w:r>
    </w:p>
    <w:p w14:paraId="29F085CD">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rPr>
        <w:t xml:space="preserve">2.3 </w:t>
      </w:r>
      <w:r>
        <w:rPr>
          <w:rFonts w:hint="eastAsia" w:hAnsi="宋体" w:cs="宋体"/>
          <w:color w:val="auto"/>
          <w:sz w:val="22"/>
          <w:highlight w:val="none"/>
          <w:u w:val="single"/>
        </w:rPr>
        <w:t>▲供应商存在下列情况之一的，报价无效:</w:t>
      </w:r>
    </w:p>
    <w:p w14:paraId="62BCEE26">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1）投标（响应）文件未按竞争性磋商文件要求签署、盖章的；</w:t>
      </w:r>
    </w:p>
    <w:p w14:paraId="5B330684">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2）不具备竞争性磋商文件中规定的资格要求的；</w:t>
      </w:r>
    </w:p>
    <w:p w14:paraId="4CFE6B3B">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3）最终报价超过竞争性磋商文件中规定的预算金额或者最高限价的；</w:t>
      </w:r>
    </w:p>
    <w:p w14:paraId="44BEEE08">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4）投标（响应）文件含有采购人不能接受的附加条件的（包括竞争性磋商文件中明确要求不得偏离的招标要求，存在负偏离的）;</w:t>
      </w:r>
    </w:p>
    <w:p w14:paraId="55320F0A">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5）对关键条文的偏离、保留或反对，例如关于付款方式、完工期（服务期）、免费质保期、适用法律法规、标准、税费等其他内容；</w:t>
      </w:r>
    </w:p>
    <w:p w14:paraId="12D10FF5">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6）存在串标、抬标或弄虚作假情况的；</w:t>
      </w:r>
    </w:p>
    <w:p w14:paraId="7E859F15">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7）法律、法规和竞争性磋商文件规定的其他无效情形（或出现重大偏差）。</w:t>
      </w:r>
    </w:p>
    <w:p w14:paraId="2B0093E6">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rPr>
        <w:t xml:space="preserve">2.4 </w:t>
      </w:r>
      <w:r>
        <w:rPr>
          <w:rFonts w:hint="eastAsia" w:hAnsi="宋体" w:cs="宋体"/>
          <w:color w:val="auto"/>
          <w:sz w:val="22"/>
          <w:highlight w:val="none"/>
          <w:u w:val="single"/>
        </w:rPr>
        <w:t>▲评审小组发现投标（响应）文件有下列情形之一的属于重大偏差(评审小组按少数服从多数原则认定),按照无效投标处理：</w:t>
      </w:r>
    </w:p>
    <w:p w14:paraId="7E446883">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1）未按竞争性磋商文件要求编制或字迹模糊、辨认不清的投标（响应）文件；</w:t>
      </w:r>
    </w:p>
    <w:p w14:paraId="383CCF4D">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2）除2.3条款以外，出现其它明显不符合采购要求的投标（响应）文件；</w:t>
      </w:r>
    </w:p>
    <w:p w14:paraId="037C3FEA">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rPr>
      </w:pPr>
      <w:r>
        <w:rPr>
          <w:rFonts w:hint="eastAsia" w:hAnsi="宋体" w:cs="宋体"/>
          <w:color w:val="auto"/>
          <w:sz w:val="22"/>
          <w:highlight w:val="none"/>
          <w:u w:val="single"/>
        </w:rPr>
        <w:t>3）除2.3条款以外，出现其它不符合竞争性磋商文件中规定的实质性要求的投标（响应）文件，是否为偏离实质性要求由评审小组认定。</w:t>
      </w:r>
    </w:p>
    <w:p w14:paraId="786FB9B6">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rPr>
        <w:t>2.5</w:t>
      </w:r>
      <w:r>
        <w:rPr>
          <w:rFonts w:hint="eastAsia" w:hAnsi="宋体" w:cs="宋体"/>
          <w:color w:val="auto"/>
          <w:sz w:val="22"/>
          <w:highlight w:val="none"/>
          <w:u w:val="single"/>
        </w:rPr>
        <w:t>▲评审小组认为供应商的最终报价明显低于其他有效供应商的最终报价，有可能影响采购质量或者不能诚信履约的，应当要求其在合理的时间内提供说明，必要时提交相关证明材料；供应商不能证明其报价合理性的，评审小组应当将其作为无效投标处理。</w:t>
      </w:r>
    </w:p>
    <w:p w14:paraId="1BB4394A">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rPr>
      </w:pPr>
      <w:r>
        <w:rPr>
          <w:rFonts w:hint="eastAsia" w:hAnsi="宋体" w:cs="宋体"/>
          <w:color w:val="auto"/>
          <w:sz w:val="22"/>
          <w:highlight w:val="none"/>
        </w:rPr>
        <w:t>2.6 评审小组在评标中，不得改变竞争性磋商文件中规定的评标标准、方法和中标(成交)条件。</w:t>
      </w:r>
    </w:p>
    <w:p w14:paraId="019BF1A2">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2.7 评标时如遇到竞争性磋商文件未规定的特殊情况，由评审小组按少数服从多数原则集体决定处理。</w:t>
      </w:r>
    </w:p>
    <w:p w14:paraId="17762EE2">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2.8评审小组对未中标(成交)的供应商不作解释。同时根据政府采购法实施条例第四十条规定，本项目不对供应商公布详细的评审情况，不公布具体评标细则中小项得分。</w:t>
      </w:r>
    </w:p>
    <w:p w14:paraId="5130BF1B">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rPr>
      </w:pPr>
      <w:r>
        <w:rPr>
          <w:rFonts w:hint="eastAsia" w:hAnsi="宋体" w:cs="宋体"/>
          <w:b/>
          <w:bCs/>
          <w:color w:val="auto"/>
          <w:sz w:val="22"/>
          <w:highlight w:val="none"/>
        </w:rPr>
        <w:t>2.9</w:t>
      </w:r>
      <w:r>
        <w:rPr>
          <w:rFonts w:hint="eastAsia" w:hAnsi="宋体" w:cs="宋体"/>
          <w:b/>
          <w:bCs/>
          <w:color w:val="auto"/>
          <w:sz w:val="22"/>
          <w:highlight w:val="none"/>
          <w:u w:val="single"/>
        </w:rPr>
        <w:t>符合资格条件的投标供应商不足三家的不予开标。如进入磋商过程中，符合采购人技术等方面要求的供应商为2家的，根据评审小组意见，可以流标；也可以按财政部《关于政府采购竞争性磋商采购方式管理暂行办法有关问题的补充通知【财库〔2015〕124号】》文件规定执行</w:t>
      </w:r>
      <w:r>
        <w:rPr>
          <w:rFonts w:hint="eastAsia" w:hAnsi="宋体" w:cs="宋体"/>
          <w:b/>
          <w:bCs/>
          <w:color w:val="auto"/>
          <w:sz w:val="22"/>
          <w:highlight w:val="none"/>
        </w:rPr>
        <w:t>。</w:t>
      </w:r>
    </w:p>
    <w:p w14:paraId="70590551">
      <w:pPr>
        <w:pStyle w:val="10"/>
        <w:tabs>
          <w:tab w:val="left" w:pos="1069"/>
          <w:tab w:val="left" w:pos="2352"/>
        </w:tabs>
        <w:adjustRightInd w:val="0"/>
        <w:snapToGrid w:val="0"/>
        <w:spacing w:line="400" w:lineRule="exact"/>
        <w:ind w:firstLine="446" w:firstLineChars="200"/>
        <w:rPr>
          <w:rFonts w:hAnsi="宋体" w:cs="宋体"/>
          <w:b/>
          <w:bCs/>
          <w:color w:val="auto"/>
          <w:sz w:val="22"/>
          <w:highlight w:val="none"/>
        </w:rPr>
      </w:pPr>
      <w:r>
        <w:rPr>
          <w:rFonts w:hint="eastAsia" w:hAnsi="宋体" w:cs="宋体"/>
          <w:color w:val="auto"/>
          <w:sz w:val="22"/>
          <w:highlight w:val="none"/>
        </w:rPr>
        <w:t>3.投标（响应）文件的澄清</w:t>
      </w:r>
    </w:p>
    <w:p w14:paraId="7B88D543">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为有利于对投标（响应）文件的评议，必要时采购人及评审小组可要求供应商对投标（响应）文件及合同条款进行澄清，并做出答复。答复须有授权代表签字并作为报价内容的一部分。</w:t>
      </w:r>
    </w:p>
    <w:p w14:paraId="07CF983E">
      <w:pPr>
        <w:pStyle w:val="10"/>
        <w:tabs>
          <w:tab w:val="left" w:pos="1069"/>
          <w:tab w:val="left" w:pos="2352"/>
        </w:tabs>
        <w:adjustRightInd w:val="0"/>
        <w:spacing w:line="400" w:lineRule="exact"/>
        <w:ind w:left="443" w:leftChars="208"/>
        <w:rPr>
          <w:rFonts w:hAnsi="宋体" w:cs="宋体"/>
          <w:color w:val="auto"/>
          <w:sz w:val="22"/>
          <w:highlight w:val="none"/>
        </w:rPr>
      </w:pPr>
      <w:r>
        <w:rPr>
          <w:rFonts w:hint="eastAsia" w:hAnsi="宋体" w:cs="宋体"/>
          <w:color w:val="auto"/>
          <w:sz w:val="22"/>
          <w:highlight w:val="none"/>
        </w:rPr>
        <w:t>4.有下列情形之一的，视为供应商相互串通投标：</w:t>
      </w:r>
    </w:p>
    <w:p w14:paraId="64C9EA9B">
      <w:pPr>
        <w:pStyle w:val="10"/>
        <w:tabs>
          <w:tab w:val="left" w:pos="1069"/>
          <w:tab w:val="left" w:pos="2352"/>
        </w:tabs>
        <w:adjustRightInd w:val="0"/>
        <w:spacing w:line="400" w:lineRule="exact"/>
        <w:ind w:left="443" w:leftChars="208"/>
        <w:rPr>
          <w:rFonts w:hAnsi="宋体" w:cs="宋体"/>
          <w:color w:val="auto"/>
          <w:sz w:val="22"/>
          <w:highlight w:val="none"/>
        </w:rPr>
      </w:pPr>
      <w:r>
        <w:rPr>
          <w:rFonts w:hint="eastAsia" w:hAnsi="宋体" w:cs="宋体"/>
          <w:color w:val="auto"/>
          <w:sz w:val="22"/>
          <w:highlight w:val="none"/>
        </w:rPr>
        <w:t>4.1不同供应商的投标（响应）文件由同一单位或者个人编制；</w:t>
      </w:r>
    </w:p>
    <w:p w14:paraId="12E90CAB">
      <w:pPr>
        <w:pStyle w:val="10"/>
        <w:tabs>
          <w:tab w:val="left" w:pos="1069"/>
          <w:tab w:val="left" w:pos="2352"/>
        </w:tabs>
        <w:adjustRightInd w:val="0"/>
        <w:spacing w:line="400" w:lineRule="exact"/>
        <w:ind w:left="443" w:leftChars="208"/>
        <w:rPr>
          <w:rFonts w:hAnsi="宋体" w:cs="宋体"/>
          <w:color w:val="auto"/>
          <w:sz w:val="22"/>
          <w:highlight w:val="none"/>
        </w:rPr>
      </w:pPr>
      <w:r>
        <w:rPr>
          <w:rFonts w:hint="eastAsia" w:hAnsi="宋体" w:cs="宋体"/>
          <w:color w:val="auto"/>
          <w:sz w:val="22"/>
          <w:highlight w:val="none"/>
        </w:rPr>
        <w:t>4.2不同供应商委托同一单位或者个人办理投标事宜；</w:t>
      </w:r>
    </w:p>
    <w:p w14:paraId="660987ED">
      <w:pPr>
        <w:pStyle w:val="10"/>
        <w:tabs>
          <w:tab w:val="left" w:pos="1069"/>
          <w:tab w:val="left" w:pos="2352"/>
        </w:tabs>
        <w:adjustRightInd w:val="0"/>
        <w:spacing w:line="400" w:lineRule="exact"/>
        <w:ind w:left="443" w:leftChars="208"/>
        <w:rPr>
          <w:rFonts w:hAnsi="宋体" w:cs="宋体"/>
          <w:color w:val="auto"/>
          <w:sz w:val="22"/>
          <w:highlight w:val="none"/>
        </w:rPr>
      </w:pPr>
      <w:r>
        <w:rPr>
          <w:rFonts w:hint="eastAsia" w:hAnsi="宋体" w:cs="宋体"/>
          <w:color w:val="auto"/>
          <w:sz w:val="22"/>
          <w:highlight w:val="none"/>
        </w:rPr>
        <w:t>4.3不同供应商的投标（响应）文件载明的项目管理成员为同一人；</w:t>
      </w:r>
    </w:p>
    <w:p w14:paraId="65790DC3">
      <w:pPr>
        <w:pStyle w:val="10"/>
        <w:tabs>
          <w:tab w:val="left" w:pos="1069"/>
          <w:tab w:val="left" w:pos="2352"/>
        </w:tabs>
        <w:adjustRightInd w:val="0"/>
        <w:spacing w:line="400" w:lineRule="exact"/>
        <w:ind w:left="443" w:leftChars="208"/>
        <w:rPr>
          <w:rFonts w:hAnsi="宋体" w:cs="宋体"/>
          <w:color w:val="auto"/>
          <w:sz w:val="22"/>
          <w:highlight w:val="none"/>
        </w:rPr>
      </w:pPr>
      <w:r>
        <w:rPr>
          <w:rFonts w:hint="eastAsia" w:hAnsi="宋体" w:cs="宋体"/>
          <w:color w:val="auto"/>
          <w:sz w:val="22"/>
          <w:highlight w:val="none"/>
        </w:rPr>
        <w:t>4.4不同供应商的投标（响应）文件异常一致或者投标报价呈规律性差异；</w:t>
      </w:r>
    </w:p>
    <w:p w14:paraId="6032B54D">
      <w:pPr>
        <w:pStyle w:val="10"/>
        <w:tabs>
          <w:tab w:val="left" w:pos="1069"/>
          <w:tab w:val="left" w:pos="2352"/>
        </w:tabs>
        <w:adjustRightInd w:val="0"/>
        <w:spacing w:line="400" w:lineRule="exact"/>
        <w:ind w:left="443" w:leftChars="208"/>
        <w:rPr>
          <w:rFonts w:hAnsi="宋体" w:cs="宋体"/>
          <w:color w:val="auto"/>
          <w:sz w:val="22"/>
          <w:highlight w:val="none"/>
        </w:rPr>
      </w:pPr>
      <w:r>
        <w:rPr>
          <w:rFonts w:hint="eastAsia" w:hAnsi="宋体" w:cs="宋体"/>
          <w:color w:val="auto"/>
          <w:sz w:val="22"/>
          <w:highlight w:val="none"/>
        </w:rPr>
        <w:t>4.5不同供应商的投标（响应）文件相互混装；</w:t>
      </w:r>
    </w:p>
    <w:p w14:paraId="4FCCA418">
      <w:pPr>
        <w:pStyle w:val="10"/>
        <w:tabs>
          <w:tab w:val="left" w:pos="1069"/>
          <w:tab w:val="left" w:pos="2352"/>
        </w:tabs>
        <w:adjustRightInd w:val="0"/>
        <w:spacing w:line="400" w:lineRule="exact"/>
        <w:ind w:left="443" w:leftChars="208"/>
        <w:rPr>
          <w:rFonts w:hAnsi="宋体" w:cs="宋体"/>
          <w:b/>
          <w:bCs/>
          <w:color w:val="auto"/>
          <w:sz w:val="22"/>
          <w:highlight w:val="none"/>
        </w:rPr>
      </w:pPr>
      <w:r>
        <w:rPr>
          <w:rFonts w:hint="eastAsia" w:hAnsi="宋体" w:cs="宋体"/>
          <w:color w:val="auto"/>
          <w:sz w:val="22"/>
          <w:highlight w:val="none"/>
        </w:rPr>
        <w:t>4.6经评审小组认定供应商进行串通投标的，评审小组可以对相关供应商做出无效报价处理，并上报政府采购管理部门进行进一步处理。</w:t>
      </w:r>
    </w:p>
    <w:p w14:paraId="21FA8604">
      <w:pPr>
        <w:pStyle w:val="10"/>
        <w:adjustRightInd w:val="0"/>
        <w:spacing w:line="400" w:lineRule="exact"/>
        <w:ind w:left="443" w:leftChars="208"/>
        <w:rPr>
          <w:rFonts w:hint="eastAsia" w:ascii="宋体" w:eastAsia="宋体" w:cs="宋体"/>
          <w:b/>
          <w:bCs/>
          <w:color w:val="auto"/>
          <w:sz w:val="22"/>
          <w:highlight w:val="none"/>
          <w:u w:val="single"/>
          <w:lang w:val="en-US" w:eastAsia="zh-CN"/>
        </w:rPr>
      </w:pPr>
      <w:r>
        <w:rPr>
          <w:rFonts w:hint="eastAsia" w:hAnsi="宋体" w:cs="宋体"/>
          <w:color w:val="auto"/>
          <w:sz w:val="22"/>
          <w:highlight w:val="none"/>
        </w:rPr>
        <w:t>5.</w:t>
      </w:r>
      <w:r>
        <w:rPr>
          <w:rFonts w:hint="eastAsia" w:ascii="宋体" w:eastAsia="宋体" w:cs="宋体"/>
          <w:b/>
          <w:bCs/>
          <w:color w:val="auto"/>
          <w:sz w:val="22"/>
          <w:highlight w:val="none"/>
          <w:u w:val="single"/>
          <w:lang w:val="en-US" w:eastAsia="zh-CN"/>
        </w:rPr>
        <w:t>除政府采购法律法规规章规定的属于恶意串通、视为串通投标情形外，在不影响公平竞争的前提下，参与同一个采购包（标段）的供应商存在下列情形之一且无法合理解释的，其投标（响应）文件无效：</w:t>
      </w:r>
    </w:p>
    <w:p w14:paraId="1A38185D">
      <w:pPr>
        <w:widowControl w:val="0"/>
        <w:numPr>
          <w:ilvl w:val="0"/>
          <w:numId w:val="6"/>
        </w:numPr>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不同供应商的电子投标（响应）文件上传计算机的网卡MAC地址或硬盘序列号等硬件信息相同的；</w:t>
      </w:r>
    </w:p>
    <w:p w14:paraId="09D8BC91">
      <w:pPr>
        <w:widowControl w:val="0"/>
        <w:numPr>
          <w:ilvl w:val="0"/>
          <w:numId w:val="6"/>
        </w:numPr>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上传的电子投标（响应）文件若出现使用本项目其他投标（响应）供应商的数字证书加密的，或者加盖本项目其他投标（响应）供应商的电子印章的；</w:t>
      </w:r>
    </w:p>
    <w:p w14:paraId="620CF9AB">
      <w:pPr>
        <w:widowControl w:val="0"/>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（3）不同供应商的投标（响应）文件的内容存在</w:t>
      </w:r>
      <w:r>
        <w:rPr>
          <w:rFonts w:hint="eastAsia" w:ascii="宋体" w:hAnsi="Courier New" w:eastAsia="宋体" w:cs="宋体"/>
          <w:b/>
          <w:bCs/>
          <w:color w:val="auto"/>
          <w:kern w:val="0"/>
          <w:sz w:val="22"/>
          <w:szCs w:val="21"/>
          <w:highlight w:val="none"/>
          <w:u w:val="single"/>
          <w:lang w:val="en-US" w:eastAsia="zh" w:bidi="ar-SA"/>
        </w:rPr>
        <w:t>3</w:t>
      </w:r>
      <w:r>
        <w:rPr>
          <w:rFonts w:hint="eastAsia" w:ascii="宋体" w:hAnsi="Courier New" w:eastAsia="宋体" w:cs="宋体"/>
          <w:b/>
          <w:bCs/>
          <w:color w:val="auto"/>
          <w:kern w:val="0"/>
          <w:sz w:val="22"/>
          <w:szCs w:val="21"/>
          <w:highlight w:val="none"/>
          <w:u w:val="single"/>
          <w:lang w:val="en-US" w:eastAsia="zh-CN" w:bidi="ar-SA"/>
        </w:rPr>
        <w:t>处（含）以上错误一致的；</w:t>
      </w:r>
    </w:p>
    <w:p w14:paraId="64339D77">
      <w:pPr>
        <w:widowControl w:val="0"/>
        <w:adjustRightInd w:val="0"/>
        <w:snapToGrid w:val="0"/>
        <w:spacing w:line="400" w:lineRule="exact"/>
        <w:ind w:firstLine="438" w:firstLineChars="197"/>
        <w:jc w:val="both"/>
        <w:rPr>
          <w:rFonts w:ascii="宋体" w:hAnsi="宋体" w:eastAsia="宋体" w:cs="宋体"/>
          <w:b/>
          <w:bCs/>
          <w:color w:val="auto"/>
          <w:kern w:val="0"/>
          <w:sz w:val="22"/>
          <w:szCs w:val="21"/>
          <w:highlight w:val="none"/>
          <w:lang w:val="en-US" w:eastAsia="zh-CN" w:bidi="ar-SA"/>
        </w:rPr>
      </w:pPr>
      <w:r>
        <w:rPr>
          <w:rFonts w:hint="eastAsia" w:ascii="宋体" w:hAnsi="Courier New" w:eastAsia="宋体" w:cs="宋体"/>
          <w:b/>
          <w:bCs/>
          <w:color w:val="auto"/>
          <w:kern w:val="0"/>
          <w:sz w:val="22"/>
          <w:szCs w:val="21"/>
          <w:highlight w:val="none"/>
          <w:u w:val="single"/>
          <w:lang w:val="en-US" w:eastAsia="zh-CN" w:bidi="ar-SA"/>
        </w:rPr>
        <w:t>（4）不同供应商联系人为同一人或不同联系人的联系电话一致的。</w:t>
      </w:r>
    </w:p>
    <w:p w14:paraId="3C0E32B7">
      <w:pPr>
        <w:widowControl w:val="0"/>
        <w:adjustRightInd w:val="0"/>
        <w:snapToGrid w:val="0"/>
        <w:spacing w:line="400" w:lineRule="atLeast"/>
        <w:ind w:firstLine="438" w:firstLineChars="197"/>
        <w:jc w:val="both"/>
        <w:rPr>
          <w:rFonts w:ascii="宋体" w:hAnsi="宋体" w:eastAsia="宋体" w:cs="Arial"/>
          <w:color w:val="auto"/>
          <w:kern w:val="2"/>
          <w:sz w:val="22"/>
          <w:szCs w:val="22"/>
          <w:highlight w:val="none"/>
          <w:lang w:val="en-US" w:eastAsia="zh-CN" w:bidi="ar-SA"/>
        </w:rPr>
      </w:pPr>
      <w:r>
        <w:rPr>
          <w:rFonts w:hint="eastAsia" w:ascii="宋体" w:hAnsi="宋体" w:eastAsia="宋体" w:cs="Arial"/>
          <w:color w:val="auto"/>
          <w:kern w:val="2"/>
          <w:sz w:val="22"/>
          <w:szCs w:val="22"/>
          <w:highlight w:val="none"/>
          <w:lang w:val="en-US" w:eastAsia="zh-CN" w:bidi="ar-SA"/>
        </w:rPr>
        <w:t>6.评标原则</w:t>
      </w:r>
    </w:p>
    <w:p w14:paraId="3C78DB47">
      <w:pPr>
        <w:pStyle w:val="10"/>
        <w:tabs>
          <w:tab w:val="left" w:pos="1069"/>
          <w:tab w:val="left" w:pos="2352"/>
        </w:tabs>
        <w:adjustRightInd w:val="0"/>
        <w:spacing w:line="400" w:lineRule="exact"/>
        <w:ind w:firstLine="446" w:firstLineChars="200"/>
        <w:rPr>
          <w:rFonts w:hAnsi="宋体" w:cs="宋体"/>
          <w:b/>
          <w:bCs/>
          <w:color w:val="auto"/>
          <w:sz w:val="22"/>
          <w:highlight w:val="none"/>
        </w:rPr>
      </w:pPr>
      <w:r>
        <w:rPr>
          <w:rFonts w:hint="eastAsia" w:hAnsi="宋体" w:cs="宋体"/>
          <w:color w:val="auto"/>
          <w:sz w:val="22"/>
          <w:highlight w:val="none"/>
        </w:rPr>
        <w:t>评标办法具体见本竞争性磋商文件第七部分。</w:t>
      </w:r>
    </w:p>
    <w:p w14:paraId="448D5E18">
      <w:pPr>
        <w:pStyle w:val="10"/>
        <w:tabs>
          <w:tab w:val="left" w:pos="1069"/>
          <w:tab w:val="left" w:pos="2352"/>
        </w:tabs>
        <w:adjustRightInd w:val="0"/>
        <w:snapToGrid w:val="0"/>
        <w:spacing w:line="400" w:lineRule="exact"/>
        <w:ind w:firstLine="480"/>
        <w:outlineLvl w:val="0"/>
        <w:rPr>
          <w:rFonts w:hAnsi="宋体" w:cs="宋体"/>
          <w:b/>
          <w:bCs/>
          <w:color w:val="auto"/>
          <w:sz w:val="22"/>
          <w:highlight w:val="none"/>
        </w:rPr>
      </w:pPr>
      <w:bookmarkStart w:id="38" w:name="_Toc132124596"/>
      <w:bookmarkStart w:id="39" w:name="_Toc132123840"/>
      <w:bookmarkStart w:id="40" w:name="_Toc132125985"/>
      <w:bookmarkStart w:id="41" w:name="_Toc132126156"/>
      <w:bookmarkStart w:id="42" w:name="_Toc132123883"/>
      <w:bookmarkStart w:id="43" w:name="_Toc132122418"/>
      <w:bookmarkStart w:id="44" w:name="_Toc132125576"/>
      <w:bookmarkStart w:id="45" w:name="_Toc132125039"/>
      <w:bookmarkStart w:id="46" w:name="_Toc132123549"/>
      <w:bookmarkStart w:id="47" w:name="_Toc132655778"/>
      <w:bookmarkStart w:id="48" w:name="_Toc132122121"/>
      <w:bookmarkStart w:id="49" w:name="_Toc132123441"/>
      <w:bookmarkStart w:id="50" w:name="_Toc132125153"/>
      <w:bookmarkStart w:id="51" w:name="_Toc24884_WPSOffice_Level2"/>
      <w:bookmarkStart w:id="52" w:name="_Toc493530208"/>
      <w:bookmarkStart w:id="53" w:name="_Toc132123636"/>
      <w:bookmarkStart w:id="54" w:name="_Toc132125097"/>
      <w:r>
        <w:rPr>
          <w:rFonts w:hint="eastAsia" w:hAnsi="宋体" w:cs="宋体"/>
          <w:b/>
          <w:bCs/>
          <w:color w:val="auto"/>
          <w:sz w:val="22"/>
          <w:highlight w:val="none"/>
        </w:rPr>
        <w:t>六、授予合同</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30D21978">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55" w:name="_Toc23038_WPSOffice_Level3"/>
      <w:r>
        <w:rPr>
          <w:rFonts w:hint="eastAsia" w:hAnsi="宋体" w:cs="宋体"/>
          <w:color w:val="auto"/>
          <w:sz w:val="22"/>
          <w:highlight w:val="none"/>
        </w:rPr>
        <w:t>1.决标</w:t>
      </w:r>
      <w:bookmarkEnd w:id="55"/>
    </w:p>
    <w:p w14:paraId="690C8865">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rPr>
      </w:pPr>
      <w:r>
        <w:rPr>
          <w:rFonts w:hint="eastAsia" w:hAnsi="宋体" w:cs="宋体"/>
          <w:color w:val="auto"/>
          <w:sz w:val="22"/>
          <w:highlight w:val="none"/>
        </w:rPr>
        <w:t>评标结束后，评审小组按照竞争性磋商文件确定的评标办法推荐中标（成交）供应商。</w:t>
      </w:r>
    </w:p>
    <w:p w14:paraId="3C9B7390">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56" w:name="_Toc764_WPSOffice_Level3"/>
      <w:r>
        <w:rPr>
          <w:rFonts w:hint="eastAsia" w:hAnsi="宋体" w:cs="宋体"/>
          <w:color w:val="auto"/>
          <w:sz w:val="22"/>
          <w:highlight w:val="none"/>
        </w:rPr>
        <w:t>2.</w:t>
      </w:r>
      <w:bookmarkEnd w:id="56"/>
      <w:r>
        <w:rPr>
          <w:rFonts w:hint="eastAsia" w:hAnsi="宋体" w:cs="宋体"/>
          <w:color w:val="auto"/>
          <w:sz w:val="22"/>
          <w:highlight w:val="none"/>
        </w:rPr>
        <w:t>中标（成交）通知书</w:t>
      </w:r>
    </w:p>
    <w:p w14:paraId="13CF7C09">
      <w:pPr>
        <w:tabs>
          <w:tab w:val="left" w:pos="1069"/>
          <w:tab w:val="left" w:pos="2352"/>
        </w:tabs>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2.1采购人依法确认中标（成交）供应商后，代理机构在浙江省政府采购网上公示中标（成交）供应商名单，公示期限为1个工作日。同时向中标（成交）供应商发出中标（成交）通知书。</w:t>
      </w:r>
    </w:p>
    <w:p w14:paraId="195C8E35">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2.2中标（成交）通知书对采购人和中标（成交）供应商具有法律约束力。中标（成交）通知书发出后，采购人改变中标结果或者中标（成交）供应商放弃中标的，应当承担法律责任。</w:t>
      </w:r>
    </w:p>
    <w:p w14:paraId="488ECA09">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3.中标（成交）无效</w:t>
      </w:r>
    </w:p>
    <w:p w14:paraId="5BAD3918">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1）发现中标（成交）供应商资格无效或中标（成交）供应商放弃成交或拒绝与采购人签订合同的,按相关法律法规执行，原则上重新开展政府采购活动。</w:t>
      </w:r>
    </w:p>
    <w:p w14:paraId="31907E3B">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2）有《中华人民共和国政府采购法实施条例》第七十一条、第七十二条、第七十三条、第七十四条规定的违法行为之一，由政府采购监管部门依法处理。</w:t>
      </w:r>
    </w:p>
    <w:p w14:paraId="1B2AEACE">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57" w:name="_Toc3709_WPSOffice_Level3"/>
      <w:r>
        <w:rPr>
          <w:rFonts w:hint="eastAsia" w:hAnsi="宋体" w:cs="宋体"/>
          <w:color w:val="auto"/>
          <w:sz w:val="22"/>
          <w:highlight w:val="none"/>
        </w:rPr>
        <w:t>4.签订合同</w:t>
      </w:r>
      <w:bookmarkEnd w:id="57"/>
    </w:p>
    <w:p w14:paraId="6B6A8F24">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64A5BE79">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4.2 竞争性磋商文件、中标（成交）供应商的投标（响应）文件及投标修改文件、评标过程中有关澄清文件及经双方签字的询标纪要（承诺）和中标（成交）通知书均作为合同附件。</w:t>
      </w:r>
    </w:p>
    <w:p w14:paraId="75DED700">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4.3 拒签合同的责任</w:t>
      </w:r>
    </w:p>
    <w:p w14:paraId="224F5A1A">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rPr>
      </w:pPr>
      <w:r>
        <w:rPr>
          <w:rFonts w:hint="eastAsia" w:hAnsi="宋体" w:cs="宋体"/>
          <w:color w:val="auto"/>
          <w:sz w:val="22"/>
          <w:highlight w:val="none"/>
        </w:rPr>
        <w:t>中标（成交）供应商在规定时间内（30日历天）借故否认已经承诺的条件、拒签合同者，以违约处理，并赔偿采购人由此造成的直接经济损失；采购人重新组织采购的，所需费用由原中标（成交）供应商承担。</w:t>
      </w:r>
    </w:p>
    <w:p w14:paraId="17FBA949">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58" w:name="_Toc21884_WPSOffice_Level3"/>
      <w:r>
        <w:rPr>
          <w:rFonts w:hint="eastAsia" w:hAnsi="宋体" w:cs="宋体"/>
          <w:color w:val="auto"/>
          <w:sz w:val="22"/>
          <w:highlight w:val="none"/>
        </w:rPr>
        <w:t>5.</w:t>
      </w:r>
      <w:bookmarkEnd w:id="58"/>
      <w:r>
        <w:rPr>
          <w:rFonts w:hint="eastAsia" w:hAnsi="宋体" w:cs="宋体"/>
          <w:color w:val="auto"/>
          <w:sz w:val="22"/>
          <w:highlight w:val="none"/>
        </w:rPr>
        <w:t>履约保证金</w:t>
      </w:r>
    </w:p>
    <w:p w14:paraId="0AC0423C">
      <w:pPr>
        <w:tabs>
          <w:tab w:val="left" w:pos="2352"/>
        </w:tabs>
        <w:autoSpaceDE w:val="0"/>
        <w:autoSpaceDN w:val="0"/>
        <w:adjustRightInd w:val="0"/>
        <w:snapToGrid w:val="0"/>
        <w:spacing w:line="400" w:lineRule="exact"/>
        <w:ind w:firstLine="446" w:firstLineChars="200"/>
        <w:textAlignment w:val="bottom"/>
        <w:rPr>
          <w:rFonts w:ascii="宋体" w:hAnsi="宋体" w:cs="宋体"/>
          <w:color w:val="auto"/>
          <w:sz w:val="22"/>
          <w:highlight w:val="none"/>
        </w:rPr>
      </w:pPr>
      <w:r>
        <w:rPr>
          <w:rFonts w:hint="eastAsia" w:hAnsi="宋体" w:cs="宋体"/>
          <w:color w:val="auto"/>
          <w:sz w:val="22"/>
          <w:highlight w:val="none"/>
        </w:rPr>
        <w:t>无</w:t>
      </w:r>
      <w:r>
        <w:rPr>
          <w:rFonts w:hint="eastAsia" w:ascii="宋体" w:hAnsi="宋体" w:cs="宋体"/>
          <w:color w:val="auto"/>
          <w:sz w:val="22"/>
          <w:highlight w:val="none"/>
        </w:rPr>
        <w:t>。</w:t>
      </w:r>
    </w:p>
    <w:p w14:paraId="51B2B2E8">
      <w:pPr>
        <w:tabs>
          <w:tab w:val="left" w:pos="1069"/>
          <w:tab w:val="left" w:pos="2352"/>
        </w:tabs>
        <w:spacing w:line="400" w:lineRule="exact"/>
        <w:ind w:firstLine="446" w:firstLineChars="200"/>
        <w:rPr>
          <w:rFonts w:ascii="宋体" w:hAnsi="宋体" w:cs="宋体"/>
          <w:b/>
          <w:color w:val="auto"/>
          <w:sz w:val="22"/>
          <w:highlight w:val="none"/>
        </w:rPr>
      </w:pPr>
      <w:r>
        <w:rPr>
          <w:rFonts w:hint="eastAsia" w:ascii="宋体" w:hAnsi="宋体" w:cs="宋体"/>
          <w:color w:val="auto"/>
          <w:sz w:val="22"/>
          <w:highlight w:val="none"/>
        </w:rPr>
        <w:t>6.招标代理服务费</w:t>
      </w:r>
    </w:p>
    <w:p w14:paraId="2C7D0E65">
      <w:pPr>
        <w:tabs>
          <w:tab w:val="left" w:pos="1069"/>
          <w:tab w:val="left" w:pos="2352"/>
        </w:tabs>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本项目向中标供应商收取招标代理服务费，参考</w:t>
      </w:r>
      <w:r>
        <w:rPr>
          <w:rFonts w:hint="eastAsia" w:ascii="宋体" w:hAnsi="宋体" w:cs="宋体"/>
          <w:color w:val="auto"/>
          <w:sz w:val="22"/>
          <w:highlight w:val="none"/>
          <w:lang w:val="zh-CN"/>
        </w:rPr>
        <w:t>《国家计委关于印发&lt;招标代理服务收费管理暂行办法&gt;的通知》（计价格[2002]1980号）</w:t>
      </w:r>
      <w:r>
        <w:rPr>
          <w:rFonts w:hint="eastAsia" w:ascii="宋体" w:hAnsi="宋体" w:cs="宋体"/>
          <w:color w:val="auto"/>
          <w:sz w:val="22"/>
          <w:highlight w:val="none"/>
        </w:rPr>
        <w:t>服务</w:t>
      </w:r>
      <w:r>
        <w:rPr>
          <w:rFonts w:hint="eastAsia" w:ascii="宋体" w:hAnsi="宋体" w:cs="宋体"/>
          <w:color w:val="auto"/>
          <w:sz w:val="22"/>
          <w:highlight w:val="none"/>
          <w:lang w:val="zh-CN"/>
        </w:rPr>
        <w:t>类标准收取</w:t>
      </w:r>
      <w:r>
        <w:rPr>
          <w:rFonts w:hint="eastAsia" w:ascii="宋体" w:hAnsi="宋体" w:cs="宋体"/>
          <w:color w:val="auto"/>
          <w:sz w:val="22"/>
          <w:highlight w:val="none"/>
          <w:u w:val="single"/>
        </w:rPr>
        <w:t>捌仟伍佰元</w:t>
      </w:r>
      <w:r>
        <w:rPr>
          <w:rFonts w:hint="eastAsia" w:ascii="宋体" w:hAnsi="宋体" w:cs="宋体"/>
          <w:color w:val="auto"/>
          <w:sz w:val="22"/>
          <w:highlight w:val="none"/>
        </w:rPr>
        <w:t>。</w:t>
      </w:r>
    </w:p>
    <w:p w14:paraId="52574C53">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highlight w:val="none"/>
        </w:rPr>
      </w:pPr>
      <w:r>
        <w:rPr>
          <w:rFonts w:hint="eastAsia" w:ascii="宋体" w:hAnsi="宋体" w:cs="宋体"/>
          <w:color w:val="auto"/>
          <w:sz w:val="22"/>
          <w:highlight w:val="none"/>
        </w:rPr>
        <w:t>招标代理费汇入账号以招标代理机构提供的为准。</w:t>
      </w:r>
    </w:p>
    <w:p w14:paraId="1B636B4F">
      <w:pPr>
        <w:tabs>
          <w:tab w:val="left" w:pos="1069"/>
          <w:tab w:val="left" w:pos="2352"/>
        </w:tabs>
        <w:adjustRightInd w:val="0"/>
        <w:snapToGrid w:val="0"/>
        <w:spacing w:line="400" w:lineRule="exact"/>
        <w:jc w:val="left"/>
        <w:rPr>
          <w:rFonts w:ascii="宋体" w:hAnsi="宋体" w:cs="宋体"/>
          <w:b/>
          <w:bCs/>
          <w:color w:val="auto"/>
          <w:sz w:val="22"/>
          <w:highlight w:val="none"/>
        </w:rPr>
      </w:pPr>
      <w:r>
        <w:rPr>
          <w:rFonts w:hint="eastAsia" w:ascii="宋体" w:hAnsi="宋体" w:cs="宋体"/>
          <w:b/>
          <w:bCs/>
          <w:color w:val="auto"/>
          <w:sz w:val="22"/>
          <w:highlight w:val="none"/>
        </w:rPr>
        <w:t>七、投诉质疑</w:t>
      </w:r>
    </w:p>
    <w:p w14:paraId="386FF900">
      <w:pPr>
        <w:pStyle w:val="35"/>
        <w:tabs>
          <w:tab w:val="left" w:pos="1069"/>
          <w:tab w:val="left" w:pos="2352"/>
        </w:tabs>
        <w:snapToGrid w:val="0"/>
        <w:spacing w:before="0" w:line="400" w:lineRule="exact"/>
        <w:ind w:firstLine="448"/>
        <w:rPr>
          <w:rFonts w:ascii="宋体" w:hAnsi="宋体" w:cs="宋体"/>
          <w:color w:val="auto"/>
          <w:sz w:val="22"/>
          <w:szCs w:val="22"/>
          <w:highlight w:val="none"/>
        </w:rPr>
      </w:pPr>
      <w:r>
        <w:rPr>
          <w:rFonts w:hint="eastAsia" w:ascii="宋体" w:hAnsi="宋体" w:cs="宋体"/>
          <w:color w:val="auto"/>
          <w:sz w:val="22"/>
          <w:szCs w:val="22"/>
          <w:highlight w:val="none"/>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2374EBD2">
      <w:pPr>
        <w:pStyle w:val="35"/>
        <w:tabs>
          <w:tab w:val="left" w:pos="1069"/>
          <w:tab w:val="left" w:pos="2352"/>
        </w:tabs>
        <w:spacing w:before="0" w:line="400" w:lineRule="exact"/>
        <w:ind w:firstLine="0" w:firstLineChars="0"/>
        <w:rPr>
          <w:rFonts w:ascii="宋体" w:hAnsi="宋体" w:cs="宋体"/>
          <w:b/>
          <w:color w:val="auto"/>
          <w:sz w:val="22"/>
          <w:szCs w:val="22"/>
          <w:highlight w:val="none"/>
        </w:rPr>
      </w:pPr>
      <w:r>
        <w:rPr>
          <w:rFonts w:hint="eastAsia" w:ascii="宋体" w:hAnsi="宋体" w:cs="宋体"/>
          <w:b/>
          <w:color w:val="auto"/>
          <w:sz w:val="22"/>
          <w:szCs w:val="22"/>
          <w:highlight w:val="none"/>
        </w:rPr>
        <w:t>1.供应商询问</w:t>
      </w:r>
    </w:p>
    <w:p w14:paraId="346CEBFE">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lang w:val="zh-CN"/>
        </w:rPr>
        <w:t>供应商对政府采购活动事项有疑问的，可以向招标代理机构提出询问，招标代理机构将对供应商依法提出的询问作出答复，但答复的内容不得涉及商业秘密。</w:t>
      </w:r>
    </w:p>
    <w:p w14:paraId="56329180">
      <w:pPr>
        <w:pStyle w:val="35"/>
        <w:tabs>
          <w:tab w:val="left" w:pos="1069"/>
          <w:tab w:val="left" w:pos="2352"/>
        </w:tabs>
        <w:spacing w:before="0" w:line="400" w:lineRule="exact"/>
        <w:ind w:firstLine="0" w:firstLineChars="0"/>
        <w:rPr>
          <w:rFonts w:ascii="宋体" w:hAnsi="宋体" w:cs="宋体"/>
          <w:b/>
          <w:color w:val="auto"/>
          <w:sz w:val="22"/>
          <w:szCs w:val="22"/>
          <w:highlight w:val="none"/>
        </w:rPr>
      </w:pPr>
      <w:r>
        <w:rPr>
          <w:rFonts w:hint="eastAsia" w:ascii="宋体" w:hAnsi="宋体" w:cs="宋体"/>
          <w:b/>
          <w:color w:val="auto"/>
          <w:sz w:val="22"/>
          <w:szCs w:val="22"/>
          <w:highlight w:val="none"/>
        </w:rPr>
        <w:t>2.供应商质疑</w:t>
      </w:r>
    </w:p>
    <w:p w14:paraId="63A57A03">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hAnsi="宋体" w:cs="宋体"/>
          <w:color w:val="auto"/>
          <w:sz w:val="22"/>
          <w:szCs w:val="22"/>
          <w:highlight w:val="none"/>
          <w:lang w:val="zh-CN"/>
        </w:rPr>
        <w:t>否则，不予受理：</w:t>
      </w:r>
    </w:p>
    <w:p w14:paraId="27EFCD2B">
      <w:pPr>
        <w:pStyle w:val="10"/>
        <w:tabs>
          <w:tab w:val="left" w:pos="1069"/>
          <w:tab w:val="left" w:pos="2352"/>
        </w:tabs>
        <w:spacing w:line="400" w:lineRule="exact"/>
        <w:rPr>
          <w:rFonts w:hAnsi="宋体" w:cs="宋体"/>
          <w:color w:val="auto"/>
          <w:sz w:val="22"/>
          <w:szCs w:val="22"/>
          <w:highlight w:val="none"/>
        </w:rPr>
      </w:pPr>
      <w:r>
        <w:rPr>
          <w:rFonts w:hint="eastAsia" w:hAnsi="宋体" w:cs="宋体"/>
          <w:color w:val="auto"/>
          <w:sz w:val="22"/>
          <w:szCs w:val="22"/>
          <w:highlight w:val="none"/>
        </w:rPr>
        <w:t xml:space="preserve">   （1）供应商如认为招标公告信息使自身的合法权益受到损害的，应于自招标公告发布之日起七个工作内以书面形式向招标代理机构提出质疑；</w:t>
      </w:r>
    </w:p>
    <w:p w14:paraId="64E570FF">
      <w:pPr>
        <w:pStyle w:val="10"/>
        <w:tabs>
          <w:tab w:val="left" w:pos="1069"/>
          <w:tab w:val="left" w:pos="2352"/>
        </w:tabs>
        <w:spacing w:line="400" w:lineRule="exact"/>
        <w:rPr>
          <w:rFonts w:hAnsi="宋体" w:cs="宋体"/>
          <w:color w:val="auto"/>
          <w:sz w:val="22"/>
          <w:szCs w:val="22"/>
          <w:highlight w:val="none"/>
        </w:rPr>
      </w:pPr>
      <w:r>
        <w:rPr>
          <w:rFonts w:hint="eastAsia" w:hAnsi="宋体" w:cs="宋体"/>
          <w:color w:val="auto"/>
          <w:sz w:val="22"/>
          <w:szCs w:val="22"/>
          <w:highlight w:val="none"/>
        </w:rPr>
        <w:t xml:space="preserve">   （2）</w:t>
      </w:r>
      <w:r>
        <w:rPr>
          <w:rFonts w:hint="eastAsia" w:hAnsi="宋体" w:cs="宋体"/>
          <w:color w:val="auto"/>
          <w:sz w:val="22"/>
          <w:szCs w:val="22"/>
          <w:highlight w:val="none"/>
          <w:lang w:val="zh-CN"/>
        </w:rPr>
        <w:t>对竞争性磋商文件提出质疑的，质疑期限为供应商获得竞争性磋商文件之日或者竞争性磋商文件公告期限届满之日起计算。</w:t>
      </w:r>
    </w:p>
    <w:p w14:paraId="79DD78E6">
      <w:pPr>
        <w:tabs>
          <w:tab w:val="left" w:pos="1069"/>
          <w:tab w:val="left" w:pos="2352"/>
        </w:tabs>
        <w:autoSpaceDE w:val="0"/>
        <w:autoSpaceDN w:val="0"/>
        <w:spacing w:line="400" w:lineRule="exact"/>
        <w:jc w:val="left"/>
        <w:rPr>
          <w:rFonts w:ascii="宋体" w:hAnsi="宋体" w:cs="宋体"/>
          <w:color w:val="auto"/>
          <w:kern w:val="0"/>
          <w:sz w:val="22"/>
          <w:highlight w:val="none"/>
          <w:lang w:val="zh-CN"/>
        </w:rPr>
      </w:pPr>
      <w:r>
        <w:rPr>
          <w:rFonts w:hint="eastAsia" w:ascii="宋体" w:hAnsi="宋体" w:cs="宋体"/>
          <w:color w:val="auto"/>
          <w:sz w:val="22"/>
          <w:highlight w:val="none"/>
        </w:rPr>
        <w:t xml:space="preserve">   （3）</w:t>
      </w:r>
      <w:r>
        <w:rPr>
          <w:rFonts w:hint="eastAsia" w:ascii="宋体" w:hAnsi="宋体" w:cs="宋体"/>
          <w:color w:val="auto"/>
          <w:kern w:val="0"/>
          <w:sz w:val="22"/>
          <w:highlight w:val="none"/>
          <w:lang w:val="zh-CN"/>
        </w:rPr>
        <w:t>对采购过程提出质疑的，质疑期限为各采购程序环节结束之日起计算。</w:t>
      </w:r>
    </w:p>
    <w:p w14:paraId="4430E447">
      <w:pPr>
        <w:pStyle w:val="10"/>
        <w:tabs>
          <w:tab w:val="left" w:pos="1069"/>
          <w:tab w:val="left" w:pos="2352"/>
        </w:tabs>
        <w:spacing w:line="400" w:lineRule="exact"/>
        <w:rPr>
          <w:rFonts w:hAnsi="宋体" w:cs="宋体"/>
          <w:color w:val="auto"/>
          <w:sz w:val="22"/>
          <w:szCs w:val="22"/>
          <w:highlight w:val="none"/>
        </w:rPr>
      </w:pPr>
      <w:r>
        <w:rPr>
          <w:rFonts w:hint="eastAsia" w:hAnsi="宋体" w:cs="宋体"/>
          <w:color w:val="auto"/>
          <w:sz w:val="22"/>
          <w:szCs w:val="22"/>
          <w:highlight w:val="none"/>
          <w:lang w:val="zh-CN"/>
        </w:rPr>
        <w:t xml:space="preserve">   （4）对采购结果提出质疑的，质疑期限自采购结果公告（包括公示、预公告、结果变更公告等）期限届满之日起计算。</w:t>
      </w:r>
    </w:p>
    <w:p w14:paraId="67D738E1">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2.2供应商提交的质疑书需一式三份，由法定代表人签字（或盖章）并加盖单位公章。质疑书至少应包括下列主要内容：</w:t>
      </w:r>
    </w:p>
    <w:p w14:paraId="3034C2DA">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（1）供应商的名称、地址、邮政编码、联系人、联系电话；</w:t>
      </w:r>
    </w:p>
    <w:p w14:paraId="245B3C8C">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（2）质疑项目的名称、编号；</w:t>
      </w:r>
    </w:p>
    <w:p w14:paraId="2CF89DEA">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（3）具体、明确的质疑事项和与质疑事项相关的请求；</w:t>
      </w:r>
    </w:p>
    <w:p w14:paraId="0AE10D4B">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（4）事实依据；</w:t>
      </w:r>
    </w:p>
    <w:p w14:paraId="7E77013A">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（5）必要的法律依据；</w:t>
      </w:r>
    </w:p>
    <w:p w14:paraId="79107D69">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（6）提出质疑的日期。</w:t>
      </w:r>
    </w:p>
    <w:p w14:paraId="71A66FB5">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供应商为自然人的，应当由本人签字；供应商为法人或其他组织的，应当由法定代表人、主要负责人，或者其授权代表签字或者盖章，并加盖公章。</w:t>
      </w:r>
    </w:p>
    <w:p w14:paraId="284F03CB">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2.3采购人、采购代理机构应当在收到供应商的书面质疑后七个工作日内作出答复，并以书面形式通知质疑供应商和其他有关供应商，但答复的内容不得涉及商业秘密。</w:t>
      </w:r>
    </w:p>
    <w:p w14:paraId="56C49A91">
      <w:pPr>
        <w:pStyle w:val="35"/>
        <w:tabs>
          <w:tab w:val="left" w:pos="1069"/>
          <w:tab w:val="left" w:pos="2352"/>
        </w:tabs>
        <w:spacing w:before="0" w:line="400" w:lineRule="exact"/>
        <w:ind w:firstLine="0" w:firstLineChars="0"/>
        <w:rPr>
          <w:rFonts w:ascii="宋体" w:hAnsi="宋体" w:cs="宋体"/>
          <w:b/>
          <w:color w:val="auto"/>
          <w:sz w:val="22"/>
          <w:szCs w:val="22"/>
          <w:highlight w:val="none"/>
        </w:rPr>
      </w:pPr>
      <w:r>
        <w:rPr>
          <w:rFonts w:hint="eastAsia" w:ascii="宋体" w:hAnsi="宋体" w:cs="宋体"/>
          <w:b/>
          <w:color w:val="auto"/>
          <w:sz w:val="22"/>
          <w:szCs w:val="22"/>
          <w:highlight w:val="none"/>
        </w:rPr>
        <w:t>3.供应商投诉</w:t>
      </w:r>
    </w:p>
    <w:p w14:paraId="2AA5F125">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3.1供应商投诉应当提交投诉书和必要的证明材料。供应商投诉的事项不得超出已质疑事项的范围（基于质疑答复内容提出的投诉事项除外）。</w:t>
      </w:r>
    </w:p>
    <w:p w14:paraId="24468D9A">
      <w:pPr>
        <w:pStyle w:val="10"/>
        <w:tabs>
          <w:tab w:val="left" w:pos="1069"/>
          <w:tab w:val="left" w:pos="2352"/>
        </w:tabs>
        <w:spacing w:line="400" w:lineRule="exact"/>
        <w:ind w:firstLine="501" w:firstLineChars="225"/>
        <w:rPr>
          <w:rFonts w:hint="eastAsia" w:hAnsi="宋体" w:cs="宋体"/>
          <w:color w:val="auto"/>
          <w:sz w:val="22"/>
          <w:szCs w:val="22"/>
          <w:highlight w:val="none"/>
        </w:rPr>
      </w:pPr>
      <w:r>
        <w:rPr>
          <w:rFonts w:hint="eastAsia" w:hAnsi="宋体" w:cs="宋体"/>
          <w:color w:val="auto"/>
          <w:sz w:val="22"/>
          <w:szCs w:val="22"/>
          <w:highlight w:val="none"/>
        </w:rPr>
        <w:t>3.2质疑供应商对采购人、采购代理机构的答复不满意或者采购人、采购代理机构未在规定的时间内作出答复的，可以在答复期满后十五个工作日内向同级财政部门提出投诉。</w:t>
      </w:r>
    </w:p>
    <w:p w14:paraId="3B4BA89E">
      <w:pPr>
        <w:pStyle w:val="10"/>
        <w:tabs>
          <w:tab w:val="left" w:pos="1069"/>
          <w:tab w:val="left" w:pos="2352"/>
        </w:tabs>
        <w:spacing w:line="400" w:lineRule="exact"/>
        <w:ind w:firstLine="478" w:firstLineChars="225"/>
        <w:rPr>
          <w:rFonts w:hint="default" w:ascii="宋体" w:hAnsi="宋体" w:eastAsia="宋体"/>
          <w:b/>
          <w:bCs/>
          <w:color w:val="auto"/>
          <w:highlight w:val="none"/>
          <w:lang w:val="en-US" w:eastAsia="zh-CN"/>
        </w:rPr>
      </w:pPr>
      <w:r>
        <w:rPr>
          <w:rFonts w:hint="eastAsia" w:ascii="宋体" w:hAnsi="宋体"/>
          <w:color w:val="auto"/>
          <w:highlight w:val="none"/>
        </w:rPr>
        <w:t>质疑函范本</w:t>
      </w:r>
      <w:r>
        <w:rPr>
          <w:rFonts w:hint="eastAsia" w:ascii="宋体" w:hAnsi="宋体"/>
          <w:color w:val="auto"/>
          <w:highlight w:val="none"/>
          <w:lang w:eastAsia="zh-CN"/>
        </w:rPr>
        <w:t>、</w:t>
      </w:r>
      <w:r>
        <w:rPr>
          <w:rFonts w:hint="eastAsia" w:ascii="宋体" w:hAnsi="宋体"/>
          <w:color w:val="auto"/>
          <w:highlight w:val="none"/>
        </w:rPr>
        <w:t>投诉书范本</w:t>
      </w:r>
      <w:r>
        <w:rPr>
          <w:rFonts w:hint="eastAsia" w:ascii="宋体" w:hAnsi="宋体"/>
          <w:color w:val="auto"/>
          <w:highlight w:val="none"/>
          <w:lang w:val="en-US" w:eastAsia="zh-CN"/>
        </w:rPr>
        <w:t>请至浙江政府采购网下载。</w:t>
      </w:r>
    </w:p>
    <w:p w14:paraId="7F78AE60">
      <w:pPr>
        <w:pStyle w:val="33"/>
        <w:spacing w:line="400" w:lineRule="exact"/>
        <w:ind w:firstLine="446" w:firstLineChars="200"/>
        <w:rPr>
          <w:rFonts w:hint="eastAsia"/>
          <w:b/>
          <w:bCs/>
          <w:color w:val="auto"/>
          <w:sz w:val="22"/>
          <w:szCs w:val="22"/>
          <w:highlight w:val="none"/>
        </w:rPr>
      </w:pPr>
      <w:r>
        <w:rPr>
          <w:rFonts w:hint="eastAsia"/>
          <w:b/>
          <w:bCs/>
          <w:color w:val="auto"/>
          <w:sz w:val="22"/>
          <w:szCs w:val="22"/>
          <w:highlight w:val="none"/>
        </w:rPr>
        <w:t>4.线上质疑及投诉</w:t>
      </w:r>
    </w:p>
    <w:p w14:paraId="51A06C88">
      <w:pPr>
        <w:pStyle w:val="33"/>
        <w:spacing w:line="400" w:lineRule="exact"/>
        <w:ind w:firstLine="446" w:firstLineChars="200"/>
        <w:rPr>
          <w:rFonts w:hint="eastAsia"/>
          <w:color w:val="auto"/>
          <w:sz w:val="22"/>
          <w:szCs w:val="22"/>
          <w:highlight w:val="none"/>
        </w:rPr>
      </w:pPr>
      <w:r>
        <w:rPr>
          <w:rFonts w:hint="eastAsia"/>
          <w:color w:val="auto"/>
          <w:sz w:val="22"/>
          <w:szCs w:val="22"/>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9A87E0F">
      <w:pPr>
        <w:pStyle w:val="25"/>
        <w:tabs>
          <w:tab w:val="left" w:pos="1069"/>
          <w:tab w:val="left" w:pos="2352"/>
        </w:tabs>
        <w:ind w:left="856" w:hanging="428"/>
        <w:rPr>
          <w:rFonts w:ascii="宋体" w:hAnsi="宋体"/>
          <w:color w:val="auto"/>
          <w:highlight w:val="none"/>
        </w:rPr>
      </w:pPr>
    </w:p>
    <w:p w14:paraId="1D58F232">
      <w:pPr>
        <w:tabs>
          <w:tab w:val="left" w:pos="1069"/>
          <w:tab w:val="left" w:pos="2352"/>
        </w:tabs>
        <w:jc w:val="center"/>
        <w:rPr>
          <w:rFonts w:ascii="宋体" w:hAnsi="宋体" w:cs="宋体"/>
          <w:b/>
          <w:color w:val="auto"/>
          <w:sz w:val="32"/>
          <w:szCs w:val="32"/>
          <w:highlight w:val="none"/>
        </w:rPr>
      </w:pPr>
      <w:bookmarkStart w:id="59" w:name="_Toc29876_WPSOffice_Level1"/>
    </w:p>
    <w:p w14:paraId="53A82322">
      <w:pPr>
        <w:tabs>
          <w:tab w:val="left" w:pos="1069"/>
          <w:tab w:val="left" w:pos="2352"/>
        </w:tabs>
        <w:jc w:val="center"/>
        <w:rPr>
          <w:rFonts w:hint="eastAsia" w:ascii="宋体" w:hAnsi="宋体" w:cs="宋体"/>
          <w:b/>
          <w:color w:val="auto"/>
          <w:sz w:val="32"/>
          <w:szCs w:val="32"/>
          <w:highlight w:val="none"/>
        </w:rPr>
      </w:pPr>
    </w:p>
    <w:p w14:paraId="79C2E5CE">
      <w:pPr>
        <w:tabs>
          <w:tab w:val="left" w:pos="1069"/>
          <w:tab w:val="left" w:pos="2352"/>
        </w:tabs>
        <w:jc w:val="center"/>
        <w:rPr>
          <w:rFonts w:hint="eastAsia" w:ascii="宋体" w:hAnsi="宋体" w:cs="宋体"/>
          <w:b/>
          <w:color w:val="auto"/>
          <w:sz w:val="32"/>
          <w:szCs w:val="32"/>
          <w:highlight w:val="none"/>
        </w:rPr>
      </w:pPr>
    </w:p>
    <w:p w14:paraId="7538EC06">
      <w:pPr>
        <w:tabs>
          <w:tab w:val="left" w:pos="1069"/>
          <w:tab w:val="left" w:pos="2352"/>
        </w:tabs>
        <w:jc w:val="center"/>
        <w:rPr>
          <w:rFonts w:hint="eastAsia" w:ascii="宋体" w:hAnsi="宋体" w:cs="宋体"/>
          <w:b/>
          <w:color w:val="auto"/>
          <w:sz w:val="32"/>
          <w:szCs w:val="32"/>
          <w:highlight w:val="none"/>
        </w:rPr>
      </w:pPr>
    </w:p>
    <w:p w14:paraId="11638B49">
      <w:pPr>
        <w:tabs>
          <w:tab w:val="left" w:pos="1069"/>
          <w:tab w:val="left" w:pos="2352"/>
        </w:tabs>
        <w:jc w:val="center"/>
        <w:rPr>
          <w:rFonts w:hint="eastAsia" w:ascii="宋体" w:hAnsi="宋体" w:cs="宋体"/>
          <w:b/>
          <w:color w:val="auto"/>
          <w:sz w:val="32"/>
          <w:szCs w:val="32"/>
          <w:highlight w:val="none"/>
        </w:rPr>
      </w:pPr>
    </w:p>
    <w:p w14:paraId="49C6BD7A">
      <w:pPr>
        <w:tabs>
          <w:tab w:val="left" w:pos="1069"/>
          <w:tab w:val="left" w:pos="2352"/>
        </w:tabs>
        <w:jc w:val="center"/>
        <w:rPr>
          <w:rFonts w:hint="eastAsia" w:ascii="宋体" w:hAnsi="宋体" w:cs="宋体"/>
          <w:b/>
          <w:color w:val="auto"/>
          <w:sz w:val="32"/>
          <w:szCs w:val="32"/>
          <w:highlight w:val="none"/>
        </w:rPr>
      </w:pPr>
    </w:p>
    <w:p w14:paraId="73F5973B">
      <w:pPr>
        <w:tabs>
          <w:tab w:val="left" w:pos="1069"/>
          <w:tab w:val="left" w:pos="2352"/>
        </w:tabs>
        <w:jc w:val="center"/>
        <w:rPr>
          <w:rFonts w:hint="eastAsia" w:ascii="宋体" w:hAnsi="宋体" w:cs="宋体"/>
          <w:b/>
          <w:color w:val="auto"/>
          <w:sz w:val="32"/>
          <w:szCs w:val="32"/>
          <w:highlight w:val="none"/>
        </w:rPr>
      </w:pPr>
    </w:p>
    <w:p w14:paraId="6E19715F">
      <w:pPr>
        <w:tabs>
          <w:tab w:val="left" w:pos="1069"/>
          <w:tab w:val="left" w:pos="2352"/>
        </w:tabs>
        <w:jc w:val="center"/>
        <w:rPr>
          <w:rFonts w:hint="eastAsia" w:ascii="宋体" w:hAnsi="宋体" w:cs="宋体"/>
          <w:b/>
          <w:color w:val="auto"/>
          <w:sz w:val="32"/>
          <w:szCs w:val="32"/>
          <w:highlight w:val="none"/>
        </w:rPr>
      </w:pPr>
    </w:p>
    <w:p w14:paraId="7245B712">
      <w:pPr>
        <w:tabs>
          <w:tab w:val="left" w:pos="1069"/>
          <w:tab w:val="left" w:pos="2352"/>
        </w:tabs>
        <w:jc w:val="center"/>
        <w:rPr>
          <w:rFonts w:hint="eastAsia" w:ascii="宋体" w:hAnsi="宋体" w:cs="宋体"/>
          <w:b/>
          <w:color w:val="auto"/>
          <w:sz w:val="32"/>
          <w:szCs w:val="32"/>
          <w:highlight w:val="none"/>
        </w:rPr>
      </w:pPr>
    </w:p>
    <w:p w14:paraId="12DFD615">
      <w:pPr>
        <w:tabs>
          <w:tab w:val="left" w:pos="1069"/>
          <w:tab w:val="left" w:pos="2352"/>
        </w:tabs>
        <w:jc w:val="center"/>
        <w:rPr>
          <w:rFonts w:hint="eastAsia" w:ascii="宋体" w:hAnsi="宋体" w:cs="宋体"/>
          <w:b/>
          <w:color w:val="auto"/>
          <w:sz w:val="32"/>
          <w:szCs w:val="32"/>
          <w:highlight w:val="none"/>
        </w:rPr>
      </w:pPr>
    </w:p>
    <w:p w14:paraId="181FE583">
      <w:pPr>
        <w:tabs>
          <w:tab w:val="left" w:pos="1069"/>
          <w:tab w:val="left" w:pos="2352"/>
        </w:tabs>
        <w:jc w:val="center"/>
        <w:rPr>
          <w:rFonts w:hint="eastAsia" w:ascii="宋体" w:hAnsi="宋体" w:cs="宋体"/>
          <w:b/>
          <w:color w:val="auto"/>
          <w:sz w:val="32"/>
          <w:szCs w:val="32"/>
          <w:highlight w:val="none"/>
        </w:rPr>
      </w:pPr>
    </w:p>
    <w:p w14:paraId="04943931">
      <w:pPr>
        <w:tabs>
          <w:tab w:val="left" w:pos="1069"/>
          <w:tab w:val="left" w:pos="2352"/>
        </w:tabs>
        <w:jc w:val="center"/>
        <w:rPr>
          <w:rFonts w:hint="eastAsia" w:ascii="宋体" w:hAnsi="宋体" w:cs="宋体"/>
          <w:b/>
          <w:color w:val="auto"/>
          <w:sz w:val="32"/>
          <w:szCs w:val="32"/>
          <w:highlight w:val="none"/>
        </w:rPr>
      </w:pPr>
    </w:p>
    <w:p w14:paraId="1F34F82C">
      <w:pPr>
        <w:tabs>
          <w:tab w:val="left" w:pos="1069"/>
          <w:tab w:val="left" w:pos="2352"/>
        </w:tabs>
        <w:jc w:val="center"/>
        <w:rPr>
          <w:rFonts w:hint="eastAsia" w:ascii="宋体" w:hAnsi="宋体" w:cs="宋体"/>
          <w:b/>
          <w:color w:val="auto"/>
          <w:sz w:val="32"/>
          <w:szCs w:val="32"/>
          <w:highlight w:val="none"/>
        </w:rPr>
      </w:pPr>
    </w:p>
    <w:p w14:paraId="2D768705">
      <w:pPr>
        <w:tabs>
          <w:tab w:val="left" w:pos="1069"/>
          <w:tab w:val="left" w:pos="2352"/>
        </w:tabs>
        <w:jc w:val="center"/>
        <w:rPr>
          <w:rFonts w:hint="eastAsia" w:ascii="宋体" w:hAnsi="宋体" w:cs="宋体"/>
          <w:b/>
          <w:color w:val="auto"/>
          <w:sz w:val="32"/>
          <w:szCs w:val="32"/>
          <w:highlight w:val="none"/>
        </w:rPr>
      </w:pPr>
    </w:p>
    <w:p w14:paraId="05AB2FB1">
      <w:pPr>
        <w:tabs>
          <w:tab w:val="left" w:pos="1069"/>
          <w:tab w:val="left" w:pos="2352"/>
        </w:tabs>
        <w:jc w:val="center"/>
        <w:rPr>
          <w:rFonts w:hint="eastAsia" w:ascii="宋体" w:hAnsi="宋体" w:cs="宋体"/>
          <w:b/>
          <w:color w:val="auto"/>
          <w:sz w:val="32"/>
          <w:szCs w:val="32"/>
          <w:highlight w:val="none"/>
        </w:rPr>
      </w:pPr>
    </w:p>
    <w:p w14:paraId="503E7B83">
      <w:pPr>
        <w:tabs>
          <w:tab w:val="left" w:pos="1069"/>
          <w:tab w:val="left" w:pos="2352"/>
        </w:tabs>
        <w:jc w:val="center"/>
        <w:rPr>
          <w:rFonts w:hint="eastAsia" w:ascii="宋体" w:hAnsi="宋体" w:cs="宋体"/>
          <w:b/>
          <w:color w:val="auto"/>
          <w:sz w:val="32"/>
          <w:szCs w:val="32"/>
          <w:highlight w:val="none"/>
        </w:rPr>
      </w:pPr>
    </w:p>
    <w:p w14:paraId="123A59AC">
      <w:pPr>
        <w:tabs>
          <w:tab w:val="left" w:pos="1069"/>
          <w:tab w:val="left" w:pos="2352"/>
        </w:tabs>
        <w:jc w:val="center"/>
        <w:rPr>
          <w:rFonts w:hint="eastAsia" w:ascii="宋体" w:hAnsi="宋体" w:cs="宋体"/>
          <w:b/>
          <w:color w:val="auto"/>
          <w:sz w:val="32"/>
          <w:szCs w:val="32"/>
          <w:highlight w:val="none"/>
        </w:rPr>
      </w:pPr>
    </w:p>
    <w:p w14:paraId="1174664E">
      <w:pPr>
        <w:pStyle w:val="2"/>
        <w:rPr>
          <w:rFonts w:hint="eastAsia"/>
        </w:rPr>
      </w:pPr>
    </w:p>
    <w:p w14:paraId="07B5AC75">
      <w:pPr>
        <w:tabs>
          <w:tab w:val="left" w:pos="1069"/>
          <w:tab w:val="left" w:pos="2352"/>
        </w:tabs>
        <w:jc w:val="center"/>
        <w:rPr>
          <w:rFonts w:ascii="宋体" w:hAnsi="宋体" w:cs="宋体"/>
          <w:b/>
          <w:bCs/>
          <w:color w:val="auto"/>
          <w:sz w:val="32"/>
          <w:szCs w:val="32"/>
          <w:highlight w:val="none"/>
          <w:lang w:val="zh-CN"/>
        </w:rPr>
      </w:pPr>
      <w:r>
        <w:rPr>
          <w:rFonts w:hint="eastAsia" w:ascii="宋体" w:hAnsi="宋体" w:cs="宋体"/>
          <w:b/>
          <w:color w:val="auto"/>
          <w:sz w:val="32"/>
          <w:szCs w:val="32"/>
          <w:highlight w:val="none"/>
        </w:rPr>
        <w:t>第四部分、</w:t>
      </w:r>
      <w:r>
        <w:rPr>
          <w:rFonts w:hint="eastAsia" w:ascii="宋体" w:hAnsi="宋体" w:cs="宋体"/>
          <w:b/>
          <w:bCs/>
          <w:color w:val="auto"/>
          <w:sz w:val="32"/>
          <w:szCs w:val="32"/>
          <w:highlight w:val="none"/>
          <w:lang w:val="zh-CN"/>
        </w:rPr>
        <w:t>政府采购政策功能相关说明</w:t>
      </w:r>
    </w:p>
    <w:p w14:paraId="385481F2">
      <w:pPr>
        <w:tabs>
          <w:tab w:val="left" w:pos="1069"/>
          <w:tab w:val="left" w:pos="2352"/>
        </w:tabs>
        <w:jc w:val="left"/>
        <w:rPr>
          <w:rFonts w:ascii="宋体"/>
          <w:b/>
          <w:bCs/>
          <w:color w:val="auto"/>
          <w:sz w:val="22"/>
          <w:highlight w:val="none"/>
        </w:rPr>
      </w:pPr>
      <w:bookmarkStart w:id="60" w:name="_Toc25899_WPSOffice_Level2"/>
      <w:bookmarkStart w:id="61" w:name="_Toc10483_WPSOffice_Level2"/>
      <w:r>
        <w:rPr>
          <w:rFonts w:hint="eastAsia" w:ascii="宋体"/>
          <w:b/>
          <w:bCs/>
          <w:color w:val="auto"/>
          <w:sz w:val="22"/>
          <w:highlight w:val="none"/>
        </w:rPr>
        <w:t>一、</w:t>
      </w:r>
      <w:bookmarkEnd w:id="60"/>
      <w:r>
        <w:rPr>
          <w:rFonts w:hint="eastAsia" w:ascii="宋体"/>
          <w:b/>
          <w:bCs/>
          <w:color w:val="auto"/>
          <w:sz w:val="22"/>
          <w:highlight w:val="none"/>
        </w:rPr>
        <w:t>中小企业（含监狱企业、残疾人福利性单位）扶持政策说明</w:t>
      </w:r>
    </w:p>
    <w:p w14:paraId="00BA3065">
      <w:pPr>
        <w:tabs>
          <w:tab w:val="left" w:pos="1069"/>
          <w:tab w:val="left" w:pos="2352"/>
        </w:tabs>
        <w:spacing w:line="440" w:lineRule="atLeast"/>
        <w:jc w:val="left"/>
        <w:rPr>
          <w:rFonts w:ascii="宋体"/>
          <w:color w:val="auto"/>
          <w:sz w:val="22"/>
          <w:highlight w:val="none"/>
        </w:rPr>
      </w:pPr>
      <w:r>
        <w:rPr>
          <w:rFonts w:ascii="宋体"/>
          <w:color w:val="auto"/>
          <w:sz w:val="22"/>
          <w:highlight w:val="none"/>
        </w:rPr>
        <w:t>1</w:t>
      </w:r>
      <w:r>
        <w:rPr>
          <w:rFonts w:hint="eastAsia" w:ascii="宋体"/>
          <w:color w:val="auto"/>
          <w:sz w:val="22"/>
          <w:highlight w:val="none"/>
        </w:rPr>
        <w:t>、文件依据</w:t>
      </w:r>
    </w:p>
    <w:p w14:paraId="305D5832">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1</w:t>
      </w:r>
      <w:r>
        <w:rPr>
          <w:rFonts w:hint="eastAsia" w:ascii="宋体"/>
          <w:color w:val="auto"/>
          <w:sz w:val="22"/>
          <w:highlight w:val="none"/>
        </w:rPr>
        <w:t>）《政府采购促进中小企业发展管理办法》（财库﹝2020﹞46 号）</w:t>
      </w:r>
    </w:p>
    <w:p w14:paraId="0EDB0EE3">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2</w:t>
      </w:r>
      <w:r>
        <w:rPr>
          <w:rFonts w:hint="eastAsia" w:ascii="宋体"/>
          <w:color w:val="auto"/>
          <w:sz w:val="22"/>
          <w:highlight w:val="none"/>
        </w:rPr>
        <w:t>）浙江省省财政厅《关于开展政府采购供应商网上注册登记和诚信管理工作的通知》（浙财采监〔2010〕8号)</w:t>
      </w:r>
    </w:p>
    <w:p w14:paraId="5E2A9FD4">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22CCFF17">
      <w:pPr>
        <w:tabs>
          <w:tab w:val="left" w:pos="2352"/>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w:t>
      </w:r>
      <w:r>
        <w:rPr>
          <w:rFonts w:ascii="宋体"/>
          <w:color w:val="auto"/>
          <w:sz w:val="22"/>
          <w:highlight w:val="none"/>
        </w:rPr>
        <w:t>2014</w:t>
      </w:r>
      <w:r>
        <w:rPr>
          <w:rFonts w:hint="eastAsia" w:ascii="宋体"/>
          <w:color w:val="auto"/>
          <w:sz w:val="22"/>
          <w:highlight w:val="none"/>
        </w:rPr>
        <w:t>〕</w:t>
      </w:r>
      <w:r>
        <w:rPr>
          <w:rFonts w:ascii="宋体"/>
          <w:color w:val="auto"/>
          <w:sz w:val="22"/>
          <w:highlight w:val="none"/>
        </w:rPr>
        <w:t>68</w:t>
      </w:r>
      <w:r>
        <w:rPr>
          <w:rFonts w:hint="eastAsia" w:ascii="宋体"/>
          <w:color w:val="auto"/>
          <w:sz w:val="22"/>
          <w:highlight w:val="none"/>
        </w:rPr>
        <w:t>号）</w:t>
      </w:r>
    </w:p>
    <w:p w14:paraId="0825573B">
      <w:pPr>
        <w:tabs>
          <w:tab w:val="left" w:pos="2352"/>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w:t>
      </w:r>
      <w:r>
        <w:rPr>
          <w:rFonts w:ascii="宋体"/>
          <w:color w:val="auto"/>
          <w:sz w:val="22"/>
          <w:highlight w:val="none"/>
        </w:rPr>
        <w:t>2017</w:t>
      </w:r>
      <w:r>
        <w:rPr>
          <w:rFonts w:hint="eastAsia" w:ascii="宋体"/>
          <w:color w:val="auto"/>
          <w:sz w:val="22"/>
          <w:highlight w:val="none"/>
        </w:rPr>
        <w:t>〕</w:t>
      </w:r>
      <w:r>
        <w:rPr>
          <w:rFonts w:ascii="宋体"/>
          <w:color w:val="auto"/>
          <w:sz w:val="22"/>
          <w:highlight w:val="none"/>
        </w:rPr>
        <w:t xml:space="preserve"> 141</w:t>
      </w:r>
      <w:r>
        <w:rPr>
          <w:rFonts w:hint="eastAsia" w:ascii="宋体"/>
          <w:color w:val="auto"/>
          <w:sz w:val="22"/>
          <w:highlight w:val="none"/>
        </w:rPr>
        <w:t>号）</w:t>
      </w:r>
    </w:p>
    <w:p w14:paraId="129C2E56">
      <w:pPr>
        <w:tabs>
          <w:tab w:val="left" w:pos="2352"/>
        </w:tabs>
        <w:spacing w:line="440" w:lineRule="atLeast"/>
        <w:jc w:val="left"/>
        <w:rPr>
          <w:rFonts w:hint="eastAsia" w:ascii="宋体"/>
          <w:color w:val="auto"/>
          <w:sz w:val="22"/>
          <w:highlight w:val="none"/>
        </w:rPr>
      </w:pPr>
      <w:r>
        <w:rPr>
          <w:rFonts w:hint="eastAsia" w:ascii="宋体"/>
          <w:color w:val="auto"/>
          <w:sz w:val="22"/>
          <w:highlight w:val="none"/>
        </w:rPr>
        <w:t>（6）《浙江省财政厅关于进一步发挥政府采购政策 功能全力推动经济稳进提质的通知》（浙财采监〔2022〕3号）</w:t>
      </w:r>
    </w:p>
    <w:p w14:paraId="2CF67A27">
      <w:pPr>
        <w:tabs>
          <w:tab w:val="left" w:pos="2352"/>
        </w:tabs>
        <w:spacing w:line="440" w:lineRule="atLeast"/>
        <w:jc w:val="left"/>
        <w:rPr>
          <w:rFonts w:hint="eastAsia" w:ascii="宋体"/>
          <w:color w:val="auto"/>
          <w:sz w:val="22"/>
          <w:highlight w:val="none"/>
        </w:rPr>
      </w:pPr>
      <w:r>
        <w:rPr>
          <w:rFonts w:hint="eastAsia" w:ascii="宋体"/>
          <w:color w:val="auto"/>
          <w:sz w:val="22"/>
          <w:highlight w:val="none"/>
        </w:rPr>
        <w:t>（7）《关于进一步加大政府采购 支持中小企业力度 助力扎实稳住经济 的通知》（浙财采监〔2022〕8号）</w:t>
      </w:r>
    </w:p>
    <w:p w14:paraId="492285CD">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2、符合中小企业要求应的应提供以下证明材料（</w:t>
      </w:r>
      <w:r>
        <w:rPr>
          <w:rFonts w:hint="eastAsia" w:ascii="宋体"/>
          <w:b/>
          <w:bCs/>
          <w:color w:val="auto"/>
          <w:sz w:val="22"/>
          <w:highlight w:val="none"/>
          <w:u w:val="single"/>
        </w:rPr>
        <w:t>附在《商务技术文件》中）</w:t>
      </w:r>
      <w:r>
        <w:rPr>
          <w:rFonts w:hint="eastAsia" w:ascii="宋体"/>
          <w:color w:val="auto"/>
          <w:sz w:val="22"/>
          <w:highlight w:val="none"/>
        </w:rPr>
        <w:t>：：</w:t>
      </w:r>
    </w:p>
    <w:p w14:paraId="52D00FB9">
      <w:pPr>
        <w:tabs>
          <w:tab w:val="left" w:pos="2352"/>
        </w:tabs>
        <w:spacing w:line="440" w:lineRule="atLeast"/>
        <w:jc w:val="left"/>
        <w:rPr>
          <w:rFonts w:ascii="宋体"/>
          <w:color w:val="auto"/>
          <w:sz w:val="22"/>
          <w:highlight w:val="none"/>
        </w:rPr>
      </w:pPr>
      <w:r>
        <w:rPr>
          <w:rFonts w:hint="eastAsia" w:ascii="宋体"/>
          <w:color w:val="auto"/>
          <w:sz w:val="22"/>
          <w:highlight w:val="none"/>
        </w:rPr>
        <w:t>（1）</w:t>
      </w:r>
      <w:r>
        <w:rPr>
          <w:rFonts w:hint="eastAsia" w:ascii="宋体"/>
          <w:color w:val="auto"/>
          <w:sz w:val="22"/>
          <w:highlight w:val="none"/>
          <w:lang w:val="en-US" w:eastAsia="zh-CN"/>
        </w:rPr>
        <w:t>中小</w:t>
      </w:r>
      <w:r>
        <w:rPr>
          <w:rFonts w:hint="eastAsia" w:ascii="宋体"/>
          <w:color w:val="auto"/>
          <w:sz w:val="22"/>
          <w:highlight w:val="none"/>
        </w:rPr>
        <w:t>企业：中小企业声明函（原件，加盖供应商公章，格式见附件1）</w:t>
      </w:r>
    </w:p>
    <w:p w14:paraId="0E1A8DB9">
      <w:pPr>
        <w:tabs>
          <w:tab w:val="left" w:pos="2352"/>
        </w:tabs>
        <w:spacing w:line="440" w:lineRule="atLeast"/>
        <w:jc w:val="left"/>
        <w:rPr>
          <w:rFonts w:ascii="宋体"/>
          <w:color w:val="auto"/>
          <w:sz w:val="22"/>
          <w:highlight w:val="none"/>
        </w:rPr>
      </w:pPr>
      <w:r>
        <w:rPr>
          <w:rFonts w:hint="eastAsia" w:ascii="宋体"/>
          <w:color w:val="auto"/>
          <w:sz w:val="22"/>
          <w:highlight w:val="none"/>
        </w:rPr>
        <w:t>（2）残疾人福利性单位：残疾人福利性单位声明函（原件，加盖供应商公章，格式见附件1）</w:t>
      </w:r>
    </w:p>
    <w:p w14:paraId="0AD1E042">
      <w:pPr>
        <w:tabs>
          <w:tab w:val="left" w:pos="2352"/>
        </w:tabs>
        <w:spacing w:line="440" w:lineRule="atLeast"/>
        <w:jc w:val="left"/>
        <w:rPr>
          <w:rFonts w:ascii="宋体"/>
          <w:color w:val="auto"/>
          <w:sz w:val="22"/>
          <w:highlight w:val="none"/>
        </w:rPr>
      </w:pPr>
      <w:r>
        <w:rPr>
          <w:rFonts w:hint="eastAsia" w:ascii="宋体"/>
          <w:color w:val="auto"/>
          <w:sz w:val="22"/>
          <w:highlight w:val="none"/>
        </w:rPr>
        <w:t>（3）监狱企业：提供由省级以上监狱管理局、戒毒管理局（含新疆生产建设兵团）出具的属于监狱企业的证明文件（原件）</w:t>
      </w:r>
    </w:p>
    <w:p w14:paraId="591ED5D1">
      <w:pPr>
        <w:tabs>
          <w:tab w:val="left" w:pos="2352"/>
        </w:tabs>
        <w:spacing w:line="440" w:lineRule="atLeast"/>
        <w:jc w:val="left"/>
        <w:rPr>
          <w:rFonts w:ascii="宋体"/>
          <w:color w:val="auto"/>
          <w:sz w:val="22"/>
          <w:highlight w:val="none"/>
        </w:rPr>
      </w:pPr>
      <w:r>
        <w:rPr>
          <w:rFonts w:hint="eastAsia" w:ascii="宋体"/>
          <w:color w:val="auto"/>
          <w:sz w:val="22"/>
          <w:highlight w:val="none"/>
        </w:rPr>
        <w:t>3、扶持政策说明：</w:t>
      </w:r>
    </w:p>
    <w:p w14:paraId="16FADC10">
      <w:pPr>
        <w:tabs>
          <w:tab w:val="left" w:pos="2352"/>
        </w:tabs>
        <w:spacing w:line="440" w:lineRule="atLeast"/>
        <w:jc w:val="left"/>
        <w:rPr>
          <w:rFonts w:ascii="宋体"/>
          <w:color w:val="auto"/>
          <w:sz w:val="22"/>
          <w:highlight w:val="none"/>
        </w:rPr>
      </w:pPr>
      <w:r>
        <w:rPr>
          <w:rFonts w:hint="eastAsia" w:ascii="宋体"/>
          <w:color w:val="auto"/>
          <w:sz w:val="22"/>
          <w:highlight w:val="none"/>
        </w:rPr>
        <w:t>残疾人福利性单位、监狱企业参加投标视同小微企业。</w:t>
      </w:r>
    </w:p>
    <w:p w14:paraId="49CE0E8C">
      <w:pPr>
        <w:numPr>
          <w:ilvl w:val="0"/>
          <w:numId w:val="7"/>
        </w:numPr>
        <w:tabs>
          <w:tab w:val="left" w:pos="2352"/>
        </w:tabs>
        <w:spacing w:line="440" w:lineRule="atLeast"/>
        <w:jc w:val="left"/>
        <w:rPr>
          <w:rFonts w:hint="eastAsia" w:ascii="宋体" w:hAnsi="宋体" w:cs="宋体"/>
          <w:b/>
          <w:bCs/>
          <w:color w:val="auto"/>
          <w:sz w:val="22"/>
          <w:highlight w:val="none"/>
          <w:u w:val="single"/>
        </w:rPr>
      </w:pPr>
      <w:r>
        <w:rPr>
          <w:rFonts w:hint="eastAsia" w:ascii="宋体"/>
          <w:b/>
          <w:bCs/>
          <w:color w:val="auto"/>
          <w:sz w:val="22"/>
          <w:highlight w:val="none"/>
        </w:rPr>
        <w:t xml:space="preserve">本项目采购标的所属行业为 </w:t>
      </w:r>
      <w:r>
        <w:rPr>
          <w:rFonts w:hint="eastAsia" w:ascii="宋体" w:hAnsi="宋体" w:cs="宋体"/>
          <w:b/>
          <w:bCs/>
          <w:color w:val="auto"/>
          <w:sz w:val="22"/>
          <w:highlight w:val="none"/>
          <w:u w:val="single"/>
        </w:rPr>
        <w:t>其他未列明行业。</w:t>
      </w:r>
    </w:p>
    <w:p w14:paraId="651A8D58">
      <w:pPr>
        <w:pStyle w:val="2"/>
        <w:numPr>
          <w:ilvl w:val="0"/>
          <w:numId w:val="0"/>
        </w:numPr>
        <w:ind w:right="-255" w:rightChars="-120"/>
        <w:rPr>
          <w:rFonts w:hint="eastAsia" w:eastAsia="宋体"/>
          <w:lang w:val="en-US" w:eastAsia="zh-CN"/>
        </w:rPr>
      </w:pPr>
      <w:r>
        <w:rPr>
          <w:rFonts w:hint="eastAsia" w:ascii="宋体" w:hAnsi="Times New Roman" w:eastAsia="宋体" w:cs="Times New Roman"/>
          <w:b/>
          <w:bCs/>
          <w:color w:val="auto"/>
          <w:kern w:val="2"/>
          <w:sz w:val="22"/>
          <w:szCs w:val="22"/>
          <w:highlight w:val="none"/>
          <w:lang w:val="en-US" w:eastAsia="zh-CN" w:bidi="ar-SA"/>
        </w:rPr>
        <w:t>5</w:t>
      </w:r>
      <w:r>
        <w:rPr>
          <w:rFonts w:hint="eastAsia" w:ascii="宋体"/>
          <w:b/>
          <w:bCs/>
          <w:color w:val="auto"/>
          <w:sz w:val="22"/>
          <w:highlight w:val="none"/>
        </w:rPr>
        <w:t>、</w:t>
      </w:r>
      <w:r>
        <w:rPr>
          <w:rFonts w:hint="eastAsia" w:ascii="宋体"/>
          <w:b/>
          <w:bCs/>
          <w:color w:val="auto"/>
          <w:sz w:val="22"/>
          <w:highlight w:val="none"/>
          <w:u w:val="single"/>
        </w:rPr>
        <w:t>本项目对小微企业（含监狱企业、残疾人福利性单位）投标产品给予10%的评标价格扣除。（说明：标价格折扣计算以元人民币为单位，保留两位小数，第三位四舍五入进位。）</w:t>
      </w:r>
    </w:p>
    <w:p w14:paraId="23F954BC">
      <w:pPr>
        <w:tabs>
          <w:tab w:val="left" w:pos="2352"/>
        </w:tabs>
        <w:snapToGrid w:val="0"/>
        <w:spacing w:line="360" w:lineRule="auto"/>
        <w:jc w:val="left"/>
        <w:rPr>
          <w:b/>
          <w:color w:val="auto"/>
          <w:sz w:val="28"/>
          <w:szCs w:val="28"/>
          <w:highlight w:val="none"/>
        </w:rPr>
      </w:pPr>
    </w:p>
    <w:p w14:paraId="6EE7257F">
      <w:pPr>
        <w:tabs>
          <w:tab w:val="left" w:pos="2352"/>
        </w:tabs>
        <w:snapToGrid w:val="0"/>
        <w:spacing w:line="360" w:lineRule="auto"/>
        <w:jc w:val="left"/>
        <w:rPr>
          <w:b/>
          <w:color w:val="auto"/>
          <w:sz w:val="28"/>
          <w:szCs w:val="28"/>
          <w:highlight w:val="none"/>
        </w:rPr>
      </w:pPr>
    </w:p>
    <w:p w14:paraId="2EBD0B13">
      <w:pPr>
        <w:tabs>
          <w:tab w:val="left" w:pos="2352"/>
        </w:tabs>
        <w:snapToGrid w:val="0"/>
        <w:spacing w:line="360" w:lineRule="auto"/>
        <w:jc w:val="left"/>
        <w:rPr>
          <w:b/>
          <w:color w:val="auto"/>
          <w:sz w:val="28"/>
          <w:szCs w:val="28"/>
          <w:highlight w:val="none"/>
        </w:rPr>
      </w:pPr>
    </w:p>
    <w:p w14:paraId="6E4C0444">
      <w:pPr>
        <w:tabs>
          <w:tab w:val="left" w:pos="2352"/>
        </w:tabs>
        <w:snapToGrid w:val="0"/>
        <w:spacing w:line="360" w:lineRule="auto"/>
        <w:jc w:val="left"/>
        <w:rPr>
          <w:b/>
          <w:color w:val="auto"/>
          <w:sz w:val="28"/>
          <w:szCs w:val="28"/>
          <w:highlight w:val="none"/>
        </w:rPr>
      </w:pPr>
    </w:p>
    <w:p w14:paraId="701EABFD">
      <w:pPr>
        <w:tabs>
          <w:tab w:val="left" w:pos="2352"/>
        </w:tabs>
        <w:snapToGrid w:val="0"/>
        <w:spacing w:line="360" w:lineRule="auto"/>
        <w:jc w:val="left"/>
        <w:rPr>
          <w:b/>
          <w:color w:val="auto"/>
          <w:sz w:val="28"/>
          <w:szCs w:val="28"/>
          <w:highlight w:val="none"/>
        </w:rPr>
      </w:pPr>
    </w:p>
    <w:p w14:paraId="1C13803D">
      <w:pPr>
        <w:pStyle w:val="2"/>
      </w:pPr>
    </w:p>
    <w:p w14:paraId="6826FA76">
      <w:pPr>
        <w:tabs>
          <w:tab w:val="left" w:pos="2352"/>
        </w:tabs>
        <w:snapToGrid w:val="0"/>
        <w:spacing w:line="360" w:lineRule="auto"/>
        <w:jc w:val="left"/>
        <w:rPr>
          <w:b/>
          <w:color w:val="auto"/>
          <w:sz w:val="28"/>
          <w:szCs w:val="28"/>
          <w:highlight w:val="none"/>
        </w:rPr>
      </w:pPr>
    </w:p>
    <w:p w14:paraId="7A39165C">
      <w:pPr>
        <w:tabs>
          <w:tab w:val="left" w:pos="2352"/>
        </w:tabs>
        <w:snapToGrid w:val="0"/>
        <w:spacing w:line="360" w:lineRule="auto"/>
        <w:jc w:val="left"/>
        <w:rPr>
          <w:b/>
          <w:color w:val="auto"/>
          <w:sz w:val="28"/>
          <w:szCs w:val="28"/>
          <w:highlight w:val="none"/>
        </w:rPr>
      </w:pPr>
    </w:p>
    <w:p w14:paraId="00B60BC2">
      <w:pPr>
        <w:tabs>
          <w:tab w:val="left" w:pos="2352"/>
        </w:tabs>
        <w:snapToGrid w:val="0"/>
        <w:spacing w:line="360" w:lineRule="auto"/>
        <w:jc w:val="left"/>
        <w:rPr>
          <w:b/>
          <w:color w:val="auto"/>
          <w:sz w:val="28"/>
          <w:szCs w:val="28"/>
          <w:highlight w:val="none"/>
        </w:rPr>
      </w:pPr>
      <w:r>
        <w:rPr>
          <w:rFonts w:hint="eastAsia"/>
          <w:b/>
          <w:color w:val="auto"/>
          <w:sz w:val="28"/>
          <w:szCs w:val="28"/>
          <w:highlight w:val="none"/>
        </w:rPr>
        <w:t>附件1</w:t>
      </w:r>
    </w:p>
    <w:p w14:paraId="2D487AC9">
      <w:pPr>
        <w:tabs>
          <w:tab w:val="left" w:pos="2352"/>
        </w:tabs>
        <w:snapToGrid w:val="0"/>
        <w:spacing w:line="360" w:lineRule="auto"/>
        <w:jc w:val="center"/>
        <w:rPr>
          <w:b/>
          <w:color w:val="auto"/>
          <w:sz w:val="28"/>
          <w:szCs w:val="28"/>
          <w:highlight w:val="none"/>
        </w:rPr>
      </w:pPr>
      <w:r>
        <w:rPr>
          <w:rFonts w:hint="eastAsia"/>
          <w:b/>
          <w:color w:val="auto"/>
          <w:sz w:val="28"/>
          <w:szCs w:val="28"/>
          <w:highlight w:val="none"/>
        </w:rPr>
        <w:t>中小企业声明函（服务）</w:t>
      </w:r>
    </w:p>
    <w:p w14:paraId="2B888AE5">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本公司（联合体）郑重声明，根据《政府采购促进中小企业发展管理办法》（财库﹝2020﹞46 号）的规定，本公司 （联合体）参加</w:t>
      </w:r>
      <w:r>
        <w:rPr>
          <w:rFonts w:ascii="宋体" w:hAnsi="宋体" w:cs="宋体"/>
          <w:color w:val="auto"/>
          <w:sz w:val="22"/>
          <w:highlight w:val="none"/>
          <w:u w:val="single"/>
        </w:rPr>
        <w:t>（</w:t>
      </w:r>
      <w:r>
        <w:rPr>
          <w:rFonts w:hint="eastAsia" w:ascii="宋体" w:hAnsi="宋体" w:cs="宋体"/>
          <w:color w:val="auto"/>
          <w:sz w:val="22"/>
          <w:highlight w:val="none"/>
          <w:u w:val="single"/>
        </w:rPr>
        <w:t>泰顺县自然资源和规划局</w:t>
      </w:r>
      <w:r>
        <w:rPr>
          <w:rFonts w:ascii="宋体" w:hAnsi="宋体" w:cs="宋体"/>
          <w:color w:val="auto"/>
          <w:sz w:val="22"/>
          <w:highlight w:val="none"/>
          <w:u w:val="single"/>
        </w:rPr>
        <w:t>）</w:t>
      </w:r>
      <w:r>
        <w:rPr>
          <w:rFonts w:ascii="宋体" w:hAnsi="宋体" w:cs="宋体"/>
          <w:color w:val="auto"/>
          <w:sz w:val="22"/>
          <w:highlight w:val="none"/>
        </w:rPr>
        <w:t>的</w:t>
      </w:r>
      <w:r>
        <w:rPr>
          <w:rFonts w:ascii="宋体" w:hAnsi="宋体" w:cs="宋体"/>
          <w:color w:val="auto"/>
          <w:sz w:val="22"/>
          <w:highlight w:val="none"/>
          <w:u w:val="single"/>
        </w:rPr>
        <w:t>（</w:t>
      </w:r>
      <w:r>
        <w:rPr>
          <w:rFonts w:hint="eastAsia" w:ascii="宋体" w:hAnsi="宋体" w:cs="宋体"/>
          <w:color w:val="auto"/>
          <w:sz w:val="22"/>
          <w:highlight w:val="none"/>
          <w:u w:val="single"/>
          <w:lang w:eastAsia="zh-CN"/>
        </w:rPr>
        <w:t>2025年泰顺县森林资源动态监测与评价</w:t>
      </w:r>
      <w:r>
        <w:rPr>
          <w:rFonts w:ascii="宋体" w:hAnsi="宋体" w:cs="宋体"/>
          <w:color w:val="auto"/>
          <w:sz w:val="22"/>
          <w:highlight w:val="none"/>
          <w:u w:val="single"/>
        </w:rPr>
        <w:t>）</w:t>
      </w:r>
      <w:r>
        <w:rPr>
          <w:rFonts w:ascii="宋体" w:hAnsi="宋体" w:cs="宋体"/>
          <w:color w:val="auto"/>
          <w:sz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6BDB7FFA">
      <w:pPr>
        <w:numPr>
          <w:ilvl w:val="0"/>
          <w:numId w:val="8"/>
        </w:num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b/>
          <w:bCs/>
          <w:color w:val="auto"/>
          <w:sz w:val="22"/>
          <w:highlight w:val="none"/>
          <w:u w:val="single"/>
        </w:rPr>
        <w:t>（</w:t>
      </w:r>
      <w:r>
        <w:rPr>
          <w:rFonts w:hint="eastAsia" w:ascii="宋体" w:hAnsi="宋体" w:cs="宋体"/>
          <w:b/>
          <w:bCs/>
          <w:color w:val="auto"/>
          <w:sz w:val="22"/>
          <w:highlight w:val="none"/>
          <w:u w:val="single"/>
        </w:rPr>
        <w:t>标的名称</w:t>
      </w:r>
      <w:r>
        <w:rPr>
          <w:rFonts w:ascii="宋体" w:hAnsi="宋体" w:cs="宋体"/>
          <w:b/>
          <w:bCs/>
          <w:color w:val="auto"/>
          <w:sz w:val="22"/>
          <w:highlight w:val="none"/>
          <w:u w:val="single"/>
        </w:rPr>
        <w:t>）</w:t>
      </w:r>
      <w:r>
        <w:rPr>
          <w:rFonts w:ascii="宋体" w:hAnsi="宋体" w:cs="宋体"/>
          <w:b/>
          <w:bCs/>
          <w:color w:val="auto"/>
          <w:sz w:val="22"/>
          <w:highlight w:val="none"/>
        </w:rPr>
        <w:t xml:space="preserve"> </w:t>
      </w:r>
      <w:r>
        <w:rPr>
          <w:rFonts w:ascii="宋体" w:hAnsi="宋体" w:cs="宋体"/>
          <w:color w:val="auto"/>
          <w:sz w:val="22"/>
          <w:highlight w:val="none"/>
        </w:rPr>
        <w:t>，属于</w:t>
      </w:r>
      <w:r>
        <w:rPr>
          <w:rFonts w:hint="eastAsia" w:ascii="宋体" w:hAnsi="宋体" w:cs="宋体"/>
          <w:b/>
          <w:bCs/>
          <w:color w:val="auto"/>
          <w:sz w:val="22"/>
          <w:highlight w:val="none"/>
          <w:u w:val="single"/>
        </w:rPr>
        <w:t>（</w:t>
      </w:r>
      <w:r>
        <w:rPr>
          <w:rFonts w:ascii="宋体" w:hAnsi="宋体" w:cs="宋体"/>
          <w:b/>
          <w:bCs/>
          <w:color w:val="auto"/>
          <w:sz w:val="22"/>
          <w:highlight w:val="none"/>
          <w:u w:val="single"/>
        </w:rPr>
        <w:t>采购文件中明确的所属行业</w:t>
      </w:r>
      <w:r>
        <w:rPr>
          <w:rFonts w:hint="eastAsia" w:ascii="宋体" w:hAnsi="宋体" w:cs="宋体"/>
          <w:b/>
          <w:bCs/>
          <w:color w:val="auto"/>
          <w:sz w:val="22"/>
          <w:highlight w:val="none"/>
          <w:u w:val="single"/>
        </w:rPr>
        <w:t>）</w:t>
      </w:r>
      <w:r>
        <w:rPr>
          <w:rFonts w:ascii="宋体" w:hAnsi="宋体" w:cs="宋体"/>
          <w:b/>
          <w:bCs/>
          <w:color w:val="auto"/>
          <w:sz w:val="22"/>
          <w:highlight w:val="none"/>
        </w:rPr>
        <w:t>；</w:t>
      </w:r>
      <w:r>
        <w:rPr>
          <w:rFonts w:ascii="宋体" w:hAnsi="宋体" w:cs="宋体"/>
          <w:color w:val="auto"/>
          <w:sz w:val="22"/>
          <w:highlight w:val="none"/>
        </w:rPr>
        <w:t xml:space="preserve"> 承建（承接）企业为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人，营业收入为</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 ，属于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 xml:space="preserve">； </w:t>
      </w:r>
    </w:p>
    <w:p w14:paraId="74CD6A62">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2.</w:t>
      </w:r>
      <w:r>
        <w:rPr>
          <w:rFonts w:ascii="宋体" w:hAnsi="宋体" w:cs="宋体"/>
          <w:color w:val="auto"/>
          <w:sz w:val="22"/>
          <w:highlight w:val="none"/>
          <w:u w:val="single"/>
        </w:rPr>
        <w:t xml:space="preserve"> （标的名称）</w:t>
      </w:r>
      <w:r>
        <w:rPr>
          <w:rFonts w:hint="eastAsia" w:ascii="宋体" w:hAnsi="宋体" w:cs="宋体"/>
          <w:color w:val="auto"/>
          <w:sz w:val="22"/>
          <w:highlight w:val="none"/>
          <w:u w:val="single"/>
        </w:rPr>
        <w:t xml:space="preserve">  </w:t>
      </w:r>
      <w:r>
        <w:rPr>
          <w:rFonts w:ascii="宋体" w:hAnsi="宋体" w:cs="宋体"/>
          <w:color w:val="auto"/>
          <w:sz w:val="22"/>
          <w:highlight w:val="none"/>
          <w:u w:val="single"/>
        </w:rPr>
        <w:t xml:space="preserve"> </w:t>
      </w:r>
      <w:r>
        <w:rPr>
          <w:rFonts w:ascii="宋体" w:hAnsi="宋体" w:cs="宋体"/>
          <w:color w:val="auto"/>
          <w:sz w:val="22"/>
          <w:highlight w:val="none"/>
        </w:rPr>
        <w:t>，属于</w:t>
      </w:r>
      <w:r>
        <w:rPr>
          <w:rFonts w:ascii="宋体" w:hAnsi="宋体" w:cs="宋体"/>
          <w:color w:val="auto"/>
          <w:sz w:val="22"/>
          <w:highlight w:val="none"/>
          <w:u w:val="single"/>
        </w:rPr>
        <w:t>（采购文件中明确的所属行业）</w:t>
      </w:r>
      <w:r>
        <w:rPr>
          <w:rFonts w:ascii="宋体" w:hAnsi="宋体" w:cs="宋体"/>
          <w:color w:val="auto"/>
          <w:sz w:val="22"/>
          <w:highlight w:val="none"/>
        </w:rPr>
        <w:t>； 承建（承接）企业为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 xml:space="preserve">人，营业收入为 </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 xml:space="preserve">； </w:t>
      </w:r>
    </w:p>
    <w:p w14:paraId="7833C9D3">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7D4BAE5B">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 xml:space="preserve">企业名称（盖章）： </w:t>
      </w:r>
    </w:p>
    <w:p w14:paraId="2A8D977C">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日 期：</w:t>
      </w:r>
    </w:p>
    <w:p w14:paraId="18A62953">
      <w:pPr>
        <w:tabs>
          <w:tab w:val="left" w:pos="1069"/>
          <w:tab w:val="left" w:pos="2352"/>
        </w:tabs>
        <w:spacing w:line="400" w:lineRule="exact"/>
        <w:ind w:firstLine="446" w:firstLineChars="200"/>
        <w:rPr>
          <w:color w:val="auto"/>
          <w:highlight w:val="none"/>
        </w:rPr>
      </w:pPr>
      <w:r>
        <w:rPr>
          <w:rFonts w:hint="eastAsia" w:ascii="宋体" w:hAnsi="宋体" w:cs="宋体"/>
          <w:color w:val="auto"/>
          <w:sz w:val="22"/>
          <w:highlight w:val="none"/>
        </w:rPr>
        <w:t>注：</w:t>
      </w:r>
      <w:r>
        <w:rPr>
          <w:rFonts w:ascii="宋体" w:hAnsi="宋体" w:cs="宋体"/>
          <w:color w:val="auto"/>
          <w:sz w:val="22"/>
          <w:highlight w:val="none"/>
        </w:rPr>
        <w:t xml:space="preserve"> 从业人员、营业收入、资产总额填报上一年度数据，无上一年度数据的新成立企业可不填报。</w:t>
      </w:r>
    </w:p>
    <w:p w14:paraId="7CE0611B">
      <w:pPr>
        <w:tabs>
          <w:tab w:val="left" w:pos="2352"/>
        </w:tabs>
        <w:snapToGrid w:val="0"/>
        <w:spacing w:line="360" w:lineRule="auto"/>
        <w:jc w:val="left"/>
        <w:rPr>
          <w:b/>
          <w:color w:val="auto"/>
          <w:sz w:val="28"/>
          <w:szCs w:val="28"/>
          <w:highlight w:val="none"/>
        </w:rPr>
      </w:pPr>
      <w:r>
        <w:rPr>
          <w:rFonts w:hint="eastAsia"/>
          <w:b/>
          <w:color w:val="auto"/>
          <w:sz w:val="28"/>
          <w:szCs w:val="28"/>
          <w:highlight w:val="none"/>
        </w:rPr>
        <w:t>附件2</w:t>
      </w:r>
    </w:p>
    <w:p w14:paraId="396DAA4B">
      <w:pPr>
        <w:tabs>
          <w:tab w:val="left" w:pos="2352"/>
        </w:tabs>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6A8E6049">
      <w:pPr>
        <w:tabs>
          <w:tab w:val="left" w:pos="2352"/>
        </w:tabs>
        <w:snapToGrid w:val="0"/>
        <w:spacing w:line="360" w:lineRule="auto"/>
        <w:ind w:firstLine="446"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A7B069E">
      <w:pPr>
        <w:tabs>
          <w:tab w:val="left" w:pos="2352"/>
        </w:tabs>
        <w:snapToGrid w:val="0"/>
        <w:spacing w:line="360" w:lineRule="auto"/>
        <w:ind w:firstLine="446" w:firstLineChars="200"/>
        <w:rPr>
          <w:color w:val="auto"/>
          <w:sz w:val="22"/>
          <w:highlight w:val="none"/>
        </w:rPr>
      </w:pPr>
      <w:r>
        <w:rPr>
          <w:rFonts w:hint="eastAsia"/>
          <w:color w:val="auto"/>
          <w:sz w:val="22"/>
          <w:highlight w:val="none"/>
        </w:rPr>
        <w:t>本单位对上述声明的真实性负责。如有虚假，将依法承担相应责任。</w:t>
      </w:r>
    </w:p>
    <w:p w14:paraId="55E34AD5">
      <w:pPr>
        <w:tabs>
          <w:tab w:val="left" w:pos="2352"/>
        </w:tabs>
        <w:snapToGrid w:val="0"/>
        <w:spacing w:line="360" w:lineRule="auto"/>
        <w:ind w:firstLine="446" w:firstLineChars="200"/>
        <w:rPr>
          <w:color w:val="auto"/>
          <w:sz w:val="22"/>
          <w:highlight w:val="none"/>
        </w:rPr>
      </w:pPr>
    </w:p>
    <w:p w14:paraId="072B435A">
      <w:pPr>
        <w:tabs>
          <w:tab w:val="left" w:pos="2352"/>
        </w:tabs>
        <w:snapToGrid w:val="0"/>
        <w:spacing w:line="360" w:lineRule="auto"/>
        <w:ind w:firstLine="446" w:firstLineChars="200"/>
        <w:rPr>
          <w:color w:val="auto"/>
          <w:sz w:val="22"/>
          <w:highlight w:val="none"/>
        </w:rPr>
      </w:pPr>
    </w:p>
    <w:p w14:paraId="4C6B1764">
      <w:pPr>
        <w:tabs>
          <w:tab w:val="left" w:pos="2352"/>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单位名称（盖章）：</w:t>
      </w:r>
    </w:p>
    <w:p w14:paraId="3615E00F">
      <w:pPr>
        <w:tabs>
          <w:tab w:val="left" w:pos="2352"/>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日  期：</w:t>
      </w:r>
    </w:p>
    <w:p w14:paraId="7F5BF215">
      <w:pPr>
        <w:pStyle w:val="36"/>
        <w:tabs>
          <w:tab w:val="left" w:pos="2352"/>
        </w:tabs>
        <w:snapToGrid w:val="0"/>
        <w:spacing w:line="360" w:lineRule="auto"/>
        <w:ind w:left="360" w:firstLine="0" w:firstLineChars="0"/>
        <w:rPr>
          <w:rFonts w:cs="宋体"/>
          <w:color w:val="auto"/>
          <w:sz w:val="22"/>
          <w:highlight w:val="none"/>
        </w:rPr>
      </w:pPr>
    </w:p>
    <w:bookmarkEnd w:id="61"/>
    <w:p w14:paraId="16CDBBE4">
      <w:pPr>
        <w:pStyle w:val="9"/>
        <w:tabs>
          <w:tab w:val="left" w:pos="1069"/>
          <w:tab w:val="left" w:pos="2352"/>
        </w:tabs>
        <w:spacing w:line="480" w:lineRule="exact"/>
        <w:rPr>
          <w:rFonts w:ascii="宋体" w:hAnsi="宋体" w:cs="宋体"/>
          <w:b/>
          <w:bCs/>
          <w:color w:val="auto"/>
          <w:sz w:val="26"/>
          <w:szCs w:val="26"/>
          <w:highlight w:val="none"/>
        </w:rPr>
      </w:pPr>
      <w:r>
        <w:rPr>
          <w:rFonts w:hint="eastAsia" w:ascii="宋体" w:hAnsi="宋体" w:cs="宋体"/>
          <w:b/>
          <w:bCs/>
          <w:color w:val="auto"/>
          <w:sz w:val="26"/>
          <w:szCs w:val="26"/>
          <w:highlight w:val="none"/>
        </w:rPr>
        <w:t>三、信贷政策</w:t>
      </w:r>
    </w:p>
    <w:p w14:paraId="7C1D0BA6">
      <w:pPr>
        <w:tabs>
          <w:tab w:val="left" w:pos="1069"/>
          <w:tab w:val="left" w:pos="2352"/>
        </w:tabs>
        <w:snapToGrid w:val="0"/>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1、温州市财政局关于温州市政府采购支持中小企业信用融资的通知（温财采〔2020〕3号）</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1BE71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75A40B45">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温州市政府采购支持中小企业信用融资合作银行</w:t>
            </w:r>
          </w:p>
        </w:tc>
      </w:tr>
      <w:tr w14:paraId="1B862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18C927CA">
            <w:pPr>
              <w:pStyle w:val="37"/>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银行名称</w:t>
            </w:r>
          </w:p>
        </w:tc>
        <w:tc>
          <w:tcPr>
            <w:tcW w:w="4201" w:type="dxa"/>
          </w:tcPr>
          <w:p w14:paraId="092EF605">
            <w:pPr>
              <w:pStyle w:val="37"/>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产品特点（不超过120字）</w:t>
            </w:r>
          </w:p>
        </w:tc>
        <w:tc>
          <w:tcPr>
            <w:tcW w:w="1000" w:type="dxa"/>
          </w:tcPr>
          <w:p w14:paraId="5D62FB28">
            <w:pPr>
              <w:pStyle w:val="37"/>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经办人</w:t>
            </w:r>
          </w:p>
        </w:tc>
        <w:tc>
          <w:tcPr>
            <w:tcW w:w="1820" w:type="dxa"/>
          </w:tcPr>
          <w:p w14:paraId="3E93F49B">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联系方式</w:t>
            </w:r>
          </w:p>
        </w:tc>
      </w:tr>
      <w:tr w14:paraId="144F3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24AD380">
            <w:pPr>
              <w:pStyle w:val="3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中国工商银行股份有限公司温州分行</w:t>
            </w:r>
          </w:p>
        </w:tc>
        <w:tc>
          <w:tcPr>
            <w:tcW w:w="4201" w:type="dxa"/>
          </w:tcPr>
          <w:p w14:paraId="4EB5174F">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6810F169">
            <w:pPr>
              <w:pStyle w:val="3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王经理</w:t>
            </w:r>
          </w:p>
        </w:tc>
        <w:tc>
          <w:tcPr>
            <w:tcW w:w="1820" w:type="dxa"/>
          </w:tcPr>
          <w:p w14:paraId="2601B6F0">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0577-88186626</w:t>
            </w:r>
          </w:p>
          <w:p w14:paraId="1AB5D951">
            <w:pPr>
              <w:tabs>
                <w:tab w:val="left" w:pos="1069"/>
                <w:tab w:val="left" w:pos="2352"/>
              </w:tabs>
              <w:jc w:val="left"/>
              <w:rPr>
                <w:rFonts w:ascii="宋体" w:hAnsi="宋体" w:cs="宋体"/>
                <w:color w:val="auto"/>
                <w:sz w:val="22"/>
                <w:highlight w:val="none"/>
              </w:rPr>
            </w:pPr>
          </w:p>
        </w:tc>
      </w:tr>
      <w:tr w14:paraId="1CF12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57694952">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中国建设银行股份有限公司温州分行</w:t>
            </w:r>
          </w:p>
        </w:tc>
        <w:tc>
          <w:tcPr>
            <w:tcW w:w="4201" w:type="dxa"/>
          </w:tcPr>
          <w:p w14:paraId="05C568F3">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262261A7">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张经理</w:t>
            </w:r>
          </w:p>
        </w:tc>
        <w:tc>
          <w:tcPr>
            <w:tcW w:w="1820" w:type="dxa"/>
          </w:tcPr>
          <w:p w14:paraId="36007AC3">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0577-88093286</w:t>
            </w:r>
          </w:p>
        </w:tc>
      </w:tr>
      <w:tr w14:paraId="4097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0F368604">
            <w:pPr>
              <w:pStyle w:val="3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中国邮政储蓄银行股份有限公司温州市分行</w:t>
            </w:r>
          </w:p>
        </w:tc>
        <w:tc>
          <w:tcPr>
            <w:tcW w:w="4201" w:type="dxa"/>
            <w:vAlign w:val="center"/>
          </w:tcPr>
          <w:p w14:paraId="653455BD">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31FA9B08">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郑经理</w:t>
            </w:r>
          </w:p>
        </w:tc>
        <w:tc>
          <w:tcPr>
            <w:tcW w:w="1820" w:type="dxa"/>
            <w:vAlign w:val="center"/>
          </w:tcPr>
          <w:p w14:paraId="37052BCD">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0577-88193910</w:t>
            </w:r>
          </w:p>
          <w:p w14:paraId="470B1CB9">
            <w:pPr>
              <w:tabs>
                <w:tab w:val="left" w:pos="1069"/>
                <w:tab w:val="left" w:pos="2352"/>
              </w:tabs>
              <w:jc w:val="left"/>
              <w:rPr>
                <w:rFonts w:ascii="宋体" w:hAnsi="宋体" w:cs="宋体"/>
                <w:color w:val="auto"/>
                <w:sz w:val="22"/>
                <w:highlight w:val="none"/>
              </w:rPr>
            </w:pPr>
          </w:p>
        </w:tc>
      </w:tr>
      <w:tr w14:paraId="108F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7B77CB1">
            <w:pPr>
              <w:pStyle w:val="3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中国民生银行股份有限公司温州分行</w:t>
            </w:r>
          </w:p>
        </w:tc>
        <w:tc>
          <w:tcPr>
            <w:tcW w:w="4201" w:type="dxa"/>
          </w:tcPr>
          <w:p w14:paraId="0ECFD9E7">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15F5913C">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项经理</w:t>
            </w:r>
          </w:p>
        </w:tc>
        <w:tc>
          <w:tcPr>
            <w:tcW w:w="1820" w:type="dxa"/>
          </w:tcPr>
          <w:p w14:paraId="4F7DCF3F">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18057779630</w:t>
            </w:r>
          </w:p>
        </w:tc>
      </w:tr>
      <w:tr w14:paraId="669E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5914C36">
            <w:pPr>
              <w:pStyle w:val="3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宁波银行股份有限公司温州分行</w:t>
            </w:r>
          </w:p>
        </w:tc>
        <w:tc>
          <w:tcPr>
            <w:tcW w:w="4201" w:type="dxa"/>
          </w:tcPr>
          <w:p w14:paraId="60BFE2A8">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00" w:type="dxa"/>
          </w:tcPr>
          <w:p w14:paraId="6EA33A2E">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tcPr>
          <w:p w14:paraId="1F5A3C20">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0577－88007377</w:t>
            </w:r>
          </w:p>
          <w:p w14:paraId="2B900927">
            <w:pPr>
              <w:tabs>
                <w:tab w:val="left" w:pos="1069"/>
                <w:tab w:val="left" w:pos="2352"/>
              </w:tabs>
              <w:jc w:val="left"/>
              <w:rPr>
                <w:rFonts w:ascii="宋体" w:hAnsi="宋体" w:cs="宋体"/>
                <w:color w:val="auto"/>
                <w:sz w:val="22"/>
                <w:highlight w:val="none"/>
              </w:rPr>
            </w:pPr>
          </w:p>
        </w:tc>
      </w:tr>
      <w:tr w14:paraId="4401E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0403F346">
            <w:pPr>
              <w:pStyle w:val="3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杭州银行股份有限公司温州分行</w:t>
            </w:r>
          </w:p>
        </w:tc>
        <w:tc>
          <w:tcPr>
            <w:tcW w:w="4201" w:type="dxa"/>
          </w:tcPr>
          <w:p w14:paraId="69AFA5AD">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门槛低：纯信用，平台注册入库并取得采购合同即可申请</w:t>
            </w:r>
          </w:p>
          <w:p w14:paraId="4DA44AEA">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手续简：线上申请+线上签约，足不出户</w:t>
            </w:r>
          </w:p>
          <w:p w14:paraId="495B456F">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利率优：按优于一般中小企业贷款利率执行</w:t>
            </w:r>
          </w:p>
          <w:p w14:paraId="2FB06589">
            <w:pPr>
              <w:tabs>
                <w:tab w:val="left" w:pos="1069"/>
                <w:tab w:val="left" w:pos="2352"/>
              </w:tabs>
              <w:rPr>
                <w:rFonts w:ascii="宋体" w:hAnsi="宋体" w:cs="宋体"/>
                <w:color w:val="auto"/>
                <w:sz w:val="22"/>
                <w:highlight w:val="none"/>
              </w:rPr>
            </w:pPr>
            <w:r>
              <w:rPr>
                <w:rFonts w:hint="eastAsia" w:ascii="宋体" w:hAnsi="宋体" w:cs="宋体"/>
                <w:bCs/>
                <w:color w:val="auto"/>
                <w:sz w:val="22"/>
                <w:highlight w:val="none"/>
              </w:rPr>
              <w:t>额度高：最高为合同金额的80%</w:t>
            </w:r>
          </w:p>
        </w:tc>
        <w:tc>
          <w:tcPr>
            <w:tcW w:w="1000" w:type="dxa"/>
          </w:tcPr>
          <w:p w14:paraId="4BB4F993">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叶经理</w:t>
            </w:r>
          </w:p>
        </w:tc>
        <w:tc>
          <w:tcPr>
            <w:tcW w:w="1820" w:type="dxa"/>
          </w:tcPr>
          <w:p w14:paraId="56C6568C">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0577-88008933</w:t>
            </w:r>
          </w:p>
        </w:tc>
      </w:tr>
      <w:tr w14:paraId="1A30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6C9B287">
            <w:pPr>
              <w:pStyle w:val="3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招商银行股份有限公司温州分行</w:t>
            </w:r>
          </w:p>
        </w:tc>
        <w:tc>
          <w:tcPr>
            <w:tcW w:w="4201" w:type="dxa"/>
          </w:tcPr>
          <w:p w14:paraId="2B6C71FB">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政采贷是招商银行针对政府采购招投标中标（成交）供应商，以政府采购合同项下未来应收账款为第一还款来源的融资业务，无需抵质押物。额度最高可达2000万，同时可开通自助贷款直通功能，自助贷款额度最高可达1000万，支持线上申请、随借随还。</w:t>
            </w:r>
          </w:p>
        </w:tc>
        <w:tc>
          <w:tcPr>
            <w:tcW w:w="1000" w:type="dxa"/>
          </w:tcPr>
          <w:p w14:paraId="48EB21C2">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tcPr>
          <w:p w14:paraId="0B17F5BC">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0577-88056876</w:t>
            </w:r>
          </w:p>
          <w:p w14:paraId="71EE4894">
            <w:pPr>
              <w:tabs>
                <w:tab w:val="left" w:pos="1069"/>
                <w:tab w:val="left" w:pos="2352"/>
              </w:tabs>
              <w:jc w:val="left"/>
              <w:rPr>
                <w:rFonts w:ascii="宋体" w:hAnsi="宋体" w:cs="宋体"/>
                <w:color w:val="auto"/>
                <w:sz w:val="22"/>
                <w:highlight w:val="none"/>
              </w:rPr>
            </w:pPr>
          </w:p>
        </w:tc>
      </w:tr>
      <w:tr w14:paraId="43EDB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03E1953A">
            <w:pPr>
              <w:pStyle w:val="3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兴业银行股份有限公司温州分行</w:t>
            </w:r>
          </w:p>
        </w:tc>
        <w:tc>
          <w:tcPr>
            <w:tcW w:w="4201" w:type="dxa"/>
            <w:vAlign w:val="center"/>
          </w:tcPr>
          <w:p w14:paraId="010B8A81">
            <w:pPr>
              <w:pStyle w:val="37"/>
              <w:tabs>
                <w:tab w:val="left" w:pos="1069"/>
                <w:tab w:val="left" w:pos="2352"/>
              </w:tabs>
              <w:spacing w:line="240" w:lineRule="auto"/>
              <w:ind w:firstLine="0" w:firstLineChars="0"/>
              <w:jc w:val="both"/>
              <w:rPr>
                <w:rFonts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00" w:type="dxa"/>
            <w:vAlign w:val="center"/>
          </w:tcPr>
          <w:p w14:paraId="11C5A24B">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张经理</w:t>
            </w:r>
          </w:p>
          <w:p w14:paraId="50ECB799">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vAlign w:val="center"/>
          </w:tcPr>
          <w:p w14:paraId="74917245">
            <w:pPr>
              <w:pStyle w:val="3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0577-88369368/13857713118</w:t>
            </w:r>
          </w:p>
          <w:p w14:paraId="16C47605">
            <w:pPr>
              <w:pStyle w:val="3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0577-56969696-526506</w:t>
            </w:r>
          </w:p>
        </w:tc>
      </w:tr>
      <w:tr w14:paraId="3325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0C16F489">
            <w:pPr>
              <w:pStyle w:val="3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温州银行股份有限公司温州分行</w:t>
            </w:r>
          </w:p>
        </w:tc>
        <w:tc>
          <w:tcPr>
            <w:tcW w:w="4201" w:type="dxa"/>
          </w:tcPr>
          <w:p w14:paraId="09810B6C">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5478C2BB">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tcPr>
          <w:p w14:paraId="72B93396">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13736355866</w:t>
            </w:r>
          </w:p>
        </w:tc>
      </w:tr>
      <w:tr w14:paraId="3CE29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3AEE6E2">
            <w:pPr>
              <w:pStyle w:val="3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温州银行股份有限公司鹿城分行</w:t>
            </w:r>
          </w:p>
        </w:tc>
        <w:tc>
          <w:tcPr>
            <w:tcW w:w="4201" w:type="dxa"/>
          </w:tcPr>
          <w:p w14:paraId="40B09D6D">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政采订单贷：1、面向政府采购项目供应商，满足供应商资金周转需求，凭中标通知书即可申请，2、秒知额高，最高可贷500万元，单笔业务金额可贷中标金额的80%，</w:t>
            </w:r>
          </w:p>
          <w:p w14:paraId="55683827">
            <w:pPr>
              <w:pStyle w:val="36"/>
              <w:tabs>
                <w:tab w:val="left" w:pos="1069"/>
                <w:tab w:val="left" w:pos="2352"/>
              </w:tabs>
              <w:ind w:left="5" w:firstLine="0" w:firstLineChars="0"/>
              <w:rPr>
                <w:rFonts w:ascii="宋体" w:hAnsi="宋体" w:cs="宋体"/>
                <w:color w:val="auto"/>
                <w:sz w:val="22"/>
                <w:highlight w:val="none"/>
              </w:rPr>
            </w:pPr>
            <w:r>
              <w:rPr>
                <w:rFonts w:hint="eastAsia" w:ascii="宋体" w:hAnsi="宋体" w:cs="宋体"/>
                <w:color w:val="auto"/>
                <w:sz w:val="22"/>
                <w:highlight w:val="none"/>
              </w:rPr>
              <w:t>最长期限可贷1年。信保贷：1、额度最高可达500万元</w:t>
            </w:r>
          </w:p>
          <w:p w14:paraId="691C41EB">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2、担保灵活，信用贷款3、贷款年利率至少可享受本单位一般性中小企业信用贷款利率基础上下浮10 %</w:t>
            </w:r>
          </w:p>
        </w:tc>
        <w:tc>
          <w:tcPr>
            <w:tcW w:w="1000" w:type="dxa"/>
          </w:tcPr>
          <w:p w14:paraId="1F91C124">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戴经理</w:t>
            </w:r>
          </w:p>
        </w:tc>
        <w:tc>
          <w:tcPr>
            <w:tcW w:w="1820" w:type="dxa"/>
          </w:tcPr>
          <w:p w14:paraId="523AD17C">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13605772302</w:t>
            </w:r>
          </w:p>
        </w:tc>
      </w:tr>
      <w:tr w14:paraId="0BED1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CE317D8">
            <w:pPr>
              <w:pStyle w:val="3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交通银行股份有限公司温州分行</w:t>
            </w:r>
          </w:p>
        </w:tc>
        <w:tc>
          <w:tcPr>
            <w:tcW w:w="4201" w:type="dxa"/>
          </w:tcPr>
          <w:p w14:paraId="4CA8DAEA">
            <w:pPr>
              <w:tabs>
                <w:tab w:val="left" w:pos="1069"/>
                <w:tab w:val="left" w:pos="2352"/>
              </w:tabs>
              <w:autoSpaceDE w:val="0"/>
              <w:autoSpaceDN w:val="0"/>
              <w:adjustRightInd w:val="0"/>
              <w:jc w:val="left"/>
              <w:rPr>
                <w:rFonts w:ascii="宋体" w:hAnsi="宋体" w:cs="宋体"/>
                <w:color w:val="auto"/>
                <w:sz w:val="22"/>
                <w:highlight w:val="none"/>
              </w:rPr>
            </w:pPr>
            <w:r>
              <w:rPr>
                <w:rFonts w:hint="eastAsia" w:ascii="宋体" w:hAnsi="宋体" w:cs="宋体"/>
                <w:color w:val="auto"/>
                <w:sz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6A6BF1EC">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缪经理</w:t>
            </w:r>
          </w:p>
        </w:tc>
        <w:tc>
          <w:tcPr>
            <w:tcW w:w="1820" w:type="dxa"/>
          </w:tcPr>
          <w:p w14:paraId="5F2B1165">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0577-88248454</w:t>
            </w:r>
          </w:p>
        </w:tc>
      </w:tr>
      <w:tr w14:paraId="4CC2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397AC4F0">
            <w:pPr>
              <w:pStyle w:val="3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上海浦东发展银行股份有限公司温州分行</w:t>
            </w:r>
          </w:p>
        </w:tc>
        <w:tc>
          <w:tcPr>
            <w:tcW w:w="4201" w:type="dxa"/>
          </w:tcPr>
          <w:p w14:paraId="3DAF249E">
            <w:pPr>
              <w:tabs>
                <w:tab w:val="left" w:pos="1069"/>
                <w:tab w:val="left" w:pos="2352"/>
              </w:tabs>
              <w:jc w:val="left"/>
              <w:rPr>
                <w:rFonts w:ascii="宋体" w:hAnsi="宋体" w:cs="宋体"/>
                <w:bCs/>
                <w:color w:val="auto"/>
                <w:sz w:val="22"/>
                <w:highlight w:val="none"/>
              </w:rPr>
            </w:pPr>
            <w:r>
              <w:rPr>
                <w:rFonts w:hint="eastAsia" w:ascii="宋体" w:hAnsi="宋体" w:cs="宋体"/>
                <w:bCs/>
                <w:color w:val="auto"/>
                <w:sz w:val="22"/>
                <w:highlight w:val="none"/>
              </w:rPr>
              <w:t>政采e贷：是浦发银行面向温州地区经营状况良好的小微企业政府采购项目供应商所提供的专属政府采购订单融资产品。产品特点：纯信用、免担保、门槛低、授信快、在线贷、秒放款</w:t>
            </w:r>
          </w:p>
          <w:p w14:paraId="394AB63E">
            <w:pPr>
              <w:shd w:val="clear" w:color="auto" w:fill="FFFFFF"/>
              <w:tabs>
                <w:tab w:val="left" w:pos="1069"/>
                <w:tab w:val="left" w:pos="2352"/>
              </w:tabs>
              <w:jc w:val="left"/>
              <w:rPr>
                <w:rFonts w:ascii="宋体" w:hAnsi="宋体" w:cs="宋体"/>
                <w:color w:val="auto"/>
                <w:sz w:val="22"/>
                <w:highlight w:val="none"/>
              </w:rPr>
            </w:pPr>
            <w:r>
              <w:rPr>
                <w:rFonts w:hint="eastAsia" w:ascii="宋体" w:hAnsi="宋体" w:cs="宋体"/>
                <w:bCs/>
                <w:color w:val="auto"/>
                <w:sz w:val="22"/>
                <w:highlight w:val="none"/>
              </w:rPr>
              <w:t>所需材料：企业基础证件、相关中标文件（中标通知书 、采购合同等）、其他必要文件</w:t>
            </w:r>
          </w:p>
        </w:tc>
        <w:tc>
          <w:tcPr>
            <w:tcW w:w="1000" w:type="dxa"/>
          </w:tcPr>
          <w:p w14:paraId="74B84752">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叶经理</w:t>
            </w:r>
          </w:p>
        </w:tc>
        <w:tc>
          <w:tcPr>
            <w:tcW w:w="1820" w:type="dxa"/>
          </w:tcPr>
          <w:p w14:paraId="61295CF9">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0577-55570829</w:t>
            </w:r>
          </w:p>
          <w:p w14:paraId="04269909">
            <w:pPr>
              <w:tabs>
                <w:tab w:val="left" w:pos="1069"/>
                <w:tab w:val="left" w:pos="2352"/>
              </w:tabs>
              <w:jc w:val="left"/>
              <w:rPr>
                <w:rFonts w:ascii="宋体" w:hAnsi="宋体" w:cs="宋体"/>
                <w:color w:val="auto"/>
                <w:sz w:val="22"/>
                <w:highlight w:val="none"/>
              </w:rPr>
            </w:pPr>
          </w:p>
        </w:tc>
      </w:tr>
    </w:tbl>
    <w:p w14:paraId="6AF854A5">
      <w:pPr>
        <w:tabs>
          <w:tab w:val="left" w:pos="1069"/>
          <w:tab w:val="left" w:pos="2352"/>
        </w:tabs>
        <w:snapToGrid w:val="0"/>
        <w:spacing w:line="460" w:lineRule="atLeast"/>
        <w:ind w:firstLine="446" w:firstLineChars="200"/>
        <w:jc w:val="left"/>
        <w:rPr>
          <w:rFonts w:ascii="宋体" w:hAnsi="宋体" w:cs="宋体"/>
          <w:color w:val="auto"/>
          <w:sz w:val="22"/>
          <w:highlight w:val="none"/>
        </w:rPr>
      </w:pPr>
    </w:p>
    <w:p w14:paraId="11AD9E03">
      <w:pPr>
        <w:tabs>
          <w:tab w:val="left" w:pos="1069"/>
          <w:tab w:val="left" w:pos="2352"/>
        </w:tabs>
        <w:jc w:val="center"/>
        <w:rPr>
          <w:rFonts w:ascii="宋体" w:hAnsi="宋体" w:cs="宋体"/>
          <w:color w:val="auto"/>
          <w:sz w:val="22"/>
          <w:highlight w:val="none"/>
        </w:rPr>
      </w:pPr>
      <w:r>
        <w:rPr>
          <w:rFonts w:hint="eastAsia" w:ascii="宋体" w:hAnsi="宋体" w:cs="宋体"/>
          <w:b/>
          <w:bCs/>
          <w:color w:val="auto"/>
          <w:sz w:val="28"/>
          <w:szCs w:val="28"/>
          <w:highlight w:val="none"/>
        </w:rPr>
        <w:t>温州市政府采购信用融资意向银行选择表</w:t>
      </w:r>
    </w:p>
    <w:p w14:paraId="6C09E455">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（温州市供应商填写）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37DE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3E7C0EB7">
            <w:pPr>
              <w:pStyle w:val="37"/>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企业名称</w:t>
            </w:r>
          </w:p>
        </w:tc>
        <w:tc>
          <w:tcPr>
            <w:tcW w:w="8221" w:type="dxa"/>
            <w:gridSpan w:val="5"/>
          </w:tcPr>
          <w:p w14:paraId="05204DED">
            <w:pPr>
              <w:pStyle w:val="37"/>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r>
      <w:tr w14:paraId="4F95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77BCEFB8">
            <w:pPr>
              <w:pStyle w:val="37"/>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企业注册地</w:t>
            </w:r>
          </w:p>
        </w:tc>
        <w:tc>
          <w:tcPr>
            <w:tcW w:w="3685" w:type="dxa"/>
            <w:gridSpan w:val="2"/>
          </w:tcPr>
          <w:p w14:paraId="52BDA60D">
            <w:pPr>
              <w:pStyle w:val="37"/>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c>
          <w:tcPr>
            <w:tcW w:w="2410" w:type="dxa"/>
            <w:gridSpan w:val="2"/>
          </w:tcPr>
          <w:p w14:paraId="382AD38C">
            <w:pPr>
              <w:pStyle w:val="37"/>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是否有融资意向</w:t>
            </w:r>
          </w:p>
        </w:tc>
        <w:tc>
          <w:tcPr>
            <w:tcW w:w="2126" w:type="dxa"/>
          </w:tcPr>
          <w:p w14:paraId="758B3B2C">
            <w:pPr>
              <w:pStyle w:val="37"/>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r>
      <w:tr w14:paraId="22BB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Pr>
          <w:p w14:paraId="22F6B103">
            <w:pPr>
              <w:pStyle w:val="37"/>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融资联系人</w:t>
            </w:r>
          </w:p>
        </w:tc>
        <w:tc>
          <w:tcPr>
            <w:tcW w:w="2268" w:type="dxa"/>
          </w:tcPr>
          <w:p w14:paraId="3602EB0D">
            <w:pPr>
              <w:pStyle w:val="37"/>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c>
          <w:tcPr>
            <w:tcW w:w="2268" w:type="dxa"/>
            <w:gridSpan w:val="2"/>
          </w:tcPr>
          <w:p w14:paraId="772A31E7">
            <w:pPr>
              <w:pStyle w:val="37"/>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联系方式</w:t>
            </w:r>
          </w:p>
        </w:tc>
        <w:tc>
          <w:tcPr>
            <w:tcW w:w="3685" w:type="dxa"/>
            <w:gridSpan w:val="2"/>
          </w:tcPr>
          <w:p w14:paraId="69337240">
            <w:pPr>
              <w:pStyle w:val="37"/>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r>
      <w:tr w14:paraId="4F92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vAlign w:val="center"/>
          </w:tcPr>
          <w:p w14:paraId="39A1F884">
            <w:pPr>
              <w:pStyle w:val="37"/>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温州市政府采购信用融资合作银行</w:t>
            </w:r>
          </w:p>
        </w:tc>
        <w:tc>
          <w:tcPr>
            <w:tcW w:w="3685" w:type="dxa"/>
            <w:gridSpan w:val="2"/>
          </w:tcPr>
          <w:p w14:paraId="7CC36A4F">
            <w:pPr>
              <w:pStyle w:val="37"/>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选择作为意向融资银行（可多选）</w:t>
            </w:r>
          </w:p>
        </w:tc>
      </w:tr>
      <w:tr w14:paraId="6DF8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14:paraId="0179297E">
            <w:pPr>
              <w:pStyle w:val="3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温州银行股份有限公司温州分行</w:t>
            </w:r>
          </w:p>
        </w:tc>
        <w:tc>
          <w:tcPr>
            <w:tcW w:w="3685" w:type="dxa"/>
            <w:gridSpan w:val="2"/>
          </w:tcPr>
          <w:p w14:paraId="2F415861">
            <w:pPr>
              <w:pStyle w:val="37"/>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6485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14:paraId="3D32645C">
            <w:pPr>
              <w:pStyle w:val="3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温州银行股份有限公司鹿城分行</w:t>
            </w:r>
          </w:p>
        </w:tc>
        <w:tc>
          <w:tcPr>
            <w:tcW w:w="3685" w:type="dxa"/>
            <w:gridSpan w:val="2"/>
          </w:tcPr>
          <w:p w14:paraId="31786946">
            <w:pPr>
              <w:pStyle w:val="37"/>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6391A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21578D9A">
            <w:pPr>
              <w:pStyle w:val="3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中国工商银行股份有限公司温州分行</w:t>
            </w:r>
          </w:p>
        </w:tc>
        <w:tc>
          <w:tcPr>
            <w:tcW w:w="3685" w:type="dxa"/>
            <w:gridSpan w:val="2"/>
          </w:tcPr>
          <w:p w14:paraId="019A91E9">
            <w:pPr>
              <w:pStyle w:val="37"/>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2588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Pr>
          <w:p w14:paraId="5A20CF29">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中国建设银行股份有限公司温州分行</w:t>
            </w:r>
          </w:p>
        </w:tc>
        <w:tc>
          <w:tcPr>
            <w:tcW w:w="3685" w:type="dxa"/>
            <w:gridSpan w:val="2"/>
          </w:tcPr>
          <w:p w14:paraId="01A43D3C">
            <w:pPr>
              <w:tabs>
                <w:tab w:val="left" w:pos="1069"/>
                <w:tab w:val="left" w:pos="2352"/>
              </w:tabs>
              <w:rPr>
                <w:rFonts w:ascii="宋体" w:hAnsi="宋体" w:cs="宋体"/>
                <w:color w:val="auto"/>
                <w:sz w:val="22"/>
                <w:highlight w:val="none"/>
              </w:rPr>
            </w:pPr>
          </w:p>
        </w:tc>
      </w:tr>
      <w:tr w14:paraId="5A7F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1DAF9411">
            <w:pPr>
              <w:pStyle w:val="3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中国邮政储蓄银行股份有限公司温州市分行</w:t>
            </w:r>
          </w:p>
        </w:tc>
        <w:tc>
          <w:tcPr>
            <w:tcW w:w="3685" w:type="dxa"/>
            <w:gridSpan w:val="2"/>
          </w:tcPr>
          <w:p w14:paraId="1BFA9F46">
            <w:pPr>
              <w:pStyle w:val="37"/>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1BD7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187AED06">
            <w:pPr>
              <w:pStyle w:val="3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中国民生银行股份有限公司温州分行</w:t>
            </w:r>
          </w:p>
        </w:tc>
        <w:tc>
          <w:tcPr>
            <w:tcW w:w="3685" w:type="dxa"/>
            <w:gridSpan w:val="2"/>
          </w:tcPr>
          <w:p w14:paraId="4AC3989D">
            <w:pPr>
              <w:pStyle w:val="37"/>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7F1B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441D1D22">
            <w:pPr>
              <w:pStyle w:val="3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宁波银行股份有限公司温州分行</w:t>
            </w:r>
          </w:p>
        </w:tc>
        <w:tc>
          <w:tcPr>
            <w:tcW w:w="3685" w:type="dxa"/>
            <w:gridSpan w:val="2"/>
          </w:tcPr>
          <w:p w14:paraId="4120C226">
            <w:pPr>
              <w:pStyle w:val="37"/>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50DC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352F54C6">
            <w:pPr>
              <w:pStyle w:val="3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杭州银行股份有限公司温州分行</w:t>
            </w:r>
          </w:p>
        </w:tc>
        <w:tc>
          <w:tcPr>
            <w:tcW w:w="3685" w:type="dxa"/>
            <w:gridSpan w:val="2"/>
          </w:tcPr>
          <w:p w14:paraId="108910E7">
            <w:pPr>
              <w:pStyle w:val="37"/>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6ACA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27621464">
            <w:pPr>
              <w:pStyle w:val="3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招商银行股份有限公司温州分行</w:t>
            </w:r>
          </w:p>
        </w:tc>
        <w:tc>
          <w:tcPr>
            <w:tcW w:w="3685" w:type="dxa"/>
            <w:gridSpan w:val="2"/>
          </w:tcPr>
          <w:p w14:paraId="129E684F">
            <w:pPr>
              <w:pStyle w:val="37"/>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3C18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493268BB">
            <w:pPr>
              <w:pStyle w:val="3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兴业银行股份有限公司温州分行</w:t>
            </w:r>
          </w:p>
        </w:tc>
        <w:tc>
          <w:tcPr>
            <w:tcW w:w="3685" w:type="dxa"/>
            <w:gridSpan w:val="2"/>
          </w:tcPr>
          <w:p w14:paraId="01CABD94">
            <w:pPr>
              <w:pStyle w:val="37"/>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4B180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2F301CA8">
            <w:pPr>
              <w:pStyle w:val="3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交通银行股份有限公司温州分行</w:t>
            </w:r>
          </w:p>
        </w:tc>
        <w:tc>
          <w:tcPr>
            <w:tcW w:w="3685" w:type="dxa"/>
            <w:gridSpan w:val="2"/>
          </w:tcPr>
          <w:p w14:paraId="20097E0A">
            <w:pPr>
              <w:pStyle w:val="37"/>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69D2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Pr>
          <w:p w14:paraId="21A7F524">
            <w:pPr>
              <w:pStyle w:val="3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上海浦东发展银行股份有限公司温州分行</w:t>
            </w:r>
          </w:p>
        </w:tc>
        <w:tc>
          <w:tcPr>
            <w:tcW w:w="3685" w:type="dxa"/>
            <w:gridSpan w:val="2"/>
          </w:tcPr>
          <w:p w14:paraId="44DD42B3">
            <w:pPr>
              <w:pStyle w:val="37"/>
              <w:tabs>
                <w:tab w:val="left" w:pos="1069"/>
                <w:tab w:val="left" w:pos="2352"/>
              </w:tabs>
              <w:spacing w:line="360" w:lineRule="auto"/>
              <w:ind w:firstLine="0" w:firstLineChars="0"/>
              <w:rPr>
                <w:rFonts w:ascii="宋体" w:hAnsi="宋体" w:eastAsia="宋体" w:cs="宋体"/>
                <w:color w:val="auto"/>
                <w:kern w:val="0"/>
                <w:sz w:val="22"/>
                <w:highlight w:val="none"/>
              </w:rPr>
            </w:pPr>
          </w:p>
        </w:tc>
      </w:tr>
    </w:tbl>
    <w:p w14:paraId="74B4BB58">
      <w:pPr>
        <w:tabs>
          <w:tab w:val="left" w:pos="1069"/>
          <w:tab w:val="left" w:pos="2352"/>
        </w:tabs>
        <w:rPr>
          <w:rFonts w:ascii="宋体" w:hAnsi="宋体" w:cs="宋体"/>
          <w:color w:val="auto"/>
          <w:sz w:val="22"/>
          <w:highlight w:val="none"/>
        </w:rPr>
      </w:pPr>
    </w:p>
    <w:p w14:paraId="2EB6DDCC">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注：1、本表填写对象为注册地在温州市域内的供应商。</w:t>
      </w:r>
    </w:p>
    <w:p w14:paraId="18D38129">
      <w:pPr>
        <w:tabs>
          <w:tab w:val="left" w:pos="1069"/>
          <w:tab w:val="left" w:pos="2352"/>
        </w:tabs>
        <w:spacing w:line="588" w:lineRule="exact"/>
        <w:ind w:firstLine="446" w:firstLineChars="200"/>
        <w:rPr>
          <w:rFonts w:ascii="宋体" w:hAnsi="宋体" w:cs="宋体"/>
          <w:b/>
          <w:color w:val="auto"/>
          <w:sz w:val="22"/>
          <w:highlight w:val="none"/>
        </w:rPr>
      </w:pPr>
      <w:r>
        <w:rPr>
          <w:rFonts w:hint="eastAsia" w:ascii="宋体" w:hAnsi="宋体" w:cs="宋体"/>
          <w:color w:val="auto"/>
          <w:sz w:val="22"/>
          <w:highlight w:val="none"/>
        </w:rPr>
        <w:t>2、财政部门根据企业自行选择，将本表及企业相关信息推送至相对应的融资意向银行经办人。</w:t>
      </w:r>
    </w:p>
    <w:p w14:paraId="449E8835">
      <w:pPr>
        <w:pStyle w:val="24"/>
        <w:tabs>
          <w:tab w:val="left" w:pos="1069"/>
          <w:tab w:val="left" w:pos="2352"/>
        </w:tabs>
        <w:rPr>
          <w:rFonts w:ascii="宋体" w:hAnsi="宋体" w:cs="宋体"/>
          <w:b/>
          <w:color w:val="auto"/>
          <w:sz w:val="32"/>
          <w:szCs w:val="32"/>
          <w:highlight w:val="none"/>
        </w:rPr>
      </w:pPr>
    </w:p>
    <w:p w14:paraId="1CF2947B">
      <w:pPr>
        <w:tabs>
          <w:tab w:val="left" w:pos="1069"/>
          <w:tab w:val="left" w:pos="2352"/>
        </w:tabs>
        <w:snapToGrid w:val="0"/>
        <w:spacing w:line="380" w:lineRule="exact"/>
        <w:jc w:val="center"/>
        <w:rPr>
          <w:rFonts w:ascii="宋体" w:hAnsi="宋体" w:cs="宋体"/>
          <w:b/>
          <w:color w:val="auto"/>
          <w:sz w:val="32"/>
          <w:szCs w:val="32"/>
          <w:highlight w:val="none"/>
        </w:rPr>
      </w:pPr>
    </w:p>
    <w:p w14:paraId="5CA69884">
      <w:pPr>
        <w:tabs>
          <w:tab w:val="left" w:pos="1069"/>
          <w:tab w:val="left" w:pos="2352"/>
        </w:tabs>
        <w:snapToGrid w:val="0"/>
        <w:spacing w:line="380" w:lineRule="exact"/>
        <w:jc w:val="center"/>
        <w:rPr>
          <w:rFonts w:ascii="宋体" w:hAnsi="宋体" w:cs="宋体"/>
          <w:b/>
          <w:color w:val="auto"/>
          <w:sz w:val="32"/>
          <w:szCs w:val="32"/>
          <w:highlight w:val="none"/>
        </w:rPr>
      </w:pPr>
    </w:p>
    <w:p w14:paraId="1C973342">
      <w:pPr>
        <w:tabs>
          <w:tab w:val="left" w:pos="1069"/>
          <w:tab w:val="left" w:pos="2352"/>
        </w:tabs>
        <w:snapToGrid w:val="0"/>
        <w:spacing w:line="380" w:lineRule="exact"/>
        <w:jc w:val="center"/>
        <w:rPr>
          <w:rFonts w:ascii="宋体" w:hAnsi="宋体" w:cs="宋体"/>
          <w:b/>
          <w:color w:val="auto"/>
          <w:sz w:val="32"/>
          <w:szCs w:val="32"/>
          <w:highlight w:val="none"/>
        </w:rPr>
      </w:pPr>
    </w:p>
    <w:p w14:paraId="0FB5DA80">
      <w:pPr>
        <w:tabs>
          <w:tab w:val="left" w:pos="1069"/>
          <w:tab w:val="left" w:pos="2352"/>
        </w:tabs>
        <w:snapToGrid w:val="0"/>
        <w:spacing w:line="380" w:lineRule="exact"/>
        <w:jc w:val="center"/>
        <w:rPr>
          <w:rFonts w:ascii="宋体" w:hAnsi="宋体" w:cs="宋体"/>
          <w:b/>
          <w:color w:val="auto"/>
          <w:sz w:val="32"/>
          <w:szCs w:val="32"/>
          <w:highlight w:val="none"/>
        </w:rPr>
      </w:pPr>
    </w:p>
    <w:p w14:paraId="10FD8565">
      <w:pPr>
        <w:tabs>
          <w:tab w:val="left" w:pos="1069"/>
          <w:tab w:val="left" w:pos="2352"/>
        </w:tabs>
        <w:snapToGrid w:val="0"/>
        <w:spacing w:line="380" w:lineRule="exact"/>
        <w:jc w:val="center"/>
        <w:rPr>
          <w:rFonts w:ascii="宋体" w:hAnsi="宋体" w:cs="宋体"/>
          <w:b/>
          <w:color w:val="auto"/>
          <w:sz w:val="32"/>
          <w:szCs w:val="32"/>
          <w:highlight w:val="none"/>
        </w:rPr>
      </w:pPr>
    </w:p>
    <w:p w14:paraId="194EBF3F">
      <w:pPr>
        <w:tabs>
          <w:tab w:val="left" w:pos="1069"/>
          <w:tab w:val="left" w:pos="2352"/>
        </w:tabs>
        <w:snapToGrid w:val="0"/>
        <w:spacing w:line="380" w:lineRule="exact"/>
        <w:jc w:val="center"/>
        <w:rPr>
          <w:rFonts w:ascii="宋体" w:hAnsi="宋体" w:cs="宋体"/>
          <w:b/>
          <w:bCs/>
          <w:color w:val="auto"/>
          <w:sz w:val="28"/>
          <w:szCs w:val="28"/>
          <w:highlight w:val="none"/>
        </w:rPr>
      </w:pPr>
      <w:r>
        <w:rPr>
          <w:rFonts w:hint="eastAsia" w:ascii="宋体" w:hAnsi="宋体" w:cs="宋体"/>
          <w:b/>
          <w:color w:val="auto"/>
          <w:sz w:val="32"/>
          <w:szCs w:val="32"/>
          <w:highlight w:val="none"/>
        </w:rPr>
        <w:t>第五部分、合同格式</w:t>
      </w:r>
      <w:bookmarkEnd w:id="59"/>
      <w:bookmarkStart w:id="62" w:name="_Toc11700_WPSOffice_Level1"/>
    </w:p>
    <w:p w14:paraId="09F995C7">
      <w:pPr>
        <w:tabs>
          <w:tab w:val="left" w:pos="1069"/>
          <w:tab w:val="left" w:pos="2352"/>
        </w:tabs>
        <w:spacing w:line="460" w:lineRule="exact"/>
        <w:rPr>
          <w:rFonts w:ascii="宋体"/>
          <w:color w:val="auto"/>
          <w:sz w:val="22"/>
          <w:highlight w:val="none"/>
        </w:rPr>
      </w:pPr>
      <w:r>
        <w:rPr>
          <w:rFonts w:hint="eastAsia" w:ascii="宋体"/>
          <w:color w:val="auto"/>
          <w:sz w:val="22"/>
          <w:highlight w:val="none"/>
        </w:rPr>
        <w:t>甲方（采购人）：</w:t>
      </w:r>
      <w:r>
        <w:rPr>
          <w:rFonts w:hint="eastAsia" w:ascii="宋体"/>
          <w:color w:val="auto"/>
          <w:sz w:val="22"/>
          <w:highlight w:val="none"/>
          <w:u w:val="single"/>
        </w:rPr>
        <w:t xml:space="preserve">           </w:t>
      </w:r>
      <w:r>
        <w:rPr>
          <w:rFonts w:ascii="宋体"/>
          <w:color w:val="auto"/>
          <w:sz w:val="22"/>
          <w:highlight w:val="none"/>
        </w:rPr>
        <w:t xml:space="preserve"> </w:t>
      </w:r>
    </w:p>
    <w:p w14:paraId="3B1FE4C9">
      <w:pPr>
        <w:tabs>
          <w:tab w:val="left" w:pos="1069"/>
          <w:tab w:val="left" w:pos="2352"/>
        </w:tabs>
        <w:spacing w:line="460" w:lineRule="exact"/>
        <w:rPr>
          <w:rFonts w:ascii="宋体"/>
          <w:color w:val="auto"/>
          <w:sz w:val="22"/>
          <w:highlight w:val="none"/>
        </w:rPr>
      </w:pPr>
      <w:r>
        <w:rPr>
          <w:rFonts w:hint="eastAsia" w:ascii="宋体"/>
          <w:color w:val="auto"/>
          <w:sz w:val="22"/>
          <w:highlight w:val="none"/>
        </w:rPr>
        <w:t>乙方（中标单位）：</w:t>
      </w:r>
      <w:r>
        <w:rPr>
          <w:rFonts w:ascii="宋体"/>
          <w:color w:val="auto"/>
          <w:sz w:val="22"/>
          <w:highlight w:val="none"/>
        </w:rPr>
        <w:t xml:space="preserve"> </w:t>
      </w:r>
      <w:r>
        <w:rPr>
          <w:rFonts w:hint="eastAsia" w:ascii="宋体"/>
          <w:color w:val="auto"/>
          <w:sz w:val="22"/>
          <w:highlight w:val="none"/>
          <w:u w:val="single"/>
        </w:rPr>
        <w:t xml:space="preserve">           </w:t>
      </w:r>
      <w:r>
        <w:rPr>
          <w:rFonts w:ascii="宋体"/>
          <w:color w:val="auto"/>
          <w:sz w:val="22"/>
          <w:highlight w:val="none"/>
        </w:rPr>
        <w:t xml:space="preserve"> </w:t>
      </w:r>
    </w:p>
    <w:p w14:paraId="7EA7D20A">
      <w:pPr>
        <w:tabs>
          <w:tab w:val="left" w:pos="1069"/>
          <w:tab w:val="left" w:pos="2352"/>
        </w:tabs>
        <w:snapToGrid w:val="0"/>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甲、乙双方根据</w:t>
      </w:r>
      <w:r>
        <w:rPr>
          <w:rFonts w:hint="eastAsia" w:ascii="宋体" w:hAnsi="宋体" w:cs="宋体"/>
          <w:bCs/>
          <w:color w:val="auto"/>
          <w:sz w:val="22"/>
          <w:highlight w:val="none"/>
          <w:u w:val="single"/>
          <w:lang w:eastAsia="zh-CN"/>
        </w:rPr>
        <w:t>2025年泰顺县森林资源动态监测与评价</w:t>
      </w:r>
      <w:r>
        <w:rPr>
          <w:rFonts w:hint="eastAsia" w:ascii="宋体" w:hAnsi="宋体" w:cs="宋体"/>
          <w:bCs/>
          <w:color w:val="auto"/>
          <w:sz w:val="22"/>
          <w:highlight w:val="none"/>
          <w:u w:val="single"/>
        </w:rPr>
        <w:t>（项目编号：</w:t>
      </w:r>
      <w:r>
        <w:rPr>
          <w:rFonts w:hint="eastAsia" w:ascii="宋体" w:hAnsi="宋体" w:cs="宋体"/>
          <w:bCs/>
          <w:color w:val="auto"/>
          <w:sz w:val="22"/>
          <w:highlight w:val="none"/>
          <w:u w:val="single"/>
          <w:lang w:eastAsia="zh-CN"/>
        </w:rPr>
        <w:t xml:space="preserve">330329253440010000110-TSCG202512013 </w:t>
      </w:r>
      <w:r>
        <w:rPr>
          <w:rFonts w:hint="eastAsia" w:ascii="宋体" w:hAnsi="宋体" w:cs="宋体"/>
          <w:bCs/>
          <w:color w:val="auto"/>
          <w:sz w:val="22"/>
          <w:highlight w:val="none"/>
          <w:u w:val="single"/>
        </w:rPr>
        <w:t>）公开</w:t>
      </w:r>
      <w:r>
        <w:rPr>
          <w:rFonts w:hint="eastAsia" w:ascii="宋体" w:hAnsi="宋体" w:cs="宋体"/>
          <w:bCs/>
          <w:color w:val="auto"/>
          <w:sz w:val="22"/>
          <w:highlight w:val="none"/>
        </w:rPr>
        <w:t>招标采购结果，签订此合同。</w:t>
      </w:r>
    </w:p>
    <w:p w14:paraId="2C63B04D">
      <w:pPr>
        <w:tabs>
          <w:tab w:val="left" w:pos="1069"/>
          <w:tab w:val="left" w:pos="2352"/>
        </w:tabs>
        <w:snapToGrid w:val="0"/>
        <w:spacing w:line="400" w:lineRule="exact"/>
        <w:ind w:firstLine="446" w:firstLineChars="200"/>
        <w:rPr>
          <w:rFonts w:ascii="宋体" w:hAnsi="宋体" w:cs="宋体"/>
          <w:b/>
          <w:color w:val="auto"/>
          <w:sz w:val="22"/>
          <w:highlight w:val="none"/>
        </w:rPr>
      </w:pPr>
      <w:r>
        <w:rPr>
          <w:rFonts w:hint="eastAsia" w:ascii="宋体" w:hAnsi="宋体" w:cs="宋体"/>
          <w:b/>
          <w:color w:val="auto"/>
          <w:sz w:val="22"/>
          <w:highlight w:val="none"/>
        </w:rPr>
        <w:t>一、合同内容</w:t>
      </w:r>
    </w:p>
    <w:p w14:paraId="32A970CC">
      <w:pPr>
        <w:pStyle w:val="6"/>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具体工作内容</w:t>
      </w:r>
    </w:p>
    <w:p w14:paraId="6099CE40">
      <w:pPr>
        <w:spacing w:line="400" w:lineRule="exact"/>
        <w:ind w:firstLine="446" w:firstLineChars="200"/>
        <w:rPr>
          <w:rFonts w:hint="eastAsia" w:ascii="宋体" w:hAnsi="宋体" w:cs="宋体"/>
          <w:color w:val="auto"/>
          <w:sz w:val="22"/>
          <w:highlight w:val="none"/>
        </w:rPr>
      </w:pPr>
      <w:r>
        <w:rPr>
          <w:rFonts w:hint="eastAsia" w:ascii="宋体" w:hAnsi="宋体" w:cs="宋体"/>
          <w:color w:val="auto"/>
          <w:sz w:val="22"/>
          <w:highlight w:val="none"/>
          <w:lang w:val="en-US" w:eastAsia="zh-CN"/>
        </w:rPr>
        <w:t>1.开展</w:t>
      </w:r>
      <w:r>
        <w:rPr>
          <w:rFonts w:hint="eastAsia" w:ascii="宋体" w:hAnsi="宋体" w:cs="宋体"/>
          <w:color w:val="auto"/>
          <w:sz w:val="22"/>
          <w:highlight w:val="none"/>
        </w:rPr>
        <w:t>林草湿变化图斑监测</w:t>
      </w:r>
      <w:r>
        <w:rPr>
          <w:rFonts w:hint="eastAsia" w:ascii="宋体" w:hAnsi="宋体" w:cs="宋体"/>
          <w:color w:val="auto"/>
          <w:sz w:val="22"/>
          <w:highlight w:val="none"/>
          <w:lang w:eastAsia="zh-CN"/>
        </w:rPr>
        <w:t>。</w:t>
      </w:r>
      <w:r>
        <w:rPr>
          <w:rFonts w:hint="eastAsia" w:ascii="宋体" w:hAnsi="宋体" w:cs="宋体"/>
          <w:color w:val="auto"/>
          <w:sz w:val="22"/>
          <w:highlight w:val="none"/>
        </w:rPr>
        <w:t>根据自然资源部办公厅国家林业和草原局办公室《关于开展2025 年度全国国土变更调查及森林草原湿地荒漠调查监测工作的通知》(自然资办发〔2025〕33 号)和《森林草原湿地荒漠调查监测技术要求(2025 年度适用)》要求</w:t>
      </w:r>
      <w:r>
        <w:rPr>
          <w:rFonts w:hint="eastAsia" w:ascii="宋体" w:hAnsi="宋体" w:cs="宋体"/>
          <w:color w:val="auto"/>
          <w:sz w:val="22"/>
          <w:highlight w:val="none"/>
          <w:lang w:eastAsia="zh-CN"/>
        </w:rPr>
        <w:t>，</w:t>
      </w:r>
      <w:r>
        <w:rPr>
          <w:rFonts w:hint="eastAsia" w:ascii="宋体" w:hAnsi="宋体" w:cs="宋体"/>
          <w:color w:val="auto"/>
          <w:sz w:val="22"/>
          <w:highlight w:val="none"/>
        </w:rPr>
        <w:t>以地类与植被覆盖类型变化为重点,开展林草湿变化图斑监测。</w:t>
      </w:r>
    </w:p>
    <w:p w14:paraId="6F98707E">
      <w:pPr>
        <w:spacing w:line="400" w:lineRule="exact"/>
        <w:ind w:firstLine="446" w:firstLineChars="200"/>
        <w:rPr>
          <w:rFonts w:hint="eastAsia" w:ascii="宋体" w:hAnsi="宋体" w:cs="宋体"/>
          <w:color w:val="auto"/>
          <w:sz w:val="22"/>
          <w:highlight w:val="none"/>
        </w:rPr>
      </w:pPr>
      <w:r>
        <w:rPr>
          <w:rFonts w:hint="eastAsia" w:ascii="宋体" w:hAnsi="宋体" w:cs="宋体"/>
          <w:color w:val="auto"/>
          <w:sz w:val="22"/>
          <w:highlight w:val="none"/>
          <w:lang w:val="en-US" w:eastAsia="zh-CN"/>
        </w:rPr>
        <w:t>2.开展</w:t>
      </w:r>
      <w:r>
        <w:rPr>
          <w:rFonts w:hint="eastAsia" w:ascii="宋体" w:hAnsi="宋体" w:cs="宋体"/>
          <w:color w:val="auto"/>
          <w:sz w:val="22"/>
          <w:highlight w:val="none"/>
        </w:rPr>
        <w:t>林草湿变化图斑调查更新</w:t>
      </w:r>
      <w:r>
        <w:rPr>
          <w:rFonts w:hint="eastAsia" w:ascii="宋体" w:hAnsi="宋体" w:cs="宋体"/>
          <w:color w:val="auto"/>
          <w:sz w:val="22"/>
          <w:highlight w:val="none"/>
          <w:lang w:eastAsia="zh-CN"/>
        </w:rPr>
        <w:t>。</w:t>
      </w:r>
      <w:r>
        <w:rPr>
          <w:rFonts w:hint="eastAsia" w:ascii="宋体" w:hAnsi="宋体" w:cs="宋体"/>
          <w:color w:val="auto"/>
          <w:sz w:val="22"/>
          <w:highlight w:val="none"/>
        </w:rPr>
        <w:t>采取遥感监测、档案更新、补充调查、现地核实、模型更新、数据耦合等多种方法</w:t>
      </w:r>
      <w:r>
        <w:rPr>
          <w:rFonts w:hint="eastAsia" w:ascii="宋体" w:hAnsi="宋体" w:cs="宋体"/>
          <w:color w:val="auto"/>
          <w:sz w:val="22"/>
          <w:highlight w:val="none"/>
          <w:lang w:eastAsia="zh-CN"/>
        </w:rPr>
        <w:t>，</w:t>
      </w:r>
      <w:r>
        <w:rPr>
          <w:rFonts w:hint="eastAsia" w:ascii="宋体" w:hAnsi="宋体" w:cs="宋体"/>
          <w:color w:val="auto"/>
          <w:sz w:val="22"/>
          <w:highlight w:val="none"/>
        </w:rPr>
        <w:t>完成林草湿图斑资源属性因子调查更新,摸清林草湿资源数量、质量、结构及其管理等情况。</w:t>
      </w:r>
    </w:p>
    <w:p w14:paraId="4846BCDE">
      <w:pPr>
        <w:spacing w:line="400" w:lineRule="exact"/>
        <w:ind w:firstLine="446" w:firstLineChars="200"/>
        <w:rPr>
          <w:rFonts w:hint="eastAsia" w:ascii="宋体" w:hAnsi="宋体" w:cs="宋体"/>
          <w:color w:val="auto"/>
          <w:sz w:val="22"/>
          <w:highlight w:val="none"/>
        </w:rPr>
      </w:pPr>
      <w:r>
        <w:rPr>
          <w:rFonts w:hint="eastAsia" w:ascii="宋体" w:hAnsi="宋体" w:cs="宋体"/>
          <w:color w:val="auto"/>
          <w:sz w:val="22"/>
          <w:highlight w:val="none"/>
          <w:lang w:val="en-US" w:eastAsia="zh-CN"/>
        </w:rPr>
        <w:t>3.</w:t>
      </w:r>
      <w:r>
        <w:rPr>
          <w:rFonts w:hint="eastAsia" w:ascii="宋体" w:hAnsi="宋体" w:cs="宋体"/>
          <w:color w:val="auto"/>
          <w:sz w:val="22"/>
          <w:highlight w:val="none"/>
        </w:rPr>
        <w:t>协助开展国家大样地调查试点</w:t>
      </w:r>
      <w:r>
        <w:rPr>
          <w:rFonts w:hint="eastAsia" w:ascii="宋体" w:hAnsi="宋体" w:cs="宋体"/>
          <w:color w:val="auto"/>
          <w:sz w:val="22"/>
          <w:highlight w:val="none"/>
          <w:lang w:eastAsia="zh-CN"/>
        </w:rPr>
        <w:t>。</w:t>
      </w:r>
      <w:r>
        <w:rPr>
          <w:rFonts w:hint="eastAsia" w:ascii="宋体" w:hAnsi="宋体" w:cs="宋体"/>
          <w:color w:val="auto"/>
          <w:sz w:val="22"/>
          <w:highlight w:val="none"/>
        </w:rPr>
        <w:t>协助开展国家大样地调查试点</w:t>
      </w:r>
      <w:r>
        <w:rPr>
          <w:rFonts w:hint="eastAsia" w:ascii="宋体" w:hAnsi="宋体" w:cs="宋体"/>
          <w:color w:val="auto"/>
          <w:sz w:val="22"/>
          <w:highlight w:val="none"/>
          <w:lang w:eastAsia="zh-CN"/>
        </w:rPr>
        <w:t>，</w:t>
      </w:r>
      <w:r>
        <w:rPr>
          <w:rFonts w:hint="eastAsia" w:ascii="宋体" w:hAnsi="宋体" w:cs="宋体"/>
          <w:color w:val="auto"/>
          <w:sz w:val="22"/>
          <w:highlight w:val="none"/>
        </w:rPr>
        <w:t>探索高清影像、无人机航拍、激光雷达等高新技术集成应用。</w:t>
      </w:r>
    </w:p>
    <w:p w14:paraId="647DB64E">
      <w:pPr>
        <w:spacing w:line="400" w:lineRule="exact"/>
        <w:ind w:firstLine="446" w:firstLineChars="200"/>
        <w:rPr>
          <w:rFonts w:hint="eastAsia" w:ascii="宋体" w:hAnsi="宋体" w:cs="宋体"/>
          <w:color w:val="auto"/>
          <w:sz w:val="22"/>
          <w:highlight w:val="none"/>
        </w:rPr>
      </w:pPr>
      <w:r>
        <w:rPr>
          <w:rFonts w:hint="eastAsia" w:ascii="宋体" w:hAnsi="宋体" w:cs="宋体"/>
          <w:color w:val="auto"/>
          <w:sz w:val="22"/>
          <w:highlight w:val="none"/>
          <w:lang w:val="en-US" w:eastAsia="zh-CN"/>
        </w:rPr>
        <w:t>4.</w:t>
      </w:r>
      <w:r>
        <w:rPr>
          <w:rFonts w:hint="eastAsia" w:ascii="宋体" w:hAnsi="宋体" w:cs="宋体"/>
          <w:color w:val="auto"/>
          <w:sz w:val="22"/>
          <w:highlight w:val="none"/>
        </w:rPr>
        <w:t>建立林草湿调查监测数据库</w:t>
      </w:r>
      <w:r>
        <w:rPr>
          <w:rFonts w:hint="eastAsia" w:ascii="宋体" w:hAnsi="宋体" w:cs="宋体"/>
          <w:color w:val="auto"/>
          <w:sz w:val="22"/>
          <w:highlight w:val="none"/>
          <w:lang w:eastAsia="zh-CN"/>
        </w:rPr>
        <w:t>。</w:t>
      </w:r>
      <w:r>
        <w:rPr>
          <w:rFonts w:hint="eastAsia" w:ascii="宋体" w:hAnsi="宋体" w:cs="宋体"/>
          <w:color w:val="auto"/>
          <w:sz w:val="22"/>
          <w:highlight w:val="none"/>
        </w:rPr>
        <w:t>建立林草湿调查监测数据库</w:t>
      </w:r>
      <w:r>
        <w:rPr>
          <w:rFonts w:hint="eastAsia" w:ascii="宋体" w:hAnsi="宋体" w:cs="宋体"/>
          <w:color w:val="auto"/>
          <w:sz w:val="22"/>
          <w:highlight w:val="none"/>
          <w:lang w:eastAsia="zh-CN"/>
        </w:rPr>
        <w:t>，</w:t>
      </w:r>
      <w:r>
        <w:rPr>
          <w:rFonts w:hint="eastAsia" w:ascii="宋体" w:hAnsi="宋体" w:cs="宋体"/>
          <w:color w:val="auto"/>
          <w:sz w:val="22"/>
          <w:highlight w:val="none"/>
        </w:rPr>
        <w:t>开展森林草地湿地植被状况、保护利用状况分析,制作专题图件</w:t>
      </w:r>
      <w:r>
        <w:rPr>
          <w:rFonts w:hint="eastAsia" w:ascii="宋体" w:hAnsi="宋体" w:cs="宋体"/>
          <w:color w:val="auto"/>
          <w:sz w:val="22"/>
          <w:highlight w:val="none"/>
          <w:lang w:eastAsia="zh-CN"/>
        </w:rPr>
        <w:t>，</w:t>
      </w:r>
      <w:r>
        <w:rPr>
          <w:rFonts w:hint="eastAsia" w:ascii="宋体" w:hAnsi="宋体" w:cs="宋体"/>
          <w:color w:val="auto"/>
          <w:sz w:val="22"/>
          <w:highlight w:val="none"/>
        </w:rPr>
        <w:t>编制年度监测报告</w:t>
      </w:r>
      <w:r>
        <w:rPr>
          <w:rFonts w:hint="eastAsia" w:ascii="宋体" w:hAnsi="宋体" w:cs="宋体"/>
          <w:color w:val="auto"/>
          <w:sz w:val="22"/>
          <w:highlight w:val="none"/>
          <w:lang w:eastAsia="zh-CN"/>
        </w:rPr>
        <w:t>。</w:t>
      </w:r>
      <w:r>
        <w:rPr>
          <w:rFonts w:hint="eastAsia" w:ascii="宋体" w:hAnsi="宋体" w:cs="宋体"/>
          <w:color w:val="auto"/>
          <w:sz w:val="22"/>
          <w:highlight w:val="none"/>
        </w:rPr>
        <w:t>产出林草湿年度调查监测成果。</w:t>
      </w:r>
    </w:p>
    <w:p w14:paraId="24D71133">
      <w:pPr>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5.其他技术支撑</w:t>
      </w:r>
      <w:r>
        <w:rPr>
          <w:rFonts w:hint="eastAsia" w:ascii="宋体" w:hAnsi="宋体" w:cs="宋体"/>
          <w:color w:val="auto"/>
          <w:sz w:val="22"/>
          <w:highlight w:val="none"/>
          <w:lang w:eastAsia="zh-CN"/>
        </w:rPr>
        <w:t>。</w:t>
      </w:r>
      <w:r>
        <w:rPr>
          <w:rFonts w:hint="eastAsia" w:ascii="宋体" w:hAnsi="宋体" w:cs="宋体"/>
          <w:color w:val="auto"/>
          <w:sz w:val="22"/>
          <w:highlight w:val="none"/>
        </w:rPr>
        <w:t>项目实施过程中根据国家林草局、省林业局工作方案做好相应技术服务工作，主要包括数据库调整和报送、统计表生成和报送以及其它相关要求。</w:t>
      </w:r>
    </w:p>
    <w:p w14:paraId="301377D7">
      <w:pPr>
        <w:tabs>
          <w:tab w:val="left" w:pos="1069"/>
          <w:tab w:val="left" w:pos="2352"/>
        </w:tabs>
        <w:snapToGrid w:val="0"/>
        <w:spacing w:line="400" w:lineRule="exact"/>
        <w:ind w:firstLine="446" w:firstLineChars="200"/>
        <w:rPr>
          <w:rFonts w:ascii="宋体" w:hAnsi="宋体" w:cs="宋体"/>
          <w:b/>
          <w:color w:val="auto"/>
          <w:sz w:val="22"/>
          <w:highlight w:val="none"/>
        </w:rPr>
      </w:pPr>
      <w:r>
        <w:rPr>
          <w:rFonts w:hint="eastAsia" w:ascii="宋体" w:hAnsi="宋体" w:cs="宋体"/>
          <w:b/>
          <w:color w:val="auto"/>
          <w:sz w:val="22"/>
          <w:highlight w:val="none"/>
        </w:rPr>
        <w:t>二、合同金额</w:t>
      </w:r>
    </w:p>
    <w:p w14:paraId="6DC21335">
      <w:pPr>
        <w:tabs>
          <w:tab w:val="left" w:pos="1069"/>
          <w:tab w:val="left" w:pos="2352"/>
        </w:tabs>
        <w:snapToGrid w:val="0"/>
        <w:spacing w:line="400" w:lineRule="exact"/>
        <w:rPr>
          <w:rFonts w:ascii="宋体" w:hAnsi="宋体" w:cs="宋体"/>
          <w:bCs/>
          <w:color w:val="auto"/>
          <w:sz w:val="22"/>
          <w:highlight w:val="none"/>
        </w:rPr>
      </w:pPr>
      <w:r>
        <w:rPr>
          <w:rFonts w:hint="eastAsia" w:ascii="宋体" w:hAnsi="宋体" w:cs="宋体"/>
          <w:bCs/>
          <w:color w:val="auto"/>
          <w:sz w:val="22"/>
          <w:highlight w:val="none"/>
        </w:rPr>
        <w:t xml:space="preserve">   1.合同金额：</w:t>
      </w:r>
    </w:p>
    <w:p w14:paraId="76FC9E52">
      <w:pPr>
        <w:tabs>
          <w:tab w:val="left" w:pos="1060"/>
          <w:tab w:val="left" w:pos="1069"/>
          <w:tab w:val="left" w:pos="2352"/>
        </w:tabs>
        <w:spacing w:line="400" w:lineRule="exact"/>
        <w:ind w:firstLine="446" w:firstLineChars="200"/>
        <w:rPr>
          <w:rFonts w:ascii="宋体" w:hAnsi="宋体" w:cs="宋体"/>
          <w:bCs/>
          <w:color w:val="auto"/>
          <w:sz w:val="22"/>
          <w:highlight w:val="none"/>
          <w:u w:val="single"/>
        </w:rPr>
      </w:pPr>
      <w:r>
        <w:rPr>
          <w:rFonts w:hint="eastAsia" w:ascii="宋体" w:hAnsi="宋体" w:cs="宋体"/>
          <w:bCs/>
          <w:color w:val="auto"/>
          <w:sz w:val="22"/>
          <w:highlight w:val="none"/>
        </w:rPr>
        <w:t>合同总价：</w:t>
      </w:r>
      <w:r>
        <w:rPr>
          <w:rFonts w:hint="eastAsia" w:ascii="宋体" w:hAnsi="宋体" w:cs="宋体"/>
          <w:bCs/>
          <w:color w:val="auto"/>
          <w:sz w:val="22"/>
          <w:highlight w:val="none"/>
          <w:u w:val="single"/>
        </w:rPr>
        <w:t>人民币（大写）        元整（￥      ）。</w:t>
      </w:r>
    </w:p>
    <w:p w14:paraId="705D384C">
      <w:pPr>
        <w:tabs>
          <w:tab w:val="left" w:pos="1069"/>
          <w:tab w:val="left" w:pos="2352"/>
        </w:tabs>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合同金额己包含因采购本项目所需服务而产生的全部费用和税费、合理理利润、验收费用以及采购需求未提及但完成本项目所需服务必不可少的费用。</w:t>
      </w:r>
    </w:p>
    <w:p w14:paraId="1FFBA6BE">
      <w:pPr>
        <w:tabs>
          <w:tab w:val="left" w:pos="1069"/>
          <w:tab w:val="left" w:pos="2352"/>
        </w:tabs>
        <w:spacing w:line="400" w:lineRule="exact"/>
        <w:ind w:firstLine="446" w:firstLineChars="200"/>
        <w:rPr>
          <w:rFonts w:ascii="宋体" w:hAnsi="宋体" w:cs="宋体"/>
          <w:b/>
          <w:color w:val="auto"/>
          <w:sz w:val="22"/>
          <w:highlight w:val="none"/>
        </w:rPr>
      </w:pPr>
      <w:r>
        <w:rPr>
          <w:rFonts w:hint="eastAsia" w:ascii="宋体" w:hAnsi="宋体" w:cs="宋体"/>
          <w:b/>
          <w:color w:val="auto"/>
          <w:sz w:val="22"/>
          <w:highlight w:val="none"/>
        </w:rPr>
        <w:t>三、成果提交</w:t>
      </w:r>
    </w:p>
    <w:p w14:paraId="4CDD7663">
      <w:pPr>
        <w:spacing w:line="400" w:lineRule="exact"/>
        <w:ind w:firstLine="446" w:firstLineChars="200"/>
        <w:rPr>
          <w:rFonts w:hint="eastAsia" w:ascii="宋体" w:hAnsi="宋体" w:cs="宋体"/>
          <w:color w:val="auto"/>
          <w:sz w:val="22"/>
          <w:highlight w:val="none"/>
        </w:rPr>
      </w:pPr>
      <w:r>
        <w:rPr>
          <w:rFonts w:hint="eastAsia" w:ascii="宋体" w:hAnsi="宋体" w:cs="宋体"/>
          <w:color w:val="auto"/>
          <w:sz w:val="22"/>
          <w:highlight w:val="none"/>
        </w:rPr>
        <w:t>以县为单位提交林草湿调查监测成果数据库。分别形成现状数据库和变化数据库,编制统计表和成果报告,并逐级汇总形成省级成果。</w:t>
      </w:r>
    </w:p>
    <w:p w14:paraId="06AD6171">
      <w:pPr>
        <w:spacing w:line="400" w:lineRule="exact"/>
        <w:ind w:firstLine="446" w:firstLineChars="200"/>
        <w:rPr>
          <w:rFonts w:hint="eastAsia" w:ascii="宋体" w:hAnsi="宋体" w:cs="宋体"/>
          <w:color w:val="auto"/>
          <w:sz w:val="22"/>
          <w:highlight w:val="none"/>
          <w:lang w:eastAsia="zh-CN"/>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rPr>
        <w:t>数据库</w:t>
      </w:r>
    </w:p>
    <w:p w14:paraId="4180C714">
      <w:pPr>
        <w:spacing w:line="400" w:lineRule="exact"/>
        <w:ind w:firstLine="446" w:firstLineChars="200"/>
        <w:rPr>
          <w:rFonts w:hint="eastAsia" w:ascii="宋体" w:hAnsi="宋体" w:cs="宋体"/>
          <w:color w:val="auto"/>
          <w:sz w:val="22"/>
          <w:highlight w:val="none"/>
        </w:rPr>
      </w:pPr>
      <w:r>
        <w:rPr>
          <w:rFonts w:hint="eastAsia" w:ascii="宋体" w:hAnsi="宋体" w:cs="宋体"/>
          <w:color w:val="auto"/>
          <w:sz w:val="22"/>
          <w:highlight w:val="none"/>
        </w:rPr>
        <w:t>按省级数据结构、代码提交成果数据库:(1)县级林草湿调查监测现状数据库(gdb 格式)。命名规则:F_LD_县代码_LCSXZ_调查年度。(2)县级林草湿调查监测变化数据库(gdb 格式)。命名规则:F_LD_县代码_LCSBH_调查年度。(3)县级林草湿调查监测增量包数据库(gdb 格式)。命名规则:F_LD_县代码_LCSZLB_调查年度。</w:t>
      </w:r>
    </w:p>
    <w:p w14:paraId="24916F8E">
      <w:pPr>
        <w:spacing w:line="400" w:lineRule="exact"/>
        <w:ind w:firstLine="446" w:firstLineChars="200"/>
        <w:rPr>
          <w:rFonts w:hint="eastAsia" w:ascii="宋体" w:hAnsi="宋体" w:cs="宋体"/>
          <w:color w:val="auto"/>
          <w:sz w:val="22"/>
          <w:highlight w:val="none"/>
        </w:rPr>
      </w:pPr>
      <w:r>
        <w:rPr>
          <w:rFonts w:hint="eastAsia" w:ascii="宋体" w:hAnsi="宋体" w:cs="宋体"/>
          <w:color w:val="auto"/>
          <w:sz w:val="22"/>
          <w:highlight w:val="none"/>
        </w:rPr>
        <w:t>2 统计表</w:t>
      </w:r>
    </w:p>
    <w:p w14:paraId="3FC5C3F7">
      <w:pPr>
        <w:spacing w:line="400" w:lineRule="exact"/>
        <w:ind w:firstLine="446" w:firstLineChars="200"/>
        <w:rPr>
          <w:rFonts w:hint="eastAsia" w:ascii="宋体" w:hAnsi="宋体" w:cs="宋体"/>
          <w:color w:val="auto"/>
          <w:sz w:val="22"/>
          <w:highlight w:val="none"/>
        </w:rPr>
      </w:pPr>
      <w:r>
        <w:rPr>
          <w:rFonts w:hint="eastAsia" w:ascii="宋体" w:hAnsi="宋体" w:cs="宋体"/>
          <w:color w:val="auto"/>
          <w:sz w:val="22"/>
          <w:highlight w:val="none"/>
        </w:rPr>
        <w:t>以林草湿调查监测现状数据库和林草湿调查监测变化数据库为基础,按调查基本单位进行统计,县级以乡级为单位、省级以县级为单位,逐级统计汇总。应保证“图数表一致”,统计报表表内、表间逻辑关系正确,以电子表格 xls/xlsx 格式提交。主要包括各类资源种类、数量、质量、结构、分布等现状及年度变化统计表等。</w:t>
      </w:r>
    </w:p>
    <w:p w14:paraId="5B971080">
      <w:pPr>
        <w:spacing w:line="400" w:lineRule="exact"/>
        <w:ind w:firstLine="446" w:firstLineChars="200"/>
        <w:rPr>
          <w:rFonts w:hint="eastAsia" w:ascii="宋体" w:hAnsi="宋体" w:cs="宋体"/>
          <w:color w:val="auto"/>
          <w:sz w:val="22"/>
          <w:highlight w:val="none"/>
        </w:rPr>
      </w:pPr>
      <w:r>
        <w:rPr>
          <w:rFonts w:hint="eastAsia" w:ascii="宋体" w:hAnsi="宋体" w:cs="宋体"/>
          <w:color w:val="auto"/>
          <w:sz w:val="22"/>
          <w:highlight w:val="none"/>
        </w:rPr>
        <w:t>3 成果报告</w:t>
      </w:r>
    </w:p>
    <w:p w14:paraId="4AC1D3E5">
      <w:pPr>
        <w:spacing w:line="400" w:lineRule="exact"/>
        <w:ind w:firstLine="446" w:firstLineChars="200"/>
        <w:rPr>
          <w:rFonts w:hint="eastAsia" w:ascii="宋体" w:hAnsi="宋体" w:cs="宋体"/>
          <w:color w:val="auto"/>
          <w:sz w:val="22"/>
          <w:highlight w:val="none"/>
        </w:rPr>
      </w:pPr>
      <w:r>
        <w:rPr>
          <w:rFonts w:hint="eastAsia" w:ascii="宋体" w:hAnsi="宋体" w:cs="宋体"/>
          <w:color w:val="auto"/>
          <w:sz w:val="22"/>
          <w:highlight w:val="none"/>
        </w:rPr>
        <w:t>林草湿调查监测成果县级需提交成果数据库(现状数据库、变化数据库、增量包数据库),市级核查报告,省级提交统计表和成果报告。县级年度林草湿监测成果上报表(见附录 A)盖章后扫描件统一报送。</w:t>
      </w:r>
    </w:p>
    <w:p w14:paraId="11613EB9">
      <w:pPr>
        <w:tabs>
          <w:tab w:val="left" w:pos="1069"/>
          <w:tab w:val="left" w:pos="2352"/>
        </w:tabs>
        <w:spacing w:line="400" w:lineRule="exact"/>
        <w:ind w:firstLine="223" w:firstLineChars="100"/>
        <w:rPr>
          <w:rFonts w:ascii="宋体" w:hAnsi="宋体" w:cs="宋体"/>
          <w:b/>
          <w:color w:val="auto"/>
          <w:sz w:val="22"/>
          <w:highlight w:val="none"/>
        </w:rPr>
      </w:pPr>
      <w:r>
        <w:rPr>
          <w:rFonts w:hint="eastAsia" w:ascii="宋体" w:hAnsi="宋体" w:cs="宋体"/>
          <w:bCs/>
          <w:color w:val="auto"/>
          <w:sz w:val="22"/>
          <w:highlight w:val="none"/>
        </w:rPr>
        <w:t xml:space="preserve"> </w:t>
      </w:r>
      <w:r>
        <w:rPr>
          <w:rFonts w:hint="eastAsia" w:ascii="宋体" w:hAnsi="宋体" w:cs="宋体"/>
          <w:b/>
          <w:color w:val="auto"/>
          <w:sz w:val="22"/>
          <w:highlight w:val="none"/>
        </w:rPr>
        <w:t xml:space="preserve"> 四、知识产权</w:t>
      </w:r>
    </w:p>
    <w:p w14:paraId="6035C975">
      <w:pPr>
        <w:tabs>
          <w:tab w:val="left" w:pos="1069"/>
          <w:tab w:val="left" w:pos="2352"/>
        </w:tabs>
        <w:spacing w:line="400" w:lineRule="exact"/>
        <w:ind w:firstLine="223" w:firstLineChars="100"/>
        <w:rPr>
          <w:rFonts w:hint="eastAsia" w:ascii="宋体" w:hAnsi="宋体" w:cs="宋体"/>
          <w:bCs/>
          <w:color w:val="auto"/>
          <w:sz w:val="22"/>
          <w:highlight w:val="none"/>
        </w:rPr>
      </w:pPr>
      <w:r>
        <w:rPr>
          <w:rFonts w:hint="eastAsia" w:ascii="宋体" w:hAnsi="宋体" w:cs="宋体"/>
          <w:bCs/>
          <w:color w:val="auto"/>
          <w:sz w:val="22"/>
          <w:highlight w:val="none"/>
        </w:rPr>
        <w:t xml:space="preserve">  乙方应保证提供服务过程中不会侵犯任何第三方的知识产权，所有提交资料成果所有权均归甲方所有，不得设置保密、保护措施。没有甲方事先书面同意，乙方不得将由甲方提供的有关合同或任何合同条文、规划报告、图纸、样品或资料提供给与履行本合同无关的任何其他人。即使向履行本合同有关的人员提供，也应注意保密并限于履行合同的必需范围。</w:t>
      </w:r>
    </w:p>
    <w:p w14:paraId="2FEC2189">
      <w:pPr>
        <w:tabs>
          <w:tab w:val="left" w:pos="1069"/>
          <w:tab w:val="left" w:pos="2352"/>
        </w:tabs>
        <w:spacing w:line="400" w:lineRule="exact"/>
        <w:ind w:firstLine="223" w:firstLineChars="100"/>
        <w:rPr>
          <w:rFonts w:hint="eastAsia" w:ascii="宋体" w:hAnsi="宋体" w:cs="宋体"/>
          <w:b/>
          <w:bCs w:val="0"/>
          <w:color w:val="auto"/>
          <w:sz w:val="22"/>
          <w:highlight w:val="none"/>
        </w:rPr>
      </w:pPr>
      <w:r>
        <w:rPr>
          <w:rFonts w:hint="eastAsia" w:ascii="宋体" w:hAnsi="宋体" w:cs="宋体"/>
          <w:b/>
          <w:bCs w:val="0"/>
          <w:color w:val="auto"/>
          <w:sz w:val="22"/>
          <w:highlight w:val="none"/>
        </w:rPr>
        <w:t>五、转包或分包</w:t>
      </w:r>
    </w:p>
    <w:p w14:paraId="68ABDF0D">
      <w:pPr>
        <w:tabs>
          <w:tab w:val="left" w:pos="1069"/>
          <w:tab w:val="left" w:pos="2352"/>
        </w:tabs>
        <w:spacing w:line="400" w:lineRule="exact"/>
        <w:ind w:firstLine="223" w:firstLineChars="100"/>
        <w:rPr>
          <w:rFonts w:hint="eastAsia" w:ascii="宋体" w:hAnsi="宋体" w:cs="宋体"/>
          <w:bCs/>
          <w:color w:val="auto"/>
          <w:sz w:val="22"/>
          <w:highlight w:val="none"/>
        </w:rPr>
      </w:pPr>
      <w:r>
        <w:rPr>
          <w:rFonts w:hint="eastAsia" w:ascii="宋体" w:hAnsi="宋体" w:cs="宋体"/>
          <w:bCs/>
          <w:color w:val="auto"/>
          <w:sz w:val="22"/>
          <w:highlight w:val="none"/>
        </w:rPr>
        <w:t>1.本合同范围的服务，应由乙方直接供应，不得转让他人供应；</w:t>
      </w:r>
    </w:p>
    <w:p w14:paraId="7EFA524D">
      <w:pPr>
        <w:tabs>
          <w:tab w:val="left" w:pos="1069"/>
          <w:tab w:val="left" w:pos="2352"/>
        </w:tabs>
        <w:spacing w:line="400" w:lineRule="exact"/>
        <w:ind w:firstLine="223" w:firstLineChars="100"/>
        <w:rPr>
          <w:rFonts w:hint="eastAsia" w:ascii="宋体" w:hAnsi="宋体" w:cs="宋体"/>
          <w:bCs/>
          <w:color w:val="auto"/>
          <w:sz w:val="22"/>
          <w:highlight w:val="none"/>
        </w:rPr>
      </w:pPr>
      <w:r>
        <w:rPr>
          <w:rFonts w:hint="eastAsia" w:ascii="宋体" w:hAnsi="宋体" w:cs="宋体"/>
          <w:bCs/>
          <w:color w:val="auto"/>
          <w:sz w:val="22"/>
          <w:highlight w:val="none"/>
        </w:rPr>
        <w:t>2.除非得到甲方的书面同意，乙方不得将本合同范围的服务全部或部分分包给他人供应；</w:t>
      </w:r>
    </w:p>
    <w:p w14:paraId="74D09772">
      <w:pPr>
        <w:tabs>
          <w:tab w:val="left" w:pos="1069"/>
          <w:tab w:val="left" w:pos="2352"/>
        </w:tabs>
        <w:spacing w:line="400" w:lineRule="exact"/>
        <w:ind w:firstLine="223" w:firstLineChars="100"/>
        <w:rPr>
          <w:rFonts w:hint="eastAsia" w:ascii="宋体" w:hAnsi="宋体" w:cs="宋体"/>
          <w:bCs/>
          <w:color w:val="auto"/>
          <w:sz w:val="22"/>
          <w:highlight w:val="none"/>
        </w:rPr>
      </w:pPr>
      <w:r>
        <w:rPr>
          <w:rFonts w:hint="eastAsia" w:ascii="宋体" w:hAnsi="宋体" w:cs="宋体"/>
          <w:bCs/>
          <w:color w:val="auto"/>
          <w:sz w:val="22"/>
          <w:highlight w:val="none"/>
        </w:rPr>
        <w:t>3.如有转让和未经甲方同意的分包行为，甲方有权解除合同，并追究乙方的违约责任。</w:t>
      </w:r>
    </w:p>
    <w:p w14:paraId="3D2E57C0">
      <w:pPr>
        <w:tabs>
          <w:tab w:val="left" w:pos="1069"/>
          <w:tab w:val="left" w:pos="2352"/>
        </w:tabs>
        <w:spacing w:line="400" w:lineRule="exact"/>
        <w:ind w:firstLine="223" w:firstLineChars="100"/>
        <w:rPr>
          <w:rFonts w:hint="eastAsia" w:ascii="宋体" w:hAnsi="宋体" w:cs="宋体"/>
          <w:bCs/>
          <w:color w:val="auto"/>
          <w:sz w:val="22"/>
          <w:highlight w:val="none"/>
        </w:rPr>
      </w:pPr>
      <w:r>
        <w:rPr>
          <w:rFonts w:hint="eastAsia" w:ascii="宋体" w:hAnsi="宋体" w:cs="宋体"/>
          <w:bCs/>
          <w:color w:val="auto"/>
          <w:sz w:val="22"/>
          <w:highlight w:val="none"/>
        </w:rPr>
        <w:t>六、工期进度要求及履行地点</w:t>
      </w:r>
    </w:p>
    <w:p w14:paraId="6F58BBBA">
      <w:pPr>
        <w:tabs>
          <w:tab w:val="left" w:pos="1069"/>
          <w:tab w:val="left" w:pos="2352"/>
        </w:tabs>
        <w:spacing w:line="400" w:lineRule="exact"/>
        <w:ind w:firstLine="223" w:firstLineChars="100"/>
        <w:rPr>
          <w:rFonts w:hint="eastAsia" w:ascii="宋体" w:hAnsi="宋体" w:cs="宋体"/>
          <w:bCs/>
          <w:color w:val="auto"/>
          <w:sz w:val="22"/>
          <w:highlight w:val="none"/>
        </w:rPr>
      </w:pPr>
      <w:r>
        <w:rPr>
          <w:rFonts w:hint="eastAsia" w:ascii="宋体" w:hAnsi="宋体" w:cs="宋体"/>
          <w:bCs/>
          <w:color w:val="auto"/>
          <w:sz w:val="22"/>
          <w:highlight w:val="none"/>
        </w:rPr>
        <w:t>1.工期进度要求</w:t>
      </w:r>
    </w:p>
    <w:p w14:paraId="5BF3B1FF">
      <w:pPr>
        <w:tabs>
          <w:tab w:val="left" w:pos="1069"/>
          <w:tab w:val="left" w:pos="2352"/>
        </w:tabs>
        <w:spacing w:line="400" w:lineRule="exact"/>
        <w:ind w:firstLine="223" w:firstLineChars="100"/>
        <w:rPr>
          <w:rFonts w:hint="eastAsia" w:ascii="宋体" w:hAnsi="宋体" w:cs="宋体"/>
          <w:bCs/>
          <w:color w:val="auto"/>
          <w:sz w:val="22"/>
          <w:highlight w:val="none"/>
        </w:rPr>
      </w:pPr>
      <w:r>
        <w:rPr>
          <w:rFonts w:hint="eastAsia" w:ascii="宋体" w:hAnsi="宋体" w:cs="宋体"/>
          <w:bCs/>
          <w:color w:val="auto"/>
          <w:sz w:val="22"/>
          <w:highlight w:val="none"/>
        </w:rPr>
        <w:t>成果于</w:t>
      </w:r>
      <w:r>
        <w:rPr>
          <w:rFonts w:hint="eastAsia" w:ascii="宋体" w:hAnsi="宋体" w:cs="宋体"/>
          <w:bCs/>
          <w:color w:val="auto"/>
          <w:sz w:val="22"/>
          <w:highlight w:val="none"/>
          <w:lang w:eastAsia="zh-CN"/>
        </w:rPr>
        <w:t>2025年</w:t>
      </w:r>
      <w:r>
        <w:rPr>
          <w:rFonts w:hint="eastAsia" w:ascii="宋体" w:hAnsi="宋体" w:cs="宋体"/>
          <w:bCs/>
          <w:color w:val="auto"/>
          <w:sz w:val="22"/>
          <w:highlight w:val="none"/>
        </w:rPr>
        <w:t>12月底提交（具体时间根据省林业局要求作相应调整）。</w:t>
      </w:r>
    </w:p>
    <w:p w14:paraId="681BB1C2">
      <w:pPr>
        <w:tabs>
          <w:tab w:val="left" w:pos="1069"/>
          <w:tab w:val="left" w:pos="2352"/>
        </w:tabs>
        <w:spacing w:line="400" w:lineRule="exact"/>
        <w:ind w:firstLine="223" w:firstLineChars="100"/>
        <w:rPr>
          <w:rFonts w:hint="eastAsia" w:ascii="宋体" w:hAnsi="宋体" w:cs="宋体"/>
          <w:bCs/>
          <w:color w:val="auto"/>
          <w:sz w:val="22"/>
          <w:highlight w:val="none"/>
        </w:rPr>
      </w:pPr>
      <w:r>
        <w:rPr>
          <w:rFonts w:hint="eastAsia" w:ascii="宋体" w:hAnsi="宋体" w:cs="宋体"/>
          <w:bCs/>
          <w:color w:val="auto"/>
          <w:sz w:val="22"/>
          <w:highlight w:val="none"/>
        </w:rPr>
        <w:t>2.履行地点：甲方指定地点。</w:t>
      </w:r>
    </w:p>
    <w:p w14:paraId="33DF4D56">
      <w:pPr>
        <w:tabs>
          <w:tab w:val="left" w:pos="1069"/>
          <w:tab w:val="left" w:pos="2352"/>
        </w:tabs>
        <w:spacing w:line="400" w:lineRule="exact"/>
        <w:ind w:firstLine="223" w:firstLineChars="100"/>
        <w:rPr>
          <w:rFonts w:hint="eastAsia" w:ascii="宋体" w:hAnsi="宋体" w:cs="宋体"/>
          <w:b/>
          <w:bCs w:val="0"/>
          <w:color w:val="auto"/>
          <w:sz w:val="22"/>
          <w:highlight w:val="none"/>
        </w:rPr>
      </w:pPr>
      <w:r>
        <w:rPr>
          <w:rFonts w:hint="eastAsia" w:ascii="宋体" w:hAnsi="宋体" w:cs="宋体"/>
          <w:b/>
          <w:bCs w:val="0"/>
          <w:color w:val="auto"/>
          <w:sz w:val="22"/>
          <w:highlight w:val="none"/>
        </w:rPr>
        <w:t>七、付款方式</w:t>
      </w:r>
    </w:p>
    <w:p w14:paraId="6A950E5E">
      <w:pPr>
        <w:tabs>
          <w:tab w:val="left" w:pos="1069"/>
          <w:tab w:val="left" w:pos="2352"/>
        </w:tabs>
        <w:spacing w:line="400" w:lineRule="exact"/>
        <w:ind w:firstLine="223" w:firstLineChars="100"/>
        <w:rPr>
          <w:rFonts w:hint="eastAsia" w:ascii="宋体" w:hAnsi="宋体" w:cs="宋体"/>
          <w:bCs/>
          <w:color w:val="auto"/>
          <w:sz w:val="22"/>
          <w:highlight w:val="none"/>
        </w:rPr>
      </w:pPr>
      <w:r>
        <w:rPr>
          <w:rFonts w:hint="eastAsia" w:ascii="宋体" w:hAnsi="宋体" w:cs="宋体"/>
          <w:bCs/>
          <w:color w:val="auto"/>
          <w:sz w:val="22"/>
          <w:highlight w:val="none"/>
        </w:rPr>
        <w:t>下列付款条件具备后，乙方提供相应的增值税发票并经甲方确认无误后7个工作日内支付合同价款。</w:t>
      </w:r>
    </w:p>
    <w:p w14:paraId="298B53C9">
      <w:pPr>
        <w:tabs>
          <w:tab w:val="left" w:pos="1069"/>
          <w:tab w:val="left" w:pos="2352"/>
        </w:tabs>
        <w:spacing w:line="400" w:lineRule="exact"/>
        <w:ind w:firstLine="223" w:firstLineChars="100"/>
        <w:rPr>
          <w:rFonts w:ascii="宋体" w:hAnsi="宋体" w:cs="宋体"/>
          <w:color w:val="auto"/>
          <w:sz w:val="22"/>
          <w:highlight w:val="none"/>
        </w:rPr>
      </w:pPr>
      <w:r>
        <w:rPr>
          <w:rFonts w:hint="eastAsia" w:ascii="宋体" w:hAnsi="宋体" w:cs="宋体"/>
          <w:bCs/>
          <w:color w:val="auto"/>
          <w:sz w:val="22"/>
          <w:highlight w:val="none"/>
        </w:rPr>
        <w:t>根据《保障中小企业款项支付条例》、省财政厅《关于坚决打赢疫情防控阻击战进一步做好政府采购资金支持企业发展工作的通知》（浙财采监〔2020〕33号）、省财政厅《关于进一步发挥政府采购政策功能全力推动经济稳进</w:t>
      </w:r>
      <w:r>
        <w:rPr>
          <w:rFonts w:hint="eastAsia" w:ascii="宋体" w:hAnsi="宋体" w:cs="宋体"/>
          <w:color w:val="auto"/>
          <w:sz w:val="22"/>
          <w:highlight w:val="none"/>
        </w:rPr>
        <w:t>提质的通知》（浙财采监〔2022〕3号）、《关于进一步加大政府采购 支持中小企业力度 助力扎实稳住经济 的通知》（浙财采监〔2022〕8号）要求。</w:t>
      </w:r>
    </w:p>
    <w:p w14:paraId="15764A45">
      <w:pPr>
        <w:tabs>
          <w:tab w:val="left" w:pos="2352"/>
        </w:tabs>
        <w:autoSpaceDE w:val="0"/>
        <w:autoSpaceDN w:val="0"/>
        <w:adjustRightInd w:val="0"/>
        <w:snapToGri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制定如下付款方式：</w:t>
      </w:r>
    </w:p>
    <w:p w14:paraId="783CE8CD">
      <w:pPr>
        <w:tabs>
          <w:tab w:val="left" w:pos="2352"/>
        </w:tabs>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1.合同生效且具备支付条件后，甲方预付合同总价的40%，即</w:t>
      </w:r>
      <w:r>
        <w:rPr>
          <w:rFonts w:hint="eastAsia" w:ascii="宋体" w:hAnsi="宋体" w:cs="宋体"/>
          <w:bCs/>
          <w:color w:val="auto"/>
          <w:sz w:val="22"/>
          <w:highlight w:val="none"/>
          <w:u w:val="single"/>
        </w:rPr>
        <w:t xml:space="preserve">人民币（大写）        元整（￥      ） </w:t>
      </w:r>
      <w:r>
        <w:rPr>
          <w:rFonts w:hint="eastAsia" w:ascii="宋体" w:hAnsi="宋体" w:cs="宋体"/>
          <w:bCs/>
          <w:color w:val="auto"/>
          <w:sz w:val="22"/>
          <w:highlight w:val="none"/>
        </w:rPr>
        <w:t>。</w:t>
      </w:r>
    </w:p>
    <w:p w14:paraId="16B03D3D">
      <w:pPr>
        <w:tabs>
          <w:tab w:val="left" w:pos="2352"/>
        </w:tabs>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2.通过甲方验收后，甲方支付合同总价的60%，即</w:t>
      </w:r>
      <w:r>
        <w:rPr>
          <w:rFonts w:hint="eastAsia" w:ascii="宋体" w:hAnsi="宋体" w:cs="宋体"/>
          <w:bCs/>
          <w:color w:val="auto"/>
          <w:sz w:val="22"/>
          <w:highlight w:val="none"/>
          <w:u w:val="single"/>
        </w:rPr>
        <w:t xml:space="preserve">人民币（大写）        元整（￥      ） </w:t>
      </w:r>
      <w:r>
        <w:rPr>
          <w:rFonts w:hint="eastAsia" w:ascii="宋体" w:hAnsi="宋体" w:cs="宋体"/>
          <w:bCs/>
          <w:color w:val="auto"/>
          <w:sz w:val="22"/>
          <w:highlight w:val="none"/>
        </w:rPr>
        <w:t>。</w:t>
      </w:r>
    </w:p>
    <w:p w14:paraId="38F4A1C9">
      <w:pPr>
        <w:pStyle w:val="10"/>
        <w:numPr>
          <w:ilvl w:val="0"/>
          <w:numId w:val="9"/>
        </w:numPr>
        <w:tabs>
          <w:tab w:val="left" w:pos="1069"/>
          <w:tab w:val="left" w:pos="2352"/>
        </w:tabs>
        <w:snapToGrid w:val="0"/>
        <w:spacing w:line="400" w:lineRule="exact"/>
        <w:ind w:firstLine="223" w:firstLineChars="100"/>
        <w:rPr>
          <w:rFonts w:hAnsi="宋体" w:cs="宋体"/>
          <w:b/>
          <w:color w:val="auto"/>
          <w:kern w:val="2"/>
          <w:sz w:val="22"/>
          <w:szCs w:val="22"/>
          <w:highlight w:val="none"/>
        </w:rPr>
      </w:pPr>
      <w:r>
        <w:rPr>
          <w:rFonts w:hint="eastAsia" w:hAnsi="宋体" w:cs="宋体"/>
          <w:b/>
          <w:color w:val="auto"/>
          <w:kern w:val="2"/>
          <w:sz w:val="22"/>
          <w:szCs w:val="22"/>
          <w:highlight w:val="none"/>
        </w:rPr>
        <w:t>验收</w:t>
      </w:r>
    </w:p>
    <w:p w14:paraId="18DB3D3B">
      <w:pPr>
        <w:tabs>
          <w:tab w:val="left" w:pos="1069"/>
          <w:tab w:val="left" w:pos="2352"/>
        </w:tabs>
        <w:snapToGrid w:val="0"/>
        <w:spacing w:line="400" w:lineRule="exact"/>
        <w:ind w:firstLine="223" w:firstLineChars="100"/>
        <w:rPr>
          <w:rFonts w:ascii="宋体" w:hAnsi="宋体"/>
          <w:color w:val="auto"/>
          <w:sz w:val="22"/>
          <w:highlight w:val="none"/>
        </w:rPr>
      </w:pPr>
      <w:r>
        <w:rPr>
          <w:rFonts w:hint="eastAsia" w:ascii="宋体" w:hAnsi="宋体"/>
          <w:color w:val="auto"/>
          <w:sz w:val="22"/>
          <w:highlight w:val="none"/>
        </w:rPr>
        <w:t>1.按项目相关规定、规范进行。</w:t>
      </w:r>
    </w:p>
    <w:p w14:paraId="1EEF2387">
      <w:pPr>
        <w:tabs>
          <w:tab w:val="left" w:pos="1069"/>
          <w:tab w:val="left" w:pos="2352"/>
        </w:tabs>
        <w:snapToGrid w:val="0"/>
        <w:spacing w:line="400" w:lineRule="exact"/>
        <w:ind w:firstLine="223" w:firstLineChars="100"/>
        <w:rPr>
          <w:rFonts w:ascii="宋体" w:hAnsi="宋体"/>
          <w:color w:val="auto"/>
          <w:sz w:val="22"/>
          <w:highlight w:val="none"/>
        </w:rPr>
      </w:pPr>
      <w:r>
        <w:rPr>
          <w:rFonts w:hint="eastAsia" w:ascii="宋体" w:hAnsi="宋体"/>
          <w:color w:val="auto"/>
          <w:sz w:val="22"/>
          <w:highlight w:val="none"/>
        </w:rPr>
        <w:t>2.验收标准：提交的</w:t>
      </w:r>
      <w:r>
        <w:rPr>
          <w:rFonts w:hint="eastAsia" w:ascii="宋体" w:hAnsi="宋体" w:cs="宋体"/>
          <w:color w:val="auto"/>
          <w:sz w:val="22"/>
          <w:highlight w:val="none"/>
        </w:rPr>
        <w:t>成果通过专家评审，满足省市考核要求</w:t>
      </w:r>
      <w:r>
        <w:rPr>
          <w:rFonts w:hint="eastAsia" w:ascii="宋体" w:hAnsi="宋体"/>
          <w:color w:val="auto"/>
          <w:sz w:val="22"/>
          <w:highlight w:val="none"/>
        </w:rPr>
        <w:t>。</w:t>
      </w:r>
    </w:p>
    <w:p w14:paraId="5BE6DBCE">
      <w:pPr>
        <w:tabs>
          <w:tab w:val="left" w:pos="1069"/>
          <w:tab w:val="left" w:pos="2352"/>
        </w:tabs>
        <w:snapToGrid w:val="0"/>
        <w:spacing w:line="400" w:lineRule="exact"/>
        <w:ind w:firstLine="223" w:firstLineChars="100"/>
        <w:rPr>
          <w:rFonts w:hAnsi="宋体" w:cs="宋体"/>
          <w:b/>
          <w:color w:val="auto"/>
          <w:sz w:val="22"/>
          <w:highlight w:val="none"/>
        </w:rPr>
      </w:pPr>
      <w:r>
        <w:rPr>
          <w:rFonts w:hint="eastAsia" w:ascii="宋体" w:hAnsi="宋体"/>
          <w:color w:val="auto"/>
          <w:sz w:val="22"/>
          <w:highlight w:val="none"/>
        </w:rPr>
        <w:t>3.验收所需（含专家评审费用）费用由乙方承担</w:t>
      </w:r>
      <w:r>
        <w:rPr>
          <w:rFonts w:hint="eastAsia" w:hAnsi="宋体" w:cs="宋体"/>
          <w:bCs/>
          <w:color w:val="auto"/>
          <w:sz w:val="22"/>
          <w:highlight w:val="none"/>
        </w:rPr>
        <w:t>。</w:t>
      </w:r>
    </w:p>
    <w:p w14:paraId="61A67C7D">
      <w:pPr>
        <w:pStyle w:val="10"/>
        <w:tabs>
          <w:tab w:val="left" w:pos="1069"/>
          <w:tab w:val="left" w:pos="2352"/>
        </w:tabs>
        <w:adjustRightInd w:val="0"/>
        <w:snapToGrid w:val="0"/>
        <w:spacing w:line="400" w:lineRule="atLeast"/>
        <w:ind w:firstLine="223" w:firstLineChars="100"/>
        <w:rPr>
          <w:rFonts w:hAnsi="宋体" w:cs="宋体"/>
          <w:bCs/>
          <w:color w:val="auto"/>
          <w:sz w:val="22"/>
          <w:szCs w:val="22"/>
          <w:highlight w:val="none"/>
        </w:rPr>
      </w:pPr>
      <w:r>
        <w:rPr>
          <w:rFonts w:hint="eastAsia" w:hAnsi="宋体" w:cs="宋体"/>
          <w:b/>
          <w:color w:val="auto"/>
          <w:sz w:val="22"/>
          <w:szCs w:val="22"/>
          <w:highlight w:val="none"/>
        </w:rPr>
        <w:t>九、税费</w:t>
      </w:r>
    </w:p>
    <w:p w14:paraId="01B7BA9B">
      <w:pPr>
        <w:tabs>
          <w:tab w:val="left" w:pos="2352"/>
        </w:tabs>
        <w:spacing w:line="400" w:lineRule="exact"/>
        <w:ind w:firstLine="223" w:firstLineChars="100"/>
        <w:rPr>
          <w:rFonts w:hAnsi="宋体" w:cs="宋体"/>
          <w:bCs/>
          <w:color w:val="auto"/>
          <w:sz w:val="22"/>
          <w:highlight w:val="none"/>
        </w:rPr>
      </w:pPr>
      <w:r>
        <w:rPr>
          <w:rFonts w:hint="eastAsia" w:hAnsi="宋体" w:cs="宋体"/>
          <w:bCs/>
          <w:color w:val="auto"/>
          <w:sz w:val="22"/>
          <w:highlight w:val="none"/>
        </w:rPr>
        <w:t>本合同执行中相关的一切税费均由乙方负担。</w:t>
      </w:r>
    </w:p>
    <w:p w14:paraId="17794395">
      <w:pPr>
        <w:tabs>
          <w:tab w:val="left" w:pos="2352"/>
        </w:tabs>
        <w:spacing w:line="400" w:lineRule="exact"/>
        <w:ind w:firstLine="223" w:firstLineChars="100"/>
        <w:rPr>
          <w:rFonts w:hAnsi="宋体" w:cs="宋体"/>
          <w:b/>
          <w:color w:val="auto"/>
          <w:sz w:val="22"/>
          <w:highlight w:val="none"/>
        </w:rPr>
      </w:pPr>
      <w:r>
        <w:rPr>
          <w:rFonts w:hint="eastAsia" w:hAnsi="宋体" w:cs="宋体"/>
          <w:b/>
          <w:bCs w:val="0"/>
          <w:color w:val="auto"/>
          <w:sz w:val="22"/>
          <w:highlight w:val="none"/>
        </w:rPr>
        <w:t>十、</w:t>
      </w:r>
      <w:r>
        <w:rPr>
          <w:rFonts w:hint="eastAsia" w:hAnsi="宋体" w:cs="宋体"/>
          <w:b/>
          <w:color w:val="auto"/>
          <w:sz w:val="22"/>
          <w:highlight w:val="none"/>
        </w:rPr>
        <w:t>质量保证及后续服务</w:t>
      </w:r>
    </w:p>
    <w:p w14:paraId="74A2AAD1">
      <w:pPr>
        <w:tabs>
          <w:tab w:val="left" w:pos="2352"/>
        </w:tabs>
        <w:spacing w:line="400" w:lineRule="exact"/>
        <w:ind w:firstLine="223" w:firstLineChars="100"/>
        <w:rPr>
          <w:rFonts w:hAnsi="宋体" w:cs="宋体"/>
          <w:bCs/>
          <w:color w:val="auto"/>
          <w:sz w:val="22"/>
          <w:highlight w:val="none"/>
        </w:rPr>
      </w:pPr>
      <w:r>
        <w:rPr>
          <w:rFonts w:hint="eastAsia" w:hAnsi="宋体" w:cs="宋体"/>
          <w:bCs/>
          <w:color w:val="auto"/>
          <w:sz w:val="22"/>
          <w:highlight w:val="none"/>
        </w:rPr>
        <w:t>1．本项目成果维护期为自项目验收合格之日起1年</w:t>
      </w:r>
      <w:r>
        <w:rPr>
          <w:rFonts w:hint="eastAsia" w:ascii="宋体" w:hAnsi="宋体" w:cs="宋体"/>
          <w:color w:val="auto"/>
          <w:sz w:val="22"/>
          <w:highlight w:val="none"/>
        </w:rPr>
        <w:t>。</w:t>
      </w:r>
      <w:r>
        <w:rPr>
          <w:rFonts w:hint="eastAsia" w:hAnsi="宋体" w:cs="宋体"/>
          <w:bCs/>
          <w:color w:val="auto"/>
          <w:sz w:val="22"/>
          <w:highlight w:val="none"/>
        </w:rPr>
        <w:t>维护期内乙方负责提供免费的技术、咨询及修改工作，乙方应对服务成果出现的质量问题负责处理解决并承担一切费用。</w:t>
      </w:r>
    </w:p>
    <w:p w14:paraId="7EB02C1E">
      <w:pPr>
        <w:pStyle w:val="10"/>
        <w:tabs>
          <w:tab w:val="left" w:pos="1069"/>
          <w:tab w:val="left" w:pos="2352"/>
        </w:tabs>
        <w:adjustRightInd w:val="0"/>
        <w:snapToGrid w:val="0"/>
        <w:spacing w:line="400" w:lineRule="atLeast"/>
        <w:ind w:left="221" w:leftChars="104"/>
        <w:rPr>
          <w:rFonts w:hAnsi="宋体" w:cs="宋体"/>
          <w:bCs/>
          <w:color w:val="auto"/>
          <w:sz w:val="22"/>
          <w:szCs w:val="22"/>
          <w:highlight w:val="none"/>
        </w:rPr>
      </w:pPr>
      <w:r>
        <w:rPr>
          <w:rFonts w:hint="eastAsia" w:hAnsi="宋体" w:cs="宋体"/>
          <w:bCs/>
          <w:color w:val="auto"/>
          <w:sz w:val="22"/>
          <w:szCs w:val="22"/>
          <w:highlight w:val="none"/>
        </w:rPr>
        <w:t>2.乙方应按响应文件承诺及采购文件规定向甲方提供服务。</w:t>
      </w:r>
    </w:p>
    <w:p w14:paraId="2955D4F1">
      <w:pPr>
        <w:pStyle w:val="10"/>
        <w:tabs>
          <w:tab w:val="left" w:pos="1069"/>
          <w:tab w:val="left" w:pos="2352"/>
        </w:tabs>
        <w:adjustRightInd w:val="0"/>
        <w:snapToGrid w:val="0"/>
        <w:spacing w:line="400" w:lineRule="atLeast"/>
        <w:ind w:left="221" w:leftChars="104"/>
        <w:rPr>
          <w:rFonts w:hAnsi="宋体" w:cs="宋体"/>
          <w:bCs/>
          <w:color w:val="auto"/>
          <w:sz w:val="22"/>
          <w:szCs w:val="22"/>
          <w:highlight w:val="none"/>
        </w:rPr>
      </w:pPr>
      <w:r>
        <w:rPr>
          <w:rFonts w:hint="eastAsia" w:hAnsi="宋体" w:cs="宋体"/>
          <w:bCs/>
          <w:color w:val="auto"/>
          <w:sz w:val="22"/>
          <w:szCs w:val="22"/>
          <w:highlight w:val="none"/>
        </w:rPr>
        <w:t>3．乙方提供的服务成果在服务质量保证期内发生质量问题，乙方应负责免费提供后续服务。对达不到要求者，根据实际情况，经双方协商，可按以下办法处理：</w:t>
      </w:r>
    </w:p>
    <w:p w14:paraId="3F04CB7F">
      <w:pPr>
        <w:pStyle w:val="10"/>
        <w:tabs>
          <w:tab w:val="left" w:pos="1069"/>
          <w:tab w:val="left" w:pos="2352"/>
        </w:tabs>
        <w:adjustRightInd w:val="0"/>
        <w:snapToGrid w:val="0"/>
        <w:spacing w:line="400" w:lineRule="atLeast"/>
        <w:ind w:left="221" w:leftChars="104"/>
        <w:rPr>
          <w:rFonts w:hAnsi="宋体" w:cs="宋体"/>
          <w:bCs/>
          <w:color w:val="auto"/>
          <w:sz w:val="22"/>
          <w:szCs w:val="22"/>
          <w:highlight w:val="none"/>
        </w:rPr>
      </w:pPr>
      <w:r>
        <w:rPr>
          <w:rFonts w:hint="eastAsia" w:hAnsi="宋体" w:cs="宋体"/>
          <w:bCs/>
          <w:color w:val="auto"/>
          <w:sz w:val="22"/>
          <w:szCs w:val="22"/>
          <w:highlight w:val="none"/>
        </w:rPr>
        <w:t>（1）重做：由乙方承担所发生的全部费用。</w:t>
      </w:r>
    </w:p>
    <w:p w14:paraId="0BFDEEB3">
      <w:pPr>
        <w:pStyle w:val="10"/>
        <w:tabs>
          <w:tab w:val="left" w:pos="1069"/>
          <w:tab w:val="left" w:pos="2352"/>
        </w:tabs>
        <w:adjustRightInd w:val="0"/>
        <w:snapToGrid w:val="0"/>
        <w:spacing w:line="400" w:lineRule="atLeast"/>
        <w:ind w:left="221" w:leftChars="104"/>
        <w:rPr>
          <w:rFonts w:hAnsi="宋体" w:cs="宋体"/>
          <w:bCs/>
          <w:color w:val="auto"/>
          <w:sz w:val="22"/>
          <w:szCs w:val="22"/>
          <w:highlight w:val="none"/>
        </w:rPr>
      </w:pPr>
      <w:r>
        <w:rPr>
          <w:rFonts w:hint="eastAsia" w:hAnsi="宋体" w:cs="宋体"/>
          <w:bCs/>
          <w:color w:val="auto"/>
          <w:sz w:val="22"/>
          <w:szCs w:val="22"/>
          <w:highlight w:val="none"/>
        </w:rPr>
        <w:t>（2）贬值处理：由甲乙双方合议定价。</w:t>
      </w:r>
    </w:p>
    <w:p w14:paraId="20F82503">
      <w:pPr>
        <w:pStyle w:val="10"/>
        <w:tabs>
          <w:tab w:val="left" w:pos="1069"/>
          <w:tab w:val="left" w:pos="2352"/>
        </w:tabs>
        <w:adjustRightInd w:val="0"/>
        <w:snapToGrid w:val="0"/>
        <w:spacing w:line="400" w:lineRule="atLeast"/>
        <w:ind w:left="221" w:leftChars="104"/>
        <w:rPr>
          <w:rFonts w:hAnsi="宋体" w:cs="宋体"/>
          <w:bCs/>
          <w:color w:val="auto"/>
          <w:sz w:val="22"/>
          <w:szCs w:val="22"/>
          <w:highlight w:val="none"/>
        </w:rPr>
      </w:pPr>
      <w:r>
        <w:rPr>
          <w:rFonts w:hint="eastAsia" w:hAnsi="宋体" w:cs="宋体"/>
          <w:bCs/>
          <w:color w:val="auto"/>
          <w:sz w:val="22"/>
          <w:szCs w:val="22"/>
          <w:highlight w:val="none"/>
        </w:rPr>
        <w:t>（3）解除合同。</w:t>
      </w:r>
    </w:p>
    <w:p w14:paraId="70A55974">
      <w:pPr>
        <w:pStyle w:val="10"/>
        <w:tabs>
          <w:tab w:val="left" w:pos="1069"/>
          <w:tab w:val="left" w:pos="2352"/>
        </w:tabs>
        <w:adjustRightInd w:val="0"/>
        <w:snapToGrid w:val="0"/>
        <w:spacing w:line="400" w:lineRule="atLeast"/>
        <w:ind w:firstLine="223" w:firstLineChars="100"/>
        <w:rPr>
          <w:rFonts w:hAnsi="宋体" w:cs="宋体"/>
          <w:bCs/>
          <w:color w:val="auto"/>
          <w:sz w:val="22"/>
          <w:szCs w:val="22"/>
          <w:highlight w:val="none"/>
        </w:rPr>
      </w:pPr>
      <w:r>
        <w:rPr>
          <w:rFonts w:hint="eastAsia" w:hAnsi="宋体" w:cs="宋体"/>
          <w:bCs/>
          <w:color w:val="auto"/>
          <w:sz w:val="22"/>
          <w:szCs w:val="22"/>
          <w:highlight w:val="none"/>
        </w:rPr>
        <w:t>4.乙方需提供7×24小时电话技术咨询支持，在收到甲方质量问题通知后30分钟内须作出有效响应，如非现场响应无法解决问题的，须到达现场解决问题。</w:t>
      </w:r>
    </w:p>
    <w:p w14:paraId="4771F4C0">
      <w:pPr>
        <w:pStyle w:val="10"/>
        <w:tabs>
          <w:tab w:val="left" w:pos="1069"/>
          <w:tab w:val="left" w:pos="2352"/>
        </w:tabs>
        <w:adjustRightInd w:val="0"/>
        <w:snapToGrid w:val="0"/>
        <w:spacing w:line="400" w:lineRule="atLeast"/>
        <w:ind w:firstLine="223" w:firstLineChars="100"/>
        <w:rPr>
          <w:rFonts w:hAnsi="宋体" w:cs="宋体"/>
          <w:b/>
          <w:color w:val="auto"/>
          <w:sz w:val="22"/>
          <w:szCs w:val="22"/>
          <w:highlight w:val="none"/>
        </w:rPr>
      </w:pPr>
      <w:r>
        <w:rPr>
          <w:rFonts w:hint="eastAsia" w:hAnsi="宋体" w:cs="宋体"/>
          <w:bCs/>
          <w:color w:val="auto"/>
          <w:sz w:val="22"/>
          <w:szCs w:val="22"/>
          <w:highlight w:val="none"/>
        </w:rPr>
        <w:t xml:space="preserve"> </w:t>
      </w:r>
      <w:r>
        <w:rPr>
          <w:rFonts w:hint="eastAsia" w:hAnsi="宋体" w:cs="宋体"/>
          <w:b/>
          <w:color w:val="auto"/>
          <w:sz w:val="22"/>
          <w:szCs w:val="22"/>
          <w:highlight w:val="none"/>
        </w:rPr>
        <w:t>十一、违约责任</w:t>
      </w:r>
    </w:p>
    <w:p w14:paraId="2EAA5D5C">
      <w:pPr>
        <w:pStyle w:val="10"/>
        <w:tabs>
          <w:tab w:val="left" w:pos="1069"/>
          <w:tab w:val="left" w:pos="2352"/>
        </w:tabs>
        <w:adjustRightInd w:val="0"/>
        <w:snapToGrid w:val="0"/>
        <w:spacing w:line="400" w:lineRule="atLeast"/>
        <w:ind w:firstLine="223" w:firstLineChars="100"/>
        <w:rPr>
          <w:rFonts w:hAnsi="宋体" w:cs="宋体"/>
          <w:bCs/>
          <w:color w:val="auto"/>
          <w:sz w:val="22"/>
          <w:szCs w:val="22"/>
          <w:highlight w:val="none"/>
        </w:rPr>
      </w:pPr>
      <w:r>
        <w:rPr>
          <w:rFonts w:hint="eastAsia" w:hAnsi="宋体" w:cs="宋体"/>
          <w:bCs/>
          <w:color w:val="auto"/>
          <w:sz w:val="22"/>
          <w:szCs w:val="22"/>
          <w:highlight w:val="none"/>
        </w:rPr>
        <w:t xml:space="preserve"> 1.乙方没有达到服务质量要求，甲方有权终止服务合同并停止付款及扣除全部服务质量保证金。</w:t>
      </w:r>
    </w:p>
    <w:p w14:paraId="13F1BE93">
      <w:pPr>
        <w:pStyle w:val="10"/>
        <w:tabs>
          <w:tab w:val="left" w:pos="1069"/>
          <w:tab w:val="left" w:pos="2352"/>
        </w:tabs>
        <w:adjustRightInd w:val="0"/>
        <w:snapToGrid w:val="0"/>
        <w:spacing w:line="400" w:lineRule="atLeast"/>
        <w:ind w:firstLine="446" w:firstLineChars="200"/>
        <w:rPr>
          <w:rFonts w:hAnsi="宋体" w:cs="宋体"/>
          <w:bCs/>
          <w:color w:val="auto"/>
          <w:sz w:val="22"/>
          <w:szCs w:val="22"/>
          <w:highlight w:val="none"/>
        </w:rPr>
      </w:pPr>
      <w:r>
        <w:rPr>
          <w:rFonts w:hint="eastAsia" w:hAnsi="宋体" w:cs="宋体"/>
          <w:bCs/>
          <w:color w:val="auto"/>
          <w:sz w:val="22"/>
          <w:szCs w:val="22"/>
          <w:highlight w:val="none"/>
        </w:rPr>
        <w:t>2.乙方超过约定日期10个工作日仍不能提供服务的，甲方可解除本合同。乙方因未能如期提供服务或因其他违约行为导致甲方解除合同的，乙方应向甲方支付合同总值5％的违约金，如造成甲方损失超过违约金的，超出部分由乙方继续承担赔偿责任。</w:t>
      </w:r>
    </w:p>
    <w:p w14:paraId="21476304">
      <w:pPr>
        <w:pStyle w:val="10"/>
        <w:tabs>
          <w:tab w:val="left" w:pos="1069"/>
          <w:tab w:val="left" w:pos="2352"/>
        </w:tabs>
        <w:adjustRightInd w:val="0"/>
        <w:snapToGrid w:val="0"/>
        <w:spacing w:line="400" w:lineRule="atLeast"/>
        <w:ind w:firstLine="223" w:firstLineChars="100"/>
        <w:rPr>
          <w:rFonts w:hAnsi="宋体" w:cs="宋体"/>
          <w:b/>
          <w:color w:val="auto"/>
          <w:sz w:val="22"/>
          <w:szCs w:val="22"/>
          <w:highlight w:val="none"/>
        </w:rPr>
      </w:pPr>
      <w:r>
        <w:rPr>
          <w:rFonts w:hint="eastAsia" w:hAnsi="宋体" w:cs="宋体"/>
          <w:b/>
          <w:color w:val="auto"/>
          <w:sz w:val="22"/>
          <w:szCs w:val="22"/>
          <w:highlight w:val="none"/>
        </w:rPr>
        <w:t>十二、合同生效和终止</w:t>
      </w:r>
    </w:p>
    <w:p w14:paraId="5AEA7A5B">
      <w:pPr>
        <w:pStyle w:val="10"/>
        <w:tabs>
          <w:tab w:val="left" w:pos="1069"/>
          <w:tab w:val="left" w:pos="2352"/>
        </w:tabs>
        <w:adjustRightInd w:val="0"/>
        <w:snapToGrid w:val="0"/>
        <w:spacing w:line="400" w:lineRule="atLeast"/>
        <w:ind w:firstLine="223" w:firstLineChars="100"/>
        <w:rPr>
          <w:rFonts w:hAnsi="宋体" w:cs="宋体"/>
          <w:bCs/>
          <w:color w:val="auto"/>
          <w:sz w:val="22"/>
          <w:szCs w:val="22"/>
          <w:highlight w:val="none"/>
        </w:rPr>
      </w:pPr>
      <w:r>
        <w:rPr>
          <w:rFonts w:hint="eastAsia" w:hAnsi="宋体" w:cs="宋体"/>
          <w:bCs/>
          <w:color w:val="auto"/>
          <w:sz w:val="22"/>
          <w:szCs w:val="22"/>
          <w:highlight w:val="none"/>
        </w:rPr>
        <w:t>1.本合同经双方法定代表人或其授权代表签字盖章后生效。</w:t>
      </w:r>
    </w:p>
    <w:p w14:paraId="2CCF65C2">
      <w:pPr>
        <w:pStyle w:val="10"/>
        <w:tabs>
          <w:tab w:val="left" w:pos="1069"/>
          <w:tab w:val="left" w:pos="2352"/>
        </w:tabs>
        <w:adjustRightInd w:val="0"/>
        <w:snapToGrid w:val="0"/>
        <w:spacing w:line="400" w:lineRule="atLeast"/>
        <w:ind w:firstLine="223" w:firstLineChars="100"/>
        <w:rPr>
          <w:rFonts w:hAnsi="宋体" w:cs="宋体"/>
          <w:bCs/>
          <w:color w:val="auto"/>
          <w:sz w:val="22"/>
          <w:szCs w:val="22"/>
          <w:highlight w:val="none"/>
        </w:rPr>
      </w:pPr>
      <w:r>
        <w:rPr>
          <w:rFonts w:hint="eastAsia" w:hAnsi="宋体" w:cs="宋体"/>
          <w:bCs/>
          <w:color w:val="auto"/>
          <w:sz w:val="22"/>
          <w:szCs w:val="22"/>
          <w:highlight w:val="none"/>
        </w:rPr>
        <w:t>2.终止</w:t>
      </w:r>
    </w:p>
    <w:p w14:paraId="5FC63976">
      <w:pPr>
        <w:pStyle w:val="10"/>
        <w:tabs>
          <w:tab w:val="left" w:pos="1069"/>
          <w:tab w:val="left" w:pos="2352"/>
        </w:tabs>
        <w:adjustRightInd w:val="0"/>
        <w:snapToGrid w:val="0"/>
        <w:spacing w:line="400" w:lineRule="atLeast"/>
        <w:ind w:firstLine="223" w:firstLineChars="100"/>
        <w:rPr>
          <w:rFonts w:hAnsi="宋体" w:cs="宋体"/>
          <w:bCs/>
          <w:color w:val="auto"/>
          <w:sz w:val="22"/>
          <w:szCs w:val="22"/>
          <w:highlight w:val="none"/>
        </w:rPr>
      </w:pPr>
      <w:r>
        <w:rPr>
          <w:rFonts w:hint="eastAsia" w:hAnsi="宋体" w:cs="宋体"/>
          <w:bCs/>
          <w:color w:val="auto"/>
          <w:sz w:val="22"/>
          <w:szCs w:val="22"/>
          <w:highlight w:val="none"/>
        </w:rPr>
        <w:t>2.1提前终止</w:t>
      </w:r>
    </w:p>
    <w:p w14:paraId="5FB0D826">
      <w:pPr>
        <w:pStyle w:val="10"/>
        <w:tabs>
          <w:tab w:val="left" w:pos="1069"/>
          <w:tab w:val="left" w:pos="2352"/>
        </w:tabs>
        <w:adjustRightInd w:val="0"/>
        <w:snapToGrid w:val="0"/>
        <w:spacing w:line="400" w:lineRule="atLeast"/>
        <w:ind w:firstLine="223" w:firstLineChars="100"/>
        <w:rPr>
          <w:rFonts w:hAnsi="宋体" w:cs="宋体"/>
          <w:bCs/>
          <w:color w:val="auto"/>
          <w:sz w:val="22"/>
          <w:szCs w:val="22"/>
          <w:highlight w:val="none"/>
        </w:rPr>
      </w:pPr>
      <w:r>
        <w:rPr>
          <w:rFonts w:hint="eastAsia" w:hAnsi="宋体" w:cs="宋体"/>
          <w:bCs/>
          <w:color w:val="auto"/>
          <w:sz w:val="22"/>
          <w:szCs w:val="22"/>
          <w:highlight w:val="none"/>
        </w:rPr>
        <w:t>（1）乙方未能提供符合本合同约定的服务要求，甲方有权提前终止合同。</w:t>
      </w:r>
    </w:p>
    <w:p w14:paraId="0B2330E5">
      <w:pPr>
        <w:pStyle w:val="10"/>
        <w:tabs>
          <w:tab w:val="left" w:pos="1069"/>
          <w:tab w:val="left" w:pos="2352"/>
        </w:tabs>
        <w:adjustRightInd w:val="0"/>
        <w:snapToGrid w:val="0"/>
        <w:spacing w:line="400" w:lineRule="atLeast"/>
        <w:ind w:firstLine="223" w:firstLineChars="100"/>
        <w:rPr>
          <w:rFonts w:hAnsi="宋体" w:cs="宋体"/>
          <w:bCs/>
          <w:color w:val="auto"/>
          <w:sz w:val="22"/>
          <w:szCs w:val="22"/>
          <w:highlight w:val="none"/>
        </w:rPr>
      </w:pPr>
      <w:r>
        <w:rPr>
          <w:rFonts w:hint="eastAsia" w:hAnsi="宋体" w:cs="宋体"/>
          <w:bCs/>
          <w:color w:val="auto"/>
          <w:sz w:val="22"/>
          <w:szCs w:val="22"/>
          <w:highlight w:val="none"/>
        </w:rPr>
        <w:t>（2）乙方未能履行合同和遵守有关规定，在甲方发出书面警告后仍未采取补救措施或补救措施无效的，甲方可立即终止合同。</w:t>
      </w:r>
    </w:p>
    <w:p w14:paraId="36FB0636">
      <w:pPr>
        <w:pStyle w:val="10"/>
        <w:tabs>
          <w:tab w:val="left" w:pos="1069"/>
          <w:tab w:val="left" w:pos="2352"/>
        </w:tabs>
        <w:adjustRightInd w:val="0"/>
        <w:snapToGrid w:val="0"/>
        <w:spacing w:line="400" w:lineRule="atLeast"/>
        <w:ind w:firstLine="223" w:firstLineChars="100"/>
        <w:rPr>
          <w:rFonts w:hAnsi="宋体" w:cs="宋体"/>
          <w:bCs/>
          <w:color w:val="auto"/>
          <w:sz w:val="22"/>
          <w:szCs w:val="22"/>
          <w:highlight w:val="none"/>
        </w:rPr>
      </w:pPr>
      <w:r>
        <w:rPr>
          <w:rFonts w:hint="eastAsia" w:hAnsi="宋体" w:cs="宋体"/>
          <w:bCs/>
          <w:color w:val="auto"/>
          <w:sz w:val="22"/>
          <w:szCs w:val="22"/>
          <w:highlight w:val="none"/>
        </w:rPr>
        <w:t>（3）乙方破产清算、重组及兼并等事实发生，或被债权人接管经营，甲方不必通知乙方即可终止合同。</w:t>
      </w:r>
    </w:p>
    <w:p w14:paraId="3ADDD2B9">
      <w:pPr>
        <w:pStyle w:val="10"/>
        <w:tabs>
          <w:tab w:val="left" w:pos="1069"/>
          <w:tab w:val="left" w:pos="2352"/>
        </w:tabs>
        <w:adjustRightInd w:val="0"/>
        <w:snapToGrid w:val="0"/>
        <w:spacing w:line="400" w:lineRule="atLeast"/>
        <w:ind w:firstLine="223" w:firstLineChars="100"/>
        <w:rPr>
          <w:rFonts w:hAnsi="宋体" w:cs="宋体"/>
          <w:bCs/>
          <w:color w:val="auto"/>
          <w:sz w:val="22"/>
          <w:szCs w:val="22"/>
          <w:highlight w:val="none"/>
        </w:rPr>
      </w:pPr>
      <w:r>
        <w:rPr>
          <w:rFonts w:hint="eastAsia" w:hAnsi="宋体" w:cs="宋体"/>
          <w:bCs/>
          <w:color w:val="auto"/>
          <w:sz w:val="22"/>
          <w:szCs w:val="22"/>
          <w:highlight w:val="none"/>
        </w:rPr>
        <w:t>2.2自然终止</w:t>
      </w:r>
    </w:p>
    <w:p w14:paraId="7DC9F46F">
      <w:pPr>
        <w:pStyle w:val="10"/>
        <w:tabs>
          <w:tab w:val="left" w:pos="1069"/>
          <w:tab w:val="left" w:pos="2352"/>
        </w:tabs>
        <w:adjustRightInd w:val="0"/>
        <w:snapToGrid w:val="0"/>
        <w:spacing w:line="400" w:lineRule="atLeast"/>
        <w:ind w:firstLine="223" w:firstLineChars="100"/>
        <w:rPr>
          <w:rFonts w:hAnsi="宋体" w:cs="宋体"/>
          <w:bCs/>
          <w:color w:val="auto"/>
          <w:sz w:val="22"/>
          <w:szCs w:val="22"/>
          <w:highlight w:val="none"/>
        </w:rPr>
      </w:pPr>
      <w:r>
        <w:rPr>
          <w:rFonts w:hint="eastAsia" w:hAnsi="宋体" w:cs="宋体"/>
          <w:bCs/>
          <w:color w:val="auto"/>
          <w:sz w:val="22"/>
          <w:szCs w:val="22"/>
          <w:highlight w:val="none"/>
        </w:rPr>
        <w:t>合同约定的服务期限届满，本合同自然终止。</w:t>
      </w:r>
    </w:p>
    <w:p w14:paraId="21AAF452">
      <w:pPr>
        <w:pStyle w:val="10"/>
        <w:tabs>
          <w:tab w:val="left" w:pos="1069"/>
          <w:tab w:val="left" w:pos="2352"/>
        </w:tabs>
        <w:adjustRightInd w:val="0"/>
        <w:snapToGrid w:val="0"/>
        <w:spacing w:line="400" w:lineRule="atLeast"/>
        <w:ind w:firstLine="223" w:firstLineChars="100"/>
        <w:rPr>
          <w:rFonts w:hAnsi="宋体" w:cs="宋体"/>
          <w:b/>
          <w:color w:val="auto"/>
          <w:sz w:val="22"/>
          <w:szCs w:val="22"/>
          <w:highlight w:val="none"/>
        </w:rPr>
      </w:pPr>
      <w:r>
        <w:rPr>
          <w:rFonts w:hint="eastAsia" w:hAnsi="宋体" w:cs="宋体"/>
          <w:b/>
          <w:color w:val="auto"/>
          <w:sz w:val="22"/>
          <w:szCs w:val="22"/>
          <w:highlight w:val="none"/>
        </w:rPr>
        <w:t>十三、争议的解决</w:t>
      </w:r>
    </w:p>
    <w:p w14:paraId="4C143B0B">
      <w:pPr>
        <w:pStyle w:val="10"/>
        <w:tabs>
          <w:tab w:val="left" w:pos="1069"/>
          <w:tab w:val="left" w:pos="2352"/>
        </w:tabs>
        <w:adjustRightInd w:val="0"/>
        <w:snapToGrid w:val="0"/>
        <w:spacing w:line="400" w:lineRule="atLeast"/>
        <w:ind w:firstLine="223" w:firstLineChars="100"/>
        <w:rPr>
          <w:rFonts w:hAnsi="宋体" w:cs="宋体"/>
          <w:bCs/>
          <w:color w:val="auto"/>
          <w:sz w:val="22"/>
          <w:szCs w:val="22"/>
          <w:highlight w:val="none"/>
        </w:rPr>
      </w:pPr>
      <w:r>
        <w:rPr>
          <w:rFonts w:hint="eastAsia" w:hAnsi="宋体" w:cs="宋体"/>
          <w:bCs/>
          <w:color w:val="auto"/>
          <w:sz w:val="22"/>
          <w:szCs w:val="22"/>
          <w:highlight w:val="none"/>
        </w:rPr>
        <w:t xml:space="preserve">   因本合同引起的或与本合同有关的任何争议，合同双方应首先通过协商解决，达成书面协议，如协商不成，可选择下列第（2）种方式解决。</w:t>
      </w:r>
    </w:p>
    <w:p w14:paraId="6C940F37">
      <w:pPr>
        <w:pStyle w:val="10"/>
        <w:tabs>
          <w:tab w:val="left" w:pos="1069"/>
          <w:tab w:val="left" w:pos="2352"/>
        </w:tabs>
        <w:adjustRightInd w:val="0"/>
        <w:snapToGrid w:val="0"/>
        <w:spacing w:line="400" w:lineRule="atLeast"/>
        <w:ind w:firstLine="223" w:firstLineChars="100"/>
        <w:rPr>
          <w:rFonts w:hAnsi="宋体" w:cs="宋体"/>
          <w:bCs/>
          <w:color w:val="auto"/>
          <w:sz w:val="22"/>
          <w:szCs w:val="22"/>
          <w:highlight w:val="none"/>
        </w:rPr>
      </w:pPr>
      <w:r>
        <w:rPr>
          <w:rFonts w:hint="eastAsia" w:hAnsi="宋体" w:cs="宋体"/>
          <w:bCs/>
          <w:color w:val="auto"/>
          <w:sz w:val="22"/>
          <w:szCs w:val="22"/>
          <w:highlight w:val="none"/>
        </w:rPr>
        <w:t>（1）提请温州仲裁委员会按照该会仲裁规则进行仲裁，仲裁裁决是终局的，对合同双方均有约束力。</w:t>
      </w:r>
    </w:p>
    <w:p w14:paraId="779AA24F">
      <w:pPr>
        <w:pStyle w:val="10"/>
        <w:tabs>
          <w:tab w:val="left" w:pos="1069"/>
          <w:tab w:val="left" w:pos="2352"/>
        </w:tabs>
        <w:adjustRightInd w:val="0"/>
        <w:snapToGrid w:val="0"/>
        <w:spacing w:line="400" w:lineRule="atLeast"/>
        <w:ind w:firstLine="223" w:firstLineChars="100"/>
        <w:rPr>
          <w:rFonts w:hAnsi="宋体" w:cs="宋体"/>
          <w:bCs/>
          <w:color w:val="auto"/>
          <w:sz w:val="22"/>
          <w:szCs w:val="22"/>
          <w:highlight w:val="none"/>
        </w:rPr>
      </w:pPr>
      <w:r>
        <w:rPr>
          <w:rFonts w:hint="eastAsia" w:hAnsi="宋体" w:cs="宋体"/>
          <w:bCs/>
          <w:color w:val="auto"/>
          <w:sz w:val="22"/>
          <w:szCs w:val="22"/>
          <w:highlight w:val="none"/>
        </w:rPr>
        <w:t>（2）向泰顺县人民法院提起诉讼。</w:t>
      </w:r>
    </w:p>
    <w:p w14:paraId="414CD323">
      <w:pPr>
        <w:pStyle w:val="10"/>
        <w:tabs>
          <w:tab w:val="left" w:pos="1069"/>
          <w:tab w:val="left" w:pos="2352"/>
        </w:tabs>
        <w:adjustRightInd w:val="0"/>
        <w:snapToGrid w:val="0"/>
        <w:spacing w:line="400" w:lineRule="atLeast"/>
        <w:ind w:firstLine="223" w:firstLineChars="100"/>
        <w:rPr>
          <w:rFonts w:hAnsi="宋体" w:cs="宋体"/>
          <w:b/>
          <w:color w:val="auto"/>
          <w:sz w:val="22"/>
          <w:szCs w:val="22"/>
          <w:highlight w:val="none"/>
        </w:rPr>
      </w:pPr>
      <w:r>
        <w:rPr>
          <w:rFonts w:hint="eastAsia" w:hAnsi="宋体" w:cs="宋体"/>
          <w:b/>
          <w:color w:val="auto"/>
          <w:sz w:val="22"/>
          <w:szCs w:val="22"/>
          <w:highlight w:val="none"/>
        </w:rPr>
        <w:t>十四、不可抗力</w:t>
      </w:r>
    </w:p>
    <w:p w14:paraId="10CBE566">
      <w:pPr>
        <w:pStyle w:val="10"/>
        <w:tabs>
          <w:tab w:val="left" w:pos="1069"/>
          <w:tab w:val="left" w:pos="2352"/>
        </w:tabs>
        <w:adjustRightInd w:val="0"/>
        <w:snapToGrid w:val="0"/>
        <w:spacing w:line="400" w:lineRule="atLeast"/>
        <w:ind w:firstLine="223" w:firstLineChars="100"/>
        <w:rPr>
          <w:rFonts w:hAnsi="宋体" w:cs="宋体"/>
          <w:bCs/>
          <w:color w:val="auto"/>
          <w:sz w:val="22"/>
          <w:szCs w:val="22"/>
          <w:highlight w:val="none"/>
        </w:rPr>
      </w:pPr>
      <w:r>
        <w:rPr>
          <w:rFonts w:hint="eastAsia" w:hAnsi="宋体" w:cs="宋体"/>
          <w:bCs/>
          <w:color w:val="auto"/>
          <w:sz w:val="22"/>
          <w:szCs w:val="22"/>
          <w:highlight w:val="none"/>
        </w:rPr>
        <w:t xml:space="preserve"> 1.合同存续期间发生地震、火灾及其他双方不能控制的原因，导致服务区域损毁或灭</w:t>
      </w:r>
    </w:p>
    <w:p w14:paraId="1CADE0EA">
      <w:pPr>
        <w:pStyle w:val="10"/>
        <w:tabs>
          <w:tab w:val="left" w:pos="1069"/>
          <w:tab w:val="left" w:pos="2352"/>
        </w:tabs>
        <w:adjustRightInd w:val="0"/>
        <w:snapToGrid w:val="0"/>
        <w:spacing w:line="400" w:lineRule="atLeast"/>
        <w:ind w:firstLine="223" w:firstLineChars="100"/>
        <w:rPr>
          <w:rFonts w:hAnsi="宋体" w:cs="宋体"/>
          <w:bCs/>
          <w:color w:val="auto"/>
          <w:sz w:val="22"/>
          <w:szCs w:val="22"/>
          <w:highlight w:val="none"/>
        </w:rPr>
      </w:pPr>
      <w:r>
        <w:rPr>
          <w:rFonts w:hint="eastAsia" w:hAnsi="宋体" w:cs="宋体"/>
          <w:bCs/>
          <w:color w:val="auto"/>
          <w:sz w:val="22"/>
          <w:szCs w:val="22"/>
          <w:highlight w:val="none"/>
        </w:rPr>
        <w:t>失，合同不能或不能全部履行的。双方按以下各项执行：</w:t>
      </w:r>
    </w:p>
    <w:p w14:paraId="752C578E">
      <w:pPr>
        <w:pStyle w:val="10"/>
        <w:tabs>
          <w:tab w:val="left" w:pos="1069"/>
          <w:tab w:val="left" w:pos="2352"/>
        </w:tabs>
        <w:adjustRightInd w:val="0"/>
        <w:snapToGrid w:val="0"/>
        <w:spacing w:line="400" w:lineRule="atLeast"/>
        <w:ind w:firstLine="223" w:firstLineChars="100"/>
        <w:rPr>
          <w:rFonts w:hAnsi="宋体" w:cs="宋体"/>
          <w:bCs/>
          <w:color w:val="auto"/>
          <w:sz w:val="22"/>
          <w:szCs w:val="22"/>
          <w:highlight w:val="none"/>
        </w:rPr>
      </w:pPr>
      <w:r>
        <w:rPr>
          <w:rFonts w:hint="eastAsia" w:hAnsi="宋体" w:cs="宋体"/>
          <w:bCs/>
          <w:color w:val="auto"/>
          <w:sz w:val="22"/>
          <w:szCs w:val="22"/>
          <w:highlight w:val="none"/>
        </w:rPr>
        <w:t>（1）任何一方均可以书面形式提出终止合同且无需做出任何赔偿。</w:t>
      </w:r>
    </w:p>
    <w:p w14:paraId="30873D2C">
      <w:pPr>
        <w:pStyle w:val="10"/>
        <w:tabs>
          <w:tab w:val="left" w:pos="1069"/>
          <w:tab w:val="left" w:pos="2352"/>
        </w:tabs>
        <w:adjustRightInd w:val="0"/>
        <w:snapToGrid w:val="0"/>
        <w:spacing w:line="400" w:lineRule="atLeast"/>
        <w:ind w:firstLine="223" w:firstLineChars="100"/>
        <w:rPr>
          <w:rFonts w:hAnsi="宋体" w:cs="宋体"/>
          <w:bCs/>
          <w:color w:val="auto"/>
          <w:sz w:val="22"/>
          <w:szCs w:val="22"/>
          <w:highlight w:val="none"/>
        </w:rPr>
      </w:pPr>
      <w:r>
        <w:rPr>
          <w:rFonts w:hint="eastAsia" w:hAnsi="宋体" w:cs="宋体"/>
          <w:bCs/>
          <w:color w:val="auto"/>
          <w:sz w:val="22"/>
          <w:szCs w:val="22"/>
          <w:highlight w:val="none"/>
        </w:rPr>
        <w:t>（2） 因不可抗力导致合同终止，并不影响任何一方对不可抗力发生前的违约行为的合</w:t>
      </w:r>
    </w:p>
    <w:p w14:paraId="2FBB06E9">
      <w:pPr>
        <w:pStyle w:val="10"/>
        <w:tabs>
          <w:tab w:val="left" w:pos="1069"/>
          <w:tab w:val="left" w:pos="2352"/>
        </w:tabs>
        <w:adjustRightInd w:val="0"/>
        <w:snapToGrid w:val="0"/>
        <w:spacing w:line="400" w:lineRule="atLeast"/>
        <w:ind w:firstLine="223" w:firstLineChars="100"/>
        <w:rPr>
          <w:rFonts w:hAnsi="宋体" w:cs="宋体"/>
          <w:bCs/>
          <w:color w:val="auto"/>
          <w:sz w:val="22"/>
          <w:szCs w:val="22"/>
          <w:highlight w:val="none"/>
        </w:rPr>
      </w:pPr>
      <w:r>
        <w:rPr>
          <w:rFonts w:hint="eastAsia" w:hAnsi="宋体" w:cs="宋体"/>
          <w:bCs/>
          <w:color w:val="auto"/>
          <w:sz w:val="22"/>
          <w:szCs w:val="22"/>
          <w:highlight w:val="none"/>
        </w:rPr>
        <w:t>法追偿。</w:t>
      </w:r>
    </w:p>
    <w:p w14:paraId="44D81D77">
      <w:pPr>
        <w:pStyle w:val="10"/>
        <w:tabs>
          <w:tab w:val="left" w:pos="1069"/>
          <w:tab w:val="left" w:pos="2352"/>
        </w:tabs>
        <w:adjustRightInd w:val="0"/>
        <w:snapToGrid w:val="0"/>
        <w:spacing w:line="400" w:lineRule="atLeast"/>
        <w:ind w:firstLine="223" w:firstLineChars="100"/>
        <w:rPr>
          <w:rFonts w:hAnsi="宋体" w:cs="宋体"/>
          <w:bCs/>
          <w:color w:val="auto"/>
          <w:sz w:val="22"/>
          <w:szCs w:val="22"/>
          <w:highlight w:val="none"/>
        </w:rPr>
      </w:pPr>
      <w:r>
        <w:rPr>
          <w:rFonts w:hint="eastAsia" w:hAnsi="宋体" w:cs="宋体"/>
          <w:bCs/>
          <w:color w:val="auto"/>
          <w:sz w:val="22"/>
          <w:szCs w:val="22"/>
          <w:highlight w:val="none"/>
        </w:rPr>
        <w:t>2.遇国家政策调整，影响合同履行的，双方协商解决。</w:t>
      </w:r>
    </w:p>
    <w:p w14:paraId="18BB687D">
      <w:pPr>
        <w:pStyle w:val="10"/>
        <w:tabs>
          <w:tab w:val="left" w:pos="1069"/>
          <w:tab w:val="left" w:pos="2352"/>
        </w:tabs>
        <w:adjustRightInd w:val="0"/>
        <w:snapToGrid w:val="0"/>
        <w:spacing w:line="400" w:lineRule="atLeast"/>
        <w:ind w:firstLine="223" w:firstLineChars="100"/>
        <w:rPr>
          <w:rFonts w:hAnsi="宋体" w:cs="宋体"/>
          <w:b/>
          <w:color w:val="auto"/>
          <w:sz w:val="22"/>
          <w:szCs w:val="22"/>
          <w:highlight w:val="none"/>
        </w:rPr>
      </w:pPr>
      <w:r>
        <w:rPr>
          <w:rFonts w:hint="eastAsia" w:hAnsi="宋体" w:cs="宋体"/>
          <w:b/>
          <w:color w:val="auto"/>
          <w:sz w:val="22"/>
          <w:szCs w:val="22"/>
          <w:highlight w:val="none"/>
        </w:rPr>
        <w:t>十五、合同生效</w:t>
      </w:r>
    </w:p>
    <w:p w14:paraId="4173A899">
      <w:pPr>
        <w:pStyle w:val="10"/>
        <w:tabs>
          <w:tab w:val="left" w:pos="1069"/>
          <w:tab w:val="left" w:pos="2352"/>
        </w:tabs>
        <w:adjustRightInd w:val="0"/>
        <w:snapToGrid w:val="0"/>
        <w:spacing w:line="400" w:lineRule="atLeast"/>
        <w:ind w:firstLine="223" w:firstLineChars="100"/>
        <w:rPr>
          <w:rFonts w:hAnsi="宋体" w:cs="宋体"/>
          <w:bCs/>
          <w:color w:val="auto"/>
          <w:sz w:val="22"/>
          <w:szCs w:val="22"/>
          <w:highlight w:val="none"/>
        </w:rPr>
      </w:pPr>
      <w:r>
        <w:rPr>
          <w:rFonts w:hint="eastAsia" w:hAnsi="宋体" w:cs="宋体"/>
          <w:bCs/>
          <w:color w:val="auto"/>
          <w:sz w:val="22"/>
          <w:szCs w:val="22"/>
          <w:highlight w:val="none"/>
        </w:rPr>
        <w:t>1．中标（成交）通知书作为乙方与甲方签订合同的凭证。</w:t>
      </w:r>
    </w:p>
    <w:p w14:paraId="49E1F98A">
      <w:pPr>
        <w:pStyle w:val="10"/>
        <w:tabs>
          <w:tab w:val="left" w:pos="1069"/>
          <w:tab w:val="left" w:pos="2352"/>
        </w:tabs>
        <w:adjustRightInd w:val="0"/>
        <w:snapToGrid w:val="0"/>
        <w:spacing w:line="400" w:lineRule="atLeast"/>
        <w:ind w:firstLine="223" w:firstLineChars="100"/>
        <w:rPr>
          <w:rFonts w:hAnsi="宋体" w:cs="宋体"/>
          <w:bCs/>
          <w:color w:val="auto"/>
          <w:sz w:val="22"/>
          <w:szCs w:val="22"/>
          <w:highlight w:val="none"/>
        </w:rPr>
      </w:pPr>
      <w:r>
        <w:rPr>
          <w:rFonts w:hint="eastAsia" w:hAnsi="宋体" w:cs="宋体"/>
          <w:bCs/>
          <w:color w:val="auto"/>
          <w:sz w:val="22"/>
          <w:szCs w:val="22"/>
          <w:highlight w:val="none"/>
        </w:rPr>
        <w:t>2．本合同经甲、乙双方法定代表人或其授权委托人签字并加盖单位公章后生效。</w:t>
      </w:r>
    </w:p>
    <w:p w14:paraId="5FF500CD">
      <w:pPr>
        <w:pStyle w:val="10"/>
        <w:tabs>
          <w:tab w:val="left" w:pos="1069"/>
          <w:tab w:val="left" w:pos="2352"/>
        </w:tabs>
        <w:adjustRightInd w:val="0"/>
        <w:snapToGrid w:val="0"/>
        <w:spacing w:line="400" w:lineRule="atLeast"/>
        <w:ind w:firstLine="223" w:firstLineChars="100"/>
        <w:rPr>
          <w:rFonts w:hAnsi="宋体" w:cs="宋体"/>
          <w:bCs/>
          <w:color w:val="auto"/>
          <w:sz w:val="22"/>
          <w:szCs w:val="22"/>
          <w:highlight w:val="none"/>
        </w:rPr>
      </w:pPr>
      <w:r>
        <w:rPr>
          <w:rFonts w:hint="eastAsia" w:hAnsi="宋体" w:cs="宋体"/>
          <w:bCs/>
          <w:color w:val="auto"/>
          <w:sz w:val="22"/>
          <w:szCs w:val="22"/>
          <w:highlight w:val="none"/>
        </w:rPr>
        <w:t>3. 本合同一式伍份，甲、乙双方各执</w:t>
      </w:r>
      <w:r>
        <w:rPr>
          <w:rFonts w:hint="eastAsia" w:hAnsi="宋体" w:cs="宋体"/>
          <w:bCs/>
          <w:color w:val="auto"/>
          <w:sz w:val="22"/>
          <w:szCs w:val="22"/>
          <w:highlight w:val="none"/>
          <w:u w:val="single"/>
        </w:rPr>
        <w:t>贰</w:t>
      </w:r>
      <w:r>
        <w:rPr>
          <w:rFonts w:hint="eastAsia" w:hAnsi="宋体" w:cs="宋体"/>
          <w:bCs/>
          <w:color w:val="auto"/>
          <w:sz w:val="22"/>
          <w:szCs w:val="22"/>
          <w:highlight w:val="none"/>
        </w:rPr>
        <w:t>份，招标代理机构备案</w:t>
      </w:r>
      <w:r>
        <w:rPr>
          <w:rFonts w:hint="eastAsia" w:hAnsi="宋体" w:cs="宋体"/>
          <w:bCs/>
          <w:color w:val="auto"/>
          <w:sz w:val="22"/>
          <w:szCs w:val="22"/>
          <w:highlight w:val="none"/>
          <w:u w:val="single"/>
        </w:rPr>
        <w:t>壹</w:t>
      </w:r>
      <w:r>
        <w:rPr>
          <w:rFonts w:hint="eastAsia" w:hAnsi="宋体" w:cs="宋体"/>
          <w:bCs/>
          <w:color w:val="auto"/>
          <w:sz w:val="22"/>
          <w:szCs w:val="22"/>
          <w:highlight w:val="none"/>
        </w:rPr>
        <w:t>份。</w:t>
      </w:r>
    </w:p>
    <w:p w14:paraId="4B04834D">
      <w:pPr>
        <w:widowControl/>
        <w:tabs>
          <w:tab w:val="left" w:pos="1069"/>
          <w:tab w:val="left" w:pos="2352"/>
        </w:tabs>
        <w:spacing w:line="380" w:lineRule="exact"/>
        <w:jc w:val="left"/>
        <w:rPr>
          <w:rFonts w:ascii="宋体" w:hAnsi="宋体" w:cs="宋体"/>
          <w:b/>
          <w:color w:val="auto"/>
          <w:sz w:val="22"/>
          <w:highlight w:val="none"/>
        </w:rPr>
      </w:pPr>
      <w:r>
        <w:rPr>
          <w:rFonts w:hint="eastAsia" w:ascii="宋体" w:hAnsi="宋体" w:cs="宋体"/>
          <w:b/>
          <w:color w:val="auto"/>
          <w:sz w:val="22"/>
          <w:highlight w:val="none"/>
        </w:rPr>
        <w:t>十六、合同组成文件及解释顺序</w:t>
      </w:r>
    </w:p>
    <w:p w14:paraId="46977BE5">
      <w:pPr>
        <w:widowControl/>
        <w:tabs>
          <w:tab w:val="left" w:pos="1069"/>
          <w:tab w:val="left" w:pos="2352"/>
        </w:tabs>
        <w:spacing w:line="380" w:lineRule="exact"/>
        <w:jc w:val="left"/>
        <w:rPr>
          <w:rFonts w:ascii="宋体" w:hAnsi="宋体" w:cs="宋体"/>
          <w:bCs/>
          <w:color w:val="auto"/>
          <w:sz w:val="22"/>
          <w:highlight w:val="none"/>
        </w:rPr>
      </w:pPr>
      <w:r>
        <w:rPr>
          <w:rFonts w:hint="eastAsia" w:ascii="宋体" w:hAnsi="宋体" w:cs="宋体"/>
          <w:bCs/>
          <w:color w:val="auto"/>
          <w:sz w:val="22"/>
          <w:highlight w:val="none"/>
        </w:rPr>
        <w:t>1．合同条款；</w:t>
      </w:r>
    </w:p>
    <w:p w14:paraId="4DA998E6">
      <w:pPr>
        <w:widowControl/>
        <w:tabs>
          <w:tab w:val="left" w:pos="1069"/>
          <w:tab w:val="left" w:pos="2352"/>
        </w:tabs>
        <w:spacing w:line="380" w:lineRule="exact"/>
        <w:jc w:val="left"/>
        <w:rPr>
          <w:rFonts w:ascii="宋体" w:hAnsi="宋体" w:cs="宋体"/>
          <w:bCs/>
          <w:color w:val="auto"/>
          <w:sz w:val="22"/>
          <w:highlight w:val="none"/>
        </w:rPr>
      </w:pPr>
      <w:r>
        <w:rPr>
          <w:rFonts w:hint="eastAsia" w:ascii="宋体" w:hAnsi="宋体" w:cs="宋体"/>
          <w:bCs/>
          <w:color w:val="auto"/>
          <w:sz w:val="22"/>
          <w:highlight w:val="none"/>
        </w:rPr>
        <w:t>2．中标（成交）通知书；</w:t>
      </w:r>
    </w:p>
    <w:p w14:paraId="3B05AA59">
      <w:pPr>
        <w:widowControl/>
        <w:tabs>
          <w:tab w:val="left" w:pos="1069"/>
          <w:tab w:val="left" w:pos="2352"/>
        </w:tabs>
        <w:spacing w:line="380" w:lineRule="exact"/>
        <w:jc w:val="left"/>
        <w:rPr>
          <w:rFonts w:ascii="宋体" w:hAnsi="宋体" w:cs="宋体"/>
          <w:bCs/>
          <w:color w:val="auto"/>
          <w:sz w:val="22"/>
          <w:highlight w:val="none"/>
        </w:rPr>
      </w:pPr>
      <w:r>
        <w:rPr>
          <w:rFonts w:hint="eastAsia" w:ascii="宋体" w:hAnsi="宋体" w:cs="宋体"/>
          <w:bCs/>
          <w:color w:val="auto"/>
          <w:sz w:val="22"/>
          <w:highlight w:val="none"/>
        </w:rPr>
        <w:t>3．响应文件及澄清内容；</w:t>
      </w:r>
    </w:p>
    <w:p w14:paraId="774EACEF">
      <w:pPr>
        <w:widowControl/>
        <w:tabs>
          <w:tab w:val="left" w:pos="1069"/>
          <w:tab w:val="left" w:pos="2352"/>
        </w:tabs>
        <w:spacing w:line="380" w:lineRule="exact"/>
        <w:jc w:val="left"/>
        <w:rPr>
          <w:rFonts w:ascii="宋体" w:hAnsi="宋体" w:cs="宋体"/>
          <w:bCs/>
          <w:color w:val="auto"/>
          <w:sz w:val="22"/>
          <w:highlight w:val="none"/>
        </w:rPr>
      </w:pPr>
      <w:r>
        <w:rPr>
          <w:rFonts w:hint="eastAsia" w:ascii="宋体" w:hAnsi="宋体" w:cs="宋体"/>
          <w:bCs/>
          <w:color w:val="auto"/>
          <w:sz w:val="22"/>
          <w:highlight w:val="none"/>
        </w:rPr>
        <w:t>4．澄清更正公告（如有）；</w:t>
      </w:r>
    </w:p>
    <w:p w14:paraId="04EC4D7F">
      <w:pPr>
        <w:widowControl/>
        <w:tabs>
          <w:tab w:val="left" w:pos="1069"/>
          <w:tab w:val="left" w:pos="2352"/>
        </w:tabs>
        <w:spacing w:line="380" w:lineRule="exact"/>
        <w:jc w:val="left"/>
        <w:rPr>
          <w:rFonts w:ascii="宋体" w:hAnsi="宋体" w:cs="宋体"/>
          <w:bCs/>
          <w:color w:val="auto"/>
          <w:sz w:val="22"/>
          <w:highlight w:val="none"/>
        </w:rPr>
      </w:pPr>
      <w:r>
        <w:rPr>
          <w:rFonts w:hint="eastAsia" w:ascii="宋体" w:hAnsi="宋体" w:cs="宋体"/>
          <w:bCs/>
          <w:color w:val="auto"/>
          <w:sz w:val="22"/>
          <w:highlight w:val="none"/>
        </w:rPr>
        <w:t>5．采购文件。</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1"/>
        <w:gridCol w:w="4716"/>
      </w:tblGrid>
      <w:tr w14:paraId="0158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31" w:type="dxa"/>
          </w:tcPr>
          <w:p w14:paraId="03529D95">
            <w:pPr>
              <w:widowControl/>
              <w:tabs>
                <w:tab w:val="left" w:pos="1069"/>
                <w:tab w:val="left" w:pos="2352"/>
              </w:tabs>
              <w:spacing w:line="380" w:lineRule="exact"/>
              <w:jc w:val="left"/>
              <w:rPr>
                <w:rFonts w:ascii="宋体" w:hAnsi="宋体" w:cs="宋体"/>
                <w:bCs/>
                <w:color w:val="auto"/>
                <w:sz w:val="22"/>
                <w:highlight w:val="none"/>
              </w:rPr>
            </w:pPr>
            <w:r>
              <w:rPr>
                <w:rFonts w:hint="eastAsia" w:ascii="宋体" w:hAnsi="宋体" w:cs="宋体"/>
                <w:bCs/>
                <w:color w:val="auto"/>
                <w:sz w:val="22"/>
                <w:highlight w:val="none"/>
              </w:rPr>
              <w:t>甲方（盖章）：</w:t>
            </w:r>
          </w:p>
        </w:tc>
        <w:tc>
          <w:tcPr>
            <w:tcW w:w="4716" w:type="dxa"/>
          </w:tcPr>
          <w:p w14:paraId="20BB5064">
            <w:pPr>
              <w:widowControl/>
              <w:tabs>
                <w:tab w:val="left" w:pos="1069"/>
                <w:tab w:val="left" w:pos="2352"/>
              </w:tabs>
              <w:spacing w:line="380" w:lineRule="exact"/>
              <w:jc w:val="left"/>
              <w:rPr>
                <w:rFonts w:ascii="宋体" w:hAnsi="宋体" w:cs="宋体"/>
                <w:bCs/>
                <w:color w:val="auto"/>
                <w:sz w:val="22"/>
                <w:highlight w:val="none"/>
              </w:rPr>
            </w:pPr>
            <w:r>
              <w:rPr>
                <w:rFonts w:hint="eastAsia" w:ascii="宋体" w:hAnsi="宋体" w:cs="宋体"/>
                <w:bCs/>
                <w:color w:val="auto"/>
                <w:sz w:val="22"/>
                <w:highlight w:val="none"/>
              </w:rPr>
              <w:t>乙方（盖章）：</w:t>
            </w:r>
          </w:p>
        </w:tc>
      </w:tr>
      <w:tr w14:paraId="5120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31" w:type="dxa"/>
          </w:tcPr>
          <w:p w14:paraId="3E9AAF0F">
            <w:pPr>
              <w:widowControl/>
              <w:tabs>
                <w:tab w:val="left" w:pos="1069"/>
                <w:tab w:val="left" w:pos="2352"/>
              </w:tabs>
              <w:spacing w:line="380" w:lineRule="exact"/>
              <w:jc w:val="left"/>
              <w:rPr>
                <w:rFonts w:ascii="宋体" w:hAnsi="宋体" w:cs="宋体"/>
                <w:bCs/>
                <w:color w:val="auto"/>
                <w:sz w:val="22"/>
                <w:highlight w:val="none"/>
              </w:rPr>
            </w:pPr>
            <w:r>
              <w:rPr>
                <w:rFonts w:hint="eastAsia" w:ascii="宋体" w:hAnsi="宋体" w:cs="宋体"/>
                <w:bCs/>
                <w:color w:val="auto"/>
                <w:sz w:val="22"/>
                <w:highlight w:val="none"/>
              </w:rPr>
              <w:t>地址：</w:t>
            </w:r>
          </w:p>
        </w:tc>
        <w:tc>
          <w:tcPr>
            <w:tcW w:w="4716" w:type="dxa"/>
          </w:tcPr>
          <w:p w14:paraId="2515A48E">
            <w:pPr>
              <w:widowControl/>
              <w:tabs>
                <w:tab w:val="left" w:pos="1069"/>
                <w:tab w:val="left" w:pos="2352"/>
              </w:tabs>
              <w:spacing w:line="380" w:lineRule="exact"/>
              <w:jc w:val="left"/>
              <w:rPr>
                <w:rFonts w:ascii="宋体" w:hAnsi="宋体" w:cs="宋体"/>
                <w:bCs/>
                <w:color w:val="auto"/>
                <w:sz w:val="22"/>
                <w:highlight w:val="none"/>
              </w:rPr>
            </w:pPr>
            <w:r>
              <w:rPr>
                <w:rFonts w:hint="eastAsia" w:ascii="宋体" w:hAnsi="宋体" w:cs="宋体"/>
                <w:bCs/>
                <w:color w:val="auto"/>
                <w:sz w:val="22"/>
                <w:highlight w:val="none"/>
              </w:rPr>
              <w:t>地址：</w:t>
            </w:r>
          </w:p>
        </w:tc>
      </w:tr>
      <w:tr w14:paraId="7548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31" w:type="dxa"/>
          </w:tcPr>
          <w:p w14:paraId="3C545CD4">
            <w:pPr>
              <w:widowControl/>
              <w:tabs>
                <w:tab w:val="left" w:pos="1069"/>
                <w:tab w:val="left" w:pos="2352"/>
              </w:tabs>
              <w:spacing w:line="380" w:lineRule="exact"/>
              <w:jc w:val="left"/>
              <w:rPr>
                <w:rFonts w:ascii="宋体" w:hAnsi="宋体" w:cs="宋体"/>
                <w:bCs/>
                <w:color w:val="auto"/>
                <w:sz w:val="22"/>
                <w:highlight w:val="none"/>
              </w:rPr>
            </w:pPr>
            <w:r>
              <w:rPr>
                <w:rFonts w:hint="eastAsia" w:ascii="宋体" w:hAnsi="宋体" w:cs="宋体"/>
                <w:bCs/>
                <w:color w:val="auto"/>
                <w:sz w:val="22"/>
                <w:highlight w:val="none"/>
              </w:rPr>
              <w:t>法定代表人签字</w:t>
            </w:r>
          </w:p>
        </w:tc>
        <w:tc>
          <w:tcPr>
            <w:tcW w:w="4716" w:type="dxa"/>
          </w:tcPr>
          <w:p w14:paraId="3255AB91">
            <w:pPr>
              <w:widowControl/>
              <w:tabs>
                <w:tab w:val="left" w:pos="1069"/>
                <w:tab w:val="left" w:pos="2352"/>
              </w:tabs>
              <w:spacing w:line="380" w:lineRule="exact"/>
              <w:jc w:val="left"/>
              <w:rPr>
                <w:rFonts w:ascii="宋体" w:hAnsi="宋体" w:cs="宋体"/>
                <w:bCs/>
                <w:color w:val="auto"/>
                <w:sz w:val="22"/>
                <w:highlight w:val="none"/>
              </w:rPr>
            </w:pPr>
            <w:r>
              <w:rPr>
                <w:rFonts w:hint="eastAsia" w:ascii="宋体" w:hAnsi="宋体" w:cs="宋体"/>
                <w:bCs/>
                <w:color w:val="auto"/>
                <w:sz w:val="22"/>
                <w:highlight w:val="none"/>
              </w:rPr>
              <w:t>法定（授权）代表人签字</w:t>
            </w:r>
          </w:p>
        </w:tc>
      </w:tr>
      <w:tr w14:paraId="616C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31" w:type="dxa"/>
          </w:tcPr>
          <w:p w14:paraId="17796ED1">
            <w:pPr>
              <w:widowControl/>
              <w:tabs>
                <w:tab w:val="left" w:pos="1069"/>
                <w:tab w:val="left" w:pos="2352"/>
              </w:tabs>
              <w:spacing w:line="380" w:lineRule="exact"/>
              <w:jc w:val="left"/>
              <w:rPr>
                <w:rFonts w:ascii="宋体" w:hAnsi="宋体" w:cs="宋体"/>
                <w:bCs/>
                <w:color w:val="auto"/>
                <w:sz w:val="22"/>
                <w:highlight w:val="none"/>
              </w:rPr>
            </w:pPr>
            <w:r>
              <w:rPr>
                <w:rFonts w:hint="eastAsia" w:ascii="宋体" w:hAnsi="宋体" w:cs="宋体"/>
                <w:bCs/>
                <w:color w:val="auto"/>
                <w:sz w:val="22"/>
                <w:highlight w:val="none"/>
              </w:rPr>
              <w:t>联系电话：</w:t>
            </w:r>
          </w:p>
        </w:tc>
        <w:tc>
          <w:tcPr>
            <w:tcW w:w="4716" w:type="dxa"/>
          </w:tcPr>
          <w:p w14:paraId="2F3444A9">
            <w:pPr>
              <w:widowControl/>
              <w:tabs>
                <w:tab w:val="left" w:pos="1069"/>
                <w:tab w:val="left" w:pos="2352"/>
              </w:tabs>
              <w:spacing w:line="380" w:lineRule="exact"/>
              <w:jc w:val="left"/>
              <w:rPr>
                <w:rFonts w:ascii="宋体" w:hAnsi="宋体" w:cs="宋体"/>
                <w:bCs/>
                <w:color w:val="auto"/>
                <w:sz w:val="22"/>
                <w:highlight w:val="none"/>
              </w:rPr>
            </w:pPr>
            <w:r>
              <w:rPr>
                <w:rFonts w:hint="eastAsia" w:ascii="宋体" w:hAnsi="宋体" w:cs="宋体"/>
                <w:bCs/>
                <w:color w:val="auto"/>
                <w:sz w:val="22"/>
                <w:highlight w:val="none"/>
              </w:rPr>
              <w:t>联系电话：</w:t>
            </w:r>
          </w:p>
        </w:tc>
      </w:tr>
      <w:tr w14:paraId="0DEF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31" w:type="dxa"/>
          </w:tcPr>
          <w:p w14:paraId="10302EC0">
            <w:pPr>
              <w:widowControl/>
              <w:tabs>
                <w:tab w:val="left" w:pos="1069"/>
                <w:tab w:val="left" w:pos="2352"/>
              </w:tabs>
              <w:spacing w:line="380" w:lineRule="exact"/>
              <w:jc w:val="left"/>
              <w:rPr>
                <w:rFonts w:ascii="宋体" w:hAnsi="宋体" w:cs="宋体"/>
                <w:bCs/>
                <w:color w:val="auto"/>
                <w:sz w:val="22"/>
                <w:highlight w:val="none"/>
              </w:rPr>
            </w:pPr>
            <w:r>
              <w:rPr>
                <w:rFonts w:hint="eastAsia" w:ascii="宋体" w:hAnsi="宋体" w:cs="宋体"/>
                <w:bCs/>
                <w:color w:val="auto"/>
                <w:sz w:val="22"/>
                <w:highlight w:val="none"/>
              </w:rPr>
              <w:t>邮政编码：</w:t>
            </w:r>
          </w:p>
        </w:tc>
        <w:tc>
          <w:tcPr>
            <w:tcW w:w="4716" w:type="dxa"/>
          </w:tcPr>
          <w:p w14:paraId="250C7224">
            <w:pPr>
              <w:widowControl/>
              <w:tabs>
                <w:tab w:val="left" w:pos="1069"/>
                <w:tab w:val="left" w:pos="2352"/>
              </w:tabs>
              <w:spacing w:line="380" w:lineRule="exact"/>
              <w:jc w:val="left"/>
              <w:rPr>
                <w:rFonts w:ascii="宋体" w:hAnsi="宋体" w:cs="宋体"/>
                <w:bCs/>
                <w:color w:val="auto"/>
                <w:sz w:val="22"/>
                <w:highlight w:val="none"/>
              </w:rPr>
            </w:pPr>
            <w:r>
              <w:rPr>
                <w:rFonts w:hint="eastAsia" w:ascii="宋体" w:hAnsi="宋体" w:cs="宋体"/>
                <w:bCs/>
                <w:color w:val="auto"/>
                <w:sz w:val="22"/>
                <w:highlight w:val="none"/>
              </w:rPr>
              <w:t>邮政编码：</w:t>
            </w:r>
          </w:p>
        </w:tc>
      </w:tr>
      <w:tr w14:paraId="5C96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31" w:type="dxa"/>
          </w:tcPr>
          <w:p w14:paraId="363E889F">
            <w:pPr>
              <w:widowControl/>
              <w:tabs>
                <w:tab w:val="left" w:pos="1069"/>
                <w:tab w:val="left" w:pos="2352"/>
              </w:tabs>
              <w:spacing w:line="380" w:lineRule="exact"/>
              <w:jc w:val="left"/>
              <w:rPr>
                <w:rFonts w:ascii="宋体" w:hAnsi="宋体" w:cs="宋体"/>
                <w:bCs/>
                <w:color w:val="auto"/>
                <w:sz w:val="22"/>
                <w:highlight w:val="none"/>
              </w:rPr>
            </w:pPr>
            <w:r>
              <w:rPr>
                <w:rFonts w:hint="eastAsia" w:ascii="宋体" w:hAnsi="宋体" w:cs="宋体"/>
                <w:bCs/>
                <w:color w:val="auto"/>
                <w:sz w:val="22"/>
                <w:highlight w:val="none"/>
              </w:rPr>
              <w:t>开户银行：</w:t>
            </w:r>
          </w:p>
        </w:tc>
        <w:tc>
          <w:tcPr>
            <w:tcW w:w="4716" w:type="dxa"/>
          </w:tcPr>
          <w:p w14:paraId="40281B51">
            <w:pPr>
              <w:widowControl/>
              <w:tabs>
                <w:tab w:val="left" w:pos="1069"/>
                <w:tab w:val="left" w:pos="2352"/>
              </w:tabs>
              <w:spacing w:line="380" w:lineRule="exact"/>
              <w:jc w:val="left"/>
              <w:rPr>
                <w:rFonts w:ascii="宋体" w:hAnsi="宋体" w:cs="宋体"/>
                <w:bCs/>
                <w:color w:val="auto"/>
                <w:sz w:val="22"/>
                <w:highlight w:val="none"/>
              </w:rPr>
            </w:pPr>
            <w:r>
              <w:rPr>
                <w:rFonts w:hint="eastAsia" w:ascii="宋体" w:hAnsi="宋体" w:cs="宋体"/>
                <w:bCs/>
                <w:color w:val="auto"/>
                <w:sz w:val="22"/>
                <w:highlight w:val="none"/>
              </w:rPr>
              <w:t>开户银行：</w:t>
            </w:r>
          </w:p>
        </w:tc>
      </w:tr>
      <w:tr w14:paraId="65BD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31" w:type="dxa"/>
          </w:tcPr>
          <w:p w14:paraId="5487B1EF">
            <w:pPr>
              <w:widowControl/>
              <w:tabs>
                <w:tab w:val="left" w:pos="1069"/>
                <w:tab w:val="left" w:pos="2352"/>
              </w:tabs>
              <w:spacing w:line="380" w:lineRule="exact"/>
              <w:jc w:val="left"/>
              <w:rPr>
                <w:rFonts w:ascii="宋体" w:hAnsi="宋体" w:cs="宋体"/>
                <w:bCs/>
                <w:color w:val="auto"/>
                <w:sz w:val="22"/>
                <w:highlight w:val="none"/>
              </w:rPr>
            </w:pPr>
            <w:r>
              <w:rPr>
                <w:rFonts w:hint="eastAsia" w:ascii="宋体" w:hAnsi="宋体" w:cs="宋体"/>
                <w:bCs/>
                <w:color w:val="auto"/>
                <w:sz w:val="22"/>
                <w:highlight w:val="none"/>
              </w:rPr>
              <w:t>账号：</w:t>
            </w:r>
          </w:p>
        </w:tc>
        <w:tc>
          <w:tcPr>
            <w:tcW w:w="4716" w:type="dxa"/>
          </w:tcPr>
          <w:p w14:paraId="7055F97A">
            <w:pPr>
              <w:widowControl/>
              <w:tabs>
                <w:tab w:val="left" w:pos="1069"/>
                <w:tab w:val="left" w:pos="2352"/>
              </w:tabs>
              <w:spacing w:line="380" w:lineRule="exact"/>
              <w:jc w:val="left"/>
              <w:rPr>
                <w:rFonts w:ascii="宋体" w:hAnsi="宋体" w:cs="宋体"/>
                <w:bCs/>
                <w:color w:val="auto"/>
                <w:sz w:val="22"/>
                <w:highlight w:val="none"/>
              </w:rPr>
            </w:pPr>
            <w:r>
              <w:rPr>
                <w:rFonts w:hint="eastAsia" w:ascii="宋体" w:hAnsi="宋体" w:cs="宋体"/>
                <w:bCs/>
                <w:color w:val="auto"/>
                <w:sz w:val="22"/>
                <w:highlight w:val="none"/>
              </w:rPr>
              <w:t>账号：</w:t>
            </w:r>
          </w:p>
        </w:tc>
      </w:tr>
      <w:tr w14:paraId="4E0F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47" w:type="dxa"/>
            <w:gridSpan w:val="2"/>
          </w:tcPr>
          <w:p w14:paraId="70405E3E">
            <w:pPr>
              <w:widowControl/>
              <w:tabs>
                <w:tab w:val="left" w:pos="1069"/>
                <w:tab w:val="left" w:pos="2352"/>
              </w:tabs>
              <w:spacing w:line="380" w:lineRule="exact"/>
              <w:jc w:val="left"/>
              <w:rPr>
                <w:rFonts w:ascii="宋体" w:hAnsi="宋体" w:cs="宋体"/>
                <w:bCs/>
                <w:color w:val="auto"/>
                <w:sz w:val="22"/>
                <w:highlight w:val="none"/>
              </w:rPr>
            </w:pPr>
            <w:r>
              <w:rPr>
                <w:rFonts w:hint="eastAsia" w:ascii="宋体" w:hAnsi="宋体" w:cs="宋体"/>
                <w:bCs/>
                <w:color w:val="auto"/>
                <w:sz w:val="22"/>
                <w:highlight w:val="none"/>
              </w:rPr>
              <w:t>签订地点：                         签订时间：                年  月  日</w:t>
            </w:r>
          </w:p>
        </w:tc>
      </w:tr>
    </w:tbl>
    <w:p w14:paraId="7D537CBE">
      <w:pPr>
        <w:tabs>
          <w:tab w:val="left" w:pos="1069"/>
          <w:tab w:val="left" w:pos="2352"/>
        </w:tabs>
        <w:spacing w:line="430" w:lineRule="atLeast"/>
        <w:rPr>
          <w:rFonts w:ascii="宋体"/>
          <w:color w:val="auto"/>
          <w:sz w:val="22"/>
          <w:highlight w:val="none"/>
          <w:u w:val="single"/>
        </w:rPr>
      </w:pPr>
    </w:p>
    <w:p w14:paraId="3A3F0521">
      <w:pPr>
        <w:tabs>
          <w:tab w:val="left" w:pos="1069"/>
          <w:tab w:val="left" w:pos="2352"/>
        </w:tabs>
        <w:spacing w:line="430" w:lineRule="atLeast"/>
        <w:rPr>
          <w:rFonts w:ascii="宋体" w:hAnsi="宋体" w:cs="宋体"/>
          <w:color w:val="auto"/>
          <w:sz w:val="22"/>
          <w:highlight w:val="none"/>
          <w:u w:val="single"/>
        </w:rPr>
      </w:pPr>
      <w:r>
        <w:rPr>
          <w:rFonts w:hint="eastAsia" w:ascii="宋体"/>
          <w:color w:val="auto"/>
          <w:sz w:val="22"/>
          <w:highlight w:val="none"/>
          <w:u w:val="single"/>
        </w:rPr>
        <w:t>注：以上合同条款供采购人及中标（成交）供应商作为商务参考，具体签订时，采购人可根据自身项目情况与中标（成交）供应商协商另行修改拟定相关合同具体条款。</w:t>
      </w:r>
    </w:p>
    <w:p w14:paraId="529480C6">
      <w:pPr>
        <w:pStyle w:val="6"/>
        <w:tabs>
          <w:tab w:val="left" w:pos="1069"/>
          <w:tab w:val="left" w:pos="2352"/>
        </w:tabs>
        <w:jc w:val="center"/>
        <w:rPr>
          <w:rFonts w:hint="eastAsia" w:ascii="宋体" w:hAnsi="宋体" w:cs="宋体"/>
          <w:b/>
          <w:bCs/>
          <w:color w:val="auto"/>
          <w:sz w:val="32"/>
          <w:szCs w:val="32"/>
          <w:highlight w:val="none"/>
        </w:rPr>
      </w:pPr>
    </w:p>
    <w:p w14:paraId="492F5C41">
      <w:pPr>
        <w:pStyle w:val="6"/>
        <w:tabs>
          <w:tab w:val="left" w:pos="1069"/>
          <w:tab w:val="left" w:pos="2352"/>
        </w:tabs>
        <w:jc w:val="center"/>
        <w:rPr>
          <w:rFonts w:hint="eastAsia" w:ascii="宋体" w:hAnsi="宋体" w:cs="宋体"/>
          <w:b/>
          <w:bCs/>
          <w:color w:val="auto"/>
          <w:sz w:val="32"/>
          <w:szCs w:val="32"/>
          <w:highlight w:val="none"/>
        </w:rPr>
      </w:pPr>
    </w:p>
    <w:p w14:paraId="64E8AFB9">
      <w:pPr>
        <w:pStyle w:val="6"/>
        <w:tabs>
          <w:tab w:val="left" w:pos="1069"/>
          <w:tab w:val="left" w:pos="2352"/>
        </w:tabs>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第六部分、附件-投标（响应）文件格式</w:t>
      </w:r>
      <w:bookmarkEnd w:id="62"/>
    </w:p>
    <w:p w14:paraId="0F8A9394">
      <w:pPr>
        <w:tabs>
          <w:tab w:val="left" w:pos="1069"/>
          <w:tab w:val="left" w:pos="2352"/>
        </w:tabs>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zh-CN"/>
        </w:rPr>
        <w:t>一、</w:t>
      </w: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部分投标文件格式</w:t>
      </w:r>
    </w:p>
    <w:p w14:paraId="267BA9E6">
      <w:pPr>
        <w:pStyle w:val="9"/>
        <w:tabs>
          <w:tab w:val="left" w:pos="1069"/>
          <w:tab w:val="left" w:pos="2352"/>
        </w:tabs>
        <w:rPr>
          <w:rFonts w:ascii="宋体" w:hAnsi="宋体" w:cs="宋体"/>
          <w:color w:val="auto"/>
          <w:sz w:val="22"/>
          <w:szCs w:val="22"/>
          <w:highlight w:val="none"/>
        </w:rPr>
      </w:pP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部分投标文件</w:t>
      </w:r>
      <w:r>
        <w:rPr>
          <w:rFonts w:hint="eastAsia" w:ascii="宋体" w:hAnsi="宋体" w:cs="宋体"/>
          <w:color w:val="auto"/>
          <w:sz w:val="22"/>
          <w:szCs w:val="22"/>
          <w:highlight w:val="none"/>
        </w:rPr>
        <w:t>封面参考：</w:t>
      </w:r>
    </w:p>
    <w:p w14:paraId="4A2ACC13">
      <w:pPr>
        <w:tabs>
          <w:tab w:val="left" w:pos="1069"/>
          <w:tab w:val="left" w:pos="2352"/>
        </w:tabs>
        <w:snapToGrid w:val="0"/>
        <w:spacing w:line="440" w:lineRule="exact"/>
        <w:jc w:val="center"/>
        <w:rPr>
          <w:rFonts w:ascii="宋体" w:hAnsi="宋体" w:cs="宋体"/>
          <w:b/>
          <w:color w:val="auto"/>
          <w:sz w:val="32"/>
          <w:szCs w:val="32"/>
          <w:highlight w:val="none"/>
        </w:rPr>
      </w:pPr>
    </w:p>
    <w:p w14:paraId="7FD2EA55">
      <w:pPr>
        <w:tabs>
          <w:tab w:val="left" w:pos="1069"/>
          <w:tab w:val="left" w:pos="2352"/>
        </w:tabs>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2025年泰顺县森林资源动态监测与评价</w:t>
      </w:r>
    </w:p>
    <w:p w14:paraId="5F7B51B9">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594437FD">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（报 价 部 分）</w:t>
      </w:r>
    </w:p>
    <w:p w14:paraId="667F590D">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p w14:paraId="290BF784">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tbl>
      <w:tblPr>
        <w:tblStyle w:val="26"/>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11D6CD4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8DB225A">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 xml:space="preserve">330329253440010000110-TSCG202512013 </w:t>
            </w:r>
          </w:p>
        </w:tc>
      </w:tr>
      <w:tr w14:paraId="26F6EBD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EF46E7F">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采购单位：泰顺县自然资源和规划局</w:t>
            </w:r>
          </w:p>
        </w:tc>
      </w:tr>
      <w:tr w14:paraId="12F1B23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535BF0D">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供应商名称（盖章）：</w:t>
            </w:r>
          </w:p>
        </w:tc>
      </w:tr>
      <w:tr w14:paraId="306B851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4337EC6">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01FEDAB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EF7FE39">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3A9808D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99BCD58">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06AE737B">
      <w:pPr>
        <w:tabs>
          <w:tab w:val="left" w:pos="1069"/>
          <w:tab w:val="left" w:pos="2352"/>
        </w:tabs>
        <w:autoSpaceDE w:val="0"/>
        <w:autoSpaceDN w:val="0"/>
        <w:adjustRightInd w:val="0"/>
        <w:spacing w:line="360" w:lineRule="exact"/>
        <w:rPr>
          <w:rFonts w:ascii="宋体" w:hAnsi="宋体" w:cs="宋体"/>
          <w:b/>
          <w:bCs/>
          <w:color w:val="auto"/>
          <w:sz w:val="32"/>
          <w:szCs w:val="32"/>
          <w:highlight w:val="none"/>
          <w:lang w:val="zh-CN"/>
        </w:rPr>
      </w:pPr>
    </w:p>
    <w:p w14:paraId="5E5D3BE1">
      <w:pPr>
        <w:pStyle w:val="6"/>
        <w:tabs>
          <w:tab w:val="left" w:pos="1069"/>
          <w:tab w:val="left" w:pos="2352"/>
        </w:tabs>
        <w:rPr>
          <w:color w:val="auto"/>
          <w:highlight w:val="none"/>
          <w:lang w:val="zh-CN"/>
        </w:rPr>
      </w:pPr>
    </w:p>
    <w:p w14:paraId="51C59063">
      <w:pPr>
        <w:tabs>
          <w:tab w:val="left" w:pos="1069"/>
          <w:tab w:val="left" w:pos="2352"/>
        </w:tabs>
        <w:autoSpaceDE w:val="0"/>
        <w:autoSpaceDN w:val="0"/>
        <w:adjustRightInd w:val="0"/>
        <w:spacing w:line="360" w:lineRule="exact"/>
        <w:rPr>
          <w:rFonts w:ascii="宋体" w:hAnsi="宋体" w:cs="宋体"/>
          <w:b/>
          <w:bCs/>
          <w:color w:val="auto"/>
          <w:sz w:val="32"/>
          <w:szCs w:val="32"/>
          <w:highlight w:val="none"/>
          <w:lang w:val="zh-CN"/>
        </w:rPr>
      </w:pPr>
    </w:p>
    <w:p w14:paraId="0F24CD5F">
      <w:pPr>
        <w:tabs>
          <w:tab w:val="left" w:pos="1069"/>
          <w:tab w:val="left" w:pos="2352"/>
        </w:tabs>
        <w:autoSpaceDE w:val="0"/>
        <w:autoSpaceDN w:val="0"/>
        <w:adjustRightInd w:val="0"/>
        <w:spacing w:line="360" w:lineRule="exact"/>
        <w:rPr>
          <w:rFonts w:ascii="宋体" w:hAnsi="宋体" w:cs="宋体"/>
          <w:b/>
          <w:bCs/>
          <w:color w:val="auto"/>
          <w:sz w:val="32"/>
          <w:szCs w:val="32"/>
          <w:highlight w:val="none"/>
          <w:lang w:val="zh-CN"/>
        </w:rPr>
      </w:pPr>
    </w:p>
    <w:p w14:paraId="746D9A50">
      <w:pPr>
        <w:pStyle w:val="2"/>
        <w:ind w:left="0" w:leftChars="0" w:firstLine="0" w:firstLineChars="0"/>
        <w:rPr>
          <w:rFonts w:ascii="宋体" w:hAnsi="宋体" w:cs="宋体"/>
          <w:b/>
          <w:bCs/>
          <w:color w:val="auto"/>
          <w:sz w:val="32"/>
          <w:szCs w:val="32"/>
          <w:highlight w:val="none"/>
          <w:lang w:val="zh-CN"/>
        </w:rPr>
      </w:pPr>
    </w:p>
    <w:p w14:paraId="7014DAD0">
      <w:pPr>
        <w:tabs>
          <w:tab w:val="left" w:pos="1069"/>
          <w:tab w:val="left" w:pos="2352"/>
        </w:tabs>
        <w:autoSpaceDE w:val="0"/>
        <w:autoSpaceDN w:val="0"/>
        <w:adjustRightInd w:val="0"/>
        <w:spacing w:line="360" w:lineRule="exact"/>
        <w:rPr>
          <w:rFonts w:ascii="宋体" w:hAnsi="宋体" w:cs="宋体"/>
          <w:b/>
          <w:bCs/>
          <w:color w:val="auto"/>
          <w:sz w:val="32"/>
          <w:szCs w:val="32"/>
          <w:highlight w:val="none"/>
          <w:lang w:val="zh-CN"/>
        </w:rPr>
      </w:pPr>
    </w:p>
    <w:p w14:paraId="11A27699">
      <w:pPr>
        <w:tabs>
          <w:tab w:val="left" w:pos="1069"/>
          <w:tab w:val="left" w:pos="2352"/>
        </w:tabs>
        <w:autoSpaceDE w:val="0"/>
        <w:autoSpaceDN w:val="0"/>
        <w:adjustRightInd w:val="0"/>
        <w:spacing w:line="360" w:lineRule="exact"/>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附件一</w:t>
      </w:r>
    </w:p>
    <w:p w14:paraId="6466E8E2">
      <w:pPr>
        <w:tabs>
          <w:tab w:val="left" w:pos="1069"/>
          <w:tab w:val="left" w:pos="2352"/>
        </w:tabs>
        <w:autoSpaceDE w:val="0"/>
        <w:autoSpaceDN w:val="0"/>
        <w:adjustRightInd w:val="0"/>
        <w:spacing w:line="36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rPr>
        <w:t>开标（报价）一览表</w:t>
      </w:r>
    </w:p>
    <w:p w14:paraId="6DD913FA">
      <w:pPr>
        <w:tabs>
          <w:tab w:val="left" w:pos="1069"/>
          <w:tab w:val="left" w:pos="2352"/>
        </w:tabs>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2025年泰顺县森林资源动态监测与评价</w:t>
      </w:r>
    </w:p>
    <w:p w14:paraId="0E71C452">
      <w:pPr>
        <w:tabs>
          <w:tab w:val="left" w:pos="1069"/>
          <w:tab w:val="left" w:pos="2352"/>
        </w:tabs>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zh-CN"/>
        </w:rPr>
        <w:t>采购编号：</w:t>
      </w:r>
      <w:r>
        <w:rPr>
          <w:rFonts w:hint="eastAsia" w:ascii="宋体" w:hAnsi="宋体" w:cs="宋体"/>
          <w:color w:val="auto"/>
          <w:sz w:val="22"/>
          <w:highlight w:val="none"/>
          <w:u w:val="single"/>
          <w:lang w:eastAsia="zh-CN"/>
        </w:rPr>
        <w:t xml:space="preserve">330329253440010000110-TSCG202512013 </w:t>
      </w:r>
    </w:p>
    <w:p w14:paraId="4706F4A5">
      <w:pPr>
        <w:tabs>
          <w:tab w:val="left" w:pos="1069"/>
          <w:tab w:val="left" w:pos="2352"/>
        </w:tabs>
        <w:autoSpaceDE w:val="0"/>
        <w:autoSpaceDN w:val="0"/>
        <w:adjustRightInd w:val="0"/>
        <w:spacing w:line="400" w:lineRule="exact"/>
        <w:rPr>
          <w:rFonts w:ascii="宋体" w:hAnsi="宋体" w:cs="宋体"/>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rPr>
        <w:t>元人民币</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724"/>
        <w:gridCol w:w="4225"/>
        <w:gridCol w:w="1540"/>
        <w:gridCol w:w="1225"/>
      </w:tblGrid>
      <w:tr w14:paraId="7637B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67" w:type="dxa"/>
            <w:vAlign w:val="center"/>
          </w:tcPr>
          <w:p w14:paraId="477C15E4">
            <w:pPr>
              <w:pStyle w:val="10"/>
              <w:tabs>
                <w:tab w:val="left" w:pos="1069"/>
                <w:tab w:val="left" w:pos="2352"/>
              </w:tabs>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w:t>
            </w:r>
          </w:p>
        </w:tc>
        <w:tc>
          <w:tcPr>
            <w:tcW w:w="1724" w:type="dxa"/>
            <w:tcBorders>
              <w:right w:val="single" w:color="000000" w:sz="4" w:space="0"/>
            </w:tcBorders>
            <w:vAlign w:val="center"/>
          </w:tcPr>
          <w:p w14:paraId="461F5867">
            <w:pPr>
              <w:pStyle w:val="10"/>
              <w:tabs>
                <w:tab w:val="left" w:pos="1069"/>
                <w:tab w:val="left" w:pos="2352"/>
              </w:tabs>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标项名称</w:t>
            </w:r>
          </w:p>
        </w:tc>
        <w:tc>
          <w:tcPr>
            <w:tcW w:w="4225" w:type="dxa"/>
            <w:tcBorders>
              <w:left w:val="single" w:color="000000" w:sz="4" w:space="0"/>
            </w:tcBorders>
            <w:vAlign w:val="center"/>
          </w:tcPr>
          <w:p w14:paraId="4D614B26">
            <w:pPr>
              <w:pStyle w:val="10"/>
              <w:tabs>
                <w:tab w:val="left" w:pos="1069"/>
                <w:tab w:val="left" w:pos="2352"/>
              </w:tabs>
              <w:jc w:val="center"/>
              <w:rPr>
                <w:rFonts w:hAnsi="宋体" w:cs="宋体"/>
                <w:color w:val="auto"/>
                <w:sz w:val="22"/>
                <w:highlight w:val="none"/>
              </w:rPr>
            </w:pPr>
            <w:r>
              <w:rPr>
                <w:rFonts w:hint="eastAsia" w:hAnsi="宋体" w:cs="宋体"/>
                <w:color w:val="auto"/>
                <w:sz w:val="22"/>
                <w:highlight w:val="none"/>
              </w:rPr>
              <w:t>投标报价</w:t>
            </w:r>
          </w:p>
        </w:tc>
        <w:tc>
          <w:tcPr>
            <w:tcW w:w="1540" w:type="dxa"/>
            <w:vAlign w:val="center"/>
          </w:tcPr>
          <w:p w14:paraId="08179A35">
            <w:pPr>
              <w:pStyle w:val="10"/>
              <w:tabs>
                <w:tab w:val="left" w:pos="1069"/>
                <w:tab w:val="left" w:pos="2352"/>
              </w:tabs>
              <w:jc w:val="center"/>
              <w:rPr>
                <w:rFonts w:hAnsi="宋体" w:cs="宋体"/>
                <w:b/>
                <w:bCs/>
                <w:color w:val="auto"/>
                <w:kern w:val="2"/>
                <w:sz w:val="22"/>
                <w:szCs w:val="22"/>
                <w:highlight w:val="none"/>
              </w:rPr>
            </w:pPr>
            <w:r>
              <w:rPr>
                <w:rFonts w:hint="eastAsia" w:hAnsi="宋体" w:cs="宋体"/>
                <w:color w:val="auto"/>
                <w:sz w:val="22"/>
                <w:highlight w:val="none"/>
              </w:rPr>
              <w:t>项目负责人</w:t>
            </w:r>
          </w:p>
        </w:tc>
        <w:tc>
          <w:tcPr>
            <w:tcW w:w="1225" w:type="dxa"/>
            <w:vAlign w:val="center"/>
          </w:tcPr>
          <w:p w14:paraId="68F94DED">
            <w:pPr>
              <w:pStyle w:val="10"/>
              <w:tabs>
                <w:tab w:val="left" w:pos="1069"/>
                <w:tab w:val="left" w:pos="2352"/>
              </w:tabs>
              <w:jc w:val="center"/>
              <w:rPr>
                <w:rFonts w:hAnsi="宋体" w:cs="宋体"/>
                <w:color w:val="auto"/>
                <w:sz w:val="22"/>
                <w:highlight w:val="none"/>
              </w:rPr>
            </w:pPr>
            <w:r>
              <w:rPr>
                <w:rFonts w:hint="eastAsia" w:hAnsi="宋体" w:cs="宋体"/>
                <w:color w:val="auto"/>
                <w:kern w:val="2"/>
                <w:sz w:val="22"/>
                <w:szCs w:val="22"/>
                <w:highlight w:val="none"/>
              </w:rPr>
              <w:t>最高限价</w:t>
            </w:r>
          </w:p>
        </w:tc>
      </w:tr>
      <w:tr w14:paraId="5516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8" w:hRule="atLeast"/>
        </w:trPr>
        <w:tc>
          <w:tcPr>
            <w:tcW w:w="767" w:type="dxa"/>
            <w:vAlign w:val="center"/>
          </w:tcPr>
          <w:p w14:paraId="532C691C">
            <w:pPr>
              <w:pStyle w:val="10"/>
              <w:tabs>
                <w:tab w:val="left" w:pos="1069"/>
                <w:tab w:val="left" w:pos="2352"/>
              </w:tabs>
              <w:spacing w:line="440" w:lineRule="atLeast"/>
              <w:jc w:val="center"/>
              <w:rPr>
                <w:rFonts w:hAnsi="宋体" w:cs="宋体"/>
                <w:color w:val="auto"/>
                <w:kern w:val="2"/>
                <w:sz w:val="22"/>
                <w:szCs w:val="22"/>
                <w:highlight w:val="none"/>
              </w:rPr>
            </w:pPr>
            <w:r>
              <w:rPr>
                <w:rFonts w:hint="eastAsia" w:hAnsi="宋体" w:cs="宋体"/>
                <w:color w:val="auto"/>
                <w:kern w:val="2"/>
                <w:sz w:val="22"/>
                <w:szCs w:val="22"/>
                <w:highlight w:val="none"/>
              </w:rPr>
              <w:t>一</w:t>
            </w:r>
          </w:p>
        </w:tc>
        <w:tc>
          <w:tcPr>
            <w:tcW w:w="1724" w:type="dxa"/>
            <w:tcBorders>
              <w:right w:val="single" w:color="000000" w:sz="4" w:space="0"/>
            </w:tcBorders>
            <w:vAlign w:val="center"/>
          </w:tcPr>
          <w:p w14:paraId="41A0FB21">
            <w:pPr>
              <w:pStyle w:val="10"/>
              <w:tabs>
                <w:tab w:val="left" w:pos="1069"/>
                <w:tab w:val="left" w:pos="2352"/>
              </w:tabs>
              <w:spacing w:line="440" w:lineRule="atLeast"/>
              <w:jc w:val="center"/>
              <w:rPr>
                <w:rFonts w:hint="eastAsia" w:hAnsi="宋体" w:eastAsia="宋体" w:cs="宋体"/>
                <w:color w:val="auto"/>
                <w:kern w:val="2"/>
                <w:sz w:val="22"/>
                <w:szCs w:val="22"/>
                <w:highlight w:val="none"/>
                <w:lang w:eastAsia="zh-CN"/>
              </w:rPr>
            </w:pPr>
            <w:r>
              <w:rPr>
                <w:rFonts w:hint="eastAsia" w:hAnsi="宋体" w:cs="宋体"/>
                <w:bCs/>
                <w:color w:val="auto"/>
                <w:sz w:val="22"/>
                <w:highlight w:val="none"/>
                <w:lang w:eastAsia="zh-CN"/>
              </w:rPr>
              <w:t>2025年泰顺县森林资源动态监测与评价</w:t>
            </w:r>
          </w:p>
        </w:tc>
        <w:tc>
          <w:tcPr>
            <w:tcW w:w="4225" w:type="dxa"/>
            <w:tcBorders>
              <w:left w:val="single" w:color="000000" w:sz="4" w:space="0"/>
            </w:tcBorders>
            <w:vAlign w:val="center"/>
          </w:tcPr>
          <w:p w14:paraId="0107079D">
            <w:pPr>
              <w:pStyle w:val="10"/>
              <w:tabs>
                <w:tab w:val="left" w:pos="1069"/>
                <w:tab w:val="left" w:pos="2352"/>
              </w:tabs>
              <w:spacing w:line="440" w:lineRule="atLeast"/>
              <w:ind w:firstLine="446" w:firstLineChars="2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大写：                  </w:t>
            </w:r>
          </w:p>
          <w:p w14:paraId="5861E9DB">
            <w:pPr>
              <w:pStyle w:val="10"/>
              <w:tabs>
                <w:tab w:val="left" w:pos="1069"/>
                <w:tab w:val="left" w:pos="2352"/>
              </w:tabs>
              <w:ind w:firstLine="892" w:firstLineChars="400"/>
              <w:rPr>
                <w:rFonts w:hAnsi="宋体" w:cs="宋体"/>
                <w:color w:val="auto"/>
                <w:sz w:val="22"/>
                <w:highlight w:val="none"/>
                <w:u w:val="single"/>
              </w:rPr>
            </w:pPr>
            <w:r>
              <w:rPr>
                <w:rFonts w:hint="eastAsia" w:hAnsi="宋体" w:cs="宋体"/>
                <w:color w:val="auto"/>
                <w:kern w:val="2"/>
                <w:sz w:val="22"/>
                <w:szCs w:val="22"/>
                <w:highlight w:val="none"/>
                <w:u w:val="single"/>
              </w:rPr>
              <w:t xml:space="preserve">小写：                </w:t>
            </w:r>
          </w:p>
        </w:tc>
        <w:tc>
          <w:tcPr>
            <w:tcW w:w="1540" w:type="dxa"/>
            <w:vAlign w:val="center"/>
          </w:tcPr>
          <w:p w14:paraId="5247BAAA">
            <w:pPr>
              <w:pStyle w:val="10"/>
              <w:tabs>
                <w:tab w:val="left" w:pos="1069"/>
                <w:tab w:val="left" w:pos="2352"/>
              </w:tabs>
              <w:spacing w:line="440" w:lineRule="atLeast"/>
              <w:rPr>
                <w:rFonts w:hAnsi="宋体" w:cs="宋体"/>
                <w:color w:val="auto"/>
                <w:kern w:val="2"/>
                <w:sz w:val="22"/>
                <w:szCs w:val="22"/>
                <w:highlight w:val="none"/>
                <w:u w:val="single"/>
              </w:rPr>
            </w:pPr>
          </w:p>
        </w:tc>
        <w:tc>
          <w:tcPr>
            <w:tcW w:w="1225" w:type="dxa"/>
            <w:vAlign w:val="center"/>
          </w:tcPr>
          <w:p w14:paraId="198BD6D2">
            <w:pPr>
              <w:pStyle w:val="10"/>
              <w:tabs>
                <w:tab w:val="left" w:pos="1069"/>
                <w:tab w:val="left" w:pos="2352"/>
              </w:tabs>
              <w:spacing w:line="440" w:lineRule="atLeast"/>
              <w:jc w:val="center"/>
              <w:rPr>
                <w:rFonts w:hAnsi="宋体" w:cs="宋体"/>
                <w:color w:val="auto"/>
                <w:kern w:val="2"/>
                <w:sz w:val="22"/>
                <w:szCs w:val="22"/>
                <w:highlight w:val="none"/>
              </w:rPr>
            </w:pPr>
            <w:r>
              <w:rPr>
                <w:rFonts w:hint="eastAsia" w:hAnsi="宋体" w:cs="宋体"/>
                <w:color w:val="auto"/>
                <w:kern w:val="2"/>
                <w:sz w:val="22"/>
                <w:szCs w:val="22"/>
                <w:highlight w:val="none"/>
                <w:lang w:eastAsia="zh-CN"/>
              </w:rPr>
              <w:t>480000</w:t>
            </w:r>
            <w:r>
              <w:rPr>
                <w:rFonts w:hint="eastAsia" w:hAnsi="宋体" w:cs="宋体"/>
                <w:color w:val="auto"/>
                <w:kern w:val="2"/>
                <w:sz w:val="22"/>
                <w:szCs w:val="22"/>
                <w:highlight w:val="none"/>
              </w:rPr>
              <w:t>元</w:t>
            </w:r>
          </w:p>
        </w:tc>
      </w:tr>
    </w:tbl>
    <w:p w14:paraId="709D2E8A">
      <w:pPr>
        <w:pStyle w:val="10"/>
        <w:tabs>
          <w:tab w:val="left" w:pos="1069"/>
          <w:tab w:val="left" w:pos="2352"/>
        </w:tabs>
        <w:spacing w:line="440" w:lineRule="atLeast"/>
        <w:rPr>
          <w:rFonts w:hAnsi="宋体" w:cs="宋体"/>
          <w:color w:val="auto"/>
          <w:sz w:val="22"/>
          <w:highlight w:val="none"/>
        </w:rPr>
      </w:pPr>
    </w:p>
    <w:p w14:paraId="47122023">
      <w:pPr>
        <w:tabs>
          <w:tab w:val="left" w:pos="1069"/>
          <w:tab w:val="left" w:pos="2352"/>
        </w:tabs>
        <w:autoSpaceDE w:val="0"/>
        <w:autoSpaceDN w:val="0"/>
        <w:spacing w:line="360" w:lineRule="auto"/>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b/>
          <w:bCs/>
          <w:color w:val="auto"/>
          <w:sz w:val="22"/>
          <w:highlight w:val="none"/>
          <w:u w:val="single"/>
        </w:rPr>
        <w:t>开标（报价）一览表中投标价为符合竞争性磋商文件要求的总价</w:t>
      </w:r>
      <w:r>
        <w:rPr>
          <w:rFonts w:hint="eastAsia" w:ascii="宋体" w:hAnsi="宋体" w:cs="宋体"/>
          <w:color w:val="auto"/>
          <w:sz w:val="22"/>
          <w:highlight w:val="none"/>
        </w:rPr>
        <w:t>。</w:t>
      </w:r>
    </w:p>
    <w:p w14:paraId="4C43DEB1">
      <w:pPr>
        <w:tabs>
          <w:tab w:val="left" w:pos="1069"/>
          <w:tab w:val="left" w:pos="2352"/>
        </w:tabs>
        <w:autoSpaceDE w:val="0"/>
        <w:autoSpaceDN w:val="0"/>
        <w:spacing w:line="360" w:lineRule="auto"/>
        <w:rPr>
          <w:rFonts w:ascii="宋体" w:hAnsi="宋体" w:cs="宋体"/>
          <w:b/>
          <w:bCs/>
          <w:color w:val="auto"/>
          <w:sz w:val="22"/>
          <w:highlight w:val="none"/>
        </w:rPr>
      </w:pPr>
      <w:r>
        <w:rPr>
          <w:rFonts w:hint="eastAsia" w:ascii="宋体" w:hAnsi="宋体" w:cs="宋体"/>
          <w:color w:val="auto"/>
          <w:sz w:val="22"/>
          <w:highlight w:val="none"/>
          <w:lang w:val="en-US" w:eastAsia="zh-CN"/>
        </w:rPr>
        <w:t>2</w:t>
      </w:r>
      <w:r>
        <w:rPr>
          <w:rFonts w:hint="eastAsia" w:ascii="宋体" w:hAnsi="宋体" w:cs="宋体"/>
          <w:color w:val="auto"/>
          <w:sz w:val="22"/>
          <w:highlight w:val="none"/>
        </w:rPr>
        <w:t>、▲</w:t>
      </w:r>
      <w:r>
        <w:rPr>
          <w:rFonts w:hint="eastAsia" w:ascii="宋体" w:hAnsi="宋体" w:cs="宋体"/>
          <w:b/>
          <w:bCs/>
          <w:color w:val="auto"/>
          <w:sz w:val="22"/>
          <w:highlight w:val="none"/>
          <w:u w:val="single"/>
        </w:rPr>
        <w:t>不提供此表格的将视为没有实质性响应竞争性磋商文件</w:t>
      </w:r>
      <w:r>
        <w:rPr>
          <w:rFonts w:hint="eastAsia" w:ascii="宋体" w:hAnsi="宋体" w:cs="宋体"/>
          <w:color w:val="auto"/>
          <w:sz w:val="22"/>
          <w:highlight w:val="none"/>
        </w:rPr>
        <w:t>。</w:t>
      </w:r>
    </w:p>
    <w:p w14:paraId="5D4DBBF9">
      <w:pPr>
        <w:pStyle w:val="10"/>
        <w:tabs>
          <w:tab w:val="left" w:pos="1069"/>
          <w:tab w:val="left" w:pos="2352"/>
        </w:tabs>
        <w:spacing w:line="440" w:lineRule="atLeast"/>
        <w:rPr>
          <w:rFonts w:hAnsi="宋体" w:cs="宋体"/>
          <w:b/>
          <w:bCs/>
          <w:color w:val="auto"/>
          <w:sz w:val="22"/>
          <w:highlight w:val="none"/>
        </w:rPr>
      </w:pPr>
    </w:p>
    <w:p w14:paraId="27132E78">
      <w:pPr>
        <w:pStyle w:val="10"/>
        <w:tabs>
          <w:tab w:val="left" w:pos="1069"/>
          <w:tab w:val="left" w:pos="2352"/>
        </w:tabs>
        <w:spacing w:line="440" w:lineRule="atLeast"/>
        <w:rPr>
          <w:rFonts w:hAnsi="宋体" w:cs="宋体"/>
          <w:b/>
          <w:bCs/>
          <w:color w:val="auto"/>
          <w:sz w:val="22"/>
          <w:highlight w:val="none"/>
        </w:rPr>
      </w:pPr>
      <w:r>
        <w:rPr>
          <w:rFonts w:hint="eastAsia" w:hAnsi="宋体" w:cs="宋体"/>
          <w:color w:val="auto"/>
          <w:sz w:val="22"/>
          <w:highlight w:val="none"/>
        </w:rPr>
        <w:t>供应商全称：（盖章）</w:t>
      </w:r>
    </w:p>
    <w:p w14:paraId="10B98F31">
      <w:pPr>
        <w:pStyle w:val="10"/>
        <w:tabs>
          <w:tab w:val="left" w:pos="1069"/>
          <w:tab w:val="left" w:pos="2352"/>
        </w:tabs>
        <w:spacing w:line="440" w:lineRule="atLeast"/>
        <w:rPr>
          <w:rFonts w:hAnsi="宋体" w:cs="宋体"/>
          <w:b/>
          <w:bCs/>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736CA13B">
      <w:pPr>
        <w:pStyle w:val="10"/>
        <w:tabs>
          <w:tab w:val="left" w:pos="1069"/>
          <w:tab w:val="left" w:pos="2352"/>
        </w:tabs>
        <w:spacing w:line="440" w:lineRule="atLeast"/>
        <w:rPr>
          <w:rFonts w:hAnsi="宋体" w:cs="宋体"/>
          <w:b/>
          <w:bCs/>
          <w:color w:val="auto"/>
          <w:sz w:val="22"/>
          <w:highlight w:val="none"/>
        </w:rPr>
      </w:pPr>
      <w:r>
        <w:rPr>
          <w:rFonts w:hint="eastAsia" w:hAnsi="宋体" w:cs="宋体"/>
          <w:color w:val="auto"/>
          <w:sz w:val="22"/>
          <w:highlight w:val="none"/>
        </w:rPr>
        <w:t>日期：</w:t>
      </w:r>
    </w:p>
    <w:p w14:paraId="3685B825">
      <w:pPr>
        <w:tabs>
          <w:tab w:val="left" w:pos="1069"/>
          <w:tab w:val="left" w:pos="2352"/>
        </w:tabs>
        <w:spacing w:line="360" w:lineRule="exact"/>
        <w:jc w:val="left"/>
        <w:rPr>
          <w:rFonts w:ascii="宋体" w:hAnsi="宋体" w:cs="宋体"/>
          <w:color w:val="auto"/>
          <w:sz w:val="22"/>
          <w:highlight w:val="none"/>
          <w:lang w:val="zh-CN"/>
        </w:rPr>
      </w:pPr>
      <w:bookmarkStart w:id="63" w:name="_Toc31481_WPSOffice_Level2"/>
    </w:p>
    <w:p w14:paraId="5325A70E">
      <w:pPr>
        <w:pStyle w:val="24"/>
        <w:tabs>
          <w:tab w:val="left" w:pos="1069"/>
          <w:tab w:val="left" w:pos="2352"/>
        </w:tabs>
        <w:rPr>
          <w:rFonts w:ascii="宋体" w:hAnsi="宋体" w:cs="宋体"/>
          <w:color w:val="auto"/>
          <w:sz w:val="22"/>
          <w:highlight w:val="none"/>
          <w:lang w:val="zh-CN"/>
        </w:rPr>
      </w:pPr>
    </w:p>
    <w:p w14:paraId="34F242F8">
      <w:pPr>
        <w:pStyle w:val="24"/>
        <w:tabs>
          <w:tab w:val="left" w:pos="1069"/>
          <w:tab w:val="left" w:pos="2352"/>
        </w:tabs>
        <w:rPr>
          <w:rFonts w:ascii="宋体" w:hAnsi="宋体" w:cs="宋体"/>
          <w:color w:val="auto"/>
          <w:sz w:val="22"/>
          <w:highlight w:val="none"/>
          <w:lang w:val="zh-CN"/>
        </w:rPr>
      </w:pPr>
    </w:p>
    <w:p w14:paraId="23C441AD">
      <w:pPr>
        <w:pStyle w:val="24"/>
        <w:tabs>
          <w:tab w:val="left" w:pos="1069"/>
          <w:tab w:val="left" w:pos="2352"/>
        </w:tabs>
        <w:rPr>
          <w:rFonts w:ascii="宋体" w:hAnsi="宋体" w:cs="宋体"/>
          <w:color w:val="auto"/>
          <w:sz w:val="22"/>
          <w:highlight w:val="none"/>
          <w:lang w:val="zh-CN"/>
        </w:rPr>
      </w:pPr>
    </w:p>
    <w:bookmarkEnd w:id="63"/>
    <w:p w14:paraId="6E72FF9E">
      <w:pPr>
        <w:pStyle w:val="9"/>
        <w:tabs>
          <w:tab w:val="left" w:pos="1069"/>
          <w:tab w:val="left" w:pos="2352"/>
        </w:tabs>
        <w:rPr>
          <w:rFonts w:ascii="宋体" w:hAnsi="宋体" w:cs="宋体"/>
          <w:b/>
          <w:bCs/>
          <w:color w:val="auto"/>
          <w:sz w:val="32"/>
          <w:szCs w:val="32"/>
          <w:highlight w:val="none"/>
        </w:rPr>
      </w:pPr>
    </w:p>
    <w:p w14:paraId="4621FB71">
      <w:pPr>
        <w:pStyle w:val="9"/>
        <w:tabs>
          <w:tab w:val="left" w:pos="2352"/>
        </w:tabs>
        <w:rPr>
          <w:rFonts w:ascii="宋体"/>
          <w:b/>
          <w:bCs/>
          <w:color w:val="auto"/>
          <w:sz w:val="32"/>
          <w:szCs w:val="32"/>
          <w:highlight w:val="none"/>
        </w:rPr>
      </w:pPr>
    </w:p>
    <w:p w14:paraId="146A47A8">
      <w:pPr>
        <w:pStyle w:val="9"/>
        <w:tabs>
          <w:tab w:val="left" w:pos="2352"/>
        </w:tabs>
        <w:rPr>
          <w:rFonts w:ascii="宋体"/>
          <w:b/>
          <w:bCs/>
          <w:color w:val="auto"/>
          <w:sz w:val="32"/>
          <w:szCs w:val="32"/>
          <w:highlight w:val="none"/>
        </w:rPr>
      </w:pPr>
    </w:p>
    <w:p w14:paraId="34FB49A6">
      <w:pPr>
        <w:rPr>
          <w:rFonts w:ascii="宋体"/>
          <w:b/>
          <w:bCs/>
          <w:color w:val="auto"/>
          <w:sz w:val="32"/>
          <w:szCs w:val="32"/>
          <w:highlight w:val="none"/>
        </w:rPr>
      </w:pPr>
    </w:p>
    <w:p w14:paraId="70EBC05B">
      <w:pPr>
        <w:pStyle w:val="2"/>
      </w:pPr>
    </w:p>
    <w:p w14:paraId="3127AF98">
      <w:pPr>
        <w:pStyle w:val="9"/>
        <w:tabs>
          <w:tab w:val="left" w:pos="2352"/>
        </w:tabs>
        <w:rPr>
          <w:rFonts w:ascii="宋体"/>
          <w:b/>
          <w:bCs/>
          <w:color w:val="auto"/>
          <w:sz w:val="32"/>
          <w:szCs w:val="32"/>
          <w:highlight w:val="none"/>
        </w:rPr>
      </w:pPr>
      <w:r>
        <w:rPr>
          <w:rFonts w:hint="eastAsia" w:ascii="宋体"/>
          <w:b/>
          <w:bCs/>
          <w:color w:val="auto"/>
          <w:sz w:val="32"/>
          <w:szCs w:val="32"/>
          <w:highlight w:val="none"/>
        </w:rPr>
        <w:t>附件二</w:t>
      </w:r>
    </w:p>
    <w:p w14:paraId="6A21051C">
      <w:pPr>
        <w:tabs>
          <w:tab w:val="left" w:pos="2352"/>
        </w:tabs>
        <w:autoSpaceDE w:val="0"/>
        <w:autoSpaceDN w:val="0"/>
        <w:adjustRightInd w:val="0"/>
        <w:spacing w:line="400" w:lineRule="exact"/>
        <w:jc w:val="center"/>
        <w:rPr>
          <w:rFonts w:hAnsi="宋体"/>
          <w:color w:val="auto"/>
          <w:sz w:val="22"/>
          <w:highlight w:val="none"/>
        </w:rPr>
      </w:pPr>
      <w:r>
        <w:rPr>
          <w:rFonts w:hint="eastAsia" w:ascii="宋体"/>
          <w:b/>
          <w:bCs/>
          <w:color w:val="auto"/>
          <w:sz w:val="32"/>
          <w:szCs w:val="32"/>
          <w:highlight w:val="none"/>
        </w:rPr>
        <w:t>投标分项报价表</w:t>
      </w:r>
    </w:p>
    <w:p w14:paraId="525A8255">
      <w:pPr>
        <w:tabs>
          <w:tab w:val="left" w:pos="1069"/>
          <w:tab w:val="left" w:pos="2352"/>
        </w:tabs>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2025年泰顺县森林资源动态监测与评价</w:t>
      </w:r>
    </w:p>
    <w:p w14:paraId="729ED614">
      <w:pPr>
        <w:tabs>
          <w:tab w:val="left" w:pos="1069"/>
          <w:tab w:val="left" w:pos="2352"/>
        </w:tabs>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zh-CN"/>
        </w:rPr>
        <w:t>采购编号：</w:t>
      </w:r>
      <w:r>
        <w:rPr>
          <w:rFonts w:hint="eastAsia" w:ascii="宋体" w:hAnsi="宋体" w:cs="宋体"/>
          <w:color w:val="auto"/>
          <w:sz w:val="22"/>
          <w:highlight w:val="none"/>
          <w:u w:val="single"/>
          <w:lang w:eastAsia="zh-CN"/>
        </w:rPr>
        <w:t xml:space="preserve">330329253440010000110-TSCG202512013 </w:t>
      </w:r>
    </w:p>
    <w:p w14:paraId="34656AED">
      <w:pPr>
        <w:tabs>
          <w:tab w:val="left" w:pos="2352"/>
        </w:tabs>
        <w:autoSpaceDE w:val="0"/>
        <w:autoSpaceDN w:val="0"/>
        <w:adjustRightInd w:val="0"/>
        <w:spacing w:line="400" w:lineRule="exact"/>
        <w:rPr>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rPr>
        <w:t>元人民币</w:t>
      </w:r>
    </w:p>
    <w:tbl>
      <w:tblPr>
        <w:tblStyle w:val="26"/>
        <w:tblW w:w="9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2668"/>
        <w:gridCol w:w="988"/>
        <w:gridCol w:w="1012"/>
        <w:gridCol w:w="1336"/>
        <w:gridCol w:w="1503"/>
        <w:gridCol w:w="1560"/>
      </w:tblGrid>
      <w:tr w14:paraId="4DFC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3" w:hRule="atLeast"/>
        </w:trPr>
        <w:tc>
          <w:tcPr>
            <w:tcW w:w="779" w:type="dxa"/>
            <w:vAlign w:val="center"/>
          </w:tcPr>
          <w:p w14:paraId="4C5A389A">
            <w:pPr>
              <w:tabs>
                <w:tab w:val="left" w:pos="2352"/>
              </w:tabs>
              <w:ind w:right="-11"/>
              <w:jc w:val="center"/>
              <w:rPr>
                <w:rFonts w:ascii="宋体" w:cs="Arial"/>
                <w:bCs/>
                <w:color w:val="auto"/>
                <w:sz w:val="22"/>
                <w:highlight w:val="none"/>
              </w:rPr>
            </w:pPr>
            <w:r>
              <w:rPr>
                <w:rFonts w:hint="eastAsia" w:ascii="宋体" w:cs="Arial"/>
                <w:bCs/>
                <w:color w:val="auto"/>
                <w:sz w:val="22"/>
                <w:highlight w:val="none"/>
              </w:rPr>
              <w:t>序号</w:t>
            </w:r>
          </w:p>
        </w:tc>
        <w:tc>
          <w:tcPr>
            <w:tcW w:w="2668" w:type="dxa"/>
            <w:vAlign w:val="center"/>
          </w:tcPr>
          <w:p w14:paraId="10E18A12">
            <w:pPr>
              <w:tabs>
                <w:tab w:val="left" w:pos="2352"/>
              </w:tabs>
              <w:ind w:right="-11"/>
              <w:jc w:val="center"/>
              <w:rPr>
                <w:rFonts w:ascii="宋体" w:cs="Arial"/>
                <w:bCs/>
                <w:color w:val="auto"/>
                <w:sz w:val="22"/>
                <w:highlight w:val="none"/>
              </w:rPr>
            </w:pPr>
            <w:r>
              <w:rPr>
                <w:rFonts w:hint="eastAsia" w:ascii="宋体" w:cs="Arial"/>
                <w:bCs/>
                <w:color w:val="auto"/>
                <w:sz w:val="22"/>
                <w:highlight w:val="none"/>
              </w:rPr>
              <w:t>报价项</w:t>
            </w:r>
          </w:p>
        </w:tc>
        <w:tc>
          <w:tcPr>
            <w:tcW w:w="988" w:type="dxa"/>
            <w:vAlign w:val="center"/>
          </w:tcPr>
          <w:p w14:paraId="3DD771CA">
            <w:pPr>
              <w:tabs>
                <w:tab w:val="left" w:pos="2352"/>
              </w:tabs>
              <w:ind w:right="-11"/>
              <w:jc w:val="center"/>
              <w:rPr>
                <w:rFonts w:ascii="宋体" w:cs="Arial"/>
                <w:bCs/>
                <w:color w:val="auto"/>
                <w:sz w:val="22"/>
                <w:highlight w:val="none"/>
              </w:rPr>
            </w:pPr>
            <w:r>
              <w:rPr>
                <w:rFonts w:hint="eastAsia" w:ascii="宋体" w:cs="Arial"/>
                <w:bCs/>
                <w:color w:val="auto"/>
                <w:sz w:val="22"/>
                <w:highlight w:val="none"/>
              </w:rPr>
              <w:t>单位</w:t>
            </w:r>
          </w:p>
        </w:tc>
        <w:tc>
          <w:tcPr>
            <w:tcW w:w="1012" w:type="dxa"/>
            <w:vAlign w:val="center"/>
          </w:tcPr>
          <w:p w14:paraId="2C73115A">
            <w:pPr>
              <w:tabs>
                <w:tab w:val="left" w:pos="2352"/>
              </w:tabs>
              <w:ind w:right="-11"/>
              <w:jc w:val="center"/>
              <w:rPr>
                <w:rFonts w:ascii="宋体" w:cs="Arial"/>
                <w:bCs/>
                <w:color w:val="auto"/>
                <w:sz w:val="22"/>
                <w:highlight w:val="none"/>
              </w:rPr>
            </w:pPr>
            <w:r>
              <w:rPr>
                <w:rFonts w:hint="eastAsia" w:ascii="宋体" w:cs="Arial"/>
                <w:bCs/>
                <w:color w:val="auto"/>
                <w:sz w:val="22"/>
                <w:highlight w:val="none"/>
              </w:rPr>
              <w:t>数量</w:t>
            </w:r>
          </w:p>
        </w:tc>
        <w:tc>
          <w:tcPr>
            <w:tcW w:w="1336" w:type="dxa"/>
            <w:vAlign w:val="center"/>
          </w:tcPr>
          <w:p w14:paraId="5C34B774">
            <w:pPr>
              <w:tabs>
                <w:tab w:val="left" w:pos="2352"/>
              </w:tabs>
              <w:ind w:right="-11"/>
              <w:jc w:val="center"/>
              <w:rPr>
                <w:rFonts w:ascii="宋体" w:cs="Arial"/>
                <w:color w:val="auto"/>
                <w:sz w:val="22"/>
                <w:highlight w:val="none"/>
              </w:rPr>
            </w:pPr>
            <w:r>
              <w:rPr>
                <w:rFonts w:hint="eastAsia" w:ascii="宋体" w:cs="Arial"/>
                <w:bCs/>
                <w:color w:val="auto"/>
                <w:sz w:val="22"/>
                <w:highlight w:val="none"/>
              </w:rPr>
              <w:t>单价</w:t>
            </w:r>
          </w:p>
        </w:tc>
        <w:tc>
          <w:tcPr>
            <w:tcW w:w="1503" w:type="dxa"/>
            <w:vAlign w:val="center"/>
          </w:tcPr>
          <w:p w14:paraId="21BE6F35">
            <w:pPr>
              <w:tabs>
                <w:tab w:val="left" w:pos="2352"/>
              </w:tabs>
              <w:ind w:right="-11"/>
              <w:jc w:val="center"/>
              <w:rPr>
                <w:rFonts w:ascii="宋体" w:cs="Arial"/>
                <w:color w:val="auto"/>
                <w:sz w:val="22"/>
                <w:highlight w:val="none"/>
              </w:rPr>
            </w:pPr>
            <w:r>
              <w:rPr>
                <w:rFonts w:hint="eastAsia" w:ascii="宋体" w:cs="Arial"/>
                <w:bCs/>
                <w:color w:val="auto"/>
                <w:sz w:val="22"/>
                <w:highlight w:val="none"/>
              </w:rPr>
              <w:t>总价</w:t>
            </w:r>
          </w:p>
        </w:tc>
        <w:tc>
          <w:tcPr>
            <w:tcW w:w="1560" w:type="dxa"/>
            <w:vAlign w:val="center"/>
          </w:tcPr>
          <w:p w14:paraId="0982E5E2">
            <w:pPr>
              <w:tabs>
                <w:tab w:val="left" w:pos="2352"/>
              </w:tabs>
              <w:ind w:right="-11"/>
              <w:jc w:val="center"/>
              <w:rPr>
                <w:rFonts w:ascii="宋体" w:cs="Arial"/>
                <w:bCs/>
                <w:color w:val="auto"/>
                <w:sz w:val="22"/>
                <w:highlight w:val="none"/>
              </w:rPr>
            </w:pPr>
            <w:r>
              <w:rPr>
                <w:rFonts w:hint="eastAsia" w:ascii="宋体" w:cs="Arial"/>
                <w:bCs/>
                <w:color w:val="auto"/>
                <w:sz w:val="22"/>
                <w:highlight w:val="none"/>
              </w:rPr>
              <w:t>备注</w:t>
            </w:r>
          </w:p>
        </w:tc>
      </w:tr>
      <w:tr w14:paraId="6E57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2834292">
            <w:pPr>
              <w:tabs>
                <w:tab w:val="left" w:pos="2352"/>
              </w:tabs>
              <w:ind w:right="-11"/>
              <w:jc w:val="center"/>
              <w:rPr>
                <w:rFonts w:ascii="宋体" w:cs="Arial"/>
                <w:color w:val="auto"/>
                <w:sz w:val="22"/>
                <w:highlight w:val="none"/>
              </w:rPr>
            </w:pPr>
            <w:r>
              <w:rPr>
                <w:rFonts w:hint="eastAsia" w:ascii="宋体" w:cs="Arial"/>
                <w:color w:val="auto"/>
                <w:sz w:val="22"/>
                <w:highlight w:val="none"/>
              </w:rPr>
              <w:t>1</w:t>
            </w:r>
          </w:p>
        </w:tc>
        <w:tc>
          <w:tcPr>
            <w:tcW w:w="2668" w:type="dxa"/>
            <w:vAlign w:val="center"/>
          </w:tcPr>
          <w:p w14:paraId="1DA8058C">
            <w:pPr>
              <w:tabs>
                <w:tab w:val="left" w:pos="2352"/>
              </w:tabs>
              <w:rPr>
                <w:rFonts w:ascii="宋体" w:cs="Arial"/>
                <w:color w:val="auto"/>
                <w:sz w:val="22"/>
                <w:highlight w:val="none"/>
              </w:rPr>
            </w:pPr>
          </w:p>
        </w:tc>
        <w:tc>
          <w:tcPr>
            <w:tcW w:w="988" w:type="dxa"/>
            <w:vAlign w:val="center"/>
          </w:tcPr>
          <w:p w14:paraId="7E44ED87">
            <w:pPr>
              <w:tabs>
                <w:tab w:val="left" w:pos="2352"/>
              </w:tabs>
              <w:ind w:right="-11"/>
              <w:jc w:val="center"/>
              <w:rPr>
                <w:rFonts w:ascii="宋体" w:cs="Arial"/>
                <w:color w:val="auto"/>
                <w:sz w:val="22"/>
                <w:highlight w:val="none"/>
              </w:rPr>
            </w:pPr>
          </w:p>
        </w:tc>
        <w:tc>
          <w:tcPr>
            <w:tcW w:w="1012" w:type="dxa"/>
            <w:vAlign w:val="center"/>
          </w:tcPr>
          <w:p w14:paraId="1B85033B">
            <w:pPr>
              <w:tabs>
                <w:tab w:val="left" w:pos="2352"/>
              </w:tabs>
              <w:jc w:val="center"/>
              <w:rPr>
                <w:rFonts w:ascii="宋体" w:cs="Arial"/>
                <w:color w:val="auto"/>
                <w:sz w:val="22"/>
                <w:highlight w:val="none"/>
              </w:rPr>
            </w:pPr>
          </w:p>
        </w:tc>
        <w:tc>
          <w:tcPr>
            <w:tcW w:w="1336" w:type="dxa"/>
            <w:vAlign w:val="center"/>
          </w:tcPr>
          <w:p w14:paraId="5EDD7C32">
            <w:pPr>
              <w:tabs>
                <w:tab w:val="left" w:pos="2352"/>
              </w:tabs>
              <w:ind w:right="-11"/>
              <w:jc w:val="center"/>
              <w:rPr>
                <w:rFonts w:ascii="宋体" w:cs="Arial"/>
                <w:color w:val="auto"/>
                <w:sz w:val="22"/>
                <w:highlight w:val="none"/>
              </w:rPr>
            </w:pPr>
          </w:p>
        </w:tc>
        <w:tc>
          <w:tcPr>
            <w:tcW w:w="1503" w:type="dxa"/>
            <w:vAlign w:val="center"/>
          </w:tcPr>
          <w:p w14:paraId="75FEF866">
            <w:pPr>
              <w:tabs>
                <w:tab w:val="left" w:pos="2352"/>
              </w:tabs>
              <w:ind w:right="-11"/>
              <w:jc w:val="center"/>
              <w:rPr>
                <w:rFonts w:ascii="宋体" w:cs="Arial"/>
                <w:color w:val="auto"/>
                <w:sz w:val="22"/>
                <w:highlight w:val="none"/>
              </w:rPr>
            </w:pPr>
          </w:p>
        </w:tc>
        <w:tc>
          <w:tcPr>
            <w:tcW w:w="1560" w:type="dxa"/>
            <w:vAlign w:val="center"/>
          </w:tcPr>
          <w:p w14:paraId="3F2CADE5">
            <w:pPr>
              <w:tabs>
                <w:tab w:val="left" w:pos="2352"/>
              </w:tabs>
              <w:ind w:right="-11"/>
              <w:jc w:val="center"/>
              <w:rPr>
                <w:rFonts w:ascii="宋体" w:cs="Arial"/>
                <w:color w:val="auto"/>
                <w:sz w:val="22"/>
                <w:highlight w:val="none"/>
              </w:rPr>
            </w:pPr>
          </w:p>
        </w:tc>
      </w:tr>
      <w:tr w14:paraId="51F5D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60877D00">
            <w:pPr>
              <w:tabs>
                <w:tab w:val="left" w:pos="2352"/>
              </w:tabs>
              <w:ind w:right="-11"/>
              <w:jc w:val="center"/>
              <w:rPr>
                <w:rFonts w:ascii="宋体" w:cs="Arial"/>
                <w:color w:val="auto"/>
                <w:sz w:val="22"/>
                <w:highlight w:val="none"/>
              </w:rPr>
            </w:pPr>
            <w:r>
              <w:rPr>
                <w:rFonts w:hint="eastAsia" w:ascii="宋体" w:cs="Arial"/>
                <w:color w:val="auto"/>
                <w:sz w:val="22"/>
                <w:highlight w:val="none"/>
              </w:rPr>
              <w:t>2</w:t>
            </w:r>
          </w:p>
        </w:tc>
        <w:tc>
          <w:tcPr>
            <w:tcW w:w="2668" w:type="dxa"/>
            <w:vAlign w:val="center"/>
          </w:tcPr>
          <w:p w14:paraId="0B95996B">
            <w:pPr>
              <w:tabs>
                <w:tab w:val="left" w:pos="2352"/>
              </w:tabs>
              <w:rPr>
                <w:rFonts w:ascii="宋体" w:cs="Arial"/>
                <w:color w:val="auto"/>
                <w:sz w:val="22"/>
                <w:highlight w:val="none"/>
              </w:rPr>
            </w:pPr>
          </w:p>
        </w:tc>
        <w:tc>
          <w:tcPr>
            <w:tcW w:w="988" w:type="dxa"/>
            <w:vAlign w:val="center"/>
          </w:tcPr>
          <w:p w14:paraId="6F6A8123">
            <w:pPr>
              <w:tabs>
                <w:tab w:val="left" w:pos="2352"/>
              </w:tabs>
              <w:ind w:right="-11"/>
              <w:jc w:val="center"/>
              <w:rPr>
                <w:rFonts w:ascii="宋体" w:cs="Arial"/>
                <w:color w:val="auto"/>
                <w:sz w:val="22"/>
                <w:highlight w:val="none"/>
              </w:rPr>
            </w:pPr>
          </w:p>
        </w:tc>
        <w:tc>
          <w:tcPr>
            <w:tcW w:w="1012" w:type="dxa"/>
            <w:vAlign w:val="center"/>
          </w:tcPr>
          <w:p w14:paraId="5CF7FED3">
            <w:pPr>
              <w:tabs>
                <w:tab w:val="left" w:pos="2352"/>
              </w:tabs>
              <w:jc w:val="center"/>
              <w:rPr>
                <w:rFonts w:ascii="宋体" w:cs="Arial"/>
                <w:color w:val="auto"/>
                <w:sz w:val="22"/>
                <w:highlight w:val="none"/>
              </w:rPr>
            </w:pPr>
          </w:p>
        </w:tc>
        <w:tc>
          <w:tcPr>
            <w:tcW w:w="1336" w:type="dxa"/>
            <w:vAlign w:val="center"/>
          </w:tcPr>
          <w:p w14:paraId="77480839">
            <w:pPr>
              <w:tabs>
                <w:tab w:val="left" w:pos="2352"/>
              </w:tabs>
              <w:ind w:right="-11"/>
              <w:jc w:val="center"/>
              <w:rPr>
                <w:rFonts w:ascii="宋体" w:cs="Arial"/>
                <w:color w:val="auto"/>
                <w:sz w:val="22"/>
                <w:highlight w:val="none"/>
              </w:rPr>
            </w:pPr>
          </w:p>
        </w:tc>
        <w:tc>
          <w:tcPr>
            <w:tcW w:w="1503" w:type="dxa"/>
            <w:vAlign w:val="center"/>
          </w:tcPr>
          <w:p w14:paraId="0277FC1C">
            <w:pPr>
              <w:tabs>
                <w:tab w:val="left" w:pos="2352"/>
              </w:tabs>
              <w:ind w:right="-11"/>
              <w:jc w:val="center"/>
              <w:rPr>
                <w:rFonts w:ascii="宋体" w:cs="Arial"/>
                <w:color w:val="auto"/>
                <w:sz w:val="22"/>
                <w:highlight w:val="none"/>
              </w:rPr>
            </w:pPr>
          </w:p>
        </w:tc>
        <w:tc>
          <w:tcPr>
            <w:tcW w:w="1560" w:type="dxa"/>
            <w:vAlign w:val="center"/>
          </w:tcPr>
          <w:p w14:paraId="3F6CB43E">
            <w:pPr>
              <w:tabs>
                <w:tab w:val="left" w:pos="2352"/>
              </w:tabs>
              <w:ind w:right="-11"/>
              <w:jc w:val="center"/>
              <w:rPr>
                <w:rFonts w:ascii="宋体" w:cs="Arial"/>
                <w:color w:val="auto"/>
                <w:sz w:val="22"/>
                <w:highlight w:val="none"/>
              </w:rPr>
            </w:pPr>
          </w:p>
        </w:tc>
      </w:tr>
      <w:tr w14:paraId="0828B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234ECE9B">
            <w:pPr>
              <w:tabs>
                <w:tab w:val="left" w:pos="2352"/>
              </w:tabs>
              <w:ind w:right="-11"/>
              <w:jc w:val="center"/>
              <w:rPr>
                <w:rFonts w:ascii="宋体" w:cs="Arial"/>
                <w:color w:val="auto"/>
                <w:sz w:val="22"/>
                <w:highlight w:val="none"/>
              </w:rPr>
            </w:pPr>
            <w:r>
              <w:rPr>
                <w:rFonts w:hint="eastAsia" w:ascii="宋体" w:cs="Arial"/>
                <w:color w:val="auto"/>
                <w:sz w:val="22"/>
                <w:highlight w:val="none"/>
              </w:rPr>
              <w:t>3</w:t>
            </w:r>
          </w:p>
        </w:tc>
        <w:tc>
          <w:tcPr>
            <w:tcW w:w="2668" w:type="dxa"/>
            <w:vAlign w:val="center"/>
          </w:tcPr>
          <w:p w14:paraId="00F0EAC9">
            <w:pPr>
              <w:tabs>
                <w:tab w:val="left" w:pos="2352"/>
              </w:tabs>
              <w:rPr>
                <w:rFonts w:ascii="宋体" w:cs="Arial"/>
                <w:color w:val="auto"/>
                <w:sz w:val="22"/>
                <w:highlight w:val="none"/>
              </w:rPr>
            </w:pPr>
          </w:p>
        </w:tc>
        <w:tc>
          <w:tcPr>
            <w:tcW w:w="988" w:type="dxa"/>
            <w:vAlign w:val="center"/>
          </w:tcPr>
          <w:p w14:paraId="3A1BAA4E">
            <w:pPr>
              <w:tabs>
                <w:tab w:val="left" w:pos="2352"/>
              </w:tabs>
              <w:ind w:right="-11"/>
              <w:jc w:val="center"/>
              <w:rPr>
                <w:rFonts w:ascii="宋体" w:cs="Arial"/>
                <w:color w:val="auto"/>
                <w:sz w:val="22"/>
                <w:highlight w:val="none"/>
              </w:rPr>
            </w:pPr>
          </w:p>
        </w:tc>
        <w:tc>
          <w:tcPr>
            <w:tcW w:w="1012" w:type="dxa"/>
            <w:vAlign w:val="center"/>
          </w:tcPr>
          <w:p w14:paraId="7F9D681A">
            <w:pPr>
              <w:tabs>
                <w:tab w:val="left" w:pos="2352"/>
              </w:tabs>
              <w:jc w:val="center"/>
              <w:rPr>
                <w:rFonts w:ascii="宋体" w:cs="Arial"/>
                <w:color w:val="auto"/>
                <w:sz w:val="22"/>
                <w:highlight w:val="none"/>
              </w:rPr>
            </w:pPr>
          </w:p>
        </w:tc>
        <w:tc>
          <w:tcPr>
            <w:tcW w:w="1336" w:type="dxa"/>
            <w:vAlign w:val="center"/>
          </w:tcPr>
          <w:p w14:paraId="2DC44F44">
            <w:pPr>
              <w:tabs>
                <w:tab w:val="left" w:pos="2352"/>
              </w:tabs>
              <w:ind w:right="-11"/>
              <w:jc w:val="center"/>
              <w:rPr>
                <w:rFonts w:ascii="宋体" w:cs="Arial"/>
                <w:color w:val="auto"/>
                <w:sz w:val="22"/>
                <w:highlight w:val="none"/>
              </w:rPr>
            </w:pPr>
          </w:p>
        </w:tc>
        <w:tc>
          <w:tcPr>
            <w:tcW w:w="1503" w:type="dxa"/>
            <w:vAlign w:val="center"/>
          </w:tcPr>
          <w:p w14:paraId="4DDBCFF8">
            <w:pPr>
              <w:tabs>
                <w:tab w:val="left" w:pos="2352"/>
              </w:tabs>
              <w:ind w:right="-11"/>
              <w:jc w:val="center"/>
              <w:rPr>
                <w:rFonts w:ascii="宋体" w:cs="Arial"/>
                <w:color w:val="auto"/>
                <w:sz w:val="22"/>
                <w:highlight w:val="none"/>
              </w:rPr>
            </w:pPr>
          </w:p>
        </w:tc>
        <w:tc>
          <w:tcPr>
            <w:tcW w:w="1560" w:type="dxa"/>
            <w:vAlign w:val="center"/>
          </w:tcPr>
          <w:p w14:paraId="4D4062BD">
            <w:pPr>
              <w:tabs>
                <w:tab w:val="left" w:pos="2352"/>
              </w:tabs>
              <w:ind w:right="-11"/>
              <w:jc w:val="center"/>
              <w:rPr>
                <w:rFonts w:ascii="宋体" w:cs="Arial"/>
                <w:color w:val="auto"/>
                <w:sz w:val="22"/>
                <w:highlight w:val="none"/>
              </w:rPr>
            </w:pPr>
          </w:p>
        </w:tc>
      </w:tr>
      <w:tr w14:paraId="4E4C6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014893A2">
            <w:pPr>
              <w:tabs>
                <w:tab w:val="left" w:pos="2352"/>
              </w:tabs>
              <w:ind w:right="-11"/>
              <w:jc w:val="center"/>
              <w:rPr>
                <w:rFonts w:ascii="宋体" w:cs="Arial"/>
                <w:color w:val="auto"/>
                <w:sz w:val="22"/>
                <w:highlight w:val="none"/>
              </w:rPr>
            </w:pPr>
            <w:r>
              <w:rPr>
                <w:rFonts w:hint="eastAsia" w:ascii="宋体" w:cs="Arial"/>
                <w:color w:val="auto"/>
                <w:sz w:val="22"/>
                <w:highlight w:val="none"/>
              </w:rPr>
              <w:t>.</w:t>
            </w:r>
          </w:p>
        </w:tc>
        <w:tc>
          <w:tcPr>
            <w:tcW w:w="2668" w:type="dxa"/>
            <w:vAlign w:val="center"/>
          </w:tcPr>
          <w:p w14:paraId="7BCEBE27">
            <w:pPr>
              <w:tabs>
                <w:tab w:val="left" w:pos="2352"/>
              </w:tabs>
              <w:rPr>
                <w:rFonts w:ascii="宋体" w:cs="Arial"/>
                <w:color w:val="auto"/>
                <w:sz w:val="22"/>
                <w:highlight w:val="none"/>
              </w:rPr>
            </w:pPr>
          </w:p>
        </w:tc>
        <w:tc>
          <w:tcPr>
            <w:tcW w:w="988" w:type="dxa"/>
            <w:vAlign w:val="center"/>
          </w:tcPr>
          <w:p w14:paraId="74CAC54E">
            <w:pPr>
              <w:tabs>
                <w:tab w:val="left" w:pos="2352"/>
              </w:tabs>
              <w:ind w:right="-11"/>
              <w:jc w:val="center"/>
              <w:rPr>
                <w:rFonts w:ascii="宋体" w:cs="Arial"/>
                <w:color w:val="auto"/>
                <w:sz w:val="22"/>
                <w:highlight w:val="none"/>
              </w:rPr>
            </w:pPr>
          </w:p>
        </w:tc>
        <w:tc>
          <w:tcPr>
            <w:tcW w:w="1012" w:type="dxa"/>
            <w:vAlign w:val="center"/>
          </w:tcPr>
          <w:p w14:paraId="42E8B619">
            <w:pPr>
              <w:tabs>
                <w:tab w:val="left" w:pos="2352"/>
              </w:tabs>
              <w:rPr>
                <w:rFonts w:ascii="宋体" w:cs="Arial"/>
                <w:color w:val="auto"/>
                <w:sz w:val="22"/>
                <w:highlight w:val="none"/>
              </w:rPr>
            </w:pPr>
          </w:p>
        </w:tc>
        <w:tc>
          <w:tcPr>
            <w:tcW w:w="1336" w:type="dxa"/>
            <w:vAlign w:val="center"/>
          </w:tcPr>
          <w:p w14:paraId="30960209">
            <w:pPr>
              <w:tabs>
                <w:tab w:val="left" w:pos="2352"/>
              </w:tabs>
              <w:ind w:right="-11"/>
              <w:jc w:val="center"/>
              <w:rPr>
                <w:rFonts w:ascii="宋体" w:cs="Arial"/>
                <w:color w:val="auto"/>
                <w:sz w:val="22"/>
                <w:highlight w:val="none"/>
              </w:rPr>
            </w:pPr>
          </w:p>
        </w:tc>
        <w:tc>
          <w:tcPr>
            <w:tcW w:w="1503" w:type="dxa"/>
            <w:vAlign w:val="center"/>
          </w:tcPr>
          <w:p w14:paraId="6ABA224B">
            <w:pPr>
              <w:tabs>
                <w:tab w:val="left" w:pos="2352"/>
              </w:tabs>
              <w:ind w:right="-11"/>
              <w:jc w:val="center"/>
              <w:rPr>
                <w:rFonts w:ascii="宋体" w:cs="Arial"/>
                <w:color w:val="auto"/>
                <w:sz w:val="22"/>
                <w:highlight w:val="none"/>
              </w:rPr>
            </w:pPr>
          </w:p>
        </w:tc>
        <w:tc>
          <w:tcPr>
            <w:tcW w:w="1560" w:type="dxa"/>
            <w:vAlign w:val="center"/>
          </w:tcPr>
          <w:p w14:paraId="7E351566">
            <w:pPr>
              <w:tabs>
                <w:tab w:val="left" w:pos="2352"/>
              </w:tabs>
              <w:ind w:right="-11"/>
              <w:jc w:val="center"/>
              <w:rPr>
                <w:rFonts w:ascii="宋体" w:cs="Arial"/>
                <w:color w:val="auto"/>
                <w:sz w:val="22"/>
                <w:highlight w:val="none"/>
              </w:rPr>
            </w:pPr>
          </w:p>
        </w:tc>
      </w:tr>
      <w:tr w14:paraId="4A7B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6B1B98E1">
            <w:pPr>
              <w:tabs>
                <w:tab w:val="left" w:pos="2352"/>
              </w:tabs>
              <w:ind w:right="-11"/>
              <w:jc w:val="center"/>
              <w:rPr>
                <w:rFonts w:ascii="宋体" w:cs="Arial"/>
                <w:color w:val="auto"/>
                <w:sz w:val="22"/>
                <w:highlight w:val="none"/>
              </w:rPr>
            </w:pPr>
            <w:r>
              <w:rPr>
                <w:rFonts w:hint="eastAsia" w:ascii="宋体" w:cs="Arial"/>
                <w:color w:val="auto"/>
                <w:sz w:val="22"/>
                <w:highlight w:val="none"/>
              </w:rPr>
              <w:t>.</w:t>
            </w:r>
          </w:p>
        </w:tc>
        <w:tc>
          <w:tcPr>
            <w:tcW w:w="2668" w:type="dxa"/>
            <w:vAlign w:val="center"/>
          </w:tcPr>
          <w:p w14:paraId="399BDEC7">
            <w:pPr>
              <w:tabs>
                <w:tab w:val="left" w:pos="2352"/>
              </w:tabs>
              <w:rPr>
                <w:rFonts w:ascii="宋体" w:cs="Arial"/>
                <w:color w:val="auto"/>
                <w:sz w:val="22"/>
                <w:highlight w:val="none"/>
              </w:rPr>
            </w:pPr>
          </w:p>
        </w:tc>
        <w:tc>
          <w:tcPr>
            <w:tcW w:w="988" w:type="dxa"/>
            <w:vAlign w:val="center"/>
          </w:tcPr>
          <w:p w14:paraId="0DD4245C">
            <w:pPr>
              <w:tabs>
                <w:tab w:val="left" w:pos="2352"/>
              </w:tabs>
              <w:ind w:right="-11"/>
              <w:jc w:val="center"/>
              <w:rPr>
                <w:rFonts w:ascii="宋体" w:cs="Arial"/>
                <w:color w:val="auto"/>
                <w:sz w:val="22"/>
                <w:highlight w:val="none"/>
              </w:rPr>
            </w:pPr>
          </w:p>
        </w:tc>
        <w:tc>
          <w:tcPr>
            <w:tcW w:w="1012" w:type="dxa"/>
            <w:vAlign w:val="center"/>
          </w:tcPr>
          <w:p w14:paraId="4B8DDBEF">
            <w:pPr>
              <w:tabs>
                <w:tab w:val="left" w:pos="2352"/>
              </w:tabs>
              <w:jc w:val="center"/>
              <w:rPr>
                <w:rFonts w:ascii="宋体" w:cs="Arial"/>
                <w:color w:val="auto"/>
                <w:sz w:val="22"/>
                <w:highlight w:val="none"/>
              </w:rPr>
            </w:pPr>
          </w:p>
        </w:tc>
        <w:tc>
          <w:tcPr>
            <w:tcW w:w="1336" w:type="dxa"/>
            <w:vAlign w:val="center"/>
          </w:tcPr>
          <w:p w14:paraId="026E7893">
            <w:pPr>
              <w:tabs>
                <w:tab w:val="left" w:pos="2352"/>
              </w:tabs>
              <w:ind w:right="-11"/>
              <w:jc w:val="center"/>
              <w:rPr>
                <w:rFonts w:ascii="宋体" w:cs="Arial"/>
                <w:color w:val="auto"/>
                <w:sz w:val="22"/>
                <w:highlight w:val="none"/>
              </w:rPr>
            </w:pPr>
          </w:p>
        </w:tc>
        <w:tc>
          <w:tcPr>
            <w:tcW w:w="1503" w:type="dxa"/>
            <w:vAlign w:val="center"/>
          </w:tcPr>
          <w:p w14:paraId="5A60B6C0">
            <w:pPr>
              <w:tabs>
                <w:tab w:val="left" w:pos="2352"/>
              </w:tabs>
              <w:ind w:right="-11"/>
              <w:jc w:val="center"/>
              <w:rPr>
                <w:rFonts w:ascii="宋体" w:cs="Arial"/>
                <w:color w:val="auto"/>
                <w:sz w:val="22"/>
                <w:highlight w:val="none"/>
              </w:rPr>
            </w:pPr>
          </w:p>
        </w:tc>
        <w:tc>
          <w:tcPr>
            <w:tcW w:w="1560" w:type="dxa"/>
            <w:vAlign w:val="center"/>
          </w:tcPr>
          <w:p w14:paraId="25971FDF">
            <w:pPr>
              <w:tabs>
                <w:tab w:val="left" w:pos="2352"/>
              </w:tabs>
              <w:ind w:right="-11"/>
              <w:jc w:val="center"/>
              <w:rPr>
                <w:rFonts w:ascii="宋体" w:cs="Arial"/>
                <w:color w:val="auto"/>
                <w:sz w:val="22"/>
                <w:highlight w:val="none"/>
              </w:rPr>
            </w:pPr>
          </w:p>
        </w:tc>
      </w:tr>
      <w:tr w14:paraId="1EF5B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DBB1FA9">
            <w:pPr>
              <w:tabs>
                <w:tab w:val="left" w:pos="2352"/>
              </w:tabs>
              <w:ind w:right="-11"/>
              <w:jc w:val="center"/>
              <w:rPr>
                <w:rFonts w:ascii="宋体" w:cs="Arial"/>
                <w:color w:val="auto"/>
                <w:sz w:val="22"/>
                <w:highlight w:val="none"/>
              </w:rPr>
            </w:pPr>
            <w:r>
              <w:rPr>
                <w:rFonts w:hint="eastAsia" w:ascii="宋体" w:cs="Arial"/>
                <w:color w:val="auto"/>
                <w:sz w:val="22"/>
                <w:highlight w:val="none"/>
              </w:rPr>
              <w:t>.</w:t>
            </w:r>
          </w:p>
        </w:tc>
        <w:tc>
          <w:tcPr>
            <w:tcW w:w="2668" w:type="dxa"/>
            <w:vAlign w:val="center"/>
          </w:tcPr>
          <w:p w14:paraId="748F4E2D">
            <w:pPr>
              <w:tabs>
                <w:tab w:val="left" w:pos="2352"/>
              </w:tabs>
              <w:rPr>
                <w:rFonts w:ascii="宋体" w:cs="Arial"/>
                <w:color w:val="auto"/>
                <w:sz w:val="22"/>
                <w:highlight w:val="none"/>
              </w:rPr>
            </w:pPr>
          </w:p>
        </w:tc>
        <w:tc>
          <w:tcPr>
            <w:tcW w:w="988" w:type="dxa"/>
            <w:vAlign w:val="center"/>
          </w:tcPr>
          <w:p w14:paraId="11B33178">
            <w:pPr>
              <w:tabs>
                <w:tab w:val="left" w:pos="2352"/>
              </w:tabs>
              <w:ind w:right="-11"/>
              <w:jc w:val="center"/>
              <w:rPr>
                <w:rFonts w:ascii="宋体" w:cs="Arial"/>
                <w:color w:val="auto"/>
                <w:sz w:val="22"/>
                <w:highlight w:val="none"/>
              </w:rPr>
            </w:pPr>
          </w:p>
        </w:tc>
        <w:tc>
          <w:tcPr>
            <w:tcW w:w="1012" w:type="dxa"/>
            <w:vAlign w:val="center"/>
          </w:tcPr>
          <w:p w14:paraId="2EB026AA">
            <w:pPr>
              <w:tabs>
                <w:tab w:val="left" w:pos="2352"/>
              </w:tabs>
              <w:jc w:val="center"/>
              <w:rPr>
                <w:rFonts w:ascii="宋体" w:cs="Arial"/>
                <w:color w:val="auto"/>
                <w:sz w:val="22"/>
                <w:highlight w:val="none"/>
              </w:rPr>
            </w:pPr>
          </w:p>
        </w:tc>
        <w:tc>
          <w:tcPr>
            <w:tcW w:w="1336" w:type="dxa"/>
            <w:vAlign w:val="center"/>
          </w:tcPr>
          <w:p w14:paraId="7BB9CECF">
            <w:pPr>
              <w:tabs>
                <w:tab w:val="left" w:pos="2352"/>
              </w:tabs>
              <w:ind w:right="-11"/>
              <w:jc w:val="center"/>
              <w:rPr>
                <w:rFonts w:ascii="宋体" w:cs="Arial"/>
                <w:color w:val="auto"/>
                <w:sz w:val="22"/>
                <w:highlight w:val="none"/>
              </w:rPr>
            </w:pPr>
          </w:p>
        </w:tc>
        <w:tc>
          <w:tcPr>
            <w:tcW w:w="1503" w:type="dxa"/>
            <w:vAlign w:val="center"/>
          </w:tcPr>
          <w:p w14:paraId="3FE86739">
            <w:pPr>
              <w:tabs>
                <w:tab w:val="left" w:pos="2352"/>
              </w:tabs>
              <w:ind w:right="-11"/>
              <w:jc w:val="center"/>
              <w:rPr>
                <w:rFonts w:ascii="宋体" w:cs="Arial"/>
                <w:color w:val="auto"/>
                <w:sz w:val="22"/>
                <w:highlight w:val="none"/>
              </w:rPr>
            </w:pPr>
          </w:p>
        </w:tc>
        <w:tc>
          <w:tcPr>
            <w:tcW w:w="1560" w:type="dxa"/>
            <w:vAlign w:val="center"/>
          </w:tcPr>
          <w:p w14:paraId="655AFE49">
            <w:pPr>
              <w:tabs>
                <w:tab w:val="left" w:pos="2352"/>
              </w:tabs>
              <w:ind w:right="-11"/>
              <w:jc w:val="center"/>
              <w:rPr>
                <w:rFonts w:ascii="宋体" w:cs="Arial"/>
                <w:color w:val="auto"/>
                <w:sz w:val="22"/>
                <w:highlight w:val="none"/>
              </w:rPr>
            </w:pPr>
          </w:p>
        </w:tc>
      </w:tr>
      <w:tr w14:paraId="1CCD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507A7CE">
            <w:pPr>
              <w:tabs>
                <w:tab w:val="left" w:pos="2352"/>
              </w:tabs>
              <w:ind w:right="-11"/>
              <w:jc w:val="center"/>
              <w:rPr>
                <w:rFonts w:ascii="宋体" w:cs="Arial"/>
                <w:color w:val="auto"/>
                <w:sz w:val="22"/>
                <w:highlight w:val="none"/>
              </w:rPr>
            </w:pPr>
            <w:r>
              <w:rPr>
                <w:rFonts w:hint="eastAsia" w:ascii="宋体" w:cs="Arial"/>
                <w:color w:val="auto"/>
                <w:sz w:val="22"/>
                <w:highlight w:val="none"/>
              </w:rPr>
              <w:t>.</w:t>
            </w:r>
          </w:p>
        </w:tc>
        <w:tc>
          <w:tcPr>
            <w:tcW w:w="2668" w:type="dxa"/>
            <w:vAlign w:val="center"/>
          </w:tcPr>
          <w:p w14:paraId="5F5F2B03">
            <w:pPr>
              <w:tabs>
                <w:tab w:val="left" w:pos="2352"/>
              </w:tabs>
              <w:rPr>
                <w:rFonts w:ascii="宋体" w:cs="Arial"/>
                <w:color w:val="auto"/>
                <w:sz w:val="22"/>
                <w:highlight w:val="none"/>
              </w:rPr>
            </w:pPr>
          </w:p>
        </w:tc>
        <w:tc>
          <w:tcPr>
            <w:tcW w:w="988" w:type="dxa"/>
            <w:vAlign w:val="center"/>
          </w:tcPr>
          <w:p w14:paraId="19B056F4">
            <w:pPr>
              <w:tabs>
                <w:tab w:val="left" w:pos="2352"/>
              </w:tabs>
              <w:ind w:right="-11"/>
              <w:jc w:val="center"/>
              <w:rPr>
                <w:rFonts w:ascii="宋体" w:cs="Arial"/>
                <w:color w:val="auto"/>
                <w:sz w:val="22"/>
                <w:highlight w:val="none"/>
              </w:rPr>
            </w:pPr>
          </w:p>
        </w:tc>
        <w:tc>
          <w:tcPr>
            <w:tcW w:w="1012" w:type="dxa"/>
            <w:vAlign w:val="center"/>
          </w:tcPr>
          <w:p w14:paraId="5ACE7AB2">
            <w:pPr>
              <w:tabs>
                <w:tab w:val="left" w:pos="2352"/>
              </w:tabs>
              <w:jc w:val="center"/>
              <w:rPr>
                <w:rFonts w:ascii="宋体" w:cs="Arial"/>
                <w:color w:val="auto"/>
                <w:sz w:val="22"/>
                <w:highlight w:val="none"/>
              </w:rPr>
            </w:pPr>
          </w:p>
        </w:tc>
        <w:tc>
          <w:tcPr>
            <w:tcW w:w="1336" w:type="dxa"/>
            <w:vAlign w:val="center"/>
          </w:tcPr>
          <w:p w14:paraId="1DCAE4E0">
            <w:pPr>
              <w:tabs>
                <w:tab w:val="left" w:pos="2352"/>
              </w:tabs>
              <w:ind w:right="-11"/>
              <w:jc w:val="center"/>
              <w:rPr>
                <w:rFonts w:ascii="宋体" w:cs="Arial"/>
                <w:color w:val="auto"/>
                <w:sz w:val="22"/>
                <w:highlight w:val="none"/>
              </w:rPr>
            </w:pPr>
          </w:p>
        </w:tc>
        <w:tc>
          <w:tcPr>
            <w:tcW w:w="1503" w:type="dxa"/>
            <w:vAlign w:val="center"/>
          </w:tcPr>
          <w:p w14:paraId="52F0F5BF">
            <w:pPr>
              <w:tabs>
                <w:tab w:val="left" w:pos="2352"/>
              </w:tabs>
              <w:ind w:right="-11"/>
              <w:jc w:val="center"/>
              <w:rPr>
                <w:rFonts w:ascii="宋体" w:cs="Arial"/>
                <w:color w:val="auto"/>
                <w:sz w:val="22"/>
                <w:highlight w:val="none"/>
              </w:rPr>
            </w:pPr>
          </w:p>
        </w:tc>
        <w:tc>
          <w:tcPr>
            <w:tcW w:w="1560" w:type="dxa"/>
            <w:vAlign w:val="center"/>
          </w:tcPr>
          <w:p w14:paraId="0249D85A">
            <w:pPr>
              <w:tabs>
                <w:tab w:val="left" w:pos="2352"/>
              </w:tabs>
              <w:ind w:right="-11"/>
              <w:jc w:val="center"/>
              <w:rPr>
                <w:rFonts w:ascii="宋体" w:cs="Arial"/>
                <w:color w:val="auto"/>
                <w:sz w:val="22"/>
                <w:highlight w:val="none"/>
              </w:rPr>
            </w:pPr>
          </w:p>
        </w:tc>
      </w:tr>
      <w:tr w14:paraId="4A227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2F1D74EC">
            <w:pPr>
              <w:widowControl/>
              <w:tabs>
                <w:tab w:val="left" w:pos="2352"/>
              </w:tabs>
              <w:jc w:val="center"/>
              <w:textAlignment w:val="center"/>
              <w:rPr>
                <w:rFonts w:ascii="宋体" w:cs="Arial"/>
                <w:color w:val="auto"/>
                <w:sz w:val="22"/>
                <w:highlight w:val="none"/>
              </w:rPr>
            </w:pPr>
            <w:r>
              <w:rPr>
                <w:rFonts w:hint="eastAsia" w:ascii="宋体" w:cs="Arial"/>
                <w:color w:val="auto"/>
                <w:sz w:val="22"/>
                <w:highlight w:val="none"/>
              </w:rPr>
              <w:t>.</w:t>
            </w:r>
          </w:p>
        </w:tc>
        <w:tc>
          <w:tcPr>
            <w:tcW w:w="2668" w:type="dxa"/>
            <w:vAlign w:val="center"/>
          </w:tcPr>
          <w:p w14:paraId="7C90D79F">
            <w:pPr>
              <w:widowControl/>
              <w:tabs>
                <w:tab w:val="left" w:pos="2352"/>
              </w:tabs>
              <w:jc w:val="center"/>
              <w:textAlignment w:val="center"/>
              <w:rPr>
                <w:rFonts w:ascii="宋体" w:cs="Arial"/>
                <w:color w:val="auto"/>
                <w:sz w:val="22"/>
                <w:highlight w:val="none"/>
              </w:rPr>
            </w:pPr>
          </w:p>
        </w:tc>
        <w:tc>
          <w:tcPr>
            <w:tcW w:w="988" w:type="dxa"/>
            <w:vAlign w:val="center"/>
          </w:tcPr>
          <w:p w14:paraId="7A19A36F">
            <w:pPr>
              <w:widowControl/>
              <w:tabs>
                <w:tab w:val="left" w:pos="2352"/>
              </w:tabs>
              <w:jc w:val="center"/>
              <w:textAlignment w:val="center"/>
              <w:rPr>
                <w:rFonts w:ascii="宋体" w:cs="Arial"/>
                <w:color w:val="auto"/>
                <w:sz w:val="22"/>
                <w:highlight w:val="none"/>
              </w:rPr>
            </w:pPr>
          </w:p>
        </w:tc>
        <w:tc>
          <w:tcPr>
            <w:tcW w:w="1012" w:type="dxa"/>
            <w:vAlign w:val="center"/>
          </w:tcPr>
          <w:p w14:paraId="4C8667B6">
            <w:pPr>
              <w:widowControl/>
              <w:tabs>
                <w:tab w:val="left" w:pos="2352"/>
              </w:tabs>
              <w:jc w:val="center"/>
              <w:textAlignment w:val="center"/>
              <w:rPr>
                <w:rFonts w:ascii="宋体" w:cs="Arial"/>
                <w:color w:val="auto"/>
                <w:sz w:val="22"/>
                <w:highlight w:val="none"/>
              </w:rPr>
            </w:pPr>
          </w:p>
        </w:tc>
        <w:tc>
          <w:tcPr>
            <w:tcW w:w="1336" w:type="dxa"/>
            <w:vAlign w:val="center"/>
          </w:tcPr>
          <w:p w14:paraId="2C2212E6">
            <w:pPr>
              <w:widowControl/>
              <w:tabs>
                <w:tab w:val="left" w:pos="2352"/>
              </w:tabs>
              <w:jc w:val="center"/>
              <w:textAlignment w:val="center"/>
              <w:rPr>
                <w:rFonts w:ascii="宋体" w:cs="Arial"/>
                <w:color w:val="auto"/>
                <w:sz w:val="22"/>
                <w:highlight w:val="none"/>
              </w:rPr>
            </w:pPr>
          </w:p>
        </w:tc>
        <w:tc>
          <w:tcPr>
            <w:tcW w:w="1503" w:type="dxa"/>
            <w:vAlign w:val="center"/>
          </w:tcPr>
          <w:p w14:paraId="26F2AA89">
            <w:pPr>
              <w:tabs>
                <w:tab w:val="left" w:pos="2352"/>
              </w:tabs>
              <w:ind w:right="-11"/>
              <w:jc w:val="center"/>
              <w:rPr>
                <w:rFonts w:ascii="宋体" w:cs="Arial"/>
                <w:color w:val="auto"/>
                <w:sz w:val="22"/>
                <w:highlight w:val="none"/>
              </w:rPr>
            </w:pPr>
          </w:p>
        </w:tc>
        <w:tc>
          <w:tcPr>
            <w:tcW w:w="1560" w:type="dxa"/>
            <w:vAlign w:val="center"/>
          </w:tcPr>
          <w:p w14:paraId="7BD07F18">
            <w:pPr>
              <w:tabs>
                <w:tab w:val="left" w:pos="2352"/>
              </w:tabs>
              <w:ind w:right="-11"/>
              <w:jc w:val="center"/>
              <w:rPr>
                <w:rFonts w:ascii="宋体" w:cs="Arial"/>
                <w:color w:val="auto"/>
                <w:sz w:val="22"/>
                <w:highlight w:val="none"/>
              </w:rPr>
            </w:pPr>
          </w:p>
        </w:tc>
      </w:tr>
      <w:tr w14:paraId="213A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5E1EED77">
            <w:pPr>
              <w:widowControl/>
              <w:tabs>
                <w:tab w:val="left" w:pos="2352"/>
              </w:tabs>
              <w:jc w:val="center"/>
              <w:textAlignment w:val="center"/>
              <w:rPr>
                <w:rFonts w:ascii="宋体" w:cs="Arial"/>
                <w:color w:val="auto"/>
                <w:sz w:val="22"/>
                <w:highlight w:val="none"/>
              </w:rPr>
            </w:pPr>
            <w:r>
              <w:rPr>
                <w:rFonts w:hint="eastAsia" w:ascii="宋体" w:cs="Arial"/>
                <w:color w:val="auto"/>
                <w:sz w:val="22"/>
                <w:highlight w:val="none"/>
              </w:rPr>
              <w:t>.</w:t>
            </w:r>
          </w:p>
        </w:tc>
        <w:tc>
          <w:tcPr>
            <w:tcW w:w="2668" w:type="dxa"/>
            <w:vAlign w:val="center"/>
          </w:tcPr>
          <w:p w14:paraId="13AFCF4F">
            <w:pPr>
              <w:widowControl/>
              <w:tabs>
                <w:tab w:val="left" w:pos="2352"/>
              </w:tabs>
              <w:jc w:val="left"/>
              <w:textAlignment w:val="center"/>
              <w:rPr>
                <w:rFonts w:ascii="宋体" w:cs="Arial"/>
                <w:color w:val="auto"/>
                <w:sz w:val="22"/>
                <w:highlight w:val="none"/>
              </w:rPr>
            </w:pPr>
          </w:p>
        </w:tc>
        <w:tc>
          <w:tcPr>
            <w:tcW w:w="988" w:type="dxa"/>
            <w:vAlign w:val="center"/>
          </w:tcPr>
          <w:p w14:paraId="0EB125C3">
            <w:pPr>
              <w:widowControl/>
              <w:tabs>
                <w:tab w:val="left" w:pos="2352"/>
              </w:tabs>
              <w:jc w:val="center"/>
              <w:textAlignment w:val="center"/>
              <w:rPr>
                <w:rFonts w:ascii="宋体" w:cs="Arial"/>
                <w:color w:val="auto"/>
                <w:sz w:val="22"/>
                <w:highlight w:val="none"/>
              </w:rPr>
            </w:pPr>
          </w:p>
        </w:tc>
        <w:tc>
          <w:tcPr>
            <w:tcW w:w="1012" w:type="dxa"/>
            <w:vAlign w:val="center"/>
          </w:tcPr>
          <w:p w14:paraId="6476F851">
            <w:pPr>
              <w:widowControl/>
              <w:tabs>
                <w:tab w:val="left" w:pos="2352"/>
              </w:tabs>
              <w:jc w:val="center"/>
              <w:textAlignment w:val="center"/>
              <w:rPr>
                <w:rFonts w:ascii="宋体" w:cs="Arial"/>
                <w:color w:val="auto"/>
                <w:sz w:val="22"/>
                <w:highlight w:val="none"/>
              </w:rPr>
            </w:pPr>
          </w:p>
        </w:tc>
        <w:tc>
          <w:tcPr>
            <w:tcW w:w="1336" w:type="dxa"/>
            <w:vAlign w:val="center"/>
          </w:tcPr>
          <w:p w14:paraId="6F4C0AAA">
            <w:pPr>
              <w:widowControl/>
              <w:tabs>
                <w:tab w:val="left" w:pos="2352"/>
              </w:tabs>
              <w:jc w:val="center"/>
              <w:textAlignment w:val="center"/>
              <w:rPr>
                <w:rFonts w:ascii="宋体" w:cs="Arial"/>
                <w:color w:val="auto"/>
                <w:sz w:val="22"/>
                <w:highlight w:val="none"/>
              </w:rPr>
            </w:pPr>
          </w:p>
        </w:tc>
        <w:tc>
          <w:tcPr>
            <w:tcW w:w="1503" w:type="dxa"/>
            <w:vAlign w:val="center"/>
          </w:tcPr>
          <w:p w14:paraId="398E64C9">
            <w:pPr>
              <w:tabs>
                <w:tab w:val="left" w:pos="2352"/>
              </w:tabs>
              <w:ind w:right="-11"/>
              <w:jc w:val="center"/>
              <w:rPr>
                <w:rFonts w:ascii="宋体" w:cs="Arial"/>
                <w:color w:val="auto"/>
                <w:sz w:val="22"/>
                <w:highlight w:val="none"/>
              </w:rPr>
            </w:pPr>
          </w:p>
        </w:tc>
        <w:tc>
          <w:tcPr>
            <w:tcW w:w="1560" w:type="dxa"/>
            <w:vAlign w:val="center"/>
          </w:tcPr>
          <w:p w14:paraId="0F1D4736">
            <w:pPr>
              <w:tabs>
                <w:tab w:val="left" w:pos="2352"/>
              </w:tabs>
              <w:ind w:right="-11"/>
              <w:jc w:val="center"/>
              <w:rPr>
                <w:rFonts w:ascii="宋体" w:cs="Arial"/>
                <w:color w:val="auto"/>
                <w:sz w:val="22"/>
                <w:highlight w:val="none"/>
              </w:rPr>
            </w:pPr>
          </w:p>
        </w:tc>
      </w:tr>
      <w:tr w14:paraId="3FBB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2F4BEA3C">
            <w:pPr>
              <w:widowControl/>
              <w:tabs>
                <w:tab w:val="left" w:pos="2352"/>
              </w:tabs>
              <w:jc w:val="center"/>
              <w:textAlignment w:val="center"/>
              <w:rPr>
                <w:rFonts w:ascii="宋体" w:cs="Arial"/>
                <w:color w:val="auto"/>
                <w:sz w:val="22"/>
                <w:highlight w:val="none"/>
              </w:rPr>
            </w:pPr>
            <w:r>
              <w:rPr>
                <w:rFonts w:hint="eastAsia" w:ascii="宋体" w:cs="Arial"/>
                <w:color w:val="auto"/>
                <w:sz w:val="22"/>
                <w:highlight w:val="none"/>
              </w:rPr>
              <w:t>.</w:t>
            </w:r>
          </w:p>
        </w:tc>
        <w:tc>
          <w:tcPr>
            <w:tcW w:w="2668" w:type="dxa"/>
            <w:vAlign w:val="center"/>
          </w:tcPr>
          <w:p w14:paraId="1EEF966D">
            <w:pPr>
              <w:widowControl/>
              <w:tabs>
                <w:tab w:val="left" w:pos="2352"/>
              </w:tabs>
              <w:jc w:val="left"/>
              <w:textAlignment w:val="center"/>
              <w:rPr>
                <w:rFonts w:ascii="宋体" w:cs="Arial"/>
                <w:color w:val="auto"/>
                <w:sz w:val="22"/>
                <w:highlight w:val="none"/>
              </w:rPr>
            </w:pPr>
          </w:p>
        </w:tc>
        <w:tc>
          <w:tcPr>
            <w:tcW w:w="988" w:type="dxa"/>
            <w:vAlign w:val="center"/>
          </w:tcPr>
          <w:p w14:paraId="39C134A5">
            <w:pPr>
              <w:widowControl/>
              <w:tabs>
                <w:tab w:val="left" w:pos="2352"/>
              </w:tabs>
              <w:jc w:val="center"/>
              <w:textAlignment w:val="center"/>
              <w:rPr>
                <w:rFonts w:ascii="宋体" w:cs="Arial"/>
                <w:color w:val="auto"/>
                <w:sz w:val="22"/>
                <w:highlight w:val="none"/>
              </w:rPr>
            </w:pPr>
          </w:p>
        </w:tc>
        <w:tc>
          <w:tcPr>
            <w:tcW w:w="1012" w:type="dxa"/>
            <w:vAlign w:val="center"/>
          </w:tcPr>
          <w:p w14:paraId="64FD4008">
            <w:pPr>
              <w:widowControl/>
              <w:tabs>
                <w:tab w:val="left" w:pos="2352"/>
              </w:tabs>
              <w:jc w:val="center"/>
              <w:textAlignment w:val="center"/>
              <w:rPr>
                <w:rFonts w:ascii="宋体" w:cs="Arial"/>
                <w:color w:val="auto"/>
                <w:sz w:val="22"/>
                <w:highlight w:val="none"/>
              </w:rPr>
            </w:pPr>
          </w:p>
        </w:tc>
        <w:tc>
          <w:tcPr>
            <w:tcW w:w="1336" w:type="dxa"/>
            <w:vAlign w:val="center"/>
          </w:tcPr>
          <w:p w14:paraId="05220163">
            <w:pPr>
              <w:widowControl/>
              <w:tabs>
                <w:tab w:val="left" w:pos="2352"/>
              </w:tabs>
              <w:jc w:val="center"/>
              <w:textAlignment w:val="center"/>
              <w:rPr>
                <w:rFonts w:ascii="宋体" w:cs="Arial"/>
                <w:color w:val="auto"/>
                <w:sz w:val="22"/>
                <w:highlight w:val="none"/>
              </w:rPr>
            </w:pPr>
          </w:p>
        </w:tc>
        <w:tc>
          <w:tcPr>
            <w:tcW w:w="1503" w:type="dxa"/>
            <w:vAlign w:val="center"/>
          </w:tcPr>
          <w:p w14:paraId="42201467">
            <w:pPr>
              <w:tabs>
                <w:tab w:val="left" w:pos="2352"/>
              </w:tabs>
              <w:ind w:right="-11"/>
              <w:jc w:val="center"/>
              <w:rPr>
                <w:rFonts w:ascii="宋体" w:cs="Arial"/>
                <w:color w:val="auto"/>
                <w:sz w:val="22"/>
                <w:highlight w:val="none"/>
              </w:rPr>
            </w:pPr>
          </w:p>
        </w:tc>
        <w:tc>
          <w:tcPr>
            <w:tcW w:w="1560" w:type="dxa"/>
            <w:vAlign w:val="center"/>
          </w:tcPr>
          <w:p w14:paraId="3345ED30">
            <w:pPr>
              <w:tabs>
                <w:tab w:val="left" w:pos="2352"/>
              </w:tabs>
              <w:ind w:right="-11"/>
              <w:jc w:val="center"/>
              <w:rPr>
                <w:rFonts w:ascii="宋体" w:cs="Arial"/>
                <w:color w:val="auto"/>
                <w:sz w:val="22"/>
                <w:highlight w:val="none"/>
              </w:rPr>
            </w:pPr>
          </w:p>
        </w:tc>
      </w:tr>
      <w:tr w14:paraId="5F63C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1F18F3D2">
            <w:pPr>
              <w:widowControl/>
              <w:tabs>
                <w:tab w:val="left" w:pos="2352"/>
              </w:tabs>
              <w:jc w:val="center"/>
              <w:textAlignment w:val="center"/>
              <w:rPr>
                <w:rFonts w:ascii="宋体" w:cs="Arial"/>
                <w:color w:val="auto"/>
                <w:sz w:val="22"/>
                <w:highlight w:val="none"/>
              </w:rPr>
            </w:pPr>
          </w:p>
        </w:tc>
        <w:tc>
          <w:tcPr>
            <w:tcW w:w="2668" w:type="dxa"/>
            <w:vAlign w:val="center"/>
          </w:tcPr>
          <w:p w14:paraId="1A623A47">
            <w:pPr>
              <w:widowControl/>
              <w:tabs>
                <w:tab w:val="left" w:pos="2352"/>
              </w:tabs>
              <w:jc w:val="left"/>
              <w:textAlignment w:val="center"/>
              <w:rPr>
                <w:rFonts w:ascii="宋体" w:cs="Arial"/>
                <w:color w:val="auto"/>
                <w:sz w:val="22"/>
                <w:highlight w:val="none"/>
              </w:rPr>
            </w:pPr>
          </w:p>
        </w:tc>
        <w:tc>
          <w:tcPr>
            <w:tcW w:w="988" w:type="dxa"/>
            <w:vAlign w:val="center"/>
          </w:tcPr>
          <w:p w14:paraId="0795D908">
            <w:pPr>
              <w:widowControl/>
              <w:tabs>
                <w:tab w:val="left" w:pos="2352"/>
              </w:tabs>
              <w:jc w:val="center"/>
              <w:textAlignment w:val="center"/>
              <w:rPr>
                <w:rFonts w:ascii="宋体" w:cs="Arial"/>
                <w:color w:val="auto"/>
                <w:sz w:val="22"/>
                <w:highlight w:val="none"/>
              </w:rPr>
            </w:pPr>
          </w:p>
        </w:tc>
        <w:tc>
          <w:tcPr>
            <w:tcW w:w="1012" w:type="dxa"/>
            <w:vAlign w:val="center"/>
          </w:tcPr>
          <w:p w14:paraId="021CD2F0">
            <w:pPr>
              <w:widowControl/>
              <w:tabs>
                <w:tab w:val="left" w:pos="2352"/>
              </w:tabs>
              <w:jc w:val="center"/>
              <w:textAlignment w:val="center"/>
              <w:rPr>
                <w:rFonts w:ascii="宋体" w:cs="Arial"/>
                <w:color w:val="auto"/>
                <w:sz w:val="22"/>
                <w:highlight w:val="none"/>
              </w:rPr>
            </w:pPr>
          </w:p>
        </w:tc>
        <w:tc>
          <w:tcPr>
            <w:tcW w:w="1336" w:type="dxa"/>
            <w:vAlign w:val="center"/>
          </w:tcPr>
          <w:p w14:paraId="1D93C88F">
            <w:pPr>
              <w:widowControl/>
              <w:tabs>
                <w:tab w:val="left" w:pos="2352"/>
              </w:tabs>
              <w:jc w:val="center"/>
              <w:textAlignment w:val="center"/>
              <w:rPr>
                <w:rFonts w:ascii="宋体" w:cs="Arial"/>
                <w:color w:val="auto"/>
                <w:sz w:val="22"/>
                <w:highlight w:val="none"/>
              </w:rPr>
            </w:pPr>
          </w:p>
        </w:tc>
        <w:tc>
          <w:tcPr>
            <w:tcW w:w="1503" w:type="dxa"/>
            <w:vAlign w:val="center"/>
          </w:tcPr>
          <w:p w14:paraId="3BF67D43">
            <w:pPr>
              <w:tabs>
                <w:tab w:val="left" w:pos="2352"/>
              </w:tabs>
              <w:ind w:right="-11"/>
              <w:jc w:val="center"/>
              <w:rPr>
                <w:rFonts w:ascii="宋体" w:cs="Arial"/>
                <w:color w:val="auto"/>
                <w:sz w:val="22"/>
                <w:highlight w:val="none"/>
              </w:rPr>
            </w:pPr>
          </w:p>
        </w:tc>
        <w:tc>
          <w:tcPr>
            <w:tcW w:w="1560" w:type="dxa"/>
            <w:vAlign w:val="center"/>
          </w:tcPr>
          <w:p w14:paraId="581777DA">
            <w:pPr>
              <w:tabs>
                <w:tab w:val="left" w:pos="2352"/>
              </w:tabs>
              <w:ind w:right="-11"/>
              <w:jc w:val="center"/>
              <w:rPr>
                <w:rFonts w:ascii="宋体" w:cs="Arial"/>
                <w:color w:val="auto"/>
                <w:sz w:val="22"/>
                <w:highlight w:val="none"/>
              </w:rPr>
            </w:pPr>
          </w:p>
        </w:tc>
      </w:tr>
      <w:tr w14:paraId="1F8A5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6783" w:type="dxa"/>
            <w:gridSpan w:val="5"/>
            <w:vAlign w:val="center"/>
          </w:tcPr>
          <w:p w14:paraId="50D32E7A">
            <w:pPr>
              <w:widowControl/>
              <w:tabs>
                <w:tab w:val="left" w:pos="2352"/>
              </w:tabs>
              <w:jc w:val="center"/>
              <w:textAlignment w:val="center"/>
              <w:rPr>
                <w:rFonts w:ascii="宋体" w:cs="Arial"/>
                <w:color w:val="auto"/>
                <w:sz w:val="22"/>
                <w:highlight w:val="none"/>
              </w:rPr>
            </w:pPr>
            <w:r>
              <w:rPr>
                <w:rFonts w:hint="eastAsia" w:ascii="宋体" w:cs="Arial"/>
                <w:color w:val="auto"/>
                <w:sz w:val="22"/>
                <w:highlight w:val="none"/>
              </w:rPr>
              <w:t>合计</w:t>
            </w:r>
          </w:p>
        </w:tc>
        <w:tc>
          <w:tcPr>
            <w:tcW w:w="1503" w:type="dxa"/>
            <w:vAlign w:val="center"/>
          </w:tcPr>
          <w:p w14:paraId="14835962">
            <w:pPr>
              <w:widowControl/>
              <w:tabs>
                <w:tab w:val="left" w:pos="2352"/>
              </w:tabs>
              <w:jc w:val="center"/>
              <w:textAlignment w:val="center"/>
              <w:rPr>
                <w:rFonts w:ascii="宋体" w:cs="Arial"/>
                <w:color w:val="auto"/>
                <w:sz w:val="22"/>
                <w:highlight w:val="none"/>
              </w:rPr>
            </w:pPr>
          </w:p>
        </w:tc>
        <w:tc>
          <w:tcPr>
            <w:tcW w:w="1560" w:type="dxa"/>
            <w:vAlign w:val="center"/>
          </w:tcPr>
          <w:p w14:paraId="16E207CF">
            <w:pPr>
              <w:tabs>
                <w:tab w:val="left" w:pos="2352"/>
              </w:tabs>
              <w:ind w:right="-11"/>
              <w:jc w:val="center"/>
              <w:rPr>
                <w:rFonts w:ascii="宋体" w:cs="Arial"/>
                <w:color w:val="auto"/>
                <w:sz w:val="22"/>
                <w:highlight w:val="none"/>
              </w:rPr>
            </w:pPr>
          </w:p>
        </w:tc>
      </w:tr>
    </w:tbl>
    <w:p w14:paraId="23261A76">
      <w:pPr>
        <w:tabs>
          <w:tab w:val="left" w:pos="2352"/>
        </w:tabs>
        <w:rPr>
          <w:rFonts w:ascii="宋体" w:cs="Arial"/>
          <w:bCs/>
          <w:color w:val="auto"/>
          <w:sz w:val="22"/>
          <w:highlight w:val="none"/>
        </w:rPr>
      </w:pPr>
    </w:p>
    <w:p w14:paraId="5802887B">
      <w:pPr>
        <w:tabs>
          <w:tab w:val="left" w:pos="2352"/>
        </w:tabs>
        <w:rPr>
          <w:rFonts w:ascii="宋体" w:cs="Arial"/>
          <w:color w:val="auto"/>
          <w:sz w:val="22"/>
          <w:highlight w:val="none"/>
        </w:rPr>
      </w:pPr>
      <w:r>
        <w:rPr>
          <w:rFonts w:hint="eastAsia" w:ascii="宋体" w:cs="Arial"/>
          <w:bCs/>
          <w:color w:val="auto"/>
          <w:sz w:val="22"/>
          <w:highlight w:val="none"/>
        </w:rPr>
        <w:t>注</w:t>
      </w:r>
      <w:r>
        <w:rPr>
          <w:rFonts w:ascii="宋体" w:cs="Arial"/>
          <w:bCs/>
          <w:color w:val="auto"/>
          <w:sz w:val="22"/>
          <w:highlight w:val="none"/>
        </w:rPr>
        <w:t>：</w:t>
      </w:r>
      <w:r>
        <w:rPr>
          <w:rFonts w:ascii="宋体" w:cs="Arial"/>
          <w:color w:val="auto"/>
          <w:sz w:val="22"/>
          <w:highlight w:val="none"/>
        </w:rPr>
        <w:t>1</w:t>
      </w:r>
      <w:r>
        <w:rPr>
          <w:rFonts w:hint="eastAsia" w:ascii="宋体" w:cs="Arial"/>
          <w:color w:val="auto"/>
          <w:sz w:val="22"/>
          <w:highlight w:val="none"/>
        </w:rPr>
        <w:t>.</w:t>
      </w:r>
      <w:r>
        <w:rPr>
          <w:rFonts w:ascii="宋体" w:cs="Arial"/>
          <w:color w:val="auto"/>
          <w:sz w:val="22"/>
          <w:highlight w:val="none"/>
        </w:rPr>
        <w:t>不提供详细分项报价表将视为没有实质性响应</w:t>
      </w:r>
      <w:r>
        <w:rPr>
          <w:rFonts w:hint="eastAsia" w:ascii="宋体" w:cs="Arial"/>
          <w:color w:val="auto"/>
          <w:sz w:val="22"/>
          <w:highlight w:val="none"/>
        </w:rPr>
        <w:t>竞争性磋商文件</w:t>
      </w:r>
      <w:r>
        <w:rPr>
          <w:rFonts w:ascii="宋体" w:cs="Arial"/>
          <w:color w:val="auto"/>
          <w:sz w:val="22"/>
          <w:highlight w:val="none"/>
        </w:rPr>
        <w:t>。</w:t>
      </w:r>
    </w:p>
    <w:p w14:paraId="57E8530A">
      <w:pPr>
        <w:numPr>
          <w:ilvl w:val="0"/>
          <w:numId w:val="0"/>
        </w:numPr>
        <w:tabs>
          <w:tab w:val="left" w:pos="2352"/>
        </w:tabs>
        <w:ind w:leftChars="200"/>
        <w:rPr>
          <w:rFonts w:ascii="宋体" w:cs="Arial"/>
          <w:b/>
          <w:bCs/>
          <w:color w:val="auto"/>
          <w:sz w:val="22"/>
          <w:highlight w:val="none"/>
        </w:rPr>
      </w:pPr>
      <w:r>
        <w:rPr>
          <w:rFonts w:hint="eastAsia" w:ascii="宋体" w:cs="Arial"/>
          <w:color w:val="auto"/>
          <w:sz w:val="22"/>
          <w:highlight w:val="none"/>
          <w:lang w:val="en-US" w:eastAsia="zh-CN"/>
        </w:rPr>
        <w:t>2.</w:t>
      </w:r>
      <w:r>
        <w:rPr>
          <w:rFonts w:ascii="宋体" w:cs="Arial"/>
          <w:color w:val="auto"/>
          <w:sz w:val="22"/>
          <w:highlight w:val="none"/>
        </w:rPr>
        <w:t>此表的合</w:t>
      </w:r>
      <w:r>
        <w:rPr>
          <w:rFonts w:hint="eastAsia" w:ascii="宋体" w:cs="Arial"/>
          <w:color w:val="auto"/>
          <w:sz w:val="22"/>
          <w:highlight w:val="none"/>
        </w:rPr>
        <w:t>计总</w:t>
      </w:r>
      <w:r>
        <w:rPr>
          <w:rFonts w:ascii="宋体" w:cs="Arial"/>
          <w:color w:val="auto"/>
          <w:sz w:val="22"/>
          <w:highlight w:val="none"/>
        </w:rPr>
        <w:t>价应与附</w:t>
      </w:r>
      <w:r>
        <w:rPr>
          <w:rFonts w:hint="eastAsia" w:ascii="宋体" w:cs="Arial"/>
          <w:color w:val="auto"/>
          <w:sz w:val="22"/>
          <w:highlight w:val="none"/>
        </w:rPr>
        <w:t>件一“开标（报价）一览表”投标总价相一</w:t>
      </w:r>
      <w:r>
        <w:rPr>
          <w:rFonts w:ascii="宋体" w:cs="Arial"/>
          <w:color w:val="auto"/>
          <w:sz w:val="22"/>
          <w:highlight w:val="none"/>
        </w:rPr>
        <w:t>致</w:t>
      </w:r>
      <w:r>
        <w:rPr>
          <w:rFonts w:ascii="宋体" w:cs="Arial"/>
          <w:b/>
          <w:bCs/>
          <w:color w:val="auto"/>
          <w:sz w:val="22"/>
          <w:highlight w:val="none"/>
        </w:rPr>
        <w:t>。</w:t>
      </w:r>
    </w:p>
    <w:p w14:paraId="7F3E105A">
      <w:pPr>
        <w:numPr>
          <w:ilvl w:val="0"/>
          <w:numId w:val="0"/>
        </w:numPr>
        <w:tabs>
          <w:tab w:val="left" w:pos="2352"/>
        </w:tabs>
        <w:ind w:leftChars="200"/>
        <w:rPr>
          <w:rFonts w:hint="eastAsia" w:ascii="宋体" w:cs="Arial"/>
          <w:color w:val="auto"/>
          <w:sz w:val="22"/>
          <w:highlight w:val="none"/>
        </w:rPr>
      </w:pPr>
      <w:r>
        <w:rPr>
          <w:rFonts w:hint="eastAsia" w:ascii="宋体" w:cs="Arial"/>
          <w:color w:val="auto"/>
          <w:sz w:val="22"/>
          <w:highlight w:val="none"/>
          <w:lang w:val="en-US" w:eastAsia="zh-CN"/>
        </w:rPr>
        <w:t>3.</w:t>
      </w:r>
      <w:r>
        <w:rPr>
          <w:rFonts w:ascii="宋体" w:cs="Arial"/>
          <w:color w:val="auto"/>
          <w:sz w:val="22"/>
          <w:highlight w:val="none"/>
        </w:rPr>
        <w:t>如果免费请在该备注栏</w:t>
      </w:r>
      <w:r>
        <w:rPr>
          <w:rFonts w:hint="eastAsia" w:ascii="宋体" w:cs="Arial"/>
          <w:color w:val="auto"/>
          <w:sz w:val="22"/>
          <w:highlight w:val="none"/>
        </w:rPr>
        <w:t>内注明“免”，如果含在产品价格中则填“含”，如无此项内容则填“无”，不留空白。</w:t>
      </w:r>
    </w:p>
    <w:p w14:paraId="0E6D9381">
      <w:pPr>
        <w:numPr>
          <w:ilvl w:val="0"/>
          <w:numId w:val="0"/>
        </w:numPr>
        <w:tabs>
          <w:tab w:val="left" w:pos="2352"/>
        </w:tabs>
        <w:ind w:leftChars="200"/>
        <w:rPr>
          <w:rFonts w:hint="eastAsia" w:ascii="宋体" w:cs="Arial"/>
          <w:color w:val="auto"/>
          <w:sz w:val="22"/>
          <w:highlight w:val="none"/>
        </w:rPr>
      </w:pPr>
      <w:r>
        <w:rPr>
          <w:rFonts w:ascii="宋体" w:cs="Arial"/>
          <w:color w:val="auto"/>
          <w:sz w:val="22"/>
          <w:highlight w:val="none"/>
        </w:rPr>
        <w:t>4</w:t>
      </w:r>
      <w:r>
        <w:rPr>
          <w:rFonts w:hint="eastAsia" w:ascii="宋体" w:cs="Arial"/>
          <w:color w:val="auto"/>
          <w:sz w:val="22"/>
          <w:highlight w:val="none"/>
        </w:rPr>
        <w:t>.根据《中华人民共和国政府采购法实施条例 》第四十三条规定，在中标或者成交公告的内容中可能增加本表，请各供应商认真填写，确保报价数据的真实性、完整性和合理性。</w:t>
      </w:r>
    </w:p>
    <w:p w14:paraId="3216C9E6">
      <w:pPr>
        <w:numPr>
          <w:ilvl w:val="0"/>
          <w:numId w:val="0"/>
        </w:numPr>
        <w:tabs>
          <w:tab w:val="left" w:pos="2352"/>
        </w:tabs>
        <w:ind w:leftChars="200"/>
        <w:rPr>
          <w:rFonts w:hint="eastAsia" w:ascii="宋体" w:hAnsi="宋体" w:cs="宋体"/>
          <w:b/>
          <w:bCs/>
          <w:color w:val="auto"/>
          <w:sz w:val="22"/>
          <w:highlight w:val="none"/>
          <w:u w:val="single"/>
        </w:rPr>
      </w:pPr>
      <w:r>
        <w:rPr>
          <w:rFonts w:hint="eastAsia" w:ascii="宋体" w:cs="Arial"/>
          <w:color w:val="auto"/>
          <w:sz w:val="22"/>
          <w:highlight w:val="none"/>
        </w:rPr>
        <w:t>5.</w:t>
      </w:r>
      <w:r>
        <w:rPr>
          <w:rFonts w:hint="eastAsia" w:ascii="宋体" w:hAnsi="宋体" w:cs="宋体"/>
          <w:b/>
          <w:bCs/>
          <w:color w:val="auto"/>
          <w:sz w:val="22"/>
          <w:highlight w:val="none"/>
          <w:u w:val="single"/>
        </w:rPr>
        <w:t>▲中标后，以上投标单价将按投标供应商最终报价同比例下浮（采购人若有变更采购需求的情况除外），供应商报价时应注意各个分项报价。</w:t>
      </w:r>
    </w:p>
    <w:p w14:paraId="0ABCB1F1">
      <w:pPr>
        <w:numPr>
          <w:ilvl w:val="0"/>
          <w:numId w:val="0"/>
        </w:numPr>
        <w:tabs>
          <w:tab w:val="left" w:pos="2352"/>
        </w:tabs>
        <w:ind w:leftChars="200"/>
        <w:rPr>
          <w:color w:val="auto"/>
          <w:sz w:val="22"/>
          <w:highlight w:val="none"/>
          <w:u w:val="single"/>
        </w:rPr>
      </w:pPr>
      <w:r>
        <w:rPr>
          <w:rFonts w:hint="eastAsia" w:ascii="宋体" w:cs="Arial"/>
          <w:color w:val="auto"/>
          <w:sz w:val="22"/>
          <w:highlight w:val="none"/>
        </w:rPr>
        <w:t xml:space="preserve">6.表格可以延续。      </w:t>
      </w:r>
      <w:r>
        <w:rPr>
          <w:rFonts w:hint="eastAsia"/>
          <w:color w:val="auto"/>
          <w:sz w:val="22"/>
          <w:highlight w:val="none"/>
        </w:rPr>
        <w:t xml:space="preserve">      </w:t>
      </w:r>
      <w:r>
        <w:rPr>
          <w:rFonts w:hint="eastAsia" w:ascii="宋体" w:cs="Arial"/>
          <w:color w:val="auto"/>
          <w:sz w:val="22"/>
          <w:highlight w:val="none"/>
        </w:rPr>
        <w:t xml:space="preserve">    </w:t>
      </w:r>
      <w:r>
        <w:rPr>
          <w:rFonts w:hint="eastAsia"/>
          <w:color w:val="auto"/>
          <w:sz w:val="22"/>
          <w:highlight w:val="none"/>
        </w:rPr>
        <w:t xml:space="preserve">      </w:t>
      </w:r>
    </w:p>
    <w:p w14:paraId="6DD36B2E">
      <w:pPr>
        <w:tabs>
          <w:tab w:val="left" w:pos="2352"/>
        </w:tabs>
        <w:spacing w:line="440" w:lineRule="atLeast"/>
        <w:rPr>
          <w:rFonts w:hAnsi="宋体"/>
          <w:b/>
          <w:bCs/>
          <w:color w:val="auto"/>
          <w:sz w:val="22"/>
          <w:highlight w:val="none"/>
        </w:rPr>
      </w:pPr>
      <w:r>
        <w:rPr>
          <w:rFonts w:hint="eastAsia" w:hAnsi="宋体"/>
          <w:color w:val="auto"/>
          <w:sz w:val="22"/>
          <w:highlight w:val="none"/>
        </w:rPr>
        <w:t>供应商全称：（盖章）</w:t>
      </w:r>
    </w:p>
    <w:p w14:paraId="7A28A9CD">
      <w:pPr>
        <w:tabs>
          <w:tab w:val="left" w:pos="2352"/>
        </w:tabs>
        <w:spacing w:line="440" w:lineRule="atLeast"/>
        <w:rPr>
          <w:rFonts w:hAnsi="宋体"/>
          <w:color w:val="auto"/>
          <w:sz w:val="22"/>
          <w:highlight w:val="none"/>
          <w:lang w:val="zh-CN"/>
        </w:rPr>
      </w:pPr>
      <w:r>
        <w:rPr>
          <w:rFonts w:hint="eastAsia" w:hAnsi="宋体"/>
          <w:color w:val="auto"/>
          <w:sz w:val="22"/>
          <w:highlight w:val="none"/>
        </w:rPr>
        <w:t>法定代表人（签字或盖章）或</w:t>
      </w:r>
      <w:r>
        <w:rPr>
          <w:rFonts w:hint="eastAsia" w:hAnsi="宋体"/>
          <w:color w:val="auto"/>
          <w:sz w:val="22"/>
          <w:highlight w:val="none"/>
          <w:lang w:val="zh-CN"/>
        </w:rPr>
        <w:t>授权代表（签字）：</w:t>
      </w:r>
    </w:p>
    <w:p w14:paraId="4BB6F96B">
      <w:pPr>
        <w:tabs>
          <w:tab w:val="left" w:pos="2352"/>
        </w:tabs>
        <w:spacing w:line="440" w:lineRule="atLeast"/>
        <w:rPr>
          <w:rFonts w:hAnsi="宋体"/>
          <w:color w:val="auto"/>
          <w:sz w:val="22"/>
          <w:highlight w:val="none"/>
        </w:rPr>
      </w:pPr>
      <w:r>
        <w:rPr>
          <w:rFonts w:hint="eastAsia" w:hAnsi="宋体"/>
          <w:color w:val="auto"/>
          <w:sz w:val="22"/>
          <w:highlight w:val="none"/>
        </w:rPr>
        <w:t>日期：</w:t>
      </w:r>
    </w:p>
    <w:p w14:paraId="21E3B3C9">
      <w:pPr>
        <w:tabs>
          <w:tab w:val="left" w:pos="1069"/>
          <w:tab w:val="left" w:pos="2352"/>
        </w:tabs>
        <w:snapToGrid w:val="0"/>
        <w:spacing w:line="440" w:lineRule="exact"/>
        <w:rPr>
          <w:rFonts w:ascii="宋体" w:hAnsi="宋体" w:cs="宋体"/>
          <w:b/>
          <w:bCs/>
          <w:color w:val="auto"/>
          <w:sz w:val="22"/>
          <w:highlight w:val="none"/>
        </w:rPr>
      </w:pPr>
    </w:p>
    <w:p w14:paraId="483BB153">
      <w:pPr>
        <w:tabs>
          <w:tab w:val="left" w:pos="1069"/>
          <w:tab w:val="left" w:pos="2352"/>
        </w:tabs>
        <w:snapToGrid w:val="0"/>
        <w:spacing w:line="440" w:lineRule="exact"/>
        <w:rPr>
          <w:rFonts w:ascii="宋体" w:hAnsi="宋体" w:cs="宋体"/>
          <w:b/>
          <w:bCs/>
          <w:color w:val="auto"/>
          <w:sz w:val="22"/>
          <w:highlight w:val="none"/>
        </w:rPr>
      </w:pPr>
    </w:p>
    <w:p w14:paraId="186DA022">
      <w:pPr>
        <w:tabs>
          <w:tab w:val="left" w:pos="1069"/>
          <w:tab w:val="left" w:pos="2352"/>
        </w:tabs>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rPr>
        <w:t>二</w:t>
      </w:r>
      <w:r>
        <w:rPr>
          <w:rFonts w:hint="eastAsia" w:ascii="宋体" w:hAnsi="宋体" w:cs="宋体"/>
          <w:b/>
          <w:bCs/>
          <w:color w:val="auto"/>
          <w:sz w:val="22"/>
          <w:highlight w:val="none"/>
          <w:lang w:val="zh-CN"/>
        </w:rPr>
        <w:t>、</w:t>
      </w:r>
      <w:r>
        <w:rPr>
          <w:rFonts w:hint="eastAsia" w:ascii="宋体" w:hAnsi="宋体" w:cs="宋体"/>
          <w:b/>
          <w:bCs/>
          <w:color w:val="auto"/>
          <w:sz w:val="22"/>
          <w:highlight w:val="none"/>
        </w:rPr>
        <w:t>资格</w:t>
      </w:r>
      <w:r>
        <w:rPr>
          <w:rFonts w:hint="eastAsia" w:ascii="宋体" w:hAnsi="宋体" w:cs="宋体"/>
          <w:b/>
          <w:bCs/>
          <w:color w:val="auto"/>
          <w:sz w:val="22"/>
          <w:highlight w:val="none"/>
          <w:lang w:val="zh-CN"/>
        </w:rPr>
        <w:t>部分投标文件格式</w:t>
      </w:r>
    </w:p>
    <w:p w14:paraId="6CC61BBA">
      <w:pPr>
        <w:pStyle w:val="9"/>
        <w:tabs>
          <w:tab w:val="left" w:pos="1069"/>
          <w:tab w:val="left" w:pos="2352"/>
        </w:tabs>
        <w:rPr>
          <w:rFonts w:ascii="宋体" w:hAnsi="宋体" w:cs="宋体"/>
          <w:color w:val="auto"/>
          <w:sz w:val="22"/>
          <w:szCs w:val="22"/>
          <w:highlight w:val="none"/>
        </w:rPr>
      </w:pPr>
      <w:r>
        <w:rPr>
          <w:rFonts w:hint="eastAsia" w:ascii="宋体" w:hAnsi="宋体" w:cs="宋体"/>
          <w:b/>
          <w:bCs/>
          <w:color w:val="auto"/>
          <w:sz w:val="22"/>
          <w:highlight w:val="none"/>
        </w:rPr>
        <w:t>资格</w:t>
      </w:r>
      <w:r>
        <w:rPr>
          <w:rFonts w:hint="eastAsia" w:ascii="宋体" w:hAnsi="宋体" w:cs="宋体"/>
          <w:b/>
          <w:bCs/>
          <w:color w:val="auto"/>
          <w:sz w:val="22"/>
          <w:highlight w:val="none"/>
          <w:lang w:val="zh-CN"/>
        </w:rPr>
        <w:t>部分投标文件</w:t>
      </w:r>
      <w:r>
        <w:rPr>
          <w:rFonts w:hint="eastAsia" w:ascii="宋体" w:hAnsi="宋体" w:cs="宋体"/>
          <w:color w:val="auto"/>
          <w:sz w:val="22"/>
          <w:szCs w:val="22"/>
          <w:highlight w:val="none"/>
        </w:rPr>
        <w:t>封面参考：</w:t>
      </w:r>
    </w:p>
    <w:p w14:paraId="4AC981F0">
      <w:pPr>
        <w:tabs>
          <w:tab w:val="left" w:pos="1069"/>
          <w:tab w:val="left" w:pos="2352"/>
        </w:tabs>
        <w:spacing w:line="480" w:lineRule="auto"/>
        <w:jc w:val="center"/>
        <w:rPr>
          <w:rFonts w:ascii="宋体" w:hAnsi="宋体" w:cs="宋体"/>
          <w:b/>
          <w:color w:val="auto"/>
          <w:sz w:val="64"/>
          <w:szCs w:val="64"/>
          <w:highlight w:val="none"/>
        </w:rPr>
      </w:pPr>
    </w:p>
    <w:p w14:paraId="6E1F9329">
      <w:pPr>
        <w:tabs>
          <w:tab w:val="left" w:pos="1069"/>
          <w:tab w:val="left" w:pos="2352"/>
        </w:tabs>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2025年泰顺县森林资源动态监测与评价</w:t>
      </w:r>
    </w:p>
    <w:p w14:paraId="0DF32C73">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08190D08">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（资 格 部 分）</w:t>
      </w:r>
    </w:p>
    <w:p w14:paraId="3304B34C">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p w14:paraId="5A1C4739">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tbl>
      <w:tblPr>
        <w:tblStyle w:val="26"/>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06AD038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2E93EF0">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 xml:space="preserve">330329253440010000110-TSCG202512013 </w:t>
            </w:r>
          </w:p>
        </w:tc>
      </w:tr>
      <w:tr w14:paraId="4528479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D7B96BB">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采购单位：泰顺县自然资源和规划局</w:t>
            </w:r>
          </w:p>
        </w:tc>
      </w:tr>
      <w:tr w14:paraId="69DFB39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CEF4C82">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供应商名称（盖章）：</w:t>
            </w:r>
          </w:p>
        </w:tc>
      </w:tr>
      <w:tr w14:paraId="1B30018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F2580B5">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5DABBE3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678B92D">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75BBC29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3F8B896">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37D84C49">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p w14:paraId="7EEC5387">
      <w:pPr>
        <w:tabs>
          <w:tab w:val="left" w:pos="1069"/>
          <w:tab w:val="left" w:pos="2352"/>
        </w:tabs>
        <w:autoSpaceDE w:val="0"/>
        <w:autoSpaceDN w:val="0"/>
        <w:adjustRightInd w:val="0"/>
        <w:spacing w:line="460" w:lineRule="atLeast"/>
        <w:rPr>
          <w:rFonts w:ascii="宋体" w:hAnsi="宋体" w:cs="宋体"/>
          <w:b/>
          <w:bCs/>
          <w:color w:val="auto"/>
          <w:sz w:val="30"/>
          <w:highlight w:val="none"/>
          <w:lang w:val="zh-CN"/>
        </w:rPr>
      </w:pPr>
    </w:p>
    <w:p w14:paraId="1C592F71">
      <w:pPr>
        <w:pStyle w:val="6"/>
        <w:tabs>
          <w:tab w:val="left" w:pos="1069"/>
          <w:tab w:val="left" w:pos="2352"/>
        </w:tabs>
        <w:rPr>
          <w:rFonts w:ascii="宋体" w:hAnsi="宋体" w:cs="宋体"/>
          <w:b/>
          <w:bCs/>
          <w:color w:val="auto"/>
          <w:sz w:val="30"/>
          <w:highlight w:val="none"/>
          <w:lang w:val="zh-CN"/>
        </w:rPr>
      </w:pPr>
    </w:p>
    <w:p w14:paraId="0B32E99E">
      <w:pPr>
        <w:tabs>
          <w:tab w:val="left" w:pos="1069"/>
          <w:tab w:val="left" w:pos="2352"/>
        </w:tabs>
        <w:rPr>
          <w:color w:val="auto"/>
          <w:highlight w:val="none"/>
          <w:lang w:val="zh-CN"/>
        </w:rPr>
      </w:pPr>
    </w:p>
    <w:p w14:paraId="4707E18B">
      <w:pPr>
        <w:tabs>
          <w:tab w:val="left" w:pos="1069"/>
          <w:tab w:val="left" w:pos="2352"/>
        </w:tabs>
        <w:autoSpaceDE w:val="0"/>
        <w:autoSpaceDN w:val="0"/>
        <w:adjustRightInd w:val="0"/>
        <w:spacing w:line="460" w:lineRule="atLeast"/>
        <w:rPr>
          <w:rFonts w:ascii="宋体" w:hAnsi="宋体" w:cs="宋体"/>
          <w:color w:val="auto"/>
          <w:sz w:val="30"/>
          <w:highlight w:val="none"/>
          <w:lang w:val="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rPr>
        <w:t>三</w:t>
      </w:r>
    </w:p>
    <w:p w14:paraId="2C61F808">
      <w:pPr>
        <w:autoSpaceDE w:val="0"/>
        <w:autoSpaceDN w:val="0"/>
        <w:adjustRightInd w:val="0"/>
        <w:spacing w:line="460" w:lineRule="atLeast"/>
        <w:jc w:val="center"/>
        <w:rPr>
          <w:rFonts w:asciiTheme="majorEastAsia" w:hAnsiTheme="majorEastAsia" w:eastAsiaTheme="majorEastAsia" w:cstheme="majorEastAsia"/>
          <w:b/>
          <w:bCs/>
          <w:color w:val="auto"/>
          <w:sz w:val="30"/>
          <w:highlight w:val="none"/>
          <w:lang w:val="zh-CN"/>
        </w:rPr>
      </w:pPr>
      <w:bookmarkStart w:id="64" w:name="_Toc14589"/>
      <w:bookmarkStart w:id="65" w:name="_Toc18304"/>
      <w:bookmarkStart w:id="66" w:name="_Toc31544"/>
      <w:bookmarkStart w:id="67" w:name="_Toc31784"/>
      <w:bookmarkStart w:id="68" w:name="_Toc28957"/>
      <w:bookmarkStart w:id="69" w:name="_Toc27119255"/>
      <w:bookmarkStart w:id="70" w:name="_Toc13669"/>
      <w:bookmarkStart w:id="71" w:name="_Toc14988"/>
      <w:bookmarkStart w:id="72" w:name="_Toc10630"/>
      <w:bookmarkStart w:id="73" w:name="_Toc11360"/>
      <w:bookmarkStart w:id="74" w:name="_Toc6606"/>
      <w:bookmarkStart w:id="75" w:name="_Toc33194406"/>
      <w:r>
        <w:rPr>
          <w:rFonts w:hint="eastAsia" w:asciiTheme="majorEastAsia" w:hAnsiTheme="majorEastAsia" w:eastAsiaTheme="majorEastAsia" w:cstheme="majorEastAsia"/>
          <w:b/>
          <w:bCs/>
          <w:color w:val="auto"/>
          <w:sz w:val="30"/>
          <w:highlight w:val="none"/>
          <w:lang w:val="zh-CN"/>
        </w:rPr>
        <w:t>符合参加政府采购活动应当具备的一般条件的承诺函</w:t>
      </w:r>
    </w:p>
    <w:p w14:paraId="000630EA">
      <w:pPr>
        <w:snapToGrid w:val="0"/>
        <w:spacing w:line="360" w:lineRule="auto"/>
        <w:rPr>
          <w:rFonts w:ascii="宋体" w:hAnsi="宋体" w:cs="宋体"/>
          <w:color w:val="auto"/>
          <w:sz w:val="22"/>
          <w:highlight w:val="none"/>
          <w:u w:val="single"/>
        </w:rPr>
      </w:pPr>
    </w:p>
    <w:p w14:paraId="54588580">
      <w:pPr>
        <w:snapToGrid w:val="0"/>
        <w:spacing w:line="360" w:lineRule="auto"/>
        <w:rPr>
          <w:rFonts w:ascii="宋体" w:hAnsi="宋体" w:cs="宋体"/>
          <w:bCs/>
          <w:color w:val="auto"/>
          <w:sz w:val="22"/>
          <w:highlight w:val="none"/>
        </w:rPr>
      </w:pPr>
      <w:r>
        <w:rPr>
          <w:rFonts w:hint="eastAsia" w:ascii="宋体" w:hAnsi="宋体" w:cs="宋体"/>
          <w:bCs/>
          <w:color w:val="auto"/>
          <w:sz w:val="22"/>
          <w:highlight w:val="none"/>
          <w:u w:val="single"/>
        </w:rPr>
        <w:t>泰顺县自然资源和规划局、杭州华旗招标代理有限公司</w:t>
      </w:r>
      <w:r>
        <w:rPr>
          <w:rFonts w:hint="eastAsia" w:ascii="宋体" w:hAnsi="宋体" w:cs="宋体"/>
          <w:bCs/>
          <w:color w:val="auto"/>
          <w:sz w:val="22"/>
          <w:highlight w:val="none"/>
        </w:rPr>
        <w:t>：</w:t>
      </w:r>
    </w:p>
    <w:p w14:paraId="73AC2866">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rPr>
        <w:t>我方参与</w:t>
      </w:r>
      <w:r>
        <w:rPr>
          <w:rFonts w:hint="eastAsia" w:ascii="宋体" w:hAnsi="宋体" w:cs="宋体"/>
          <w:bCs/>
          <w:color w:val="auto"/>
          <w:sz w:val="22"/>
          <w:highlight w:val="none"/>
          <w:u w:val="single"/>
          <w:lang w:eastAsia="zh-CN"/>
        </w:rPr>
        <w:t>2025年泰顺县森林资源动态监测与评价</w:t>
      </w:r>
      <w:r>
        <w:rPr>
          <w:rFonts w:hint="eastAsia" w:ascii="宋体" w:hAnsi="宋体" w:cs="宋体"/>
          <w:bCs/>
          <w:color w:val="auto"/>
          <w:sz w:val="22"/>
          <w:highlight w:val="none"/>
          <w:u w:val="single"/>
        </w:rPr>
        <w:t>（项目编号：</w:t>
      </w:r>
      <w:r>
        <w:rPr>
          <w:rFonts w:hint="eastAsia" w:ascii="宋体" w:cs="宋体"/>
          <w:bCs/>
          <w:color w:val="auto"/>
          <w:sz w:val="22"/>
          <w:highlight w:val="none"/>
          <w:u w:val="single"/>
          <w:lang w:eastAsia="zh-CN"/>
        </w:rPr>
        <w:t>330329253440010000110-TSCG202512013</w:t>
      </w:r>
      <w:r>
        <w:rPr>
          <w:rFonts w:hint="eastAsia" w:ascii="宋体" w:hAnsi="宋体" w:cs="宋体"/>
          <w:bCs/>
          <w:color w:val="auto"/>
          <w:sz w:val="22"/>
          <w:highlight w:val="none"/>
          <w:u w:val="single"/>
        </w:rPr>
        <w:t>）</w:t>
      </w:r>
      <w:r>
        <w:rPr>
          <w:rFonts w:hint="eastAsia" w:ascii="宋体" w:hAnsi="宋体" w:cs="宋体"/>
          <w:bCs/>
          <w:color w:val="auto"/>
          <w:sz w:val="22"/>
          <w:highlight w:val="none"/>
        </w:rPr>
        <w:t>政府采购活动，郑重承诺：</w:t>
      </w:r>
    </w:p>
    <w:p w14:paraId="325EA60F">
      <w:pPr>
        <w:keepNext w:val="0"/>
        <w:keepLines w:val="0"/>
        <w:pageBreakBefore w:val="0"/>
        <w:widowControl w:val="0"/>
        <w:kinsoku/>
        <w:wordWrap/>
        <w:overflowPunct/>
        <w:topLinePunct w:val="0"/>
        <w:autoSpaceDE/>
        <w:autoSpaceDN/>
        <w:bidi w:val="0"/>
        <w:adjustRightInd/>
        <w:snapToGrid w:val="0"/>
        <w:spacing w:line="360" w:lineRule="exact"/>
        <w:ind w:firstLine="334" w:firstLineChars="150"/>
        <w:textAlignment w:val="auto"/>
        <w:rPr>
          <w:rFonts w:ascii="宋体" w:hAnsi="宋体" w:cs="宋体"/>
          <w:bCs/>
          <w:color w:val="auto"/>
          <w:sz w:val="22"/>
          <w:highlight w:val="none"/>
        </w:rPr>
      </w:pPr>
      <w:r>
        <w:rPr>
          <w:rFonts w:hint="eastAsia" w:ascii="宋体" w:hAnsi="宋体" w:cs="宋体"/>
          <w:bCs/>
          <w:color w:val="auto"/>
          <w:sz w:val="22"/>
          <w:highlight w:val="none"/>
        </w:rPr>
        <w:t>（一）具备《中华人民共和国政府采购法》第二十二条规定的条件：</w:t>
      </w:r>
    </w:p>
    <w:p w14:paraId="3DD8FEB0">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rPr>
        <w:t>1、具有独立承担民事责任的能力；</w:t>
      </w:r>
    </w:p>
    <w:p w14:paraId="6B83355F">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rPr>
        <w:t xml:space="preserve">2、具有良好的商业信誉和健全的财务会计制度； </w:t>
      </w:r>
    </w:p>
    <w:p w14:paraId="437F284C">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rPr>
        <w:t>3、具有履行合同所必需的设备和专业技术能力；</w:t>
      </w:r>
    </w:p>
    <w:p w14:paraId="32ED00C9">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rPr>
        <w:t>4、有依法缴纳税收和社会保障资金的良好记录；</w:t>
      </w:r>
    </w:p>
    <w:p w14:paraId="251EDFCC">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rPr>
        <w:t>5、参加政府采购活动前三年内，在经营活动中没有重大违法记录；</w:t>
      </w:r>
    </w:p>
    <w:p w14:paraId="7AAD950F">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rPr>
        <w:t>6、具有法律、行政法规规定的其他条件。</w:t>
      </w:r>
    </w:p>
    <w:p w14:paraId="2D6620D3">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rPr>
        <w:t>（二）未被信用中国（www.creditchina.gov.cn)、中国政府采购网（www.ccgp.gov.cn）列入失信被执行人、重大税收违法案件当事人名单、政府采购严重违法失信行为记录名单（没有因违法经营受到刑事处罚，没有被责令停产停业、被吊销许可证或者执照、被处以较大数额罚款等行政处罚，没有因违法经营被禁止参加政府采购活动的期限未满情形）。</w:t>
      </w:r>
    </w:p>
    <w:p w14:paraId="4309FD5E">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rPr>
        <w:t>（三）不存在以下情况：</w:t>
      </w:r>
    </w:p>
    <w:p w14:paraId="5BC2EAD1">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rPr>
        <w:t>1、单位负责人为同一人或者存在直接控股、管理关系的不同供应商参加同一合同项下的政府采购活动的；</w:t>
      </w:r>
    </w:p>
    <w:p w14:paraId="3F596497">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rPr>
        <w:t>2、为采购项目提供整体设计、规范编制或者项目管理、监理、检测等服务后再参加该采购项目的其他采购活动的。</w:t>
      </w:r>
    </w:p>
    <w:p w14:paraId="0FAC1C8A">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rPr>
        <w:t>（四）如有虚假，采购人可取消我方任何资格（投标/中标/签订合同），我方对此无任何异议。</w:t>
      </w:r>
    </w:p>
    <w:p w14:paraId="65BE269C">
      <w:pPr>
        <w:keepNext w:val="0"/>
        <w:keepLines w:val="0"/>
        <w:pageBreakBefore w:val="0"/>
        <w:widowControl w:val="0"/>
        <w:kinsoku/>
        <w:wordWrap/>
        <w:overflowPunct/>
        <w:topLinePunct w:val="0"/>
        <w:autoSpaceDE/>
        <w:autoSpaceDN/>
        <w:bidi w:val="0"/>
        <w:adjustRightInd/>
        <w:spacing w:line="360" w:lineRule="exact"/>
        <w:ind w:firstLine="4460" w:firstLineChars="2000"/>
        <w:textAlignment w:val="auto"/>
        <w:rPr>
          <w:rFonts w:ascii="宋体" w:hAnsi="宋体" w:cs="宋体"/>
          <w:bCs/>
          <w:color w:val="auto"/>
          <w:sz w:val="22"/>
          <w:highlight w:val="none"/>
        </w:rPr>
      </w:pPr>
    </w:p>
    <w:p w14:paraId="5316C6A2">
      <w:pPr>
        <w:keepNext w:val="0"/>
        <w:keepLines w:val="0"/>
        <w:pageBreakBefore w:val="0"/>
        <w:widowControl w:val="0"/>
        <w:kinsoku/>
        <w:wordWrap/>
        <w:overflowPunct/>
        <w:topLinePunct w:val="0"/>
        <w:autoSpaceDE/>
        <w:autoSpaceDN/>
        <w:bidi w:val="0"/>
        <w:adjustRightInd/>
        <w:spacing w:line="360" w:lineRule="exact"/>
        <w:ind w:firstLine="4906" w:firstLineChars="2200"/>
        <w:textAlignment w:val="auto"/>
        <w:rPr>
          <w:rFonts w:ascii="宋体" w:hAnsi="宋体" w:cs="宋体"/>
          <w:bCs/>
          <w:color w:val="auto"/>
          <w:sz w:val="22"/>
          <w:highlight w:val="none"/>
        </w:rPr>
      </w:pPr>
      <w:r>
        <w:rPr>
          <w:rFonts w:hint="eastAsia" w:ascii="宋体" w:hAnsi="宋体" w:cs="宋体"/>
          <w:bCs/>
          <w:color w:val="auto"/>
          <w:sz w:val="22"/>
          <w:highlight w:val="none"/>
        </w:rPr>
        <w:t>供应商名称（公章）：</w:t>
      </w:r>
    </w:p>
    <w:p w14:paraId="673DE8A4">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宋体"/>
          <w:bCs/>
          <w:color w:val="auto"/>
          <w:sz w:val="22"/>
          <w:highlight w:val="none"/>
        </w:rPr>
      </w:pPr>
      <w:r>
        <w:rPr>
          <w:rFonts w:hint="eastAsia" w:ascii="宋体" w:hAnsi="宋体" w:cs="宋体"/>
          <w:bCs/>
          <w:color w:val="auto"/>
          <w:sz w:val="22"/>
          <w:highlight w:val="none"/>
        </w:rPr>
        <w:t xml:space="preserve">                       日期：  年  月  日</w:t>
      </w:r>
    </w:p>
    <w:p w14:paraId="7C156BFF">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宋体"/>
          <w:bCs/>
          <w:color w:val="auto"/>
          <w:sz w:val="22"/>
          <w:highlight w:val="none"/>
        </w:rPr>
      </w:pPr>
    </w:p>
    <w:p w14:paraId="09AA8AFE">
      <w:pPr>
        <w:keepNext w:val="0"/>
        <w:keepLines w:val="0"/>
        <w:pageBreakBefore w:val="0"/>
        <w:widowControl w:val="0"/>
        <w:kinsoku/>
        <w:wordWrap/>
        <w:overflowPunct/>
        <w:topLinePunct w:val="0"/>
        <w:autoSpaceDE/>
        <w:autoSpaceDN/>
        <w:bidi w:val="0"/>
        <w:adjustRightInd/>
        <w:snapToGrid w:val="0"/>
        <w:spacing w:line="360" w:lineRule="exact"/>
        <w:ind w:right="480" w:firstLine="446" w:firstLineChars="200"/>
        <w:jc w:val="left"/>
        <w:textAlignment w:val="auto"/>
        <w:rPr>
          <w:rFonts w:ascii="宋体" w:hAnsi="宋体" w:cs="宋体"/>
          <w:bCs/>
          <w:color w:val="auto"/>
          <w:sz w:val="22"/>
          <w:highlight w:val="none"/>
        </w:rPr>
      </w:pPr>
      <w:r>
        <w:rPr>
          <w:rFonts w:hint="eastAsia" w:ascii="宋体" w:hAnsi="宋体" w:cs="宋体"/>
          <w:bCs/>
          <w:color w:val="auto"/>
          <w:sz w:val="22"/>
          <w:highlight w:val="none"/>
        </w:rPr>
        <w:t>注：根据《关于规范政府采购供应商资格设定及资格审查的通知》（浙财采监[2013]24号）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cs="宋体"/>
          <w:bCs/>
          <w:color w:val="auto"/>
          <w:sz w:val="22"/>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bookmarkEnd w:id="64"/>
    <w:bookmarkEnd w:id="65"/>
    <w:bookmarkEnd w:id="66"/>
    <w:bookmarkEnd w:id="67"/>
    <w:bookmarkEnd w:id="68"/>
    <w:bookmarkEnd w:id="69"/>
    <w:bookmarkEnd w:id="70"/>
    <w:bookmarkEnd w:id="71"/>
    <w:bookmarkEnd w:id="72"/>
    <w:bookmarkEnd w:id="73"/>
    <w:bookmarkEnd w:id="74"/>
    <w:bookmarkEnd w:id="75"/>
    <w:p w14:paraId="11A60F30">
      <w:pPr>
        <w:tabs>
          <w:tab w:val="left" w:pos="1069"/>
          <w:tab w:val="left" w:pos="2352"/>
        </w:tabs>
        <w:spacing w:line="360" w:lineRule="exact"/>
        <w:jc w:val="left"/>
        <w:rPr>
          <w:rFonts w:ascii="宋体" w:hAnsi="宋体" w:cs="宋体"/>
          <w:b/>
          <w:bCs/>
          <w:color w:val="auto"/>
          <w:sz w:val="30"/>
          <w:highlight w:val="none"/>
        </w:rPr>
      </w:pPr>
    </w:p>
    <w:p w14:paraId="6EEAB16E">
      <w:pPr>
        <w:tabs>
          <w:tab w:val="left" w:pos="1069"/>
          <w:tab w:val="left" w:pos="2352"/>
        </w:tabs>
        <w:spacing w:line="360" w:lineRule="exact"/>
        <w:jc w:val="left"/>
        <w:rPr>
          <w:rFonts w:ascii="宋体" w:hAnsi="宋体" w:cs="宋体"/>
          <w:b/>
          <w:bCs/>
          <w:color w:val="auto"/>
          <w:sz w:val="30"/>
          <w:highlight w:val="none"/>
        </w:rPr>
      </w:pPr>
      <w:r>
        <w:rPr>
          <w:rFonts w:hint="eastAsia" w:ascii="宋体" w:hAnsi="宋体" w:cs="宋体"/>
          <w:b/>
          <w:bCs/>
          <w:color w:val="auto"/>
          <w:sz w:val="30"/>
          <w:highlight w:val="none"/>
        </w:rPr>
        <w:t>附件四</w:t>
      </w:r>
    </w:p>
    <w:p w14:paraId="3A373A2E">
      <w:pPr>
        <w:tabs>
          <w:tab w:val="left" w:pos="1069"/>
          <w:tab w:val="left" w:pos="1080"/>
          <w:tab w:val="left" w:pos="2352"/>
        </w:tabs>
        <w:autoSpaceDE w:val="0"/>
        <w:autoSpaceDN w:val="0"/>
        <w:adjustRightInd w:val="0"/>
        <w:spacing w:line="360" w:lineRule="exact"/>
        <w:jc w:val="center"/>
        <w:rPr>
          <w:rFonts w:ascii="宋体" w:hAnsi="宋体" w:cs="宋体"/>
          <w:b/>
          <w:bCs/>
          <w:color w:val="auto"/>
          <w:sz w:val="36"/>
          <w:highlight w:val="none"/>
          <w:lang w:val="zh-CN"/>
        </w:rPr>
      </w:pPr>
      <w:bookmarkStart w:id="76" w:name="_Toc32552_WPSOffice_Level3"/>
      <w:r>
        <w:rPr>
          <w:rFonts w:hint="eastAsia" w:ascii="宋体" w:hAnsi="宋体" w:cs="宋体"/>
          <w:b/>
          <w:bCs/>
          <w:color w:val="auto"/>
          <w:sz w:val="32"/>
          <w:highlight w:val="none"/>
          <w:lang w:val="zh-CN"/>
        </w:rPr>
        <w:t>法定代表人授权书</w:t>
      </w:r>
      <w:bookmarkEnd w:id="76"/>
    </w:p>
    <w:p w14:paraId="45C5A1CE">
      <w:pPr>
        <w:tabs>
          <w:tab w:val="left" w:pos="1069"/>
          <w:tab w:val="left" w:pos="2352"/>
        </w:tabs>
        <w:autoSpaceDE w:val="0"/>
        <w:autoSpaceDN w:val="0"/>
        <w:adjustRightInd w:val="0"/>
        <w:spacing w:line="360" w:lineRule="exact"/>
        <w:jc w:val="center"/>
        <w:rPr>
          <w:rFonts w:ascii="宋体" w:hAnsi="宋体" w:cs="宋体"/>
          <w:color w:val="auto"/>
          <w:sz w:val="36"/>
          <w:highlight w:val="none"/>
          <w:lang w:val="zh-CN"/>
        </w:rPr>
      </w:pPr>
    </w:p>
    <w:p w14:paraId="5FB2199A">
      <w:pPr>
        <w:tabs>
          <w:tab w:val="left" w:pos="1069"/>
          <w:tab w:val="left" w:pos="2352"/>
        </w:tabs>
        <w:spacing w:line="400" w:lineRule="atLeast"/>
        <w:rPr>
          <w:rFonts w:ascii="宋体" w:hAnsi="宋体" w:cs="宋体"/>
          <w:color w:val="auto"/>
          <w:sz w:val="22"/>
          <w:highlight w:val="none"/>
        </w:rPr>
      </w:pPr>
      <w:r>
        <w:rPr>
          <w:rFonts w:hint="eastAsia" w:ascii="宋体" w:hAnsi="宋体" w:cs="宋体"/>
          <w:color w:val="auto"/>
          <w:sz w:val="22"/>
          <w:highlight w:val="none"/>
          <w:u w:val="single"/>
        </w:rPr>
        <w:t>泰顺县自然资源和规划局</w:t>
      </w:r>
      <w:r>
        <w:rPr>
          <w:rFonts w:hint="eastAsia" w:ascii="宋体" w:hAnsi="宋体" w:cs="宋体"/>
          <w:color w:val="auto"/>
          <w:sz w:val="22"/>
          <w:highlight w:val="none"/>
          <w:lang w:val="zh-CN"/>
        </w:rPr>
        <w:t>：</w:t>
      </w:r>
    </w:p>
    <w:p w14:paraId="7782C163">
      <w:pPr>
        <w:tabs>
          <w:tab w:val="left" w:pos="1069"/>
          <w:tab w:val="left" w:pos="2352"/>
        </w:tabs>
        <w:snapToGrid w:val="0"/>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本授权委托书声明：我</w:t>
      </w:r>
      <w:r>
        <w:rPr>
          <w:rFonts w:hint="eastAsia" w:ascii="宋体" w:hAnsi="宋体" w:cs="宋体"/>
          <w:color w:val="auto"/>
          <w:sz w:val="22"/>
          <w:highlight w:val="none"/>
          <w:u w:val="single"/>
        </w:rPr>
        <w:t>（法定代表人姓名）</w:t>
      </w:r>
      <w:r>
        <w:rPr>
          <w:rFonts w:hint="eastAsia" w:ascii="宋体" w:hAnsi="宋体" w:cs="宋体"/>
          <w:color w:val="auto"/>
          <w:sz w:val="22"/>
          <w:highlight w:val="none"/>
        </w:rPr>
        <w:t>系</w:t>
      </w:r>
      <w:r>
        <w:rPr>
          <w:rFonts w:hint="eastAsia" w:ascii="宋体" w:hAnsi="宋体" w:cs="宋体"/>
          <w:color w:val="auto"/>
          <w:sz w:val="22"/>
          <w:highlight w:val="none"/>
          <w:u w:val="single"/>
        </w:rPr>
        <w:t>（供应商名称）</w:t>
      </w:r>
      <w:r>
        <w:rPr>
          <w:rFonts w:hint="eastAsia" w:ascii="宋体" w:hAnsi="宋体" w:cs="宋体"/>
          <w:color w:val="auto"/>
          <w:sz w:val="22"/>
          <w:highlight w:val="none"/>
        </w:rPr>
        <w:t>的法定代表人，现授权委托</w:t>
      </w:r>
      <w:r>
        <w:rPr>
          <w:rFonts w:hint="eastAsia" w:ascii="宋体" w:hAnsi="宋体" w:cs="宋体"/>
          <w:color w:val="auto"/>
          <w:sz w:val="22"/>
          <w:highlight w:val="none"/>
          <w:u w:val="single"/>
        </w:rPr>
        <w:t>（单位名称）</w:t>
      </w:r>
      <w:r>
        <w:rPr>
          <w:rFonts w:hint="eastAsia" w:ascii="宋体" w:hAnsi="宋体" w:cs="宋体"/>
          <w:color w:val="auto"/>
          <w:sz w:val="22"/>
          <w:highlight w:val="none"/>
        </w:rPr>
        <w:t>的</w:t>
      </w:r>
      <w:r>
        <w:rPr>
          <w:rFonts w:hint="eastAsia" w:ascii="宋体" w:hAnsi="宋体" w:cs="宋体"/>
          <w:color w:val="auto"/>
          <w:sz w:val="22"/>
          <w:highlight w:val="none"/>
          <w:u w:val="single"/>
        </w:rPr>
        <w:t>（授权代表姓名）</w:t>
      </w:r>
      <w:r>
        <w:rPr>
          <w:rFonts w:hint="eastAsia" w:ascii="宋体" w:hAnsi="宋体" w:cs="宋体"/>
          <w:color w:val="auto"/>
          <w:sz w:val="22"/>
          <w:highlight w:val="none"/>
        </w:rPr>
        <w:t>为我公司法定代表人授权代表，参加贵处组织的</w:t>
      </w:r>
      <w:r>
        <w:rPr>
          <w:rFonts w:hint="eastAsia" w:ascii="宋体" w:hAnsi="宋体" w:cs="宋体"/>
          <w:color w:val="auto"/>
          <w:sz w:val="22"/>
          <w:highlight w:val="none"/>
          <w:u w:val="single"/>
          <w:lang w:eastAsia="zh-CN"/>
        </w:rPr>
        <w:t>2025年泰顺县森林资源动态监测与评价</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 xml:space="preserve">330329253440010000110-TSCG202512013 </w:t>
      </w:r>
      <w:r>
        <w:rPr>
          <w:rFonts w:hint="eastAsia" w:ascii="宋体" w:hAnsi="宋体" w:cs="宋体"/>
          <w:color w:val="auto"/>
          <w:sz w:val="22"/>
          <w:highlight w:val="none"/>
          <w:u w:val="single"/>
        </w:rPr>
        <w:t>）</w:t>
      </w:r>
      <w:r>
        <w:rPr>
          <w:rFonts w:hint="eastAsia" w:ascii="宋体" w:hAnsi="宋体" w:cs="宋体"/>
          <w:color w:val="auto"/>
          <w:sz w:val="22"/>
          <w:highlight w:val="none"/>
        </w:rPr>
        <w:t>项目投标，全权处理本次招投标活动中的一切事宜，我承认授权代表全权代表我所签署的本项目的投标（响应）文件的内容。</w:t>
      </w:r>
    </w:p>
    <w:p w14:paraId="4760F4F2">
      <w:pPr>
        <w:tabs>
          <w:tab w:val="left" w:pos="1069"/>
          <w:tab w:val="left" w:pos="2352"/>
        </w:tabs>
        <w:spacing w:line="400" w:lineRule="atLeast"/>
        <w:ind w:firstLine="446" w:firstLineChars="200"/>
        <w:rPr>
          <w:rFonts w:ascii="宋体" w:hAnsi="宋体" w:cs="宋体"/>
          <w:color w:val="auto"/>
          <w:sz w:val="22"/>
          <w:highlight w:val="none"/>
        </w:rPr>
      </w:pPr>
    </w:p>
    <w:p w14:paraId="22A618F2">
      <w:pPr>
        <w:tabs>
          <w:tab w:val="left" w:pos="1069"/>
          <w:tab w:val="left" w:pos="2352"/>
        </w:tabs>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授权代表无转授权，特此授权。</w:t>
      </w:r>
    </w:p>
    <w:p w14:paraId="10BDEBAB">
      <w:pPr>
        <w:tabs>
          <w:tab w:val="left" w:pos="1069"/>
          <w:tab w:val="left" w:pos="2352"/>
        </w:tabs>
        <w:spacing w:line="400" w:lineRule="atLeast"/>
        <w:rPr>
          <w:rFonts w:ascii="宋体" w:hAnsi="宋体" w:cs="宋体"/>
          <w:color w:val="auto"/>
          <w:sz w:val="22"/>
          <w:highlight w:val="none"/>
        </w:rPr>
      </w:pPr>
    </w:p>
    <w:p w14:paraId="279C1387">
      <w:pPr>
        <w:tabs>
          <w:tab w:val="left" w:pos="1069"/>
          <w:tab w:val="left" w:pos="2352"/>
        </w:tabs>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授权代表：</w:t>
      </w:r>
      <w:r>
        <w:rPr>
          <w:rFonts w:hint="eastAsia" w:ascii="宋体" w:hAnsi="宋体" w:cs="宋体"/>
          <w:color w:val="auto"/>
          <w:sz w:val="22"/>
          <w:highlight w:val="none"/>
          <w:u w:val="single"/>
        </w:rPr>
        <w:t>（签字）</w:t>
      </w:r>
      <w:r>
        <w:rPr>
          <w:rFonts w:hint="eastAsia" w:ascii="宋体" w:hAnsi="宋体" w:cs="宋体"/>
          <w:color w:val="auto"/>
          <w:sz w:val="22"/>
          <w:highlight w:val="none"/>
        </w:rPr>
        <w:t>性别：</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年龄：</w:t>
      </w:r>
      <w:r>
        <w:rPr>
          <w:rFonts w:hint="eastAsia" w:ascii="宋体" w:hAnsi="宋体" w:cs="宋体"/>
          <w:color w:val="auto"/>
          <w:sz w:val="22"/>
          <w:highlight w:val="none"/>
          <w:u w:val="single"/>
        </w:rPr>
        <w:t xml:space="preserve">        </w:t>
      </w:r>
    </w:p>
    <w:p w14:paraId="235E289D">
      <w:pPr>
        <w:tabs>
          <w:tab w:val="left" w:pos="1069"/>
          <w:tab w:val="left" w:pos="2352"/>
        </w:tabs>
        <w:spacing w:line="400" w:lineRule="atLeast"/>
        <w:ind w:firstLine="2992" w:firstLineChars="1342"/>
        <w:rPr>
          <w:rFonts w:ascii="宋体" w:hAnsi="宋体" w:cs="宋体"/>
          <w:color w:val="auto"/>
          <w:sz w:val="22"/>
          <w:highlight w:val="none"/>
          <w:u w:val="single"/>
        </w:rPr>
      </w:pPr>
    </w:p>
    <w:p w14:paraId="45AFF024">
      <w:pPr>
        <w:tabs>
          <w:tab w:val="left" w:pos="1069"/>
          <w:tab w:val="left" w:pos="2352"/>
        </w:tabs>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详细通讯地址：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邮政编码：</w:t>
      </w:r>
      <w:r>
        <w:rPr>
          <w:rFonts w:hint="eastAsia" w:ascii="宋体" w:hAnsi="宋体" w:cs="宋体"/>
          <w:color w:val="auto"/>
          <w:sz w:val="22"/>
          <w:highlight w:val="none"/>
          <w:u w:val="single"/>
        </w:rPr>
        <w:t xml:space="preserve">        </w:t>
      </w:r>
    </w:p>
    <w:p w14:paraId="0773B643">
      <w:pPr>
        <w:tabs>
          <w:tab w:val="left" w:pos="1069"/>
          <w:tab w:val="left" w:pos="2352"/>
        </w:tabs>
        <w:spacing w:line="400" w:lineRule="atLeast"/>
        <w:ind w:firstLine="2992" w:firstLineChars="1342"/>
        <w:rPr>
          <w:rFonts w:ascii="宋体" w:hAnsi="宋体" w:cs="宋体"/>
          <w:color w:val="auto"/>
          <w:sz w:val="22"/>
          <w:highlight w:val="none"/>
          <w:u w:val="single"/>
        </w:rPr>
      </w:pPr>
    </w:p>
    <w:p w14:paraId="7C7F2716">
      <w:pPr>
        <w:tabs>
          <w:tab w:val="left" w:pos="1069"/>
          <w:tab w:val="left" w:pos="2352"/>
        </w:tabs>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14:paraId="79B14A92">
      <w:pPr>
        <w:tabs>
          <w:tab w:val="left" w:pos="1069"/>
          <w:tab w:val="left" w:pos="2352"/>
        </w:tabs>
        <w:spacing w:line="400" w:lineRule="atLeast"/>
        <w:ind w:left="1" w:firstLine="427" w:firstLineChars="192"/>
        <w:rPr>
          <w:rFonts w:ascii="宋体" w:hAnsi="宋体" w:cs="宋体"/>
          <w:color w:val="auto"/>
          <w:sz w:val="22"/>
          <w:highlight w:val="none"/>
        </w:rPr>
      </w:pPr>
    </w:p>
    <w:p w14:paraId="37D02482">
      <w:pPr>
        <w:tabs>
          <w:tab w:val="left" w:pos="1069"/>
          <w:tab w:val="left" w:pos="2352"/>
        </w:tabs>
        <w:spacing w:line="400" w:lineRule="atLeast"/>
        <w:ind w:left="1" w:firstLine="2985" w:firstLineChars="1339"/>
        <w:rPr>
          <w:rFonts w:ascii="宋体" w:hAnsi="宋体" w:cs="宋体"/>
          <w:color w:val="auto"/>
          <w:sz w:val="22"/>
          <w:highlight w:val="none"/>
        </w:rPr>
      </w:pPr>
      <w:r>
        <w:rPr>
          <w:rFonts w:hint="eastAsia" w:ascii="宋体" w:hAnsi="宋体" w:cs="宋体"/>
          <w:color w:val="auto"/>
          <w:sz w:val="22"/>
          <w:highlight w:val="none"/>
        </w:rPr>
        <w:t>供应商：</w:t>
      </w:r>
      <w:r>
        <w:rPr>
          <w:rFonts w:hint="eastAsia" w:ascii="宋体" w:hAnsi="宋体" w:cs="宋体"/>
          <w:color w:val="auto"/>
          <w:sz w:val="22"/>
          <w:highlight w:val="none"/>
          <w:u w:val="single"/>
        </w:rPr>
        <w:t xml:space="preserve">（盖章）       </w:t>
      </w:r>
    </w:p>
    <w:p w14:paraId="219A0FDD">
      <w:pPr>
        <w:tabs>
          <w:tab w:val="left" w:pos="1069"/>
          <w:tab w:val="left" w:pos="2352"/>
        </w:tabs>
        <w:spacing w:line="400" w:lineRule="atLeast"/>
        <w:ind w:left="1" w:firstLine="427" w:firstLineChars="192"/>
        <w:rPr>
          <w:rFonts w:ascii="宋体" w:hAnsi="宋体" w:cs="宋体"/>
          <w:color w:val="auto"/>
          <w:sz w:val="22"/>
          <w:highlight w:val="none"/>
        </w:rPr>
      </w:pPr>
    </w:p>
    <w:p w14:paraId="05DDE655">
      <w:pPr>
        <w:tabs>
          <w:tab w:val="left" w:pos="1069"/>
          <w:tab w:val="left" w:pos="2352"/>
        </w:tabs>
        <w:spacing w:line="400" w:lineRule="atLeast"/>
        <w:ind w:left="2100" w:right="440"/>
        <w:jc w:val="center"/>
        <w:rPr>
          <w:rFonts w:ascii="宋体" w:hAnsi="宋体" w:cs="宋体"/>
          <w:color w:val="auto"/>
          <w:sz w:val="22"/>
          <w:highlight w:val="none"/>
        </w:rPr>
      </w:pPr>
      <w:r>
        <w:rPr>
          <w:rFonts w:hint="eastAsia" w:ascii="宋体" w:hAnsi="宋体" w:cs="宋体"/>
          <w:color w:val="auto"/>
          <w:sz w:val="22"/>
          <w:highlight w:val="none"/>
        </w:rPr>
        <w:t>法定代表人：</w:t>
      </w:r>
      <w:r>
        <w:rPr>
          <w:rFonts w:hint="eastAsia" w:ascii="宋体" w:hAnsi="宋体" w:cs="宋体"/>
          <w:color w:val="auto"/>
          <w:sz w:val="22"/>
          <w:highlight w:val="none"/>
          <w:u w:val="single"/>
        </w:rPr>
        <w:t>（签字或盖章）</w:t>
      </w:r>
    </w:p>
    <w:p w14:paraId="046F8857">
      <w:pPr>
        <w:tabs>
          <w:tab w:val="left" w:pos="1069"/>
          <w:tab w:val="left" w:pos="2352"/>
        </w:tabs>
        <w:spacing w:line="400" w:lineRule="atLeast"/>
        <w:ind w:left="2699"/>
        <w:rPr>
          <w:rFonts w:ascii="宋体" w:hAnsi="宋体" w:cs="宋体"/>
          <w:color w:val="auto"/>
          <w:sz w:val="22"/>
          <w:highlight w:val="none"/>
        </w:rPr>
      </w:pPr>
    </w:p>
    <w:p w14:paraId="35868702">
      <w:pPr>
        <w:tabs>
          <w:tab w:val="left" w:pos="1069"/>
          <w:tab w:val="left" w:pos="2352"/>
        </w:tabs>
        <w:spacing w:line="400" w:lineRule="atLeast"/>
        <w:ind w:right="440" w:firstLine="3345" w:firstLineChars="1500"/>
        <w:jc w:val="center"/>
        <w:rPr>
          <w:rFonts w:ascii="宋体" w:hAnsi="宋体" w:cs="宋体"/>
          <w:color w:val="auto"/>
          <w:sz w:val="22"/>
          <w:highlight w:val="none"/>
        </w:rPr>
      </w:pPr>
      <w:r>
        <w:rPr>
          <w:rFonts w:hint="eastAsia" w:ascii="宋体" w:hAnsi="宋体" w:cs="宋体"/>
          <w:color w:val="auto"/>
          <w:sz w:val="22"/>
          <w:highlight w:val="none"/>
        </w:rPr>
        <w:t>授权委托日期：</w:t>
      </w:r>
      <w:r>
        <w:rPr>
          <w:rFonts w:hint="eastAsia" w:ascii="宋体" w:hAnsi="宋体" w:cs="宋体"/>
          <w:color w:val="auto"/>
          <w:sz w:val="22"/>
          <w:highlight w:val="none"/>
          <w:u w:val="single"/>
        </w:rPr>
        <w:t xml:space="preserve">        年  月  日</w:t>
      </w:r>
    </w:p>
    <w:p w14:paraId="330CA409">
      <w:pPr>
        <w:tabs>
          <w:tab w:val="left" w:pos="1069"/>
          <w:tab w:val="left" w:pos="2352"/>
        </w:tabs>
        <w:spacing w:line="360" w:lineRule="exact"/>
        <w:ind w:left="2699"/>
        <w:rPr>
          <w:rFonts w:ascii="宋体" w:hAnsi="宋体" w:cs="宋体"/>
          <w:color w:val="auto"/>
          <w:sz w:val="22"/>
          <w:highlight w:val="none"/>
        </w:rPr>
      </w:pP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481AC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69B27991">
            <w:pPr>
              <w:pStyle w:val="10"/>
              <w:tabs>
                <w:tab w:val="left" w:pos="1069"/>
                <w:tab w:val="left" w:pos="2352"/>
              </w:tabs>
              <w:adjustRightInd w:val="0"/>
              <w:snapToGrid w:val="0"/>
              <w:spacing w:line="360" w:lineRule="exact"/>
              <w:jc w:val="center"/>
              <w:rPr>
                <w:rFonts w:hAnsi="宋体" w:cs="宋体"/>
                <w:b/>
                <w:bCs/>
                <w:color w:val="auto"/>
                <w:kern w:val="2"/>
                <w:sz w:val="22"/>
                <w:szCs w:val="22"/>
                <w:highlight w:val="none"/>
              </w:rPr>
            </w:pPr>
          </w:p>
          <w:p w14:paraId="10108950">
            <w:pPr>
              <w:pStyle w:val="10"/>
              <w:tabs>
                <w:tab w:val="left" w:pos="1069"/>
                <w:tab w:val="left" w:pos="2352"/>
              </w:tabs>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粘贴法人授权代表身份证复印影印件</w:t>
            </w:r>
          </w:p>
          <w:p w14:paraId="327AB356">
            <w:pPr>
              <w:pStyle w:val="10"/>
              <w:tabs>
                <w:tab w:val="left" w:pos="1069"/>
                <w:tab w:val="left" w:pos="2352"/>
              </w:tabs>
              <w:adjustRightInd w:val="0"/>
              <w:snapToGrid w:val="0"/>
              <w:spacing w:line="360" w:lineRule="exact"/>
              <w:jc w:val="center"/>
              <w:rPr>
                <w:rFonts w:hAnsi="宋体" w:cs="宋体"/>
                <w:b/>
                <w:bCs/>
                <w:color w:val="auto"/>
                <w:kern w:val="2"/>
                <w:sz w:val="22"/>
                <w:szCs w:val="22"/>
                <w:highlight w:val="none"/>
              </w:rPr>
            </w:pPr>
          </w:p>
        </w:tc>
      </w:tr>
    </w:tbl>
    <w:p w14:paraId="67618EFC">
      <w:pPr>
        <w:pStyle w:val="10"/>
        <w:tabs>
          <w:tab w:val="left" w:pos="1069"/>
          <w:tab w:val="left" w:pos="2352"/>
        </w:tabs>
        <w:adjustRightInd w:val="0"/>
        <w:snapToGrid w:val="0"/>
        <w:spacing w:line="360" w:lineRule="exact"/>
        <w:jc w:val="center"/>
        <w:rPr>
          <w:rFonts w:hAnsi="宋体" w:cs="宋体"/>
          <w:color w:val="auto"/>
          <w:sz w:val="22"/>
          <w:highlight w:val="none"/>
          <w:lang w:val="zh-CN"/>
        </w:rPr>
      </w:pPr>
    </w:p>
    <w:p w14:paraId="36E63BC3">
      <w:pPr>
        <w:pStyle w:val="10"/>
        <w:tabs>
          <w:tab w:val="left" w:pos="1069"/>
          <w:tab w:val="left" w:pos="2352"/>
        </w:tabs>
        <w:adjustRightInd w:val="0"/>
        <w:snapToGrid w:val="0"/>
        <w:spacing w:line="360" w:lineRule="exact"/>
        <w:jc w:val="center"/>
        <w:rPr>
          <w:rFonts w:hAnsi="宋体" w:cs="宋体"/>
          <w:color w:val="auto"/>
          <w:sz w:val="22"/>
          <w:highlight w:val="none"/>
          <w:lang w:val="zh-CN"/>
        </w:rPr>
      </w:pPr>
    </w:p>
    <w:p w14:paraId="66A6CAF4">
      <w:pPr>
        <w:pStyle w:val="10"/>
        <w:tabs>
          <w:tab w:val="left" w:pos="1069"/>
          <w:tab w:val="left" w:pos="2352"/>
        </w:tabs>
        <w:adjustRightInd w:val="0"/>
        <w:snapToGrid w:val="0"/>
        <w:spacing w:line="360" w:lineRule="exact"/>
        <w:jc w:val="center"/>
        <w:rPr>
          <w:rFonts w:hAnsi="宋体" w:cs="宋体"/>
          <w:color w:val="auto"/>
          <w:sz w:val="22"/>
          <w:highlight w:val="none"/>
          <w:lang w:val="zh-CN"/>
        </w:rPr>
      </w:pP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6DB9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4FB43605">
            <w:pPr>
              <w:pStyle w:val="10"/>
              <w:tabs>
                <w:tab w:val="left" w:pos="1069"/>
                <w:tab w:val="left" w:pos="2352"/>
              </w:tabs>
              <w:adjustRightInd w:val="0"/>
              <w:snapToGrid w:val="0"/>
              <w:spacing w:line="360" w:lineRule="exact"/>
              <w:jc w:val="center"/>
              <w:rPr>
                <w:rFonts w:hAnsi="宋体" w:cs="宋体"/>
                <w:b/>
                <w:bCs/>
                <w:color w:val="auto"/>
                <w:kern w:val="2"/>
                <w:sz w:val="22"/>
                <w:szCs w:val="22"/>
                <w:highlight w:val="none"/>
              </w:rPr>
            </w:pPr>
          </w:p>
          <w:p w14:paraId="431D87AF">
            <w:pPr>
              <w:pStyle w:val="10"/>
              <w:tabs>
                <w:tab w:val="left" w:pos="1069"/>
                <w:tab w:val="left" w:pos="2352"/>
              </w:tabs>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粘贴法人身份证复印影印件</w:t>
            </w:r>
          </w:p>
          <w:p w14:paraId="25930F7A">
            <w:pPr>
              <w:pStyle w:val="10"/>
              <w:tabs>
                <w:tab w:val="left" w:pos="1069"/>
                <w:tab w:val="left" w:pos="2352"/>
              </w:tabs>
              <w:adjustRightInd w:val="0"/>
              <w:snapToGrid w:val="0"/>
              <w:spacing w:line="360" w:lineRule="exact"/>
              <w:jc w:val="center"/>
              <w:rPr>
                <w:rFonts w:hAnsi="宋体" w:cs="宋体"/>
                <w:b/>
                <w:bCs/>
                <w:color w:val="auto"/>
                <w:kern w:val="2"/>
                <w:sz w:val="22"/>
                <w:szCs w:val="22"/>
                <w:highlight w:val="none"/>
              </w:rPr>
            </w:pPr>
          </w:p>
        </w:tc>
      </w:tr>
    </w:tbl>
    <w:p w14:paraId="36E5E016">
      <w:pPr>
        <w:tabs>
          <w:tab w:val="left" w:pos="1069"/>
          <w:tab w:val="left" w:pos="2352"/>
        </w:tabs>
        <w:spacing w:line="360" w:lineRule="exact"/>
        <w:jc w:val="left"/>
        <w:rPr>
          <w:rFonts w:ascii="宋体" w:hAnsi="宋体" w:cs="宋体"/>
          <w:b/>
          <w:bCs/>
          <w:color w:val="auto"/>
          <w:sz w:val="30"/>
          <w:highlight w:val="none"/>
        </w:rPr>
      </w:pPr>
    </w:p>
    <w:p w14:paraId="5557833F">
      <w:pPr>
        <w:tabs>
          <w:tab w:val="left" w:pos="1069"/>
          <w:tab w:val="left" w:pos="2352"/>
        </w:tabs>
        <w:spacing w:line="360" w:lineRule="exact"/>
        <w:jc w:val="left"/>
        <w:rPr>
          <w:rFonts w:ascii="宋体" w:hAnsi="宋体" w:cs="宋体"/>
          <w:b/>
          <w:bCs/>
          <w:color w:val="auto"/>
          <w:sz w:val="30"/>
          <w:highlight w:val="none"/>
        </w:rPr>
      </w:pPr>
    </w:p>
    <w:p w14:paraId="776ECFF8">
      <w:pPr>
        <w:tabs>
          <w:tab w:val="left" w:pos="1069"/>
          <w:tab w:val="left" w:pos="2352"/>
        </w:tabs>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rPr>
        <w:t>三</w:t>
      </w:r>
      <w:r>
        <w:rPr>
          <w:rFonts w:hint="eastAsia" w:ascii="宋体" w:hAnsi="宋体" w:cs="宋体"/>
          <w:b/>
          <w:bCs/>
          <w:color w:val="auto"/>
          <w:sz w:val="22"/>
          <w:highlight w:val="none"/>
          <w:lang w:val="zh-CN"/>
        </w:rPr>
        <w:t>、</w:t>
      </w:r>
      <w:r>
        <w:rPr>
          <w:rFonts w:hint="eastAsia" w:ascii="宋体" w:hAnsi="宋体" w:cs="宋体"/>
          <w:b/>
          <w:bCs/>
          <w:color w:val="auto"/>
          <w:sz w:val="22"/>
          <w:highlight w:val="none"/>
        </w:rPr>
        <w:t>商务技术</w:t>
      </w:r>
      <w:r>
        <w:rPr>
          <w:rFonts w:hint="eastAsia" w:ascii="宋体" w:hAnsi="宋体" w:cs="宋体"/>
          <w:b/>
          <w:bCs/>
          <w:color w:val="auto"/>
          <w:sz w:val="22"/>
          <w:highlight w:val="none"/>
          <w:lang w:val="zh-CN"/>
        </w:rPr>
        <w:t>部分投标文件格式</w:t>
      </w:r>
    </w:p>
    <w:p w14:paraId="6186558B">
      <w:pPr>
        <w:pStyle w:val="9"/>
        <w:tabs>
          <w:tab w:val="left" w:pos="1069"/>
          <w:tab w:val="left" w:pos="2352"/>
        </w:tabs>
        <w:rPr>
          <w:rFonts w:ascii="宋体" w:hAnsi="宋体" w:cs="宋体"/>
          <w:color w:val="auto"/>
          <w:sz w:val="22"/>
          <w:szCs w:val="22"/>
          <w:highlight w:val="none"/>
        </w:rPr>
      </w:pPr>
      <w:r>
        <w:rPr>
          <w:rFonts w:hint="eastAsia" w:ascii="宋体" w:hAnsi="宋体" w:cs="宋体"/>
          <w:b/>
          <w:bCs/>
          <w:color w:val="auto"/>
          <w:sz w:val="22"/>
          <w:highlight w:val="none"/>
        </w:rPr>
        <w:t>商务技术</w:t>
      </w:r>
      <w:r>
        <w:rPr>
          <w:rFonts w:hint="eastAsia" w:ascii="宋体" w:hAnsi="宋体" w:cs="宋体"/>
          <w:b/>
          <w:bCs/>
          <w:color w:val="auto"/>
          <w:sz w:val="22"/>
          <w:highlight w:val="none"/>
          <w:lang w:val="zh-CN"/>
        </w:rPr>
        <w:t>部分投标文件</w:t>
      </w:r>
      <w:r>
        <w:rPr>
          <w:rFonts w:hint="eastAsia" w:ascii="宋体" w:hAnsi="宋体" w:cs="宋体"/>
          <w:color w:val="auto"/>
          <w:sz w:val="22"/>
          <w:szCs w:val="22"/>
          <w:highlight w:val="none"/>
        </w:rPr>
        <w:t>封面参考：</w:t>
      </w:r>
    </w:p>
    <w:p w14:paraId="653988A5">
      <w:pPr>
        <w:tabs>
          <w:tab w:val="left" w:pos="1069"/>
          <w:tab w:val="left" w:pos="2352"/>
        </w:tabs>
        <w:snapToGrid w:val="0"/>
        <w:spacing w:line="440" w:lineRule="exact"/>
        <w:jc w:val="center"/>
        <w:rPr>
          <w:rFonts w:ascii="宋体" w:hAnsi="宋体" w:cs="宋体"/>
          <w:b/>
          <w:color w:val="auto"/>
          <w:sz w:val="32"/>
          <w:szCs w:val="32"/>
          <w:highlight w:val="none"/>
        </w:rPr>
      </w:pPr>
    </w:p>
    <w:p w14:paraId="5124915A">
      <w:pPr>
        <w:tabs>
          <w:tab w:val="left" w:pos="1069"/>
          <w:tab w:val="left" w:pos="2352"/>
        </w:tabs>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2025年泰顺县森林资源动态监测与评价</w:t>
      </w:r>
    </w:p>
    <w:p w14:paraId="0A7777BE">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51F2113F">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（商 务 技 术 部 分）</w:t>
      </w:r>
    </w:p>
    <w:p w14:paraId="18085607">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p w14:paraId="5FCFFBF7">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tbl>
      <w:tblPr>
        <w:tblStyle w:val="26"/>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4C28CB7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9B688A0">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 xml:space="preserve">330329253440010000110-TSCG202512013 </w:t>
            </w:r>
          </w:p>
        </w:tc>
      </w:tr>
      <w:tr w14:paraId="5B5E0DA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D38BBE8">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采购单位：泰顺县自然资源和规划局</w:t>
            </w:r>
          </w:p>
        </w:tc>
      </w:tr>
      <w:tr w14:paraId="4174B1D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88AF32E">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供应商名称（盖章）：</w:t>
            </w:r>
          </w:p>
        </w:tc>
      </w:tr>
      <w:tr w14:paraId="0BFE23D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BD2C532">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16548F1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FF6FC9C">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7C5B415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FA680E3">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6827BB40">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 xml:space="preserve"> </w:t>
      </w:r>
    </w:p>
    <w:p w14:paraId="3605A16B">
      <w:pPr>
        <w:pStyle w:val="2"/>
        <w:tabs>
          <w:tab w:val="left" w:pos="1069"/>
          <w:tab w:val="left" w:pos="2352"/>
        </w:tabs>
        <w:ind w:left="0" w:right="-257"/>
        <w:rPr>
          <w:color w:val="auto"/>
          <w:highlight w:val="none"/>
        </w:rPr>
      </w:pPr>
    </w:p>
    <w:p w14:paraId="1BC4E2BA">
      <w:pPr>
        <w:tabs>
          <w:tab w:val="left" w:pos="1069"/>
          <w:tab w:val="left" w:pos="2352"/>
        </w:tabs>
        <w:spacing w:line="360" w:lineRule="exact"/>
        <w:jc w:val="left"/>
        <w:rPr>
          <w:rFonts w:ascii="宋体" w:hAnsi="宋体" w:cs="宋体"/>
          <w:b/>
          <w:bCs/>
          <w:color w:val="auto"/>
          <w:sz w:val="30"/>
          <w:highlight w:val="none"/>
        </w:rPr>
      </w:pPr>
    </w:p>
    <w:p w14:paraId="5A6D0E05">
      <w:pPr>
        <w:tabs>
          <w:tab w:val="left" w:pos="1069"/>
          <w:tab w:val="left" w:pos="2352"/>
        </w:tabs>
        <w:spacing w:line="360" w:lineRule="exact"/>
        <w:jc w:val="left"/>
        <w:rPr>
          <w:rFonts w:ascii="宋体" w:hAnsi="宋体" w:cs="宋体"/>
          <w:b/>
          <w:bCs/>
          <w:color w:val="auto"/>
          <w:sz w:val="30"/>
          <w:highlight w:val="none"/>
        </w:rPr>
      </w:pPr>
    </w:p>
    <w:p w14:paraId="3BDEE888">
      <w:pPr>
        <w:tabs>
          <w:tab w:val="left" w:pos="1069"/>
          <w:tab w:val="left" w:pos="2352"/>
        </w:tabs>
        <w:spacing w:line="360" w:lineRule="exact"/>
        <w:jc w:val="left"/>
        <w:rPr>
          <w:rFonts w:ascii="宋体" w:hAnsi="宋体" w:cs="宋体"/>
          <w:b/>
          <w:bCs/>
          <w:color w:val="auto"/>
          <w:sz w:val="30"/>
          <w:highlight w:val="none"/>
        </w:rPr>
      </w:pPr>
    </w:p>
    <w:p w14:paraId="33955217">
      <w:pPr>
        <w:tabs>
          <w:tab w:val="left" w:pos="1069"/>
          <w:tab w:val="left" w:pos="2352"/>
        </w:tabs>
        <w:spacing w:line="360" w:lineRule="exact"/>
        <w:jc w:val="left"/>
        <w:rPr>
          <w:rFonts w:ascii="宋体" w:hAnsi="宋体" w:cs="宋体"/>
          <w:b/>
          <w:bCs/>
          <w:color w:val="auto"/>
          <w:sz w:val="30"/>
          <w:highlight w:val="none"/>
        </w:rPr>
      </w:pPr>
    </w:p>
    <w:p w14:paraId="088F60B5">
      <w:pPr>
        <w:tabs>
          <w:tab w:val="left" w:pos="1069"/>
          <w:tab w:val="left" w:pos="2352"/>
        </w:tabs>
        <w:spacing w:line="360" w:lineRule="exact"/>
        <w:jc w:val="left"/>
        <w:rPr>
          <w:rFonts w:ascii="宋体" w:hAnsi="宋体" w:cs="宋体"/>
          <w:b/>
          <w:bCs/>
          <w:color w:val="auto"/>
          <w:sz w:val="30"/>
          <w:highlight w:val="none"/>
        </w:rPr>
      </w:pPr>
      <w:r>
        <w:rPr>
          <w:rFonts w:hint="eastAsia" w:ascii="宋体" w:hAnsi="宋体" w:cs="宋体"/>
          <w:b/>
          <w:bCs/>
          <w:color w:val="auto"/>
          <w:sz w:val="30"/>
          <w:highlight w:val="none"/>
        </w:rPr>
        <w:t>附件五</w:t>
      </w:r>
    </w:p>
    <w:p w14:paraId="0F555C54">
      <w:pPr>
        <w:tabs>
          <w:tab w:val="left" w:pos="1069"/>
          <w:tab w:val="left" w:pos="2352"/>
        </w:tabs>
        <w:autoSpaceDE w:val="0"/>
        <w:autoSpaceDN w:val="0"/>
        <w:adjustRightInd w:val="0"/>
        <w:spacing w:line="360" w:lineRule="exact"/>
        <w:jc w:val="center"/>
        <w:rPr>
          <w:rFonts w:ascii="宋体" w:hAnsi="宋体" w:cs="宋体"/>
          <w:b/>
          <w:bCs/>
          <w:color w:val="auto"/>
          <w:sz w:val="30"/>
          <w:szCs w:val="30"/>
          <w:highlight w:val="none"/>
          <w:lang w:val="zh-CN"/>
        </w:rPr>
      </w:pPr>
      <w:bookmarkStart w:id="77" w:name="_Toc30988_WPSOffice_Level3"/>
      <w:r>
        <w:rPr>
          <w:rFonts w:hint="eastAsia" w:ascii="宋体" w:hAnsi="宋体" w:cs="宋体"/>
          <w:b/>
          <w:bCs/>
          <w:color w:val="auto"/>
          <w:sz w:val="30"/>
          <w:szCs w:val="30"/>
          <w:highlight w:val="none"/>
        </w:rPr>
        <w:t>报价</w:t>
      </w:r>
      <w:r>
        <w:rPr>
          <w:rFonts w:hint="eastAsia" w:ascii="宋体" w:hAnsi="宋体" w:cs="宋体"/>
          <w:b/>
          <w:bCs/>
          <w:color w:val="auto"/>
          <w:sz w:val="30"/>
          <w:szCs w:val="30"/>
          <w:highlight w:val="none"/>
          <w:lang w:val="zh-CN"/>
        </w:rPr>
        <w:t>函</w:t>
      </w:r>
      <w:bookmarkEnd w:id="77"/>
    </w:p>
    <w:p w14:paraId="41783C6F">
      <w:pPr>
        <w:tabs>
          <w:tab w:val="left" w:pos="1069"/>
          <w:tab w:val="left" w:pos="2352"/>
        </w:tabs>
        <w:autoSpaceDE w:val="0"/>
        <w:autoSpaceDN w:val="0"/>
        <w:adjustRightInd w:val="0"/>
        <w:spacing w:line="360" w:lineRule="exact"/>
        <w:rPr>
          <w:rFonts w:ascii="宋体" w:hAnsi="宋体" w:cs="宋体"/>
          <w:color w:val="auto"/>
          <w:sz w:val="36"/>
          <w:highlight w:val="none"/>
          <w:lang w:val="zh-CN"/>
        </w:rPr>
      </w:pPr>
    </w:p>
    <w:p w14:paraId="06FDBC20">
      <w:pPr>
        <w:pStyle w:val="10"/>
        <w:tabs>
          <w:tab w:val="left" w:pos="1069"/>
          <w:tab w:val="left" w:pos="2352"/>
        </w:tabs>
        <w:rPr>
          <w:rFonts w:hAnsi="宋体" w:cs="宋体"/>
          <w:color w:val="auto"/>
          <w:sz w:val="22"/>
          <w:highlight w:val="none"/>
          <w:u w:val="single"/>
        </w:rPr>
      </w:pPr>
      <w:r>
        <w:rPr>
          <w:rFonts w:hint="eastAsia" w:hAnsi="宋体" w:cs="宋体"/>
          <w:color w:val="auto"/>
          <w:sz w:val="22"/>
          <w:highlight w:val="none"/>
          <w:u w:val="single"/>
        </w:rPr>
        <w:t>泰顺县自然资源和规划局：</w:t>
      </w:r>
    </w:p>
    <w:p w14:paraId="169B8380">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u w:val="single"/>
          <w:lang w:val="zh-CN"/>
        </w:rPr>
        <w:t>（供应商全称）授权（授权代表名称）（职务、职称）</w:t>
      </w:r>
      <w:r>
        <w:rPr>
          <w:rFonts w:hint="eastAsia" w:ascii="宋体" w:hAnsi="宋体" w:cs="宋体"/>
          <w:color w:val="auto"/>
          <w:sz w:val="22"/>
          <w:highlight w:val="none"/>
          <w:lang w:val="zh-CN"/>
        </w:rPr>
        <w:t>为授权代表，参加贵方组织的</w:t>
      </w:r>
      <w:r>
        <w:rPr>
          <w:rFonts w:hint="eastAsia" w:ascii="宋体" w:hAnsi="宋体" w:cs="宋体"/>
          <w:color w:val="auto"/>
          <w:sz w:val="22"/>
          <w:highlight w:val="none"/>
          <w:u w:val="single"/>
          <w:lang w:eastAsia="zh-CN"/>
        </w:rPr>
        <w:t>2025年泰顺县森林资源动态监测与评价</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 xml:space="preserve">330329253440010000110-TSCG202512013 </w:t>
      </w:r>
      <w:r>
        <w:rPr>
          <w:rFonts w:hint="eastAsia" w:ascii="宋体" w:hAnsi="宋体" w:cs="宋体"/>
          <w:color w:val="auto"/>
          <w:sz w:val="22"/>
          <w:highlight w:val="none"/>
          <w:u w:val="single"/>
        </w:rPr>
        <w:t>）</w:t>
      </w:r>
      <w:r>
        <w:rPr>
          <w:rFonts w:hint="eastAsia" w:ascii="宋体" w:hAnsi="宋体" w:cs="宋体"/>
          <w:color w:val="auto"/>
          <w:sz w:val="22"/>
          <w:highlight w:val="none"/>
          <w:lang w:val="zh-CN"/>
        </w:rPr>
        <w:t>招标的有关活动，并对</w:t>
      </w:r>
      <w:r>
        <w:rPr>
          <w:rFonts w:hint="eastAsia" w:ascii="宋体" w:hAnsi="宋体" w:cs="宋体"/>
          <w:color w:val="auto"/>
          <w:sz w:val="22"/>
          <w:highlight w:val="none"/>
          <w:u w:val="single"/>
          <w:lang w:eastAsia="zh-CN"/>
        </w:rPr>
        <w:t>2025年泰顺县森林资源动态监测与评价</w:t>
      </w:r>
      <w:r>
        <w:rPr>
          <w:rFonts w:hint="eastAsia" w:ascii="宋体" w:hAnsi="宋体" w:cs="宋体"/>
          <w:color w:val="auto"/>
          <w:sz w:val="22"/>
          <w:highlight w:val="none"/>
          <w:lang w:val="zh-CN"/>
        </w:rPr>
        <w:t>进行投标。为此：</w:t>
      </w:r>
    </w:p>
    <w:p w14:paraId="26D01B47">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1、提供供应商须知规定的全部投标（响应）文件：</w:t>
      </w:r>
    </w:p>
    <w:p w14:paraId="7335B30B">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“电子加密投标文件”：在线上传递交。</w:t>
      </w:r>
    </w:p>
    <w:p w14:paraId="3DC1F84D">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2、保证遵守竞争性磋商文件中的有关规定和收费标准。</w:t>
      </w:r>
    </w:p>
    <w:p w14:paraId="344902F0">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3、保证忠实地执行采购人、中标（成交）供应商双方所签的合同，并承担合同规定的责任义务。</w:t>
      </w:r>
    </w:p>
    <w:p w14:paraId="4F9E88B2">
      <w:pPr>
        <w:pStyle w:val="10"/>
        <w:tabs>
          <w:tab w:val="left" w:pos="1069"/>
          <w:tab w:val="left" w:pos="2352"/>
        </w:tabs>
        <w:snapToGrid w:val="0"/>
        <w:spacing w:line="410" w:lineRule="atLeast"/>
        <w:ind w:firstLine="446" w:firstLineChars="200"/>
        <w:rPr>
          <w:rFonts w:hAnsi="宋体" w:cs="宋体"/>
          <w:color w:val="auto"/>
          <w:sz w:val="22"/>
          <w:highlight w:val="none"/>
        </w:rPr>
      </w:pPr>
      <w:r>
        <w:rPr>
          <w:rFonts w:hint="eastAsia" w:hAnsi="宋体" w:cs="宋体"/>
          <w:color w:val="auto"/>
          <w:sz w:val="22"/>
          <w:highlight w:val="none"/>
          <w:lang w:val="zh-CN"/>
        </w:rPr>
        <w:t>4、我方对完工期承诺如下：</w:t>
      </w:r>
      <w:r>
        <w:rPr>
          <w:rFonts w:hint="eastAsia" w:hAnsi="宋体" w:cs="宋体"/>
          <w:color w:val="auto"/>
          <w:sz w:val="22"/>
          <w:highlight w:val="none"/>
        </w:rPr>
        <w:t>按竞争性磋商文件规定期限交货并通过采购人验收，逾期采购人有权拒绝供货。</w:t>
      </w:r>
    </w:p>
    <w:p w14:paraId="691D8DFC">
      <w:pPr>
        <w:tabs>
          <w:tab w:val="left" w:pos="1069"/>
          <w:tab w:val="left" w:pos="2352"/>
        </w:tabs>
        <w:autoSpaceDE w:val="0"/>
        <w:autoSpaceDN w:val="0"/>
        <w:adjustRightInd w:val="0"/>
        <w:spacing w:line="440" w:lineRule="atLeast"/>
        <w:ind w:firstLine="450"/>
        <w:rPr>
          <w:rFonts w:ascii="宋体" w:hAnsi="宋体" w:cs="宋体"/>
          <w:color w:val="auto"/>
          <w:sz w:val="22"/>
          <w:highlight w:val="none"/>
          <w:lang w:val="zh-CN"/>
        </w:rPr>
      </w:pPr>
      <w:r>
        <w:rPr>
          <w:rFonts w:hint="eastAsia" w:ascii="宋体" w:hAnsi="宋体" w:cs="宋体"/>
          <w:color w:val="auto"/>
          <w:sz w:val="22"/>
          <w:highlight w:val="none"/>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14970F83">
      <w:pPr>
        <w:tabs>
          <w:tab w:val="left" w:pos="1069"/>
          <w:tab w:val="left" w:pos="2352"/>
        </w:tabs>
        <w:spacing w:line="340" w:lineRule="exact"/>
        <w:ind w:firstLine="448" w:firstLineChars="201"/>
        <w:rPr>
          <w:rFonts w:ascii="宋体" w:hAnsi="宋体" w:cs="宋体"/>
          <w:color w:val="auto"/>
          <w:sz w:val="22"/>
          <w:highlight w:val="none"/>
        </w:rPr>
      </w:pPr>
      <w:r>
        <w:rPr>
          <w:rFonts w:hint="eastAsia" w:ascii="宋体" w:hAnsi="宋体" w:cs="宋体"/>
          <w:color w:val="auto"/>
          <w:sz w:val="22"/>
          <w:highlight w:val="none"/>
        </w:rPr>
        <w:t>6、利益冲突：近三年内直至目前，我公司与本项目的采购人、招标代理机构没有任何的隶属关系。</w:t>
      </w:r>
    </w:p>
    <w:p w14:paraId="4AAD0961">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rPr>
        <w:t>7、我公司没有被各级、各地财政监管部门限制参加政府采购活动，且在限制期内。</w:t>
      </w:r>
    </w:p>
    <w:p w14:paraId="7983F83B">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8、愿意向贵方提供任何与该项投标有关的数据、情况和技术资料，完全理解贵方不一定接受最低价的投标或收到的任何投标。</w:t>
      </w:r>
    </w:p>
    <w:p w14:paraId="1F430518">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9、本投标自开标之日起90天内有效。</w:t>
      </w:r>
    </w:p>
    <w:p w14:paraId="5CA1CF37">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10、与本投标有关的一切往来通讯请寄：</w:t>
      </w:r>
    </w:p>
    <w:p w14:paraId="616DF5C3">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u w:val="single"/>
        </w:rPr>
      </w:pPr>
      <w:r>
        <w:rPr>
          <w:rFonts w:hint="eastAsia" w:ascii="宋体" w:hAnsi="宋体" w:cs="宋体"/>
          <w:color w:val="auto"/>
          <w:sz w:val="22"/>
          <w:highlight w:val="none"/>
          <w:lang w:val="zh-CN"/>
        </w:rPr>
        <w:t>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邮编：</w:t>
      </w:r>
      <w:r>
        <w:rPr>
          <w:rFonts w:hint="eastAsia" w:ascii="宋体" w:hAnsi="宋体" w:cs="宋体"/>
          <w:color w:val="auto"/>
          <w:sz w:val="22"/>
          <w:highlight w:val="none"/>
          <w:u w:val="single"/>
        </w:rPr>
        <w:t xml:space="preserve">                     </w:t>
      </w:r>
    </w:p>
    <w:p w14:paraId="440FF388">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传真：</w:t>
      </w:r>
      <w:r>
        <w:rPr>
          <w:rFonts w:hint="eastAsia" w:ascii="宋体" w:hAnsi="宋体" w:cs="宋体"/>
          <w:color w:val="auto"/>
          <w:sz w:val="22"/>
          <w:highlight w:val="none"/>
          <w:u w:val="single"/>
        </w:rPr>
        <w:t xml:space="preserve">                     </w:t>
      </w:r>
    </w:p>
    <w:p w14:paraId="11644733">
      <w:pPr>
        <w:pStyle w:val="10"/>
        <w:tabs>
          <w:tab w:val="left" w:pos="1069"/>
          <w:tab w:val="left" w:pos="2352"/>
        </w:tabs>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768E58CE">
      <w:pPr>
        <w:pStyle w:val="10"/>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44095F9A">
      <w:pPr>
        <w:pStyle w:val="10"/>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088C74C3">
      <w:pPr>
        <w:tabs>
          <w:tab w:val="left" w:pos="1069"/>
          <w:tab w:val="left" w:pos="2352"/>
        </w:tabs>
        <w:spacing w:line="360" w:lineRule="exact"/>
        <w:jc w:val="left"/>
        <w:rPr>
          <w:rFonts w:ascii="宋体" w:hAnsi="宋体" w:cs="宋体"/>
          <w:color w:val="auto"/>
          <w:sz w:val="22"/>
          <w:highlight w:val="none"/>
        </w:rPr>
      </w:pPr>
    </w:p>
    <w:p w14:paraId="2B456DE8">
      <w:pPr>
        <w:tabs>
          <w:tab w:val="left" w:pos="1069"/>
          <w:tab w:val="left" w:pos="2352"/>
        </w:tabs>
        <w:spacing w:line="360" w:lineRule="exact"/>
        <w:jc w:val="left"/>
        <w:rPr>
          <w:rFonts w:ascii="宋体" w:hAnsi="宋体" w:cs="宋体"/>
          <w:color w:val="auto"/>
          <w:sz w:val="22"/>
          <w:highlight w:val="none"/>
        </w:rPr>
      </w:pPr>
    </w:p>
    <w:p w14:paraId="172AF221">
      <w:pPr>
        <w:tabs>
          <w:tab w:val="left" w:pos="1069"/>
          <w:tab w:val="left" w:pos="2352"/>
        </w:tabs>
        <w:spacing w:line="360" w:lineRule="exact"/>
        <w:jc w:val="left"/>
        <w:rPr>
          <w:rFonts w:ascii="宋体" w:hAnsi="宋体" w:cs="宋体"/>
          <w:b/>
          <w:bCs/>
          <w:color w:val="auto"/>
          <w:sz w:val="30"/>
          <w:highlight w:val="none"/>
        </w:rPr>
      </w:pPr>
    </w:p>
    <w:p w14:paraId="0F70392E">
      <w:pPr>
        <w:pStyle w:val="6"/>
        <w:tabs>
          <w:tab w:val="left" w:pos="1069"/>
          <w:tab w:val="left" w:pos="2352"/>
        </w:tabs>
        <w:rPr>
          <w:color w:val="auto"/>
          <w:highlight w:val="none"/>
        </w:rPr>
      </w:pPr>
    </w:p>
    <w:p w14:paraId="242215E8">
      <w:pPr>
        <w:tabs>
          <w:tab w:val="left" w:pos="1069"/>
          <w:tab w:val="left" w:pos="2352"/>
        </w:tabs>
        <w:spacing w:line="360" w:lineRule="exact"/>
        <w:jc w:val="left"/>
        <w:rPr>
          <w:rFonts w:ascii="宋体" w:hAnsi="宋体" w:cs="宋体"/>
          <w:color w:val="auto"/>
          <w:sz w:val="22"/>
          <w:highlight w:val="none"/>
        </w:rPr>
      </w:pPr>
      <w:r>
        <w:rPr>
          <w:rFonts w:hint="eastAsia" w:ascii="宋体" w:hAnsi="宋体" w:cs="宋体"/>
          <w:b/>
          <w:bCs/>
          <w:color w:val="auto"/>
          <w:sz w:val="30"/>
          <w:highlight w:val="none"/>
        </w:rPr>
        <w:t>附件六</w:t>
      </w:r>
    </w:p>
    <w:p w14:paraId="79F5CCA9">
      <w:pPr>
        <w:tabs>
          <w:tab w:val="left" w:pos="1069"/>
          <w:tab w:val="left" w:pos="2352"/>
        </w:tabs>
        <w:spacing w:line="360" w:lineRule="exact"/>
        <w:jc w:val="center"/>
        <w:rPr>
          <w:rFonts w:ascii="宋体" w:hAnsi="宋体" w:cs="宋体"/>
          <w:b/>
          <w:bCs/>
          <w:color w:val="auto"/>
          <w:sz w:val="30"/>
          <w:highlight w:val="none"/>
          <w:lang w:val="zh-CN"/>
        </w:rPr>
      </w:pPr>
      <w:bookmarkStart w:id="78" w:name="_Toc15399_WPSOffice_Level3"/>
      <w:r>
        <w:rPr>
          <w:rFonts w:hint="eastAsia" w:ascii="宋体" w:hAnsi="宋体" w:cs="宋体"/>
          <w:b/>
          <w:bCs/>
          <w:color w:val="auto"/>
          <w:sz w:val="30"/>
          <w:highlight w:val="none"/>
          <w:lang w:val="zh-CN"/>
        </w:rPr>
        <w:t>供应商参与政府采购活动投标资格声明函</w:t>
      </w:r>
      <w:bookmarkEnd w:id="78"/>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220E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19ED4458">
            <w:pPr>
              <w:pStyle w:val="10"/>
              <w:tabs>
                <w:tab w:val="left" w:pos="1069"/>
                <w:tab w:val="left" w:pos="2352"/>
              </w:tabs>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项目名称</w:t>
            </w:r>
          </w:p>
        </w:tc>
        <w:tc>
          <w:tcPr>
            <w:tcW w:w="7992" w:type="dxa"/>
          </w:tcPr>
          <w:p w14:paraId="0D01F471">
            <w:pPr>
              <w:pStyle w:val="10"/>
              <w:tabs>
                <w:tab w:val="left" w:pos="1069"/>
                <w:tab w:val="left" w:pos="2352"/>
              </w:tabs>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2025年泰顺县森林资源动态监测与评价</w:t>
            </w:r>
          </w:p>
        </w:tc>
      </w:tr>
      <w:tr w14:paraId="0327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0FD48E05">
            <w:pPr>
              <w:pStyle w:val="10"/>
              <w:tabs>
                <w:tab w:val="left" w:pos="1069"/>
                <w:tab w:val="left" w:pos="2352"/>
              </w:tabs>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项目采购编号</w:t>
            </w:r>
          </w:p>
        </w:tc>
        <w:tc>
          <w:tcPr>
            <w:tcW w:w="7992" w:type="dxa"/>
          </w:tcPr>
          <w:p w14:paraId="5EDCA676">
            <w:pPr>
              <w:pStyle w:val="10"/>
              <w:tabs>
                <w:tab w:val="left" w:pos="1069"/>
                <w:tab w:val="left" w:pos="2352"/>
              </w:tabs>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 xml:space="preserve">330329253440010000110-TSCG202512013 </w:t>
            </w:r>
          </w:p>
        </w:tc>
      </w:tr>
      <w:tr w14:paraId="01E4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403FD69">
            <w:pPr>
              <w:pStyle w:val="10"/>
              <w:tabs>
                <w:tab w:val="left" w:pos="1069"/>
                <w:tab w:val="left" w:pos="2352"/>
              </w:tabs>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时间</w:t>
            </w:r>
          </w:p>
        </w:tc>
        <w:tc>
          <w:tcPr>
            <w:tcW w:w="7992" w:type="dxa"/>
          </w:tcPr>
          <w:p w14:paraId="50AA3357">
            <w:pPr>
              <w:pStyle w:val="10"/>
              <w:tabs>
                <w:tab w:val="left" w:pos="1069"/>
                <w:tab w:val="left" w:pos="2352"/>
              </w:tabs>
              <w:adjustRightInd w:val="0"/>
              <w:snapToGrid w:val="0"/>
              <w:spacing w:line="400" w:lineRule="exact"/>
              <w:jc w:val="center"/>
              <w:rPr>
                <w:rFonts w:hAnsi="宋体" w:cs="宋体"/>
                <w:color w:val="auto"/>
                <w:kern w:val="2"/>
                <w:sz w:val="22"/>
                <w:szCs w:val="22"/>
                <w:highlight w:val="none"/>
              </w:rPr>
            </w:pPr>
            <w:r>
              <w:rPr>
                <w:rFonts w:hint="eastAsia" w:hAnsi="宋体" w:cs="宋体"/>
                <w:color w:val="auto"/>
                <w:kern w:val="2"/>
                <w:sz w:val="22"/>
                <w:szCs w:val="22"/>
                <w:highlight w:val="none"/>
              </w:rPr>
              <w:t>本项目投标截止时间</w:t>
            </w:r>
          </w:p>
        </w:tc>
      </w:tr>
      <w:tr w14:paraId="75F4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75AA764C">
            <w:pPr>
              <w:pStyle w:val="10"/>
              <w:tabs>
                <w:tab w:val="left" w:pos="1069"/>
                <w:tab w:val="left" w:pos="2352"/>
              </w:tabs>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1、根据政府采购法第二十二条规定，我单位满足以下条件，并已经在《资格文件》中提供了相应的证明材料：</w:t>
            </w:r>
          </w:p>
          <w:p w14:paraId="72013691">
            <w:pPr>
              <w:pStyle w:val="10"/>
              <w:tabs>
                <w:tab w:val="left" w:pos="1069"/>
                <w:tab w:val="left" w:pos="2352"/>
              </w:tabs>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六）法律、行政法规规定的其他条件。</w:t>
            </w:r>
          </w:p>
          <w:p w14:paraId="4E8F8DF2">
            <w:pPr>
              <w:pStyle w:val="10"/>
              <w:tabs>
                <w:tab w:val="left" w:pos="1069"/>
                <w:tab w:val="left" w:pos="2352"/>
              </w:tabs>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61415748">
            <w:pPr>
              <w:pStyle w:val="10"/>
              <w:tabs>
                <w:tab w:val="left" w:pos="1069"/>
                <w:tab w:val="left" w:pos="2352"/>
              </w:tabs>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3、我单位没有被各地、各级财政部门限制参加政府采购活动，且在限制期内：</w:t>
            </w:r>
          </w:p>
          <w:p w14:paraId="598F3998">
            <w:pPr>
              <w:tabs>
                <w:tab w:val="left" w:pos="1069"/>
                <w:tab w:val="left" w:pos="2352"/>
                <w:tab w:val="center" w:pos="4483"/>
              </w:tabs>
              <w:adjustRightInd w:val="0"/>
              <w:spacing w:line="360" w:lineRule="auto"/>
              <w:ind w:firstLine="400"/>
              <w:rPr>
                <w:rFonts w:ascii="宋体" w:hAnsi="宋体" w:cs="宋体"/>
                <w:color w:val="auto"/>
                <w:szCs w:val="21"/>
                <w:highlight w:val="none"/>
                <w:u w:val="single"/>
              </w:rPr>
            </w:pPr>
            <w:r>
              <w:rPr>
                <w:rFonts w:hint="eastAsia" w:ascii="宋体" w:hAns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r>
              <w:rPr>
                <w:rFonts w:hint="eastAsia" w:ascii="宋体" w:hAnsi="宋体" w:cs="宋体"/>
                <w:color w:val="auto"/>
                <w:szCs w:val="21"/>
                <w:highlight w:val="none"/>
                <w:u w:val="single"/>
              </w:rPr>
              <w:t>（若无则说明无）。</w:t>
            </w:r>
          </w:p>
          <w:p w14:paraId="1B0DC801">
            <w:pPr>
              <w:tabs>
                <w:tab w:val="left" w:pos="1069"/>
                <w:tab w:val="left" w:pos="2352"/>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rPr>
              <w:t>5、我单位符合本项目特定资格条件：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要求，并在《资格文件》中提供了相应的证明材料</w:t>
            </w:r>
            <w:r>
              <w:rPr>
                <w:rFonts w:hint="eastAsia" w:ascii="宋体" w:hAnsi="宋体" w:cs="宋体"/>
                <w:color w:val="auto"/>
                <w:szCs w:val="21"/>
                <w:highlight w:val="none"/>
                <w:u w:val="single"/>
              </w:rPr>
              <w:t>（竞争性磋商文件没有要求特定资格条件的，本条款空格处可以空白）</w:t>
            </w:r>
          </w:p>
          <w:p w14:paraId="2A21C2CC">
            <w:pPr>
              <w:tabs>
                <w:tab w:val="left" w:pos="1069"/>
                <w:tab w:val="left" w:pos="2352"/>
                <w:tab w:val="center" w:pos="4483"/>
              </w:tabs>
              <w:adjustRightInd w:val="0"/>
              <w:spacing w:line="360" w:lineRule="auto"/>
              <w:ind w:firstLine="426" w:firstLineChars="200"/>
              <w:rPr>
                <w:rFonts w:ascii="宋体" w:hAnsi="宋体" w:cs="宋体"/>
                <w:color w:val="auto"/>
                <w:sz w:val="20"/>
                <w:highlight w:val="none"/>
              </w:rPr>
            </w:pPr>
            <w:r>
              <w:rPr>
                <w:rFonts w:hint="eastAsia" w:ascii="宋体" w:hAnsi="宋体" w:cs="宋体"/>
                <w:color w:val="auto"/>
                <w:szCs w:val="21"/>
                <w:highlight w:val="none"/>
              </w:rPr>
              <w:t>本公司所提交的本声明和陈述均是真实的、准确的。若与真实情况不符，本公司愿意承担由此而产生的一切后果。我方提供了全部能提供的资料和数据，我们同意遵照贵方要求出示有关证明文件。</w:t>
            </w:r>
          </w:p>
        </w:tc>
      </w:tr>
      <w:tr w14:paraId="50E1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28E341F3">
            <w:pPr>
              <w:pStyle w:val="10"/>
              <w:tabs>
                <w:tab w:val="left" w:pos="1069"/>
                <w:tab w:val="left" w:pos="2352"/>
              </w:tabs>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供应商名称（加盖盖章）：</w:t>
            </w:r>
          </w:p>
        </w:tc>
      </w:tr>
      <w:tr w14:paraId="182E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32FE68F5">
            <w:pPr>
              <w:pStyle w:val="10"/>
              <w:tabs>
                <w:tab w:val="left" w:pos="1069"/>
                <w:tab w:val="left" w:pos="2352"/>
              </w:tabs>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法定代表人（签字或盖章）或授权代表（签字）：</w:t>
            </w:r>
          </w:p>
        </w:tc>
      </w:tr>
      <w:tr w14:paraId="3F17A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47674F9C">
            <w:pPr>
              <w:pStyle w:val="10"/>
              <w:tabs>
                <w:tab w:val="left" w:pos="1069"/>
                <w:tab w:val="left" w:pos="2352"/>
              </w:tabs>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签署日期：</w:t>
            </w:r>
          </w:p>
        </w:tc>
      </w:tr>
    </w:tbl>
    <w:p w14:paraId="3664159E">
      <w:pPr>
        <w:tabs>
          <w:tab w:val="left" w:pos="1069"/>
          <w:tab w:val="left" w:pos="2352"/>
        </w:tabs>
        <w:spacing w:line="360" w:lineRule="exact"/>
        <w:jc w:val="left"/>
        <w:rPr>
          <w:rFonts w:ascii="宋体" w:hAnsi="宋体" w:cs="宋体"/>
          <w:bCs/>
          <w:color w:val="auto"/>
          <w:sz w:val="22"/>
          <w:highlight w:val="none"/>
          <w:u w:val="single"/>
        </w:rPr>
      </w:pPr>
    </w:p>
    <w:p w14:paraId="67E379CA">
      <w:pPr>
        <w:tabs>
          <w:tab w:val="left" w:pos="1069"/>
          <w:tab w:val="left" w:pos="2352"/>
        </w:tabs>
        <w:spacing w:line="360" w:lineRule="exact"/>
        <w:jc w:val="left"/>
        <w:rPr>
          <w:rFonts w:ascii="宋体" w:hAnsi="宋体" w:cs="宋体"/>
          <w:bCs/>
          <w:color w:val="auto"/>
          <w:sz w:val="22"/>
          <w:highlight w:val="none"/>
          <w:u w:val="single"/>
        </w:rPr>
      </w:pPr>
      <w:r>
        <w:rPr>
          <w:rFonts w:hint="eastAsia" w:ascii="宋体" w:hAnsi="宋体" w:cs="宋体"/>
          <w:bCs/>
          <w:color w:val="auto"/>
          <w:sz w:val="22"/>
          <w:highlight w:val="none"/>
          <w:u w:val="single"/>
        </w:rPr>
        <w:t>备注：▲投标供应商必须按要求提供本声明，不提供按无效投标处理。</w:t>
      </w:r>
    </w:p>
    <w:p w14:paraId="161D7DCF">
      <w:pPr>
        <w:tabs>
          <w:tab w:val="left" w:pos="1069"/>
          <w:tab w:val="left" w:pos="2352"/>
        </w:tabs>
        <w:spacing w:line="360" w:lineRule="exact"/>
        <w:jc w:val="left"/>
        <w:rPr>
          <w:rFonts w:ascii="宋体" w:hAnsi="宋体" w:cs="宋体"/>
          <w:b/>
          <w:bCs/>
          <w:color w:val="auto"/>
          <w:sz w:val="32"/>
          <w:szCs w:val="32"/>
          <w:highlight w:val="none"/>
        </w:rPr>
      </w:pPr>
    </w:p>
    <w:p w14:paraId="26AFCEA9">
      <w:pPr>
        <w:pStyle w:val="2"/>
        <w:ind w:left="0" w:leftChars="0" w:firstLine="0" w:firstLineChars="0"/>
      </w:pPr>
    </w:p>
    <w:p w14:paraId="2F34464F">
      <w:pPr>
        <w:tabs>
          <w:tab w:val="left" w:pos="1069"/>
          <w:tab w:val="left" w:pos="2352"/>
        </w:tabs>
        <w:spacing w:line="360" w:lineRule="exact"/>
        <w:jc w:val="left"/>
        <w:rPr>
          <w:rFonts w:ascii="宋体" w:hAnsi="宋体" w:cs="宋体"/>
          <w:b/>
          <w:bCs/>
          <w:color w:val="auto"/>
          <w:sz w:val="32"/>
          <w:szCs w:val="32"/>
          <w:highlight w:val="none"/>
        </w:rPr>
      </w:pPr>
      <w:r>
        <w:rPr>
          <w:rFonts w:hint="eastAsia" w:ascii="宋体" w:hAnsi="宋体" w:cs="宋体"/>
          <w:b/>
          <w:bCs/>
          <w:color w:val="auto"/>
          <w:sz w:val="32"/>
          <w:szCs w:val="32"/>
          <w:highlight w:val="none"/>
        </w:rPr>
        <w:t>附件七</w:t>
      </w:r>
    </w:p>
    <w:p w14:paraId="143A06A8">
      <w:pPr>
        <w:tabs>
          <w:tab w:val="left" w:pos="1069"/>
          <w:tab w:val="left" w:pos="2352"/>
        </w:tabs>
        <w:jc w:val="center"/>
        <w:rPr>
          <w:rFonts w:ascii="宋体" w:hAnsi="宋体" w:cs="宋体"/>
          <w:color w:val="auto"/>
          <w:sz w:val="24"/>
          <w:highlight w:val="none"/>
        </w:rPr>
      </w:pPr>
      <w:bookmarkStart w:id="79" w:name="_Toc7010_WPSOffice_Level3"/>
      <w:r>
        <w:rPr>
          <w:rFonts w:hint="eastAsia" w:ascii="宋体" w:hAnsi="宋体" w:cs="宋体"/>
          <w:b/>
          <w:bCs/>
          <w:color w:val="auto"/>
          <w:sz w:val="32"/>
          <w:szCs w:val="32"/>
          <w:highlight w:val="none"/>
        </w:rPr>
        <w:t>法定代表人诚信投标承诺书</w:t>
      </w:r>
      <w:bookmarkEnd w:id="79"/>
    </w:p>
    <w:p w14:paraId="4A9EB63E">
      <w:pPr>
        <w:tabs>
          <w:tab w:val="left" w:pos="1069"/>
          <w:tab w:val="left" w:pos="2352"/>
        </w:tabs>
        <w:spacing w:line="460" w:lineRule="atLeast"/>
        <w:jc w:val="left"/>
        <w:rPr>
          <w:rFonts w:ascii="宋体" w:hAnsi="宋体" w:cs="宋体"/>
          <w:color w:val="auto"/>
          <w:sz w:val="22"/>
          <w:highlight w:val="none"/>
        </w:rPr>
      </w:pPr>
      <w:r>
        <w:rPr>
          <w:rFonts w:hint="eastAsia" w:ascii="宋体" w:hAnsi="宋体" w:cs="宋体"/>
          <w:color w:val="auto"/>
          <w:sz w:val="22"/>
          <w:highlight w:val="none"/>
        </w:rPr>
        <w:t>本人以企业法定代表人的身份郑重承诺：</w:t>
      </w:r>
    </w:p>
    <w:p w14:paraId="39FCBD5E">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将遵循公开、公平、公正和诚信信用的原则参加</w:t>
      </w:r>
      <w:r>
        <w:rPr>
          <w:rFonts w:hint="eastAsia" w:ascii="宋体" w:hAnsi="宋体" w:cs="宋体"/>
          <w:color w:val="auto"/>
          <w:sz w:val="22"/>
          <w:highlight w:val="none"/>
          <w:u w:val="single"/>
          <w:lang w:eastAsia="zh-CN"/>
        </w:rPr>
        <w:t>2025年泰顺县森林资源动态监测与评价</w:t>
      </w:r>
      <w:r>
        <w:rPr>
          <w:rFonts w:hint="eastAsia" w:ascii="宋体" w:hAnsi="宋体" w:cs="宋体"/>
          <w:color w:val="auto"/>
          <w:sz w:val="22"/>
          <w:highlight w:val="none"/>
          <w:u w:val="single"/>
        </w:rPr>
        <w:t>（采购编号：</w:t>
      </w:r>
      <w:r>
        <w:rPr>
          <w:rFonts w:hint="eastAsia" w:ascii="宋体" w:hAnsi="宋体" w:cs="宋体"/>
          <w:color w:val="auto"/>
          <w:sz w:val="22"/>
          <w:highlight w:val="none"/>
          <w:u w:val="single"/>
          <w:lang w:eastAsia="zh-CN"/>
        </w:rPr>
        <w:t xml:space="preserve">330329253440010000110-TSCG202512013 </w:t>
      </w:r>
      <w:r>
        <w:rPr>
          <w:rFonts w:hint="eastAsia" w:ascii="宋体" w:hAnsi="宋体" w:cs="宋体"/>
          <w:color w:val="auto"/>
          <w:sz w:val="22"/>
          <w:highlight w:val="none"/>
          <w:u w:val="single"/>
        </w:rPr>
        <w:t>）</w:t>
      </w:r>
      <w:r>
        <w:rPr>
          <w:rFonts w:hint="eastAsia" w:ascii="宋体" w:hAnsi="宋体" w:cs="宋体"/>
          <w:color w:val="auto"/>
          <w:sz w:val="22"/>
          <w:highlight w:val="none"/>
        </w:rPr>
        <w:t>的投标；</w:t>
      </w:r>
    </w:p>
    <w:p w14:paraId="4E56E55B">
      <w:pPr>
        <w:tabs>
          <w:tab w:val="left" w:pos="1069"/>
          <w:tab w:val="left" w:pos="2352"/>
        </w:tabs>
        <w:spacing w:line="460" w:lineRule="atLeast"/>
        <w:ind w:firstLine="446" w:firstLineChars="200"/>
        <w:jc w:val="left"/>
        <w:rPr>
          <w:rFonts w:ascii="宋体" w:hAnsi="宋体" w:cs="宋体"/>
          <w:color w:val="auto"/>
          <w:sz w:val="22"/>
          <w:highlight w:val="none"/>
          <w:u w:val="single"/>
        </w:rPr>
      </w:pPr>
      <w:r>
        <w:rPr>
          <w:rFonts w:hint="eastAsia" w:ascii="宋体" w:hAnsi="宋体" w:cs="宋体"/>
          <w:color w:val="auto"/>
          <w:sz w:val="22"/>
          <w:highlight w:val="none"/>
        </w:rPr>
        <w:t>一、杜绝以收取管理费等形式的一切挂靠、违法转包、分包行为；并选派有丰富经验、无不良行为记录的在项目管理人员、技术人员，严格按竞争性磋商文件、投标（响应）文件及合同等要求保证拟派人员的到岗率。</w:t>
      </w:r>
    </w:p>
    <w:p w14:paraId="31C861AC">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二、投标（响应）文件所提供的一切材料都是真实、有效、合法的。</w:t>
      </w:r>
    </w:p>
    <w:p w14:paraId="2F4E9219">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三、不与其他投标人相互串通投标报价，不排挤其他投标人的公平竞争，不损害招标人或其他投标人的合法权益。</w:t>
      </w:r>
    </w:p>
    <w:p w14:paraId="418351A3">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四、不与采购人或招标代理机构串通投标，不损害国家利益，社会公共利益或其他人的合法权益。</w:t>
      </w:r>
    </w:p>
    <w:p w14:paraId="1C1ABB44">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五、不向采购人或者评审小组成员行贿以牟取中标(成交)。</w:t>
      </w:r>
    </w:p>
    <w:p w14:paraId="3BBEE181">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六、不以其他人名义投标或者以其他方式弄虚作假，骗取中标(成交)。</w:t>
      </w:r>
    </w:p>
    <w:p w14:paraId="16EB9240">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七、不在开标后进行虚假恶意投诉。</w:t>
      </w:r>
    </w:p>
    <w:p w14:paraId="4D8105A5">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58B36DE8">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九、没有被各地、各级财政部门禁止参加政府采购活动，且在限制期限内：</w:t>
      </w:r>
    </w:p>
    <w:p w14:paraId="6D7EDA33">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十、参与本项目政府采购活动3年内没有重大违法记录情况。</w:t>
      </w:r>
    </w:p>
    <w:p w14:paraId="0CB7F111">
      <w:pPr>
        <w:tabs>
          <w:tab w:val="left" w:pos="1069"/>
          <w:tab w:val="left" w:pos="2352"/>
        </w:tabs>
        <w:spacing w:line="46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本公司若有违反本承诺内容的行为，愿意承担法律责任，包括不限于：愿意接受相关行政主管部门作出的处罚；给采购人造成损失的，依法承担相应的赔偿责任。</w:t>
      </w:r>
    </w:p>
    <w:p w14:paraId="06370479">
      <w:pPr>
        <w:tabs>
          <w:tab w:val="left" w:pos="1069"/>
          <w:tab w:val="left" w:pos="2352"/>
        </w:tabs>
        <w:spacing w:line="460" w:lineRule="atLeast"/>
        <w:ind w:right="1120" w:firstLine="3010" w:firstLineChars="1350"/>
        <w:rPr>
          <w:rFonts w:ascii="宋体" w:hAnsi="宋体" w:cs="宋体"/>
          <w:color w:val="auto"/>
          <w:sz w:val="22"/>
          <w:highlight w:val="none"/>
        </w:rPr>
      </w:pPr>
      <w:r>
        <w:rPr>
          <w:rFonts w:hint="eastAsia" w:ascii="宋体" w:hAnsi="宋体" w:cs="宋体"/>
          <w:b/>
          <w:bCs/>
          <w:color w:val="auto"/>
          <w:sz w:val="22"/>
          <w:highlight w:val="none"/>
        </w:rPr>
        <w:t>法定代表人（签字或签章）</w:t>
      </w:r>
      <w:r>
        <w:rPr>
          <w:rFonts w:hint="eastAsia" w:ascii="宋体" w:hAnsi="宋体" w:cs="宋体"/>
          <w:color w:val="auto"/>
          <w:sz w:val="22"/>
          <w:highlight w:val="none"/>
        </w:rPr>
        <w:t>：</w:t>
      </w:r>
    </w:p>
    <w:p w14:paraId="09174300">
      <w:pPr>
        <w:tabs>
          <w:tab w:val="left" w:pos="1069"/>
          <w:tab w:val="left" w:pos="2352"/>
        </w:tabs>
        <w:spacing w:line="460" w:lineRule="atLeast"/>
        <w:ind w:right="1120" w:firstLine="3010" w:firstLineChars="1350"/>
        <w:rPr>
          <w:rFonts w:ascii="宋体" w:hAnsi="宋体" w:cs="宋体"/>
          <w:color w:val="auto"/>
          <w:sz w:val="22"/>
          <w:highlight w:val="none"/>
        </w:rPr>
      </w:pPr>
      <w:r>
        <w:rPr>
          <w:rFonts w:hint="eastAsia" w:ascii="宋体" w:hAnsi="宋体" w:cs="宋体"/>
          <w:color w:val="auto"/>
          <w:sz w:val="22"/>
          <w:highlight w:val="none"/>
        </w:rPr>
        <w:t>投标供应商（盖章）</w:t>
      </w:r>
    </w:p>
    <w:p w14:paraId="4F9AC2AE">
      <w:pPr>
        <w:tabs>
          <w:tab w:val="left" w:pos="1069"/>
          <w:tab w:val="left" w:pos="2352"/>
        </w:tabs>
        <w:spacing w:line="460" w:lineRule="atLeast"/>
        <w:ind w:right="1120" w:firstLine="3122" w:firstLineChars="1400"/>
        <w:rPr>
          <w:rFonts w:ascii="宋体" w:hAnsi="宋体" w:cs="宋体"/>
          <w:color w:val="auto"/>
          <w:szCs w:val="21"/>
          <w:highlight w:val="none"/>
        </w:rPr>
      </w:pPr>
      <w:r>
        <w:rPr>
          <w:rFonts w:hint="eastAsia" w:ascii="宋体" w:hAnsi="宋体" w:cs="宋体"/>
          <w:color w:val="auto"/>
          <w:sz w:val="22"/>
          <w:highlight w:val="none"/>
        </w:rPr>
        <w:t>承诺书签署日期：年月日</w:t>
      </w:r>
    </w:p>
    <w:p w14:paraId="4A7F398D">
      <w:pPr>
        <w:tabs>
          <w:tab w:val="left" w:pos="1069"/>
          <w:tab w:val="left" w:pos="2352"/>
        </w:tabs>
        <w:spacing w:line="360" w:lineRule="exact"/>
        <w:jc w:val="left"/>
        <w:rPr>
          <w:rFonts w:ascii="宋体" w:hAnsi="宋体" w:cs="宋体"/>
          <w:color w:val="auto"/>
          <w:sz w:val="30"/>
          <w:highlight w:val="none"/>
        </w:rPr>
      </w:pPr>
      <w:r>
        <w:rPr>
          <w:rFonts w:hint="eastAsia" w:ascii="宋体" w:hAnsi="宋体" w:cs="宋体"/>
          <w:bCs/>
          <w:color w:val="auto"/>
          <w:sz w:val="22"/>
          <w:highlight w:val="none"/>
          <w:u w:val="single"/>
        </w:rPr>
        <w:t>备注：▲投标供应商必须提供本承诺书，不提供按无效投标处理。</w:t>
      </w:r>
    </w:p>
    <w:p w14:paraId="2819BBC1">
      <w:pPr>
        <w:pStyle w:val="10"/>
        <w:tabs>
          <w:tab w:val="left" w:pos="1069"/>
          <w:tab w:val="left" w:pos="2352"/>
        </w:tabs>
        <w:spacing w:line="360" w:lineRule="exact"/>
        <w:jc w:val="center"/>
        <w:rPr>
          <w:rFonts w:hAnsi="宋体" w:cs="宋体"/>
          <w:color w:val="auto"/>
          <w:sz w:val="32"/>
          <w:highlight w:val="none"/>
        </w:rPr>
      </w:pPr>
    </w:p>
    <w:p w14:paraId="44E96D0C">
      <w:pPr>
        <w:tabs>
          <w:tab w:val="left" w:pos="1069"/>
          <w:tab w:val="left" w:pos="2352"/>
        </w:tabs>
        <w:spacing w:line="360" w:lineRule="exact"/>
        <w:jc w:val="left"/>
        <w:rPr>
          <w:rFonts w:ascii="宋体" w:hAnsi="宋体" w:cs="宋体"/>
          <w:color w:val="auto"/>
          <w:sz w:val="30"/>
          <w:highlight w:val="none"/>
        </w:rPr>
      </w:pPr>
    </w:p>
    <w:p w14:paraId="40738FE5">
      <w:pPr>
        <w:pStyle w:val="10"/>
        <w:tabs>
          <w:tab w:val="left" w:pos="1069"/>
          <w:tab w:val="left" w:pos="2352"/>
        </w:tabs>
        <w:spacing w:line="360" w:lineRule="exact"/>
        <w:jc w:val="left"/>
        <w:rPr>
          <w:rFonts w:hAnsi="宋体" w:cs="宋体"/>
          <w:b/>
          <w:bCs/>
          <w:color w:val="auto"/>
          <w:sz w:val="32"/>
          <w:highlight w:val="none"/>
          <w:lang w:val="zh-CN"/>
        </w:rPr>
      </w:pPr>
    </w:p>
    <w:p w14:paraId="05BFB221">
      <w:pPr>
        <w:tabs>
          <w:tab w:val="left" w:pos="2352"/>
        </w:tabs>
        <w:rPr>
          <w:color w:val="auto"/>
          <w:highlight w:val="none"/>
          <w:lang w:val="zh-CN"/>
        </w:rPr>
      </w:pPr>
    </w:p>
    <w:p w14:paraId="579874BB">
      <w:pPr>
        <w:pStyle w:val="10"/>
        <w:tabs>
          <w:tab w:val="left" w:pos="1069"/>
          <w:tab w:val="left" w:pos="2352"/>
        </w:tabs>
        <w:spacing w:line="360" w:lineRule="exact"/>
        <w:jc w:val="left"/>
        <w:rPr>
          <w:rFonts w:hAnsi="宋体" w:cs="宋体"/>
          <w:b/>
          <w:bCs/>
          <w:color w:val="auto"/>
          <w:sz w:val="32"/>
          <w:highlight w:val="none"/>
        </w:rPr>
      </w:pPr>
      <w:r>
        <w:rPr>
          <w:rFonts w:hint="eastAsia" w:hAnsi="宋体" w:cs="宋体"/>
          <w:b/>
          <w:bCs/>
          <w:color w:val="auto"/>
          <w:sz w:val="32"/>
          <w:highlight w:val="none"/>
          <w:lang w:val="zh-CN"/>
        </w:rPr>
        <w:t>附件</w:t>
      </w:r>
      <w:r>
        <w:rPr>
          <w:rFonts w:hint="eastAsia" w:hAnsi="宋体" w:cs="宋体"/>
          <w:b/>
          <w:bCs/>
          <w:color w:val="auto"/>
          <w:sz w:val="32"/>
          <w:highlight w:val="none"/>
        </w:rPr>
        <w:t>八</w:t>
      </w:r>
    </w:p>
    <w:p w14:paraId="47C013C1">
      <w:pPr>
        <w:pStyle w:val="10"/>
        <w:tabs>
          <w:tab w:val="left" w:pos="1069"/>
          <w:tab w:val="left" w:pos="2352"/>
        </w:tabs>
        <w:spacing w:line="360" w:lineRule="exact"/>
        <w:jc w:val="center"/>
        <w:rPr>
          <w:rFonts w:hAnsi="宋体" w:cs="宋体"/>
          <w:b/>
          <w:bCs/>
          <w:color w:val="auto"/>
          <w:sz w:val="32"/>
          <w:highlight w:val="none"/>
          <w:lang w:val="zh-CN"/>
        </w:rPr>
      </w:pPr>
      <w:bookmarkStart w:id="80" w:name="_Toc18541_WPSOffice_Level3"/>
      <w:r>
        <w:rPr>
          <w:rFonts w:hint="eastAsia" w:hAnsi="宋体" w:cs="宋体"/>
          <w:b/>
          <w:bCs/>
          <w:color w:val="auto"/>
          <w:sz w:val="32"/>
          <w:highlight w:val="none"/>
          <w:lang w:val="zh-CN"/>
        </w:rPr>
        <w:t>（一）商务偏离表</w:t>
      </w:r>
      <w:bookmarkEnd w:id="80"/>
    </w:p>
    <w:p w14:paraId="12127C03">
      <w:pPr>
        <w:tabs>
          <w:tab w:val="left" w:pos="1069"/>
          <w:tab w:val="left" w:pos="2352"/>
        </w:tabs>
        <w:autoSpaceDE w:val="0"/>
        <w:autoSpaceDN w:val="0"/>
        <w:adjustRightInd w:val="0"/>
        <w:spacing w:line="360" w:lineRule="exact"/>
        <w:jc w:val="center"/>
        <w:rPr>
          <w:rFonts w:ascii="宋体" w:hAnsi="宋体" w:cs="宋体"/>
          <w:color w:val="auto"/>
          <w:sz w:val="32"/>
          <w:highlight w:val="none"/>
          <w:lang w:val="zh-CN"/>
        </w:rPr>
      </w:pPr>
    </w:p>
    <w:tbl>
      <w:tblPr>
        <w:tblStyle w:val="26"/>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64B91795">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5847D02F">
            <w:pPr>
              <w:tabs>
                <w:tab w:val="left" w:pos="1069"/>
                <w:tab w:val="left" w:pos="2352"/>
              </w:tabs>
              <w:autoSpaceDE w:val="0"/>
              <w:autoSpaceDN w:val="0"/>
              <w:adjustRightInd w:val="0"/>
              <w:spacing w:line="360" w:lineRule="exact"/>
              <w:rPr>
                <w:rFonts w:ascii="宋体" w:hAnsi="宋体" w:cs="宋体"/>
                <w:color w:val="auto"/>
                <w:sz w:val="24"/>
                <w:highlight w:val="none"/>
              </w:rPr>
            </w:pPr>
            <w:r>
              <w:rPr>
                <w:rFonts w:hint="eastAsia" w:ascii="宋体" w:hAns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273A58C3">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6272F85C">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7DB63518">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投标（响应）文件</w:t>
            </w:r>
          </w:p>
          <w:p w14:paraId="560ABABB">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60B5E29A">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备注</w:t>
            </w:r>
          </w:p>
        </w:tc>
      </w:tr>
      <w:tr w14:paraId="0F1114C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FCE0DF3">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2CCD8D9">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5391E09">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6298783">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80C56FA">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44BBCA23">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A2876AC">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031B751">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BB73011">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50B74EB">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7A2502A">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7CA3D82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77F285E">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DB695C9">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68D909B">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D741FF2">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F6B4FEF">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43DBD4E0">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158EA6B1">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18C2B63">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52540BB">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A68E83A">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1B051B1">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24023ABA">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60B1627">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327AA5A">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988D510">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06858B6">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034CEAB">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66326430">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83A4F8F">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185FD9B">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AEEAC64">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7A56F65">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989A918">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12B4C93B">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6FABEF0">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D1E3122">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E9E84DE">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87BDEFE">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C2CE655">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2E3533A8">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5098D788">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69F9624">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CB5C523">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3A97C09">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8563F95">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5CFC7856">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C2FEE80">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9ADDA75">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967B103">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A472574">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DC27C4C">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bl>
    <w:p w14:paraId="611284E8">
      <w:pPr>
        <w:tabs>
          <w:tab w:val="left" w:pos="1069"/>
          <w:tab w:val="left" w:pos="2352"/>
        </w:tabs>
        <w:autoSpaceDE w:val="0"/>
        <w:autoSpaceDN w:val="0"/>
        <w:adjustRightInd w:val="0"/>
        <w:spacing w:line="360" w:lineRule="exact"/>
        <w:rPr>
          <w:rFonts w:ascii="宋体" w:hAnsi="宋体" w:cs="宋体"/>
          <w:color w:val="auto"/>
          <w:sz w:val="24"/>
          <w:highlight w:val="none"/>
          <w:lang w:val="zh-CN"/>
        </w:rPr>
      </w:pPr>
      <w:r>
        <w:rPr>
          <w:rFonts w:hint="eastAsia" w:ascii="宋体" w:hAnsi="宋体" w:cs="宋体"/>
          <w:color w:val="auto"/>
          <w:sz w:val="24"/>
          <w:highlight w:val="none"/>
          <w:lang w:val="zh-CN"/>
        </w:rPr>
        <w:t>供应商盖章：</w:t>
      </w:r>
    </w:p>
    <w:p w14:paraId="4EBB1593">
      <w:pPr>
        <w:tabs>
          <w:tab w:val="left" w:pos="1069"/>
          <w:tab w:val="left" w:pos="2352"/>
        </w:tabs>
        <w:autoSpaceDE w:val="0"/>
        <w:autoSpaceDN w:val="0"/>
        <w:adjustRightInd w:val="0"/>
        <w:spacing w:line="360" w:lineRule="exact"/>
        <w:rPr>
          <w:rFonts w:ascii="宋体" w:hAnsi="宋体" w:cs="宋体"/>
          <w:color w:val="auto"/>
          <w:sz w:val="32"/>
          <w:highlight w:val="none"/>
          <w:lang w:val="zh-CN"/>
        </w:rPr>
      </w:pPr>
    </w:p>
    <w:p w14:paraId="29D2A5EC">
      <w:pPr>
        <w:pStyle w:val="10"/>
        <w:tabs>
          <w:tab w:val="left" w:pos="1069"/>
          <w:tab w:val="left" w:pos="2352"/>
        </w:tabs>
        <w:spacing w:line="360" w:lineRule="exact"/>
        <w:jc w:val="center"/>
        <w:rPr>
          <w:rFonts w:hAnsi="宋体" w:cs="宋体"/>
          <w:b/>
          <w:bCs/>
          <w:color w:val="auto"/>
          <w:sz w:val="32"/>
          <w:highlight w:val="none"/>
          <w:lang w:val="zh-CN"/>
        </w:rPr>
      </w:pPr>
      <w:bookmarkStart w:id="81" w:name="_Toc4031_WPSOffice_Level3"/>
      <w:r>
        <w:rPr>
          <w:rFonts w:hint="eastAsia" w:hAnsi="宋体" w:cs="宋体"/>
          <w:b/>
          <w:bCs/>
          <w:color w:val="auto"/>
          <w:sz w:val="32"/>
          <w:highlight w:val="none"/>
          <w:lang w:val="zh-CN"/>
        </w:rPr>
        <w:t>（二）技术偏离表</w:t>
      </w:r>
      <w:bookmarkEnd w:id="81"/>
    </w:p>
    <w:tbl>
      <w:tblPr>
        <w:tblStyle w:val="26"/>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32D92698">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73468C54">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6B2ABBAF">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2B5FD681">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601EEE87">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投标（响应）文件</w:t>
            </w:r>
          </w:p>
          <w:p w14:paraId="0416D78B">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223F48A9">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备注</w:t>
            </w:r>
          </w:p>
        </w:tc>
      </w:tr>
      <w:tr w14:paraId="79C88071">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2506FD0">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18662F1">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7CE0F5D">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D5375C4">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B664516">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31C8B69C">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A31DEE6">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628771D">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1632D23">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A472D37">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8F8C3BD">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77A2ED3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1BB260E">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4C97E84">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766E960">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80CA1BE">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46918CD">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3932D79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F29AB6B">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EDEC881">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F4D85D2">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3DE4711">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759C7D2">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591C43E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D31B318">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A576D71">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952BFCF">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D8D939E">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6CD6D42">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52B4C964">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7622969">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BC590A5">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C1FC050">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72454AB">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913D999">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0A5041C8">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B2CB64C">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5FB0791">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C668923">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E701CD8">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C79478D">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696282E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5508296">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A881077">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84B59C4">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CB6EE12">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DAFBAE6">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76CED189">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3FE926F">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707C062">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1978499">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8FC40BE">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F271B3A">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bl>
    <w:p w14:paraId="24E4FB4B">
      <w:pPr>
        <w:tabs>
          <w:tab w:val="left" w:pos="1069"/>
          <w:tab w:val="left" w:pos="2352"/>
        </w:tabs>
        <w:spacing w:line="360" w:lineRule="exact"/>
        <w:rPr>
          <w:rFonts w:ascii="宋体" w:hAnsi="宋体" w:cs="宋体"/>
          <w:color w:val="auto"/>
          <w:spacing w:val="20"/>
          <w:sz w:val="22"/>
          <w:highlight w:val="none"/>
        </w:rPr>
      </w:pPr>
      <w:r>
        <w:rPr>
          <w:rFonts w:hint="eastAsia" w:ascii="宋体" w:hAnsi="宋体" w:cs="宋体"/>
          <w:color w:val="auto"/>
          <w:sz w:val="22"/>
          <w:highlight w:val="none"/>
          <w:lang w:val="zh-CN"/>
        </w:rPr>
        <w:t>供应商盖章：</w:t>
      </w:r>
    </w:p>
    <w:p w14:paraId="1289EB4B">
      <w:pPr>
        <w:tabs>
          <w:tab w:val="left" w:pos="1069"/>
          <w:tab w:val="left" w:pos="2352"/>
        </w:tabs>
        <w:rPr>
          <w:rFonts w:ascii="宋体" w:hAnsi="宋体" w:cs="宋体"/>
          <w:color w:val="auto"/>
          <w:highlight w:val="none"/>
        </w:rPr>
      </w:pPr>
      <w:bookmarkStart w:id="82" w:name="_Toc30988_WPSOffice_Level2"/>
      <w:r>
        <w:rPr>
          <w:rFonts w:hint="eastAsia" w:ascii="宋体" w:hAnsi="宋体" w:cs="宋体"/>
          <w:color w:val="auto"/>
          <w:highlight w:val="none"/>
        </w:rPr>
        <w:t>备注：1</w:t>
      </w:r>
      <w:r>
        <w:rPr>
          <w:rFonts w:ascii="宋体" w:hAnsi="宋体" w:cs="宋体"/>
          <w:color w:val="auto"/>
          <w:highlight w:val="none"/>
        </w:rPr>
        <w:t>.</w:t>
      </w:r>
      <w:r>
        <w:rPr>
          <w:rFonts w:hint="eastAsia" w:ascii="宋体" w:hAnsi="宋体" w:cs="宋体"/>
          <w:color w:val="auto"/>
          <w:highlight w:val="none"/>
        </w:rPr>
        <w:t>表格可以延续</w:t>
      </w:r>
      <w:bookmarkEnd w:id="82"/>
    </w:p>
    <w:p w14:paraId="79B1F955">
      <w:pPr>
        <w:pStyle w:val="25"/>
        <w:ind w:left="856" w:hanging="428"/>
        <w:rPr>
          <w:rFonts w:cs="Times New Roman"/>
          <w:color w:val="auto"/>
          <w:highlight w:val="none"/>
        </w:rPr>
      </w:pPr>
      <w:r>
        <w:rPr>
          <w:color w:val="auto"/>
          <w:highlight w:val="none"/>
        </w:rPr>
        <w:t>2.</w:t>
      </w:r>
      <w:r>
        <w:rPr>
          <w:rFonts w:hint="eastAsia"/>
          <w:color w:val="auto"/>
          <w:highlight w:val="none"/>
        </w:rPr>
        <w:t>如不填写，则视为完全响应招标文件要求</w:t>
      </w:r>
    </w:p>
    <w:p w14:paraId="2ADFD3D9">
      <w:pPr>
        <w:pStyle w:val="10"/>
        <w:tabs>
          <w:tab w:val="left" w:pos="1069"/>
          <w:tab w:val="left" w:pos="2352"/>
        </w:tabs>
        <w:spacing w:line="360" w:lineRule="exact"/>
        <w:rPr>
          <w:rFonts w:hAnsi="宋体" w:cs="宋体"/>
          <w:color w:val="auto"/>
          <w:sz w:val="22"/>
          <w:highlight w:val="none"/>
        </w:rPr>
      </w:pPr>
    </w:p>
    <w:p w14:paraId="442BFAD6">
      <w:pPr>
        <w:tabs>
          <w:tab w:val="left" w:pos="1069"/>
          <w:tab w:val="left" w:pos="2352"/>
        </w:tabs>
        <w:rPr>
          <w:rFonts w:ascii="宋体" w:hAnsi="宋体" w:cs="宋体"/>
          <w:b/>
          <w:bCs/>
          <w:color w:val="auto"/>
          <w:sz w:val="32"/>
          <w:szCs w:val="32"/>
          <w:highlight w:val="none"/>
        </w:rPr>
      </w:pPr>
    </w:p>
    <w:p w14:paraId="5F332C28">
      <w:pPr>
        <w:tabs>
          <w:tab w:val="left" w:pos="1069"/>
          <w:tab w:val="left" w:pos="2352"/>
        </w:tabs>
        <w:rPr>
          <w:rFonts w:ascii="宋体" w:hAnsi="宋体" w:cs="宋体"/>
          <w:b/>
          <w:bCs/>
          <w:color w:val="auto"/>
          <w:sz w:val="32"/>
          <w:szCs w:val="32"/>
          <w:highlight w:val="none"/>
        </w:rPr>
      </w:pPr>
      <w:r>
        <w:rPr>
          <w:rFonts w:hint="eastAsia" w:ascii="宋体" w:hAnsi="宋体" w:cs="宋体"/>
          <w:b/>
          <w:bCs/>
          <w:color w:val="auto"/>
          <w:sz w:val="32"/>
          <w:szCs w:val="32"/>
          <w:highlight w:val="none"/>
        </w:rPr>
        <w:t>附件九</w:t>
      </w:r>
    </w:p>
    <w:p w14:paraId="049607C5">
      <w:pPr>
        <w:tabs>
          <w:tab w:val="left" w:pos="1069"/>
          <w:tab w:val="left" w:pos="2352"/>
        </w:tabs>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供应商项目服务人员汇总表</w:t>
      </w:r>
    </w:p>
    <w:p w14:paraId="7BC286A0">
      <w:pPr>
        <w:tabs>
          <w:tab w:val="left" w:pos="1069"/>
          <w:tab w:val="left" w:pos="2352"/>
        </w:tabs>
        <w:spacing w:line="360" w:lineRule="auto"/>
        <w:rPr>
          <w:rFonts w:ascii="宋体" w:hAnsi="宋体" w:cs="宋体"/>
          <w:color w:val="auto"/>
          <w:sz w:val="22"/>
          <w:highlight w:val="none"/>
        </w:rPr>
      </w:pPr>
      <w:r>
        <w:rPr>
          <w:rFonts w:hint="eastAsia" w:ascii="宋体" w:hAnsi="宋体" w:cs="宋体"/>
          <w:color w:val="auto"/>
          <w:sz w:val="22"/>
          <w:highlight w:val="none"/>
        </w:rPr>
        <w:t>项目名称：</w:t>
      </w:r>
      <w:r>
        <w:rPr>
          <w:rFonts w:hint="eastAsia" w:ascii="宋体" w:hAnsi="宋体" w:cs="宋体"/>
          <w:color w:val="auto"/>
          <w:sz w:val="22"/>
          <w:highlight w:val="none"/>
          <w:u w:val="single"/>
          <w:lang w:val="zh-CN"/>
        </w:rPr>
        <w:t>2025年泰顺县森林资源动态监测与评价</w:t>
      </w:r>
    </w:p>
    <w:p w14:paraId="74CD0131">
      <w:pPr>
        <w:tabs>
          <w:tab w:val="left" w:pos="1069"/>
          <w:tab w:val="left" w:pos="2352"/>
        </w:tabs>
        <w:spacing w:line="360" w:lineRule="auto"/>
        <w:rPr>
          <w:rFonts w:ascii="宋体" w:hAnsi="宋体" w:cs="宋体"/>
          <w:bCs/>
          <w:color w:val="auto"/>
          <w:sz w:val="22"/>
          <w:highlight w:val="none"/>
        </w:rPr>
      </w:pPr>
      <w:r>
        <w:rPr>
          <w:rFonts w:hint="eastAsia" w:ascii="宋体" w:hAnsi="宋体" w:cs="宋体"/>
          <w:color w:val="auto"/>
          <w:sz w:val="22"/>
          <w:highlight w:val="none"/>
        </w:rPr>
        <w:t>招标编号：</w:t>
      </w:r>
      <w:r>
        <w:rPr>
          <w:rFonts w:hint="eastAsia" w:ascii="宋体" w:hAnsi="宋体" w:cs="宋体"/>
          <w:color w:val="auto"/>
          <w:sz w:val="22"/>
          <w:highlight w:val="none"/>
          <w:u w:val="single"/>
          <w:lang w:val="zh-CN"/>
        </w:rPr>
        <w:t xml:space="preserve">330329253440010000110-TSCG202512013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1E651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2440632B">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姓名</w:t>
            </w:r>
          </w:p>
        </w:tc>
        <w:tc>
          <w:tcPr>
            <w:tcW w:w="2520" w:type="dxa"/>
            <w:vAlign w:val="center"/>
          </w:tcPr>
          <w:p w14:paraId="7E83867F">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本项目主要工作</w:t>
            </w:r>
          </w:p>
        </w:tc>
        <w:tc>
          <w:tcPr>
            <w:tcW w:w="720" w:type="dxa"/>
            <w:vAlign w:val="center"/>
          </w:tcPr>
          <w:p w14:paraId="491C5DB5">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年龄</w:t>
            </w:r>
          </w:p>
        </w:tc>
        <w:tc>
          <w:tcPr>
            <w:tcW w:w="720" w:type="dxa"/>
            <w:vAlign w:val="center"/>
          </w:tcPr>
          <w:p w14:paraId="0513814D">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性别</w:t>
            </w:r>
          </w:p>
        </w:tc>
        <w:tc>
          <w:tcPr>
            <w:tcW w:w="720" w:type="dxa"/>
            <w:vAlign w:val="center"/>
          </w:tcPr>
          <w:p w14:paraId="6C75D560">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专业</w:t>
            </w:r>
          </w:p>
        </w:tc>
        <w:tc>
          <w:tcPr>
            <w:tcW w:w="1080" w:type="dxa"/>
            <w:vAlign w:val="center"/>
          </w:tcPr>
          <w:p w14:paraId="11D1B911">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专业</w:t>
            </w:r>
          </w:p>
          <w:p w14:paraId="5FC68C11">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年限</w:t>
            </w:r>
          </w:p>
        </w:tc>
        <w:tc>
          <w:tcPr>
            <w:tcW w:w="1458" w:type="dxa"/>
            <w:vAlign w:val="center"/>
          </w:tcPr>
          <w:p w14:paraId="787DC3BA">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职务</w:t>
            </w:r>
          </w:p>
          <w:p w14:paraId="69AD9DCB">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和职称/认证</w:t>
            </w:r>
          </w:p>
        </w:tc>
        <w:tc>
          <w:tcPr>
            <w:tcW w:w="1560" w:type="dxa"/>
            <w:vAlign w:val="center"/>
          </w:tcPr>
          <w:p w14:paraId="091AC3C1">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备注</w:t>
            </w:r>
          </w:p>
        </w:tc>
      </w:tr>
      <w:tr w14:paraId="2CA4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1B5C5BD">
            <w:pPr>
              <w:tabs>
                <w:tab w:val="left" w:pos="1069"/>
                <w:tab w:val="left" w:pos="2352"/>
              </w:tabs>
              <w:spacing w:line="360" w:lineRule="auto"/>
              <w:rPr>
                <w:rFonts w:ascii="宋体" w:hAnsi="宋体" w:cs="宋体"/>
                <w:color w:val="auto"/>
                <w:sz w:val="22"/>
                <w:highlight w:val="none"/>
              </w:rPr>
            </w:pPr>
          </w:p>
        </w:tc>
        <w:tc>
          <w:tcPr>
            <w:tcW w:w="2520" w:type="dxa"/>
            <w:vAlign w:val="center"/>
          </w:tcPr>
          <w:p w14:paraId="6F24F0FB">
            <w:pPr>
              <w:tabs>
                <w:tab w:val="left" w:pos="1069"/>
                <w:tab w:val="left" w:pos="2352"/>
              </w:tabs>
              <w:spacing w:line="360" w:lineRule="auto"/>
              <w:rPr>
                <w:rFonts w:ascii="宋体" w:hAnsi="宋体" w:cs="宋体"/>
                <w:color w:val="auto"/>
                <w:sz w:val="22"/>
                <w:highlight w:val="none"/>
              </w:rPr>
            </w:pPr>
          </w:p>
        </w:tc>
        <w:tc>
          <w:tcPr>
            <w:tcW w:w="720" w:type="dxa"/>
            <w:vAlign w:val="center"/>
          </w:tcPr>
          <w:p w14:paraId="5A00C6FD">
            <w:pPr>
              <w:tabs>
                <w:tab w:val="left" w:pos="1069"/>
                <w:tab w:val="left" w:pos="2352"/>
              </w:tabs>
              <w:spacing w:line="360" w:lineRule="auto"/>
              <w:rPr>
                <w:rFonts w:ascii="宋体" w:hAnsi="宋体" w:cs="宋体"/>
                <w:color w:val="auto"/>
                <w:sz w:val="22"/>
                <w:highlight w:val="none"/>
              </w:rPr>
            </w:pPr>
          </w:p>
        </w:tc>
        <w:tc>
          <w:tcPr>
            <w:tcW w:w="720" w:type="dxa"/>
            <w:vAlign w:val="center"/>
          </w:tcPr>
          <w:p w14:paraId="0D58D1FA">
            <w:pPr>
              <w:tabs>
                <w:tab w:val="left" w:pos="1069"/>
                <w:tab w:val="left" w:pos="2352"/>
              </w:tabs>
              <w:spacing w:line="360" w:lineRule="auto"/>
              <w:rPr>
                <w:rFonts w:ascii="宋体" w:hAnsi="宋体" w:cs="宋体"/>
                <w:color w:val="auto"/>
                <w:sz w:val="22"/>
                <w:highlight w:val="none"/>
              </w:rPr>
            </w:pPr>
          </w:p>
        </w:tc>
        <w:tc>
          <w:tcPr>
            <w:tcW w:w="720" w:type="dxa"/>
            <w:vAlign w:val="center"/>
          </w:tcPr>
          <w:p w14:paraId="5B9530FE">
            <w:pPr>
              <w:tabs>
                <w:tab w:val="left" w:pos="1069"/>
                <w:tab w:val="left" w:pos="2352"/>
              </w:tabs>
              <w:spacing w:line="360" w:lineRule="auto"/>
              <w:rPr>
                <w:rFonts w:ascii="宋体" w:hAnsi="宋体" w:cs="宋体"/>
                <w:color w:val="auto"/>
                <w:sz w:val="22"/>
                <w:highlight w:val="none"/>
              </w:rPr>
            </w:pPr>
          </w:p>
        </w:tc>
        <w:tc>
          <w:tcPr>
            <w:tcW w:w="1080" w:type="dxa"/>
            <w:vAlign w:val="center"/>
          </w:tcPr>
          <w:p w14:paraId="7242A9D1">
            <w:pPr>
              <w:tabs>
                <w:tab w:val="left" w:pos="1069"/>
                <w:tab w:val="left" w:pos="2352"/>
              </w:tabs>
              <w:spacing w:line="360" w:lineRule="auto"/>
              <w:rPr>
                <w:rFonts w:ascii="宋体" w:hAnsi="宋体" w:cs="宋体"/>
                <w:color w:val="auto"/>
                <w:sz w:val="22"/>
                <w:highlight w:val="none"/>
              </w:rPr>
            </w:pPr>
          </w:p>
        </w:tc>
        <w:tc>
          <w:tcPr>
            <w:tcW w:w="1458" w:type="dxa"/>
            <w:vAlign w:val="center"/>
          </w:tcPr>
          <w:p w14:paraId="5B381BF6">
            <w:pPr>
              <w:tabs>
                <w:tab w:val="left" w:pos="1069"/>
                <w:tab w:val="left" w:pos="2352"/>
              </w:tabs>
              <w:spacing w:line="360" w:lineRule="auto"/>
              <w:ind w:left="5250"/>
              <w:rPr>
                <w:rFonts w:ascii="宋体" w:hAnsi="宋体" w:cs="宋体"/>
                <w:color w:val="auto"/>
                <w:spacing w:val="12"/>
                <w:sz w:val="22"/>
                <w:highlight w:val="none"/>
              </w:rPr>
            </w:pPr>
          </w:p>
        </w:tc>
        <w:tc>
          <w:tcPr>
            <w:tcW w:w="1560" w:type="dxa"/>
            <w:vAlign w:val="center"/>
          </w:tcPr>
          <w:p w14:paraId="05727E07">
            <w:pPr>
              <w:tabs>
                <w:tab w:val="left" w:pos="1069"/>
                <w:tab w:val="left" w:pos="2352"/>
              </w:tabs>
              <w:spacing w:line="360" w:lineRule="auto"/>
              <w:rPr>
                <w:rFonts w:ascii="宋体" w:hAnsi="宋体" w:cs="宋体"/>
                <w:color w:val="auto"/>
                <w:sz w:val="22"/>
                <w:highlight w:val="none"/>
              </w:rPr>
            </w:pPr>
          </w:p>
        </w:tc>
      </w:tr>
      <w:tr w14:paraId="493A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C07A25C">
            <w:pPr>
              <w:tabs>
                <w:tab w:val="left" w:pos="1069"/>
                <w:tab w:val="left" w:pos="2352"/>
              </w:tabs>
              <w:spacing w:line="360" w:lineRule="auto"/>
              <w:rPr>
                <w:rFonts w:ascii="宋体" w:hAnsi="宋体" w:cs="宋体"/>
                <w:color w:val="auto"/>
                <w:sz w:val="22"/>
                <w:highlight w:val="none"/>
              </w:rPr>
            </w:pPr>
          </w:p>
        </w:tc>
        <w:tc>
          <w:tcPr>
            <w:tcW w:w="2520" w:type="dxa"/>
            <w:vAlign w:val="center"/>
          </w:tcPr>
          <w:p w14:paraId="6EC1517D">
            <w:pPr>
              <w:tabs>
                <w:tab w:val="left" w:pos="1069"/>
                <w:tab w:val="left" w:pos="2352"/>
              </w:tabs>
              <w:spacing w:line="360" w:lineRule="auto"/>
              <w:rPr>
                <w:rFonts w:ascii="宋体" w:hAnsi="宋体" w:cs="宋体"/>
                <w:color w:val="auto"/>
                <w:sz w:val="22"/>
                <w:highlight w:val="none"/>
              </w:rPr>
            </w:pPr>
          </w:p>
        </w:tc>
        <w:tc>
          <w:tcPr>
            <w:tcW w:w="720" w:type="dxa"/>
            <w:vAlign w:val="center"/>
          </w:tcPr>
          <w:p w14:paraId="143C1AD6">
            <w:pPr>
              <w:tabs>
                <w:tab w:val="left" w:pos="1069"/>
                <w:tab w:val="left" w:pos="2352"/>
              </w:tabs>
              <w:spacing w:line="360" w:lineRule="auto"/>
              <w:rPr>
                <w:rFonts w:ascii="宋体" w:hAnsi="宋体" w:cs="宋体"/>
                <w:color w:val="auto"/>
                <w:sz w:val="22"/>
                <w:highlight w:val="none"/>
              </w:rPr>
            </w:pPr>
          </w:p>
        </w:tc>
        <w:tc>
          <w:tcPr>
            <w:tcW w:w="720" w:type="dxa"/>
            <w:vAlign w:val="center"/>
          </w:tcPr>
          <w:p w14:paraId="15D795B4">
            <w:pPr>
              <w:tabs>
                <w:tab w:val="left" w:pos="1069"/>
                <w:tab w:val="left" w:pos="2352"/>
              </w:tabs>
              <w:spacing w:line="360" w:lineRule="auto"/>
              <w:rPr>
                <w:rFonts w:ascii="宋体" w:hAnsi="宋体" w:cs="宋体"/>
                <w:color w:val="auto"/>
                <w:sz w:val="22"/>
                <w:highlight w:val="none"/>
              </w:rPr>
            </w:pPr>
          </w:p>
        </w:tc>
        <w:tc>
          <w:tcPr>
            <w:tcW w:w="720" w:type="dxa"/>
            <w:vAlign w:val="center"/>
          </w:tcPr>
          <w:p w14:paraId="61C2ADE2">
            <w:pPr>
              <w:tabs>
                <w:tab w:val="left" w:pos="1069"/>
                <w:tab w:val="left" w:pos="2352"/>
              </w:tabs>
              <w:spacing w:line="360" w:lineRule="auto"/>
              <w:rPr>
                <w:rFonts w:ascii="宋体" w:hAnsi="宋体" w:cs="宋体"/>
                <w:color w:val="auto"/>
                <w:sz w:val="22"/>
                <w:highlight w:val="none"/>
              </w:rPr>
            </w:pPr>
          </w:p>
        </w:tc>
        <w:tc>
          <w:tcPr>
            <w:tcW w:w="1080" w:type="dxa"/>
            <w:vAlign w:val="center"/>
          </w:tcPr>
          <w:p w14:paraId="04E5FDD9">
            <w:pPr>
              <w:tabs>
                <w:tab w:val="left" w:pos="1069"/>
                <w:tab w:val="left" w:pos="2352"/>
              </w:tabs>
              <w:spacing w:line="360" w:lineRule="auto"/>
              <w:rPr>
                <w:rFonts w:ascii="宋体" w:hAnsi="宋体" w:cs="宋体"/>
                <w:color w:val="auto"/>
                <w:sz w:val="22"/>
                <w:highlight w:val="none"/>
              </w:rPr>
            </w:pPr>
          </w:p>
        </w:tc>
        <w:tc>
          <w:tcPr>
            <w:tcW w:w="1458" w:type="dxa"/>
            <w:vAlign w:val="center"/>
          </w:tcPr>
          <w:p w14:paraId="0B1CAEA8">
            <w:pPr>
              <w:tabs>
                <w:tab w:val="left" w:pos="1069"/>
                <w:tab w:val="left" w:pos="2352"/>
              </w:tabs>
              <w:spacing w:line="360" w:lineRule="auto"/>
              <w:rPr>
                <w:rFonts w:ascii="宋体" w:hAnsi="宋体" w:cs="宋体"/>
                <w:color w:val="auto"/>
                <w:sz w:val="22"/>
                <w:highlight w:val="none"/>
              </w:rPr>
            </w:pPr>
          </w:p>
        </w:tc>
        <w:tc>
          <w:tcPr>
            <w:tcW w:w="1560" w:type="dxa"/>
            <w:vAlign w:val="center"/>
          </w:tcPr>
          <w:p w14:paraId="014A6D80">
            <w:pPr>
              <w:tabs>
                <w:tab w:val="left" w:pos="1069"/>
                <w:tab w:val="left" w:pos="2352"/>
              </w:tabs>
              <w:spacing w:line="360" w:lineRule="auto"/>
              <w:ind w:left="5250"/>
              <w:rPr>
                <w:rFonts w:ascii="宋体" w:hAnsi="宋体" w:cs="宋体"/>
                <w:color w:val="auto"/>
                <w:spacing w:val="12"/>
                <w:sz w:val="22"/>
                <w:highlight w:val="none"/>
              </w:rPr>
            </w:pPr>
          </w:p>
        </w:tc>
      </w:tr>
      <w:tr w14:paraId="2A66C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89F30B4">
            <w:pPr>
              <w:tabs>
                <w:tab w:val="left" w:pos="1069"/>
                <w:tab w:val="left" w:pos="2352"/>
              </w:tabs>
              <w:spacing w:line="360" w:lineRule="auto"/>
              <w:rPr>
                <w:rFonts w:ascii="宋体" w:hAnsi="宋体" w:cs="宋体"/>
                <w:color w:val="auto"/>
                <w:sz w:val="22"/>
                <w:highlight w:val="none"/>
              </w:rPr>
            </w:pPr>
          </w:p>
        </w:tc>
        <w:tc>
          <w:tcPr>
            <w:tcW w:w="2520" w:type="dxa"/>
            <w:vAlign w:val="center"/>
          </w:tcPr>
          <w:p w14:paraId="29612E0F">
            <w:pPr>
              <w:tabs>
                <w:tab w:val="left" w:pos="1069"/>
                <w:tab w:val="left" w:pos="2352"/>
              </w:tabs>
              <w:spacing w:line="360" w:lineRule="auto"/>
              <w:rPr>
                <w:rFonts w:ascii="宋体" w:hAnsi="宋体" w:cs="宋体"/>
                <w:color w:val="auto"/>
                <w:sz w:val="22"/>
                <w:highlight w:val="none"/>
              </w:rPr>
            </w:pPr>
          </w:p>
        </w:tc>
        <w:tc>
          <w:tcPr>
            <w:tcW w:w="720" w:type="dxa"/>
            <w:vAlign w:val="center"/>
          </w:tcPr>
          <w:p w14:paraId="313BB407">
            <w:pPr>
              <w:tabs>
                <w:tab w:val="left" w:pos="1069"/>
                <w:tab w:val="left" w:pos="2352"/>
              </w:tabs>
              <w:spacing w:line="360" w:lineRule="auto"/>
              <w:rPr>
                <w:rFonts w:ascii="宋体" w:hAnsi="宋体" w:cs="宋体"/>
                <w:color w:val="auto"/>
                <w:sz w:val="22"/>
                <w:highlight w:val="none"/>
              </w:rPr>
            </w:pPr>
          </w:p>
        </w:tc>
        <w:tc>
          <w:tcPr>
            <w:tcW w:w="720" w:type="dxa"/>
            <w:vAlign w:val="center"/>
          </w:tcPr>
          <w:p w14:paraId="69C3F57E">
            <w:pPr>
              <w:tabs>
                <w:tab w:val="left" w:pos="1069"/>
                <w:tab w:val="left" w:pos="2352"/>
              </w:tabs>
              <w:spacing w:line="360" w:lineRule="auto"/>
              <w:rPr>
                <w:rFonts w:ascii="宋体" w:hAnsi="宋体" w:cs="宋体"/>
                <w:color w:val="auto"/>
                <w:sz w:val="22"/>
                <w:highlight w:val="none"/>
              </w:rPr>
            </w:pPr>
          </w:p>
        </w:tc>
        <w:tc>
          <w:tcPr>
            <w:tcW w:w="720" w:type="dxa"/>
            <w:vAlign w:val="center"/>
          </w:tcPr>
          <w:p w14:paraId="7DC64197">
            <w:pPr>
              <w:tabs>
                <w:tab w:val="left" w:pos="1069"/>
                <w:tab w:val="left" w:pos="2352"/>
              </w:tabs>
              <w:spacing w:line="360" w:lineRule="auto"/>
              <w:rPr>
                <w:rFonts w:ascii="宋体" w:hAnsi="宋体" w:cs="宋体"/>
                <w:color w:val="auto"/>
                <w:sz w:val="22"/>
                <w:highlight w:val="none"/>
              </w:rPr>
            </w:pPr>
          </w:p>
        </w:tc>
        <w:tc>
          <w:tcPr>
            <w:tcW w:w="1080" w:type="dxa"/>
            <w:vAlign w:val="center"/>
          </w:tcPr>
          <w:p w14:paraId="70268E13">
            <w:pPr>
              <w:tabs>
                <w:tab w:val="left" w:pos="1069"/>
                <w:tab w:val="left" w:pos="2352"/>
              </w:tabs>
              <w:spacing w:line="360" w:lineRule="auto"/>
              <w:rPr>
                <w:rFonts w:ascii="宋体" w:hAnsi="宋体" w:cs="宋体"/>
                <w:color w:val="auto"/>
                <w:sz w:val="22"/>
                <w:highlight w:val="none"/>
              </w:rPr>
            </w:pPr>
          </w:p>
        </w:tc>
        <w:tc>
          <w:tcPr>
            <w:tcW w:w="1458" w:type="dxa"/>
            <w:vAlign w:val="center"/>
          </w:tcPr>
          <w:p w14:paraId="38B456C3">
            <w:pPr>
              <w:tabs>
                <w:tab w:val="left" w:pos="1069"/>
                <w:tab w:val="left" w:pos="2352"/>
              </w:tabs>
              <w:spacing w:line="360" w:lineRule="auto"/>
              <w:rPr>
                <w:rFonts w:ascii="宋体" w:hAnsi="宋体" w:cs="宋体"/>
                <w:color w:val="auto"/>
                <w:sz w:val="22"/>
                <w:highlight w:val="none"/>
              </w:rPr>
            </w:pPr>
          </w:p>
        </w:tc>
        <w:tc>
          <w:tcPr>
            <w:tcW w:w="1560" w:type="dxa"/>
            <w:vAlign w:val="center"/>
          </w:tcPr>
          <w:p w14:paraId="5E3EC8EC">
            <w:pPr>
              <w:tabs>
                <w:tab w:val="left" w:pos="1069"/>
                <w:tab w:val="left" w:pos="2352"/>
              </w:tabs>
              <w:spacing w:line="360" w:lineRule="auto"/>
              <w:rPr>
                <w:rFonts w:ascii="宋体" w:hAnsi="宋体" w:cs="宋体"/>
                <w:color w:val="auto"/>
                <w:sz w:val="22"/>
                <w:highlight w:val="none"/>
              </w:rPr>
            </w:pPr>
          </w:p>
        </w:tc>
      </w:tr>
      <w:tr w14:paraId="598BA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477E55A">
            <w:pPr>
              <w:tabs>
                <w:tab w:val="left" w:pos="1069"/>
                <w:tab w:val="left" w:pos="2352"/>
              </w:tabs>
              <w:spacing w:line="360" w:lineRule="auto"/>
              <w:rPr>
                <w:rFonts w:ascii="宋体" w:hAnsi="宋体" w:cs="宋体"/>
                <w:color w:val="auto"/>
                <w:sz w:val="22"/>
                <w:highlight w:val="none"/>
              </w:rPr>
            </w:pPr>
          </w:p>
        </w:tc>
        <w:tc>
          <w:tcPr>
            <w:tcW w:w="2520" w:type="dxa"/>
            <w:vAlign w:val="center"/>
          </w:tcPr>
          <w:p w14:paraId="76CC8F19">
            <w:pPr>
              <w:tabs>
                <w:tab w:val="left" w:pos="1069"/>
                <w:tab w:val="left" w:pos="2352"/>
              </w:tabs>
              <w:spacing w:line="360" w:lineRule="auto"/>
              <w:rPr>
                <w:rFonts w:ascii="宋体" w:hAnsi="宋体" w:cs="宋体"/>
                <w:color w:val="auto"/>
                <w:sz w:val="22"/>
                <w:highlight w:val="none"/>
              </w:rPr>
            </w:pPr>
          </w:p>
        </w:tc>
        <w:tc>
          <w:tcPr>
            <w:tcW w:w="720" w:type="dxa"/>
            <w:vAlign w:val="center"/>
          </w:tcPr>
          <w:p w14:paraId="019DABA2">
            <w:pPr>
              <w:tabs>
                <w:tab w:val="left" w:pos="1069"/>
                <w:tab w:val="left" w:pos="2352"/>
              </w:tabs>
              <w:spacing w:line="360" w:lineRule="auto"/>
              <w:rPr>
                <w:rFonts w:ascii="宋体" w:hAnsi="宋体" w:cs="宋体"/>
                <w:color w:val="auto"/>
                <w:sz w:val="22"/>
                <w:highlight w:val="none"/>
              </w:rPr>
            </w:pPr>
          </w:p>
        </w:tc>
        <w:tc>
          <w:tcPr>
            <w:tcW w:w="720" w:type="dxa"/>
            <w:vAlign w:val="center"/>
          </w:tcPr>
          <w:p w14:paraId="16800A02">
            <w:pPr>
              <w:tabs>
                <w:tab w:val="left" w:pos="1069"/>
                <w:tab w:val="left" w:pos="2352"/>
              </w:tabs>
              <w:spacing w:line="360" w:lineRule="auto"/>
              <w:rPr>
                <w:rFonts w:ascii="宋体" w:hAnsi="宋体" w:cs="宋体"/>
                <w:color w:val="auto"/>
                <w:sz w:val="22"/>
                <w:highlight w:val="none"/>
              </w:rPr>
            </w:pPr>
          </w:p>
        </w:tc>
        <w:tc>
          <w:tcPr>
            <w:tcW w:w="720" w:type="dxa"/>
            <w:vAlign w:val="center"/>
          </w:tcPr>
          <w:p w14:paraId="37CCD254">
            <w:pPr>
              <w:tabs>
                <w:tab w:val="left" w:pos="1069"/>
                <w:tab w:val="left" w:pos="2352"/>
              </w:tabs>
              <w:spacing w:line="360" w:lineRule="auto"/>
              <w:rPr>
                <w:rFonts w:ascii="宋体" w:hAnsi="宋体" w:cs="宋体"/>
                <w:color w:val="auto"/>
                <w:sz w:val="22"/>
                <w:highlight w:val="none"/>
              </w:rPr>
            </w:pPr>
          </w:p>
        </w:tc>
        <w:tc>
          <w:tcPr>
            <w:tcW w:w="1080" w:type="dxa"/>
            <w:vAlign w:val="center"/>
          </w:tcPr>
          <w:p w14:paraId="2A23EB0D">
            <w:pPr>
              <w:tabs>
                <w:tab w:val="left" w:pos="1069"/>
                <w:tab w:val="left" w:pos="2352"/>
              </w:tabs>
              <w:spacing w:line="360" w:lineRule="auto"/>
              <w:rPr>
                <w:rFonts w:ascii="宋体" w:hAnsi="宋体" w:cs="宋体"/>
                <w:color w:val="auto"/>
                <w:sz w:val="22"/>
                <w:highlight w:val="none"/>
              </w:rPr>
            </w:pPr>
          </w:p>
        </w:tc>
        <w:tc>
          <w:tcPr>
            <w:tcW w:w="1458" w:type="dxa"/>
            <w:vAlign w:val="center"/>
          </w:tcPr>
          <w:p w14:paraId="41E9A5BF">
            <w:pPr>
              <w:tabs>
                <w:tab w:val="left" w:pos="1069"/>
                <w:tab w:val="left" w:pos="2352"/>
              </w:tabs>
              <w:spacing w:line="360" w:lineRule="auto"/>
              <w:rPr>
                <w:rFonts w:ascii="宋体" w:hAnsi="宋体" w:cs="宋体"/>
                <w:color w:val="auto"/>
                <w:sz w:val="22"/>
                <w:highlight w:val="none"/>
              </w:rPr>
            </w:pPr>
          </w:p>
        </w:tc>
        <w:tc>
          <w:tcPr>
            <w:tcW w:w="1560" w:type="dxa"/>
            <w:vAlign w:val="center"/>
          </w:tcPr>
          <w:p w14:paraId="30F4C88A">
            <w:pPr>
              <w:tabs>
                <w:tab w:val="left" w:pos="1069"/>
                <w:tab w:val="left" w:pos="2352"/>
              </w:tabs>
              <w:spacing w:line="360" w:lineRule="auto"/>
              <w:rPr>
                <w:rFonts w:ascii="宋体" w:hAnsi="宋体" w:cs="宋体"/>
                <w:color w:val="auto"/>
                <w:sz w:val="22"/>
                <w:highlight w:val="none"/>
              </w:rPr>
            </w:pPr>
          </w:p>
        </w:tc>
      </w:tr>
      <w:tr w14:paraId="2C1E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76440B4">
            <w:pPr>
              <w:tabs>
                <w:tab w:val="left" w:pos="1069"/>
                <w:tab w:val="left" w:pos="2352"/>
              </w:tabs>
              <w:spacing w:line="360" w:lineRule="auto"/>
              <w:rPr>
                <w:rFonts w:ascii="宋体" w:hAnsi="宋体" w:cs="宋体"/>
                <w:color w:val="auto"/>
                <w:sz w:val="22"/>
                <w:highlight w:val="none"/>
              </w:rPr>
            </w:pPr>
          </w:p>
        </w:tc>
        <w:tc>
          <w:tcPr>
            <w:tcW w:w="2520" w:type="dxa"/>
            <w:vAlign w:val="center"/>
          </w:tcPr>
          <w:p w14:paraId="33112A45">
            <w:pPr>
              <w:tabs>
                <w:tab w:val="left" w:pos="1069"/>
                <w:tab w:val="left" w:pos="2352"/>
              </w:tabs>
              <w:spacing w:line="360" w:lineRule="auto"/>
              <w:rPr>
                <w:rFonts w:ascii="宋体" w:hAnsi="宋体" w:cs="宋体"/>
                <w:color w:val="auto"/>
                <w:sz w:val="22"/>
                <w:highlight w:val="none"/>
              </w:rPr>
            </w:pPr>
          </w:p>
        </w:tc>
        <w:tc>
          <w:tcPr>
            <w:tcW w:w="720" w:type="dxa"/>
            <w:vAlign w:val="center"/>
          </w:tcPr>
          <w:p w14:paraId="31E09CB6">
            <w:pPr>
              <w:tabs>
                <w:tab w:val="left" w:pos="1069"/>
                <w:tab w:val="left" w:pos="2352"/>
              </w:tabs>
              <w:spacing w:line="360" w:lineRule="auto"/>
              <w:rPr>
                <w:rFonts w:ascii="宋体" w:hAnsi="宋体" w:cs="宋体"/>
                <w:color w:val="auto"/>
                <w:sz w:val="22"/>
                <w:highlight w:val="none"/>
              </w:rPr>
            </w:pPr>
          </w:p>
        </w:tc>
        <w:tc>
          <w:tcPr>
            <w:tcW w:w="720" w:type="dxa"/>
            <w:vAlign w:val="center"/>
          </w:tcPr>
          <w:p w14:paraId="552B70C8">
            <w:pPr>
              <w:tabs>
                <w:tab w:val="left" w:pos="1069"/>
                <w:tab w:val="left" w:pos="2352"/>
              </w:tabs>
              <w:spacing w:line="360" w:lineRule="auto"/>
              <w:rPr>
                <w:rFonts w:ascii="宋体" w:hAnsi="宋体" w:cs="宋体"/>
                <w:color w:val="auto"/>
                <w:sz w:val="22"/>
                <w:highlight w:val="none"/>
              </w:rPr>
            </w:pPr>
          </w:p>
        </w:tc>
        <w:tc>
          <w:tcPr>
            <w:tcW w:w="720" w:type="dxa"/>
            <w:vAlign w:val="center"/>
          </w:tcPr>
          <w:p w14:paraId="6798C0C8">
            <w:pPr>
              <w:tabs>
                <w:tab w:val="left" w:pos="1069"/>
                <w:tab w:val="left" w:pos="2352"/>
              </w:tabs>
              <w:spacing w:line="360" w:lineRule="auto"/>
              <w:rPr>
                <w:rFonts w:ascii="宋体" w:hAnsi="宋体" w:cs="宋体"/>
                <w:color w:val="auto"/>
                <w:sz w:val="22"/>
                <w:highlight w:val="none"/>
              </w:rPr>
            </w:pPr>
          </w:p>
        </w:tc>
        <w:tc>
          <w:tcPr>
            <w:tcW w:w="1080" w:type="dxa"/>
            <w:vAlign w:val="center"/>
          </w:tcPr>
          <w:p w14:paraId="7C77D610">
            <w:pPr>
              <w:tabs>
                <w:tab w:val="left" w:pos="1069"/>
                <w:tab w:val="left" w:pos="2352"/>
              </w:tabs>
              <w:spacing w:line="360" w:lineRule="auto"/>
              <w:rPr>
                <w:rFonts w:ascii="宋体" w:hAnsi="宋体" w:cs="宋体"/>
                <w:color w:val="auto"/>
                <w:sz w:val="22"/>
                <w:highlight w:val="none"/>
              </w:rPr>
            </w:pPr>
          </w:p>
        </w:tc>
        <w:tc>
          <w:tcPr>
            <w:tcW w:w="1458" w:type="dxa"/>
            <w:vAlign w:val="center"/>
          </w:tcPr>
          <w:p w14:paraId="4DDD640B">
            <w:pPr>
              <w:tabs>
                <w:tab w:val="left" w:pos="1069"/>
                <w:tab w:val="left" w:pos="2352"/>
              </w:tabs>
              <w:spacing w:line="360" w:lineRule="auto"/>
              <w:rPr>
                <w:rFonts w:ascii="宋体" w:hAnsi="宋体" w:cs="宋体"/>
                <w:color w:val="auto"/>
                <w:sz w:val="22"/>
                <w:highlight w:val="none"/>
              </w:rPr>
            </w:pPr>
          </w:p>
        </w:tc>
        <w:tc>
          <w:tcPr>
            <w:tcW w:w="1560" w:type="dxa"/>
            <w:vAlign w:val="center"/>
          </w:tcPr>
          <w:p w14:paraId="4835866A">
            <w:pPr>
              <w:tabs>
                <w:tab w:val="left" w:pos="1069"/>
                <w:tab w:val="left" w:pos="2352"/>
              </w:tabs>
              <w:spacing w:line="360" w:lineRule="auto"/>
              <w:rPr>
                <w:rFonts w:ascii="宋体" w:hAnsi="宋体" w:cs="宋体"/>
                <w:color w:val="auto"/>
                <w:sz w:val="22"/>
                <w:highlight w:val="none"/>
              </w:rPr>
            </w:pPr>
          </w:p>
        </w:tc>
      </w:tr>
      <w:tr w14:paraId="6201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F4BE1CB">
            <w:pPr>
              <w:tabs>
                <w:tab w:val="left" w:pos="1069"/>
                <w:tab w:val="left" w:pos="2352"/>
              </w:tabs>
              <w:spacing w:line="360" w:lineRule="auto"/>
              <w:rPr>
                <w:rFonts w:ascii="宋体" w:hAnsi="宋体" w:cs="宋体"/>
                <w:color w:val="auto"/>
                <w:sz w:val="22"/>
                <w:highlight w:val="none"/>
              </w:rPr>
            </w:pPr>
          </w:p>
        </w:tc>
        <w:tc>
          <w:tcPr>
            <w:tcW w:w="2520" w:type="dxa"/>
            <w:vAlign w:val="center"/>
          </w:tcPr>
          <w:p w14:paraId="236A5834">
            <w:pPr>
              <w:tabs>
                <w:tab w:val="left" w:pos="1069"/>
                <w:tab w:val="left" w:pos="2352"/>
              </w:tabs>
              <w:spacing w:line="360" w:lineRule="auto"/>
              <w:rPr>
                <w:rFonts w:ascii="宋体" w:hAnsi="宋体" w:cs="宋体"/>
                <w:color w:val="auto"/>
                <w:sz w:val="22"/>
                <w:highlight w:val="none"/>
              </w:rPr>
            </w:pPr>
          </w:p>
        </w:tc>
        <w:tc>
          <w:tcPr>
            <w:tcW w:w="720" w:type="dxa"/>
            <w:vAlign w:val="center"/>
          </w:tcPr>
          <w:p w14:paraId="2750FFE7">
            <w:pPr>
              <w:tabs>
                <w:tab w:val="left" w:pos="1069"/>
                <w:tab w:val="left" w:pos="2352"/>
              </w:tabs>
              <w:spacing w:line="360" w:lineRule="auto"/>
              <w:rPr>
                <w:rFonts w:ascii="宋体" w:hAnsi="宋体" w:cs="宋体"/>
                <w:color w:val="auto"/>
                <w:sz w:val="22"/>
                <w:highlight w:val="none"/>
              </w:rPr>
            </w:pPr>
          </w:p>
        </w:tc>
        <w:tc>
          <w:tcPr>
            <w:tcW w:w="720" w:type="dxa"/>
            <w:vAlign w:val="center"/>
          </w:tcPr>
          <w:p w14:paraId="59865DD2">
            <w:pPr>
              <w:tabs>
                <w:tab w:val="left" w:pos="1069"/>
                <w:tab w:val="left" w:pos="2352"/>
              </w:tabs>
              <w:spacing w:line="360" w:lineRule="auto"/>
              <w:rPr>
                <w:rFonts w:ascii="宋体" w:hAnsi="宋体" w:cs="宋体"/>
                <w:color w:val="auto"/>
                <w:sz w:val="22"/>
                <w:highlight w:val="none"/>
              </w:rPr>
            </w:pPr>
          </w:p>
        </w:tc>
        <w:tc>
          <w:tcPr>
            <w:tcW w:w="720" w:type="dxa"/>
            <w:vAlign w:val="center"/>
          </w:tcPr>
          <w:p w14:paraId="52DC9391">
            <w:pPr>
              <w:tabs>
                <w:tab w:val="left" w:pos="1069"/>
                <w:tab w:val="left" w:pos="2352"/>
              </w:tabs>
              <w:spacing w:line="360" w:lineRule="auto"/>
              <w:rPr>
                <w:rFonts w:ascii="宋体" w:hAnsi="宋体" w:cs="宋体"/>
                <w:color w:val="auto"/>
                <w:sz w:val="22"/>
                <w:highlight w:val="none"/>
              </w:rPr>
            </w:pPr>
          </w:p>
        </w:tc>
        <w:tc>
          <w:tcPr>
            <w:tcW w:w="1080" w:type="dxa"/>
            <w:vAlign w:val="center"/>
          </w:tcPr>
          <w:p w14:paraId="6335D3E4">
            <w:pPr>
              <w:tabs>
                <w:tab w:val="left" w:pos="1069"/>
                <w:tab w:val="left" w:pos="2352"/>
              </w:tabs>
              <w:spacing w:line="360" w:lineRule="auto"/>
              <w:rPr>
                <w:rFonts w:ascii="宋体" w:hAnsi="宋体" w:cs="宋体"/>
                <w:color w:val="auto"/>
                <w:sz w:val="22"/>
                <w:highlight w:val="none"/>
              </w:rPr>
            </w:pPr>
          </w:p>
        </w:tc>
        <w:tc>
          <w:tcPr>
            <w:tcW w:w="1458" w:type="dxa"/>
            <w:vAlign w:val="center"/>
          </w:tcPr>
          <w:p w14:paraId="229AE015">
            <w:pPr>
              <w:tabs>
                <w:tab w:val="left" w:pos="1069"/>
                <w:tab w:val="left" w:pos="2352"/>
              </w:tabs>
              <w:spacing w:line="360" w:lineRule="auto"/>
              <w:rPr>
                <w:rFonts w:ascii="宋体" w:hAnsi="宋体" w:cs="宋体"/>
                <w:color w:val="auto"/>
                <w:sz w:val="22"/>
                <w:highlight w:val="none"/>
              </w:rPr>
            </w:pPr>
          </w:p>
        </w:tc>
        <w:tc>
          <w:tcPr>
            <w:tcW w:w="1560" w:type="dxa"/>
            <w:vAlign w:val="center"/>
          </w:tcPr>
          <w:p w14:paraId="22848F11">
            <w:pPr>
              <w:tabs>
                <w:tab w:val="left" w:pos="1069"/>
                <w:tab w:val="left" w:pos="2352"/>
              </w:tabs>
              <w:spacing w:line="360" w:lineRule="auto"/>
              <w:rPr>
                <w:rFonts w:ascii="宋体" w:hAnsi="宋体" w:cs="宋体"/>
                <w:color w:val="auto"/>
                <w:sz w:val="22"/>
                <w:highlight w:val="none"/>
              </w:rPr>
            </w:pPr>
          </w:p>
        </w:tc>
      </w:tr>
      <w:tr w14:paraId="2870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4283460">
            <w:pPr>
              <w:tabs>
                <w:tab w:val="left" w:pos="1069"/>
                <w:tab w:val="left" w:pos="2352"/>
              </w:tabs>
              <w:spacing w:line="360" w:lineRule="auto"/>
              <w:rPr>
                <w:rFonts w:ascii="宋体" w:hAnsi="宋体" w:cs="宋体"/>
                <w:color w:val="auto"/>
                <w:sz w:val="22"/>
                <w:highlight w:val="none"/>
              </w:rPr>
            </w:pPr>
          </w:p>
        </w:tc>
        <w:tc>
          <w:tcPr>
            <w:tcW w:w="2520" w:type="dxa"/>
            <w:vAlign w:val="center"/>
          </w:tcPr>
          <w:p w14:paraId="5CA3D617">
            <w:pPr>
              <w:tabs>
                <w:tab w:val="left" w:pos="1069"/>
                <w:tab w:val="left" w:pos="2352"/>
              </w:tabs>
              <w:spacing w:line="360" w:lineRule="auto"/>
              <w:rPr>
                <w:rFonts w:ascii="宋体" w:hAnsi="宋体" w:cs="宋体"/>
                <w:color w:val="auto"/>
                <w:sz w:val="22"/>
                <w:highlight w:val="none"/>
              </w:rPr>
            </w:pPr>
          </w:p>
        </w:tc>
        <w:tc>
          <w:tcPr>
            <w:tcW w:w="720" w:type="dxa"/>
            <w:vAlign w:val="center"/>
          </w:tcPr>
          <w:p w14:paraId="0C48028A">
            <w:pPr>
              <w:tabs>
                <w:tab w:val="left" w:pos="1069"/>
                <w:tab w:val="left" w:pos="2352"/>
              </w:tabs>
              <w:spacing w:line="360" w:lineRule="auto"/>
              <w:rPr>
                <w:rFonts w:ascii="宋体" w:hAnsi="宋体" w:cs="宋体"/>
                <w:color w:val="auto"/>
                <w:sz w:val="22"/>
                <w:highlight w:val="none"/>
              </w:rPr>
            </w:pPr>
          </w:p>
        </w:tc>
        <w:tc>
          <w:tcPr>
            <w:tcW w:w="720" w:type="dxa"/>
            <w:vAlign w:val="center"/>
          </w:tcPr>
          <w:p w14:paraId="1E5CC5D2">
            <w:pPr>
              <w:tabs>
                <w:tab w:val="left" w:pos="1069"/>
                <w:tab w:val="left" w:pos="2352"/>
              </w:tabs>
              <w:spacing w:line="360" w:lineRule="auto"/>
              <w:rPr>
                <w:rFonts w:ascii="宋体" w:hAnsi="宋体" w:cs="宋体"/>
                <w:color w:val="auto"/>
                <w:sz w:val="22"/>
                <w:highlight w:val="none"/>
              </w:rPr>
            </w:pPr>
          </w:p>
        </w:tc>
        <w:tc>
          <w:tcPr>
            <w:tcW w:w="720" w:type="dxa"/>
            <w:vAlign w:val="center"/>
          </w:tcPr>
          <w:p w14:paraId="551602C1">
            <w:pPr>
              <w:tabs>
                <w:tab w:val="left" w:pos="1069"/>
                <w:tab w:val="left" w:pos="2352"/>
              </w:tabs>
              <w:spacing w:line="360" w:lineRule="auto"/>
              <w:rPr>
                <w:rFonts w:ascii="宋体" w:hAnsi="宋体" w:cs="宋体"/>
                <w:color w:val="auto"/>
                <w:sz w:val="22"/>
                <w:highlight w:val="none"/>
              </w:rPr>
            </w:pPr>
          </w:p>
        </w:tc>
        <w:tc>
          <w:tcPr>
            <w:tcW w:w="1080" w:type="dxa"/>
            <w:vAlign w:val="center"/>
          </w:tcPr>
          <w:p w14:paraId="31F42C9C">
            <w:pPr>
              <w:tabs>
                <w:tab w:val="left" w:pos="1069"/>
                <w:tab w:val="left" w:pos="2352"/>
              </w:tabs>
              <w:spacing w:line="360" w:lineRule="auto"/>
              <w:rPr>
                <w:rFonts w:ascii="宋体" w:hAnsi="宋体" w:cs="宋体"/>
                <w:color w:val="auto"/>
                <w:sz w:val="22"/>
                <w:highlight w:val="none"/>
              </w:rPr>
            </w:pPr>
          </w:p>
        </w:tc>
        <w:tc>
          <w:tcPr>
            <w:tcW w:w="1458" w:type="dxa"/>
            <w:vAlign w:val="center"/>
          </w:tcPr>
          <w:p w14:paraId="5DFB81BA">
            <w:pPr>
              <w:tabs>
                <w:tab w:val="left" w:pos="1069"/>
                <w:tab w:val="left" w:pos="2352"/>
              </w:tabs>
              <w:spacing w:line="360" w:lineRule="auto"/>
              <w:rPr>
                <w:rFonts w:ascii="宋体" w:hAnsi="宋体" w:cs="宋体"/>
                <w:color w:val="auto"/>
                <w:sz w:val="22"/>
                <w:highlight w:val="none"/>
              </w:rPr>
            </w:pPr>
          </w:p>
        </w:tc>
        <w:tc>
          <w:tcPr>
            <w:tcW w:w="1560" w:type="dxa"/>
            <w:vAlign w:val="center"/>
          </w:tcPr>
          <w:p w14:paraId="4AD9CA7F">
            <w:pPr>
              <w:tabs>
                <w:tab w:val="left" w:pos="1069"/>
                <w:tab w:val="left" w:pos="2352"/>
              </w:tabs>
              <w:spacing w:line="360" w:lineRule="auto"/>
              <w:rPr>
                <w:rFonts w:ascii="宋体" w:hAnsi="宋体" w:cs="宋体"/>
                <w:color w:val="auto"/>
                <w:sz w:val="22"/>
                <w:highlight w:val="none"/>
              </w:rPr>
            </w:pPr>
          </w:p>
        </w:tc>
      </w:tr>
      <w:tr w14:paraId="16F5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C493C08">
            <w:pPr>
              <w:tabs>
                <w:tab w:val="left" w:pos="1069"/>
                <w:tab w:val="left" w:pos="2352"/>
              </w:tabs>
              <w:spacing w:line="360" w:lineRule="auto"/>
              <w:rPr>
                <w:rFonts w:ascii="宋体" w:hAnsi="宋体" w:cs="宋体"/>
                <w:color w:val="auto"/>
                <w:sz w:val="22"/>
                <w:highlight w:val="none"/>
              </w:rPr>
            </w:pPr>
          </w:p>
        </w:tc>
        <w:tc>
          <w:tcPr>
            <w:tcW w:w="2520" w:type="dxa"/>
            <w:vAlign w:val="center"/>
          </w:tcPr>
          <w:p w14:paraId="79A27541">
            <w:pPr>
              <w:tabs>
                <w:tab w:val="left" w:pos="1069"/>
                <w:tab w:val="left" w:pos="2352"/>
              </w:tabs>
              <w:spacing w:line="360" w:lineRule="auto"/>
              <w:rPr>
                <w:rFonts w:ascii="宋体" w:hAnsi="宋体" w:cs="宋体"/>
                <w:color w:val="auto"/>
                <w:sz w:val="22"/>
                <w:highlight w:val="none"/>
              </w:rPr>
            </w:pPr>
          </w:p>
        </w:tc>
        <w:tc>
          <w:tcPr>
            <w:tcW w:w="720" w:type="dxa"/>
            <w:vAlign w:val="center"/>
          </w:tcPr>
          <w:p w14:paraId="088AD6AB">
            <w:pPr>
              <w:tabs>
                <w:tab w:val="left" w:pos="1069"/>
                <w:tab w:val="left" w:pos="2352"/>
              </w:tabs>
              <w:spacing w:line="360" w:lineRule="auto"/>
              <w:rPr>
                <w:rFonts w:ascii="宋体" w:hAnsi="宋体" w:cs="宋体"/>
                <w:color w:val="auto"/>
                <w:sz w:val="22"/>
                <w:highlight w:val="none"/>
              </w:rPr>
            </w:pPr>
          </w:p>
        </w:tc>
        <w:tc>
          <w:tcPr>
            <w:tcW w:w="720" w:type="dxa"/>
            <w:vAlign w:val="center"/>
          </w:tcPr>
          <w:p w14:paraId="5C23FD2E">
            <w:pPr>
              <w:tabs>
                <w:tab w:val="left" w:pos="1069"/>
                <w:tab w:val="left" w:pos="2352"/>
              </w:tabs>
              <w:spacing w:line="360" w:lineRule="auto"/>
              <w:rPr>
                <w:rFonts w:ascii="宋体" w:hAnsi="宋体" w:cs="宋体"/>
                <w:color w:val="auto"/>
                <w:sz w:val="22"/>
                <w:highlight w:val="none"/>
              </w:rPr>
            </w:pPr>
          </w:p>
        </w:tc>
        <w:tc>
          <w:tcPr>
            <w:tcW w:w="720" w:type="dxa"/>
            <w:vAlign w:val="center"/>
          </w:tcPr>
          <w:p w14:paraId="726D7425">
            <w:pPr>
              <w:tabs>
                <w:tab w:val="left" w:pos="1069"/>
                <w:tab w:val="left" w:pos="2352"/>
              </w:tabs>
              <w:spacing w:line="360" w:lineRule="auto"/>
              <w:rPr>
                <w:rFonts w:ascii="宋体" w:hAnsi="宋体" w:cs="宋体"/>
                <w:color w:val="auto"/>
                <w:sz w:val="22"/>
                <w:highlight w:val="none"/>
              </w:rPr>
            </w:pPr>
          </w:p>
        </w:tc>
        <w:tc>
          <w:tcPr>
            <w:tcW w:w="1080" w:type="dxa"/>
            <w:vAlign w:val="center"/>
          </w:tcPr>
          <w:p w14:paraId="56E532A8">
            <w:pPr>
              <w:tabs>
                <w:tab w:val="left" w:pos="1069"/>
                <w:tab w:val="left" w:pos="2352"/>
              </w:tabs>
              <w:spacing w:line="360" w:lineRule="auto"/>
              <w:rPr>
                <w:rFonts w:ascii="宋体" w:hAnsi="宋体" w:cs="宋体"/>
                <w:color w:val="auto"/>
                <w:sz w:val="22"/>
                <w:highlight w:val="none"/>
              </w:rPr>
            </w:pPr>
          </w:p>
        </w:tc>
        <w:tc>
          <w:tcPr>
            <w:tcW w:w="1458" w:type="dxa"/>
            <w:vAlign w:val="center"/>
          </w:tcPr>
          <w:p w14:paraId="44C2BCE4">
            <w:pPr>
              <w:tabs>
                <w:tab w:val="left" w:pos="1069"/>
                <w:tab w:val="left" w:pos="2352"/>
              </w:tabs>
              <w:spacing w:line="360" w:lineRule="auto"/>
              <w:rPr>
                <w:rFonts w:ascii="宋体" w:hAnsi="宋体" w:cs="宋体"/>
                <w:color w:val="auto"/>
                <w:sz w:val="22"/>
                <w:highlight w:val="none"/>
              </w:rPr>
            </w:pPr>
          </w:p>
        </w:tc>
        <w:tc>
          <w:tcPr>
            <w:tcW w:w="1560" w:type="dxa"/>
            <w:vAlign w:val="center"/>
          </w:tcPr>
          <w:p w14:paraId="6AE061CF">
            <w:pPr>
              <w:tabs>
                <w:tab w:val="left" w:pos="1069"/>
                <w:tab w:val="left" w:pos="2352"/>
              </w:tabs>
              <w:spacing w:line="360" w:lineRule="auto"/>
              <w:rPr>
                <w:rFonts w:ascii="宋体" w:hAnsi="宋体" w:cs="宋体"/>
                <w:color w:val="auto"/>
                <w:sz w:val="22"/>
                <w:highlight w:val="none"/>
              </w:rPr>
            </w:pPr>
          </w:p>
        </w:tc>
      </w:tr>
      <w:tr w14:paraId="728D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C638B91">
            <w:pPr>
              <w:tabs>
                <w:tab w:val="left" w:pos="1069"/>
                <w:tab w:val="left" w:pos="2352"/>
              </w:tabs>
              <w:spacing w:line="360" w:lineRule="auto"/>
              <w:rPr>
                <w:rFonts w:ascii="宋体" w:hAnsi="宋体" w:cs="宋体"/>
                <w:color w:val="auto"/>
                <w:sz w:val="22"/>
                <w:highlight w:val="none"/>
              </w:rPr>
            </w:pPr>
          </w:p>
        </w:tc>
        <w:tc>
          <w:tcPr>
            <w:tcW w:w="2520" w:type="dxa"/>
            <w:vAlign w:val="center"/>
          </w:tcPr>
          <w:p w14:paraId="65D1379C">
            <w:pPr>
              <w:tabs>
                <w:tab w:val="left" w:pos="1069"/>
                <w:tab w:val="left" w:pos="2352"/>
              </w:tabs>
              <w:spacing w:line="360" w:lineRule="auto"/>
              <w:rPr>
                <w:rFonts w:ascii="宋体" w:hAnsi="宋体" w:cs="宋体"/>
                <w:color w:val="auto"/>
                <w:sz w:val="22"/>
                <w:highlight w:val="none"/>
              </w:rPr>
            </w:pPr>
          </w:p>
        </w:tc>
        <w:tc>
          <w:tcPr>
            <w:tcW w:w="720" w:type="dxa"/>
            <w:vAlign w:val="center"/>
          </w:tcPr>
          <w:p w14:paraId="2E022AE9">
            <w:pPr>
              <w:tabs>
                <w:tab w:val="left" w:pos="1069"/>
                <w:tab w:val="left" w:pos="2352"/>
              </w:tabs>
              <w:spacing w:line="360" w:lineRule="auto"/>
              <w:rPr>
                <w:rFonts w:ascii="宋体" w:hAnsi="宋体" w:cs="宋体"/>
                <w:color w:val="auto"/>
                <w:sz w:val="22"/>
                <w:highlight w:val="none"/>
              </w:rPr>
            </w:pPr>
          </w:p>
        </w:tc>
        <w:tc>
          <w:tcPr>
            <w:tcW w:w="720" w:type="dxa"/>
            <w:vAlign w:val="center"/>
          </w:tcPr>
          <w:p w14:paraId="072FFA72">
            <w:pPr>
              <w:tabs>
                <w:tab w:val="left" w:pos="1069"/>
                <w:tab w:val="left" w:pos="2352"/>
              </w:tabs>
              <w:spacing w:line="360" w:lineRule="auto"/>
              <w:rPr>
                <w:rFonts w:ascii="宋体" w:hAnsi="宋体" w:cs="宋体"/>
                <w:color w:val="auto"/>
                <w:sz w:val="22"/>
                <w:highlight w:val="none"/>
              </w:rPr>
            </w:pPr>
          </w:p>
        </w:tc>
        <w:tc>
          <w:tcPr>
            <w:tcW w:w="720" w:type="dxa"/>
            <w:vAlign w:val="center"/>
          </w:tcPr>
          <w:p w14:paraId="53B839CC">
            <w:pPr>
              <w:tabs>
                <w:tab w:val="left" w:pos="1069"/>
                <w:tab w:val="left" w:pos="2352"/>
              </w:tabs>
              <w:spacing w:line="360" w:lineRule="auto"/>
              <w:rPr>
                <w:rFonts w:ascii="宋体" w:hAnsi="宋体" w:cs="宋体"/>
                <w:color w:val="auto"/>
                <w:sz w:val="22"/>
                <w:highlight w:val="none"/>
              </w:rPr>
            </w:pPr>
          </w:p>
        </w:tc>
        <w:tc>
          <w:tcPr>
            <w:tcW w:w="1080" w:type="dxa"/>
            <w:vAlign w:val="center"/>
          </w:tcPr>
          <w:p w14:paraId="48408F65">
            <w:pPr>
              <w:tabs>
                <w:tab w:val="left" w:pos="1069"/>
                <w:tab w:val="left" w:pos="2352"/>
              </w:tabs>
              <w:spacing w:line="360" w:lineRule="auto"/>
              <w:rPr>
                <w:rFonts w:ascii="宋体" w:hAnsi="宋体" w:cs="宋体"/>
                <w:color w:val="auto"/>
                <w:sz w:val="22"/>
                <w:highlight w:val="none"/>
              </w:rPr>
            </w:pPr>
          </w:p>
        </w:tc>
        <w:tc>
          <w:tcPr>
            <w:tcW w:w="1458" w:type="dxa"/>
            <w:vAlign w:val="center"/>
          </w:tcPr>
          <w:p w14:paraId="0B827AF5">
            <w:pPr>
              <w:tabs>
                <w:tab w:val="left" w:pos="1069"/>
                <w:tab w:val="left" w:pos="2352"/>
              </w:tabs>
              <w:spacing w:line="360" w:lineRule="auto"/>
              <w:rPr>
                <w:rFonts w:ascii="宋体" w:hAnsi="宋体" w:cs="宋体"/>
                <w:color w:val="auto"/>
                <w:sz w:val="22"/>
                <w:highlight w:val="none"/>
              </w:rPr>
            </w:pPr>
          </w:p>
        </w:tc>
        <w:tc>
          <w:tcPr>
            <w:tcW w:w="1560" w:type="dxa"/>
            <w:vAlign w:val="center"/>
          </w:tcPr>
          <w:p w14:paraId="06C85A4A">
            <w:pPr>
              <w:tabs>
                <w:tab w:val="left" w:pos="1069"/>
                <w:tab w:val="left" w:pos="2352"/>
              </w:tabs>
              <w:spacing w:line="360" w:lineRule="auto"/>
              <w:rPr>
                <w:rFonts w:ascii="宋体" w:hAnsi="宋体" w:cs="宋体"/>
                <w:color w:val="auto"/>
                <w:sz w:val="22"/>
                <w:highlight w:val="none"/>
              </w:rPr>
            </w:pPr>
          </w:p>
        </w:tc>
      </w:tr>
      <w:tr w14:paraId="0F1A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972026C">
            <w:pPr>
              <w:tabs>
                <w:tab w:val="left" w:pos="1069"/>
                <w:tab w:val="left" w:pos="2352"/>
              </w:tabs>
              <w:spacing w:line="360" w:lineRule="auto"/>
              <w:rPr>
                <w:rFonts w:ascii="宋体" w:hAnsi="宋体" w:cs="宋体"/>
                <w:color w:val="auto"/>
                <w:sz w:val="22"/>
                <w:highlight w:val="none"/>
              </w:rPr>
            </w:pPr>
          </w:p>
        </w:tc>
        <w:tc>
          <w:tcPr>
            <w:tcW w:w="2520" w:type="dxa"/>
            <w:vAlign w:val="center"/>
          </w:tcPr>
          <w:p w14:paraId="3F3164DA">
            <w:pPr>
              <w:tabs>
                <w:tab w:val="left" w:pos="1069"/>
                <w:tab w:val="left" w:pos="2352"/>
              </w:tabs>
              <w:spacing w:line="360" w:lineRule="auto"/>
              <w:rPr>
                <w:rFonts w:ascii="宋体" w:hAnsi="宋体" w:cs="宋体"/>
                <w:color w:val="auto"/>
                <w:sz w:val="22"/>
                <w:highlight w:val="none"/>
              </w:rPr>
            </w:pPr>
          </w:p>
        </w:tc>
        <w:tc>
          <w:tcPr>
            <w:tcW w:w="720" w:type="dxa"/>
            <w:vAlign w:val="center"/>
          </w:tcPr>
          <w:p w14:paraId="4960216A">
            <w:pPr>
              <w:tabs>
                <w:tab w:val="left" w:pos="1069"/>
                <w:tab w:val="left" w:pos="2352"/>
              </w:tabs>
              <w:spacing w:line="360" w:lineRule="auto"/>
              <w:rPr>
                <w:rFonts w:ascii="宋体" w:hAnsi="宋体" w:cs="宋体"/>
                <w:color w:val="auto"/>
                <w:sz w:val="22"/>
                <w:highlight w:val="none"/>
              </w:rPr>
            </w:pPr>
          </w:p>
        </w:tc>
        <w:tc>
          <w:tcPr>
            <w:tcW w:w="720" w:type="dxa"/>
            <w:vAlign w:val="center"/>
          </w:tcPr>
          <w:p w14:paraId="1C6E1380">
            <w:pPr>
              <w:tabs>
                <w:tab w:val="left" w:pos="1069"/>
                <w:tab w:val="left" w:pos="2352"/>
              </w:tabs>
              <w:spacing w:line="360" w:lineRule="auto"/>
              <w:rPr>
                <w:rFonts w:ascii="宋体" w:hAnsi="宋体" w:cs="宋体"/>
                <w:color w:val="auto"/>
                <w:sz w:val="22"/>
                <w:highlight w:val="none"/>
              </w:rPr>
            </w:pPr>
          </w:p>
        </w:tc>
        <w:tc>
          <w:tcPr>
            <w:tcW w:w="720" w:type="dxa"/>
            <w:vAlign w:val="center"/>
          </w:tcPr>
          <w:p w14:paraId="18B879B3">
            <w:pPr>
              <w:tabs>
                <w:tab w:val="left" w:pos="1069"/>
                <w:tab w:val="left" w:pos="2352"/>
              </w:tabs>
              <w:spacing w:line="360" w:lineRule="auto"/>
              <w:rPr>
                <w:rFonts w:ascii="宋体" w:hAnsi="宋体" w:cs="宋体"/>
                <w:color w:val="auto"/>
                <w:sz w:val="22"/>
                <w:highlight w:val="none"/>
              </w:rPr>
            </w:pPr>
          </w:p>
        </w:tc>
        <w:tc>
          <w:tcPr>
            <w:tcW w:w="1080" w:type="dxa"/>
            <w:vAlign w:val="center"/>
          </w:tcPr>
          <w:p w14:paraId="5B93E885">
            <w:pPr>
              <w:tabs>
                <w:tab w:val="left" w:pos="1069"/>
                <w:tab w:val="left" w:pos="2352"/>
              </w:tabs>
              <w:spacing w:line="360" w:lineRule="auto"/>
              <w:rPr>
                <w:rFonts w:ascii="宋体" w:hAnsi="宋体" w:cs="宋体"/>
                <w:color w:val="auto"/>
                <w:sz w:val="22"/>
                <w:highlight w:val="none"/>
              </w:rPr>
            </w:pPr>
          </w:p>
        </w:tc>
        <w:tc>
          <w:tcPr>
            <w:tcW w:w="1458" w:type="dxa"/>
            <w:vAlign w:val="center"/>
          </w:tcPr>
          <w:p w14:paraId="67014F91">
            <w:pPr>
              <w:tabs>
                <w:tab w:val="left" w:pos="1069"/>
                <w:tab w:val="left" w:pos="2352"/>
              </w:tabs>
              <w:spacing w:line="360" w:lineRule="auto"/>
              <w:rPr>
                <w:rFonts w:ascii="宋体" w:hAnsi="宋体" w:cs="宋体"/>
                <w:color w:val="auto"/>
                <w:sz w:val="22"/>
                <w:highlight w:val="none"/>
              </w:rPr>
            </w:pPr>
          </w:p>
        </w:tc>
        <w:tc>
          <w:tcPr>
            <w:tcW w:w="1560" w:type="dxa"/>
            <w:vAlign w:val="center"/>
          </w:tcPr>
          <w:p w14:paraId="17BB4DD5">
            <w:pPr>
              <w:tabs>
                <w:tab w:val="left" w:pos="1069"/>
                <w:tab w:val="left" w:pos="2352"/>
              </w:tabs>
              <w:spacing w:line="360" w:lineRule="auto"/>
              <w:rPr>
                <w:rFonts w:ascii="宋体" w:hAnsi="宋体" w:cs="宋体"/>
                <w:color w:val="auto"/>
                <w:sz w:val="22"/>
                <w:highlight w:val="none"/>
              </w:rPr>
            </w:pPr>
          </w:p>
        </w:tc>
      </w:tr>
      <w:tr w14:paraId="37F94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3D0358B">
            <w:pPr>
              <w:tabs>
                <w:tab w:val="left" w:pos="1069"/>
                <w:tab w:val="left" w:pos="2352"/>
              </w:tabs>
              <w:spacing w:line="360" w:lineRule="auto"/>
              <w:rPr>
                <w:rFonts w:ascii="宋体" w:hAnsi="宋体" w:cs="宋体"/>
                <w:color w:val="auto"/>
                <w:sz w:val="22"/>
                <w:highlight w:val="none"/>
              </w:rPr>
            </w:pPr>
          </w:p>
        </w:tc>
        <w:tc>
          <w:tcPr>
            <w:tcW w:w="2520" w:type="dxa"/>
            <w:vAlign w:val="center"/>
          </w:tcPr>
          <w:p w14:paraId="1324426F">
            <w:pPr>
              <w:tabs>
                <w:tab w:val="left" w:pos="1069"/>
                <w:tab w:val="left" w:pos="2352"/>
              </w:tabs>
              <w:spacing w:line="360" w:lineRule="auto"/>
              <w:rPr>
                <w:rFonts w:ascii="宋体" w:hAnsi="宋体" w:cs="宋体"/>
                <w:color w:val="auto"/>
                <w:sz w:val="22"/>
                <w:highlight w:val="none"/>
              </w:rPr>
            </w:pPr>
          </w:p>
        </w:tc>
        <w:tc>
          <w:tcPr>
            <w:tcW w:w="720" w:type="dxa"/>
            <w:vAlign w:val="center"/>
          </w:tcPr>
          <w:p w14:paraId="172474B0">
            <w:pPr>
              <w:tabs>
                <w:tab w:val="left" w:pos="1069"/>
                <w:tab w:val="left" w:pos="2352"/>
              </w:tabs>
              <w:spacing w:line="360" w:lineRule="auto"/>
              <w:rPr>
                <w:rFonts w:ascii="宋体" w:hAnsi="宋体" w:cs="宋体"/>
                <w:color w:val="auto"/>
                <w:sz w:val="22"/>
                <w:highlight w:val="none"/>
              </w:rPr>
            </w:pPr>
          </w:p>
        </w:tc>
        <w:tc>
          <w:tcPr>
            <w:tcW w:w="720" w:type="dxa"/>
            <w:vAlign w:val="center"/>
          </w:tcPr>
          <w:p w14:paraId="2232F60D">
            <w:pPr>
              <w:tabs>
                <w:tab w:val="left" w:pos="1069"/>
                <w:tab w:val="left" w:pos="2352"/>
              </w:tabs>
              <w:spacing w:line="360" w:lineRule="auto"/>
              <w:rPr>
                <w:rFonts w:ascii="宋体" w:hAnsi="宋体" w:cs="宋体"/>
                <w:color w:val="auto"/>
                <w:sz w:val="22"/>
                <w:highlight w:val="none"/>
              </w:rPr>
            </w:pPr>
          </w:p>
        </w:tc>
        <w:tc>
          <w:tcPr>
            <w:tcW w:w="720" w:type="dxa"/>
            <w:vAlign w:val="center"/>
          </w:tcPr>
          <w:p w14:paraId="4E2BAB6B">
            <w:pPr>
              <w:tabs>
                <w:tab w:val="left" w:pos="1069"/>
                <w:tab w:val="left" w:pos="2352"/>
              </w:tabs>
              <w:spacing w:line="360" w:lineRule="auto"/>
              <w:rPr>
                <w:rFonts w:ascii="宋体" w:hAnsi="宋体" w:cs="宋体"/>
                <w:color w:val="auto"/>
                <w:sz w:val="22"/>
                <w:highlight w:val="none"/>
              </w:rPr>
            </w:pPr>
          </w:p>
        </w:tc>
        <w:tc>
          <w:tcPr>
            <w:tcW w:w="1080" w:type="dxa"/>
            <w:vAlign w:val="center"/>
          </w:tcPr>
          <w:p w14:paraId="27268FC4">
            <w:pPr>
              <w:tabs>
                <w:tab w:val="left" w:pos="1069"/>
                <w:tab w:val="left" w:pos="2352"/>
              </w:tabs>
              <w:spacing w:line="360" w:lineRule="auto"/>
              <w:rPr>
                <w:rFonts w:ascii="宋体" w:hAnsi="宋体" w:cs="宋体"/>
                <w:color w:val="auto"/>
                <w:sz w:val="22"/>
                <w:highlight w:val="none"/>
              </w:rPr>
            </w:pPr>
          </w:p>
        </w:tc>
        <w:tc>
          <w:tcPr>
            <w:tcW w:w="1458" w:type="dxa"/>
            <w:vAlign w:val="center"/>
          </w:tcPr>
          <w:p w14:paraId="73719938">
            <w:pPr>
              <w:tabs>
                <w:tab w:val="left" w:pos="1069"/>
                <w:tab w:val="left" w:pos="2352"/>
              </w:tabs>
              <w:spacing w:line="360" w:lineRule="auto"/>
              <w:rPr>
                <w:rFonts w:ascii="宋体" w:hAnsi="宋体" w:cs="宋体"/>
                <w:color w:val="auto"/>
                <w:sz w:val="22"/>
                <w:highlight w:val="none"/>
              </w:rPr>
            </w:pPr>
          </w:p>
        </w:tc>
        <w:tc>
          <w:tcPr>
            <w:tcW w:w="1560" w:type="dxa"/>
            <w:vAlign w:val="center"/>
          </w:tcPr>
          <w:p w14:paraId="7492CC6A">
            <w:pPr>
              <w:tabs>
                <w:tab w:val="left" w:pos="1069"/>
                <w:tab w:val="left" w:pos="2352"/>
              </w:tabs>
              <w:spacing w:line="360" w:lineRule="auto"/>
              <w:rPr>
                <w:rFonts w:ascii="宋体" w:hAnsi="宋体" w:cs="宋体"/>
                <w:color w:val="auto"/>
                <w:sz w:val="22"/>
                <w:highlight w:val="none"/>
              </w:rPr>
            </w:pPr>
          </w:p>
        </w:tc>
      </w:tr>
      <w:tr w14:paraId="50EA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8942EF6">
            <w:pPr>
              <w:tabs>
                <w:tab w:val="left" w:pos="1069"/>
                <w:tab w:val="left" w:pos="2352"/>
              </w:tabs>
              <w:spacing w:line="360" w:lineRule="auto"/>
              <w:rPr>
                <w:rFonts w:ascii="宋体" w:hAnsi="宋体" w:cs="宋体"/>
                <w:color w:val="auto"/>
                <w:sz w:val="22"/>
                <w:highlight w:val="none"/>
              </w:rPr>
            </w:pPr>
          </w:p>
        </w:tc>
        <w:tc>
          <w:tcPr>
            <w:tcW w:w="2520" w:type="dxa"/>
            <w:vAlign w:val="center"/>
          </w:tcPr>
          <w:p w14:paraId="7368F65D">
            <w:pPr>
              <w:tabs>
                <w:tab w:val="left" w:pos="1069"/>
                <w:tab w:val="left" w:pos="2352"/>
              </w:tabs>
              <w:spacing w:line="360" w:lineRule="auto"/>
              <w:rPr>
                <w:rFonts w:ascii="宋体" w:hAnsi="宋体" w:cs="宋体"/>
                <w:color w:val="auto"/>
                <w:sz w:val="22"/>
                <w:highlight w:val="none"/>
              </w:rPr>
            </w:pPr>
          </w:p>
        </w:tc>
        <w:tc>
          <w:tcPr>
            <w:tcW w:w="720" w:type="dxa"/>
            <w:vAlign w:val="center"/>
          </w:tcPr>
          <w:p w14:paraId="7F861260">
            <w:pPr>
              <w:tabs>
                <w:tab w:val="left" w:pos="1069"/>
                <w:tab w:val="left" w:pos="2352"/>
              </w:tabs>
              <w:spacing w:line="360" w:lineRule="auto"/>
              <w:rPr>
                <w:rFonts w:ascii="宋体" w:hAnsi="宋体" w:cs="宋体"/>
                <w:color w:val="auto"/>
                <w:sz w:val="22"/>
                <w:highlight w:val="none"/>
              </w:rPr>
            </w:pPr>
          </w:p>
        </w:tc>
        <w:tc>
          <w:tcPr>
            <w:tcW w:w="720" w:type="dxa"/>
            <w:vAlign w:val="center"/>
          </w:tcPr>
          <w:p w14:paraId="3EBA6541">
            <w:pPr>
              <w:tabs>
                <w:tab w:val="left" w:pos="1069"/>
                <w:tab w:val="left" w:pos="2352"/>
              </w:tabs>
              <w:spacing w:line="360" w:lineRule="auto"/>
              <w:rPr>
                <w:rFonts w:ascii="宋体" w:hAnsi="宋体" w:cs="宋体"/>
                <w:color w:val="auto"/>
                <w:sz w:val="22"/>
                <w:highlight w:val="none"/>
              </w:rPr>
            </w:pPr>
          </w:p>
        </w:tc>
        <w:tc>
          <w:tcPr>
            <w:tcW w:w="720" w:type="dxa"/>
            <w:vAlign w:val="center"/>
          </w:tcPr>
          <w:p w14:paraId="735838BA">
            <w:pPr>
              <w:tabs>
                <w:tab w:val="left" w:pos="1069"/>
                <w:tab w:val="left" w:pos="2352"/>
              </w:tabs>
              <w:spacing w:line="360" w:lineRule="auto"/>
              <w:rPr>
                <w:rFonts w:ascii="宋体" w:hAnsi="宋体" w:cs="宋体"/>
                <w:color w:val="auto"/>
                <w:sz w:val="22"/>
                <w:highlight w:val="none"/>
              </w:rPr>
            </w:pPr>
          </w:p>
        </w:tc>
        <w:tc>
          <w:tcPr>
            <w:tcW w:w="1080" w:type="dxa"/>
            <w:vAlign w:val="center"/>
          </w:tcPr>
          <w:p w14:paraId="5B169D4E">
            <w:pPr>
              <w:tabs>
                <w:tab w:val="left" w:pos="1069"/>
                <w:tab w:val="left" w:pos="2352"/>
              </w:tabs>
              <w:spacing w:line="360" w:lineRule="auto"/>
              <w:rPr>
                <w:rFonts w:ascii="宋体" w:hAnsi="宋体" w:cs="宋体"/>
                <w:color w:val="auto"/>
                <w:sz w:val="22"/>
                <w:highlight w:val="none"/>
              </w:rPr>
            </w:pPr>
          </w:p>
        </w:tc>
        <w:tc>
          <w:tcPr>
            <w:tcW w:w="1458" w:type="dxa"/>
            <w:vAlign w:val="center"/>
          </w:tcPr>
          <w:p w14:paraId="3674BC94">
            <w:pPr>
              <w:tabs>
                <w:tab w:val="left" w:pos="1069"/>
                <w:tab w:val="left" w:pos="2352"/>
              </w:tabs>
              <w:spacing w:line="360" w:lineRule="auto"/>
              <w:rPr>
                <w:rFonts w:ascii="宋体" w:hAnsi="宋体" w:cs="宋体"/>
                <w:color w:val="auto"/>
                <w:sz w:val="22"/>
                <w:highlight w:val="none"/>
              </w:rPr>
            </w:pPr>
          </w:p>
        </w:tc>
        <w:tc>
          <w:tcPr>
            <w:tcW w:w="1560" w:type="dxa"/>
            <w:vAlign w:val="center"/>
          </w:tcPr>
          <w:p w14:paraId="533A0561">
            <w:pPr>
              <w:tabs>
                <w:tab w:val="left" w:pos="1069"/>
                <w:tab w:val="left" w:pos="2352"/>
              </w:tabs>
              <w:spacing w:line="360" w:lineRule="auto"/>
              <w:rPr>
                <w:rFonts w:ascii="宋体" w:hAnsi="宋体" w:cs="宋体"/>
                <w:color w:val="auto"/>
                <w:sz w:val="22"/>
                <w:highlight w:val="none"/>
              </w:rPr>
            </w:pPr>
          </w:p>
        </w:tc>
      </w:tr>
      <w:tr w14:paraId="397F6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B47B4E1">
            <w:pPr>
              <w:tabs>
                <w:tab w:val="left" w:pos="1069"/>
                <w:tab w:val="left" w:pos="2352"/>
              </w:tabs>
              <w:spacing w:line="360" w:lineRule="auto"/>
              <w:rPr>
                <w:rFonts w:ascii="宋体" w:hAnsi="宋体" w:cs="宋体"/>
                <w:color w:val="auto"/>
                <w:sz w:val="22"/>
                <w:highlight w:val="none"/>
              </w:rPr>
            </w:pPr>
          </w:p>
        </w:tc>
        <w:tc>
          <w:tcPr>
            <w:tcW w:w="2520" w:type="dxa"/>
            <w:vAlign w:val="center"/>
          </w:tcPr>
          <w:p w14:paraId="2794CE8E">
            <w:pPr>
              <w:tabs>
                <w:tab w:val="left" w:pos="1069"/>
                <w:tab w:val="left" w:pos="2352"/>
              </w:tabs>
              <w:spacing w:line="360" w:lineRule="auto"/>
              <w:rPr>
                <w:rFonts w:ascii="宋体" w:hAnsi="宋体" w:cs="宋体"/>
                <w:color w:val="auto"/>
                <w:sz w:val="22"/>
                <w:highlight w:val="none"/>
              </w:rPr>
            </w:pPr>
          </w:p>
        </w:tc>
        <w:tc>
          <w:tcPr>
            <w:tcW w:w="720" w:type="dxa"/>
            <w:vAlign w:val="center"/>
          </w:tcPr>
          <w:p w14:paraId="21ADA145">
            <w:pPr>
              <w:tabs>
                <w:tab w:val="left" w:pos="1069"/>
                <w:tab w:val="left" w:pos="2352"/>
              </w:tabs>
              <w:spacing w:line="360" w:lineRule="auto"/>
              <w:rPr>
                <w:rFonts w:ascii="宋体" w:hAnsi="宋体" w:cs="宋体"/>
                <w:color w:val="auto"/>
                <w:sz w:val="22"/>
                <w:highlight w:val="none"/>
              </w:rPr>
            </w:pPr>
          </w:p>
        </w:tc>
        <w:tc>
          <w:tcPr>
            <w:tcW w:w="720" w:type="dxa"/>
            <w:vAlign w:val="center"/>
          </w:tcPr>
          <w:p w14:paraId="6410D9A7">
            <w:pPr>
              <w:tabs>
                <w:tab w:val="left" w:pos="1069"/>
                <w:tab w:val="left" w:pos="2352"/>
              </w:tabs>
              <w:spacing w:line="360" w:lineRule="auto"/>
              <w:rPr>
                <w:rFonts w:ascii="宋体" w:hAnsi="宋体" w:cs="宋体"/>
                <w:color w:val="auto"/>
                <w:sz w:val="22"/>
                <w:highlight w:val="none"/>
              </w:rPr>
            </w:pPr>
          </w:p>
        </w:tc>
        <w:tc>
          <w:tcPr>
            <w:tcW w:w="720" w:type="dxa"/>
            <w:vAlign w:val="center"/>
          </w:tcPr>
          <w:p w14:paraId="6E8D0969">
            <w:pPr>
              <w:tabs>
                <w:tab w:val="left" w:pos="1069"/>
                <w:tab w:val="left" w:pos="2352"/>
              </w:tabs>
              <w:spacing w:line="360" w:lineRule="auto"/>
              <w:rPr>
                <w:rFonts w:ascii="宋体" w:hAnsi="宋体" w:cs="宋体"/>
                <w:color w:val="auto"/>
                <w:sz w:val="22"/>
                <w:highlight w:val="none"/>
              </w:rPr>
            </w:pPr>
          </w:p>
        </w:tc>
        <w:tc>
          <w:tcPr>
            <w:tcW w:w="1080" w:type="dxa"/>
            <w:vAlign w:val="center"/>
          </w:tcPr>
          <w:p w14:paraId="560C3B74">
            <w:pPr>
              <w:tabs>
                <w:tab w:val="left" w:pos="1069"/>
                <w:tab w:val="left" w:pos="2352"/>
              </w:tabs>
              <w:spacing w:line="360" w:lineRule="auto"/>
              <w:rPr>
                <w:rFonts w:ascii="宋体" w:hAnsi="宋体" w:cs="宋体"/>
                <w:color w:val="auto"/>
                <w:sz w:val="22"/>
                <w:highlight w:val="none"/>
              </w:rPr>
            </w:pPr>
          </w:p>
        </w:tc>
        <w:tc>
          <w:tcPr>
            <w:tcW w:w="1458" w:type="dxa"/>
            <w:vAlign w:val="center"/>
          </w:tcPr>
          <w:p w14:paraId="3473BC5A">
            <w:pPr>
              <w:tabs>
                <w:tab w:val="left" w:pos="1069"/>
                <w:tab w:val="left" w:pos="2352"/>
              </w:tabs>
              <w:spacing w:line="360" w:lineRule="auto"/>
              <w:rPr>
                <w:rFonts w:ascii="宋体" w:hAnsi="宋体" w:cs="宋体"/>
                <w:color w:val="auto"/>
                <w:sz w:val="22"/>
                <w:highlight w:val="none"/>
              </w:rPr>
            </w:pPr>
          </w:p>
        </w:tc>
        <w:tc>
          <w:tcPr>
            <w:tcW w:w="1560" w:type="dxa"/>
            <w:vAlign w:val="center"/>
          </w:tcPr>
          <w:p w14:paraId="0CD437BD">
            <w:pPr>
              <w:tabs>
                <w:tab w:val="left" w:pos="1069"/>
                <w:tab w:val="left" w:pos="2352"/>
              </w:tabs>
              <w:spacing w:line="360" w:lineRule="auto"/>
              <w:rPr>
                <w:rFonts w:ascii="宋体" w:hAnsi="宋体" w:cs="宋体"/>
                <w:color w:val="auto"/>
                <w:sz w:val="22"/>
                <w:highlight w:val="none"/>
              </w:rPr>
            </w:pPr>
          </w:p>
        </w:tc>
      </w:tr>
      <w:tr w14:paraId="3967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50FBDBE">
            <w:pPr>
              <w:tabs>
                <w:tab w:val="left" w:pos="1069"/>
                <w:tab w:val="left" w:pos="2352"/>
              </w:tabs>
              <w:spacing w:line="360" w:lineRule="auto"/>
              <w:rPr>
                <w:rFonts w:ascii="宋体" w:hAnsi="宋体" w:cs="宋体"/>
                <w:color w:val="auto"/>
                <w:sz w:val="22"/>
                <w:highlight w:val="none"/>
              </w:rPr>
            </w:pPr>
          </w:p>
        </w:tc>
        <w:tc>
          <w:tcPr>
            <w:tcW w:w="2520" w:type="dxa"/>
            <w:vAlign w:val="center"/>
          </w:tcPr>
          <w:p w14:paraId="1070F896">
            <w:pPr>
              <w:tabs>
                <w:tab w:val="left" w:pos="1069"/>
                <w:tab w:val="left" w:pos="2352"/>
              </w:tabs>
              <w:spacing w:line="360" w:lineRule="auto"/>
              <w:rPr>
                <w:rFonts w:ascii="宋体" w:hAnsi="宋体" w:cs="宋体"/>
                <w:color w:val="auto"/>
                <w:sz w:val="22"/>
                <w:highlight w:val="none"/>
              </w:rPr>
            </w:pPr>
          </w:p>
        </w:tc>
        <w:tc>
          <w:tcPr>
            <w:tcW w:w="720" w:type="dxa"/>
            <w:vAlign w:val="center"/>
          </w:tcPr>
          <w:p w14:paraId="33399B59">
            <w:pPr>
              <w:tabs>
                <w:tab w:val="left" w:pos="1069"/>
                <w:tab w:val="left" w:pos="2352"/>
              </w:tabs>
              <w:spacing w:line="360" w:lineRule="auto"/>
              <w:rPr>
                <w:rFonts w:ascii="宋体" w:hAnsi="宋体" w:cs="宋体"/>
                <w:color w:val="auto"/>
                <w:sz w:val="22"/>
                <w:highlight w:val="none"/>
              </w:rPr>
            </w:pPr>
          </w:p>
        </w:tc>
        <w:tc>
          <w:tcPr>
            <w:tcW w:w="720" w:type="dxa"/>
            <w:vAlign w:val="center"/>
          </w:tcPr>
          <w:p w14:paraId="683E3A4A">
            <w:pPr>
              <w:tabs>
                <w:tab w:val="left" w:pos="1069"/>
                <w:tab w:val="left" w:pos="2352"/>
              </w:tabs>
              <w:spacing w:line="360" w:lineRule="auto"/>
              <w:rPr>
                <w:rFonts w:ascii="宋体" w:hAnsi="宋体" w:cs="宋体"/>
                <w:color w:val="auto"/>
                <w:sz w:val="22"/>
                <w:highlight w:val="none"/>
              </w:rPr>
            </w:pPr>
          </w:p>
        </w:tc>
        <w:tc>
          <w:tcPr>
            <w:tcW w:w="720" w:type="dxa"/>
            <w:vAlign w:val="center"/>
          </w:tcPr>
          <w:p w14:paraId="7A2FF9DD">
            <w:pPr>
              <w:tabs>
                <w:tab w:val="left" w:pos="1069"/>
                <w:tab w:val="left" w:pos="2352"/>
              </w:tabs>
              <w:spacing w:line="360" w:lineRule="auto"/>
              <w:rPr>
                <w:rFonts w:ascii="宋体" w:hAnsi="宋体" w:cs="宋体"/>
                <w:color w:val="auto"/>
                <w:sz w:val="22"/>
                <w:highlight w:val="none"/>
              </w:rPr>
            </w:pPr>
          </w:p>
        </w:tc>
        <w:tc>
          <w:tcPr>
            <w:tcW w:w="1080" w:type="dxa"/>
            <w:vAlign w:val="center"/>
          </w:tcPr>
          <w:p w14:paraId="16FBA256">
            <w:pPr>
              <w:tabs>
                <w:tab w:val="left" w:pos="1069"/>
                <w:tab w:val="left" w:pos="2352"/>
              </w:tabs>
              <w:spacing w:line="360" w:lineRule="auto"/>
              <w:rPr>
                <w:rFonts w:ascii="宋体" w:hAnsi="宋体" w:cs="宋体"/>
                <w:color w:val="auto"/>
                <w:sz w:val="22"/>
                <w:highlight w:val="none"/>
              </w:rPr>
            </w:pPr>
          </w:p>
        </w:tc>
        <w:tc>
          <w:tcPr>
            <w:tcW w:w="1458" w:type="dxa"/>
            <w:vAlign w:val="center"/>
          </w:tcPr>
          <w:p w14:paraId="07543BD8">
            <w:pPr>
              <w:tabs>
                <w:tab w:val="left" w:pos="1069"/>
                <w:tab w:val="left" w:pos="2352"/>
              </w:tabs>
              <w:spacing w:line="360" w:lineRule="auto"/>
              <w:rPr>
                <w:rFonts w:ascii="宋体" w:hAnsi="宋体" w:cs="宋体"/>
                <w:color w:val="auto"/>
                <w:sz w:val="22"/>
                <w:highlight w:val="none"/>
              </w:rPr>
            </w:pPr>
          </w:p>
        </w:tc>
        <w:tc>
          <w:tcPr>
            <w:tcW w:w="1560" w:type="dxa"/>
            <w:vAlign w:val="center"/>
          </w:tcPr>
          <w:p w14:paraId="53629B88">
            <w:pPr>
              <w:tabs>
                <w:tab w:val="left" w:pos="1069"/>
                <w:tab w:val="left" w:pos="2352"/>
              </w:tabs>
              <w:spacing w:line="360" w:lineRule="auto"/>
              <w:rPr>
                <w:rFonts w:ascii="宋体" w:hAnsi="宋体" w:cs="宋体"/>
                <w:color w:val="auto"/>
                <w:sz w:val="22"/>
                <w:highlight w:val="none"/>
              </w:rPr>
            </w:pPr>
          </w:p>
        </w:tc>
      </w:tr>
      <w:tr w14:paraId="7DB9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6931276">
            <w:pPr>
              <w:tabs>
                <w:tab w:val="left" w:pos="1069"/>
                <w:tab w:val="left" w:pos="2352"/>
              </w:tabs>
              <w:spacing w:line="360" w:lineRule="auto"/>
              <w:rPr>
                <w:rFonts w:ascii="宋体" w:hAnsi="宋体" w:cs="宋体"/>
                <w:color w:val="auto"/>
                <w:sz w:val="22"/>
                <w:highlight w:val="none"/>
              </w:rPr>
            </w:pPr>
          </w:p>
        </w:tc>
        <w:tc>
          <w:tcPr>
            <w:tcW w:w="2520" w:type="dxa"/>
            <w:vAlign w:val="center"/>
          </w:tcPr>
          <w:p w14:paraId="6A08B73C">
            <w:pPr>
              <w:tabs>
                <w:tab w:val="left" w:pos="1069"/>
                <w:tab w:val="left" w:pos="2352"/>
              </w:tabs>
              <w:spacing w:line="360" w:lineRule="auto"/>
              <w:rPr>
                <w:rFonts w:ascii="宋体" w:hAnsi="宋体" w:cs="宋体"/>
                <w:color w:val="auto"/>
                <w:sz w:val="22"/>
                <w:highlight w:val="none"/>
              </w:rPr>
            </w:pPr>
          </w:p>
        </w:tc>
        <w:tc>
          <w:tcPr>
            <w:tcW w:w="720" w:type="dxa"/>
            <w:vAlign w:val="center"/>
          </w:tcPr>
          <w:p w14:paraId="5106CEC6">
            <w:pPr>
              <w:tabs>
                <w:tab w:val="left" w:pos="1069"/>
                <w:tab w:val="left" w:pos="2352"/>
              </w:tabs>
              <w:spacing w:line="360" w:lineRule="auto"/>
              <w:rPr>
                <w:rFonts w:ascii="宋体" w:hAnsi="宋体" w:cs="宋体"/>
                <w:color w:val="auto"/>
                <w:sz w:val="22"/>
                <w:highlight w:val="none"/>
              </w:rPr>
            </w:pPr>
          </w:p>
        </w:tc>
        <w:tc>
          <w:tcPr>
            <w:tcW w:w="720" w:type="dxa"/>
            <w:vAlign w:val="center"/>
          </w:tcPr>
          <w:p w14:paraId="2523F6E1">
            <w:pPr>
              <w:tabs>
                <w:tab w:val="left" w:pos="1069"/>
                <w:tab w:val="left" w:pos="2352"/>
              </w:tabs>
              <w:spacing w:line="360" w:lineRule="auto"/>
              <w:rPr>
                <w:rFonts w:ascii="宋体" w:hAnsi="宋体" w:cs="宋体"/>
                <w:color w:val="auto"/>
                <w:sz w:val="22"/>
                <w:highlight w:val="none"/>
              </w:rPr>
            </w:pPr>
          </w:p>
        </w:tc>
        <w:tc>
          <w:tcPr>
            <w:tcW w:w="720" w:type="dxa"/>
            <w:vAlign w:val="center"/>
          </w:tcPr>
          <w:p w14:paraId="7F8AF65F">
            <w:pPr>
              <w:tabs>
                <w:tab w:val="left" w:pos="1069"/>
                <w:tab w:val="left" w:pos="2352"/>
              </w:tabs>
              <w:spacing w:line="360" w:lineRule="auto"/>
              <w:rPr>
                <w:rFonts w:ascii="宋体" w:hAnsi="宋体" w:cs="宋体"/>
                <w:color w:val="auto"/>
                <w:sz w:val="22"/>
                <w:highlight w:val="none"/>
              </w:rPr>
            </w:pPr>
          </w:p>
        </w:tc>
        <w:tc>
          <w:tcPr>
            <w:tcW w:w="1080" w:type="dxa"/>
            <w:vAlign w:val="center"/>
          </w:tcPr>
          <w:p w14:paraId="63DC3A01">
            <w:pPr>
              <w:tabs>
                <w:tab w:val="left" w:pos="1069"/>
                <w:tab w:val="left" w:pos="2352"/>
              </w:tabs>
              <w:spacing w:line="360" w:lineRule="auto"/>
              <w:rPr>
                <w:rFonts w:ascii="宋体" w:hAnsi="宋体" w:cs="宋体"/>
                <w:color w:val="auto"/>
                <w:sz w:val="22"/>
                <w:highlight w:val="none"/>
              </w:rPr>
            </w:pPr>
          </w:p>
        </w:tc>
        <w:tc>
          <w:tcPr>
            <w:tcW w:w="1458" w:type="dxa"/>
            <w:vAlign w:val="center"/>
          </w:tcPr>
          <w:p w14:paraId="3334AC93">
            <w:pPr>
              <w:tabs>
                <w:tab w:val="left" w:pos="1069"/>
                <w:tab w:val="left" w:pos="2352"/>
              </w:tabs>
              <w:spacing w:line="360" w:lineRule="auto"/>
              <w:rPr>
                <w:rFonts w:ascii="宋体" w:hAnsi="宋体" w:cs="宋体"/>
                <w:color w:val="auto"/>
                <w:sz w:val="22"/>
                <w:highlight w:val="none"/>
              </w:rPr>
            </w:pPr>
          </w:p>
        </w:tc>
        <w:tc>
          <w:tcPr>
            <w:tcW w:w="1560" w:type="dxa"/>
            <w:vAlign w:val="center"/>
          </w:tcPr>
          <w:p w14:paraId="43A61D21">
            <w:pPr>
              <w:tabs>
                <w:tab w:val="left" w:pos="1069"/>
                <w:tab w:val="left" w:pos="2352"/>
              </w:tabs>
              <w:spacing w:line="360" w:lineRule="auto"/>
              <w:rPr>
                <w:rFonts w:ascii="宋体" w:hAnsi="宋体" w:cs="宋体"/>
                <w:color w:val="auto"/>
                <w:sz w:val="22"/>
                <w:highlight w:val="none"/>
              </w:rPr>
            </w:pPr>
          </w:p>
        </w:tc>
      </w:tr>
    </w:tbl>
    <w:p w14:paraId="7A45E420">
      <w:pPr>
        <w:tabs>
          <w:tab w:val="left" w:pos="1069"/>
          <w:tab w:val="left" w:pos="2352"/>
        </w:tabs>
        <w:spacing w:line="360" w:lineRule="exact"/>
        <w:ind w:left="985" w:hanging="981" w:hangingChars="440"/>
        <w:rPr>
          <w:rFonts w:ascii="宋体" w:hAnsi="宋体" w:cs="宋体"/>
          <w:color w:val="auto"/>
          <w:sz w:val="22"/>
          <w:highlight w:val="none"/>
        </w:rPr>
      </w:pPr>
      <w:r>
        <w:rPr>
          <w:rFonts w:hint="eastAsia" w:ascii="宋体" w:hAnsi="宋体" w:cs="宋体"/>
          <w:color w:val="auto"/>
          <w:sz w:val="22"/>
          <w:highlight w:val="none"/>
        </w:rPr>
        <w:t>注：  1. 项目负责人及其他服务人员均应列入；</w:t>
      </w:r>
    </w:p>
    <w:p w14:paraId="4923AD87">
      <w:pPr>
        <w:tabs>
          <w:tab w:val="left" w:pos="1069"/>
          <w:tab w:val="left" w:pos="2352"/>
        </w:tabs>
        <w:spacing w:line="360" w:lineRule="exact"/>
        <w:ind w:left="727" w:leftChars="321" w:hanging="44" w:hangingChars="20"/>
        <w:rPr>
          <w:rFonts w:ascii="宋体" w:hAnsi="宋体" w:cs="宋体"/>
          <w:color w:val="auto"/>
          <w:sz w:val="22"/>
          <w:highlight w:val="none"/>
        </w:rPr>
      </w:pPr>
      <w:r>
        <w:rPr>
          <w:rFonts w:hint="eastAsia" w:ascii="宋体" w:hAnsi="宋体" w:cs="宋体"/>
          <w:color w:val="auto"/>
          <w:sz w:val="22"/>
          <w:highlight w:val="none"/>
        </w:rPr>
        <w:t>2. 列入本表人员如要更换，需经采购人同意，擅自更换或不到位属违约行为；</w:t>
      </w:r>
    </w:p>
    <w:p w14:paraId="7978DE5D">
      <w:pPr>
        <w:tabs>
          <w:tab w:val="left" w:pos="1069"/>
          <w:tab w:val="left" w:pos="2352"/>
        </w:tabs>
        <w:spacing w:line="360" w:lineRule="exact"/>
        <w:ind w:left="727" w:leftChars="321" w:hanging="44" w:hangingChars="20"/>
        <w:rPr>
          <w:rFonts w:ascii="宋体" w:hAnsi="宋体" w:cs="宋体"/>
          <w:color w:val="auto"/>
          <w:sz w:val="22"/>
          <w:highlight w:val="none"/>
        </w:rPr>
      </w:pPr>
      <w:r>
        <w:rPr>
          <w:rFonts w:hint="eastAsia" w:ascii="宋体" w:hAnsi="宋体" w:cs="宋体"/>
          <w:color w:val="auto"/>
          <w:sz w:val="22"/>
          <w:highlight w:val="none"/>
        </w:rPr>
        <w:t>3. 职称证书、执业资格证书、职业水平证书等人员证件复印件附后（如有）。</w:t>
      </w:r>
    </w:p>
    <w:p w14:paraId="3A7DF8A5">
      <w:pPr>
        <w:tabs>
          <w:tab w:val="left" w:pos="1069"/>
          <w:tab w:val="left" w:pos="2352"/>
        </w:tabs>
        <w:spacing w:line="360" w:lineRule="exact"/>
        <w:ind w:left="727" w:leftChars="321" w:hanging="44" w:hangingChars="20"/>
        <w:rPr>
          <w:rFonts w:ascii="宋体" w:hAnsi="宋体" w:cs="宋体"/>
          <w:color w:val="auto"/>
          <w:sz w:val="22"/>
          <w:highlight w:val="none"/>
        </w:rPr>
      </w:pPr>
      <w:r>
        <w:rPr>
          <w:rFonts w:hint="eastAsia" w:ascii="宋体" w:hAnsi="宋体" w:cs="宋体"/>
          <w:color w:val="auto"/>
          <w:sz w:val="22"/>
          <w:highlight w:val="none"/>
        </w:rPr>
        <w:t>4.表格可以延续。</w:t>
      </w:r>
    </w:p>
    <w:p w14:paraId="04AE0F66">
      <w:pPr>
        <w:pStyle w:val="10"/>
        <w:tabs>
          <w:tab w:val="left" w:pos="1069"/>
          <w:tab w:val="left" w:pos="2352"/>
        </w:tabs>
        <w:spacing w:line="440" w:lineRule="atLeast"/>
        <w:rPr>
          <w:rFonts w:hAnsi="宋体" w:cs="宋体"/>
          <w:color w:val="auto"/>
          <w:sz w:val="22"/>
          <w:szCs w:val="22"/>
          <w:highlight w:val="none"/>
        </w:rPr>
      </w:pPr>
      <w:r>
        <w:rPr>
          <w:rFonts w:hint="eastAsia" w:hAnsi="宋体" w:cs="宋体"/>
          <w:color w:val="auto"/>
          <w:sz w:val="22"/>
          <w:szCs w:val="22"/>
          <w:highlight w:val="none"/>
        </w:rPr>
        <w:t>供应商全称：（盖章）</w:t>
      </w:r>
    </w:p>
    <w:p w14:paraId="23A5754A">
      <w:pPr>
        <w:pStyle w:val="10"/>
        <w:tabs>
          <w:tab w:val="left" w:pos="1069"/>
          <w:tab w:val="left" w:pos="2352"/>
        </w:tabs>
        <w:spacing w:line="440" w:lineRule="atLeast"/>
        <w:rPr>
          <w:rFonts w:hAnsi="宋体" w:cs="宋体"/>
          <w:color w:val="auto"/>
          <w:sz w:val="22"/>
          <w:szCs w:val="22"/>
          <w:highlight w:val="none"/>
          <w:lang w:val="zh-CN"/>
        </w:rPr>
      </w:pPr>
      <w:r>
        <w:rPr>
          <w:rFonts w:hint="eastAsia" w:hAnsi="宋体" w:cs="宋体"/>
          <w:color w:val="auto"/>
          <w:sz w:val="22"/>
          <w:szCs w:val="22"/>
          <w:highlight w:val="none"/>
        </w:rPr>
        <w:t>法定代表人（签字或盖章）或</w:t>
      </w:r>
      <w:r>
        <w:rPr>
          <w:rFonts w:hint="eastAsia" w:hAnsi="宋体" w:cs="宋体"/>
          <w:color w:val="auto"/>
          <w:sz w:val="22"/>
          <w:szCs w:val="22"/>
          <w:highlight w:val="none"/>
          <w:lang w:val="zh-CN"/>
        </w:rPr>
        <w:t>授权代表（签字）：</w:t>
      </w:r>
    </w:p>
    <w:p w14:paraId="030D1389">
      <w:pPr>
        <w:pStyle w:val="10"/>
        <w:tabs>
          <w:tab w:val="left" w:pos="1069"/>
          <w:tab w:val="left" w:pos="2352"/>
        </w:tabs>
        <w:spacing w:line="360" w:lineRule="exact"/>
        <w:jc w:val="left"/>
        <w:rPr>
          <w:rFonts w:hAnsi="宋体" w:cs="宋体"/>
          <w:color w:val="auto"/>
          <w:sz w:val="22"/>
          <w:szCs w:val="22"/>
          <w:highlight w:val="none"/>
        </w:rPr>
      </w:pPr>
      <w:r>
        <w:rPr>
          <w:rFonts w:hint="eastAsia" w:hAnsi="宋体" w:cs="宋体"/>
          <w:color w:val="auto"/>
          <w:sz w:val="22"/>
          <w:szCs w:val="22"/>
          <w:highlight w:val="none"/>
        </w:rPr>
        <w:t>日期：</w:t>
      </w:r>
    </w:p>
    <w:p w14:paraId="0A171E40">
      <w:pPr>
        <w:tabs>
          <w:tab w:val="left" w:pos="1069"/>
          <w:tab w:val="left" w:pos="2352"/>
        </w:tabs>
        <w:spacing w:line="360" w:lineRule="exact"/>
        <w:jc w:val="left"/>
        <w:rPr>
          <w:rFonts w:ascii="宋体" w:hAnsi="宋体" w:cs="宋体"/>
          <w:color w:val="auto"/>
          <w:sz w:val="30"/>
          <w:highlight w:val="none"/>
        </w:rPr>
      </w:pPr>
    </w:p>
    <w:p w14:paraId="3E15D24D">
      <w:pPr>
        <w:tabs>
          <w:tab w:val="left" w:pos="1069"/>
          <w:tab w:val="left" w:pos="2352"/>
        </w:tabs>
        <w:spacing w:line="360" w:lineRule="exact"/>
        <w:jc w:val="left"/>
        <w:rPr>
          <w:rFonts w:ascii="宋体" w:hAnsi="宋体" w:cs="宋体"/>
          <w:b/>
          <w:bCs/>
          <w:color w:val="auto"/>
          <w:sz w:val="30"/>
          <w:highlight w:val="none"/>
        </w:rPr>
      </w:pPr>
    </w:p>
    <w:p w14:paraId="07A9B2BE">
      <w:pPr>
        <w:tabs>
          <w:tab w:val="left" w:pos="1069"/>
          <w:tab w:val="left" w:pos="2352"/>
        </w:tabs>
        <w:spacing w:line="360" w:lineRule="exact"/>
        <w:jc w:val="left"/>
        <w:rPr>
          <w:rFonts w:ascii="宋体" w:hAnsi="宋体" w:cs="宋体"/>
          <w:b/>
          <w:bCs/>
          <w:color w:val="auto"/>
          <w:szCs w:val="21"/>
          <w:highlight w:val="none"/>
        </w:rPr>
      </w:pPr>
      <w:r>
        <w:rPr>
          <w:rFonts w:hint="eastAsia" w:ascii="宋体" w:hAnsi="宋体" w:cs="宋体"/>
          <w:b/>
          <w:bCs/>
          <w:color w:val="auto"/>
          <w:sz w:val="30"/>
          <w:highlight w:val="none"/>
        </w:rPr>
        <w:t>附件十</w:t>
      </w:r>
    </w:p>
    <w:p w14:paraId="5ECEE44D">
      <w:pPr>
        <w:tabs>
          <w:tab w:val="left" w:pos="1069"/>
          <w:tab w:val="left" w:pos="2352"/>
        </w:tabs>
        <w:autoSpaceDE w:val="0"/>
        <w:autoSpaceDN w:val="0"/>
        <w:adjustRightInd w:val="0"/>
        <w:spacing w:line="500" w:lineRule="atLeast"/>
        <w:jc w:val="center"/>
        <w:rPr>
          <w:rFonts w:ascii="宋体" w:hAnsi="宋体" w:cs="宋体"/>
          <w:b/>
          <w:bCs/>
          <w:color w:val="auto"/>
          <w:sz w:val="32"/>
          <w:highlight w:val="none"/>
        </w:rPr>
      </w:pPr>
      <w:bookmarkStart w:id="83" w:name="_Toc28287_WPSOffice_Level3"/>
      <w:r>
        <w:rPr>
          <w:rFonts w:hint="eastAsia" w:ascii="宋体" w:hAnsi="宋体" w:cs="宋体"/>
          <w:b/>
          <w:bCs/>
          <w:color w:val="auto"/>
          <w:sz w:val="32"/>
          <w:highlight w:val="none"/>
        </w:rPr>
        <w:t>供应商项目业绩清单</w:t>
      </w:r>
      <w:bookmarkEnd w:id="83"/>
    </w:p>
    <w:p w14:paraId="6EB59B57">
      <w:pPr>
        <w:pStyle w:val="10"/>
        <w:tabs>
          <w:tab w:val="left" w:pos="1069"/>
          <w:tab w:val="left" w:pos="2352"/>
        </w:tabs>
        <w:spacing w:line="360" w:lineRule="exact"/>
        <w:jc w:val="center"/>
        <w:rPr>
          <w:rFonts w:hAnsi="宋体" w:cs="宋体"/>
          <w:color w:val="auto"/>
          <w:sz w:val="22"/>
          <w:highlight w:val="none"/>
        </w:rPr>
      </w:pPr>
    </w:p>
    <w:tbl>
      <w:tblPr>
        <w:tblStyle w:val="26"/>
        <w:tblW w:w="0" w:type="auto"/>
        <w:tblInd w:w="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3DF8187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756" w:type="dxa"/>
            <w:tcBorders>
              <w:top w:val="double" w:color="000000" w:sz="6" w:space="0"/>
            </w:tcBorders>
          </w:tcPr>
          <w:p w14:paraId="0526FD05">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序号</w:t>
            </w:r>
          </w:p>
        </w:tc>
        <w:tc>
          <w:tcPr>
            <w:tcW w:w="1153" w:type="dxa"/>
            <w:tcBorders>
              <w:top w:val="double" w:color="000000" w:sz="6" w:space="0"/>
            </w:tcBorders>
          </w:tcPr>
          <w:p w14:paraId="3ABCE857">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采购</w:t>
            </w:r>
          </w:p>
          <w:p w14:paraId="2CB3186D">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单位</w:t>
            </w:r>
          </w:p>
        </w:tc>
        <w:tc>
          <w:tcPr>
            <w:tcW w:w="1154" w:type="dxa"/>
            <w:tcBorders>
              <w:top w:val="double" w:color="000000" w:sz="6" w:space="0"/>
            </w:tcBorders>
          </w:tcPr>
          <w:p w14:paraId="289C2745">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项目</w:t>
            </w:r>
          </w:p>
          <w:p w14:paraId="1F82B8A0">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名称</w:t>
            </w:r>
          </w:p>
        </w:tc>
        <w:tc>
          <w:tcPr>
            <w:tcW w:w="1154" w:type="dxa"/>
            <w:tcBorders>
              <w:top w:val="double" w:color="000000" w:sz="6" w:space="0"/>
            </w:tcBorders>
          </w:tcPr>
          <w:p w14:paraId="3645838B">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数量</w:t>
            </w:r>
          </w:p>
        </w:tc>
        <w:tc>
          <w:tcPr>
            <w:tcW w:w="1154" w:type="dxa"/>
            <w:tcBorders>
              <w:top w:val="double" w:color="000000" w:sz="6" w:space="0"/>
            </w:tcBorders>
          </w:tcPr>
          <w:p w14:paraId="0FA7B58B">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合同</w:t>
            </w:r>
          </w:p>
          <w:p w14:paraId="67C7C35E">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金额</w:t>
            </w:r>
          </w:p>
        </w:tc>
        <w:tc>
          <w:tcPr>
            <w:tcW w:w="1154" w:type="dxa"/>
            <w:tcBorders>
              <w:top w:val="double" w:color="000000" w:sz="6" w:space="0"/>
            </w:tcBorders>
          </w:tcPr>
          <w:p w14:paraId="4BE969FC">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签约</w:t>
            </w:r>
          </w:p>
          <w:p w14:paraId="3E56009A">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日期</w:t>
            </w:r>
          </w:p>
        </w:tc>
        <w:tc>
          <w:tcPr>
            <w:tcW w:w="1154" w:type="dxa"/>
            <w:tcBorders>
              <w:top w:val="double" w:color="000000" w:sz="6" w:space="0"/>
            </w:tcBorders>
          </w:tcPr>
          <w:p w14:paraId="7A4D7A5A">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联系人</w:t>
            </w:r>
          </w:p>
        </w:tc>
        <w:tc>
          <w:tcPr>
            <w:tcW w:w="1154" w:type="dxa"/>
            <w:tcBorders>
              <w:top w:val="double" w:color="000000" w:sz="6" w:space="0"/>
            </w:tcBorders>
          </w:tcPr>
          <w:p w14:paraId="43A30A3E">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w:t>
            </w:r>
          </w:p>
          <w:p w14:paraId="7892C02B">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电话</w:t>
            </w:r>
          </w:p>
        </w:tc>
        <w:tc>
          <w:tcPr>
            <w:tcW w:w="770" w:type="dxa"/>
            <w:tcBorders>
              <w:top w:val="double" w:color="000000" w:sz="6" w:space="0"/>
            </w:tcBorders>
          </w:tcPr>
          <w:p w14:paraId="3D98EBAD">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备注</w:t>
            </w:r>
          </w:p>
        </w:tc>
      </w:tr>
      <w:tr w14:paraId="20242F7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0D24089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2EE753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C7CBEC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B2B74E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4FA0A6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65D46B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EA5AE0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CF6039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576872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706800B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3564840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3DC7E41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2CDE53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B97E6B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E113A4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A3F377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6492E0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6397A3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366293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2108A58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0992AE5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7DFC91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435CEB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D70381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688711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6CAB3E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79AEFD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B6DE51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48D050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190EEF2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11408CB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BAFD4A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B88D6E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BB8DB6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D2D534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2B2196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83D4CF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99547D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B7261E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7F0DD6F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694FB7F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F81607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65D057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6DC8F5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FBADBB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E6A55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073D7C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F74EB4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6D7B09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014A072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0D397EC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B0AF25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6765CA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830A3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05CD6A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538E88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28E3C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C5AB21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0F668C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56E31C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1F19198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2274E3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C4E8A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18C65D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E4EFFA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9706DB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71ACC1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281829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C12E40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5CB7807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3303C31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373644A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4166EA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3CC23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0D650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EA2CC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EB38F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74DE0E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4A7595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1EC2D3C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1BF5F42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D42C2A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A2AB68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11515B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055F00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747CB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AB39D5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1CE853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0BA2DB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52004C6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60DB6F7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3D9E7D4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C9867B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D5A4E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D6B89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B8EBC3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DD4306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88A543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A02903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271312D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6670888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AA9D50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BC0E3E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2F545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0ABE87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5593F4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A999C7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4A1FE7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C99C0D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1D61691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72C468D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04F723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AFC978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27D083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1BE0D4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3ABF4D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840746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837251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908D58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0CAAD5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5D1E1C2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5D5C80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29F27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F544DA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CB3ED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0A9D3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636F38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7239F2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9C7695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7024D28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242B346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6C853C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933C95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279A8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BE9246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97E1F1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A0643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560052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A1F151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010AF08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5E1D305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E8E18A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0CB74D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680E5D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593F12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D104E3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68EFC8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10E3B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E9437C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795E81A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7ADF11E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981811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E84C50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D8BDB5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8BDA3B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A92381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A04B07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4E919D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C416EB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5B6C441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7D8D74F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4C69B4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CE8FE1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6C6AC6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515502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3D5F60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7C0DFF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3DEB07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D4B73E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01A7ED4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7BF9B3E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3D73BF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E008AF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E5EF5B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3CCE7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5A4BC1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6694D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1FC913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43BC2B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296C712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74ACA9D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CC8CD0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26484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CAE43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41D33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E0B92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8D29FB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7855A3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70BD43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1E36B88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0CFFD13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38C05BD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C21E2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1A2539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C28595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881C5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249BA2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9BE75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268C14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59640DB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7F2BD12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bottom w:val="double" w:color="000000" w:sz="6" w:space="0"/>
            </w:tcBorders>
          </w:tcPr>
          <w:p w14:paraId="0332AFD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2813290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05A6FA3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023AA65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1BEB7E2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0B68E35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170CA55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bottom w:val="double" w:color="000000" w:sz="6" w:space="0"/>
            </w:tcBorders>
          </w:tcPr>
          <w:p w14:paraId="0CEB34B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bl>
    <w:p w14:paraId="3C784DD4">
      <w:pPr>
        <w:pStyle w:val="10"/>
        <w:tabs>
          <w:tab w:val="left" w:pos="1069"/>
          <w:tab w:val="left" w:pos="2352"/>
        </w:tabs>
        <w:spacing w:line="360" w:lineRule="exact"/>
        <w:rPr>
          <w:rFonts w:hAnsi="宋体" w:cs="宋体"/>
          <w:b/>
          <w:bCs/>
          <w:color w:val="auto"/>
          <w:sz w:val="32"/>
          <w:highlight w:val="none"/>
        </w:rPr>
      </w:pPr>
      <w:r>
        <w:rPr>
          <w:rFonts w:hint="eastAsia" w:hAnsi="宋体" w:cs="宋体"/>
          <w:color w:val="auto"/>
          <w:sz w:val="22"/>
          <w:highlight w:val="none"/>
        </w:rPr>
        <w:t>本表后附相关证明材料，证明材料以第七部分评审细则中的要求为准。</w:t>
      </w:r>
    </w:p>
    <w:p w14:paraId="31ECEB42">
      <w:pPr>
        <w:tabs>
          <w:tab w:val="left" w:pos="1069"/>
          <w:tab w:val="left" w:pos="2352"/>
        </w:tabs>
        <w:rPr>
          <w:rFonts w:ascii="宋体" w:hAnsi="宋体" w:cs="宋体"/>
          <w:color w:val="auto"/>
          <w:spacing w:val="20"/>
          <w:sz w:val="22"/>
          <w:highlight w:val="none"/>
        </w:rPr>
      </w:pPr>
    </w:p>
    <w:p w14:paraId="5370C656">
      <w:pPr>
        <w:tabs>
          <w:tab w:val="left" w:pos="1069"/>
          <w:tab w:val="left" w:pos="2352"/>
        </w:tabs>
        <w:rPr>
          <w:rFonts w:ascii="宋体" w:hAnsi="宋体" w:cs="宋体"/>
          <w:color w:val="auto"/>
          <w:sz w:val="36"/>
          <w:szCs w:val="36"/>
          <w:highlight w:val="none"/>
        </w:rPr>
      </w:pPr>
      <w:r>
        <w:rPr>
          <w:rFonts w:hint="eastAsia" w:ascii="宋体" w:hAnsi="宋体" w:cs="宋体"/>
          <w:color w:val="auto"/>
          <w:spacing w:val="20"/>
          <w:sz w:val="22"/>
          <w:highlight w:val="none"/>
        </w:rPr>
        <w:t>供应商盖章：</w:t>
      </w:r>
    </w:p>
    <w:p w14:paraId="1FF84BEE">
      <w:pPr>
        <w:pStyle w:val="10"/>
        <w:tabs>
          <w:tab w:val="left" w:pos="1069"/>
          <w:tab w:val="left" w:pos="2352"/>
        </w:tabs>
        <w:spacing w:line="360" w:lineRule="exact"/>
        <w:jc w:val="left"/>
        <w:rPr>
          <w:rFonts w:hAnsi="宋体" w:cs="宋体"/>
          <w:color w:val="auto"/>
          <w:sz w:val="22"/>
          <w:szCs w:val="22"/>
          <w:highlight w:val="none"/>
        </w:rPr>
      </w:pPr>
    </w:p>
    <w:p w14:paraId="68D2EF00">
      <w:pPr>
        <w:pStyle w:val="10"/>
        <w:tabs>
          <w:tab w:val="left" w:pos="1069"/>
          <w:tab w:val="left" w:pos="2352"/>
        </w:tabs>
        <w:spacing w:line="360" w:lineRule="exact"/>
        <w:jc w:val="left"/>
        <w:rPr>
          <w:rFonts w:hAnsi="宋体" w:cs="宋体"/>
          <w:color w:val="auto"/>
          <w:sz w:val="22"/>
          <w:szCs w:val="22"/>
          <w:highlight w:val="none"/>
        </w:rPr>
      </w:pPr>
    </w:p>
    <w:p w14:paraId="3CB9107E">
      <w:pPr>
        <w:pStyle w:val="10"/>
        <w:tabs>
          <w:tab w:val="left" w:pos="1069"/>
          <w:tab w:val="left" w:pos="2352"/>
        </w:tabs>
        <w:spacing w:line="360" w:lineRule="exact"/>
        <w:jc w:val="left"/>
        <w:rPr>
          <w:rFonts w:hAnsi="宋体" w:cs="宋体"/>
          <w:color w:val="auto"/>
          <w:sz w:val="22"/>
          <w:szCs w:val="22"/>
          <w:highlight w:val="none"/>
        </w:rPr>
      </w:pPr>
    </w:p>
    <w:p w14:paraId="63A3FC5C">
      <w:pPr>
        <w:pStyle w:val="10"/>
        <w:tabs>
          <w:tab w:val="left" w:pos="1069"/>
          <w:tab w:val="left" w:pos="2352"/>
        </w:tabs>
        <w:spacing w:line="360" w:lineRule="exact"/>
        <w:jc w:val="left"/>
        <w:rPr>
          <w:rFonts w:hAnsi="宋体" w:cs="宋体"/>
          <w:color w:val="auto"/>
          <w:sz w:val="22"/>
          <w:szCs w:val="22"/>
          <w:highlight w:val="none"/>
        </w:rPr>
      </w:pPr>
    </w:p>
    <w:p w14:paraId="3964683D">
      <w:pPr>
        <w:tabs>
          <w:tab w:val="left" w:pos="1069"/>
          <w:tab w:val="left" w:pos="2352"/>
        </w:tabs>
        <w:spacing w:line="400" w:lineRule="exact"/>
        <w:jc w:val="left"/>
        <w:rPr>
          <w:rFonts w:ascii="宋体" w:hAnsi="宋体" w:cs="宋体"/>
          <w:b/>
          <w:bCs/>
          <w:color w:val="auto"/>
          <w:sz w:val="30"/>
          <w:highlight w:val="none"/>
        </w:rPr>
      </w:pPr>
    </w:p>
    <w:p w14:paraId="371E3D2D">
      <w:pPr>
        <w:tabs>
          <w:tab w:val="left" w:pos="1069"/>
          <w:tab w:val="left" w:pos="2352"/>
        </w:tabs>
        <w:spacing w:line="400" w:lineRule="exact"/>
        <w:jc w:val="left"/>
        <w:rPr>
          <w:rFonts w:ascii="宋体" w:hAnsi="宋体" w:cs="宋体"/>
          <w:b/>
          <w:bCs/>
          <w:color w:val="auto"/>
          <w:sz w:val="30"/>
          <w:highlight w:val="none"/>
        </w:rPr>
      </w:pPr>
      <w:r>
        <w:rPr>
          <w:rFonts w:hint="eastAsia" w:ascii="宋体" w:hAnsi="宋体" w:cs="宋体"/>
          <w:b/>
          <w:bCs/>
          <w:color w:val="auto"/>
          <w:sz w:val="30"/>
          <w:highlight w:val="none"/>
        </w:rPr>
        <w:t>附件十一</w:t>
      </w:r>
    </w:p>
    <w:p w14:paraId="4F30DB90">
      <w:pPr>
        <w:tabs>
          <w:tab w:val="left" w:pos="1069"/>
          <w:tab w:val="left" w:pos="2352"/>
        </w:tabs>
        <w:spacing w:line="420" w:lineRule="exact"/>
        <w:jc w:val="center"/>
        <w:rPr>
          <w:rFonts w:ascii="宋体" w:hAnsi="宋体" w:cs="宋体"/>
          <w:b/>
          <w:bCs/>
          <w:color w:val="auto"/>
          <w:sz w:val="30"/>
          <w:highlight w:val="none"/>
        </w:rPr>
      </w:pPr>
      <w:bookmarkStart w:id="84" w:name="_Toc31819"/>
      <w:r>
        <w:rPr>
          <w:rFonts w:hint="eastAsia" w:ascii="宋体" w:hAnsi="宋体" w:cs="宋体"/>
          <w:b/>
          <w:bCs/>
          <w:color w:val="auto"/>
          <w:sz w:val="30"/>
          <w:highlight w:val="none"/>
        </w:rPr>
        <w:t>政府采购活动现场确认声明书</w:t>
      </w:r>
      <w:bookmarkEnd w:id="84"/>
    </w:p>
    <w:p w14:paraId="69A2DE8B">
      <w:pPr>
        <w:pStyle w:val="38"/>
        <w:widowControl w:val="0"/>
        <w:tabs>
          <w:tab w:val="left" w:pos="1069"/>
          <w:tab w:val="left" w:pos="2352"/>
        </w:tabs>
        <w:snapToGrid w:val="0"/>
        <w:spacing w:line="420" w:lineRule="exact"/>
        <w:jc w:val="both"/>
        <w:rPr>
          <w:rFonts w:hAnsi="宋体" w:cs="宋体"/>
          <w:color w:val="auto"/>
          <w:kern w:val="0"/>
          <w:sz w:val="24"/>
          <w:szCs w:val="24"/>
          <w:highlight w:val="none"/>
          <w:u w:val="single"/>
        </w:rPr>
      </w:pPr>
    </w:p>
    <w:p w14:paraId="4BCDBD06">
      <w:pPr>
        <w:pStyle w:val="38"/>
        <w:widowControl w:val="0"/>
        <w:tabs>
          <w:tab w:val="left" w:pos="1069"/>
          <w:tab w:val="left" w:pos="2352"/>
        </w:tabs>
        <w:snapToGrid w:val="0"/>
        <w:spacing w:line="400" w:lineRule="exact"/>
        <w:jc w:val="both"/>
        <w:rPr>
          <w:rFonts w:hAnsi="宋体" w:cs="宋体"/>
          <w:color w:val="auto"/>
          <w:kern w:val="0"/>
          <w:sz w:val="22"/>
          <w:szCs w:val="22"/>
          <w:highlight w:val="none"/>
        </w:rPr>
      </w:pPr>
      <w:r>
        <w:rPr>
          <w:rFonts w:hint="eastAsia" w:hAnsi="宋体" w:cs="宋体"/>
          <w:color w:val="auto"/>
          <w:kern w:val="0"/>
          <w:sz w:val="22"/>
          <w:szCs w:val="22"/>
          <w:highlight w:val="none"/>
          <w:u w:val="single"/>
        </w:rPr>
        <w:t>杭州华旗招标代理有限公司</w:t>
      </w:r>
      <w:r>
        <w:rPr>
          <w:rFonts w:hint="eastAsia" w:hAnsi="宋体" w:cs="宋体"/>
          <w:color w:val="auto"/>
          <w:kern w:val="0"/>
          <w:sz w:val="22"/>
          <w:szCs w:val="22"/>
          <w:highlight w:val="none"/>
        </w:rPr>
        <w:t>：</w:t>
      </w:r>
    </w:p>
    <w:p w14:paraId="0AFF4A2F">
      <w:pPr>
        <w:pStyle w:val="38"/>
        <w:widowControl w:val="0"/>
        <w:tabs>
          <w:tab w:val="left" w:pos="1069"/>
          <w:tab w:val="left" w:pos="2352"/>
        </w:tabs>
        <w:snapToGrid w:val="0"/>
        <w:spacing w:line="400" w:lineRule="exact"/>
        <w:ind w:firstLine="470" w:firstLineChars="200"/>
        <w:jc w:val="both"/>
        <w:rPr>
          <w:rFonts w:hAnsi="宋体" w:cs="宋体"/>
          <w:color w:val="auto"/>
          <w:spacing w:val="6"/>
          <w:sz w:val="22"/>
          <w:szCs w:val="22"/>
          <w:highlight w:val="none"/>
        </w:rPr>
      </w:pPr>
      <w:r>
        <w:rPr>
          <w:rFonts w:hint="eastAsia" w:hAnsi="宋体" w:cs="宋体"/>
          <w:color w:val="auto"/>
          <w:spacing w:val="6"/>
          <w:sz w:val="22"/>
          <w:szCs w:val="22"/>
          <w:highlight w:val="none"/>
        </w:rPr>
        <w:t>本人经由</w:t>
      </w:r>
      <w:r>
        <w:rPr>
          <w:rFonts w:hint="eastAsia" w:hAnsi="宋体" w:cs="宋体"/>
          <w:color w:val="auto"/>
          <w:spacing w:val="6"/>
          <w:sz w:val="22"/>
          <w:szCs w:val="22"/>
          <w:highlight w:val="none"/>
          <w:u w:val="single"/>
        </w:rPr>
        <w:t xml:space="preserve">   （供应商全称）     </w:t>
      </w:r>
      <w:r>
        <w:rPr>
          <w:rFonts w:hint="eastAsia" w:hAnsi="宋体" w:cs="宋体"/>
          <w:color w:val="auto"/>
          <w:spacing w:val="6"/>
          <w:sz w:val="22"/>
          <w:szCs w:val="22"/>
          <w:highlight w:val="none"/>
        </w:rPr>
        <w:t>负责人</w:t>
      </w:r>
      <w:r>
        <w:rPr>
          <w:rFonts w:hint="eastAsia" w:hAnsi="宋体" w:cs="宋体"/>
          <w:color w:val="auto"/>
          <w:spacing w:val="6"/>
          <w:sz w:val="22"/>
          <w:szCs w:val="22"/>
          <w:highlight w:val="none"/>
          <w:u w:val="single"/>
        </w:rPr>
        <w:t xml:space="preserve">   （法定代表人姓名）</w:t>
      </w:r>
      <w:r>
        <w:rPr>
          <w:rFonts w:hint="eastAsia" w:hAnsi="宋体" w:cs="宋体"/>
          <w:color w:val="auto"/>
          <w:spacing w:val="6"/>
          <w:sz w:val="22"/>
          <w:szCs w:val="22"/>
          <w:highlight w:val="none"/>
        </w:rPr>
        <w:t>合法授权参加</w:t>
      </w:r>
      <w:r>
        <w:rPr>
          <w:rFonts w:hint="eastAsia" w:hAnsi="宋体" w:cs="宋体"/>
          <w:color w:val="auto"/>
          <w:spacing w:val="6"/>
          <w:sz w:val="22"/>
          <w:szCs w:val="22"/>
          <w:highlight w:val="none"/>
          <w:u w:val="single"/>
        </w:rPr>
        <w:t xml:space="preserve">           </w:t>
      </w:r>
      <w:r>
        <w:rPr>
          <w:rFonts w:hint="eastAsia" w:hAnsi="宋体" w:cs="宋体"/>
          <w:color w:val="auto"/>
          <w:spacing w:val="6"/>
          <w:sz w:val="22"/>
          <w:szCs w:val="22"/>
          <w:highlight w:val="none"/>
          <w:u w:val="single"/>
          <w:lang w:eastAsia="zh-CN"/>
        </w:rPr>
        <w:t>2025年泰顺县森林资源动态监测与评价</w:t>
      </w:r>
      <w:r>
        <w:rPr>
          <w:rFonts w:hint="eastAsia" w:hAnsi="宋体" w:cs="宋体"/>
          <w:color w:val="auto"/>
          <w:spacing w:val="6"/>
          <w:sz w:val="22"/>
          <w:szCs w:val="22"/>
          <w:highlight w:val="none"/>
        </w:rPr>
        <w:t>（项目编号：</w:t>
      </w:r>
      <w:r>
        <w:rPr>
          <w:rFonts w:hint="eastAsia" w:hAnsi="宋体" w:cs="宋体"/>
          <w:color w:val="auto"/>
          <w:spacing w:val="6"/>
          <w:sz w:val="22"/>
          <w:szCs w:val="22"/>
          <w:highlight w:val="none"/>
          <w:u w:val="single"/>
        </w:rPr>
        <w:t xml:space="preserve"> </w:t>
      </w:r>
      <w:r>
        <w:rPr>
          <w:rFonts w:hint="eastAsia" w:hAnsi="宋体" w:cs="宋体"/>
          <w:color w:val="auto"/>
          <w:spacing w:val="6"/>
          <w:sz w:val="22"/>
          <w:szCs w:val="22"/>
          <w:highlight w:val="none"/>
          <w:u w:val="single"/>
          <w:lang w:eastAsia="zh-CN"/>
        </w:rPr>
        <w:t xml:space="preserve">330329253440010000110-TSCG202512013 </w:t>
      </w:r>
      <w:r>
        <w:rPr>
          <w:rFonts w:hint="eastAsia" w:hAnsi="宋体" w:cs="宋体"/>
          <w:color w:val="auto"/>
          <w:spacing w:val="6"/>
          <w:sz w:val="22"/>
          <w:szCs w:val="22"/>
          <w:highlight w:val="none"/>
          <w:u w:val="single"/>
        </w:rPr>
        <w:t xml:space="preserve"> </w:t>
      </w:r>
      <w:r>
        <w:rPr>
          <w:rFonts w:hint="eastAsia" w:hAnsi="宋体" w:cs="宋体"/>
          <w:color w:val="auto"/>
          <w:spacing w:val="6"/>
          <w:sz w:val="22"/>
          <w:szCs w:val="22"/>
          <w:highlight w:val="none"/>
        </w:rPr>
        <w:t xml:space="preserve">）政府采购活动，经与本单位法人代表（负责人）联系确认，现就有关公平竞争事项郑重声明如下： </w:t>
      </w:r>
    </w:p>
    <w:p w14:paraId="7A4C6D40">
      <w:pPr>
        <w:pStyle w:val="39"/>
        <w:widowControl/>
        <w:tabs>
          <w:tab w:val="left" w:pos="1069"/>
          <w:tab w:val="left" w:pos="2352"/>
        </w:tabs>
        <w:adjustRightInd w:val="0"/>
        <w:snapToGrid w:val="0"/>
        <w:spacing w:line="400" w:lineRule="exact"/>
        <w:ind w:firstLine="446" w:firstLineChars="200"/>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一、本单位与采购人之间 □不存在利害关系 □存在下列利害关系</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w:t>
      </w:r>
    </w:p>
    <w:p w14:paraId="5E770859">
      <w:pPr>
        <w:pStyle w:val="39"/>
        <w:widowControl/>
        <w:tabs>
          <w:tab w:val="left" w:pos="1069"/>
          <w:tab w:val="left" w:pos="2352"/>
        </w:tabs>
        <w:adjustRightInd w:val="0"/>
        <w:snapToGrid w:val="0"/>
        <w:spacing w:line="400" w:lineRule="exact"/>
        <w:ind w:firstLine="446" w:firstLineChars="200"/>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 xml:space="preserve">  A.投资关系    B.行政隶属关系    C.业务指导关系</w:t>
      </w:r>
    </w:p>
    <w:p w14:paraId="4801E783">
      <w:pPr>
        <w:pStyle w:val="39"/>
        <w:widowControl/>
        <w:tabs>
          <w:tab w:val="left" w:pos="1069"/>
          <w:tab w:val="left" w:pos="2352"/>
        </w:tabs>
        <w:adjustRightInd w:val="0"/>
        <w:snapToGrid w:val="0"/>
        <w:spacing w:line="400" w:lineRule="exact"/>
        <w:ind w:firstLine="446" w:firstLineChars="200"/>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 xml:space="preserve">  D.其他可能</w:t>
      </w:r>
      <w:r>
        <w:rPr>
          <w:rFonts w:ascii="宋体" w:hAnsi="宋体" w:cs="宋体"/>
          <w:color w:val="auto"/>
          <w:sz w:val="22"/>
          <w:szCs w:val="22"/>
          <w:highlight w:val="none"/>
        </w:rPr>
        <w:t>影响采购公正的</w:t>
      </w:r>
      <w:r>
        <w:rPr>
          <w:rFonts w:ascii="宋体" w:hAnsi="宋体" w:cs="宋体"/>
          <w:color w:val="auto"/>
          <w:kern w:val="0"/>
          <w:sz w:val="22"/>
          <w:szCs w:val="22"/>
          <w:highlight w:val="none"/>
        </w:rPr>
        <w:t>利害关系</w:t>
      </w:r>
      <w:r>
        <w:rPr>
          <w:rFonts w:ascii="宋体" w:hAnsi="宋体" w:cs="宋体"/>
          <w:color w:val="auto"/>
          <w:kern w:val="0"/>
          <w:sz w:val="22"/>
          <w:szCs w:val="22"/>
          <w:highlight w:val="none"/>
          <w:u w:val="single"/>
        </w:rPr>
        <w:t xml:space="preserve">（如有，请如实说明）                 </w:t>
      </w:r>
      <w:r>
        <w:rPr>
          <w:rFonts w:ascii="宋体" w:hAnsi="宋体" w:cs="宋体"/>
          <w:color w:val="auto"/>
          <w:kern w:val="0"/>
          <w:sz w:val="22"/>
          <w:szCs w:val="22"/>
          <w:highlight w:val="none"/>
        </w:rPr>
        <w:t>。</w:t>
      </w:r>
    </w:p>
    <w:p w14:paraId="1D372D99">
      <w:pPr>
        <w:pStyle w:val="39"/>
        <w:widowControl/>
        <w:tabs>
          <w:tab w:val="left" w:pos="1069"/>
          <w:tab w:val="left" w:pos="2352"/>
        </w:tabs>
        <w:adjustRightInd w:val="0"/>
        <w:snapToGrid w:val="0"/>
        <w:spacing w:line="400" w:lineRule="exact"/>
        <w:ind w:firstLine="470" w:firstLineChars="200"/>
        <w:textAlignment w:val="baseline"/>
        <w:rPr>
          <w:rFonts w:hint="default" w:ascii="宋体" w:hAnsi="宋体" w:cs="宋体"/>
          <w:color w:val="auto"/>
          <w:kern w:val="0"/>
          <w:sz w:val="22"/>
          <w:szCs w:val="22"/>
          <w:highlight w:val="none"/>
        </w:rPr>
      </w:pPr>
      <w:r>
        <w:rPr>
          <w:rFonts w:ascii="宋体" w:hAnsi="宋体" w:cs="宋体"/>
          <w:color w:val="auto"/>
          <w:spacing w:val="6"/>
          <w:sz w:val="22"/>
          <w:szCs w:val="22"/>
          <w:highlight w:val="none"/>
        </w:rPr>
        <w:t>二、</w:t>
      </w:r>
      <w:r>
        <w:rPr>
          <w:rFonts w:ascii="宋体" w:hAnsi="宋体" w:cs="宋体"/>
          <w:color w:val="auto"/>
          <w:kern w:val="0"/>
          <w:sz w:val="22"/>
          <w:szCs w:val="22"/>
          <w:highlight w:val="none"/>
        </w:rPr>
        <w:t>现已清楚知道参加本项目采购活动的其他所有供应商名称，本单位 □与其他所有供应商之间均不存在利害关系 □与</w:t>
      </w:r>
      <w:r>
        <w:rPr>
          <w:rFonts w:ascii="宋体" w:hAnsi="宋体" w:cs="宋体"/>
          <w:color w:val="auto"/>
          <w:kern w:val="0"/>
          <w:sz w:val="22"/>
          <w:szCs w:val="22"/>
          <w:highlight w:val="none"/>
          <w:u w:val="single"/>
        </w:rPr>
        <w:t xml:space="preserve">           （供应商名称）</w:t>
      </w:r>
      <w:r>
        <w:rPr>
          <w:rFonts w:ascii="宋体" w:hAnsi="宋体" w:cs="宋体"/>
          <w:color w:val="auto"/>
          <w:kern w:val="0"/>
          <w:sz w:val="22"/>
          <w:szCs w:val="22"/>
          <w:highlight w:val="none"/>
        </w:rPr>
        <w:t>之间存在下列利害关系</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w:t>
      </w:r>
    </w:p>
    <w:p w14:paraId="7D9810C1">
      <w:pPr>
        <w:pStyle w:val="38"/>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kern w:val="0"/>
          <w:sz w:val="22"/>
          <w:szCs w:val="22"/>
          <w:highlight w:val="none"/>
        </w:rPr>
      </w:pPr>
      <w:r>
        <w:rPr>
          <w:rFonts w:hint="eastAsia" w:hAnsi="宋体" w:cs="宋体"/>
          <w:color w:val="auto"/>
          <w:kern w:val="0"/>
          <w:sz w:val="22"/>
          <w:szCs w:val="22"/>
          <w:highlight w:val="none"/>
        </w:rPr>
        <w:t xml:space="preserve">  A.法定代表人或负责人或实际控制人是同一人</w:t>
      </w:r>
    </w:p>
    <w:p w14:paraId="66D808FF">
      <w:pPr>
        <w:pStyle w:val="38"/>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pacing w:val="6"/>
          <w:sz w:val="22"/>
          <w:szCs w:val="22"/>
          <w:highlight w:val="none"/>
        </w:rPr>
      </w:pPr>
      <w:r>
        <w:rPr>
          <w:rFonts w:hint="eastAsia" w:hAnsi="宋体" w:cs="宋体"/>
          <w:color w:val="auto"/>
          <w:kern w:val="0"/>
          <w:sz w:val="22"/>
          <w:szCs w:val="22"/>
          <w:highlight w:val="none"/>
        </w:rPr>
        <w:t xml:space="preserve">  B.法定代表人或负责人或实际控制人是夫妻关系</w:t>
      </w:r>
    </w:p>
    <w:p w14:paraId="14E5E9CE">
      <w:pPr>
        <w:pStyle w:val="38"/>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pacing w:val="6"/>
          <w:sz w:val="22"/>
          <w:szCs w:val="22"/>
          <w:highlight w:val="none"/>
        </w:rPr>
      </w:pPr>
      <w:r>
        <w:rPr>
          <w:rFonts w:hint="eastAsia" w:hAnsi="宋体" w:cs="宋体"/>
          <w:color w:val="auto"/>
          <w:kern w:val="0"/>
          <w:sz w:val="22"/>
          <w:szCs w:val="22"/>
          <w:highlight w:val="none"/>
        </w:rPr>
        <w:t xml:space="preserve">  C.法定代表人或负责人或实际控制人是直系血亲关系</w:t>
      </w:r>
    </w:p>
    <w:p w14:paraId="5A712593">
      <w:pPr>
        <w:pStyle w:val="38"/>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pacing w:val="6"/>
          <w:sz w:val="22"/>
          <w:szCs w:val="22"/>
          <w:highlight w:val="none"/>
        </w:rPr>
      </w:pPr>
      <w:r>
        <w:rPr>
          <w:rFonts w:hint="eastAsia" w:hAnsi="宋体" w:cs="宋体"/>
          <w:color w:val="auto"/>
          <w:kern w:val="0"/>
          <w:sz w:val="22"/>
          <w:szCs w:val="22"/>
          <w:highlight w:val="none"/>
        </w:rPr>
        <w:t xml:space="preserve">  D.法定代表人或负责人或实际控制人存在三代以内旁系血亲关系</w:t>
      </w:r>
    </w:p>
    <w:p w14:paraId="05827D7B">
      <w:pPr>
        <w:pStyle w:val="38"/>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kern w:val="0"/>
          <w:sz w:val="22"/>
          <w:szCs w:val="22"/>
          <w:highlight w:val="none"/>
        </w:rPr>
      </w:pPr>
      <w:r>
        <w:rPr>
          <w:rFonts w:hint="eastAsia" w:hAnsi="宋体" w:cs="宋体"/>
          <w:color w:val="auto"/>
          <w:kern w:val="0"/>
          <w:sz w:val="22"/>
          <w:szCs w:val="22"/>
          <w:highlight w:val="none"/>
        </w:rPr>
        <w:t xml:space="preserve">  E.法定代表人或负责人或实际控制人存在近姻亲关系</w:t>
      </w:r>
    </w:p>
    <w:p w14:paraId="2C7E8BDA">
      <w:pPr>
        <w:pStyle w:val="38"/>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kern w:val="0"/>
          <w:sz w:val="22"/>
          <w:szCs w:val="22"/>
          <w:highlight w:val="none"/>
        </w:rPr>
      </w:pPr>
      <w:r>
        <w:rPr>
          <w:rFonts w:hint="eastAsia" w:hAnsi="宋体" w:cs="宋体"/>
          <w:color w:val="auto"/>
          <w:kern w:val="0"/>
          <w:sz w:val="22"/>
          <w:szCs w:val="22"/>
          <w:highlight w:val="none"/>
        </w:rPr>
        <w:t xml:space="preserve">  F.法定代表人或负责人或实际控制人存在股份控制或实际控制关系</w:t>
      </w:r>
    </w:p>
    <w:p w14:paraId="01CA6A9B">
      <w:pPr>
        <w:pStyle w:val="38"/>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kern w:val="0"/>
          <w:sz w:val="22"/>
          <w:szCs w:val="22"/>
          <w:highlight w:val="none"/>
        </w:rPr>
      </w:pPr>
      <w:r>
        <w:rPr>
          <w:rFonts w:hint="eastAsia" w:hAnsi="宋体" w:cs="宋体"/>
          <w:color w:val="auto"/>
          <w:kern w:val="0"/>
          <w:sz w:val="22"/>
          <w:szCs w:val="22"/>
          <w:highlight w:val="none"/>
        </w:rPr>
        <w:t xml:space="preserve">  G.存在共同直接或间接投资设立子公司、联营企业和合营企业情况</w:t>
      </w:r>
    </w:p>
    <w:p w14:paraId="1E373DFA">
      <w:pPr>
        <w:pStyle w:val="38"/>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z w:val="22"/>
          <w:szCs w:val="22"/>
          <w:highlight w:val="none"/>
        </w:rPr>
      </w:pPr>
      <w:r>
        <w:rPr>
          <w:rFonts w:hint="eastAsia" w:hAnsi="宋体" w:cs="宋体"/>
          <w:color w:val="auto"/>
          <w:kern w:val="0"/>
          <w:sz w:val="22"/>
          <w:szCs w:val="22"/>
          <w:highlight w:val="none"/>
        </w:rPr>
        <w:t xml:space="preserve">  H.存在分级代理或代销关系、同一生产制造商关系、</w:t>
      </w:r>
      <w:r>
        <w:rPr>
          <w:rFonts w:hint="eastAsia" w:hAnsi="宋体" w:cs="宋体"/>
          <w:color w:val="auto"/>
          <w:sz w:val="22"/>
          <w:szCs w:val="22"/>
          <w:highlight w:val="none"/>
        </w:rPr>
        <w:t>管理关系、重要业务（占主营业务收入50%以上）或重要财务往来关系（如融资）等其他实质性控制关系</w:t>
      </w:r>
    </w:p>
    <w:p w14:paraId="064C6A00">
      <w:pPr>
        <w:pStyle w:val="38"/>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pacing w:val="6"/>
          <w:sz w:val="22"/>
          <w:szCs w:val="22"/>
          <w:highlight w:val="none"/>
        </w:rPr>
      </w:pPr>
      <w:r>
        <w:rPr>
          <w:rFonts w:hint="eastAsia" w:hAnsi="宋体" w:cs="宋体"/>
          <w:color w:val="auto"/>
          <w:sz w:val="22"/>
          <w:szCs w:val="22"/>
          <w:highlight w:val="none"/>
        </w:rPr>
        <w:t xml:space="preserve">  I</w:t>
      </w:r>
      <w:r>
        <w:rPr>
          <w:rFonts w:hint="eastAsia" w:hAnsi="宋体" w:cs="宋体"/>
          <w:color w:val="auto"/>
          <w:kern w:val="0"/>
          <w:sz w:val="22"/>
          <w:szCs w:val="22"/>
          <w:highlight w:val="none"/>
        </w:rPr>
        <w:t>.</w:t>
      </w:r>
      <w:r>
        <w:rPr>
          <w:rFonts w:hint="eastAsia" w:hAnsi="宋体" w:cs="宋体"/>
          <w:color w:val="auto"/>
          <w:sz w:val="22"/>
          <w:szCs w:val="22"/>
          <w:highlight w:val="none"/>
        </w:rPr>
        <w:t>其他利害关系情况</w:t>
      </w:r>
      <w:r>
        <w:rPr>
          <w:rFonts w:hint="eastAsia" w:hAnsi="宋体" w:cs="宋体"/>
          <w:color w:val="auto"/>
          <w:sz w:val="22"/>
          <w:szCs w:val="22"/>
          <w:highlight w:val="none"/>
          <w:u w:val="single"/>
        </w:rPr>
        <w:t xml:space="preserve">                              </w:t>
      </w:r>
      <w:r>
        <w:rPr>
          <w:rFonts w:hint="eastAsia" w:hAnsi="宋体" w:cs="宋体"/>
          <w:color w:val="auto"/>
          <w:kern w:val="0"/>
          <w:sz w:val="22"/>
          <w:szCs w:val="22"/>
          <w:highlight w:val="none"/>
        </w:rPr>
        <w:t>。</w:t>
      </w:r>
    </w:p>
    <w:p w14:paraId="28852A60">
      <w:pPr>
        <w:pStyle w:val="39"/>
        <w:widowControl/>
        <w:tabs>
          <w:tab w:val="left" w:pos="1069"/>
          <w:tab w:val="left" w:pos="2352"/>
        </w:tabs>
        <w:adjustRightInd w:val="0"/>
        <w:snapToGrid w:val="0"/>
        <w:spacing w:line="400" w:lineRule="exact"/>
        <w:ind w:firstLine="446" w:firstLineChars="200"/>
        <w:textAlignment w:val="baseline"/>
        <w:rPr>
          <w:rFonts w:hint="default" w:ascii="宋体" w:hAnsi="宋体" w:cs="宋体"/>
          <w:color w:val="auto"/>
          <w:kern w:val="0"/>
          <w:sz w:val="22"/>
          <w:szCs w:val="22"/>
          <w:highlight w:val="none"/>
        </w:rPr>
      </w:pPr>
      <w:r>
        <w:rPr>
          <w:rFonts w:ascii="宋体" w:hAnsi="宋体" w:cs="宋体"/>
          <w:color w:val="auto"/>
          <w:sz w:val="22"/>
          <w:szCs w:val="22"/>
          <w:highlight w:val="none"/>
        </w:rPr>
        <w:t>三、现已清楚知道并</w:t>
      </w:r>
      <w:r>
        <w:rPr>
          <w:rFonts w:ascii="宋体" w:hAnsi="宋体" w:cs="宋体"/>
          <w:color w:val="auto"/>
          <w:kern w:val="0"/>
          <w:sz w:val="22"/>
          <w:szCs w:val="22"/>
          <w:highlight w:val="none"/>
        </w:rPr>
        <w:t>严格遵守政府采购法律法规和现场纪律。</w:t>
      </w:r>
    </w:p>
    <w:p w14:paraId="5F2F18F0">
      <w:pPr>
        <w:pStyle w:val="39"/>
        <w:widowControl/>
        <w:tabs>
          <w:tab w:val="left" w:pos="1069"/>
          <w:tab w:val="left" w:pos="2352"/>
        </w:tabs>
        <w:adjustRightInd w:val="0"/>
        <w:snapToGrid w:val="0"/>
        <w:spacing w:line="400" w:lineRule="exact"/>
        <w:ind w:firstLine="446" w:firstLineChars="200"/>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四、我发现</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供应商之间存在或可能存在上述第二条第</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项利害关系。</w:t>
      </w:r>
    </w:p>
    <w:p w14:paraId="35B7A8AB">
      <w:pPr>
        <w:pStyle w:val="38"/>
        <w:widowControl w:val="0"/>
        <w:tabs>
          <w:tab w:val="left" w:pos="1069"/>
          <w:tab w:val="left" w:pos="2352"/>
        </w:tabs>
        <w:snapToGrid w:val="0"/>
        <w:spacing w:line="400" w:lineRule="exact"/>
        <w:ind w:firstLine="446" w:firstLineChars="200"/>
        <w:jc w:val="both"/>
        <w:rPr>
          <w:rFonts w:hAnsi="宋体" w:cs="宋体"/>
          <w:color w:val="auto"/>
          <w:sz w:val="22"/>
          <w:szCs w:val="22"/>
          <w:highlight w:val="none"/>
        </w:rPr>
      </w:pPr>
    </w:p>
    <w:p w14:paraId="321AEED8">
      <w:pPr>
        <w:pStyle w:val="38"/>
        <w:widowControl w:val="0"/>
        <w:tabs>
          <w:tab w:val="left" w:pos="1069"/>
          <w:tab w:val="left" w:pos="2352"/>
        </w:tabs>
        <w:snapToGrid w:val="0"/>
        <w:spacing w:line="400" w:lineRule="exact"/>
        <w:ind w:firstLine="446" w:firstLineChars="200"/>
        <w:jc w:val="both"/>
        <w:rPr>
          <w:rFonts w:hAnsi="宋体" w:cs="宋体"/>
          <w:color w:val="auto"/>
          <w:sz w:val="22"/>
          <w:szCs w:val="22"/>
          <w:highlight w:val="none"/>
        </w:rPr>
      </w:pPr>
      <w:r>
        <w:rPr>
          <w:rFonts w:hint="eastAsia" w:hAnsi="宋体" w:cs="宋体"/>
          <w:color w:val="auto"/>
          <w:sz w:val="22"/>
          <w:szCs w:val="22"/>
          <w:highlight w:val="none"/>
        </w:rPr>
        <w:t xml:space="preserve">                                     供应商代表签名：</w:t>
      </w:r>
    </w:p>
    <w:p w14:paraId="559ED2D7">
      <w:pPr>
        <w:tabs>
          <w:tab w:val="left" w:pos="1069"/>
          <w:tab w:val="left" w:pos="2352"/>
        </w:tabs>
        <w:spacing w:before="317" w:beforeLines="100" w:after="317" w:afterLines="100" w:line="400" w:lineRule="exact"/>
        <w:ind w:left="4928" w:leftChars="2314" w:firstLine="892" w:firstLineChars="400"/>
        <w:rPr>
          <w:rFonts w:ascii="宋体" w:hAnsi="宋体" w:cs="宋体"/>
          <w:color w:val="auto"/>
          <w:sz w:val="22"/>
          <w:highlight w:val="none"/>
        </w:rPr>
      </w:pPr>
      <w:r>
        <w:rPr>
          <w:rFonts w:hint="eastAsia" w:ascii="宋体" w:hAnsi="宋体" w:cs="宋体"/>
          <w:color w:val="auto"/>
          <w:sz w:val="22"/>
          <w:highlight w:val="none"/>
        </w:rPr>
        <w:t>年  月  日</w:t>
      </w:r>
    </w:p>
    <w:p w14:paraId="371F4241">
      <w:pPr>
        <w:pStyle w:val="7"/>
        <w:tabs>
          <w:tab w:val="left" w:pos="1069"/>
          <w:tab w:val="left" w:pos="2352"/>
        </w:tabs>
        <w:spacing w:line="400" w:lineRule="exact"/>
        <w:ind w:left="490" w:hanging="490"/>
        <w:rPr>
          <w:rFonts w:ascii="宋体" w:hAnsi="宋体" w:cs="宋体"/>
          <w:b/>
          <w:bCs/>
          <w:color w:val="auto"/>
          <w:szCs w:val="21"/>
          <w:highlight w:val="none"/>
        </w:rPr>
      </w:pPr>
    </w:p>
    <w:p w14:paraId="1CB4D2D3">
      <w:pPr>
        <w:pStyle w:val="10"/>
        <w:tabs>
          <w:tab w:val="left" w:pos="1069"/>
          <w:tab w:val="left" w:pos="2352"/>
        </w:tabs>
        <w:spacing w:line="360" w:lineRule="exact"/>
        <w:jc w:val="left"/>
        <w:rPr>
          <w:rFonts w:hAnsi="宋体" w:cs="宋体"/>
          <w:b/>
          <w:color w:val="auto"/>
          <w:sz w:val="32"/>
          <w:szCs w:val="32"/>
          <w:highlight w:val="none"/>
          <w:lang w:val="zh-CN"/>
        </w:rPr>
      </w:pPr>
      <w:r>
        <w:rPr>
          <w:rFonts w:hint="eastAsia" w:hAnsi="宋体" w:cs="宋体"/>
          <w:color w:val="auto"/>
          <w:sz w:val="22"/>
          <w:szCs w:val="22"/>
          <w:highlight w:val="none"/>
        </w:rPr>
        <w:br w:type="page"/>
      </w:r>
      <w:bookmarkStart w:id="85" w:name="_Toc24860_WPSOffice_Level1"/>
      <w:r>
        <w:rPr>
          <w:rFonts w:hint="eastAsia" w:hAnsi="宋体" w:cs="宋体"/>
          <w:color w:val="auto"/>
          <w:sz w:val="22"/>
          <w:szCs w:val="22"/>
          <w:highlight w:val="none"/>
        </w:rPr>
        <w:t xml:space="preserve">                           </w:t>
      </w:r>
      <w:r>
        <w:rPr>
          <w:rFonts w:hint="eastAsia" w:hAnsi="宋体" w:cs="宋体"/>
          <w:b/>
          <w:color w:val="auto"/>
          <w:sz w:val="32"/>
          <w:szCs w:val="32"/>
          <w:highlight w:val="none"/>
          <w:lang w:val="zh-CN"/>
        </w:rPr>
        <w:t>第</w:t>
      </w:r>
      <w:r>
        <w:rPr>
          <w:rFonts w:hint="eastAsia" w:hAnsi="宋体" w:cs="宋体"/>
          <w:b/>
          <w:color w:val="auto"/>
          <w:sz w:val="32"/>
          <w:szCs w:val="32"/>
          <w:highlight w:val="none"/>
        </w:rPr>
        <w:t>七</w:t>
      </w:r>
      <w:r>
        <w:rPr>
          <w:rFonts w:hint="eastAsia" w:hAnsi="宋体" w:cs="宋体"/>
          <w:b/>
          <w:color w:val="auto"/>
          <w:sz w:val="32"/>
          <w:szCs w:val="32"/>
          <w:highlight w:val="none"/>
          <w:lang w:val="zh-CN"/>
        </w:rPr>
        <w:t>部分</w:t>
      </w:r>
      <w:bookmarkEnd w:id="85"/>
      <w:r>
        <w:rPr>
          <w:rFonts w:hint="eastAsia" w:hAnsi="宋体" w:cs="宋体"/>
          <w:b/>
          <w:color w:val="auto"/>
          <w:sz w:val="32"/>
          <w:szCs w:val="32"/>
          <w:highlight w:val="none"/>
        </w:rPr>
        <w:t>、</w:t>
      </w:r>
      <w:r>
        <w:rPr>
          <w:rFonts w:hint="eastAsia" w:hAnsi="宋体" w:cs="宋体"/>
          <w:b/>
          <w:color w:val="auto"/>
          <w:sz w:val="32"/>
          <w:szCs w:val="32"/>
          <w:highlight w:val="none"/>
          <w:lang w:val="zh-CN"/>
        </w:rPr>
        <w:t>评标办法</w:t>
      </w:r>
    </w:p>
    <w:p w14:paraId="4B1FBFDC">
      <w:pPr>
        <w:tabs>
          <w:tab w:val="left" w:pos="1069"/>
          <w:tab w:val="left" w:pos="2352"/>
        </w:tabs>
        <w:snapToGrid w:val="0"/>
        <w:spacing w:line="380" w:lineRule="exact"/>
        <w:ind w:firstLine="540"/>
        <w:rPr>
          <w:rFonts w:ascii="宋体" w:hAnsi="宋体" w:cs="宋体"/>
          <w:color w:val="auto"/>
          <w:sz w:val="22"/>
          <w:highlight w:val="none"/>
        </w:rPr>
      </w:pPr>
      <w:r>
        <w:rPr>
          <w:rFonts w:hint="eastAsia" w:ascii="宋体" w:hAnsi="宋体" w:cs="宋体"/>
          <w:color w:val="auto"/>
          <w:sz w:val="22"/>
          <w:highlight w:val="none"/>
        </w:rPr>
        <w:t>根据《中华人民共和国政府采购法》等有关政府采购法规，结合本次所要采购项目的实际，按照公平、公正、科学、择优的原则选择中标（成交）单位，特制定本评审办法。</w:t>
      </w:r>
    </w:p>
    <w:p w14:paraId="05800ED4">
      <w:pPr>
        <w:tabs>
          <w:tab w:val="left" w:pos="1069"/>
          <w:tab w:val="left" w:pos="2352"/>
        </w:tabs>
        <w:snapToGrid w:val="0"/>
        <w:spacing w:line="380" w:lineRule="exact"/>
        <w:ind w:firstLine="3846" w:firstLineChars="1725"/>
        <w:rPr>
          <w:rFonts w:ascii="宋体" w:hAnsi="宋体" w:cs="宋体"/>
          <w:b/>
          <w:color w:val="auto"/>
          <w:sz w:val="22"/>
          <w:highlight w:val="none"/>
        </w:rPr>
      </w:pPr>
      <w:bookmarkStart w:id="86" w:name="_Toc32552_WPSOffice_Level2"/>
      <w:r>
        <w:rPr>
          <w:rFonts w:hint="eastAsia" w:ascii="宋体" w:hAnsi="宋体" w:cs="宋体"/>
          <w:b/>
          <w:color w:val="auto"/>
          <w:sz w:val="22"/>
          <w:highlight w:val="none"/>
        </w:rPr>
        <w:t>一、总则</w:t>
      </w:r>
      <w:bookmarkEnd w:id="86"/>
    </w:p>
    <w:p w14:paraId="497F70C0">
      <w:pPr>
        <w:tabs>
          <w:tab w:val="left" w:pos="1069"/>
          <w:tab w:val="left" w:pos="2352"/>
        </w:tabs>
        <w:snapToGrid w:val="0"/>
        <w:spacing w:line="380" w:lineRule="exact"/>
        <w:ind w:firstLine="540"/>
        <w:rPr>
          <w:rFonts w:ascii="宋体" w:hAnsi="宋体" w:cs="宋体"/>
          <w:color w:val="auto"/>
          <w:sz w:val="22"/>
          <w:highlight w:val="none"/>
        </w:rPr>
      </w:pPr>
      <w:r>
        <w:rPr>
          <w:rFonts w:hint="eastAsia" w:ascii="宋体" w:hAnsi="宋体" w:cs="宋体"/>
          <w:color w:val="auto"/>
          <w:sz w:val="22"/>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投标（响应）文件进行综合评定，提出优选方案，编写评审报告。评审小组必须严格遵守保密规定，不得泄漏评审的有关情况，不得索贿受贿，不得接受吃请和礼品，不得参加影响公正评审的有关活动。对未中标（成交）单位，评审小组不作任何解释。供应商不得以任何方式干扰采购工作的进行，一经发现其投标（响应）文件将被拒绝。</w:t>
      </w:r>
    </w:p>
    <w:p w14:paraId="0F32A147">
      <w:pPr>
        <w:tabs>
          <w:tab w:val="left" w:pos="1069"/>
          <w:tab w:val="left" w:pos="2352"/>
        </w:tabs>
        <w:snapToGrid w:val="0"/>
        <w:spacing w:line="380" w:lineRule="exact"/>
        <w:ind w:firstLine="3846" w:firstLineChars="1725"/>
        <w:rPr>
          <w:rFonts w:ascii="宋体" w:hAnsi="宋体" w:cs="宋体"/>
          <w:color w:val="auto"/>
          <w:sz w:val="22"/>
          <w:highlight w:val="none"/>
        </w:rPr>
      </w:pPr>
      <w:bookmarkStart w:id="87" w:name="_Toc15399_WPSOffice_Level2"/>
      <w:r>
        <w:rPr>
          <w:rFonts w:hint="eastAsia" w:ascii="宋体" w:hAnsi="宋体" w:cs="宋体"/>
          <w:b/>
          <w:color w:val="auto"/>
          <w:sz w:val="22"/>
          <w:highlight w:val="none"/>
        </w:rPr>
        <w:t>二、评审组织</w:t>
      </w:r>
      <w:bookmarkEnd w:id="87"/>
    </w:p>
    <w:p w14:paraId="131B2733">
      <w:pPr>
        <w:tabs>
          <w:tab w:val="left" w:pos="1069"/>
          <w:tab w:val="left" w:pos="2352"/>
        </w:tabs>
        <w:snapToGrid w:val="0"/>
        <w:spacing w:line="380" w:lineRule="exact"/>
        <w:ind w:firstLine="540"/>
        <w:rPr>
          <w:rFonts w:ascii="宋体" w:hAnsi="宋体" w:cs="宋体"/>
          <w:color w:val="auto"/>
          <w:sz w:val="22"/>
          <w:highlight w:val="none"/>
        </w:rPr>
      </w:pPr>
      <w:r>
        <w:rPr>
          <w:rFonts w:hint="eastAsia" w:ascii="宋体" w:hAnsi="宋体" w:cs="宋体"/>
          <w:color w:val="auto"/>
          <w:sz w:val="22"/>
          <w:highlight w:val="none"/>
        </w:rPr>
        <w:t>评审工作由采购人依法组建的评审小组负责，评审小组由采购人代表以及评审专家库中随机抽取的有关技术、经济专家共同组成。评审全过程由采购管理部门全程监督。</w:t>
      </w:r>
    </w:p>
    <w:p w14:paraId="26F1F747">
      <w:pPr>
        <w:tabs>
          <w:tab w:val="left" w:pos="1069"/>
          <w:tab w:val="left" w:pos="2352"/>
        </w:tabs>
        <w:snapToGrid w:val="0"/>
        <w:spacing w:line="380" w:lineRule="exact"/>
        <w:ind w:firstLine="1774" w:firstLineChars="796"/>
        <w:rPr>
          <w:rFonts w:ascii="宋体" w:hAnsi="宋体" w:cs="宋体"/>
          <w:color w:val="auto"/>
          <w:sz w:val="22"/>
          <w:highlight w:val="none"/>
        </w:rPr>
      </w:pPr>
      <w:bookmarkStart w:id="88" w:name="_Toc7010_WPSOffice_Level2"/>
      <w:r>
        <w:rPr>
          <w:rFonts w:hint="eastAsia" w:ascii="宋体" w:hAnsi="宋体" w:cs="宋体"/>
          <w:b/>
          <w:color w:val="auto"/>
          <w:sz w:val="22"/>
          <w:highlight w:val="none"/>
        </w:rPr>
        <w:t>三、投标（响应）文件递交截止、磋商程序、磋商原则和方式</w:t>
      </w:r>
      <w:bookmarkEnd w:id="88"/>
    </w:p>
    <w:p w14:paraId="622372F1">
      <w:pPr>
        <w:pStyle w:val="10"/>
        <w:tabs>
          <w:tab w:val="left" w:pos="1069"/>
          <w:tab w:val="left" w:pos="2352"/>
        </w:tabs>
        <w:adjustRightInd w:val="0"/>
        <w:snapToGrid w:val="0"/>
        <w:spacing w:line="380" w:lineRule="exact"/>
        <w:ind w:firstLine="446" w:firstLineChars="200"/>
        <w:rPr>
          <w:rFonts w:hAnsi="宋体" w:cs="宋体"/>
          <w:b/>
          <w:color w:val="auto"/>
          <w:sz w:val="22"/>
          <w:highlight w:val="none"/>
        </w:rPr>
      </w:pPr>
      <w:r>
        <w:rPr>
          <w:rFonts w:hint="eastAsia" w:hAnsi="宋体" w:cs="宋体"/>
          <w:color w:val="auto"/>
          <w:sz w:val="22"/>
          <w:highlight w:val="none"/>
        </w:rPr>
        <w:t>1、投标（响应）文件递交截止</w:t>
      </w:r>
    </w:p>
    <w:p w14:paraId="7C731A33">
      <w:pPr>
        <w:pStyle w:val="10"/>
        <w:tabs>
          <w:tab w:val="left" w:pos="1069"/>
          <w:tab w:val="left" w:pos="2352"/>
        </w:tabs>
        <w:adjustRightInd w:val="0"/>
        <w:snapToGrid w:val="0"/>
        <w:spacing w:line="380" w:lineRule="exact"/>
        <w:ind w:firstLine="446" w:firstLineChars="200"/>
        <w:rPr>
          <w:rFonts w:hAnsi="宋体" w:cs="宋体"/>
          <w:b/>
          <w:color w:val="auto"/>
          <w:sz w:val="22"/>
          <w:highlight w:val="none"/>
        </w:rPr>
      </w:pPr>
      <w:r>
        <w:rPr>
          <w:rFonts w:hint="eastAsia" w:hAnsi="宋体" w:cs="宋体"/>
          <w:color w:val="auto"/>
          <w:sz w:val="22"/>
          <w:highlight w:val="none"/>
        </w:rPr>
        <w:t>投标供应商须按竞争性磋商文件规定的时间在线递交投标（响应）文件。</w:t>
      </w:r>
    </w:p>
    <w:p w14:paraId="14DF48AF">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2、本次采购是根据竞争性磋商采购方式进行，各供应商首次报价不公开。</w:t>
      </w:r>
    </w:p>
    <w:p w14:paraId="2C89AEC3">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2.1 如评审小组认为竞争性磋商文件能够详细列明采购标的的技术、服务要求的，评审结束后，评审小组可以直接对供应商进行打分评价。</w:t>
      </w:r>
    </w:p>
    <w:p w14:paraId="7D0188EC">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2.2如评审小组认为需要修改竞争性磋商文件的，在磋商过程中，评审小组可以根据竞争性磋商文件和磋商情况实质性变动采购需求中的技术、服务要求以及合同草案条款，但不得变动竞争性磋商文件中的其他内容。实质性变动的内容，须经采购人代表确认。</w:t>
      </w:r>
    </w:p>
    <w:p w14:paraId="4C2E5FB4">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对竞争性磋商文件作出的实质性变动是竞争性磋商文件的有效组成部分，评审小组应当及时以书面形式同时通知所有参加磋商的供应商。</w:t>
      </w:r>
    </w:p>
    <w:p w14:paraId="53F9DD14">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供应商应当按照竞争性磋商文件的变动情况和评审小组的要求重新提交投标（响应）文件，并由其法定代表人或授权代表签字或者加盖公章。由授权代表签字的，应当附法定代表人授权书。供应商为自然人的，应当由本人签字并附身份证明。</w:t>
      </w:r>
    </w:p>
    <w:p w14:paraId="1C89C311">
      <w:pPr>
        <w:tabs>
          <w:tab w:val="left" w:pos="1069"/>
          <w:tab w:val="left" w:pos="2352"/>
        </w:tabs>
        <w:adjustRightInd w:val="0"/>
        <w:spacing w:line="380" w:lineRule="exact"/>
        <w:ind w:firstLine="420"/>
        <w:rPr>
          <w:rFonts w:ascii="宋体" w:hAnsi="宋体" w:cs="宋体"/>
          <w:color w:val="auto"/>
          <w:sz w:val="22"/>
          <w:highlight w:val="none"/>
        </w:rPr>
      </w:pPr>
      <w:r>
        <w:rPr>
          <w:rFonts w:hint="eastAsia" w:ascii="宋体" w:hAnsi="宋体" w:cs="宋体"/>
          <w:color w:val="auto"/>
          <w:sz w:val="22"/>
          <w:highlight w:val="none"/>
        </w:rPr>
        <w:t>已提交投标（响应）文件的供应商，在提交最终报价之前，可以根据磋商情况退出磋商。</w:t>
      </w:r>
    </w:p>
    <w:p w14:paraId="5B97C979">
      <w:pPr>
        <w:pStyle w:val="10"/>
        <w:tabs>
          <w:tab w:val="left" w:pos="1069"/>
          <w:tab w:val="left" w:pos="2352"/>
        </w:tabs>
        <w:adjustRightInd w:val="0"/>
        <w:snapToGrid w:val="0"/>
        <w:spacing w:line="380" w:lineRule="exact"/>
        <w:ind w:firstLine="450"/>
        <w:rPr>
          <w:rFonts w:hAnsi="宋体" w:cs="宋体"/>
          <w:color w:val="auto"/>
          <w:sz w:val="22"/>
          <w:highlight w:val="none"/>
        </w:rPr>
      </w:pPr>
      <w:r>
        <w:rPr>
          <w:rFonts w:hint="eastAsia" w:hAnsi="宋体" w:cs="宋体"/>
          <w:color w:val="auto"/>
          <w:sz w:val="22"/>
          <w:highlight w:val="none"/>
        </w:rPr>
        <w:t>2.3 磋商的顺序，按供应商签到的逆顺序进行。开展磋商，评审小组所有成员集中与单一供应商（供应商的法定代表人或法定代表人授权代表须在线参加）分别进行磋商，并要求供应商提交最终报价。在竞争性磋商文件未做任何调整的情况下，参与磋商的供应商如有出现最终报价超过投标（响应）文件中报价的，则该供应商的报价按无效处理。</w:t>
      </w:r>
    </w:p>
    <w:p w14:paraId="00987C6A">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3、评审原则和方法</w:t>
      </w:r>
    </w:p>
    <w:p w14:paraId="2B68FCA5">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3.1 评审小组负责审查投标（响应）文件是否符合竞争性磋商文件的要求，并作出评价。评审小组认为必要时，可向供应商进行质疑。评审小组有权决定全部或部分供应商投标（响应）文件无效。</w:t>
      </w:r>
    </w:p>
    <w:p w14:paraId="66F6953C">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3.2 评审小组将综合分析合格供应商的各项指标，而不是以单项指标的优劣评选出成交的供应商。</w:t>
      </w:r>
    </w:p>
    <w:p w14:paraId="755B7B44">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3.3 经磋商确定最终采购需求和提交最终报价的供应商后，由评审小组采用综合评分法对提交最终报价的供应商的投标（响应）文件和最终报价进行综合评分。如竞争性磋商文件所列采购内容明确不需要修改的或供应商投标（响应）文件清楚明确不需要澄清的，可以不进行磋商环节，直接要求供应商进行最终报价，进行综合评分。</w:t>
      </w:r>
    </w:p>
    <w:p w14:paraId="2E664B17">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本次评审采用综合评分法，评审小组根据竞争性磋商文件制定的评审办法对供应商进行评审排序，将综合得分第一的供应商向采购人推荐其为中标（成交）供应商。</w:t>
      </w:r>
    </w:p>
    <w:p w14:paraId="12D780F5">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4、投标（响应）文件的澄清</w:t>
      </w:r>
    </w:p>
    <w:p w14:paraId="72ED8D82">
      <w:pPr>
        <w:pStyle w:val="10"/>
        <w:tabs>
          <w:tab w:val="left" w:pos="1069"/>
          <w:tab w:val="left" w:pos="2352"/>
        </w:tabs>
        <w:adjustRightInd w:val="0"/>
        <w:snapToGrid w:val="0"/>
        <w:spacing w:line="380" w:lineRule="exact"/>
        <w:ind w:firstLine="223" w:firstLineChars="100"/>
        <w:rPr>
          <w:rFonts w:hAnsi="宋体" w:cs="宋体"/>
          <w:b/>
          <w:color w:val="auto"/>
          <w:sz w:val="22"/>
          <w:highlight w:val="none"/>
        </w:rPr>
      </w:pPr>
      <w:r>
        <w:rPr>
          <w:rFonts w:hint="eastAsia" w:hAnsi="宋体" w:cs="宋体"/>
          <w:color w:val="auto"/>
          <w:sz w:val="22"/>
          <w:highlight w:val="none"/>
        </w:rPr>
        <w:t>为有利于对投标（响应）文件的评议，必要时采购人可要求供应商对投标（响应）文件进行澄清，并作出答复。答复须有供应商授权代表签字并作为投标（响应）文件内容的一部分。</w:t>
      </w:r>
    </w:p>
    <w:p w14:paraId="730FA17B">
      <w:pPr>
        <w:pStyle w:val="10"/>
        <w:tabs>
          <w:tab w:val="left" w:pos="1069"/>
          <w:tab w:val="left" w:pos="2352"/>
        </w:tabs>
        <w:adjustRightInd w:val="0"/>
        <w:snapToGrid w:val="0"/>
        <w:spacing w:line="380" w:lineRule="exact"/>
        <w:ind w:firstLine="446" w:firstLineChars="200"/>
        <w:jc w:val="center"/>
        <w:rPr>
          <w:rFonts w:hAnsi="宋体" w:cs="宋体"/>
          <w:color w:val="auto"/>
          <w:sz w:val="22"/>
          <w:highlight w:val="none"/>
        </w:rPr>
      </w:pPr>
      <w:bookmarkStart w:id="89" w:name="_Toc28287_WPSOffice_Level2"/>
    </w:p>
    <w:p w14:paraId="1EAD5CD0">
      <w:pPr>
        <w:tabs>
          <w:tab w:val="left" w:pos="1069"/>
          <w:tab w:val="left" w:pos="2352"/>
        </w:tabs>
        <w:rPr>
          <w:color w:val="auto"/>
          <w:highlight w:val="none"/>
        </w:rPr>
      </w:pPr>
    </w:p>
    <w:p w14:paraId="4FE67327">
      <w:pPr>
        <w:pStyle w:val="10"/>
        <w:numPr>
          <w:ilvl w:val="0"/>
          <w:numId w:val="10"/>
        </w:numPr>
        <w:tabs>
          <w:tab w:val="left" w:pos="1069"/>
          <w:tab w:val="left" w:pos="2352"/>
        </w:tabs>
        <w:adjustRightInd w:val="0"/>
        <w:snapToGrid w:val="0"/>
        <w:spacing w:line="380" w:lineRule="exact"/>
        <w:ind w:firstLine="446" w:firstLineChars="200"/>
        <w:jc w:val="center"/>
        <w:rPr>
          <w:rFonts w:hAnsi="宋体" w:cs="宋体"/>
          <w:b/>
          <w:bCs/>
          <w:color w:val="auto"/>
          <w:sz w:val="22"/>
          <w:highlight w:val="none"/>
        </w:rPr>
      </w:pPr>
      <w:r>
        <w:rPr>
          <w:rFonts w:hint="eastAsia" w:hAnsi="宋体" w:cs="宋体"/>
          <w:b/>
          <w:bCs/>
          <w:color w:val="auto"/>
          <w:sz w:val="22"/>
          <w:highlight w:val="none"/>
        </w:rPr>
        <w:t>评审细则</w:t>
      </w:r>
      <w:bookmarkEnd w:id="89"/>
      <w:bookmarkStart w:id="90" w:name="_Toc20707_WPSOffice_Level3"/>
    </w:p>
    <w:bookmarkEnd w:id="90"/>
    <w:p w14:paraId="042744BE">
      <w:pPr>
        <w:pStyle w:val="33"/>
        <w:tabs>
          <w:tab w:val="left" w:pos="2352"/>
        </w:tabs>
        <w:adjustRightInd w:val="0"/>
        <w:snapToGrid w:val="0"/>
        <w:spacing w:line="380" w:lineRule="exact"/>
        <w:ind w:firstLine="446" w:firstLineChars="200"/>
        <w:rPr>
          <w:rFonts w:hAnsi="宋体" w:cs="宋体"/>
          <w:b/>
          <w:color w:val="auto"/>
          <w:sz w:val="22"/>
          <w:highlight w:val="none"/>
        </w:rPr>
      </w:pPr>
      <w:r>
        <w:rPr>
          <w:rFonts w:hint="eastAsia" w:hAnsi="宋体" w:cs="宋体"/>
          <w:color w:val="auto"/>
          <w:sz w:val="22"/>
          <w:highlight w:val="none"/>
        </w:rPr>
        <w:t>（一）报价评分</w:t>
      </w:r>
      <w:r>
        <w:rPr>
          <w:rFonts w:hint="eastAsia" w:ascii="Calibri" w:hAnsi="Calibri"/>
          <w:b/>
          <w:bCs/>
          <w:color w:val="auto"/>
          <w:sz w:val="22"/>
          <w:szCs w:val="22"/>
          <w:highlight w:val="none"/>
        </w:rPr>
        <w:t>（满分</w:t>
      </w:r>
      <w:r>
        <w:rPr>
          <w:rFonts w:hint="eastAsia" w:ascii="Calibri" w:hAnsi="Calibri"/>
          <w:b/>
          <w:bCs/>
          <w:color w:val="auto"/>
          <w:sz w:val="22"/>
          <w:szCs w:val="22"/>
          <w:highlight w:val="none"/>
          <w:lang w:val="en-US" w:eastAsia="zh-CN"/>
        </w:rPr>
        <w:t>2</w:t>
      </w:r>
      <w:r>
        <w:rPr>
          <w:rFonts w:hint="eastAsia" w:ascii="Calibri" w:hAnsi="Calibri"/>
          <w:b/>
          <w:bCs/>
          <w:color w:val="auto"/>
          <w:sz w:val="22"/>
          <w:szCs w:val="22"/>
          <w:highlight w:val="none"/>
        </w:rPr>
        <w:t>0分）</w:t>
      </w:r>
    </w:p>
    <w:p w14:paraId="6B60B476">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1、以满足竞争性磋商文件要求且最终报价最低的有效供应商的价格为磋商基准价，其价格分为满分。其他供应商的价格分统一按照下列公式计算：</w:t>
      </w:r>
    </w:p>
    <w:p w14:paraId="7AFEC297">
      <w:pPr>
        <w:pStyle w:val="10"/>
        <w:tabs>
          <w:tab w:val="left" w:pos="1069"/>
          <w:tab w:val="left" w:pos="2352"/>
        </w:tabs>
        <w:adjustRightInd w:val="0"/>
        <w:snapToGrid w:val="0"/>
        <w:spacing w:line="380" w:lineRule="exact"/>
        <w:ind w:left="443" w:leftChars="208" w:firstLine="28" w:firstLineChars="13"/>
        <w:rPr>
          <w:rFonts w:hAnsi="宋体" w:cs="宋体"/>
          <w:b/>
          <w:bCs/>
          <w:color w:val="auto"/>
          <w:sz w:val="22"/>
          <w:highlight w:val="none"/>
        </w:rPr>
      </w:pPr>
      <w:r>
        <w:rPr>
          <w:rFonts w:hint="eastAsia" w:hAnsi="宋体" w:cs="宋体"/>
          <w:b/>
          <w:bCs/>
          <w:color w:val="auto"/>
          <w:sz w:val="22"/>
          <w:highlight w:val="none"/>
        </w:rPr>
        <w:t>磋商报价得分=（磋商基准价/最终报价）×</w:t>
      </w:r>
      <w:r>
        <w:rPr>
          <w:rFonts w:hint="eastAsia" w:hAnsi="宋体" w:cs="宋体"/>
          <w:b/>
          <w:bCs/>
          <w:color w:val="auto"/>
          <w:sz w:val="22"/>
          <w:highlight w:val="none"/>
          <w:lang w:val="en-US" w:eastAsia="zh-CN"/>
        </w:rPr>
        <w:t>2</w:t>
      </w:r>
      <w:r>
        <w:rPr>
          <w:rFonts w:hint="eastAsia" w:hAnsi="宋体" w:cs="宋体"/>
          <w:b/>
          <w:bCs/>
          <w:color w:val="auto"/>
          <w:sz w:val="22"/>
          <w:highlight w:val="none"/>
        </w:rPr>
        <w:t>0%×100</w:t>
      </w:r>
    </w:p>
    <w:p w14:paraId="3830EB56">
      <w:pPr>
        <w:pStyle w:val="10"/>
        <w:tabs>
          <w:tab w:val="left" w:pos="1069"/>
          <w:tab w:val="left" w:pos="2352"/>
        </w:tabs>
        <w:adjustRightInd w:val="0"/>
        <w:snapToGrid w:val="0"/>
        <w:spacing w:line="380" w:lineRule="exact"/>
        <w:ind w:firstLine="450"/>
        <w:rPr>
          <w:rFonts w:hint="eastAsia" w:hAnsi="宋体" w:cs="宋体"/>
          <w:color w:val="auto"/>
          <w:sz w:val="22"/>
          <w:highlight w:val="none"/>
        </w:rPr>
      </w:pPr>
      <w:r>
        <w:rPr>
          <w:rFonts w:hint="eastAsia" w:hAnsi="宋体" w:cs="宋体"/>
          <w:color w:val="auto"/>
          <w:sz w:val="22"/>
          <w:highlight w:val="none"/>
        </w:rPr>
        <w:t>2、</w:t>
      </w:r>
      <w:r>
        <w:rPr>
          <w:rFonts w:hint="eastAsia"/>
          <w:color w:val="auto"/>
          <w:sz w:val="22"/>
          <w:szCs w:val="22"/>
          <w:highlight w:val="none"/>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446CE487">
      <w:pPr>
        <w:pStyle w:val="10"/>
        <w:tabs>
          <w:tab w:val="left" w:pos="1069"/>
          <w:tab w:val="left" w:pos="2352"/>
        </w:tabs>
        <w:adjustRightInd w:val="0"/>
        <w:snapToGrid w:val="0"/>
        <w:spacing w:line="420" w:lineRule="exact"/>
        <w:ind w:left="335"/>
        <w:rPr>
          <w:rFonts w:hAnsi="宋体" w:cs="宋体"/>
          <w:bCs/>
          <w:color w:val="auto"/>
          <w:sz w:val="22"/>
          <w:highlight w:val="none"/>
        </w:rPr>
      </w:pPr>
      <w:r>
        <w:rPr>
          <w:rFonts w:hint="eastAsia" w:hAnsi="宋体" w:cs="宋体"/>
          <w:color w:val="auto"/>
          <w:sz w:val="22"/>
          <w:highlight w:val="none"/>
        </w:rPr>
        <w:t>（二）商务技术评分</w:t>
      </w:r>
      <w:r>
        <w:rPr>
          <w:rFonts w:hint="eastAsia" w:hAnsi="宋体" w:cs="宋体"/>
          <w:bCs/>
          <w:color w:val="auto"/>
          <w:sz w:val="22"/>
          <w:highlight w:val="none"/>
        </w:rPr>
        <w:t>（</w:t>
      </w:r>
      <w:r>
        <w:rPr>
          <w:rFonts w:hint="eastAsia" w:hAnsi="宋体" w:cs="宋体"/>
          <w:b/>
          <w:color w:val="auto"/>
          <w:sz w:val="22"/>
          <w:highlight w:val="none"/>
        </w:rPr>
        <w:t>满分</w:t>
      </w:r>
      <w:r>
        <w:rPr>
          <w:rFonts w:hint="eastAsia" w:hAnsi="宋体" w:cs="宋体"/>
          <w:b/>
          <w:color w:val="auto"/>
          <w:sz w:val="22"/>
          <w:highlight w:val="none"/>
          <w:lang w:val="en-US" w:eastAsia="zh-CN"/>
        </w:rPr>
        <w:t>8</w:t>
      </w:r>
      <w:r>
        <w:rPr>
          <w:rFonts w:hint="eastAsia" w:hAnsi="宋体" w:cs="宋体"/>
          <w:b/>
          <w:color w:val="auto"/>
          <w:sz w:val="22"/>
          <w:highlight w:val="none"/>
        </w:rPr>
        <w:t>0分</w:t>
      </w:r>
      <w:r>
        <w:rPr>
          <w:rFonts w:hint="eastAsia" w:hAnsi="宋体" w:cs="宋体"/>
          <w:bCs/>
          <w:color w:val="auto"/>
          <w:sz w:val="22"/>
          <w:highlight w:val="none"/>
        </w:rPr>
        <w:t>）</w:t>
      </w:r>
    </w:p>
    <w:tbl>
      <w:tblPr>
        <w:tblStyle w:val="26"/>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1234"/>
        <w:gridCol w:w="981"/>
        <w:gridCol w:w="6798"/>
      </w:tblGrid>
      <w:tr w14:paraId="168EF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902" w:type="dxa"/>
            <w:vAlign w:val="center"/>
          </w:tcPr>
          <w:p w14:paraId="4154891D">
            <w:pPr>
              <w:jc w:val="center"/>
              <w:rPr>
                <w:rFonts w:asciiTheme="majorEastAsia" w:hAnsiTheme="majorEastAsia" w:eastAsiaTheme="majorEastAsia" w:cstheme="majorEastAsia"/>
                <w:b/>
                <w:color w:val="auto"/>
                <w:sz w:val="22"/>
                <w:highlight w:val="none"/>
              </w:rPr>
            </w:pPr>
            <w:r>
              <w:rPr>
                <w:rFonts w:hint="eastAsia" w:asciiTheme="majorEastAsia" w:hAnsiTheme="majorEastAsia" w:eastAsiaTheme="majorEastAsia" w:cstheme="majorEastAsia"/>
                <w:b/>
                <w:color w:val="auto"/>
                <w:sz w:val="22"/>
                <w:highlight w:val="none"/>
              </w:rPr>
              <w:t>内容</w:t>
            </w:r>
          </w:p>
        </w:tc>
        <w:tc>
          <w:tcPr>
            <w:tcW w:w="1234" w:type="dxa"/>
            <w:vAlign w:val="center"/>
          </w:tcPr>
          <w:p w14:paraId="69393492">
            <w:pPr>
              <w:jc w:val="center"/>
              <w:rPr>
                <w:rFonts w:asciiTheme="majorEastAsia" w:hAnsiTheme="majorEastAsia" w:eastAsiaTheme="majorEastAsia" w:cstheme="majorEastAsia"/>
                <w:b/>
                <w:color w:val="auto"/>
                <w:sz w:val="22"/>
                <w:highlight w:val="none"/>
              </w:rPr>
            </w:pPr>
            <w:r>
              <w:rPr>
                <w:rFonts w:hint="eastAsia" w:asciiTheme="majorEastAsia" w:hAnsiTheme="majorEastAsia" w:eastAsiaTheme="majorEastAsia" w:cstheme="majorEastAsia"/>
                <w:b/>
                <w:color w:val="auto"/>
                <w:sz w:val="22"/>
                <w:highlight w:val="none"/>
              </w:rPr>
              <w:t>评分</w:t>
            </w:r>
          </w:p>
          <w:p w14:paraId="48066A69">
            <w:pPr>
              <w:jc w:val="center"/>
              <w:rPr>
                <w:rFonts w:asciiTheme="majorEastAsia" w:hAnsiTheme="majorEastAsia" w:eastAsiaTheme="majorEastAsia" w:cstheme="majorEastAsia"/>
                <w:b/>
                <w:color w:val="auto"/>
                <w:sz w:val="22"/>
                <w:highlight w:val="none"/>
              </w:rPr>
            </w:pPr>
            <w:r>
              <w:rPr>
                <w:rFonts w:hint="eastAsia" w:asciiTheme="majorEastAsia" w:hAnsiTheme="majorEastAsia" w:eastAsiaTheme="majorEastAsia" w:cstheme="majorEastAsia"/>
                <w:b/>
                <w:color w:val="auto"/>
                <w:sz w:val="22"/>
                <w:highlight w:val="none"/>
              </w:rPr>
              <w:t>内容</w:t>
            </w:r>
          </w:p>
        </w:tc>
        <w:tc>
          <w:tcPr>
            <w:tcW w:w="981" w:type="dxa"/>
            <w:vAlign w:val="center"/>
          </w:tcPr>
          <w:p w14:paraId="60AD5566">
            <w:pPr>
              <w:jc w:val="center"/>
              <w:rPr>
                <w:rFonts w:asciiTheme="majorEastAsia" w:hAnsiTheme="majorEastAsia" w:eastAsiaTheme="majorEastAsia" w:cstheme="majorEastAsia"/>
                <w:b/>
                <w:color w:val="auto"/>
                <w:sz w:val="22"/>
                <w:highlight w:val="none"/>
              </w:rPr>
            </w:pPr>
            <w:r>
              <w:rPr>
                <w:rFonts w:hint="eastAsia" w:asciiTheme="majorEastAsia" w:hAnsiTheme="majorEastAsia" w:eastAsiaTheme="majorEastAsia" w:cstheme="majorEastAsia"/>
                <w:b/>
                <w:color w:val="auto"/>
                <w:sz w:val="22"/>
                <w:highlight w:val="none"/>
              </w:rPr>
              <w:t>分值</w:t>
            </w:r>
          </w:p>
        </w:tc>
        <w:tc>
          <w:tcPr>
            <w:tcW w:w="6798" w:type="dxa"/>
            <w:vAlign w:val="center"/>
          </w:tcPr>
          <w:p w14:paraId="73C77ABF">
            <w:pPr>
              <w:jc w:val="center"/>
              <w:rPr>
                <w:rFonts w:asciiTheme="majorEastAsia" w:hAnsiTheme="majorEastAsia" w:eastAsiaTheme="majorEastAsia" w:cstheme="majorEastAsia"/>
                <w:b/>
                <w:color w:val="auto"/>
                <w:sz w:val="22"/>
                <w:highlight w:val="none"/>
              </w:rPr>
            </w:pPr>
            <w:r>
              <w:rPr>
                <w:rFonts w:hint="eastAsia" w:asciiTheme="majorEastAsia" w:hAnsiTheme="majorEastAsia" w:eastAsiaTheme="majorEastAsia" w:cstheme="majorEastAsia"/>
                <w:b/>
                <w:color w:val="auto"/>
                <w:sz w:val="22"/>
                <w:highlight w:val="none"/>
              </w:rPr>
              <w:t>评分方法</w:t>
            </w:r>
          </w:p>
        </w:tc>
      </w:tr>
      <w:tr w14:paraId="62E4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2" w:type="dxa"/>
            <w:vMerge w:val="restart"/>
            <w:vAlign w:val="center"/>
          </w:tcPr>
          <w:p w14:paraId="185CEFBE">
            <w:pPr>
              <w:pStyle w:val="6"/>
              <w:ind w:firstLine="0"/>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商务</w:t>
            </w:r>
          </w:p>
        </w:tc>
        <w:tc>
          <w:tcPr>
            <w:tcW w:w="1234" w:type="dxa"/>
            <w:vAlign w:val="center"/>
          </w:tcPr>
          <w:p w14:paraId="29CFC639">
            <w:pPr>
              <w:jc w:val="center"/>
              <w:rPr>
                <w:rFonts w:asciiTheme="majorEastAsia" w:hAnsiTheme="majorEastAsia" w:eastAsiaTheme="majorEastAsia" w:cstheme="majorEastAsia"/>
                <w:color w:val="auto"/>
                <w:sz w:val="22"/>
                <w:highlight w:val="none"/>
              </w:rPr>
            </w:pPr>
            <w:r>
              <w:rPr>
                <w:rFonts w:hint="eastAsia" w:asciiTheme="majorEastAsia" w:hAnsiTheme="majorEastAsia" w:eastAsiaTheme="majorEastAsia" w:cstheme="majorEastAsia"/>
                <w:color w:val="auto"/>
                <w:sz w:val="22"/>
                <w:highlight w:val="none"/>
              </w:rPr>
              <w:t>供应商综合情况</w:t>
            </w:r>
          </w:p>
        </w:tc>
        <w:tc>
          <w:tcPr>
            <w:tcW w:w="981" w:type="dxa"/>
            <w:tcBorders>
              <w:top w:val="nil"/>
            </w:tcBorders>
            <w:vAlign w:val="center"/>
          </w:tcPr>
          <w:p w14:paraId="11DBBC03">
            <w:pPr>
              <w:widowControl/>
              <w:jc w:val="center"/>
              <w:rPr>
                <w:rFonts w:asciiTheme="majorEastAsia" w:hAnsiTheme="majorEastAsia" w:eastAsiaTheme="majorEastAsia" w:cstheme="majorEastAsia"/>
                <w:color w:val="auto"/>
                <w:sz w:val="22"/>
                <w:highlight w:val="none"/>
              </w:rPr>
            </w:pPr>
            <w:r>
              <w:rPr>
                <w:rFonts w:hint="eastAsia" w:asciiTheme="majorEastAsia" w:hAnsiTheme="majorEastAsia" w:eastAsiaTheme="majorEastAsia" w:cstheme="majorEastAsia"/>
                <w:color w:val="auto"/>
                <w:sz w:val="22"/>
                <w:highlight w:val="none"/>
              </w:rPr>
              <w:t>6分</w:t>
            </w:r>
          </w:p>
        </w:tc>
        <w:tc>
          <w:tcPr>
            <w:tcW w:w="6798" w:type="dxa"/>
            <w:tcBorders>
              <w:top w:val="nil"/>
            </w:tcBorders>
            <w:vAlign w:val="center"/>
          </w:tcPr>
          <w:p w14:paraId="4E66DE33">
            <w:pPr>
              <w:widowControl/>
              <w:numPr>
                <w:ilvl w:val="0"/>
                <w:numId w:val="11"/>
              </w:numPr>
              <w:rPr>
                <w:rFonts w:asciiTheme="majorEastAsia" w:hAnsiTheme="majorEastAsia" w:eastAsiaTheme="majorEastAsia" w:cstheme="majorEastAsia"/>
                <w:color w:val="auto"/>
                <w:sz w:val="22"/>
                <w:highlight w:val="none"/>
              </w:rPr>
            </w:pPr>
            <w:r>
              <w:rPr>
                <w:rFonts w:hint="eastAsia" w:asciiTheme="majorEastAsia" w:hAnsiTheme="majorEastAsia" w:eastAsiaTheme="majorEastAsia" w:cstheme="majorEastAsia"/>
                <w:color w:val="auto"/>
                <w:sz w:val="22"/>
                <w:highlight w:val="none"/>
              </w:rPr>
              <w:t>投标供应商具有林业调查规划设计丙级资质的得1</w:t>
            </w:r>
            <w:r>
              <w:rPr>
                <w:rFonts w:asciiTheme="majorEastAsia" w:hAnsiTheme="majorEastAsia" w:eastAsiaTheme="majorEastAsia" w:cstheme="majorEastAsia"/>
                <w:color w:val="auto"/>
                <w:sz w:val="22"/>
                <w:highlight w:val="none"/>
              </w:rPr>
              <w:t>.5</w:t>
            </w:r>
            <w:r>
              <w:rPr>
                <w:rFonts w:hint="eastAsia" w:asciiTheme="majorEastAsia" w:hAnsiTheme="majorEastAsia" w:eastAsiaTheme="majorEastAsia" w:cstheme="majorEastAsia"/>
                <w:color w:val="auto"/>
                <w:sz w:val="22"/>
                <w:highlight w:val="none"/>
              </w:rPr>
              <w:t>分，具有林业调查规划设计乙级及以上资质的得</w:t>
            </w:r>
            <w:r>
              <w:rPr>
                <w:rFonts w:asciiTheme="majorEastAsia" w:hAnsiTheme="majorEastAsia" w:eastAsiaTheme="majorEastAsia" w:cstheme="majorEastAsia"/>
                <w:color w:val="auto"/>
                <w:sz w:val="22"/>
                <w:highlight w:val="none"/>
              </w:rPr>
              <w:t>3</w:t>
            </w:r>
            <w:r>
              <w:rPr>
                <w:rFonts w:hint="eastAsia" w:asciiTheme="majorEastAsia" w:hAnsiTheme="majorEastAsia" w:eastAsiaTheme="majorEastAsia" w:cstheme="majorEastAsia"/>
                <w:color w:val="auto"/>
                <w:sz w:val="22"/>
                <w:highlight w:val="none"/>
              </w:rPr>
              <w:t>分，按最高分计，提供有效期内的证书原件扫描件加盖公章，不提供的不得分。</w:t>
            </w:r>
          </w:p>
          <w:p w14:paraId="08A84F95">
            <w:pPr>
              <w:widowControl/>
              <w:numPr>
                <w:ilvl w:val="0"/>
                <w:numId w:val="11"/>
              </w:numPr>
              <w:rPr>
                <w:rFonts w:asciiTheme="majorEastAsia" w:hAnsiTheme="majorEastAsia" w:eastAsiaTheme="majorEastAsia" w:cstheme="majorEastAsia"/>
                <w:color w:val="auto"/>
                <w:sz w:val="22"/>
                <w:highlight w:val="none"/>
              </w:rPr>
            </w:pPr>
            <w:r>
              <w:rPr>
                <w:rFonts w:hint="eastAsia" w:asciiTheme="majorEastAsia" w:hAnsiTheme="majorEastAsia" w:eastAsiaTheme="majorEastAsia" w:cstheme="majorEastAsia"/>
                <w:color w:val="auto"/>
                <w:sz w:val="22"/>
                <w:highlight w:val="none"/>
              </w:rPr>
              <w:t>投标人获得，林业相关部门或林业工程协会颁发的相关荣誉每提供一份证明得1分，最高得3分。</w:t>
            </w:r>
          </w:p>
        </w:tc>
      </w:tr>
      <w:tr w14:paraId="70349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5" w:hRule="atLeast"/>
          <w:jc w:val="center"/>
        </w:trPr>
        <w:tc>
          <w:tcPr>
            <w:tcW w:w="902" w:type="dxa"/>
            <w:vMerge w:val="continue"/>
            <w:vAlign w:val="center"/>
          </w:tcPr>
          <w:p w14:paraId="35778A7A">
            <w:pPr>
              <w:jc w:val="center"/>
              <w:rPr>
                <w:rFonts w:asciiTheme="majorEastAsia" w:hAnsiTheme="majorEastAsia" w:eastAsiaTheme="majorEastAsia" w:cstheme="majorEastAsia"/>
                <w:color w:val="auto"/>
                <w:sz w:val="22"/>
                <w:highlight w:val="none"/>
              </w:rPr>
            </w:pPr>
          </w:p>
        </w:tc>
        <w:tc>
          <w:tcPr>
            <w:tcW w:w="1234" w:type="dxa"/>
            <w:tcBorders>
              <w:top w:val="single" w:color="auto" w:sz="4" w:space="0"/>
              <w:bottom w:val="single" w:color="auto" w:sz="4" w:space="0"/>
            </w:tcBorders>
            <w:vAlign w:val="center"/>
          </w:tcPr>
          <w:p w14:paraId="3B9155A1">
            <w:pPr>
              <w:jc w:val="center"/>
              <w:rPr>
                <w:rFonts w:asciiTheme="majorEastAsia" w:hAnsiTheme="majorEastAsia" w:eastAsiaTheme="majorEastAsia" w:cstheme="majorEastAsia"/>
                <w:color w:val="auto"/>
                <w:sz w:val="22"/>
                <w:highlight w:val="none"/>
              </w:rPr>
            </w:pPr>
            <w:r>
              <w:rPr>
                <w:rFonts w:hint="eastAsia" w:asciiTheme="majorEastAsia" w:hAnsiTheme="majorEastAsia" w:eastAsiaTheme="majorEastAsia" w:cstheme="majorEastAsia"/>
                <w:color w:val="auto"/>
                <w:sz w:val="22"/>
                <w:highlight w:val="none"/>
              </w:rPr>
              <w:t>类似业绩</w:t>
            </w:r>
          </w:p>
        </w:tc>
        <w:tc>
          <w:tcPr>
            <w:tcW w:w="981" w:type="dxa"/>
            <w:tcBorders>
              <w:top w:val="single" w:color="auto" w:sz="4" w:space="0"/>
              <w:bottom w:val="single" w:color="auto" w:sz="4" w:space="0"/>
            </w:tcBorders>
            <w:vAlign w:val="center"/>
          </w:tcPr>
          <w:p w14:paraId="0118F96D">
            <w:pPr>
              <w:jc w:val="center"/>
              <w:rPr>
                <w:rFonts w:asciiTheme="majorEastAsia" w:hAnsiTheme="majorEastAsia" w:eastAsiaTheme="majorEastAsia" w:cstheme="majorEastAsia"/>
                <w:color w:val="auto"/>
                <w:sz w:val="22"/>
                <w:highlight w:val="none"/>
              </w:rPr>
            </w:pPr>
            <w:r>
              <w:rPr>
                <w:rFonts w:hint="eastAsia" w:asciiTheme="majorEastAsia" w:hAnsiTheme="majorEastAsia" w:eastAsiaTheme="majorEastAsia" w:cstheme="majorEastAsia"/>
                <w:color w:val="auto"/>
                <w:sz w:val="22"/>
                <w:highlight w:val="none"/>
                <w:lang w:val="en-US" w:eastAsia="zh-CN"/>
              </w:rPr>
              <w:t>2</w:t>
            </w:r>
            <w:r>
              <w:rPr>
                <w:rFonts w:hint="eastAsia" w:asciiTheme="majorEastAsia" w:hAnsiTheme="majorEastAsia" w:eastAsiaTheme="majorEastAsia" w:cstheme="majorEastAsia"/>
                <w:color w:val="auto"/>
                <w:sz w:val="22"/>
                <w:highlight w:val="none"/>
              </w:rPr>
              <w:t>分</w:t>
            </w:r>
          </w:p>
        </w:tc>
        <w:tc>
          <w:tcPr>
            <w:tcW w:w="6798" w:type="dxa"/>
            <w:tcBorders>
              <w:top w:val="single" w:color="auto" w:sz="4" w:space="0"/>
              <w:bottom w:val="single" w:color="auto" w:sz="4" w:space="0"/>
            </w:tcBorders>
            <w:vAlign w:val="center"/>
          </w:tcPr>
          <w:p w14:paraId="3BCAC780">
            <w:pPr>
              <w:rPr>
                <w:rFonts w:asciiTheme="majorEastAsia" w:hAnsiTheme="majorEastAsia" w:eastAsiaTheme="majorEastAsia" w:cstheme="majorEastAsia"/>
                <w:color w:val="auto"/>
                <w:sz w:val="22"/>
                <w:highlight w:val="none"/>
              </w:rPr>
            </w:pPr>
            <w:r>
              <w:rPr>
                <w:rFonts w:hint="eastAsia" w:asciiTheme="majorEastAsia" w:hAnsiTheme="majorEastAsia" w:eastAsiaTheme="majorEastAsia" w:cstheme="majorEastAsia"/>
                <w:color w:val="auto"/>
                <w:sz w:val="22"/>
                <w:highlight w:val="none"/>
              </w:rPr>
              <w:t>投标供应商独立承担过县级及以上类似项目业绩的，每具有一个得</w:t>
            </w:r>
            <w:r>
              <w:rPr>
                <w:rFonts w:hint="eastAsia" w:asciiTheme="majorEastAsia" w:hAnsiTheme="majorEastAsia" w:eastAsiaTheme="majorEastAsia" w:cstheme="majorEastAsia"/>
                <w:color w:val="auto"/>
                <w:sz w:val="22"/>
                <w:highlight w:val="none"/>
                <w:lang w:val="en-US" w:eastAsia="zh-CN"/>
              </w:rPr>
              <w:t>1</w:t>
            </w:r>
            <w:r>
              <w:rPr>
                <w:rFonts w:hint="eastAsia" w:asciiTheme="majorEastAsia" w:hAnsiTheme="majorEastAsia" w:eastAsiaTheme="majorEastAsia" w:cstheme="majorEastAsia"/>
                <w:color w:val="auto"/>
                <w:sz w:val="22"/>
                <w:highlight w:val="none"/>
              </w:rPr>
              <w:t>分，最高得</w:t>
            </w:r>
            <w:r>
              <w:rPr>
                <w:rFonts w:hint="eastAsia" w:asciiTheme="majorEastAsia" w:hAnsiTheme="majorEastAsia" w:eastAsiaTheme="majorEastAsia" w:cstheme="majorEastAsia"/>
                <w:color w:val="auto"/>
                <w:sz w:val="22"/>
                <w:highlight w:val="none"/>
                <w:lang w:val="en-US" w:eastAsia="zh-CN"/>
              </w:rPr>
              <w:t>2</w:t>
            </w:r>
            <w:r>
              <w:rPr>
                <w:rFonts w:hint="eastAsia" w:asciiTheme="majorEastAsia" w:hAnsiTheme="majorEastAsia" w:eastAsiaTheme="majorEastAsia" w:cstheme="majorEastAsia"/>
                <w:color w:val="auto"/>
                <w:sz w:val="22"/>
                <w:highlight w:val="none"/>
              </w:rPr>
              <w:t>分；</w:t>
            </w:r>
          </w:p>
          <w:p w14:paraId="199F297A">
            <w:pPr>
              <w:rPr>
                <w:rFonts w:asciiTheme="majorEastAsia" w:hAnsiTheme="majorEastAsia" w:eastAsiaTheme="majorEastAsia" w:cstheme="majorEastAsia"/>
                <w:color w:val="auto"/>
                <w:sz w:val="22"/>
                <w:highlight w:val="none"/>
              </w:rPr>
            </w:pPr>
            <w:r>
              <w:rPr>
                <w:rFonts w:hint="eastAsia" w:asciiTheme="majorEastAsia" w:hAnsiTheme="majorEastAsia" w:eastAsiaTheme="majorEastAsia" w:cstheme="majorEastAsia"/>
                <w:b/>
                <w:bCs/>
                <w:color w:val="auto"/>
                <w:sz w:val="22"/>
                <w:highlight w:val="none"/>
              </w:rPr>
              <w:t>注：【提供合同扫描件并加盖公章，否则不得分】</w:t>
            </w:r>
          </w:p>
        </w:tc>
      </w:tr>
      <w:tr w14:paraId="6D35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5" w:hRule="atLeast"/>
          <w:jc w:val="center"/>
        </w:trPr>
        <w:tc>
          <w:tcPr>
            <w:tcW w:w="902" w:type="dxa"/>
            <w:vMerge w:val="restart"/>
            <w:vAlign w:val="center"/>
          </w:tcPr>
          <w:p w14:paraId="05D7C7E1">
            <w:pPr>
              <w:jc w:val="center"/>
              <w:rPr>
                <w:rFonts w:asciiTheme="majorEastAsia" w:hAnsiTheme="majorEastAsia" w:eastAsiaTheme="majorEastAsia" w:cstheme="majorEastAsia"/>
                <w:color w:val="auto"/>
                <w:sz w:val="22"/>
                <w:highlight w:val="none"/>
              </w:rPr>
            </w:pPr>
            <w:r>
              <w:rPr>
                <w:rFonts w:hint="eastAsia" w:asciiTheme="majorEastAsia" w:hAnsiTheme="majorEastAsia" w:eastAsiaTheme="majorEastAsia" w:cstheme="majorEastAsia"/>
                <w:color w:val="auto"/>
                <w:sz w:val="22"/>
                <w:highlight w:val="none"/>
              </w:rPr>
              <w:t>技术</w:t>
            </w:r>
          </w:p>
        </w:tc>
        <w:tc>
          <w:tcPr>
            <w:tcW w:w="1234" w:type="dxa"/>
            <w:tcBorders>
              <w:top w:val="single" w:color="auto" w:sz="4" w:space="0"/>
              <w:bottom w:val="single" w:color="auto" w:sz="4" w:space="0"/>
            </w:tcBorders>
            <w:vAlign w:val="center"/>
          </w:tcPr>
          <w:p w14:paraId="1EF06863">
            <w:pPr>
              <w:jc w:val="center"/>
              <w:rPr>
                <w:rFonts w:asciiTheme="majorEastAsia" w:hAnsiTheme="majorEastAsia" w:eastAsiaTheme="majorEastAsia" w:cstheme="majorEastAsia"/>
                <w:color w:val="auto"/>
                <w:sz w:val="22"/>
                <w:highlight w:val="none"/>
              </w:rPr>
            </w:pPr>
            <w:r>
              <w:rPr>
                <w:rFonts w:hint="eastAsia" w:asciiTheme="majorEastAsia" w:hAnsiTheme="majorEastAsia" w:eastAsiaTheme="majorEastAsia" w:cstheme="majorEastAsia"/>
                <w:color w:val="auto"/>
                <w:sz w:val="22"/>
                <w:highlight w:val="none"/>
              </w:rPr>
              <w:t>项目理解</w:t>
            </w:r>
          </w:p>
        </w:tc>
        <w:tc>
          <w:tcPr>
            <w:tcW w:w="981" w:type="dxa"/>
            <w:tcBorders>
              <w:top w:val="single" w:color="auto" w:sz="4" w:space="0"/>
              <w:bottom w:val="single" w:color="auto" w:sz="4" w:space="0"/>
            </w:tcBorders>
            <w:vAlign w:val="center"/>
          </w:tcPr>
          <w:p w14:paraId="18028D95">
            <w:pPr>
              <w:jc w:val="center"/>
              <w:rPr>
                <w:rFonts w:asciiTheme="majorEastAsia" w:hAnsiTheme="majorEastAsia" w:eastAsiaTheme="majorEastAsia" w:cstheme="majorEastAsia"/>
                <w:color w:val="auto"/>
                <w:sz w:val="22"/>
                <w:highlight w:val="none"/>
              </w:rPr>
            </w:pPr>
            <w:r>
              <w:rPr>
                <w:rFonts w:hint="eastAsia" w:asciiTheme="majorEastAsia" w:hAnsiTheme="majorEastAsia" w:eastAsiaTheme="majorEastAsia" w:cstheme="majorEastAsia"/>
                <w:color w:val="auto"/>
                <w:sz w:val="22"/>
                <w:highlight w:val="none"/>
                <w:lang w:val="en-US" w:eastAsia="zh-CN"/>
              </w:rPr>
              <w:t>12</w:t>
            </w:r>
            <w:r>
              <w:rPr>
                <w:rFonts w:hint="eastAsia" w:asciiTheme="majorEastAsia" w:hAnsiTheme="majorEastAsia" w:eastAsiaTheme="majorEastAsia" w:cstheme="majorEastAsia"/>
                <w:color w:val="auto"/>
                <w:sz w:val="22"/>
                <w:highlight w:val="none"/>
              </w:rPr>
              <w:t>分</w:t>
            </w:r>
          </w:p>
        </w:tc>
        <w:tc>
          <w:tcPr>
            <w:tcW w:w="6798" w:type="dxa"/>
            <w:tcBorders>
              <w:top w:val="single" w:color="auto" w:sz="4" w:space="0"/>
              <w:bottom w:val="single" w:color="auto" w:sz="4" w:space="0"/>
            </w:tcBorders>
            <w:vAlign w:val="center"/>
          </w:tcPr>
          <w:p w14:paraId="242ED7F9">
            <w:pPr>
              <w:autoSpaceDE w:val="0"/>
              <w:autoSpaceDN w:val="0"/>
              <w:adjustRightInd w:val="0"/>
              <w:rPr>
                <w:color w:val="auto"/>
                <w:sz w:val="22"/>
                <w:highlight w:val="none"/>
              </w:rPr>
            </w:pPr>
            <w:r>
              <w:rPr>
                <w:rFonts w:hint="eastAsia" w:asciiTheme="majorEastAsia" w:hAnsiTheme="majorEastAsia" w:eastAsiaTheme="majorEastAsia" w:cstheme="majorEastAsia"/>
                <w:color w:val="auto"/>
                <w:sz w:val="22"/>
                <w:highlight w:val="none"/>
              </w:rPr>
              <w:t>对项目理解的深度及存在问题的针对性分析。</w:t>
            </w:r>
            <w:r>
              <w:rPr>
                <w:rFonts w:hint="eastAsia" w:asciiTheme="majorEastAsia" w:hAnsiTheme="majorEastAsia" w:eastAsiaTheme="majorEastAsia" w:cstheme="majorEastAsia"/>
                <w:color w:val="auto"/>
                <w:sz w:val="22"/>
                <w:highlight w:val="none"/>
              </w:rPr>
              <w:br w:type="textWrapping"/>
            </w:r>
            <w:r>
              <w:rPr>
                <w:color w:val="auto"/>
                <w:sz w:val="22"/>
                <w:highlight w:val="none"/>
              </w:rPr>
              <w:t>方案完善合理、针对性强、</w:t>
            </w:r>
            <w:r>
              <w:rPr>
                <w:rFonts w:hint="eastAsia"/>
                <w:color w:val="auto"/>
                <w:sz w:val="22"/>
                <w:highlight w:val="none"/>
              </w:rPr>
              <w:t>分析</w:t>
            </w:r>
            <w:r>
              <w:rPr>
                <w:color w:val="auto"/>
                <w:sz w:val="22"/>
                <w:highlight w:val="none"/>
              </w:rPr>
              <w:t>到位、切实可行得</w:t>
            </w:r>
            <w:r>
              <w:rPr>
                <w:rFonts w:hint="eastAsia"/>
                <w:color w:val="auto"/>
                <w:sz w:val="22"/>
                <w:highlight w:val="none"/>
                <w:lang w:val="en-US" w:eastAsia="zh-CN"/>
              </w:rPr>
              <w:t>12</w:t>
            </w:r>
            <w:r>
              <w:rPr>
                <w:color w:val="auto"/>
                <w:sz w:val="22"/>
                <w:highlight w:val="none"/>
              </w:rPr>
              <w:t>分；</w:t>
            </w:r>
          </w:p>
          <w:p w14:paraId="4FBA8423">
            <w:pPr>
              <w:autoSpaceDE w:val="0"/>
              <w:autoSpaceDN w:val="0"/>
              <w:adjustRightInd w:val="0"/>
              <w:rPr>
                <w:color w:val="auto"/>
                <w:sz w:val="22"/>
                <w:highlight w:val="none"/>
              </w:rPr>
            </w:pPr>
            <w:r>
              <w:rPr>
                <w:color w:val="auto"/>
                <w:sz w:val="22"/>
                <w:highlight w:val="none"/>
              </w:rPr>
              <w:t>方案较完善合理、较有针对性、</w:t>
            </w:r>
            <w:r>
              <w:rPr>
                <w:rFonts w:hint="eastAsia"/>
                <w:color w:val="auto"/>
                <w:sz w:val="22"/>
                <w:highlight w:val="none"/>
              </w:rPr>
              <w:t>分析</w:t>
            </w:r>
            <w:r>
              <w:rPr>
                <w:color w:val="auto"/>
                <w:sz w:val="22"/>
                <w:highlight w:val="none"/>
              </w:rPr>
              <w:t>基本到位、有一定可操作性得</w:t>
            </w:r>
            <w:r>
              <w:rPr>
                <w:rFonts w:hint="eastAsia"/>
                <w:color w:val="auto"/>
                <w:sz w:val="22"/>
                <w:highlight w:val="none"/>
                <w:lang w:val="en-US" w:eastAsia="zh-CN"/>
              </w:rPr>
              <w:t>10</w:t>
            </w:r>
            <w:r>
              <w:rPr>
                <w:color w:val="auto"/>
                <w:sz w:val="22"/>
                <w:highlight w:val="none"/>
              </w:rPr>
              <w:t>分；</w:t>
            </w:r>
          </w:p>
          <w:p w14:paraId="17000E74">
            <w:pPr>
              <w:autoSpaceDE w:val="0"/>
              <w:autoSpaceDN w:val="0"/>
              <w:adjustRightInd w:val="0"/>
              <w:rPr>
                <w:color w:val="auto"/>
                <w:sz w:val="22"/>
                <w:highlight w:val="none"/>
              </w:rPr>
            </w:pPr>
            <w:r>
              <w:rPr>
                <w:color w:val="auto"/>
                <w:sz w:val="22"/>
                <w:highlight w:val="none"/>
              </w:rPr>
              <w:t>方案欠完善合理、</w:t>
            </w:r>
            <w:r>
              <w:rPr>
                <w:rFonts w:hint="eastAsia"/>
                <w:color w:val="auto"/>
                <w:sz w:val="22"/>
                <w:highlight w:val="none"/>
              </w:rPr>
              <w:t>分析</w:t>
            </w:r>
            <w:r>
              <w:rPr>
                <w:color w:val="auto"/>
                <w:sz w:val="22"/>
                <w:highlight w:val="none"/>
              </w:rPr>
              <w:t>完整度、针对性、可操作性一般得</w:t>
            </w:r>
            <w:r>
              <w:rPr>
                <w:rFonts w:hint="eastAsia"/>
                <w:color w:val="auto"/>
                <w:sz w:val="22"/>
                <w:highlight w:val="none"/>
                <w:lang w:val="en-US" w:eastAsia="zh-CN"/>
              </w:rPr>
              <w:t>8</w:t>
            </w:r>
            <w:r>
              <w:rPr>
                <w:color w:val="auto"/>
                <w:sz w:val="22"/>
                <w:highlight w:val="none"/>
              </w:rPr>
              <w:t>分；</w:t>
            </w:r>
          </w:p>
          <w:p w14:paraId="7E8F1BD4">
            <w:pPr>
              <w:autoSpaceDE w:val="0"/>
              <w:autoSpaceDN w:val="0"/>
              <w:adjustRightInd w:val="0"/>
              <w:rPr>
                <w:color w:val="auto"/>
                <w:sz w:val="22"/>
                <w:highlight w:val="none"/>
              </w:rPr>
            </w:pPr>
            <w:r>
              <w:rPr>
                <w:color w:val="auto"/>
                <w:sz w:val="22"/>
                <w:highlight w:val="none"/>
              </w:rPr>
              <w:t>方案不够完善合理、针对性不足、</w:t>
            </w:r>
            <w:r>
              <w:rPr>
                <w:rFonts w:hint="eastAsia"/>
                <w:color w:val="auto"/>
                <w:sz w:val="22"/>
                <w:highlight w:val="none"/>
              </w:rPr>
              <w:t>分析不够到位</w:t>
            </w:r>
            <w:r>
              <w:rPr>
                <w:color w:val="auto"/>
                <w:sz w:val="22"/>
                <w:highlight w:val="none"/>
              </w:rPr>
              <w:t>、可操作性弱得</w:t>
            </w:r>
            <w:r>
              <w:rPr>
                <w:rFonts w:hint="eastAsia"/>
                <w:color w:val="auto"/>
                <w:sz w:val="22"/>
                <w:highlight w:val="none"/>
                <w:lang w:val="en-US" w:eastAsia="zh-CN"/>
              </w:rPr>
              <w:t>6</w:t>
            </w:r>
            <w:r>
              <w:rPr>
                <w:color w:val="auto"/>
                <w:sz w:val="22"/>
                <w:highlight w:val="none"/>
              </w:rPr>
              <w:t>分</w:t>
            </w:r>
            <w:r>
              <w:rPr>
                <w:rFonts w:hint="eastAsia"/>
                <w:color w:val="auto"/>
                <w:sz w:val="22"/>
                <w:highlight w:val="none"/>
              </w:rPr>
              <w:t>；</w:t>
            </w:r>
          </w:p>
          <w:p w14:paraId="267DE241">
            <w:pPr>
              <w:rPr>
                <w:rFonts w:asciiTheme="majorEastAsia" w:hAnsiTheme="majorEastAsia" w:eastAsiaTheme="majorEastAsia" w:cstheme="majorEastAsia"/>
                <w:color w:val="auto"/>
                <w:sz w:val="22"/>
                <w:highlight w:val="none"/>
              </w:rPr>
            </w:pPr>
            <w:r>
              <w:rPr>
                <w:color w:val="auto"/>
                <w:sz w:val="22"/>
                <w:highlight w:val="none"/>
              </w:rPr>
              <w:t>本项内容未提供或严重欠缺不得分</w:t>
            </w:r>
            <w:r>
              <w:rPr>
                <w:rFonts w:hint="eastAsia"/>
                <w:color w:val="auto"/>
                <w:sz w:val="22"/>
                <w:highlight w:val="none"/>
              </w:rPr>
              <w:t>。</w:t>
            </w:r>
          </w:p>
        </w:tc>
      </w:tr>
      <w:tr w14:paraId="54AA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jc w:val="center"/>
        </w:trPr>
        <w:tc>
          <w:tcPr>
            <w:tcW w:w="902" w:type="dxa"/>
            <w:vMerge w:val="continue"/>
            <w:vAlign w:val="center"/>
          </w:tcPr>
          <w:p w14:paraId="06BB2310">
            <w:pPr>
              <w:jc w:val="center"/>
              <w:rPr>
                <w:rFonts w:asciiTheme="majorEastAsia" w:hAnsiTheme="majorEastAsia" w:eastAsiaTheme="majorEastAsia" w:cstheme="majorEastAsia"/>
                <w:color w:val="auto"/>
                <w:sz w:val="22"/>
                <w:highlight w:val="none"/>
              </w:rPr>
            </w:pPr>
          </w:p>
        </w:tc>
        <w:tc>
          <w:tcPr>
            <w:tcW w:w="1234" w:type="dxa"/>
            <w:vMerge w:val="restart"/>
            <w:tcBorders>
              <w:top w:val="single" w:color="auto" w:sz="4" w:space="0"/>
            </w:tcBorders>
            <w:vAlign w:val="center"/>
          </w:tcPr>
          <w:p w14:paraId="55583B9E">
            <w:pPr>
              <w:jc w:val="center"/>
              <w:rPr>
                <w:rFonts w:asciiTheme="majorEastAsia" w:hAnsiTheme="majorEastAsia" w:eastAsiaTheme="majorEastAsia" w:cstheme="majorEastAsia"/>
                <w:color w:val="auto"/>
                <w:sz w:val="22"/>
                <w:highlight w:val="none"/>
              </w:rPr>
            </w:pPr>
            <w:r>
              <w:rPr>
                <w:rFonts w:hint="eastAsia" w:asciiTheme="majorEastAsia" w:hAnsiTheme="majorEastAsia" w:eastAsiaTheme="majorEastAsia" w:cstheme="majorEastAsia"/>
                <w:color w:val="auto"/>
                <w:sz w:val="22"/>
                <w:highlight w:val="none"/>
              </w:rPr>
              <w:t>实施方案</w:t>
            </w:r>
          </w:p>
        </w:tc>
        <w:tc>
          <w:tcPr>
            <w:tcW w:w="981" w:type="dxa"/>
            <w:vMerge w:val="restart"/>
            <w:tcBorders>
              <w:top w:val="single" w:color="auto" w:sz="4" w:space="0"/>
            </w:tcBorders>
            <w:vAlign w:val="center"/>
          </w:tcPr>
          <w:p w14:paraId="43A59BA4">
            <w:pPr>
              <w:jc w:val="center"/>
              <w:rPr>
                <w:rFonts w:asciiTheme="majorEastAsia" w:hAnsiTheme="majorEastAsia" w:eastAsiaTheme="majorEastAsia" w:cstheme="majorEastAsia"/>
                <w:color w:val="auto"/>
                <w:sz w:val="22"/>
                <w:highlight w:val="none"/>
              </w:rPr>
            </w:pPr>
            <w:r>
              <w:rPr>
                <w:rFonts w:hint="eastAsia" w:asciiTheme="majorEastAsia" w:hAnsiTheme="majorEastAsia" w:eastAsiaTheme="majorEastAsia" w:cstheme="majorEastAsia"/>
                <w:color w:val="auto"/>
                <w:sz w:val="22"/>
                <w:highlight w:val="none"/>
                <w:lang w:val="en-US" w:eastAsia="zh-CN"/>
              </w:rPr>
              <w:t>18</w:t>
            </w:r>
            <w:r>
              <w:rPr>
                <w:rFonts w:hint="eastAsia" w:asciiTheme="majorEastAsia" w:hAnsiTheme="majorEastAsia" w:eastAsiaTheme="majorEastAsia" w:cstheme="majorEastAsia"/>
                <w:color w:val="auto"/>
                <w:sz w:val="22"/>
                <w:highlight w:val="none"/>
              </w:rPr>
              <w:t>分</w:t>
            </w:r>
          </w:p>
        </w:tc>
        <w:tc>
          <w:tcPr>
            <w:tcW w:w="6798" w:type="dxa"/>
            <w:tcBorders>
              <w:top w:val="single" w:color="auto" w:sz="4" w:space="0"/>
              <w:bottom w:val="single" w:color="auto" w:sz="4" w:space="0"/>
            </w:tcBorders>
            <w:vAlign w:val="center"/>
          </w:tcPr>
          <w:p w14:paraId="05B0DA0C">
            <w:pPr>
              <w:rPr>
                <w:rFonts w:asciiTheme="majorEastAsia" w:hAnsiTheme="majorEastAsia" w:eastAsiaTheme="majorEastAsia" w:cstheme="majorEastAsia"/>
                <w:color w:val="auto"/>
                <w:sz w:val="22"/>
                <w:highlight w:val="none"/>
              </w:rPr>
            </w:pPr>
            <w:r>
              <w:rPr>
                <w:rFonts w:hint="eastAsia" w:asciiTheme="majorEastAsia" w:hAnsiTheme="majorEastAsia" w:eastAsiaTheme="majorEastAsia" w:cstheme="majorEastAsia"/>
                <w:color w:val="auto"/>
                <w:sz w:val="22"/>
                <w:highlight w:val="none"/>
              </w:rPr>
              <w:t>项目实施计划是否完善</w:t>
            </w:r>
          </w:p>
          <w:p w14:paraId="1DB17412">
            <w:pPr>
              <w:autoSpaceDE w:val="0"/>
              <w:autoSpaceDN w:val="0"/>
              <w:adjustRightInd w:val="0"/>
              <w:rPr>
                <w:color w:val="auto"/>
                <w:sz w:val="22"/>
                <w:highlight w:val="none"/>
              </w:rPr>
            </w:pPr>
            <w:r>
              <w:rPr>
                <w:color w:val="auto"/>
                <w:sz w:val="22"/>
                <w:highlight w:val="none"/>
              </w:rPr>
              <w:t>方案完善合理、针对性强、切实可行得</w:t>
            </w:r>
            <w:r>
              <w:rPr>
                <w:rFonts w:hint="eastAsia"/>
                <w:color w:val="auto"/>
                <w:sz w:val="22"/>
                <w:highlight w:val="none"/>
                <w:lang w:val="en-US" w:eastAsia="zh-CN"/>
              </w:rPr>
              <w:t>7</w:t>
            </w:r>
            <w:r>
              <w:rPr>
                <w:color w:val="auto"/>
                <w:sz w:val="22"/>
                <w:highlight w:val="none"/>
              </w:rPr>
              <w:t>分；</w:t>
            </w:r>
          </w:p>
          <w:p w14:paraId="4445AB78">
            <w:pPr>
              <w:autoSpaceDE w:val="0"/>
              <w:autoSpaceDN w:val="0"/>
              <w:adjustRightInd w:val="0"/>
              <w:rPr>
                <w:color w:val="auto"/>
                <w:sz w:val="22"/>
                <w:highlight w:val="none"/>
              </w:rPr>
            </w:pPr>
            <w:r>
              <w:rPr>
                <w:color w:val="auto"/>
                <w:sz w:val="22"/>
                <w:highlight w:val="none"/>
              </w:rPr>
              <w:t>方案较完善合理、较有针对性、有一定可操作性得</w:t>
            </w:r>
            <w:r>
              <w:rPr>
                <w:rFonts w:hint="eastAsia"/>
                <w:color w:val="auto"/>
                <w:sz w:val="22"/>
                <w:highlight w:val="none"/>
                <w:lang w:val="en-US" w:eastAsia="zh-CN"/>
              </w:rPr>
              <w:t>6</w:t>
            </w:r>
            <w:r>
              <w:rPr>
                <w:color w:val="auto"/>
                <w:sz w:val="22"/>
                <w:highlight w:val="none"/>
              </w:rPr>
              <w:t>分；</w:t>
            </w:r>
          </w:p>
          <w:p w14:paraId="564752C0">
            <w:pPr>
              <w:autoSpaceDE w:val="0"/>
              <w:autoSpaceDN w:val="0"/>
              <w:adjustRightInd w:val="0"/>
              <w:rPr>
                <w:color w:val="auto"/>
                <w:sz w:val="22"/>
                <w:highlight w:val="none"/>
              </w:rPr>
            </w:pPr>
            <w:r>
              <w:rPr>
                <w:color w:val="auto"/>
                <w:sz w:val="22"/>
                <w:highlight w:val="none"/>
              </w:rPr>
              <w:t>方案欠完善合理、</w:t>
            </w:r>
            <w:r>
              <w:rPr>
                <w:rFonts w:hint="eastAsia"/>
                <w:color w:val="auto"/>
                <w:sz w:val="22"/>
                <w:highlight w:val="none"/>
              </w:rPr>
              <w:t>分析</w:t>
            </w:r>
            <w:r>
              <w:rPr>
                <w:color w:val="auto"/>
                <w:sz w:val="22"/>
                <w:highlight w:val="none"/>
              </w:rPr>
              <w:t>完整度、针对性、可操作性一般得</w:t>
            </w:r>
            <w:r>
              <w:rPr>
                <w:rFonts w:hint="eastAsia"/>
                <w:color w:val="auto"/>
                <w:sz w:val="22"/>
                <w:highlight w:val="none"/>
                <w:lang w:val="en-US" w:eastAsia="zh-CN"/>
              </w:rPr>
              <w:t>5</w:t>
            </w:r>
            <w:r>
              <w:rPr>
                <w:color w:val="auto"/>
                <w:sz w:val="22"/>
                <w:highlight w:val="none"/>
              </w:rPr>
              <w:t>分；</w:t>
            </w:r>
          </w:p>
          <w:p w14:paraId="32D7FAD9">
            <w:pPr>
              <w:autoSpaceDE w:val="0"/>
              <w:autoSpaceDN w:val="0"/>
              <w:adjustRightInd w:val="0"/>
              <w:rPr>
                <w:color w:val="auto"/>
                <w:sz w:val="22"/>
                <w:highlight w:val="none"/>
              </w:rPr>
            </w:pPr>
            <w:r>
              <w:rPr>
                <w:color w:val="auto"/>
                <w:sz w:val="22"/>
                <w:highlight w:val="none"/>
              </w:rPr>
              <w:t>方案不够完善合理、针对性不足、可操作性弱得</w:t>
            </w:r>
            <w:r>
              <w:rPr>
                <w:rFonts w:hint="eastAsia"/>
                <w:color w:val="auto"/>
                <w:sz w:val="22"/>
                <w:highlight w:val="none"/>
                <w:lang w:val="en-US" w:eastAsia="zh-CN"/>
              </w:rPr>
              <w:t>3</w:t>
            </w:r>
            <w:r>
              <w:rPr>
                <w:color w:val="auto"/>
                <w:sz w:val="22"/>
                <w:highlight w:val="none"/>
              </w:rPr>
              <w:t>分</w:t>
            </w:r>
            <w:r>
              <w:rPr>
                <w:rFonts w:hint="eastAsia"/>
                <w:color w:val="auto"/>
                <w:sz w:val="22"/>
                <w:highlight w:val="none"/>
              </w:rPr>
              <w:t>；</w:t>
            </w:r>
          </w:p>
          <w:p w14:paraId="3E363892">
            <w:pPr>
              <w:rPr>
                <w:rFonts w:asciiTheme="majorEastAsia" w:hAnsiTheme="majorEastAsia" w:eastAsiaTheme="majorEastAsia" w:cstheme="majorEastAsia"/>
                <w:color w:val="auto"/>
                <w:sz w:val="22"/>
                <w:highlight w:val="none"/>
              </w:rPr>
            </w:pPr>
            <w:r>
              <w:rPr>
                <w:color w:val="auto"/>
                <w:sz w:val="22"/>
                <w:highlight w:val="none"/>
              </w:rPr>
              <w:t>本项内容未提供或严重欠缺不得分</w:t>
            </w:r>
            <w:r>
              <w:rPr>
                <w:rFonts w:hint="eastAsia"/>
                <w:color w:val="auto"/>
                <w:sz w:val="22"/>
                <w:highlight w:val="none"/>
              </w:rPr>
              <w:t>。</w:t>
            </w:r>
          </w:p>
        </w:tc>
      </w:tr>
      <w:tr w14:paraId="486D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jc w:val="center"/>
        </w:trPr>
        <w:tc>
          <w:tcPr>
            <w:tcW w:w="902" w:type="dxa"/>
            <w:vMerge w:val="continue"/>
            <w:vAlign w:val="center"/>
          </w:tcPr>
          <w:p w14:paraId="56D85221">
            <w:pPr>
              <w:jc w:val="center"/>
              <w:rPr>
                <w:rFonts w:asciiTheme="majorEastAsia" w:hAnsiTheme="majorEastAsia" w:eastAsiaTheme="majorEastAsia" w:cstheme="majorEastAsia"/>
                <w:color w:val="auto"/>
                <w:sz w:val="22"/>
                <w:highlight w:val="none"/>
              </w:rPr>
            </w:pPr>
          </w:p>
        </w:tc>
        <w:tc>
          <w:tcPr>
            <w:tcW w:w="1234" w:type="dxa"/>
            <w:vMerge w:val="continue"/>
            <w:vAlign w:val="center"/>
          </w:tcPr>
          <w:p w14:paraId="6320FA8C">
            <w:pPr>
              <w:jc w:val="center"/>
              <w:rPr>
                <w:rFonts w:asciiTheme="majorEastAsia" w:hAnsiTheme="majorEastAsia" w:eastAsiaTheme="majorEastAsia" w:cstheme="majorEastAsia"/>
                <w:color w:val="auto"/>
                <w:sz w:val="22"/>
                <w:highlight w:val="none"/>
              </w:rPr>
            </w:pPr>
          </w:p>
        </w:tc>
        <w:tc>
          <w:tcPr>
            <w:tcW w:w="981" w:type="dxa"/>
            <w:vMerge w:val="continue"/>
            <w:vAlign w:val="center"/>
          </w:tcPr>
          <w:p w14:paraId="322FB240">
            <w:pPr>
              <w:jc w:val="center"/>
              <w:rPr>
                <w:rFonts w:asciiTheme="majorEastAsia" w:hAnsiTheme="majorEastAsia" w:eastAsiaTheme="majorEastAsia" w:cstheme="majorEastAsia"/>
                <w:color w:val="auto"/>
                <w:sz w:val="22"/>
                <w:highlight w:val="none"/>
              </w:rPr>
            </w:pPr>
          </w:p>
        </w:tc>
        <w:tc>
          <w:tcPr>
            <w:tcW w:w="6798" w:type="dxa"/>
            <w:tcBorders>
              <w:top w:val="single" w:color="auto" w:sz="4" w:space="0"/>
              <w:bottom w:val="single" w:color="auto" w:sz="4" w:space="0"/>
            </w:tcBorders>
            <w:vAlign w:val="center"/>
          </w:tcPr>
          <w:p w14:paraId="32E4F138">
            <w:pPr>
              <w:rPr>
                <w:rFonts w:asciiTheme="majorEastAsia" w:hAnsiTheme="majorEastAsia" w:eastAsiaTheme="majorEastAsia" w:cstheme="majorEastAsia"/>
                <w:color w:val="auto"/>
                <w:sz w:val="22"/>
                <w:highlight w:val="none"/>
              </w:rPr>
            </w:pPr>
            <w:r>
              <w:rPr>
                <w:rFonts w:hint="eastAsia" w:asciiTheme="majorEastAsia" w:hAnsiTheme="majorEastAsia" w:eastAsiaTheme="majorEastAsia" w:cstheme="majorEastAsia"/>
                <w:color w:val="auto"/>
                <w:sz w:val="22"/>
                <w:highlight w:val="none"/>
              </w:rPr>
              <w:t>进度安排是否合理</w:t>
            </w:r>
          </w:p>
          <w:p w14:paraId="17AACD26">
            <w:pPr>
              <w:autoSpaceDE w:val="0"/>
              <w:autoSpaceDN w:val="0"/>
              <w:adjustRightInd w:val="0"/>
              <w:rPr>
                <w:color w:val="auto"/>
                <w:sz w:val="22"/>
                <w:highlight w:val="none"/>
              </w:rPr>
            </w:pPr>
            <w:r>
              <w:rPr>
                <w:color w:val="auto"/>
                <w:sz w:val="22"/>
                <w:highlight w:val="none"/>
              </w:rPr>
              <w:t>方案完善合理、针对性强、切实可行得</w:t>
            </w:r>
            <w:r>
              <w:rPr>
                <w:rFonts w:hint="eastAsia"/>
                <w:color w:val="auto"/>
                <w:sz w:val="22"/>
                <w:highlight w:val="none"/>
                <w:lang w:val="en-US" w:eastAsia="zh-CN"/>
              </w:rPr>
              <w:t>6</w:t>
            </w:r>
            <w:r>
              <w:rPr>
                <w:color w:val="auto"/>
                <w:sz w:val="22"/>
                <w:highlight w:val="none"/>
              </w:rPr>
              <w:t>分；</w:t>
            </w:r>
          </w:p>
          <w:p w14:paraId="0B19ED94">
            <w:pPr>
              <w:autoSpaceDE w:val="0"/>
              <w:autoSpaceDN w:val="0"/>
              <w:adjustRightInd w:val="0"/>
              <w:rPr>
                <w:color w:val="auto"/>
                <w:sz w:val="22"/>
                <w:highlight w:val="none"/>
              </w:rPr>
            </w:pPr>
            <w:r>
              <w:rPr>
                <w:color w:val="auto"/>
                <w:sz w:val="22"/>
                <w:highlight w:val="none"/>
              </w:rPr>
              <w:t>方案较完善合理、较有针对性、有一定可操作性得</w:t>
            </w:r>
            <w:r>
              <w:rPr>
                <w:rFonts w:hint="eastAsia"/>
                <w:color w:val="auto"/>
                <w:sz w:val="22"/>
                <w:highlight w:val="none"/>
              </w:rPr>
              <w:t>5</w:t>
            </w:r>
            <w:r>
              <w:rPr>
                <w:color w:val="auto"/>
                <w:sz w:val="22"/>
                <w:highlight w:val="none"/>
              </w:rPr>
              <w:t>分；</w:t>
            </w:r>
          </w:p>
          <w:p w14:paraId="7DB2E49A">
            <w:pPr>
              <w:autoSpaceDE w:val="0"/>
              <w:autoSpaceDN w:val="0"/>
              <w:adjustRightInd w:val="0"/>
              <w:rPr>
                <w:color w:val="auto"/>
                <w:sz w:val="22"/>
                <w:highlight w:val="none"/>
              </w:rPr>
            </w:pPr>
            <w:r>
              <w:rPr>
                <w:color w:val="auto"/>
                <w:sz w:val="22"/>
                <w:highlight w:val="none"/>
              </w:rPr>
              <w:t>方案欠完善合理、</w:t>
            </w:r>
            <w:r>
              <w:rPr>
                <w:rFonts w:hint="eastAsia"/>
                <w:color w:val="auto"/>
                <w:sz w:val="22"/>
                <w:highlight w:val="none"/>
              </w:rPr>
              <w:t>分析</w:t>
            </w:r>
            <w:r>
              <w:rPr>
                <w:color w:val="auto"/>
                <w:sz w:val="22"/>
                <w:highlight w:val="none"/>
              </w:rPr>
              <w:t>完整度、针对性、可操作性一般得</w:t>
            </w:r>
            <w:r>
              <w:rPr>
                <w:rFonts w:hint="eastAsia"/>
                <w:color w:val="auto"/>
                <w:sz w:val="22"/>
                <w:highlight w:val="none"/>
              </w:rPr>
              <w:t>4</w:t>
            </w:r>
            <w:r>
              <w:rPr>
                <w:color w:val="auto"/>
                <w:sz w:val="22"/>
                <w:highlight w:val="none"/>
              </w:rPr>
              <w:t>分；</w:t>
            </w:r>
          </w:p>
          <w:p w14:paraId="5A5926B3">
            <w:pPr>
              <w:autoSpaceDE w:val="0"/>
              <w:autoSpaceDN w:val="0"/>
              <w:adjustRightInd w:val="0"/>
              <w:rPr>
                <w:color w:val="auto"/>
                <w:sz w:val="22"/>
                <w:highlight w:val="none"/>
              </w:rPr>
            </w:pPr>
            <w:r>
              <w:rPr>
                <w:color w:val="auto"/>
                <w:sz w:val="22"/>
                <w:highlight w:val="none"/>
              </w:rPr>
              <w:t>方案不够完善合理、针对性不足、可操作性弱得</w:t>
            </w:r>
            <w:r>
              <w:rPr>
                <w:rFonts w:hint="eastAsia"/>
                <w:color w:val="auto"/>
                <w:sz w:val="22"/>
                <w:highlight w:val="none"/>
              </w:rPr>
              <w:t>2</w:t>
            </w:r>
            <w:r>
              <w:rPr>
                <w:color w:val="auto"/>
                <w:sz w:val="22"/>
                <w:highlight w:val="none"/>
              </w:rPr>
              <w:t>分</w:t>
            </w:r>
            <w:r>
              <w:rPr>
                <w:rFonts w:hint="eastAsia"/>
                <w:color w:val="auto"/>
                <w:sz w:val="22"/>
                <w:highlight w:val="none"/>
              </w:rPr>
              <w:t>；</w:t>
            </w:r>
          </w:p>
          <w:p w14:paraId="3A98294E">
            <w:pPr>
              <w:rPr>
                <w:color w:val="auto"/>
                <w:sz w:val="22"/>
                <w:highlight w:val="none"/>
              </w:rPr>
            </w:pPr>
            <w:r>
              <w:rPr>
                <w:color w:val="auto"/>
                <w:sz w:val="22"/>
                <w:highlight w:val="none"/>
              </w:rPr>
              <w:t>本项内容未提供或严重欠缺不得分</w:t>
            </w:r>
            <w:r>
              <w:rPr>
                <w:rFonts w:hint="eastAsia"/>
                <w:color w:val="auto"/>
                <w:sz w:val="22"/>
                <w:highlight w:val="none"/>
              </w:rPr>
              <w:t>。</w:t>
            </w:r>
          </w:p>
        </w:tc>
      </w:tr>
      <w:tr w14:paraId="02241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jc w:val="center"/>
        </w:trPr>
        <w:tc>
          <w:tcPr>
            <w:tcW w:w="902" w:type="dxa"/>
            <w:vMerge w:val="continue"/>
            <w:vAlign w:val="center"/>
          </w:tcPr>
          <w:p w14:paraId="2D53BA8B">
            <w:pPr>
              <w:jc w:val="center"/>
              <w:rPr>
                <w:rFonts w:asciiTheme="majorEastAsia" w:hAnsiTheme="majorEastAsia" w:eastAsiaTheme="majorEastAsia" w:cstheme="majorEastAsia"/>
                <w:color w:val="auto"/>
                <w:sz w:val="22"/>
                <w:highlight w:val="none"/>
              </w:rPr>
            </w:pPr>
          </w:p>
        </w:tc>
        <w:tc>
          <w:tcPr>
            <w:tcW w:w="1234" w:type="dxa"/>
            <w:vMerge w:val="continue"/>
            <w:tcBorders>
              <w:bottom w:val="single" w:color="auto" w:sz="4" w:space="0"/>
            </w:tcBorders>
            <w:vAlign w:val="center"/>
          </w:tcPr>
          <w:p w14:paraId="126CA7C1">
            <w:pPr>
              <w:jc w:val="center"/>
              <w:rPr>
                <w:rFonts w:asciiTheme="majorEastAsia" w:hAnsiTheme="majorEastAsia" w:eastAsiaTheme="majorEastAsia" w:cstheme="majorEastAsia"/>
                <w:color w:val="auto"/>
                <w:sz w:val="22"/>
                <w:highlight w:val="none"/>
              </w:rPr>
            </w:pPr>
          </w:p>
        </w:tc>
        <w:tc>
          <w:tcPr>
            <w:tcW w:w="981" w:type="dxa"/>
            <w:vMerge w:val="continue"/>
            <w:tcBorders>
              <w:bottom w:val="single" w:color="auto" w:sz="4" w:space="0"/>
            </w:tcBorders>
            <w:vAlign w:val="center"/>
          </w:tcPr>
          <w:p w14:paraId="272A44B5">
            <w:pPr>
              <w:jc w:val="center"/>
              <w:rPr>
                <w:rFonts w:asciiTheme="majorEastAsia" w:hAnsiTheme="majorEastAsia" w:eastAsiaTheme="majorEastAsia" w:cstheme="majorEastAsia"/>
                <w:color w:val="auto"/>
                <w:sz w:val="22"/>
                <w:highlight w:val="none"/>
              </w:rPr>
            </w:pPr>
          </w:p>
        </w:tc>
        <w:tc>
          <w:tcPr>
            <w:tcW w:w="6798" w:type="dxa"/>
            <w:tcBorders>
              <w:top w:val="single" w:color="auto" w:sz="4" w:space="0"/>
              <w:bottom w:val="single" w:color="auto" w:sz="4" w:space="0"/>
            </w:tcBorders>
            <w:vAlign w:val="center"/>
          </w:tcPr>
          <w:p w14:paraId="6B21FC3F">
            <w:pPr>
              <w:autoSpaceDE w:val="0"/>
              <w:autoSpaceDN w:val="0"/>
              <w:adjustRightInd w:val="0"/>
              <w:rPr>
                <w:color w:val="auto"/>
                <w:sz w:val="22"/>
                <w:highlight w:val="none"/>
              </w:rPr>
            </w:pPr>
            <w:r>
              <w:rPr>
                <w:rFonts w:hint="eastAsia" w:asciiTheme="majorEastAsia" w:hAnsiTheme="majorEastAsia" w:eastAsiaTheme="majorEastAsia" w:cstheme="majorEastAsia"/>
                <w:color w:val="auto"/>
                <w:sz w:val="22"/>
                <w:highlight w:val="none"/>
              </w:rPr>
              <w:t>项目整体管理方案是否合理科学，是否可行，是否有充足、完善</w:t>
            </w:r>
            <w:r>
              <w:rPr>
                <w:rFonts w:hint="eastAsia" w:asciiTheme="majorEastAsia" w:hAnsiTheme="majorEastAsia" w:eastAsiaTheme="majorEastAsia" w:cstheme="majorEastAsia"/>
                <w:color w:val="auto"/>
                <w:sz w:val="22"/>
                <w:highlight w:val="none"/>
              </w:rPr>
              <w:br w:type="textWrapping"/>
            </w:r>
            <w:r>
              <w:rPr>
                <w:color w:val="auto"/>
                <w:sz w:val="22"/>
                <w:highlight w:val="none"/>
              </w:rPr>
              <w:t>方案完善合理、针对性强、切实可行得</w:t>
            </w:r>
            <w:r>
              <w:rPr>
                <w:rFonts w:hint="eastAsia"/>
                <w:color w:val="auto"/>
                <w:sz w:val="22"/>
                <w:highlight w:val="none"/>
              </w:rPr>
              <w:t>5</w:t>
            </w:r>
            <w:r>
              <w:rPr>
                <w:color w:val="auto"/>
                <w:sz w:val="22"/>
                <w:highlight w:val="none"/>
              </w:rPr>
              <w:t>分；</w:t>
            </w:r>
          </w:p>
          <w:p w14:paraId="5E90AD72">
            <w:pPr>
              <w:autoSpaceDE w:val="0"/>
              <w:autoSpaceDN w:val="0"/>
              <w:adjustRightInd w:val="0"/>
              <w:rPr>
                <w:color w:val="auto"/>
                <w:sz w:val="22"/>
                <w:highlight w:val="none"/>
              </w:rPr>
            </w:pPr>
            <w:r>
              <w:rPr>
                <w:color w:val="auto"/>
                <w:sz w:val="22"/>
                <w:highlight w:val="none"/>
              </w:rPr>
              <w:t>方案较完善合理、较有针对性、有一定可操作性得</w:t>
            </w:r>
            <w:r>
              <w:rPr>
                <w:rFonts w:hint="eastAsia"/>
                <w:color w:val="auto"/>
                <w:sz w:val="22"/>
                <w:highlight w:val="none"/>
              </w:rPr>
              <w:t>4</w:t>
            </w:r>
            <w:r>
              <w:rPr>
                <w:color w:val="auto"/>
                <w:sz w:val="22"/>
                <w:highlight w:val="none"/>
              </w:rPr>
              <w:t>分；</w:t>
            </w:r>
          </w:p>
          <w:p w14:paraId="1876FE52">
            <w:pPr>
              <w:autoSpaceDE w:val="0"/>
              <w:autoSpaceDN w:val="0"/>
              <w:adjustRightInd w:val="0"/>
              <w:rPr>
                <w:color w:val="auto"/>
                <w:sz w:val="22"/>
                <w:highlight w:val="none"/>
              </w:rPr>
            </w:pPr>
            <w:r>
              <w:rPr>
                <w:color w:val="auto"/>
                <w:sz w:val="22"/>
                <w:highlight w:val="none"/>
              </w:rPr>
              <w:t>方案欠完善合理、</w:t>
            </w:r>
            <w:r>
              <w:rPr>
                <w:rFonts w:hint="eastAsia"/>
                <w:color w:val="auto"/>
                <w:sz w:val="22"/>
                <w:highlight w:val="none"/>
              </w:rPr>
              <w:t>分析</w:t>
            </w:r>
            <w:r>
              <w:rPr>
                <w:color w:val="auto"/>
                <w:sz w:val="22"/>
                <w:highlight w:val="none"/>
              </w:rPr>
              <w:t>完整度、针对性、可操作性一般得</w:t>
            </w:r>
            <w:r>
              <w:rPr>
                <w:rFonts w:hint="eastAsia"/>
                <w:color w:val="auto"/>
                <w:sz w:val="22"/>
                <w:highlight w:val="none"/>
              </w:rPr>
              <w:t>3</w:t>
            </w:r>
            <w:r>
              <w:rPr>
                <w:color w:val="auto"/>
                <w:sz w:val="22"/>
                <w:highlight w:val="none"/>
              </w:rPr>
              <w:t>分；</w:t>
            </w:r>
          </w:p>
          <w:p w14:paraId="0A81F661">
            <w:pPr>
              <w:autoSpaceDE w:val="0"/>
              <w:autoSpaceDN w:val="0"/>
              <w:adjustRightInd w:val="0"/>
              <w:rPr>
                <w:color w:val="auto"/>
                <w:sz w:val="22"/>
                <w:highlight w:val="none"/>
              </w:rPr>
            </w:pPr>
            <w:r>
              <w:rPr>
                <w:color w:val="auto"/>
                <w:sz w:val="22"/>
                <w:highlight w:val="none"/>
              </w:rPr>
              <w:t>方案不够完善合理、针对性不足、可操作性弱得</w:t>
            </w:r>
            <w:r>
              <w:rPr>
                <w:rFonts w:hint="eastAsia"/>
                <w:color w:val="auto"/>
                <w:sz w:val="22"/>
                <w:highlight w:val="none"/>
              </w:rPr>
              <w:t>2</w:t>
            </w:r>
            <w:r>
              <w:rPr>
                <w:color w:val="auto"/>
                <w:sz w:val="22"/>
                <w:highlight w:val="none"/>
              </w:rPr>
              <w:t>分</w:t>
            </w:r>
            <w:r>
              <w:rPr>
                <w:rFonts w:hint="eastAsia"/>
                <w:color w:val="auto"/>
                <w:sz w:val="22"/>
                <w:highlight w:val="none"/>
              </w:rPr>
              <w:t>；</w:t>
            </w:r>
          </w:p>
          <w:p w14:paraId="78107070">
            <w:pPr>
              <w:rPr>
                <w:b/>
                <w:bCs/>
                <w:color w:val="auto"/>
                <w:sz w:val="22"/>
                <w:highlight w:val="none"/>
              </w:rPr>
            </w:pPr>
            <w:r>
              <w:rPr>
                <w:color w:val="auto"/>
                <w:sz w:val="22"/>
                <w:highlight w:val="none"/>
              </w:rPr>
              <w:t>本项内容未提供或严重欠缺不得分</w:t>
            </w:r>
            <w:r>
              <w:rPr>
                <w:rFonts w:hint="eastAsia"/>
                <w:color w:val="auto"/>
                <w:sz w:val="22"/>
                <w:highlight w:val="none"/>
              </w:rPr>
              <w:t>。</w:t>
            </w:r>
          </w:p>
        </w:tc>
      </w:tr>
      <w:tr w14:paraId="1A8D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5" w:hRule="atLeast"/>
          <w:jc w:val="center"/>
        </w:trPr>
        <w:tc>
          <w:tcPr>
            <w:tcW w:w="902" w:type="dxa"/>
            <w:vMerge w:val="continue"/>
            <w:vAlign w:val="center"/>
          </w:tcPr>
          <w:p w14:paraId="46778562">
            <w:pPr>
              <w:jc w:val="center"/>
              <w:rPr>
                <w:rFonts w:asciiTheme="majorEastAsia" w:hAnsiTheme="majorEastAsia" w:eastAsiaTheme="majorEastAsia" w:cstheme="majorEastAsia"/>
                <w:color w:val="auto"/>
                <w:sz w:val="22"/>
                <w:highlight w:val="none"/>
              </w:rPr>
            </w:pPr>
          </w:p>
        </w:tc>
        <w:tc>
          <w:tcPr>
            <w:tcW w:w="1234" w:type="dxa"/>
            <w:tcBorders>
              <w:top w:val="single" w:color="auto" w:sz="4" w:space="0"/>
              <w:bottom w:val="single" w:color="auto" w:sz="4" w:space="0"/>
            </w:tcBorders>
            <w:vAlign w:val="center"/>
          </w:tcPr>
          <w:p w14:paraId="046E285B">
            <w:pPr>
              <w:jc w:val="center"/>
              <w:rPr>
                <w:rFonts w:asciiTheme="majorEastAsia" w:hAnsiTheme="majorEastAsia" w:eastAsiaTheme="majorEastAsia" w:cstheme="majorEastAsia"/>
                <w:color w:val="auto"/>
                <w:sz w:val="22"/>
                <w:highlight w:val="none"/>
              </w:rPr>
            </w:pPr>
            <w:r>
              <w:rPr>
                <w:rFonts w:hint="eastAsia" w:asciiTheme="majorEastAsia" w:hAnsiTheme="majorEastAsia" w:eastAsiaTheme="majorEastAsia" w:cstheme="majorEastAsia"/>
                <w:color w:val="auto"/>
                <w:sz w:val="22"/>
                <w:highlight w:val="none"/>
              </w:rPr>
              <w:t xml:space="preserve">质量关键点分析 </w:t>
            </w:r>
          </w:p>
        </w:tc>
        <w:tc>
          <w:tcPr>
            <w:tcW w:w="981" w:type="dxa"/>
            <w:tcBorders>
              <w:top w:val="single" w:color="auto" w:sz="4" w:space="0"/>
              <w:bottom w:val="single" w:color="auto" w:sz="4" w:space="0"/>
            </w:tcBorders>
            <w:vAlign w:val="center"/>
          </w:tcPr>
          <w:p w14:paraId="6EB838CC">
            <w:pPr>
              <w:jc w:val="center"/>
              <w:rPr>
                <w:rFonts w:asciiTheme="majorEastAsia" w:hAnsiTheme="majorEastAsia" w:eastAsiaTheme="majorEastAsia" w:cstheme="majorEastAsia"/>
                <w:color w:val="auto"/>
                <w:sz w:val="22"/>
                <w:highlight w:val="none"/>
              </w:rPr>
            </w:pPr>
            <w:r>
              <w:rPr>
                <w:rFonts w:hint="eastAsia" w:asciiTheme="majorEastAsia" w:hAnsiTheme="majorEastAsia" w:eastAsiaTheme="majorEastAsia" w:cstheme="majorEastAsia"/>
                <w:color w:val="auto"/>
                <w:sz w:val="22"/>
                <w:highlight w:val="none"/>
              </w:rPr>
              <w:t>1</w:t>
            </w:r>
            <w:r>
              <w:rPr>
                <w:rFonts w:hint="eastAsia" w:asciiTheme="majorEastAsia" w:hAnsiTheme="majorEastAsia" w:eastAsiaTheme="majorEastAsia" w:cstheme="majorEastAsia"/>
                <w:color w:val="auto"/>
                <w:sz w:val="22"/>
                <w:highlight w:val="none"/>
                <w:lang w:val="en-US" w:eastAsia="zh-CN"/>
              </w:rPr>
              <w:t>2</w:t>
            </w:r>
            <w:r>
              <w:rPr>
                <w:rFonts w:hint="eastAsia" w:asciiTheme="majorEastAsia" w:hAnsiTheme="majorEastAsia" w:eastAsiaTheme="majorEastAsia" w:cstheme="majorEastAsia"/>
                <w:color w:val="auto"/>
                <w:sz w:val="22"/>
                <w:highlight w:val="none"/>
              </w:rPr>
              <w:t>分</w:t>
            </w:r>
          </w:p>
        </w:tc>
        <w:tc>
          <w:tcPr>
            <w:tcW w:w="6798" w:type="dxa"/>
            <w:tcBorders>
              <w:top w:val="single" w:color="auto" w:sz="4" w:space="0"/>
              <w:bottom w:val="single" w:color="auto" w:sz="4" w:space="0"/>
            </w:tcBorders>
            <w:vAlign w:val="center"/>
          </w:tcPr>
          <w:p w14:paraId="1F6F88ED">
            <w:pPr>
              <w:autoSpaceDE w:val="0"/>
              <w:autoSpaceDN w:val="0"/>
              <w:adjustRightInd w:val="0"/>
              <w:rPr>
                <w:color w:val="auto"/>
                <w:sz w:val="22"/>
                <w:highlight w:val="none"/>
              </w:rPr>
            </w:pPr>
            <w:r>
              <w:rPr>
                <w:rFonts w:hint="eastAsia" w:asciiTheme="majorEastAsia" w:hAnsiTheme="majorEastAsia" w:eastAsiaTheme="majorEastAsia" w:cstheme="majorEastAsia"/>
                <w:color w:val="auto"/>
                <w:sz w:val="22"/>
                <w:highlight w:val="none"/>
              </w:rPr>
              <w:t>针对本项目提出的合理化建议</w:t>
            </w:r>
            <w:r>
              <w:rPr>
                <w:rFonts w:hint="eastAsia" w:asciiTheme="majorEastAsia" w:hAnsiTheme="majorEastAsia" w:eastAsiaTheme="majorEastAsia" w:cstheme="majorEastAsia"/>
                <w:color w:val="auto"/>
                <w:sz w:val="22"/>
                <w:highlight w:val="none"/>
              </w:rPr>
              <w:br w:type="textWrapping"/>
            </w:r>
            <w:r>
              <w:rPr>
                <w:color w:val="auto"/>
                <w:sz w:val="22"/>
                <w:highlight w:val="none"/>
              </w:rPr>
              <w:t>方案完善合理、针对性强、</w:t>
            </w:r>
            <w:r>
              <w:rPr>
                <w:rFonts w:hint="eastAsia"/>
                <w:color w:val="auto"/>
                <w:sz w:val="22"/>
                <w:highlight w:val="none"/>
              </w:rPr>
              <w:t>分析</w:t>
            </w:r>
            <w:r>
              <w:rPr>
                <w:color w:val="auto"/>
                <w:sz w:val="22"/>
                <w:highlight w:val="none"/>
              </w:rPr>
              <w:t>到位、切实可行得</w:t>
            </w:r>
            <w:r>
              <w:rPr>
                <w:rFonts w:hint="eastAsia"/>
                <w:color w:val="auto"/>
                <w:sz w:val="22"/>
                <w:highlight w:val="none"/>
                <w:lang w:val="en-US" w:eastAsia="zh-CN"/>
              </w:rPr>
              <w:t>12</w:t>
            </w:r>
            <w:r>
              <w:rPr>
                <w:color w:val="auto"/>
                <w:sz w:val="22"/>
                <w:highlight w:val="none"/>
              </w:rPr>
              <w:t>分；</w:t>
            </w:r>
          </w:p>
          <w:p w14:paraId="48D2D690">
            <w:pPr>
              <w:autoSpaceDE w:val="0"/>
              <w:autoSpaceDN w:val="0"/>
              <w:adjustRightInd w:val="0"/>
              <w:rPr>
                <w:color w:val="auto"/>
                <w:sz w:val="22"/>
                <w:highlight w:val="none"/>
              </w:rPr>
            </w:pPr>
            <w:r>
              <w:rPr>
                <w:color w:val="auto"/>
                <w:sz w:val="22"/>
                <w:highlight w:val="none"/>
              </w:rPr>
              <w:t>方案较完善合理、较有针对性、</w:t>
            </w:r>
            <w:r>
              <w:rPr>
                <w:rFonts w:hint="eastAsia"/>
                <w:color w:val="auto"/>
                <w:sz w:val="22"/>
                <w:highlight w:val="none"/>
              </w:rPr>
              <w:t>分析</w:t>
            </w:r>
            <w:r>
              <w:rPr>
                <w:color w:val="auto"/>
                <w:sz w:val="22"/>
                <w:highlight w:val="none"/>
              </w:rPr>
              <w:t>基本到位、有一定可操作性得</w:t>
            </w:r>
            <w:r>
              <w:rPr>
                <w:rFonts w:hint="eastAsia"/>
                <w:color w:val="auto"/>
                <w:sz w:val="22"/>
                <w:highlight w:val="none"/>
                <w:lang w:val="en-US" w:eastAsia="zh-CN"/>
              </w:rPr>
              <w:t>10</w:t>
            </w:r>
            <w:r>
              <w:rPr>
                <w:color w:val="auto"/>
                <w:sz w:val="22"/>
                <w:highlight w:val="none"/>
              </w:rPr>
              <w:t>分；</w:t>
            </w:r>
          </w:p>
          <w:p w14:paraId="13EA9F0B">
            <w:pPr>
              <w:autoSpaceDE w:val="0"/>
              <w:autoSpaceDN w:val="0"/>
              <w:adjustRightInd w:val="0"/>
              <w:rPr>
                <w:color w:val="auto"/>
                <w:sz w:val="22"/>
                <w:highlight w:val="none"/>
              </w:rPr>
            </w:pPr>
            <w:r>
              <w:rPr>
                <w:color w:val="auto"/>
                <w:sz w:val="22"/>
                <w:highlight w:val="none"/>
              </w:rPr>
              <w:t>方案欠完善合理、</w:t>
            </w:r>
            <w:r>
              <w:rPr>
                <w:rFonts w:hint="eastAsia"/>
                <w:color w:val="auto"/>
                <w:sz w:val="22"/>
                <w:highlight w:val="none"/>
              </w:rPr>
              <w:t>分析</w:t>
            </w:r>
            <w:r>
              <w:rPr>
                <w:color w:val="auto"/>
                <w:sz w:val="22"/>
                <w:highlight w:val="none"/>
              </w:rPr>
              <w:t>完整度、针对性、可操作性一般得</w:t>
            </w:r>
            <w:r>
              <w:rPr>
                <w:rFonts w:hint="eastAsia"/>
                <w:color w:val="auto"/>
                <w:sz w:val="22"/>
                <w:highlight w:val="none"/>
                <w:lang w:val="en-US" w:eastAsia="zh-CN"/>
              </w:rPr>
              <w:t>8</w:t>
            </w:r>
            <w:r>
              <w:rPr>
                <w:color w:val="auto"/>
                <w:sz w:val="22"/>
                <w:highlight w:val="none"/>
              </w:rPr>
              <w:t>分；</w:t>
            </w:r>
          </w:p>
          <w:p w14:paraId="16984DF0">
            <w:pPr>
              <w:autoSpaceDE w:val="0"/>
              <w:autoSpaceDN w:val="0"/>
              <w:adjustRightInd w:val="0"/>
              <w:rPr>
                <w:color w:val="auto"/>
                <w:sz w:val="22"/>
                <w:highlight w:val="none"/>
              </w:rPr>
            </w:pPr>
            <w:r>
              <w:rPr>
                <w:color w:val="auto"/>
                <w:sz w:val="22"/>
                <w:highlight w:val="none"/>
              </w:rPr>
              <w:t>方案不够完善合理、针对性不足、</w:t>
            </w:r>
            <w:r>
              <w:rPr>
                <w:rFonts w:hint="eastAsia"/>
                <w:color w:val="auto"/>
                <w:sz w:val="22"/>
                <w:highlight w:val="none"/>
              </w:rPr>
              <w:t>分析不够到位</w:t>
            </w:r>
            <w:r>
              <w:rPr>
                <w:color w:val="auto"/>
                <w:sz w:val="22"/>
                <w:highlight w:val="none"/>
              </w:rPr>
              <w:t>、可操作性弱得</w:t>
            </w:r>
            <w:r>
              <w:rPr>
                <w:rFonts w:hint="eastAsia"/>
                <w:color w:val="auto"/>
                <w:sz w:val="22"/>
                <w:highlight w:val="none"/>
                <w:lang w:val="en-US" w:eastAsia="zh-CN"/>
              </w:rPr>
              <w:t>6</w:t>
            </w:r>
            <w:r>
              <w:rPr>
                <w:color w:val="auto"/>
                <w:sz w:val="22"/>
                <w:highlight w:val="none"/>
              </w:rPr>
              <w:t>分</w:t>
            </w:r>
            <w:r>
              <w:rPr>
                <w:rFonts w:hint="eastAsia"/>
                <w:color w:val="auto"/>
                <w:sz w:val="22"/>
                <w:highlight w:val="none"/>
              </w:rPr>
              <w:t>；</w:t>
            </w:r>
          </w:p>
          <w:p w14:paraId="19738366">
            <w:pPr>
              <w:rPr>
                <w:rFonts w:asciiTheme="majorEastAsia" w:hAnsiTheme="majorEastAsia" w:eastAsiaTheme="majorEastAsia" w:cstheme="majorEastAsia"/>
                <w:color w:val="auto"/>
                <w:sz w:val="22"/>
                <w:highlight w:val="none"/>
              </w:rPr>
            </w:pPr>
            <w:r>
              <w:rPr>
                <w:color w:val="auto"/>
                <w:sz w:val="22"/>
                <w:highlight w:val="none"/>
              </w:rPr>
              <w:t>本项内容未提供或严重欠缺不得分</w:t>
            </w:r>
            <w:r>
              <w:rPr>
                <w:rFonts w:hint="eastAsia"/>
                <w:color w:val="auto"/>
                <w:sz w:val="22"/>
                <w:highlight w:val="none"/>
              </w:rPr>
              <w:t>。</w:t>
            </w:r>
          </w:p>
        </w:tc>
      </w:tr>
      <w:tr w14:paraId="44A30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5" w:hRule="atLeast"/>
          <w:jc w:val="center"/>
        </w:trPr>
        <w:tc>
          <w:tcPr>
            <w:tcW w:w="902" w:type="dxa"/>
            <w:vMerge w:val="continue"/>
            <w:vAlign w:val="center"/>
          </w:tcPr>
          <w:p w14:paraId="659F9B47">
            <w:pPr>
              <w:jc w:val="center"/>
              <w:rPr>
                <w:rFonts w:asciiTheme="majorEastAsia" w:hAnsiTheme="majorEastAsia" w:eastAsiaTheme="majorEastAsia" w:cstheme="majorEastAsia"/>
                <w:color w:val="auto"/>
                <w:sz w:val="22"/>
                <w:highlight w:val="none"/>
              </w:rPr>
            </w:pPr>
          </w:p>
        </w:tc>
        <w:tc>
          <w:tcPr>
            <w:tcW w:w="1234" w:type="dxa"/>
            <w:tcBorders>
              <w:top w:val="single" w:color="auto" w:sz="4" w:space="0"/>
              <w:bottom w:val="single" w:color="auto" w:sz="4" w:space="0"/>
            </w:tcBorders>
            <w:vAlign w:val="center"/>
          </w:tcPr>
          <w:p w14:paraId="38B6C61F">
            <w:pPr>
              <w:jc w:val="center"/>
              <w:rPr>
                <w:rFonts w:asciiTheme="majorEastAsia" w:hAnsiTheme="majorEastAsia" w:eastAsiaTheme="majorEastAsia" w:cstheme="majorEastAsia"/>
                <w:color w:val="auto"/>
                <w:sz w:val="22"/>
                <w:highlight w:val="none"/>
              </w:rPr>
            </w:pPr>
            <w:r>
              <w:rPr>
                <w:rFonts w:hint="eastAsia" w:asciiTheme="majorEastAsia" w:hAnsiTheme="majorEastAsia" w:eastAsiaTheme="majorEastAsia" w:cstheme="majorEastAsia"/>
                <w:color w:val="auto"/>
                <w:sz w:val="22"/>
                <w:highlight w:val="none"/>
              </w:rPr>
              <w:t>质量保证措施</w:t>
            </w:r>
          </w:p>
        </w:tc>
        <w:tc>
          <w:tcPr>
            <w:tcW w:w="981" w:type="dxa"/>
            <w:tcBorders>
              <w:top w:val="single" w:color="auto" w:sz="4" w:space="0"/>
              <w:bottom w:val="single" w:color="auto" w:sz="4" w:space="0"/>
            </w:tcBorders>
            <w:vAlign w:val="center"/>
          </w:tcPr>
          <w:p w14:paraId="5065199A">
            <w:pPr>
              <w:jc w:val="center"/>
              <w:rPr>
                <w:rFonts w:asciiTheme="majorEastAsia" w:hAnsiTheme="majorEastAsia" w:eastAsiaTheme="majorEastAsia" w:cstheme="majorEastAsia"/>
                <w:color w:val="auto"/>
                <w:sz w:val="22"/>
                <w:highlight w:val="none"/>
              </w:rPr>
            </w:pPr>
            <w:r>
              <w:rPr>
                <w:rFonts w:hint="eastAsia" w:asciiTheme="majorEastAsia" w:hAnsiTheme="majorEastAsia" w:eastAsiaTheme="majorEastAsia" w:cstheme="majorEastAsia"/>
                <w:color w:val="auto"/>
                <w:sz w:val="22"/>
                <w:highlight w:val="none"/>
              </w:rPr>
              <w:t>12分</w:t>
            </w:r>
          </w:p>
        </w:tc>
        <w:tc>
          <w:tcPr>
            <w:tcW w:w="6798" w:type="dxa"/>
            <w:tcBorders>
              <w:top w:val="single" w:color="auto" w:sz="4" w:space="0"/>
              <w:bottom w:val="single" w:color="auto" w:sz="4" w:space="0"/>
            </w:tcBorders>
            <w:vAlign w:val="center"/>
          </w:tcPr>
          <w:p w14:paraId="2A15FF8F">
            <w:pPr>
              <w:rPr>
                <w:rFonts w:asciiTheme="majorEastAsia" w:hAnsiTheme="majorEastAsia" w:eastAsiaTheme="majorEastAsia" w:cstheme="majorEastAsia"/>
                <w:color w:val="auto"/>
                <w:sz w:val="22"/>
                <w:highlight w:val="none"/>
              </w:rPr>
            </w:pPr>
            <w:r>
              <w:rPr>
                <w:rFonts w:hint="eastAsia" w:asciiTheme="majorEastAsia" w:hAnsiTheme="majorEastAsia" w:eastAsiaTheme="majorEastAsia" w:cstheme="majorEastAsia"/>
                <w:color w:val="auto"/>
                <w:sz w:val="22"/>
                <w:highlight w:val="none"/>
              </w:rPr>
              <w:t>质量目标满足招标方要求，有详尽可行的具体落实措施，适用规范、标准、质量检验办法及验收标准由评委进行打分，措施合理、适用标准正确、质量目标满足招标方要求。</w:t>
            </w:r>
          </w:p>
          <w:p w14:paraId="62A91CA3">
            <w:pPr>
              <w:autoSpaceDE w:val="0"/>
              <w:autoSpaceDN w:val="0"/>
              <w:adjustRightInd w:val="0"/>
              <w:rPr>
                <w:color w:val="auto"/>
                <w:sz w:val="22"/>
                <w:highlight w:val="none"/>
              </w:rPr>
            </w:pPr>
            <w:r>
              <w:rPr>
                <w:color w:val="auto"/>
                <w:sz w:val="22"/>
                <w:highlight w:val="none"/>
              </w:rPr>
              <w:t>方案完善合理、针对性强、</w:t>
            </w:r>
            <w:r>
              <w:rPr>
                <w:rFonts w:hint="eastAsia"/>
                <w:color w:val="auto"/>
                <w:sz w:val="22"/>
                <w:highlight w:val="none"/>
              </w:rPr>
              <w:t>分析</w:t>
            </w:r>
            <w:r>
              <w:rPr>
                <w:color w:val="auto"/>
                <w:sz w:val="22"/>
                <w:highlight w:val="none"/>
              </w:rPr>
              <w:t>到位、切实可行得</w:t>
            </w:r>
            <w:r>
              <w:rPr>
                <w:rFonts w:hint="eastAsia"/>
                <w:color w:val="auto"/>
                <w:sz w:val="22"/>
                <w:highlight w:val="none"/>
              </w:rPr>
              <w:t>12</w:t>
            </w:r>
            <w:r>
              <w:rPr>
                <w:color w:val="auto"/>
                <w:sz w:val="22"/>
                <w:highlight w:val="none"/>
              </w:rPr>
              <w:t>分；</w:t>
            </w:r>
          </w:p>
          <w:p w14:paraId="454DA4EF">
            <w:pPr>
              <w:autoSpaceDE w:val="0"/>
              <w:autoSpaceDN w:val="0"/>
              <w:adjustRightInd w:val="0"/>
              <w:rPr>
                <w:color w:val="auto"/>
                <w:sz w:val="22"/>
                <w:highlight w:val="none"/>
              </w:rPr>
            </w:pPr>
            <w:r>
              <w:rPr>
                <w:color w:val="auto"/>
                <w:sz w:val="22"/>
                <w:highlight w:val="none"/>
              </w:rPr>
              <w:t>方案较完善合理、较有针对性、</w:t>
            </w:r>
            <w:r>
              <w:rPr>
                <w:rFonts w:hint="eastAsia"/>
                <w:color w:val="auto"/>
                <w:sz w:val="22"/>
                <w:highlight w:val="none"/>
              </w:rPr>
              <w:t>分析</w:t>
            </w:r>
            <w:r>
              <w:rPr>
                <w:color w:val="auto"/>
                <w:sz w:val="22"/>
                <w:highlight w:val="none"/>
              </w:rPr>
              <w:t>基本到位、有一定可操作性得</w:t>
            </w:r>
            <w:r>
              <w:rPr>
                <w:rFonts w:hint="eastAsia"/>
                <w:color w:val="auto"/>
                <w:sz w:val="22"/>
                <w:highlight w:val="none"/>
              </w:rPr>
              <w:t>10</w:t>
            </w:r>
            <w:r>
              <w:rPr>
                <w:color w:val="auto"/>
                <w:sz w:val="22"/>
                <w:highlight w:val="none"/>
              </w:rPr>
              <w:t>分；</w:t>
            </w:r>
          </w:p>
          <w:p w14:paraId="00FEA0F1">
            <w:pPr>
              <w:autoSpaceDE w:val="0"/>
              <w:autoSpaceDN w:val="0"/>
              <w:adjustRightInd w:val="0"/>
              <w:rPr>
                <w:color w:val="auto"/>
                <w:sz w:val="22"/>
                <w:highlight w:val="none"/>
              </w:rPr>
            </w:pPr>
            <w:r>
              <w:rPr>
                <w:color w:val="auto"/>
                <w:sz w:val="22"/>
                <w:highlight w:val="none"/>
              </w:rPr>
              <w:t>方案欠完善合理、</w:t>
            </w:r>
            <w:r>
              <w:rPr>
                <w:rFonts w:hint="eastAsia"/>
                <w:color w:val="auto"/>
                <w:sz w:val="22"/>
                <w:highlight w:val="none"/>
              </w:rPr>
              <w:t>分析</w:t>
            </w:r>
            <w:r>
              <w:rPr>
                <w:color w:val="auto"/>
                <w:sz w:val="22"/>
                <w:highlight w:val="none"/>
              </w:rPr>
              <w:t>完整度、针对性、可操作性一般得</w:t>
            </w:r>
            <w:r>
              <w:rPr>
                <w:rFonts w:hint="eastAsia"/>
                <w:color w:val="auto"/>
                <w:sz w:val="22"/>
                <w:highlight w:val="none"/>
              </w:rPr>
              <w:t>8</w:t>
            </w:r>
            <w:r>
              <w:rPr>
                <w:color w:val="auto"/>
                <w:sz w:val="22"/>
                <w:highlight w:val="none"/>
              </w:rPr>
              <w:t>分；</w:t>
            </w:r>
          </w:p>
          <w:p w14:paraId="64AE3BF1">
            <w:pPr>
              <w:autoSpaceDE w:val="0"/>
              <w:autoSpaceDN w:val="0"/>
              <w:adjustRightInd w:val="0"/>
              <w:rPr>
                <w:color w:val="auto"/>
                <w:sz w:val="22"/>
                <w:highlight w:val="none"/>
              </w:rPr>
            </w:pPr>
            <w:r>
              <w:rPr>
                <w:color w:val="auto"/>
                <w:sz w:val="22"/>
                <w:highlight w:val="none"/>
              </w:rPr>
              <w:t>方案不够完善合理、针对性不足、</w:t>
            </w:r>
            <w:r>
              <w:rPr>
                <w:rFonts w:hint="eastAsia"/>
                <w:color w:val="auto"/>
                <w:sz w:val="22"/>
                <w:highlight w:val="none"/>
              </w:rPr>
              <w:t>分析不够到位</w:t>
            </w:r>
            <w:r>
              <w:rPr>
                <w:color w:val="auto"/>
                <w:sz w:val="22"/>
                <w:highlight w:val="none"/>
              </w:rPr>
              <w:t>、可操作性弱得</w:t>
            </w:r>
            <w:r>
              <w:rPr>
                <w:rFonts w:hint="eastAsia"/>
                <w:color w:val="auto"/>
                <w:sz w:val="22"/>
                <w:highlight w:val="none"/>
              </w:rPr>
              <w:t>6</w:t>
            </w:r>
            <w:r>
              <w:rPr>
                <w:color w:val="auto"/>
                <w:sz w:val="22"/>
                <w:highlight w:val="none"/>
              </w:rPr>
              <w:t>分</w:t>
            </w:r>
            <w:r>
              <w:rPr>
                <w:rFonts w:hint="eastAsia"/>
                <w:color w:val="auto"/>
                <w:sz w:val="22"/>
                <w:highlight w:val="none"/>
              </w:rPr>
              <w:t>；</w:t>
            </w:r>
          </w:p>
          <w:p w14:paraId="13D6DD99">
            <w:pPr>
              <w:rPr>
                <w:rFonts w:asciiTheme="majorEastAsia" w:hAnsiTheme="majorEastAsia" w:eastAsiaTheme="majorEastAsia" w:cstheme="majorEastAsia"/>
                <w:color w:val="auto"/>
                <w:sz w:val="22"/>
                <w:highlight w:val="none"/>
              </w:rPr>
            </w:pPr>
            <w:r>
              <w:rPr>
                <w:color w:val="auto"/>
                <w:sz w:val="22"/>
                <w:highlight w:val="none"/>
              </w:rPr>
              <w:t>本项内容未提供或严重欠缺不得分</w:t>
            </w:r>
            <w:r>
              <w:rPr>
                <w:rFonts w:hint="eastAsia"/>
                <w:color w:val="auto"/>
                <w:sz w:val="22"/>
                <w:highlight w:val="none"/>
              </w:rPr>
              <w:t>。</w:t>
            </w:r>
          </w:p>
        </w:tc>
      </w:tr>
      <w:tr w14:paraId="385E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jc w:val="center"/>
        </w:trPr>
        <w:tc>
          <w:tcPr>
            <w:tcW w:w="902" w:type="dxa"/>
            <w:vMerge w:val="continue"/>
            <w:vAlign w:val="center"/>
          </w:tcPr>
          <w:p w14:paraId="41E6EBC2">
            <w:pPr>
              <w:jc w:val="center"/>
              <w:rPr>
                <w:rFonts w:asciiTheme="majorEastAsia" w:hAnsiTheme="majorEastAsia" w:eastAsiaTheme="majorEastAsia" w:cstheme="majorEastAsia"/>
                <w:color w:val="auto"/>
                <w:sz w:val="22"/>
                <w:highlight w:val="none"/>
              </w:rPr>
            </w:pPr>
          </w:p>
        </w:tc>
        <w:tc>
          <w:tcPr>
            <w:tcW w:w="1234" w:type="dxa"/>
            <w:tcBorders>
              <w:top w:val="single" w:color="auto" w:sz="4" w:space="0"/>
              <w:bottom w:val="single" w:color="auto" w:sz="4" w:space="0"/>
            </w:tcBorders>
            <w:vAlign w:val="center"/>
          </w:tcPr>
          <w:p w14:paraId="2D9CE2AC">
            <w:pPr>
              <w:jc w:val="center"/>
              <w:rPr>
                <w:rFonts w:asciiTheme="majorEastAsia" w:hAnsiTheme="majorEastAsia" w:eastAsiaTheme="majorEastAsia" w:cstheme="majorEastAsia"/>
                <w:color w:val="auto"/>
                <w:sz w:val="22"/>
                <w:highlight w:val="none"/>
              </w:rPr>
            </w:pPr>
            <w:r>
              <w:rPr>
                <w:rFonts w:hint="eastAsia" w:asciiTheme="majorEastAsia" w:hAnsiTheme="majorEastAsia" w:eastAsiaTheme="majorEastAsia" w:cstheme="majorEastAsia"/>
                <w:color w:val="auto"/>
                <w:sz w:val="22"/>
                <w:highlight w:val="none"/>
              </w:rPr>
              <w:t>服务承诺</w:t>
            </w:r>
          </w:p>
        </w:tc>
        <w:tc>
          <w:tcPr>
            <w:tcW w:w="981" w:type="dxa"/>
            <w:tcBorders>
              <w:top w:val="single" w:color="auto" w:sz="4" w:space="0"/>
              <w:bottom w:val="single" w:color="auto" w:sz="4" w:space="0"/>
            </w:tcBorders>
            <w:vAlign w:val="center"/>
          </w:tcPr>
          <w:p w14:paraId="09B1A5DD">
            <w:pPr>
              <w:jc w:val="center"/>
              <w:rPr>
                <w:rFonts w:asciiTheme="majorEastAsia" w:hAnsiTheme="majorEastAsia" w:eastAsiaTheme="majorEastAsia" w:cstheme="majorEastAsia"/>
                <w:color w:val="auto"/>
                <w:sz w:val="22"/>
                <w:highlight w:val="none"/>
              </w:rPr>
            </w:pPr>
            <w:r>
              <w:rPr>
                <w:rFonts w:hint="eastAsia" w:asciiTheme="majorEastAsia" w:hAnsiTheme="majorEastAsia" w:eastAsiaTheme="majorEastAsia" w:cstheme="majorEastAsia"/>
                <w:color w:val="auto"/>
                <w:sz w:val="22"/>
                <w:highlight w:val="none"/>
              </w:rPr>
              <w:t>6分</w:t>
            </w:r>
          </w:p>
        </w:tc>
        <w:tc>
          <w:tcPr>
            <w:tcW w:w="6798" w:type="dxa"/>
            <w:tcBorders>
              <w:top w:val="single" w:color="auto" w:sz="4" w:space="0"/>
              <w:bottom w:val="single" w:color="auto" w:sz="4" w:space="0"/>
            </w:tcBorders>
            <w:vAlign w:val="center"/>
          </w:tcPr>
          <w:p w14:paraId="35E96014">
            <w:pPr>
              <w:autoSpaceDE w:val="0"/>
              <w:autoSpaceDN w:val="0"/>
              <w:adjustRightInd w:val="0"/>
              <w:rPr>
                <w:color w:val="auto"/>
                <w:sz w:val="22"/>
                <w:highlight w:val="none"/>
              </w:rPr>
            </w:pPr>
            <w:r>
              <w:rPr>
                <w:rFonts w:hint="eastAsia" w:asciiTheme="majorEastAsia" w:hAnsiTheme="majorEastAsia" w:eastAsiaTheme="majorEastAsia" w:cstheme="majorEastAsia"/>
                <w:color w:val="auto"/>
                <w:sz w:val="22"/>
                <w:highlight w:val="none"/>
              </w:rPr>
              <w:t>投标供应商针对本项目服务承诺；</w:t>
            </w:r>
            <w:r>
              <w:rPr>
                <w:rFonts w:hint="eastAsia" w:asciiTheme="majorEastAsia" w:hAnsiTheme="majorEastAsia" w:eastAsiaTheme="majorEastAsia" w:cstheme="majorEastAsia"/>
                <w:color w:val="auto"/>
                <w:sz w:val="22"/>
                <w:highlight w:val="none"/>
              </w:rPr>
              <w:br w:type="textWrapping"/>
            </w:r>
            <w:r>
              <w:rPr>
                <w:color w:val="auto"/>
                <w:sz w:val="22"/>
                <w:highlight w:val="none"/>
              </w:rPr>
              <w:t>方案完善合理、针对性强、切实可行得</w:t>
            </w:r>
            <w:r>
              <w:rPr>
                <w:rFonts w:hint="eastAsia"/>
                <w:color w:val="auto"/>
                <w:sz w:val="22"/>
                <w:highlight w:val="none"/>
              </w:rPr>
              <w:t>6</w:t>
            </w:r>
            <w:r>
              <w:rPr>
                <w:color w:val="auto"/>
                <w:sz w:val="22"/>
                <w:highlight w:val="none"/>
              </w:rPr>
              <w:t>分；</w:t>
            </w:r>
          </w:p>
          <w:p w14:paraId="20B14E3C">
            <w:pPr>
              <w:autoSpaceDE w:val="0"/>
              <w:autoSpaceDN w:val="0"/>
              <w:adjustRightInd w:val="0"/>
              <w:rPr>
                <w:color w:val="auto"/>
                <w:sz w:val="22"/>
                <w:highlight w:val="none"/>
              </w:rPr>
            </w:pPr>
            <w:r>
              <w:rPr>
                <w:color w:val="auto"/>
                <w:sz w:val="22"/>
                <w:highlight w:val="none"/>
              </w:rPr>
              <w:t>方案较完善合理、较有针对性、有一定可操作性得</w:t>
            </w:r>
            <w:r>
              <w:rPr>
                <w:rFonts w:hint="eastAsia"/>
                <w:color w:val="auto"/>
                <w:sz w:val="22"/>
                <w:highlight w:val="none"/>
              </w:rPr>
              <w:t>5</w:t>
            </w:r>
            <w:r>
              <w:rPr>
                <w:color w:val="auto"/>
                <w:sz w:val="22"/>
                <w:highlight w:val="none"/>
              </w:rPr>
              <w:t>分；</w:t>
            </w:r>
          </w:p>
          <w:p w14:paraId="60FD77AB">
            <w:pPr>
              <w:autoSpaceDE w:val="0"/>
              <w:autoSpaceDN w:val="0"/>
              <w:adjustRightInd w:val="0"/>
              <w:rPr>
                <w:color w:val="auto"/>
                <w:sz w:val="22"/>
                <w:highlight w:val="none"/>
              </w:rPr>
            </w:pPr>
            <w:r>
              <w:rPr>
                <w:color w:val="auto"/>
                <w:sz w:val="22"/>
                <w:highlight w:val="none"/>
              </w:rPr>
              <w:t>方案欠完善合理、针对性、可操作性一般得</w:t>
            </w:r>
            <w:r>
              <w:rPr>
                <w:rFonts w:hint="eastAsia"/>
                <w:color w:val="auto"/>
                <w:sz w:val="22"/>
                <w:highlight w:val="none"/>
              </w:rPr>
              <w:t>4</w:t>
            </w:r>
            <w:r>
              <w:rPr>
                <w:color w:val="auto"/>
                <w:sz w:val="22"/>
                <w:highlight w:val="none"/>
              </w:rPr>
              <w:t>分；</w:t>
            </w:r>
          </w:p>
          <w:p w14:paraId="736B485F">
            <w:pPr>
              <w:autoSpaceDE w:val="0"/>
              <w:autoSpaceDN w:val="0"/>
              <w:adjustRightInd w:val="0"/>
              <w:rPr>
                <w:color w:val="auto"/>
                <w:sz w:val="22"/>
                <w:highlight w:val="none"/>
              </w:rPr>
            </w:pPr>
            <w:r>
              <w:rPr>
                <w:color w:val="auto"/>
                <w:sz w:val="22"/>
                <w:highlight w:val="none"/>
              </w:rPr>
              <w:t>方案不够完善合理、针对性不足、可操作性弱得</w:t>
            </w:r>
            <w:r>
              <w:rPr>
                <w:rFonts w:hint="eastAsia"/>
                <w:color w:val="auto"/>
                <w:sz w:val="22"/>
                <w:highlight w:val="none"/>
              </w:rPr>
              <w:t>3</w:t>
            </w:r>
            <w:r>
              <w:rPr>
                <w:color w:val="auto"/>
                <w:sz w:val="22"/>
                <w:highlight w:val="none"/>
              </w:rPr>
              <w:t>分</w:t>
            </w:r>
            <w:r>
              <w:rPr>
                <w:rFonts w:hint="eastAsia"/>
                <w:color w:val="auto"/>
                <w:sz w:val="22"/>
                <w:highlight w:val="none"/>
              </w:rPr>
              <w:t>；</w:t>
            </w:r>
          </w:p>
          <w:p w14:paraId="780B51D8">
            <w:pPr>
              <w:rPr>
                <w:rFonts w:asciiTheme="majorEastAsia" w:hAnsiTheme="majorEastAsia" w:eastAsiaTheme="majorEastAsia" w:cstheme="majorEastAsia"/>
                <w:color w:val="auto"/>
                <w:sz w:val="22"/>
                <w:highlight w:val="none"/>
              </w:rPr>
            </w:pPr>
            <w:r>
              <w:rPr>
                <w:color w:val="auto"/>
                <w:sz w:val="22"/>
                <w:highlight w:val="none"/>
              </w:rPr>
              <w:t>本项内容未提供或严重欠缺不得分</w:t>
            </w:r>
            <w:r>
              <w:rPr>
                <w:rFonts w:hint="eastAsia"/>
                <w:color w:val="auto"/>
                <w:sz w:val="22"/>
                <w:highlight w:val="none"/>
              </w:rPr>
              <w:t>。</w:t>
            </w:r>
          </w:p>
        </w:tc>
      </w:tr>
      <w:tr w14:paraId="139E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5" w:hRule="atLeast"/>
          <w:jc w:val="center"/>
        </w:trPr>
        <w:tc>
          <w:tcPr>
            <w:tcW w:w="902" w:type="dxa"/>
            <w:vMerge w:val="continue"/>
            <w:vAlign w:val="center"/>
          </w:tcPr>
          <w:p w14:paraId="35A69A1D">
            <w:pPr>
              <w:jc w:val="center"/>
              <w:rPr>
                <w:rFonts w:asciiTheme="majorEastAsia" w:hAnsiTheme="majorEastAsia" w:eastAsiaTheme="majorEastAsia" w:cstheme="majorEastAsia"/>
                <w:color w:val="auto"/>
                <w:sz w:val="22"/>
                <w:highlight w:val="none"/>
              </w:rPr>
            </w:pPr>
          </w:p>
        </w:tc>
        <w:tc>
          <w:tcPr>
            <w:tcW w:w="1234" w:type="dxa"/>
            <w:tcBorders>
              <w:top w:val="single" w:color="auto" w:sz="4" w:space="0"/>
            </w:tcBorders>
            <w:vAlign w:val="center"/>
          </w:tcPr>
          <w:p w14:paraId="7F4DB220">
            <w:pPr>
              <w:jc w:val="center"/>
              <w:rPr>
                <w:rFonts w:asciiTheme="majorEastAsia" w:hAnsiTheme="majorEastAsia" w:eastAsiaTheme="majorEastAsia" w:cstheme="majorEastAsia"/>
                <w:color w:val="auto"/>
                <w:sz w:val="22"/>
                <w:highlight w:val="none"/>
              </w:rPr>
            </w:pPr>
            <w:r>
              <w:rPr>
                <w:rFonts w:hint="eastAsia" w:asciiTheme="majorEastAsia" w:hAnsiTheme="majorEastAsia" w:eastAsiaTheme="majorEastAsia" w:cstheme="majorEastAsia"/>
                <w:color w:val="auto"/>
                <w:sz w:val="22"/>
                <w:highlight w:val="none"/>
              </w:rPr>
              <w:t>项目参与人员构成</w:t>
            </w:r>
          </w:p>
          <w:p w14:paraId="0CDA26C4">
            <w:pPr>
              <w:jc w:val="center"/>
              <w:rPr>
                <w:rFonts w:asciiTheme="majorEastAsia" w:hAnsiTheme="majorEastAsia" w:eastAsiaTheme="majorEastAsia" w:cstheme="majorEastAsia"/>
                <w:color w:val="auto"/>
                <w:sz w:val="22"/>
                <w:highlight w:val="none"/>
              </w:rPr>
            </w:pPr>
          </w:p>
        </w:tc>
        <w:tc>
          <w:tcPr>
            <w:tcW w:w="981" w:type="dxa"/>
            <w:tcBorders>
              <w:top w:val="single" w:color="auto" w:sz="4" w:space="0"/>
              <w:bottom w:val="single" w:color="auto" w:sz="4" w:space="0"/>
            </w:tcBorders>
            <w:vAlign w:val="center"/>
          </w:tcPr>
          <w:p w14:paraId="54DECBCE">
            <w:pPr>
              <w:jc w:val="center"/>
              <w:rPr>
                <w:rFonts w:asciiTheme="majorEastAsia" w:hAnsiTheme="majorEastAsia" w:eastAsiaTheme="majorEastAsia" w:cstheme="majorEastAsia"/>
                <w:color w:val="auto"/>
                <w:sz w:val="22"/>
                <w:highlight w:val="none"/>
              </w:rPr>
            </w:pPr>
            <w:r>
              <w:rPr>
                <w:rFonts w:hint="eastAsia" w:asciiTheme="majorEastAsia" w:hAnsiTheme="majorEastAsia" w:eastAsiaTheme="majorEastAsia" w:cstheme="majorEastAsia"/>
                <w:color w:val="auto"/>
                <w:sz w:val="22"/>
                <w:highlight w:val="none"/>
                <w:lang w:val="en-US" w:eastAsia="zh-CN"/>
              </w:rPr>
              <w:t>12</w:t>
            </w:r>
            <w:r>
              <w:rPr>
                <w:rFonts w:hint="eastAsia" w:asciiTheme="majorEastAsia" w:hAnsiTheme="majorEastAsia" w:eastAsiaTheme="majorEastAsia" w:cstheme="majorEastAsia"/>
                <w:color w:val="auto"/>
                <w:sz w:val="22"/>
                <w:highlight w:val="none"/>
              </w:rPr>
              <w:t>分</w:t>
            </w:r>
          </w:p>
        </w:tc>
        <w:tc>
          <w:tcPr>
            <w:tcW w:w="6798" w:type="dxa"/>
            <w:tcBorders>
              <w:top w:val="single" w:color="auto" w:sz="4" w:space="0"/>
              <w:bottom w:val="single" w:color="auto" w:sz="4" w:space="0"/>
            </w:tcBorders>
            <w:vAlign w:val="center"/>
          </w:tcPr>
          <w:p w14:paraId="1D9D915B">
            <w:pPr>
              <w:rPr>
                <w:rFonts w:asciiTheme="majorEastAsia" w:hAnsiTheme="majorEastAsia" w:eastAsiaTheme="majorEastAsia" w:cstheme="majorEastAsia"/>
                <w:color w:val="auto"/>
                <w:sz w:val="22"/>
                <w:highlight w:val="none"/>
              </w:rPr>
            </w:pPr>
            <w:r>
              <w:rPr>
                <w:rFonts w:hint="eastAsia" w:asciiTheme="majorEastAsia" w:hAnsiTheme="majorEastAsia" w:eastAsiaTheme="majorEastAsia" w:cstheme="majorEastAsia"/>
                <w:color w:val="auto"/>
                <w:sz w:val="22"/>
                <w:highlight w:val="none"/>
              </w:rPr>
              <w:t>根据项目组人员专业配备情况进行打分：</w:t>
            </w:r>
          </w:p>
          <w:p w14:paraId="1FFAB473">
            <w:pPr>
              <w:rPr>
                <w:rFonts w:asciiTheme="majorEastAsia" w:hAnsiTheme="majorEastAsia" w:eastAsiaTheme="majorEastAsia" w:cstheme="majorEastAsia"/>
                <w:color w:val="auto"/>
                <w:sz w:val="22"/>
                <w:highlight w:val="none"/>
              </w:rPr>
            </w:pPr>
            <w:r>
              <w:rPr>
                <w:rFonts w:hint="eastAsia" w:asciiTheme="majorEastAsia" w:hAnsiTheme="majorEastAsia" w:eastAsiaTheme="majorEastAsia" w:cstheme="majorEastAsia"/>
                <w:color w:val="auto"/>
                <w:sz w:val="22"/>
                <w:highlight w:val="none"/>
              </w:rPr>
              <w:t>1）具有林学、风景园林、森林经理学、植物学、土壤学专业的，每个工种专业人员得</w:t>
            </w:r>
            <w:r>
              <w:rPr>
                <w:rFonts w:hint="eastAsia" w:asciiTheme="majorEastAsia" w:hAnsiTheme="majorEastAsia" w:eastAsiaTheme="majorEastAsia" w:cstheme="majorEastAsia"/>
                <w:color w:val="auto"/>
                <w:sz w:val="22"/>
                <w:highlight w:val="none"/>
                <w:lang w:eastAsia="zh-CN"/>
              </w:rPr>
              <w:t>0</w:t>
            </w:r>
            <w:r>
              <w:rPr>
                <w:rFonts w:hint="eastAsia" w:asciiTheme="majorEastAsia" w:hAnsiTheme="majorEastAsia" w:eastAsiaTheme="majorEastAsia" w:cstheme="majorEastAsia"/>
                <w:color w:val="auto"/>
                <w:sz w:val="22"/>
                <w:highlight w:val="none"/>
                <w:lang w:val="en-US" w:eastAsia="zh-CN"/>
              </w:rPr>
              <w:t>.5</w:t>
            </w:r>
            <w:r>
              <w:rPr>
                <w:rFonts w:hint="eastAsia" w:asciiTheme="majorEastAsia" w:hAnsiTheme="majorEastAsia" w:eastAsiaTheme="majorEastAsia" w:cstheme="majorEastAsia"/>
                <w:color w:val="auto"/>
                <w:sz w:val="22"/>
                <w:highlight w:val="none"/>
              </w:rPr>
              <w:t>分，最高得</w:t>
            </w:r>
            <w:r>
              <w:rPr>
                <w:rFonts w:hint="eastAsia" w:asciiTheme="majorEastAsia" w:hAnsiTheme="majorEastAsia" w:eastAsiaTheme="majorEastAsia" w:cstheme="majorEastAsia"/>
                <w:color w:val="auto"/>
                <w:sz w:val="22"/>
                <w:highlight w:val="none"/>
                <w:lang w:eastAsia="zh-CN"/>
              </w:rPr>
              <w:t>2</w:t>
            </w:r>
            <w:r>
              <w:rPr>
                <w:rFonts w:hint="eastAsia" w:asciiTheme="majorEastAsia" w:hAnsiTheme="majorEastAsia" w:eastAsiaTheme="majorEastAsia" w:cstheme="majorEastAsia"/>
                <w:color w:val="auto"/>
                <w:sz w:val="22"/>
                <w:highlight w:val="none"/>
                <w:lang w:val="en-US" w:eastAsia="zh-CN"/>
              </w:rPr>
              <w:t>.5</w:t>
            </w:r>
            <w:r>
              <w:rPr>
                <w:rFonts w:hint="eastAsia" w:asciiTheme="majorEastAsia" w:hAnsiTheme="majorEastAsia" w:eastAsiaTheme="majorEastAsia" w:cstheme="majorEastAsia"/>
                <w:color w:val="auto"/>
                <w:sz w:val="22"/>
                <w:highlight w:val="none"/>
              </w:rPr>
              <w:t>分。每个人只能计算一个专业（以毕业证书或职称证书专业为准），不得重复计算。</w:t>
            </w:r>
          </w:p>
          <w:p w14:paraId="53121736">
            <w:pPr>
              <w:rPr>
                <w:rFonts w:asciiTheme="majorEastAsia" w:hAnsiTheme="majorEastAsia" w:eastAsiaTheme="majorEastAsia" w:cstheme="majorEastAsia"/>
                <w:color w:val="auto"/>
                <w:sz w:val="22"/>
                <w:highlight w:val="none"/>
              </w:rPr>
            </w:pPr>
            <w:r>
              <w:rPr>
                <w:rFonts w:hint="eastAsia" w:asciiTheme="majorEastAsia" w:hAnsiTheme="majorEastAsia" w:eastAsiaTheme="majorEastAsia" w:cstheme="majorEastAsia"/>
                <w:color w:val="auto"/>
                <w:sz w:val="22"/>
                <w:highlight w:val="none"/>
              </w:rPr>
              <w:t>2)职称为高级及以上的(不包含项目负责人)，具有1个得1分，具有中级职称的具有一个得0.5分，累计最高得</w:t>
            </w:r>
            <w:r>
              <w:rPr>
                <w:rFonts w:hint="eastAsia" w:asciiTheme="majorEastAsia" w:hAnsiTheme="majorEastAsia" w:eastAsiaTheme="majorEastAsia" w:cstheme="majorEastAsia"/>
                <w:color w:val="auto"/>
                <w:sz w:val="22"/>
                <w:highlight w:val="none"/>
                <w:lang w:eastAsia="zh-CN"/>
              </w:rPr>
              <w:t>7</w:t>
            </w:r>
            <w:r>
              <w:rPr>
                <w:rFonts w:hint="eastAsia" w:asciiTheme="majorEastAsia" w:hAnsiTheme="majorEastAsia" w:eastAsiaTheme="majorEastAsia" w:cstheme="majorEastAsia"/>
                <w:color w:val="auto"/>
                <w:sz w:val="22"/>
                <w:highlight w:val="none"/>
                <w:lang w:val="en-US" w:eastAsia="zh-CN"/>
              </w:rPr>
              <w:t>.5</w:t>
            </w:r>
            <w:r>
              <w:rPr>
                <w:rFonts w:hint="eastAsia" w:asciiTheme="majorEastAsia" w:hAnsiTheme="majorEastAsia" w:eastAsiaTheme="majorEastAsia" w:cstheme="majorEastAsia"/>
                <w:color w:val="auto"/>
                <w:sz w:val="22"/>
                <w:highlight w:val="none"/>
              </w:rPr>
              <w:t>分。</w:t>
            </w:r>
          </w:p>
          <w:p w14:paraId="52AA5A77">
            <w:pPr>
              <w:rPr>
                <w:rFonts w:asciiTheme="majorEastAsia" w:hAnsiTheme="majorEastAsia" w:eastAsiaTheme="majorEastAsia" w:cstheme="majorEastAsia"/>
                <w:color w:val="auto"/>
                <w:sz w:val="22"/>
                <w:highlight w:val="none"/>
              </w:rPr>
            </w:pPr>
            <w:r>
              <w:rPr>
                <w:rFonts w:hint="eastAsia" w:asciiTheme="majorEastAsia" w:hAnsiTheme="majorEastAsia" w:eastAsiaTheme="majorEastAsia" w:cstheme="majorEastAsia"/>
                <w:color w:val="auto"/>
                <w:sz w:val="22"/>
                <w:highlight w:val="none"/>
              </w:rPr>
              <w:t>3）项目负责人职称：具有工程师职称得</w:t>
            </w:r>
            <w:r>
              <w:rPr>
                <w:rFonts w:hint="eastAsia" w:asciiTheme="majorEastAsia" w:hAnsiTheme="majorEastAsia" w:eastAsiaTheme="majorEastAsia" w:cstheme="majorEastAsia"/>
                <w:color w:val="auto"/>
                <w:sz w:val="22"/>
                <w:highlight w:val="none"/>
                <w:lang w:eastAsia="zh-CN"/>
              </w:rPr>
              <w:t>1</w:t>
            </w:r>
            <w:r>
              <w:rPr>
                <w:rFonts w:hint="eastAsia" w:asciiTheme="majorEastAsia" w:hAnsiTheme="majorEastAsia" w:eastAsiaTheme="majorEastAsia" w:cstheme="majorEastAsia"/>
                <w:color w:val="auto"/>
                <w:sz w:val="22"/>
                <w:highlight w:val="none"/>
              </w:rPr>
              <w:t>分，具有高级及以上工程师职称的得</w:t>
            </w:r>
            <w:r>
              <w:rPr>
                <w:rFonts w:hint="eastAsia" w:asciiTheme="majorEastAsia" w:hAnsiTheme="majorEastAsia" w:eastAsiaTheme="majorEastAsia" w:cstheme="majorEastAsia"/>
                <w:color w:val="auto"/>
                <w:sz w:val="22"/>
                <w:highlight w:val="none"/>
                <w:lang w:val="en-US" w:eastAsia="zh-CN"/>
              </w:rPr>
              <w:t>2</w:t>
            </w:r>
            <w:r>
              <w:rPr>
                <w:rFonts w:hint="eastAsia" w:asciiTheme="majorEastAsia" w:hAnsiTheme="majorEastAsia" w:eastAsiaTheme="majorEastAsia" w:cstheme="majorEastAsia"/>
                <w:color w:val="auto"/>
                <w:sz w:val="22"/>
                <w:highlight w:val="none"/>
              </w:rPr>
              <w:t>分，没有不得分，按最高分计。</w:t>
            </w:r>
          </w:p>
          <w:p w14:paraId="25A78639">
            <w:pPr>
              <w:rPr>
                <w:rFonts w:asciiTheme="majorEastAsia" w:hAnsiTheme="majorEastAsia" w:eastAsiaTheme="majorEastAsia" w:cstheme="majorEastAsia"/>
                <w:color w:val="auto"/>
                <w:sz w:val="22"/>
                <w:highlight w:val="none"/>
              </w:rPr>
            </w:pPr>
            <w:r>
              <w:rPr>
                <w:rFonts w:hint="eastAsia" w:asciiTheme="majorEastAsia" w:hAnsiTheme="majorEastAsia" w:eastAsiaTheme="majorEastAsia" w:cstheme="majorEastAsia"/>
                <w:b/>
                <w:bCs/>
                <w:color w:val="auto"/>
                <w:sz w:val="22"/>
                <w:highlight w:val="none"/>
              </w:rPr>
              <w:t>【注：以上人员评审时提供职称证书扫描件及社保证明材料并加盖公章，否则不得分】</w:t>
            </w:r>
          </w:p>
        </w:tc>
      </w:tr>
    </w:tbl>
    <w:p w14:paraId="628AD30D">
      <w:pPr>
        <w:tabs>
          <w:tab w:val="left" w:pos="2352"/>
        </w:tabs>
        <w:rPr>
          <w:rFonts w:hAnsi="宋体" w:cs="宋体"/>
          <w:bCs/>
          <w:color w:val="auto"/>
          <w:sz w:val="22"/>
          <w:highlight w:val="none"/>
        </w:rPr>
      </w:pPr>
    </w:p>
    <w:p w14:paraId="2C35BD98">
      <w:pPr>
        <w:pStyle w:val="10"/>
        <w:tabs>
          <w:tab w:val="left" w:pos="1069"/>
          <w:tab w:val="left" w:pos="2352"/>
        </w:tabs>
        <w:adjustRightInd w:val="0"/>
        <w:snapToGrid w:val="0"/>
        <w:spacing w:line="420" w:lineRule="exact"/>
        <w:jc w:val="center"/>
        <w:rPr>
          <w:rFonts w:hAnsi="宋体" w:cs="宋体"/>
          <w:b/>
          <w:bCs/>
          <w:color w:val="auto"/>
          <w:sz w:val="22"/>
          <w:szCs w:val="22"/>
          <w:highlight w:val="none"/>
        </w:rPr>
      </w:pPr>
      <w:bookmarkStart w:id="91" w:name="_Toc18541_WPSOffice_Level2"/>
      <w:r>
        <w:rPr>
          <w:rFonts w:hint="eastAsia" w:hAnsi="宋体" w:cs="宋体"/>
          <w:b/>
          <w:bCs/>
          <w:color w:val="auto"/>
          <w:sz w:val="22"/>
          <w:szCs w:val="22"/>
          <w:highlight w:val="none"/>
        </w:rPr>
        <w:t>五、说明</w:t>
      </w:r>
      <w:bookmarkEnd w:id="91"/>
    </w:p>
    <w:p w14:paraId="71657575">
      <w:pPr>
        <w:pStyle w:val="10"/>
        <w:tabs>
          <w:tab w:val="left" w:pos="1069"/>
          <w:tab w:val="left" w:pos="2352"/>
        </w:tabs>
        <w:adjustRightInd w:val="0"/>
        <w:snapToGrid w:val="0"/>
        <w:spacing w:line="440" w:lineRule="atLeast"/>
        <w:ind w:firstLine="446" w:firstLineChars="200"/>
        <w:rPr>
          <w:rFonts w:hAnsi="宋体" w:cs="宋体"/>
          <w:color w:val="auto"/>
          <w:sz w:val="22"/>
          <w:highlight w:val="none"/>
        </w:rPr>
      </w:pPr>
      <w:r>
        <w:rPr>
          <w:rFonts w:hint="eastAsia" w:hAnsi="宋体" w:cs="宋体"/>
          <w:color w:val="auto"/>
          <w:sz w:val="22"/>
          <w:highlight w:val="none"/>
        </w:rPr>
        <w:t>1</w:t>
      </w:r>
      <w:r>
        <w:rPr>
          <w:rFonts w:hint="eastAsia" w:hAnsi="宋体" w:cs="宋体"/>
          <w:color w:val="auto"/>
          <w:sz w:val="22"/>
          <w:highlight w:val="none"/>
          <w:lang w:eastAsia="zh-CN"/>
        </w:rPr>
        <w:t>.</w:t>
      </w:r>
      <w:r>
        <w:rPr>
          <w:rFonts w:hint="eastAsia" w:hAnsi="宋体" w:cs="宋体"/>
          <w:color w:val="auto"/>
          <w:sz w:val="22"/>
          <w:highlight w:val="none"/>
        </w:rPr>
        <w:t>每个供应商最终得分=商务技术分值（所有评审小组成员打分的算术平均值）＋报价分值。</w:t>
      </w:r>
    </w:p>
    <w:p w14:paraId="5C296800">
      <w:pPr>
        <w:pStyle w:val="10"/>
        <w:tabs>
          <w:tab w:val="left" w:pos="1069"/>
          <w:tab w:val="left" w:pos="2352"/>
        </w:tabs>
        <w:adjustRightInd w:val="0"/>
        <w:snapToGrid w:val="0"/>
        <w:spacing w:line="440" w:lineRule="atLeast"/>
        <w:ind w:firstLine="446" w:firstLineChars="200"/>
        <w:rPr>
          <w:rFonts w:hAnsi="宋体" w:cs="宋体"/>
          <w:color w:val="auto"/>
          <w:sz w:val="22"/>
          <w:highlight w:val="none"/>
        </w:rPr>
      </w:pPr>
      <w:r>
        <w:rPr>
          <w:rFonts w:hint="eastAsia" w:hAnsi="宋体" w:cs="宋体"/>
          <w:color w:val="auto"/>
          <w:sz w:val="22"/>
          <w:highlight w:val="none"/>
        </w:rPr>
        <w:t>2</w:t>
      </w:r>
      <w:r>
        <w:rPr>
          <w:rFonts w:hint="eastAsia" w:hAnsi="宋体" w:cs="宋体"/>
          <w:color w:val="auto"/>
          <w:sz w:val="22"/>
          <w:highlight w:val="none"/>
          <w:lang w:eastAsia="zh-CN"/>
        </w:rPr>
        <w:t>.</w:t>
      </w:r>
      <w:r>
        <w:rPr>
          <w:rFonts w:hint="eastAsia" w:hAnsi="宋体" w:cs="宋体"/>
          <w:color w:val="auto"/>
          <w:sz w:val="22"/>
          <w:highlight w:val="none"/>
        </w:rPr>
        <w:t>评审小组推荐综合得分第一名的供应商为中标（成交）供应商，如果得分相同的，按投标报价由低到高顺序排列，得分且报价均相同的，按商务技术得分由高到低排列。</w:t>
      </w:r>
    </w:p>
    <w:p w14:paraId="011B736B">
      <w:pPr>
        <w:pStyle w:val="10"/>
        <w:tabs>
          <w:tab w:val="left" w:pos="1069"/>
          <w:tab w:val="left" w:pos="2352"/>
        </w:tabs>
        <w:adjustRightInd w:val="0"/>
        <w:snapToGrid w:val="0"/>
        <w:spacing w:line="440" w:lineRule="atLeast"/>
        <w:ind w:firstLine="446" w:firstLineChars="200"/>
        <w:rPr>
          <w:rFonts w:hAnsi="宋体" w:cs="宋体"/>
          <w:color w:val="auto"/>
          <w:sz w:val="22"/>
          <w:highlight w:val="none"/>
        </w:rPr>
      </w:pPr>
      <w:r>
        <w:rPr>
          <w:rFonts w:hint="eastAsia" w:hAnsi="宋体" w:cs="宋体"/>
          <w:color w:val="auto"/>
          <w:sz w:val="22"/>
          <w:highlight w:val="none"/>
        </w:rPr>
        <w:t>3</w:t>
      </w:r>
      <w:r>
        <w:rPr>
          <w:rFonts w:hint="eastAsia" w:hAnsi="宋体" w:cs="宋体"/>
          <w:color w:val="auto"/>
          <w:sz w:val="22"/>
          <w:highlight w:val="none"/>
          <w:lang w:eastAsia="zh-CN"/>
        </w:rPr>
        <w:t>.</w:t>
      </w:r>
      <w:r>
        <w:rPr>
          <w:rFonts w:hint="eastAsia" w:hAnsi="宋体" w:cs="宋体"/>
          <w:color w:val="auto"/>
          <w:sz w:val="22"/>
          <w:highlight w:val="none"/>
        </w:rPr>
        <w:t>所有分值计算保留小数点后二位，小数点后三位四舍五入。</w:t>
      </w:r>
    </w:p>
    <w:p w14:paraId="296D0B63">
      <w:pPr>
        <w:pStyle w:val="10"/>
        <w:tabs>
          <w:tab w:val="left" w:pos="1069"/>
          <w:tab w:val="left" w:pos="2352"/>
        </w:tabs>
        <w:adjustRightInd w:val="0"/>
        <w:snapToGrid w:val="0"/>
        <w:spacing w:line="440" w:lineRule="atLeast"/>
        <w:ind w:firstLine="446" w:firstLineChars="200"/>
        <w:rPr>
          <w:rFonts w:hAnsi="宋体" w:cs="宋体"/>
          <w:color w:val="auto"/>
          <w:sz w:val="22"/>
          <w:highlight w:val="none"/>
        </w:rPr>
      </w:pPr>
      <w:r>
        <w:rPr>
          <w:rFonts w:hint="eastAsia" w:hAnsi="宋体" w:cs="宋体"/>
          <w:color w:val="auto"/>
          <w:sz w:val="22"/>
          <w:highlight w:val="none"/>
        </w:rPr>
        <w:t>参见本竞争性磋商文件第三部分：“供应商须知”中的相关内容，未尽事宜按有关法律规定处理。</w:t>
      </w:r>
    </w:p>
    <w:p w14:paraId="7F871B86">
      <w:pPr>
        <w:tabs>
          <w:tab w:val="left" w:pos="2352"/>
        </w:tabs>
        <w:rPr>
          <w:color w:val="auto"/>
          <w:highlight w:val="none"/>
        </w:rPr>
      </w:pPr>
    </w:p>
    <w:sectPr>
      <w:headerReference r:id="rId9" w:type="first"/>
      <w:footerReference r:id="rId11" w:type="first"/>
      <w:headerReference r:id="rId8" w:type="default"/>
      <w:footerReference r:id="rId10" w:type="default"/>
      <w:pgSz w:w="11906" w:h="16838"/>
      <w:pgMar w:top="1440" w:right="1247" w:bottom="1440" w:left="1247" w:header="851" w:footer="992" w:gutter="0"/>
      <w:cols w:space="720" w:num="1"/>
      <w:titlePg/>
      <w:docGrid w:type="linesAndChars" w:linePitch="317" w:charSpace="8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长城仿宋">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504020202030204"/>
    <w:charset w:val="00"/>
    <w:family w:val="swiss"/>
    <w:pitch w:val="default"/>
    <w:sig w:usb0="00000000" w:usb1="00000000" w:usb2="00000000" w:usb3="00000000" w:csb0="00000093" w:csb1="00000000"/>
  </w:font>
  <w:font w:name="Arial (W1)">
    <w:altName w:val="Arial"/>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FC4E6">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667B1">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4FF161D">
                          <w:pPr>
                            <w:pStyle w:val="12"/>
                          </w:pPr>
                          <w:r>
                            <w:fldChar w:fldCharType="begin"/>
                          </w:r>
                          <w:r>
                            <w:instrText xml:space="preserve"> PAGE  \* MERGEFORMAT </w:instrText>
                          </w:r>
                          <w:r>
                            <w:fldChar w:fldCharType="separate"/>
                          </w:r>
                          <w:r>
                            <w:t>11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14:paraId="44FF161D">
                    <w:pPr>
                      <w:pStyle w:val="1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A2912">
    <w:pPr>
      <w:pStyle w:val="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8EF737">
                          <w:pPr>
                            <w:pStyle w:val="12"/>
                          </w:pPr>
                          <w:r>
                            <w:fldChar w:fldCharType="begin"/>
                          </w:r>
                          <w:r>
                            <w:instrText xml:space="preserve"> PAGE  \* MERGEFORMAT </w:instrText>
                          </w:r>
                          <w:r>
                            <w:fldChar w:fldCharType="separate"/>
                          </w:r>
                          <w:r>
                            <w:t>49</w:t>
                          </w:r>
                          <w:r>
                            <w:fldChar w:fldCharType="end"/>
                          </w:r>
                        </w:p>
                      </w:txbxContent>
                    </wps:txbx>
                    <wps:bodyPr wrap="none" lIns="0" tIns="0" rIns="0" bIns="0">
                      <a:spAutoFit/>
                    </wps:bodyPr>
                  </wps:wsp>
                </a:graphicData>
              </a:graphic>
            </wp:anchor>
          </w:drawing>
        </mc:Choice>
        <mc:Fallback>
          <w:pict>
            <v:shape id="文本框 206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PcXkGwwEAAJADAAAOAAAAAAAAAAEAIAAAAB4BAABkcnMvZTJvRG9jLnhtbFBL&#10;BQYAAAAABgAGAFkBAABTBQAAAAA=&#10;">
              <v:fill on="f" focussize="0,0"/>
              <v:stroke on="f"/>
              <v:imagedata o:title=""/>
              <o:lock v:ext="edit" aspectratio="f"/>
              <v:textbox inset="0mm,0mm,0mm,0mm" style="mso-fit-shape-to-text:t;">
                <w:txbxContent>
                  <w:p w14:paraId="2E8EF737">
                    <w:pPr>
                      <w:pStyle w:val="1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DA426">
    <w:pPr>
      <w:pStyle w:val="12"/>
      <w:tabs>
        <w:tab w:val="left" w:pos="4620"/>
        <w:tab w:val="clear" w:pos="4153"/>
      </w:tabs>
      <w:jc w:val="center"/>
      <w:rPr>
        <w:rFonts w:asci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E86F0F">
                          <w:pPr>
                            <w:pStyle w:val="12"/>
                          </w:pPr>
                          <w:r>
                            <w:fldChar w:fldCharType="begin"/>
                          </w:r>
                          <w:r>
                            <w:instrText xml:space="preserve"> PAGE  \* MERGEFORMAT </w:instrText>
                          </w:r>
                          <w:r>
                            <w:fldChar w:fldCharType="separate"/>
                          </w:r>
                          <w:r>
                            <w:t>12</w:t>
                          </w:r>
                          <w:r>
                            <w:fldChar w:fldCharType="end"/>
                          </w:r>
                        </w:p>
                      </w:txbxContent>
                    </wps:txbx>
                    <wps:bodyPr wrap="none" lIns="0" tIns="0" rIns="0" bIns="0">
                      <a:spAutoFit/>
                    </wps:bodyPr>
                  </wps:wsp>
                </a:graphicData>
              </a:graphic>
            </wp:anchor>
          </w:drawing>
        </mc:Choice>
        <mc:Fallback>
          <w:pict>
            <v:shape id="文本框 206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PnICPrFAQAAkAMAAA4AAAAAAAAAAQAgAAAAHgEAAGRycy9lMm9Eb2MueG1s&#10;UEsFBgAAAAAGAAYAWQEAAFUFAAAAAA==&#10;">
              <v:fill on="f" focussize="0,0"/>
              <v:stroke on="f"/>
              <v:imagedata o:title=""/>
              <o:lock v:ext="edit" aspectratio="f"/>
              <v:textbox inset="0mm,0mm,0mm,0mm" style="mso-fit-shape-to-text:t;">
                <w:txbxContent>
                  <w:p w14:paraId="4BE86F0F">
                    <w:pPr>
                      <w:pStyle w:val="1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F6211">
    <w:pPr>
      <w:pStyle w:val="14"/>
      <w:pBdr>
        <w:top w:val="none" w:color="auto" w:sz="0" w:space="0"/>
        <w:left w:val="none" w:color="auto" w:sz="0" w:space="0"/>
        <w:bottom w:val="none" w:color="auto" w:sz="0" w:space="0"/>
        <w:right w:val="none" w:color="auto" w:sz="0" w:space="0"/>
      </w:pBdr>
      <w:rPr>
        <w:u w:val="single"/>
      </w:rPr>
    </w:pPr>
    <w:r>
      <w:rPr>
        <w:u w:val="single"/>
      </w:rPr>
      <w:drawing>
        <wp:inline distT="0" distB="0" distL="114300" distR="114300">
          <wp:extent cx="325755" cy="273050"/>
          <wp:effectExtent l="0" t="0" r="7620" b="3175"/>
          <wp:docPr id="6"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b/>
        <w:sz w:val="16"/>
        <w:szCs w:val="16"/>
        <w:u w:val="single"/>
      </w:rPr>
      <w:t>杭州华旗招标代理有限公司</w:t>
    </w:r>
    <w:r>
      <w:rPr>
        <w:rFonts w:hint="eastAsia"/>
        <w:sz w:val="16"/>
        <w:szCs w:val="16"/>
        <w:u w:val="single"/>
      </w:rPr>
      <w:t xml:space="preserve"> </w:t>
    </w:r>
    <w:r>
      <w:rPr>
        <w:rFonts w:hint="eastAsia"/>
        <w:sz w:val="18"/>
        <w:szCs w:val="18"/>
        <w:u w:val="single"/>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454CB">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C6446">
    <w:pPr>
      <w:pStyle w:val="14"/>
    </w:pPr>
    <w:r>
      <w:rPr>
        <w:u w:val="single"/>
      </w:rPr>
      <w:drawing>
        <wp:inline distT="0" distB="0" distL="114300" distR="114300">
          <wp:extent cx="325755" cy="273050"/>
          <wp:effectExtent l="0" t="0" r="7620" b="3175"/>
          <wp:docPr id="5"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b/>
        <w:sz w:val="21"/>
        <w:szCs w:val="21"/>
        <w:u w:val="single"/>
      </w:rPr>
      <w:t>杭州华旗招标代理有限公司</w:t>
    </w:r>
    <w:r>
      <w:rPr>
        <w:rFonts w:hint="eastAsia"/>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E38BA">
    <w:pPr>
      <w:pStyle w:val="14"/>
      <w:rPr>
        <w:u w:val="single"/>
      </w:rPr>
    </w:pPr>
    <w:r>
      <w:rPr>
        <w:sz w:val="18"/>
        <w:szCs w:val="18"/>
        <w:u w:val="single"/>
      </w:rPr>
      <w:drawing>
        <wp:inline distT="0" distB="0" distL="114300" distR="114300">
          <wp:extent cx="325755" cy="273050"/>
          <wp:effectExtent l="0" t="0" r="7620" b="3175"/>
          <wp:docPr id="7"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b/>
        <w:sz w:val="18"/>
        <w:szCs w:val="18"/>
        <w:u w:val="single"/>
      </w:rPr>
      <w:t>杭州华旗招标代理有限公司</w:t>
    </w:r>
    <w:r>
      <w:rPr>
        <w:rFonts w:hint="eastAsia"/>
        <w:sz w:val="18"/>
        <w:szCs w:val="18"/>
        <w:u w:val="single"/>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22CD7">
    <w:pPr>
      <w:pStyle w:val="14"/>
      <w:pBdr>
        <w:top w:val="none" w:color="auto" w:sz="0" w:space="0"/>
        <w:left w:val="none" w:color="auto" w:sz="0" w:space="0"/>
        <w:bottom w:val="none" w:color="auto" w:sz="0" w:space="0"/>
        <w:right w:val="none" w:color="auto" w:sz="0" w:space="0"/>
      </w:pBdr>
      <w:rPr>
        <w:rFonts w:ascii="宋体"/>
        <w:u w:val="single"/>
      </w:rPr>
    </w:pPr>
    <w:r>
      <w:rPr>
        <w:u w:val="single"/>
      </w:rPr>
      <w:drawing>
        <wp:inline distT="0" distB="0" distL="114300" distR="114300">
          <wp:extent cx="345440" cy="288925"/>
          <wp:effectExtent l="0" t="0" r="6985" b="6350"/>
          <wp:docPr id="8"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公司标志"/>
                  <pic:cNvPicPr>
                    <a:picLocks noChangeAspect="1"/>
                  </pic:cNvPicPr>
                </pic:nvPicPr>
                <pic:blipFill>
                  <a:blip r:embed="rId1"/>
                  <a:stretch>
                    <a:fillRect/>
                  </a:stretch>
                </pic:blipFill>
                <pic:spPr>
                  <a:xfrm>
                    <a:off x="0" y="0"/>
                    <a:ext cx="345440" cy="288925"/>
                  </a:xfrm>
                  <a:prstGeom prst="rect">
                    <a:avLst/>
                  </a:prstGeom>
                  <a:noFill/>
                  <a:ln>
                    <a:noFill/>
                  </a:ln>
                </pic:spPr>
              </pic:pic>
            </a:graphicData>
          </a:graphic>
        </wp:inline>
      </w:drawing>
    </w:r>
    <w:r>
      <w:rPr>
        <w:rFonts w:hint="eastAsia"/>
        <w:b/>
        <w:sz w:val="21"/>
        <w:szCs w:val="21"/>
        <w:u w:val="single"/>
      </w:rPr>
      <w:t>杭州华旗招标代理有限公司</w:t>
    </w:r>
    <w:r>
      <w:rPr>
        <w:rFonts w:hint="eastAsia"/>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E6FC4"/>
    <w:multiLevelType w:val="singleLevel"/>
    <w:tmpl w:val="89EE6FC4"/>
    <w:lvl w:ilvl="0" w:tentative="0">
      <w:start w:val="1"/>
      <w:numFmt w:val="chineseCounting"/>
      <w:suff w:val="nothing"/>
      <w:lvlText w:val="第%1部分、"/>
      <w:lvlJc w:val="left"/>
      <w:rPr>
        <w:rFonts w:hint="eastAsia"/>
      </w:rPr>
    </w:lvl>
  </w:abstractNum>
  <w:abstractNum w:abstractNumId="1">
    <w:nsid w:val="9730DA20"/>
    <w:multiLevelType w:val="singleLevel"/>
    <w:tmpl w:val="9730DA20"/>
    <w:lvl w:ilvl="0" w:tentative="0">
      <w:start w:val="8"/>
      <w:numFmt w:val="chineseCounting"/>
      <w:suff w:val="nothing"/>
      <w:lvlText w:val="%1、"/>
      <w:lvlJc w:val="left"/>
      <w:rPr>
        <w:rFonts w:hint="eastAsia"/>
      </w:rPr>
    </w:lvl>
  </w:abstractNum>
  <w:abstractNum w:abstractNumId="2">
    <w:nsid w:val="B61C6F3F"/>
    <w:multiLevelType w:val="singleLevel"/>
    <w:tmpl w:val="B61C6F3F"/>
    <w:lvl w:ilvl="0" w:tentative="0">
      <w:start w:val="4"/>
      <w:numFmt w:val="decimal"/>
      <w:suff w:val="nothing"/>
      <w:lvlText w:val="%1、"/>
      <w:lvlJc w:val="left"/>
    </w:lvl>
  </w:abstractNum>
  <w:abstractNum w:abstractNumId="3">
    <w:nsid w:val="DDC374CF"/>
    <w:multiLevelType w:val="singleLevel"/>
    <w:tmpl w:val="DDC374CF"/>
    <w:lvl w:ilvl="0" w:tentative="0">
      <w:start w:val="1"/>
      <w:numFmt w:val="decimal"/>
      <w:lvlText w:val="%1."/>
      <w:lvlJc w:val="left"/>
      <w:pPr>
        <w:ind w:left="425" w:hanging="425"/>
      </w:pPr>
      <w:rPr>
        <w:rFonts w:hint="default"/>
      </w:rPr>
    </w:lvl>
  </w:abstractNum>
  <w:abstractNum w:abstractNumId="4">
    <w:nsid w:val="EA174426"/>
    <w:multiLevelType w:val="singleLevel"/>
    <w:tmpl w:val="EA174426"/>
    <w:lvl w:ilvl="0" w:tentative="0">
      <w:start w:val="1"/>
      <w:numFmt w:val="decimal"/>
      <w:suff w:val="nothing"/>
      <w:lvlText w:val="（%1）"/>
      <w:lvlJc w:val="left"/>
    </w:lvl>
  </w:abstractNum>
  <w:abstractNum w:abstractNumId="5">
    <w:nsid w:val="FBB0A722"/>
    <w:multiLevelType w:val="singleLevel"/>
    <w:tmpl w:val="FBB0A722"/>
    <w:lvl w:ilvl="0" w:tentative="0">
      <w:start w:val="4"/>
      <w:numFmt w:val="chineseCounting"/>
      <w:suff w:val="nothing"/>
      <w:lvlText w:val="%1、"/>
      <w:lvlJc w:val="left"/>
      <w:rPr>
        <w:rFonts w:hint="eastAsia"/>
      </w:rPr>
    </w:lvl>
  </w:abstractNum>
  <w:abstractNum w:abstractNumId="6">
    <w:nsid w:val="00000002"/>
    <w:multiLevelType w:val="singleLevel"/>
    <w:tmpl w:val="00000002"/>
    <w:lvl w:ilvl="0" w:tentative="0">
      <w:start w:val="1"/>
      <w:numFmt w:val="decimal"/>
      <w:suff w:val="space"/>
      <w:lvlText w:val="%1."/>
      <w:lvlJc w:val="left"/>
    </w:lvl>
  </w:abstractNum>
  <w:abstractNum w:abstractNumId="7">
    <w:nsid w:val="00000016"/>
    <w:multiLevelType w:val="multilevel"/>
    <w:tmpl w:val="00000016"/>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8">
    <w:nsid w:val="354B6551"/>
    <w:multiLevelType w:val="singleLevel"/>
    <w:tmpl w:val="354B6551"/>
    <w:lvl w:ilvl="0" w:tentative="0">
      <w:start w:val="1"/>
      <w:numFmt w:val="decimal"/>
      <w:lvlText w:val="%1."/>
      <w:lvlJc w:val="left"/>
      <w:pPr>
        <w:tabs>
          <w:tab w:val="left" w:pos="312"/>
        </w:tabs>
      </w:pPr>
    </w:lvl>
  </w:abstractNum>
  <w:abstractNum w:abstractNumId="9">
    <w:nsid w:val="599289D4"/>
    <w:multiLevelType w:val="singleLevel"/>
    <w:tmpl w:val="599289D4"/>
    <w:lvl w:ilvl="0" w:tentative="0">
      <w:start w:val="1"/>
      <w:numFmt w:val="decimal"/>
      <w:lvlText w:val="%1."/>
      <w:lvlJc w:val="left"/>
      <w:pPr>
        <w:ind w:left="425" w:hanging="425"/>
      </w:pPr>
      <w:rPr>
        <w:rFonts w:hint="default"/>
      </w:rPr>
    </w:lvl>
  </w:abstractNum>
  <w:abstractNum w:abstractNumId="10">
    <w:nsid w:val="599289EC"/>
    <w:multiLevelType w:val="singleLevel"/>
    <w:tmpl w:val="599289EC"/>
    <w:lvl w:ilvl="0" w:tentative="0">
      <w:start w:val="1"/>
      <w:numFmt w:val="decimal"/>
      <w:lvlText w:val="%1."/>
      <w:lvlJc w:val="left"/>
      <w:pPr>
        <w:ind w:left="425" w:hanging="425"/>
      </w:pPr>
      <w:rPr>
        <w:rFonts w:hint="default" w:cs="Times New Roman"/>
      </w:rPr>
    </w:lvl>
  </w:abstractNum>
  <w:num w:numId="1">
    <w:abstractNumId w:val="0"/>
  </w:num>
  <w:num w:numId="2">
    <w:abstractNumId w:val="7"/>
  </w:num>
  <w:num w:numId="3">
    <w:abstractNumId w:val="9"/>
  </w:num>
  <w:num w:numId="4">
    <w:abstractNumId w:val="10"/>
  </w:num>
  <w:num w:numId="5">
    <w:abstractNumId w:val="3"/>
  </w:num>
  <w:num w:numId="6">
    <w:abstractNumId w:val="4"/>
  </w:num>
  <w:num w:numId="7">
    <w:abstractNumId w:val="2"/>
  </w:num>
  <w:num w:numId="8">
    <w:abstractNumId w:val="6"/>
  </w:num>
  <w:num w:numId="9">
    <w:abstractNumId w:val="1"/>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formatting="1" w:enforcement="1" w:cryptProviderType="rsaFull" w:cryptAlgorithmClass="hash" w:cryptAlgorithmType="typeAny" w:cryptAlgorithmSid="4" w:cryptSpinCount="0" w:hash="QYzaAaUzBmMaVHaV0nKiMtc5Rv0=" w:salt="FdM9LJYg/a3wr6pCeAOV2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Njk0ZGYzYzk1OTZiYzA2NTYwZTg1ODY0OGMwOGEifQ=="/>
    <w:docVar w:name="KSO_WPS_MARK_KEY" w:val="07e88ac6-8db8-4a65-8d94-f4c00e658b2e"/>
  </w:docVars>
  <w:rsids>
    <w:rsidRoot w:val="004F60FC"/>
    <w:rsid w:val="00023435"/>
    <w:rsid w:val="00091417"/>
    <w:rsid w:val="000B1F15"/>
    <w:rsid w:val="000C043C"/>
    <w:rsid w:val="00106D69"/>
    <w:rsid w:val="00160D18"/>
    <w:rsid w:val="001A50EC"/>
    <w:rsid w:val="001D49DD"/>
    <w:rsid w:val="002173E9"/>
    <w:rsid w:val="00297DC5"/>
    <w:rsid w:val="002D48AB"/>
    <w:rsid w:val="00372055"/>
    <w:rsid w:val="00391E34"/>
    <w:rsid w:val="004253EB"/>
    <w:rsid w:val="0045081A"/>
    <w:rsid w:val="004619BD"/>
    <w:rsid w:val="004674B6"/>
    <w:rsid w:val="004726D8"/>
    <w:rsid w:val="00497A01"/>
    <w:rsid w:val="004F60FC"/>
    <w:rsid w:val="0052214B"/>
    <w:rsid w:val="00570F07"/>
    <w:rsid w:val="005E4E2E"/>
    <w:rsid w:val="00607FC1"/>
    <w:rsid w:val="006609EF"/>
    <w:rsid w:val="0066330D"/>
    <w:rsid w:val="006A7B87"/>
    <w:rsid w:val="006F7683"/>
    <w:rsid w:val="0076486D"/>
    <w:rsid w:val="00780FC2"/>
    <w:rsid w:val="008E57EA"/>
    <w:rsid w:val="009513F3"/>
    <w:rsid w:val="00A54CAA"/>
    <w:rsid w:val="00A56D88"/>
    <w:rsid w:val="00B22860"/>
    <w:rsid w:val="00B249B7"/>
    <w:rsid w:val="00B459C4"/>
    <w:rsid w:val="00B932F4"/>
    <w:rsid w:val="00BA57B7"/>
    <w:rsid w:val="00BF2E34"/>
    <w:rsid w:val="00C053D9"/>
    <w:rsid w:val="00C13B4A"/>
    <w:rsid w:val="00C217FC"/>
    <w:rsid w:val="00C5319B"/>
    <w:rsid w:val="00D408FA"/>
    <w:rsid w:val="00D7119F"/>
    <w:rsid w:val="00E2309A"/>
    <w:rsid w:val="00F20EA6"/>
    <w:rsid w:val="00F61B81"/>
    <w:rsid w:val="00FA6280"/>
    <w:rsid w:val="01603061"/>
    <w:rsid w:val="02304097"/>
    <w:rsid w:val="02583949"/>
    <w:rsid w:val="03147BC1"/>
    <w:rsid w:val="04E46D57"/>
    <w:rsid w:val="051C746F"/>
    <w:rsid w:val="05EC6F3E"/>
    <w:rsid w:val="0612468B"/>
    <w:rsid w:val="07264835"/>
    <w:rsid w:val="07A23F20"/>
    <w:rsid w:val="07DB2D71"/>
    <w:rsid w:val="086229E1"/>
    <w:rsid w:val="097C674F"/>
    <w:rsid w:val="09BC2D71"/>
    <w:rsid w:val="09C5110F"/>
    <w:rsid w:val="09E35CE4"/>
    <w:rsid w:val="0AC6281A"/>
    <w:rsid w:val="0B8C09BB"/>
    <w:rsid w:val="0C1267C6"/>
    <w:rsid w:val="0CA86DE5"/>
    <w:rsid w:val="0D500D26"/>
    <w:rsid w:val="0D615415"/>
    <w:rsid w:val="0E1D0289"/>
    <w:rsid w:val="0E234421"/>
    <w:rsid w:val="0E336A63"/>
    <w:rsid w:val="0E3A5799"/>
    <w:rsid w:val="0EF4695B"/>
    <w:rsid w:val="0FBE7A18"/>
    <w:rsid w:val="111A3546"/>
    <w:rsid w:val="11567578"/>
    <w:rsid w:val="1286080A"/>
    <w:rsid w:val="12DB3C9D"/>
    <w:rsid w:val="134C7D5E"/>
    <w:rsid w:val="136A29F0"/>
    <w:rsid w:val="142360B8"/>
    <w:rsid w:val="14FC0FA6"/>
    <w:rsid w:val="156C2EC6"/>
    <w:rsid w:val="15851759"/>
    <w:rsid w:val="165E3157"/>
    <w:rsid w:val="177978A3"/>
    <w:rsid w:val="17B472A4"/>
    <w:rsid w:val="17C10B62"/>
    <w:rsid w:val="17E56F60"/>
    <w:rsid w:val="17F124E3"/>
    <w:rsid w:val="194F1722"/>
    <w:rsid w:val="1B3306B6"/>
    <w:rsid w:val="1B8847D2"/>
    <w:rsid w:val="1C33621A"/>
    <w:rsid w:val="1C36331D"/>
    <w:rsid w:val="1D707EA3"/>
    <w:rsid w:val="1EF57228"/>
    <w:rsid w:val="203B617F"/>
    <w:rsid w:val="206967F2"/>
    <w:rsid w:val="20FB29C9"/>
    <w:rsid w:val="2107515C"/>
    <w:rsid w:val="21315848"/>
    <w:rsid w:val="21B707B2"/>
    <w:rsid w:val="21E45FE5"/>
    <w:rsid w:val="227B5C0F"/>
    <w:rsid w:val="22C36646"/>
    <w:rsid w:val="23B6546E"/>
    <w:rsid w:val="244D0E6E"/>
    <w:rsid w:val="25064ADB"/>
    <w:rsid w:val="251E5786"/>
    <w:rsid w:val="25277F29"/>
    <w:rsid w:val="254C5458"/>
    <w:rsid w:val="261A5207"/>
    <w:rsid w:val="26492DAF"/>
    <w:rsid w:val="26CD1C32"/>
    <w:rsid w:val="27D35027"/>
    <w:rsid w:val="28137B19"/>
    <w:rsid w:val="2A2D2A30"/>
    <w:rsid w:val="2ACA1CA1"/>
    <w:rsid w:val="2B102DA4"/>
    <w:rsid w:val="2D03015C"/>
    <w:rsid w:val="2D7C4BE2"/>
    <w:rsid w:val="2E9C6C6E"/>
    <w:rsid w:val="2F051B36"/>
    <w:rsid w:val="2FE340B7"/>
    <w:rsid w:val="30913CD1"/>
    <w:rsid w:val="311E58BA"/>
    <w:rsid w:val="313E73BD"/>
    <w:rsid w:val="339A4224"/>
    <w:rsid w:val="340F2862"/>
    <w:rsid w:val="349027AE"/>
    <w:rsid w:val="34C235B4"/>
    <w:rsid w:val="34CF157B"/>
    <w:rsid w:val="353E6CD0"/>
    <w:rsid w:val="371D7C1F"/>
    <w:rsid w:val="379F6F0D"/>
    <w:rsid w:val="37D14649"/>
    <w:rsid w:val="37F54B45"/>
    <w:rsid w:val="38B646B9"/>
    <w:rsid w:val="38CD349A"/>
    <w:rsid w:val="39111E53"/>
    <w:rsid w:val="39382F3B"/>
    <w:rsid w:val="3976376D"/>
    <w:rsid w:val="397B7E11"/>
    <w:rsid w:val="399D36E6"/>
    <w:rsid w:val="39B747A8"/>
    <w:rsid w:val="39DB63D0"/>
    <w:rsid w:val="3A3633B4"/>
    <w:rsid w:val="3A4B7A64"/>
    <w:rsid w:val="3AE34E80"/>
    <w:rsid w:val="3B0C350F"/>
    <w:rsid w:val="3BC24658"/>
    <w:rsid w:val="3D3353DA"/>
    <w:rsid w:val="3D813F9B"/>
    <w:rsid w:val="3E2D7CCF"/>
    <w:rsid w:val="3E3102AB"/>
    <w:rsid w:val="3EC24B9A"/>
    <w:rsid w:val="3FA22F1E"/>
    <w:rsid w:val="412A7199"/>
    <w:rsid w:val="41677CC5"/>
    <w:rsid w:val="41765DD5"/>
    <w:rsid w:val="44904AEE"/>
    <w:rsid w:val="44F01788"/>
    <w:rsid w:val="456606D9"/>
    <w:rsid w:val="45860F7B"/>
    <w:rsid w:val="45F5336E"/>
    <w:rsid w:val="46014823"/>
    <w:rsid w:val="46152F39"/>
    <w:rsid w:val="47BC2F72"/>
    <w:rsid w:val="488A4131"/>
    <w:rsid w:val="493A685C"/>
    <w:rsid w:val="499C16AC"/>
    <w:rsid w:val="49D373CD"/>
    <w:rsid w:val="49F106F9"/>
    <w:rsid w:val="4B9C55AC"/>
    <w:rsid w:val="4BC33BA3"/>
    <w:rsid w:val="4C967B61"/>
    <w:rsid w:val="4CC23448"/>
    <w:rsid w:val="4D065F7A"/>
    <w:rsid w:val="4D666E75"/>
    <w:rsid w:val="4E0C7542"/>
    <w:rsid w:val="4EA2615B"/>
    <w:rsid w:val="4EBB56AA"/>
    <w:rsid w:val="4ED03E2A"/>
    <w:rsid w:val="4F4C553B"/>
    <w:rsid w:val="4F5675D7"/>
    <w:rsid w:val="4FB503C8"/>
    <w:rsid w:val="4FEA67E9"/>
    <w:rsid w:val="50777615"/>
    <w:rsid w:val="50865111"/>
    <w:rsid w:val="527305F3"/>
    <w:rsid w:val="53E867BD"/>
    <w:rsid w:val="541E5346"/>
    <w:rsid w:val="549E2C25"/>
    <w:rsid w:val="54E87AB4"/>
    <w:rsid w:val="567970CB"/>
    <w:rsid w:val="56AC1CAB"/>
    <w:rsid w:val="57415546"/>
    <w:rsid w:val="5747701F"/>
    <w:rsid w:val="58543536"/>
    <w:rsid w:val="58B2640F"/>
    <w:rsid w:val="591D33F7"/>
    <w:rsid w:val="59CF47E5"/>
    <w:rsid w:val="5A186745"/>
    <w:rsid w:val="5A774440"/>
    <w:rsid w:val="5B110FC0"/>
    <w:rsid w:val="5B3351F8"/>
    <w:rsid w:val="5C0A1FAF"/>
    <w:rsid w:val="5C415E64"/>
    <w:rsid w:val="5CC52615"/>
    <w:rsid w:val="5CE442B2"/>
    <w:rsid w:val="5CF87471"/>
    <w:rsid w:val="5D04165A"/>
    <w:rsid w:val="5D692859"/>
    <w:rsid w:val="5DD3777C"/>
    <w:rsid w:val="5DF2511F"/>
    <w:rsid w:val="5EAF7DBE"/>
    <w:rsid w:val="5EDB55D1"/>
    <w:rsid w:val="5F3D3E70"/>
    <w:rsid w:val="5F5801E1"/>
    <w:rsid w:val="6092669C"/>
    <w:rsid w:val="61044DE8"/>
    <w:rsid w:val="61056E3D"/>
    <w:rsid w:val="612E1D3E"/>
    <w:rsid w:val="6131287E"/>
    <w:rsid w:val="61AF49EB"/>
    <w:rsid w:val="620B6B96"/>
    <w:rsid w:val="621F4BCC"/>
    <w:rsid w:val="627666FF"/>
    <w:rsid w:val="629E17B2"/>
    <w:rsid w:val="632E1990"/>
    <w:rsid w:val="643402DA"/>
    <w:rsid w:val="6450297C"/>
    <w:rsid w:val="64653B3F"/>
    <w:rsid w:val="64F0086B"/>
    <w:rsid w:val="65100493"/>
    <w:rsid w:val="654D54C5"/>
    <w:rsid w:val="655E3E6F"/>
    <w:rsid w:val="6646256E"/>
    <w:rsid w:val="67444F86"/>
    <w:rsid w:val="67E83F23"/>
    <w:rsid w:val="68C10F6E"/>
    <w:rsid w:val="68DF2431"/>
    <w:rsid w:val="69EC27BC"/>
    <w:rsid w:val="69F91590"/>
    <w:rsid w:val="6A271F9E"/>
    <w:rsid w:val="6A8103F8"/>
    <w:rsid w:val="6ADC5ECD"/>
    <w:rsid w:val="6BAC3D4E"/>
    <w:rsid w:val="6C9F6913"/>
    <w:rsid w:val="6D16778C"/>
    <w:rsid w:val="6D82064E"/>
    <w:rsid w:val="70FB2DB2"/>
    <w:rsid w:val="71D5715F"/>
    <w:rsid w:val="73157D3E"/>
    <w:rsid w:val="74702755"/>
    <w:rsid w:val="74D66D31"/>
    <w:rsid w:val="752547F0"/>
    <w:rsid w:val="75B25E4D"/>
    <w:rsid w:val="773E113D"/>
    <w:rsid w:val="776B3508"/>
    <w:rsid w:val="78B100F5"/>
    <w:rsid w:val="78F11143"/>
    <w:rsid w:val="7971754C"/>
    <w:rsid w:val="79E37743"/>
    <w:rsid w:val="79F74C03"/>
    <w:rsid w:val="79FF1F31"/>
    <w:rsid w:val="7A07271E"/>
    <w:rsid w:val="7ACA1666"/>
    <w:rsid w:val="7AD80D2C"/>
    <w:rsid w:val="7B90211C"/>
    <w:rsid w:val="7BD26F5F"/>
    <w:rsid w:val="7BD674B0"/>
    <w:rsid w:val="7C815F74"/>
    <w:rsid w:val="7C914409"/>
    <w:rsid w:val="7CBF66A9"/>
    <w:rsid w:val="7D897AFB"/>
    <w:rsid w:val="7E0635C9"/>
    <w:rsid w:val="7E5526A6"/>
    <w:rsid w:val="7E912EDE"/>
    <w:rsid w:val="7EC5143E"/>
    <w:rsid w:val="7F5F24EA"/>
    <w:rsid w:val="7F6A60A9"/>
    <w:rsid w:val="7F904EA3"/>
    <w:rsid w:val="7FAA04AF"/>
    <w:rsid w:val="7FCD619B"/>
    <w:rsid w:val="7FD1B0BD"/>
    <w:rsid w:val="7FFD43C8"/>
    <w:rsid w:val="D2EF98EA"/>
    <w:rsid w:val="D73EDE53"/>
    <w:rsid w:val="EFC5417F"/>
    <w:rsid w:val="F7372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spacing w:before="156" w:beforeLines="50" w:after="156" w:afterLines="50" w:line="360" w:lineRule="auto"/>
      <w:outlineLvl w:val="0"/>
    </w:pPr>
    <w:rPr>
      <w:rFonts w:ascii="仿宋_GB2312" w:eastAsia="仿宋_GB2312"/>
      <w:b/>
      <w:bCs/>
      <w:sz w:val="32"/>
      <w:szCs w:val="32"/>
    </w:rPr>
  </w:style>
  <w:style w:type="paragraph" w:styleId="4">
    <w:name w:val="heading 2"/>
    <w:basedOn w:val="5"/>
    <w:next w:val="1"/>
    <w:qFormat/>
    <w:uiPriority w:val="0"/>
    <w:pPr>
      <w:widowControl/>
      <w:spacing w:before="100" w:beforeAutospacing="1" w:after="100" w:afterAutospacing="1"/>
      <w:jc w:val="left"/>
      <w:outlineLvl w:val="1"/>
    </w:pPr>
    <w:rPr>
      <w:rFonts w:eastAsia="等线"/>
      <w:kern w:val="0"/>
      <w:sz w:val="36"/>
      <w:szCs w:val="36"/>
    </w:rPr>
  </w:style>
  <w:style w:type="paragraph" w:styleId="5">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adjustRightInd w:val="0"/>
      <w:spacing w:line="300" w:lineRule="auto"/>
      <w:ind w:left="958" w:right="-120" w:rightChars="-120"/>
      <w:jc w:val="left"/>
    </w:pPr>
    <w:rPr>
      <w:rFonts w:ascii="宋体" w:hAnsi="宋体"/>
      <w:sz w:val="28"/>
    </w:rPr>
  </w:style>
  <w:style w:type="paragraph" w:styleId="6">
    <w:name w:val="Normal Indent"/>
    <w:basedOn w:val="1"/>
    <w:next w:val="7"/>
    <w:qFormat/>
    <w:uiPriority w:val="99"/>
    <w:pPr>
      <w:ind w:firstLine="420"/>
    </w:pPr>
    <w:rPr>
      <w:szCs w:val="20"/>
    </w:rPr>
  </w:style>
  <w:style w:type="paragraph" w:styleId="7">
    <w:name w:val="Body Text Indent"/>
    <w:basedOn w:val="1"/>
    <w:next w:val="6"/>
    <w:qFormat/>
    <w:uiPriority w:val="0"/>
    <w:pPr>
      <w:ind w:left="480" w:hanging="480" w:hangingChars="200"/>
    </w:pPr>
    <w:rPr>
      <w:sz w:val="24"/>
    </w:rPr>
  </w:style>
  <w:style w:type="paragraph" w:styleId="8">
    <w:name w:val="annotation text"/>
    <w:basedOn w:val="1"/>
    <w:link w:val="44"/>
    <w:qFormat/>
    <w:uiPriority w:val="0"/>
    <w:pPr>
      <w:jc w:val="left"/>
    </w:pPr>
  </w:style>
  <w:style w:type="paragraph" w:styleId="9">
    <w:name w:val="Body Text"/>
    <w:basedOn w:val="1"/>
    <w:next w:val="1"/>
    <w:qFormat/>
    <w:uiPriority w:val="99"/>
    <w:rPr>
      <w:kern w:val="0"/>
      <w:sz w:val="20"/>
      <w:szCs w:val="20"/>
    </w:rPr>
  </w:style>
  <w:style w:type="paragraph" w:styleId="10">
    <w:name w:val="Plain Text"/>
    <w:basedOn w:val="1"/>
    <w:next w:val="1"/>
    <w:qFormat/>
    <w:uiPriority w:val="0"/>
    <w:rPr>
      <w:rFonts w:ascii="宋体" w:hAnsi="Courier New"/>
      <w:kern w:val="0"/>
      <w:szCs w:val="21"/>
    </w:rPr>
  </w:style>
  <w:style w:type="paragraph" w:styleId="11">
    <w:name w:val="Balloon Text"/>
    <w:basedOn w:val="1"/>
    <w:link w:val="43"/>
    <w:qFormat/>
    <w:uiPriority w:val="0"/>
    <w:rPr>
      <w:sz w:val="18"/>
      <w:szCs w:val="18"/>
    </w:rPr>
  </w:style>
  <w:style w:type="paragraph" w:styleId="12">
    <w:name w:val="footer"/>
    <w:basedOn w:val="1"/>
    <w:qFormat/>
    <w:uiPriority w:val="99"/>
    <w:pPr>
      <w:tabs>
        <w:tab w:val="center" w:pos="4153"/>
        <w:tab w:val="right" w:pos="8306"/>
      </w:tabs>
      <w:snapToGrid w:val="0"/>
      <w:jc w:val="left"/>
    </w:pPr>
    <w:rPr>
      <w:kern w:val="0"/>
      <w:sz w:val="18"/>
      <w:szCs w:val="18"/>
    </w:rPr>
  </w:style>
  <w:style w:type="paragraph" w:styleId="13">
    <w:name w:val="envelope return"/>
    <w:basedOn w:val="1"/>
    <w:qFormat/>
    <w:uiPriority w:val="99"/>
    <w:pPr>
      <w:snapToGrid w:val="0"/>
    </w:pPr>
    <w:rPr>
      <w:rFonts w:ascii="Arial" w:hAnsi="Arial"/>
    </w:rPr>
  </w:style>
  <w:style w:type="paragraph" w:styleId="14">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18"/>
    </w:rPr>
  </w:style>
  <w:style w:type="paragraph" w:styleId="15">
    <w:name w:val="toc 1"/>
    <w:basedOn w:val="1"/>
    <w:next w:val="1"/>
    <w:semiHidden/>
    <w:unhideWhenUsed/>
    <w:qFormat/>
    <w:uiPriority w:val="39"/>
  </w:style>
  <w:style w:type="paragraph" w:styleId="16">
    <w:name w:val="Subtitle"/>
    <w:basedOn w:val="1"/>
    <w:next w:val="1"/>
    <w:qFormat/>
    <w:uiPriority w:val="11"/>
    <w:pPr>
      <w:widowControl/>
      <w:adjustRightInd w:val="0"/>
      <w:snapToGrid w:val="0"/>
      <w:spacing w:before="240" w:after="60" w:line="312" w:lineRule="auto"/>
      <w:jc w:val="center"/>
      <w:outlineLvl w:val="1"/>
    </w:pPr>
    <w:rPr>
      <w:rFonts w:ascii="Cambria" w:hAnsi="Cambria"/>
      <w:bCs/>
      <w:kern w:val="28"/>
      <w:sz w:val="32"/>
      <w:szCs w:val="32"/>
    </w:rPr>
  </w:style>
  <w:style w:type="paragraph" w:styleId="17">
    <w:name w:val="toc 6"/>
    <w:basedOn w:val="1"/>
    <w:next w:val="1"/>
    <w:qFormat/>
    <w:uiPriority w:val="0"/>
    <w:pPr>
      <w:ind w:left="1050"/>
      <w:jc w:val="left"/>
    </w:pPr>
    <w:rPr>
      <w:rFonts w:ascii="Century Gothic" w:hAnsi="Century Gothic"/>
      <w:sz w:val="18"/>
      <w:szCs w:val="18"/>
    </w:rPr>
  </w:style>
  <w:style w:type="paragraph" w:styleId="18">
    <w:name w:val="table of figures"/>
    <w:basedOn w:val="1"/>
    <w:next w:val="1"/>
    <w:unhideWhenUsed/>
    <w:qFormat/>
    <w:uiPriority w:val="99"/>
    <w:pPr>
      <w:ind w:left="200" w:leftChars="200" w:hanging="200" w:hangingChars="200"/>
    </w:pPr>
  </w:style>
  <w:style w:type="paragraph" w:styleId="19">
    <w:name w:val="toc 2"/>
    <w:basedOn w:val="1"/>
    <w:next w:val="1"/>
    <w:qFormat/>
    <w:uiPriority w:val="0"/>
    <w:pPr>
      <w:ind w:left="420" w:leftChars="200"/>
    </w:pPr>
    <w:rPr>
      <w:szCs w:val="24"/>
    </w:rPr>
  </w:style>
  <w:style w:type="paragraph" w:styleId="20">
    <w:name w:val="Body Text 2"/>
    <w:basedOn w:val="1"/>
    <w:qFormat/>
    <w:uiPriority w:val="0"/>
    <w:pPr>
      <w:ind w:right="-512" w:rightChars="-244"/>
    </w:pPr>
    <w:rPr>
      <w:rFonts w:ascii="宋体"/>
      <w:sz w:val="24"/>
    </w:rPr>
  </w:style>
  <w:style w:type="paragraph" w:styleId="21">
    <w:name w:val="Normal (Web)"/>
    <w:basedOn w:val="1"/>
    <w:qFormat/>
    <w:uiPriority w:val="0"/>
    <w:pPr>
      <w:widowControl/>
      <w:spacing w:afterLines="50"/>
      <w:jc w:val="left"/>
    </w:pPr>
    <w:rPr>
      <w:rFonts w:ascii="长城仿宋" w:hAnsi="长城仿宋" w:eastAsia="Arial Unicode MS"/>
      <w:sz w:val="24"/>
    </w:rPr>
  </w:style>
  <w:style w:type="paragraph" w:styleId="22">
    <w:name w:val="Title"/>
    <w:basedOn w:val="1"/>
    <w:next w:val="1"/>
    <w:qFormat/>
    <w:uiPriority w:val="0"/>
    <w:pPr>
      <w:spacing w:before="240" w:after="60"/>
      <w:jc w:val="center"/>
      <w:outlineLvl w:val="0"/>
    </w:pPr>
    <w:rPr>
      <w:rFonts w:ascii="Arial" w:hAnsi="Arial"/>
      <w:sz w:val="32"/>
      <w:szCs w:val="32"/>
    </w:rPr>
  </w:style>
  <w:style w:type="paragraph" w:styleId="23">
    <w:name w:val="annotation subject"/>
    <w:basedOn w:val="8"/>
    <w:next w:val="8"/>
    <w:link w:val="45"/>
    <w:qFormat/>
    <w:uiPriority w:val="0"/>
    <w:rPr>
      <w:b/>
      <w:bCs/>
    </w:rPr>
  </w:style>
  <w:style w:type="paragraph" w:styleId="24">
    <w:name w:val="Body Text First Indent"/>
    <w:basedOn w:val="9"/>
    <w:next w:val="17"/>
    <w:qFormat/>
    <w:uiPriority w:val="0"/>
    <w:pPr>
      <w:spacing w:line="312" w:lineRule="auto"/>
      <w:ind w:firstLine="420"/>
    </w:pPr>
    <w:rPr>
      <w:szCs w:val="24"/>
    </w:rPr>
  </w:style>
  <w:style w:type="paragraph" w:styleId="25">
    <w:name w:val="Body Text First Indent 2"/>
    <w:basedOn w:val="7"/>
    <w:next w:val="1"/>
    <w:qFormat/>
    <w:uiPriority w:val="0"/>
    <w:pPr>
      <w:spacing w:after="120"/>
      <w:ind w:left="420" w:leftChars="200" w:firstLine="420"/>
    </w:pPr>
    <w:rPr>
      <w:rFonts w:cs="宋体"/>
      <w:sz w:val="21"/>
      <w:szCs w:val="21"/>
    </w:rPr>
  </w:style>
  <w:style w:type="table" w:styleId="27">
    <w:name w:val="Table Grid"/>
    <w:basedOn w:val="2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annotation reference"/>
    <w:basedOn w:val="28"/>
    <w:qFormat/>
    <w:uiPriority w:val="0"/>
    <w:rPr>
      <w:sz w:val="21"/>
      <w:szCs w:val="21"/>
    </w:rPr>
  </w:style>
  <w:style w:type="paragraph" w:customStyle="1" w:styleId="31">
    <w:name w:val="表格文字"/>
    <w:basedOn w:val="10"/>
    <w:next w:val="9"/>
    <w:qFormat/>
    <w:uiPriority w:val="99"/>
    <w:pPr>
      <w:adjustRightInd w:val="0"/>
      <w:spacing w:line="420" w:lineRule="atLeast"/>
      <w:jc w:val="left"/>
      <w:textAlignment w:val="baseline"/>
    </w:pPr>
    <w:rPr>
      <w:rFonts w:ascii="Times New Roman" w:hAnsi="Times New Roman"/>
      <w:szCs w:val="24"/>
    </w:rPr>
  </w:style>
  <w:style w:type="paragraph" w:customStyle="1" w:styleId="32">
    <w:name w:val="Normal Indent1"/>
    <w:basedOn w:val="1"/>
    <w:qFormat/>
    <w:uiPriority w:val="0"/>
    <w:pPr>
      <w:ind w:firstLine="420" w:firstLineChars="200"/>
    </w:pPr>
  </w:style>
  <w:style w:type="paragraph" w:customStyle="1" w:styleId="33">
    <w:name w:val="Plain Text1"/>
    <w:basedOn w:val="1"/>
    <w:qFormat/>
    <w:uiPriority w:val="0"/>
    <w:rPr>
      <w:rFonts w:ascii="宋体" w:hAnsi="Courier New"/>
      <w:szCs w:val="20"/>
    </w:rPr>
  </w:style>
  <w:style w:type="paragraph" w:customStyle="1" w:styleId="3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
    <w:name w:val="正文2"/>
    <w:basedOn w:val="1"/>
    <w:next w:val="15"/>
    <w:qFormat/>
    <w:uiPriority w:val="0"/>
    <w:pPr>
      <w:spacing w:before="156" w:line="360" w:lineRule="auto"/>
      <w:ind w:firstLine="510" w:firstLineChars="200"/>
    </w:pPr>
    <w:rPr>
      <w:sz w:val="24"/>
      <w:szCs w:val="20"/>
    </w:rPr>
  </w:style>
  <w:style w:type="paragraph" w:customStyle="1" w:styleId="36">
    <w:name w:val="列出段落1"/>
    <w:basedOn w:val="1"/>
    <w:qFormat/>
    <w:uiPriority w:val="34"/>
    <w:pPr>
      <w:ind w:firstLine="420" w:firstLineChars="200"/>
    </w:pPr>
  </w:style>
  <w:style w:type="paragraph" w:customStyle="1" w:styleId="37">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38">
    <w:name w:val="纯文本1"/>
    <w:basedOn w:val="39"/>
    <w:qFormat/>
    <w:uiPriority w:val="0"/>
    <w:pPr>
      <w:widowControl/>
      <w:jc w:val="left"/>
    </w:pPr>
    <w:rPr>
      <w:rFonts w:hint="default" w:ascii="宋体" w:hAnsi="Courier New"/>
    </w:rPr>
  </w:style>
  <w:style w:type="paragraph" w:customStyle="1" w:styleId="39">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40">
    <w:name w:val="章正文"/>
    <w:basedOn w:val="1"/>
    <w:qFormat/>
    <w:locked/>
    <w:uiPriority w:val="99"/>
    <w:pPr>
      <w:spacing w:beforeLines="50" w:after="120" w:line="300" w:lineRule="auto"/>
      <w:ind w:firstLine="480"/>
    </w:pPr>
    <w:rPr>
      <w:rFonts w:ascii="Helvetica" w:hAnsi="Helvetica"/>
      <w:kern w:val="0"/>
    </w:rPr>
  </w:style>
  <w:style w:type="character" w:customStyle="1" w:styleId="41">
    <w:name w:val="font21"/>
    <w:basedOn w:val="28"/>
    <w:qFormat/>
    <w:uiPriority w:val="0"/>
    <w:rPr>
      <w:rFonts w:hint="eastAsia" w:ascii="宋体" w:hAnsi="宋体" w:eastAsia="宋体" w:cs="宋体"/>
      <w:color w:val="000000"/>
      <w:sz w:val="21"/>
      <w:szCs w:val="21"/>
      <w:u w:val="none"/>
    </w:rPr>
  </w:style>
  <w:style w:type="character" w:customStyle="1" w:styleId="42">
    <w:name w:val="font31"/>
    <w:basedOn w:val="28"/>
    <w:qFormat/>
    <w:uiPriority w:val="0"/>
    <w:rPr>
      <w:rFonts w:hint="eastAsia" w:ascii="宋体" w:hAnsi="宋体" w:eastAsia="宋体" w:cs="宋体"/>
      <w:color w:val="000000"/>
      <w:sz w:val="24"/>
      <w:szCs w:val="24"/>
      <w:u w:val="none"/>
    </w:rPr>
  </w:style>
  <w:style w:type="character" w:customStyle="1" w:styleId="43">
    <w:name w:val="批注框文本 字符"/>
    <w:basedOn w:val="28"/>
    <w:link w:val="11"/>
    <w:qFormat/>
    <w:uiPriority w:val="0"/>
    <w:rPr>
      <w:rFonts w:ascii="Times New Roman" w:hAnsi="Times New Roman" w:eastAsia="宋体" w:cs="Times New Roman"/>
      <w:kern w:val="2"/>
      <w:sz w:val="18"/>
      <w:szCs w:val="18"/>
    </w:rPr>
  </w:style>
  <w:style w:type="character" w:customStyle="1" w:styleId="44">
    <w:name w:val="批注文字 字符"/>
    <w:basedOn w:val="28"/>
    <w:link w:val="8"/>
    <w:qFormat/>
    <w:uiPriority w:val="0"/>
    <w:rPr>
      <w:rFonts w:ascii="Times New Roman" w:hAnsi="Times New Roman" w:eastAsia="宋体" w:cs="Times New Roman"/>
      <w:kern w:val="2"/>
      <w:sz w:val="21"/>
      <w:szCs w:val="22"/>
    </w:rPr>
  </w:style>
  <w:style w:type="character" w:customStyle="1" w:styleId="45">
    <w:name w:val="批注主题 字符"/>
    <w:basedOn w:val="44"/>
    <w:link w:val="23"/>
    <w:qFormat/>
    <w:uiPriority w:val="0"/>
    <w:rPr>
      <w:rFonts w:ascii="Times New Roman" w:hAnsi="Times New Roman" w:eastAsia="宋体" w:cs="Times New Roman"/>
      <w:b/>
      <w:bCs/>
      <w:kern w:val="2"/>
      <w:sz w:val="21"/>
      <w:szCs w:val="22"/>
    </w:rPr>
  </w:style>
  <w:style w:type="paragraph" w:styleId="46">
    <w:name w:val="List Paragraph"/>
    <w:basedOn w:val="1"/>
    <w:qFormat/>
    <w:uiPriority w:val="34"/>
    <w:pPr>
      <w:ind w:firstLine="420" w:firstLineChars="200"/>
    </w:pPr>
  </w:style>
  <w:style w:type="paragraph" w:customStyle="1" w:styleId="47">
    <w:name w:val="正文C"/>
    <w:basedOn w:val="1"/>
    <w:qFormat/>
    <w:uiPriority w:val="0"/>
    <w:pPr>
      <w:spacing w:line="360" w:lineRule="auto"/>
      <w:ind w:firstLine="480" w:firstLineChars="200"/>
    </w:pPr>
    <w:rPr>
      <w:sz w:val="24"/>
      <w:szCs w:val="24"/>
    </w:rPr>
  </w:style>
  <w:style w:type="paragraph" w:customStyle="1" w:styleId="48">
    <w:name w:val="修订1"/>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7194</Words>
  <Characters>8582</Characters>
  <Lines>249</Lines>
  <Paragraphs>70</Paragraphs>
  <TotalTime>18</TotalTime>
  <ScaleCrop>false</ScaleCrop>
  <LinksUpToDate>false</LinksUpToDate>
  <CharactersWithSpaces>8891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2022-06-10T11:54:00Z</dcterms:created>
  <dc:creator>huawei</dc:creator>
  <cp:lastModifiedBy>WKY</cp:lastModifiedBy>
  <dcterms:modified xsi:type="dcterms:W3CDTF">2025-12-17T07:10:59Z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8E0AEE095B5A43FE92CCBC1A5DDFF95E_13</vt:lpwstr>
  </property>
  <property fmtid="{D5CDD505-2E9C-101B-9397-08002B2CF9AE}" pid="4" name="KSOTemplateDocerSaveRecord">
    <vt:lpwstr>eyJoZGlkIjoiYjJjOTQxYzhjODMyMDAzZmE0MDJkMWFkNmJlNDkwYTUiLCJ1c2VySWQiOiIzNzIxNDYxODcifQ==</vt:lpwstr>
  </property>
</Properties>
</file>